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62F4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62F4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62F49"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62F4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62F49" w:rsidTr="002E5576">
        <w:tc>
          <w:tcPr>
            <w:tcW w:w="4518" w:type="dxa"/>
          </w:tcPr>
          <w:p w:rsidR="00BF25F3" w:rsidRPr="002E2327" w:rsidRDefault="003F21C7"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3F21C7"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62F49"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62F49"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6776D" w:rsidP="00F0068D">
      <w:pPr>
        <w:pBdr>
          <w:bottom w:val="single" w:sz="6" w:space="1" w:color="auto"/>
        </w:pBdr>
        <w:tabs>
          <w:tab w:val="center" w:pos="4680"/>
          <w:tab w:val="right" w:pos="9360"/>
        </w:tabs>
        <w:rPr>
          <w:lang w:val="fr-CA"/>
        </w:rPr>
      </w:pPr>
      <w:r>
        <w:rPr>
          <w:lang w:val="fr-CA"/>
        </w:rPr>
        <w:t>M</w:t>
      </w:r>
      <w:r w:rsidR="00C73D06">
        <w:rPr>
          <w:lang w:val="fr-CA"/>
        </w:rPr>
        <w:t>ar</w:t>
      </w:r>
      <w:r>
        <w:rPr>
          <w:lang w:val="fr-CA"/>
        </w:rPr>
        <w:t>ch 8</w:t>
      </w:r>
      <w:r w:rsidR="00440E24" w:rsidRPr="00675479">
        <w:rPr>
          <w:lang w:val="fr-CA"/>
        </w:rPr>
        <w:t>, 201</w:t>
      </w:r>
      <w:r w:rsidR="00F761A3">
        <w:rPr>
          <w:lang w:val="fr-CA"/>
        </w:rPr>
        <w:t>3</w:t>
      </w:r>
      <w:r w:rsidR="00F0068D" w:rsidRPr="00675479">
        <w:rPr>
          <w:lang w:val="fr-CA"/>
        </w:rPr>
        <w:tab/>
      </w:r>
      <w:r>
        <w:rPr>
          <w:lang w:val="fr-CA"/>
        </w:rPr>
        <w:t>369</w:t>
      </w:r>
      <w:r w:rsidR="00F0068D" w:rsidRPr="00675479">
        <w:rPr>
          <w:lang w:val="fr-CA"/>
        </w:rPr>
        <w:t xml:space="preserve"> - </w:t>
      </w:r>
      <w:r w:rsidR="004665AA">
        <w:rPr>
          <w:lang w:val="fr-CA"/>
        </w:rPr>
        <w:t>445</w:t>
      </w:r>
      <w:r w:rsidR="00440E24" w:rsidRPr="00675479">
        <w:rPr>
          <w:lang w:val="fr-CA"/>
        </w:rPr>
        <w:tab/>
      </w:r>
      <w:r w:rsidR="00440E24" w:rsidRPr="002E2327">
        <w:rPr>
          <w:lang w:val="fr-CA"/>
        </w:rPr>
        <w:t>Le</w:t>
      </w:r>
      <w:r w:rsidR="00C73D06">
        <w:rPr>
          <w:lang w:val="fr-CA"/>
        </w:rPr>
        <w:t xml:space="preserve"> </w:t>
      </w:r>
      <w:r>
        <w:rPr>
          <w:lang w:val="fr-CA"/>
        </w:rPr>
        <w:t>8 mars</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4B3478" w:rsidRDefault="00440E24" w:rsidP="00440E24">
      <w:pPr>
        <w:pBdr>
          <w:bottom w:val="single" w:sz="6" w:space="1" w:color="auto"/>
        </w:pBdr>
        <w:tabs>
          <w:tab w:val="right" w:pos="9360"/>
        </w:tabs>
        <w:rPr>
          <w:sz w:val="18"/>
          <w:szCs w:val="18"/>
        </w:rPr>
      </w:pPr>
      <w:r w:rsidRPr="004B3478">
        <w:rPr>
          <w:sz w:val="18"/>
          <w:szCs w:val="18"/>
        </w:rPr>
        <w:t>© Supreme Court of Canada (201</w:t>
      </w:r>
      <w:r w:rsidR="00F761A3" w:rsidRPr="004B3478">
        <w:rPr>
          <w:sz w:val="18"/>
          <w:szCs w:val="18"/>
        </w:rPr>
        <w:t>3</w:t>
      </w:r>
      <w:r w:rsidRPr="004B3478">
        <w:rPr>
          <w:sz w:val="18"/>
          <w:szCs w:val="18"/>
        </w:rPr>
        <w:t>)</w:t>
      </w:r>
      <w:r w:rsidRPr="004B3478">
        <w:rPr>
          <w:sz w:val="18"/>
          <w:szCs w:val="18"/>
        </w:rPr>
        <w:tab/>
        <w:t>© Cour suprême du Canada (201</w:t>
      </w:r>
      <w:r w:rsidR="00F761A3" w:rsidRPr="004B3478">
        <w:rPr>
          <w:sz w:val="18"/>
          <w:szCs w:val="18"/>
        </w:rPr>
        <w:t>3</w:t>
      </w:r>
      <w:r w:rsidRPr="004B3478">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467E5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467E57">
            <w:pPr>
              <w:tabs>
                <w:tab w:val="right" w:pos="9360"/>
              </w:tabs>
              <w:rPr>
                <w:rFonts w:cs="Times New Roman"/>
                <w:sz w:val="20"/>
                <w:szCs w:val="20"/>
              </w:rPr>
            </w:pPr>
          </w:p>
        </w:tc>
        <w:tc>
          <w:tcPr>
            <w:tcW w:w="1980" w:type="dxa"/>
          </w:tcPr>
          <w:p w:rsidR="0095096B" w:rsidRPr="002E2327" w:rsidRDefault="00734E15" w:rsidP="0095096B">
            <w:pPr>
              <w:jc w:val="center"/>
              <w:rPr>
                <w:rFonts w:cs="Times New Roman"/>
                <w:sz w:val="20"/>
                <w:szCs w:val="20"/>
              </w:rPr>
            </w:pPr>
            <w:r>
              <w:rPr>
                <w:rFonts w:cs="Times New Roman"/>
                <w:sz w:val="20"/>
                <w:szCs w:val="20"/>
              </w:rPr>
              <w:t xml:space="preserve">369 </w:t>
            </w:r>
            <w:r w:rsidR="003F21C7" w:rsidRPr="002E2327">
              <w:rPr>
                <w:rFonts w:cs="Times New Roman"/>
                <w:sz w:val="20"/>
                <w:szCs w:val="20"/>
              </w:rPr>
              <w:fldChar w:fldCharType="begin"/>
            </w:r>
            <w:r w:rsidR="0095096B" w:rsidRPr="002E2327">
              <w:rPr>
                <w:rFonts w:cs="Times New Roman"/>
                <w:sz w:val="20"/>
                <w:szCs w:val="20"/>
              </w:rPr>
              <w:instrText xml:space="preserve"> SEQ CHAPTER \h \r 1</w:instrText>
            </w:r>
            <w:r w:rsidR="003F21C7" w:rsidRPr="002E2327">
              <w:rPr>
                <w:rFonts w:cs="Times New Roman"/>
                <w:sz w:val="20"/>
                <w:szCs w:val="20"/>
              </w:rPr>
              <w:fldChar w:fldCharType="end"/>
            </w:r>
            <w:r w:rsidR="0095096B" w:rsidRPr="002E2327">
              <w:rPr>
                <w:rFonts w:cs="Times New Roman"/>
                <w:sz w:val="20"/>
                <w:szCs w:val="20"/>
              </w:rPr>
              <w:t>-</w:t>
            </w:r>
            <w:r w:rsidR="004B3478">
              <w:rPr>
                <w:rFonts w:cs="Times New Roman"/>
                <w:sz w:val="20"/>
                <w:szCs w:val="20"/>
              </w:rPr>
              <w:t xml:space="preserve"> 370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B3478" w:rsidP="0095096B">
            <w:pPr>
              <w:jc w:val="center"/>
              <w:rPr>
                <w:rFonts w:cs="Times New Roman"/>
                <w:sz w:val="20"/>
                <w:szCs w:val="20"/>
              </w:rPr>
            </w:pPr>
            <w:r>
              <w:rPr>
                <w:rFonts w:cs="Times New Roman"/>
                <w:sz w:val="20"/>
                <w:szCs w:val="20"/>
              </w:rPr>
              <w:t>371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95A21" w:rsidP="0095096B">
            <w:pPr>
              <w:jc w:val="center"/>
              <w:rPr>
                <w:rFonts w:cs="Times New Roman"/>
                <w:sz w:val="20"/>
                <w:szCs w:val="20"/>
              </w:rPr>
            </w:pPr>
            <w:r>
              <w:rPr>
                <w:rFonts w:cs="Times New Roman"/>
                <w:sz w:val="20"/>
                <w:szCs w:val="20"/>
              </w:rPr>
              <w:t xml:space="preserve">372 </w:t>
            </w:r>
            <w:r w:rsidR="0095096B" w:rsidRPr="002E2327">
              <w:rPr>
                <w:rFonts w:cs="Times New Roman"/>
                <w:sz w:val="20"/>
                <w:szCs w:val="20"/>
              </w:rPr>
              <w:t>-</w:t>
            </w:r>
            <w:r w:rsidR="00A15980">
              <w:rPr>
                <w:rFonts w:cs="Times New Roman"/>
                <w:sz w:val="20"/>
                <w:szCs w:val="20"/>
              </w:rPr>
              <w:t xml:space="preserve"> 399</w:t>
            </w:r>
          </w:p>
          <w:p w:rsidR="0095096B" w:rsidRDefault="0095096B" w:rsidP="0095096B">
            <w:pPr>
              <w:jc w:val="center"/>
              <w:rPr>
                <w:rFonts w:cs="Times New Roman"/>
                <w:sz w:val="20"/>
                <w:szCs w:val="20"/>
              </w:rPr>
            </w:pPr>
          </w:p>
          <w:p w:rsidR="00595A21" w:rsidRPr="002E2327" w:rsidRDefault="00595A21" w:rsidP="0095096B">
            <w:pPr>
              <w:jc w:val="center"/>
              <w:rPr>
                <w:rFonts w:cs="Times New Roman"/>
                <w:sz w:val="20"/>
                <w:szCs w:val="20"/>
              </w:rPr>
            </w:pPr>
          </w:p>
          <w:p w:rsidR="0095096B" w:rsidRPr="002E2327" w:rsidRDefault="00A15980" w:rsidP="0095096B">
            <w:pPr>
              <w:jc w:val="center"/>
              <w:rPr>
                <w:rFonts w:cs="Times New Roman"/>
                <w:sz w:val="20"/>
                <w:szCs w:val="20"/>
              </w:rPr>
            </w:pPr>
            <w:r>
              <w:rPr>
                <w:rFonts w:cs="Times New Roman"/>
                <w:sz w:val="20"/>
                <w:szCs w:val="20"/>
              </w:rPr>
              <w:t xml:space="preserve">400 </w:t>
            </w:r>
            <w:r w:rsidR="0095096B" w:rsidRPr="002E2327">
              <w:rPr>
                <w:rFonts w:cs="Times New Roman"/>
                <w:sz w:val="20"/>
                <w:szCs w:val="20"/>
              </w:rPr>
              <w:t>-</w:t>
            </w:r>
            <w:r w:rsidR="00B27B54">
              <w:rPr>
                <w:rFonts w:cs="Times New Roman"/>
                <w:sz w:val="20"/>
                <w:szCs w:val="20"/>
              </w:rPr>
              <w:t xml:space="preserve"> 402</w:t>
            </w:r>
          </w:p>
          <w:p w:rsidR="0095096B" w:rsidRPr="002E2327" w:rsidRDefault="0095096B" w:rsidP="0095096B">
            <w:pPr>
              <w:jc w:val="center"/>
              <w:rPr>
                <w:rFonts w:cs="Times New Roman"/>
                <w:sz w:val="20"/>
                <w:szCs w:val="20"/>
              </w:rPr>
            </w:pPr>
          </w:p>
          <w:p w:rsidR="0095096B" w:rsidRPr="002E2327" w:rsidRDefault="00B27B54" w:rsidP="0095096B">
            <w:pPr>
              <w:jc w:val="center"/>
              <w:rPr>
                <w:rFonts w:cs="Times New Roman"/>
                <w:sz w:val="20"/>
                <w:szCs w:val="20"/>
              </w:rPr>
            </w:pPr>
            <w:r>
              <w:rPr>
                <w:rFonts w:cs="Times New Roman"/>
                <w:sz w:val="20"/>
                <w:szCs w:val="20"/>
              </w:rPr>
              <w:t>403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27B54" w:rsidP="0095096B">
            <w:pPr>
              <w:jc w:val="center"/>
              <w:rPr>
                <w:rFonts w:cs="Times New Roman"/>
                <w:sz w:val="20"/>
                <w:szCs w:val="20"/>
              </w:rPr>
            </w:pPr>
            <w:r>
              <w:rPr>
                <w:rFonts w:cs="Times New Roman"/>
                <w:sz w:val="20"/>
                <w:szCs w:val="20"/>
              </w:rPr>
              <w:t>404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27B54" w:rsidP="0095096B">
            <w:pPr>
              <w:jc w:val="center"/>
              <w:rPr>
                <w:rFonts w:cs="Times New Roman"/>
                <w:sz w:val="20"/>
                <w:szCs w:val="20"/>
              </w:rPr>
            </w:pPr>
            <w:r>
              <w:rPr>
                <w:rFonts w:cs="Times New Roman"/>
                <w:sz w:val="20"/>
                <w:szCs w:val="20"/>
              </w:rPr>
              <w:t>405</w:t>
            </w:r>
          </w:p>
          <w:p w:rsidR="0095096B" w:rsidRDefault="0095096B" w:rsidP="0095096B">
            <w:pPr>
              <w:jc w:val="center"/>
              <w:rPr>
                <w:rFonts w:cs="Times New Roman"/>
                <w:sz w:val="20"/>
                <w:szCs w:val="20"/>
              </w:rPr>
            </w:pPr>
          </w:p>
          <w:p w:rsidR="00595A21" w:rsidRPr="002E2327" w:rsidRDefault="00595A21" w:rsidP="0095096B">
            <w:pPr>
              <w:jc w:val="center"/>
              <w:rPr>
                <w:rFonts w:cs="Times New Roman"/>
                <w:sz w:val="20"/>
                <w:szCs w:val="20"/>
              </w:rPr>
            </w:pPr>
          </w:p>
          <w:p w:rsidR="0095096B" w:rsidRPr="002E2327" w:rsidRDefault="00B27B54" w:rsidP="0095096B">
            <w:pPr>
              <w:jc w:val="center"/>
              <w:rPr>
                <w:rFonts w:cs="Times New Roman"/>
                <w:sz w:val="20"/>
                <w:szCs w:val="20"/>
              </w:rPr>
            </w:pPr>
            <w:r>
              <w:rPr>
                <w:rFonts w:cs="Times New Roman"/>
                <w:sz w:val="20"/>
                <w:szCs w:val="20"/>
              </w:rPr>
              <w:t xml:space="preserve">406 </w:t>
            </w:r>
            <w:r w:rsidR="0095096B" w:rsidRPr="002E2327">
              <w:rPr>
                <w:rFonts w:cs="Times New Roman"/>
                <w:sz w:val="20"/>
                <w:szCs w:val="20"/>
              </w:rPr>
              <w:t>-</w:t>
            </w:r>
            <w:r w:rsidR="004665AA">
              <w:rPr>
                <w:rFonts w:cs="Times New Roman"/>
                <w:sz w:val="20"/>
                <w:szCs w:val="20"/>
              </w:rPr>
              <w:t xml:space="preserve"> 421</w:t>
            </w:r>
          </w:p>
          <w:p w:rsidR="0095096B" w:rsidRDefault="0095096B" w:rsidP="0095096B">
            <w:pPr>
              <w:jc w:val="center"/>
              <w:rPr>
                <w:rFonts w:cs="Times New Roman"/>
                <w:sz w:val="20"/>
                <w:szCs w:val="20"/>
              </w:rPr>
            </w:pPr>
          </w:p>
          <w:p w:rsidR="00595A21" w:rsidRDefault="004665AA" w:rsidP="0095096B">
            <w:pPr>
              <w:jc w:val="center"/>
              <w:rPr>
                <w:rFonts w:cs="Times New Roman"/>
                <w:sz w:val="20"/>
                <w:szCs w:val="20"/>
              </w:rPr>
            </w:pPr>
            <w:r>
              <w:rPr>
                <w:rFonts w:cs="Times New Roman"/>
                <w:sz w:val="20"/>
                <w:szCs w:val="20"/>
              </w:rPr>
              <w:t>422</w:t>
            </w:r>
          </w:p>
          <w:p w:rsidR="002E1A5D" w:rsidRPr="002E2327" w:rsidRDefault="002E1A5D" w:rsidP="0095096B">
            <w:pPr>
              <w:jc w:val="center"/>
              <w:rPr>
                <w:rFonts w:cs="Times New Roman"/>
                <w:sz w:val="20"/>
                <w:szCs w:val="20"/>
              </w:rPr>
            </w:pPr>
          </w:p>
          <w:p w:rsidR="0095096B" w:rsidRPr="002E2327" w:rsidRDefault="004665AA" w:rsidP="0095096B">
            <w:pPr>
              <w:jc w:val="center"/>
              <w:rPr>
                <w:rFonts w:cs="Times New Roman"/>
                <w:sz w:val="20"/>
                <w:szCs w:val="20"/>
              </w:rPr>
            </w:pPr>
            <w:r>
              <w:rPr>
                <w:rFonts w:cs="Times New Roman"/>
                <w:sz w:val="20"/>
                <w:szCs w:val="20"/>
              </w:rPr>
              <w:t xml:space="preserve">423 </w:t>
            </w:r>
            <w:r w:rsidR="0095096B" w:rsidRPr="002E2327">
              <w:rPr>
                <w:rFonts w:cs="Times New Roman"/>
                <w:sz w:val="20"/>
                <w:szCs w:val="20"/>
              </w:rPr>
              <w:t>-</w:t>
            </w:r>
            <w:r>
              <w:rPr>
                <w:rFonts w:cs="Times New Roman"/>
                <w:sz w:val="20"/>
                <w:szCs w:val="20"/>
              </w:rPr>
              <w:t xml:space="preserve"> 445</w:t>
            </w:r>
          </w:p>
          <w:p w:rsidR="00A87207" w:rsidRPr="002E2327" w:rsidRDefault="00A87207" w:rsidP="00467E57">
            <w:pPr>
              <w:jc w:val="center"/>
              <w:rPr>
                <w:rFonts w:cs="Times New Roman"/>
                <w:sz w:val="20"/>
                <w:szCs w:val="20"/>
              </w:rPr>
            </w:pPr>
          </w:p>
        </w:tc>
        <w:tc>
          <w:tcPr>
            <w:tcW w:w="3888" w:type="dxa"/>
          </w:tcPr>
          <w:p w:rsidR="0095096B" w:rsidRPr="002E2327" w:rsidRDefault="003F21C7"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467E57">
            <w:pPr>
              <w:tabs>
                <w:tab w:val="right" w:pos="9360"/>
              </w:tabs>
              <w:rPr>
                <w:rFonts w:cs="Times New Roman"/>
                <w:sz w:val="20"/>
                <w:szCs w:val="20"/>
                <w:lang w:val="fr-CA"/>
              </w:rPr>
            </w:pPr>
          </w:p>
        </w:tc>
      </w:tr>
    </w:tbl>
    <w:p w:rsidR="0095096B" w:rsidRDefault="0095096B" w:rsidP="0095096B">
      <w:pPr>
        <w:tabs>
          <w:tab w:val="right" w:pos="9360"/>
        </w:tabs>
        <w:rPr>
          <w:lang w:val="fr-CA"/>
        </w:rPr>
      </w:pPr>
    </w:p>
    <w:p w:rsidR="00595A21" w:rsidRDefault="00595A21" w:rsidP="0095096B">
      <w:pPr>
        <w:tabs>
          <w:tab w:val="right" w:pos="9360"/>
        </w:tabs>
        <w:rPr>
          <w:lang w:val="fr-CA"/>
        </w:rPr>
      </w:pPr>
    </w:p>
    <w:p w:rsidR="00595A21" w:rsidRDefault="00595A21" w:rsidP="0095096B">
      <w:pPr>
        <w:tabs>
          <w:tab w:val="right" w:pos="9360"/>
        </w:tabs>
        <w:rPr>
          <w:lang w:val="fr-CA"/>
        </w:rPr>
      </w:pPr>
    </w:p>
    <w:p w:rsidR="00595A21" w:rsidRDefault="00595A21" w:rsidP="0095096B">
      <w:pPr>
        <w:tabs>
          <w:tab w:val="right" w:pos="9360"/>
        </w:tabs>
        <w:rPr>
          <w:lang w:val="fr-CA"/>
        </w:rPr>
      </w:pPr>
    </w:p>
    <w:p w:rsidR="00595A21" w:rsidRPr="00595A21" w:rsidRDefault="00595A21" w:rsidP="0095096B">
      <w:pPr>
        <w:tabs>
          <w:tab w:val="right" w:pos="9360"/>
        </w:tabs>
        <w:rPr>
          <w:lang w:val="fr-CA"/>
        </w:rPr>
      </w:pPr>
    </w:p>
    <w:tbl>
      <w:tblPr>
        <w:tblStyle w:val="TableGrid"/>
        <w:tblW w:w="0" w:type="auto"/>
        <w:tblLook w:val="04A0"/>
      </w:tblPr>
      <w:tblGrid>
        <w:gridCol w:w="9576"/>
      </w:tblGrid>
      <w:tr w:rsidR="0079724F" w:rsidRPr="00462F4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5F5E4E" w:rsidTr="003B3977">
        <w:tc>
          <w:tcPr>
            <w:tcW w:w="4320" w:type="dxa"/>
            <w:shd w:val="clear" w:color="auto" w:fill="auto"/>
          </w:tcPr>
          <w:p w:rsidR="00242AEE" w:rsidRPr="00934572" w:rsidRDefault="005F5E4E" w:rsidP="003B3977">
            <w:pPr>
              <w:rPr>
                <w:b/>
                <w:sz w:val="20"/>
                <w:szCs w:val="20"/>
                <w:lang w:val="fr-CA"/>
              </w:rPr>
            </w:pPr>
            <w:r w:rsidRPr="00934572">
              <w:rPr>
                <w:b/>
                <w:sz w:val="20"/>
                <w:szCs w:val="20"/>
                <w:lang w:val="fr-CA"/>
              </w:rPr>
              <w:t>Stéphane Marleau</w:t>
            </w:r>
          </w:p>
          <w:p w:rsidR="00242AEE" w:rsidRPr="00934572" w:rsidRDefault="00242AEE" w:rsidP="003B3977">
            <w:pPr>
              <w:tabs>
                <w:tab w:val="left" w:pos="-1440"/>
                <w:tab w:val="left" w:pos="-720"/>
              </w:tabs>
              <w:rPr>
                <w:sz w:val="20"/>
                <w:szCs w:val="20"/>
                <w:lang w:val="fr-CA"/>
              </w:rPr>
            </w:pPr>
            <w:r w:rsidRPr="00934572">
              <w:rPr>
                <w:sz w:val="20"/>
                <w:szCs w:val="20"/>
                <w:lang w:val="fr-CA"/>
              </w:rPr>
              <w:tab/>
            </w:r>
            <w:r w:rsidR="005F5E4E" w:rsidRPr="00934572">
              <w:rPr>
                <w:sz w:val="20"/>
                <w:szCs w:val="20"/>
                <w:lang w:val="fr-CA"/>
              </w:rPr>
              <w:t>Stéphane Marleau</w:t>
            </w:r>
          </w:p>
          <w:p w:rsidR="00242AEE" w:rsidRPr="00934572" w:rsidRDefault="00242AEE" w:rsidP="003B3977">
            <w:pPr>
              <w:tabs>
                <w:tab w:val="left" w:pos="-1440"/>
                <w:tab w:val="left" w:pos="-720"/>
              </w:tabs>
              <w:rPr>
                <w:sz w:val="20"/>
                <w:szCs w:val="20"/>
                <w:lang w:val="fr-CA"/>
              </w:rPr>
            </w:pPr>
          </w:p>
          <w:p w:rsidR="00242AEE" w:rsidRPr="005F5E4E" w:rsidRDefault="00242AEE" w:rsidP="003B3977">
            <w:pPr>
              <w:tabs>
                <w:tab w:val="left" w:pos="-1440"/>
                <w:tab w:val="left" w:pos="-720"/>
              </w:tabs>
              <w:rPr>
                <w:sz w:val="20"/>
                <w:szCs w:val="20"/>
                <w:lang w:val="fr-CA"/>
              </w:rPr>
            </w:pPr>
            <w:r w:rsidRPr="00934572">
              <w:rPr>
                <w:sz w:val="20"/>
                <w:szCs w:val="20"/>
                <w:lang w:val="fr-CA"/>
              </w:rPr>
              <w:tab/>
            </w:r>
            <w:r w:rsidR="005F5E4E" w:rsidRPr="005F5E4E">
              <w:rPr>
                <w:sz w:val="20"/>
                <w:szCs w:val="20"/>
                <w:lang w:val="fr-CA"/>
              </w:rPr>
              <w:t>c</w:t>
            </w:r>
            <w:r w:rsidRPr="005F5E4E">
              <w:rPr>
                <w:sz w:val="20"/>
                <w:szCs w:val="20"/>
                <w:lang w:val="fr-CA"/>
              </w:rPr>
              <w:t>. (3</w:t>
            </w:r>
            <w:r w:rsidR="00734E15" w:rsidRPr="005F5E4E">
              <w:rPr>
                <w:sz w:val="20"/>
                <w:szCs w:val="20"/>
                <w:lang w:val="fr-CA"/>
              </w:rPr>
              <w:t>5</w:t>
            </w:r>
            <w:r w:rsidR="005F5E4E" w:rsidRPr="005F5E4E">
              <w:rPr>
                <w:sz w:val="20"/>
                <w:szCs w:val="20"/>
                <w:lang w:val="fr-CA"/>
              </w:rPr>
              <w:t>198</w:t>
            </w:r>
            <w:r w:rsidRPr="005F5E4E">
              <w:rPr>
                <w:sz w:val="20"/>
                <w:szCs w:val="20"/>
                <w:lang w:val="fr-CA"/>
              </w:rPr>
              <w:t>)</w:t>
            </w:r>
          </w:p>
          <w:p w:rsidR="00242AEE" w:rsidRPr="005F5E4E" w:rsidRDefault="00242AEE" w:rsidP="003B3977">
            <w:pPr>
              <w:tabs>
                <w:tab w:val="left" w:pos="-1440"/>
                <w:tab w:val="left" w:pos="-720"/>
              </w:tabs>
              <w:rPr>
                <w:sz w:val="20"/>
                <w:szCs w:val="20"/>
                <w:lang w:val="fr-CA"/>
              </w:rPr>
            </w:pPr>
          </w:p>
          <w:p w:rsidR="00242AEE" w:rsidRPr="005F5E4E" w:rsidRDefault="005F5E4E" w:rsidP="003B3977">
            <w:pPr>
              <w:tabs>
                <w:tab w:val="left" w:pos="-1440"/>
                <w:tab w:val="left" w:pos="-720"/>
              </w:tabs>
              <w:rPr>
                <w:b/>
                <w:sz w:val="20"/>
                <w:szCs w:val="20"/>
                <w:lang w:val="fr-CA"/>
              </w:rPr>
            </w:pPr>
            <w:r w:rsidRPr="005F5E4E">
              <w:rPr>
                <w:b/>
                <w:sz w:val="20"/>
                <w:szCs w:val="20"/>
                <w:lang w:val="fr-CA"/>
              </w:rPr>
              <w:t xml:space="preserve">Sa Majesté la Reine </w:t>
            </w:r>
            <w:r w:rsidR="00242AEE" w:rsidRPr="005F5E4E">
              <w:rPr>
                <w:b/>
                <w:sz w:val="20"/>
                <w:szCs w:val="20"/>
                <w:lang w:val="fr-CA"/>
              </w:rPr>
              <w:t>(</w:t>
            </w:r>
            <w:r w:rsidRPr="005F5E4E">
              <w:rPr>
                <w:b/>
                <w:sz w:val="20"/>
                <w:szCs w:val="20"/>
                <w:lang w:val="fr-CA"/>
              </w:rPr>
              <w:t>Qc</w:t>
            </w:r>
            <w:r w:rsidR="00242AEE" w:rsidRPr="005F5E4E">
              <w:rPr>
                <w:b/>
                <w:sz w:val="20"/>
                <w:szCs w:val="20"/>
                <w:lang w:val="fr-CA"/>
              </w:rPr>
              <w:t>)</w:t>
            </w:r>
          </w:p>
          <w:p w:rsidR="00242AEE" w:rsidRPr="005F5E4E" w:rsidRDefault="00242AEE" w:rsidP="003B3977">
            <w:pPr>
              <w:tabs>
                <w:tab w:val="left" w:pos="-1440"/>
                <w:tab w:val="left" w:pos="-720"/>
              </w:tabs>
              <w:rPr>
                <w:sz w:val="20"/>
                <w:szCs w:val="20"/>
                <w:lang w:val="fr-CA"/>
              </w:rPr>
            </w:pPr>
            <w:r w:rsidRPr="005F5E4E">
              <w:rPr>
                <w:sz w:val="20"/>
                <w:szCs w:val="20"/>
                <w:lang w:val="fr-CA"/>
              </w:rPr>
              <w:tab/>
            </w:r>
            <w:r w:rsidR="005F5E4E">
              <w:rPr>
                <w:sz w:val="20"/>
                <w:szCs w:val="20"/>
                <w:lang w:val="fr-CA"/>
              </w:rPr>
              <w:t>Michel Pennou</w:t>
            </w:r>
          </w:p>
          <w:p w:rsidR="00242AEE" w:rsidRPr="005F5E4E" w:rsidRDefault="00242AEE" w:rsidP="003B3977">
            <w:pPr>
              <w:tabs>
                <w:tab w:val="left" w:pos="-1440"/>
                <w:tab w:val="left" w:pos="-720"/>
              </w:tabs>
              <w:rPr>
                <w:sz w:val="20"/>
                <w:szCs w:val="20"/>
                <w:lang w:val="fr-CA"/>
              </w:rPr>
            </w:pPr>
            <w:r w:rsidRPr="005F5E4E">
              <w:rPr>
                <w:sz w:val="20"/>
                <w:szCs w:val="20"/>
                <w:lang w:val="fr-CA"/>
              </w:rPr>
              <w:tab/>
            </w:r>
            <w:r w:rsidR="005F5E4E">
              <w:rPr>
                <w:sz w:val="20"/>
                <w:szCs w:val="20"/>
                <w:lang w:val="fr-CA"/>
              </w:rPr>
              <w:t xml:space="preserve">Poursuites criminelles et pénales du </w:t>
            </w:r>
            <w:r w:rsidR="005F5E4E">
              <w:rPr>
                <w:sz w:val="20"/>
                <w:szCs w:val="20"/>
                <w:lang w:val="fr-CA"/>
              </w:rPr>
              <w:tab/>
              <w:t>Québec</w:t>
            </w:r>
          </w:p>
          <w:p w:rsidR="00242AEE" w:rsidRPr="005F5E4E" w:rsidRDefault="00242AEE" w:rsidP="003B3977">
            <w:pPr>
              <w:tabs>
                <w:tab w:val="left" w:pos="-1440"/>
                <w:tab w:val="left" w:pos="-720"/>
              </w:tabs>
              <w:rPr>
                <w:sz w:val="20"/>
                <w:szCs w:val="20"/>
                <w:lang w:val="fr-CA"/>
              </w:rPr>
            </w:pPr>
          </w:p>
          <w:p w:rsidR="00242AEE" w:rsidRPr="005F5E4E" w:rsidRDefault="00242AEE" w:rsidP="003B3977">
            <w:pPr>
              <w:rPr>
                <w:sz w:val="20"/>
                <w:szCs w:val="20"/>
                <w:lang w:val="fr-CA"/>
              </w:rPr>
            </w:pPr>
            <w:r w:rsidRPr="005F5E4E">
              <w:rPr>
                <w:sz w:val="20"/>
                <w:szCs w:val="20"/>
                <w:lang w:val="fr-CA"/>
              </w:rPr>
              <w:t>DATE</w:t>
            </w:r>
            <w:r w:rsidR="005F5E4E" w:rsidRPr="005F5E4E">
              <w:rPr>
                <w:sz w:val="20"/>
                <w:szCs w:val="20"/>
                <w:lang w:val="fr-CA"/>
              </w:rPr>
              <w:t xml:space="preserve"> DE PRODUCTION </w:t>
            </w:r>
            <w:r w:rsidRPr="005F5E4E">
              <w:rPr>
                <w:sz w:val="20"/>
                <w:szCs w:val="20"/>
                <w:lang w:val="fr-CA"/>
              </w:rPr>
              <w:t xml:space="preserve">: </w:t>
            </w:r>
            <w:r w:rsidR="00734E15" w:rsidRPr="005F5E4E">
              <w:rPr>
                <w:sz w:val="20"/>
                <w:szCs w:val="20"/>
                <w:lang w:val="fr-CA"/>
              </w:rPr>
              <w:t>2</w:t>
            </w:r>
            <w:r w:rsidR="005F5E4E" w:rsidRPr="005F5E4E">
              <w:rPr>
                <w:sz w:val="20"/>
                <w:szCs w:val="20"/>
                <w:lang w:val="fr-CA"/>
              </w:rPr>
              <w:t>3</w:t>
            </w:r>
            <w:r w:rsidRPr="005F5E4E">
              <w:rPr>
                <w:sz w:val="20"/>
                <w:szCs w:val="20"/>
                <w:lang w:val="fr-CA"/>
              </w:rPr>
              <w:t>.0</w:t>
            </w:r>
            <w:r w:rsidR="005F5E4E" w:rsidRPr="005F5E4E">
              <w:rPr>
                <w:sz w:val="20"/>
                <w:szCs w:val="20"/>
                <w:lang w:val="fr-CA"/>
              </w:rPr>
              <w:t>1</w:t>
            </w:r>
            <w:r w:rsidRPr="005F5E4E">
              <w:rPr>
                <w:sz w:val="20"/>
                <w:szCs w:val="20"/>
                <w:lang w:val="fr-CA"/>
              </w:rPr>
              <w:t>.201</w:t>
            </w:r>
            <w:r w:rsidR="00734E15" w:rsidRPr="005F5E4E">
              <w:rPr>
                <w:sz w:val="20"/>
                <w:szCs w:val="20"/>
                <w:lang w:val="fr-CA"/>
              </w:rPr>
              <w:t>3</w:t>
            </w:r>
          </w:p>
          <w:p w:rsidR="00242AEE" w:rsidRPr="005F5E4E" w:rsidRDefault="003F21C7" w:rsidP="003B3977">
            <w:pPr>
              <w:rPr>
                <w:sz w:val="20"/>
                <w:szCs w:val="20"/>
                <w:lang w:val="fr-CA"/>
              </w:rPr>
            </w:pPr>
            <w:r w:rsidRPr="003F21C7">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5F5E4E" w:rsidRDefault="00242AEE" w:rsidP="00242AEE">
            <w:pPr>
              <w:jc w:val="center"/>
              <w:rPr>
                <w:sz w:val="20"/>
                <w:szCs w:val="20"/>
                <w:lang w:val="fr-CA"/>
              </w:rPr>
            </w:pPr>
          </w:p>
          <w:p w:rsidR="00242AEE" w:rsidRPr="005F5E4E" w:rsidRDefault="00242AEE" w:rsidP="00242AEE">
            <w:pPr>
              <w:jc w:val="center"/>
              <w:rPr>
                <w:sz w:val="20"/>
                <w:szCs w:val="20"/>
                <w:lang w:val="fr-CA"/>
              </w:rPr>
            </w:pPr>
          </w:p>
          <w:p w:rsidR="00242AEE" w:rsidRPr="005F5E4E" w:rsidRDefault="00242AEE" w:rsidP="00242AEE">
            <w:pPr>
              <w:jc w:val="center"/>
              <w:rPr>
                <w:sz w:val="20"/>
                <w:szCs w:val="20"/>
                <w:lang w:val="fr-CA"/>
              </w:rPr>
            </w:pPr>
          </w:p>
          <w:p w:rsidR="00242AEE" w:rsidRPr="005F5E4E" w:rsidRDefault="00242AEE" w:rsidP="00242AEE">
            <w:pPr>
              <w:jc w:val="center"/>
              <w:rPr>
                <w:sz w:val="20"/>
                <w:szCs w:val="20"/>
                <w:lang w:val="fr-CA"/>
              </w:rPr>
            </w:pPr>
          </w:p>
          <w:p w:rsidR="00242AEE" w:rsidRPr="005F5E4E" w:rsidRDefault="00242AEE" w:rsidP="00242AEE">
            <w:pPr>
              <w:jc w:val="center"/>
              <w:rPr>
                <w:sz w:val="20"/>
                <w:szCs w:val="20"/>
                <w:lang w:val="fr-CA"/>
              </w:rPr>
            </w:pPr>
          </w:p>
          <w:p w:rsidR="00242AEE" w:rsidRPr="005F5E4E" w:rsidRDefault="00242AEE" w:rsidP="00242AEE">
            <w:pPr>
              <w:jc w:val="center"/>
              <w:rPr>
                <w:sz w:val="20"/>
                <w:szCs w:val="20"/>
                <w:lang w:val="fr-CA"/>
              </w:rPr>
            </w:pPr>
          </w:p>
          <w:p w:rsidR="00242AEE" w:rsidRPr="005F5E4E" w:rsidRDefault="00242AEE" w:rsidP="00242AEE">
            <w:pPr>
              <w:jc w:val="center"/>
              <w:rPr>
                <w:sz w:val="20"/>
                <w:szCs w:val="20"/>
                <w:lang w:val="fr-CA"/>
              </w:rPr>
            </w:pPr>
          </w:p>
          <w:p w:rsidR="00242AEE" w:rsidRPr="005F5E4E" w:rsidRDefault="00242AEE" w:rsidP="00242AEE">
            <w:pPr>
              <w:jc w:val="center"/>
              <w:rPr>
                <w:sz w:val="20"/>
                <w:szCs w:val="20"/>
                <w:lang w:val="fr-CA"/>
              </w:rPr>
            </w:pPr>
          </w:p>
          <w:p w:rsidR="00242AEE" w:rsidRPr="005F5E4E" w:rsidRDefault="00242AEE" w:rsidP="00242AEE">
            <w:pPr>
              <w:jc w:val="center"/>
              <w:rPr>
                <w:sz w:val="20"/>
                <w:szCs w:val="20"/>
                <w:lang w:val="fr-CA"/>
              </w:rPr>
            </w:pPr>
          </w:p>
          <w:p w:rsidR="00242AEE" w:rsidRPr="005F5E4E" w:rsidRDefault="00242AEE" w:rsidP="00242AEE">
            <w:pPr>
              <w:jc w:val="center"/>
              <w:rPr>
                <w:sz w:val="20"/>
                <w:szCs w:val="20"/>
                <w:lang w:val="fr-CA"/>
              </w:rPr>
            </w:pPr>
          </w:p>
          <w:p w:rsidR="00242AEE" w:rsidRPr="005F5E4E" w:rsidRDefault="00242AEE" w:rsidP="00242AEE">
            <w:pPr>
              <w:jc w:val="center"/>
              <w:rPr>
                <w:sz w:val="20"/>
                <w:szCs w:val="20"/>
                <w:lang w:val="fr-CA"/>
              </w:rPr>
            </w:pPr>
          </w:p>
          <w:p w:rsidR="00242AEE" w:rsidRPr="005F5E4E" w:rsidRDefault="00242AEE" w:rsidP="00242AEE">
            <w:pPr>
              <w:jc w:val="center"/>
              <w:rPr>
                <w:sz w:val="20"/>
                <w:szCs w:val="20"/>
                <w:lang w:val="fr-CA"/>
              </w:rPr>
            </w:pPr>
          </w:p>
          <w:p w:rsidR="00242AEE" w:rsidRPr="005F5E4E" w:rsidRDefault="00242AEE" w:rsidP="00242AEE">
            <w:pPr>
              <w:jc w:val="center"/>
              <w:rPr>
                <w:sz w:val="20"/>
                <w:szCs w:val="20"/>
                <w:lang w:val="fr-CA"/>
              </w:rPr>
            </w:pPr>
          </w:p>
        </w:tc>
        <w:tc>
          <w:tcPr>
            <w:tcW w:w="4320" w:type="dxa"/>
            <w:shd w:val="clear" w:color="auto" w:fill="auto"/>
          </w:tcPr>
          <w:p w:rsidR="00242AEE" w:rsidRPr="005F5E4E" w:rsidRDefault="005F5E4E" w:rsidP="003B3977">
            <w:pPr>
              <w:keepNext/>
              <w:keepLines/>
              <w:tabs>
                <w:tab w:val="left" w:pos="-1440"/>
                <w:tab w:val="left" w:pos="-720"/>
              </w:tabs>
              <w:rPr>
                <w:b/>
                <w:sz w:val="20"/>
                <w:szCs w:val="20"/>
              </w:rPr>
            </w:pPr>
            <w:r w:rsidRPr="005F5E4E">
              <w:rPr>
                <w:b/>
                <w:sz w:val="20"/>
                <w:szCs w:val="20"/>
              </w:rPr>
              <w:t>Her Majesty the Queen</w:t>
            </w:r>
          </w:p>
          <w:p w:rsidR="00242AEE" w:rsidRPr="005F5E4E" w:rsidRDefault="00242AEE" w:rsidP="003B3977">
            <w:pPr>
              <w:keepNext/>
              <w:keepLines/>
              <w:tabs>
                <w:tab w:val="left" w:pos="-1440"/>
                <w:tab w:val="left" w:pos="-720"/>
              </w:tabs>
              <w:rPr>
                <w:sz w:val="20"/>
                <w:szCs w:val="20"/>
              </w:rPr>
            </w:pPr>
            <w:r w:rsidRPr="005F5E4E">
              <w:rPr>
                <w:sz w:val="20"/>
                <w:szCs w:val="20"/>
              </w:rPr>
              <w:tab/>
            </w:r>
            <w:r w:rsidR="005F5E4E" w:rsidRPr="005F5E4E">
              <w:rPr>
                <w:sz w:val="20"/>
                <w:szCs w:val="20"/>
              </w:rPr>
              <w:t xml:space="preserve">Anthony B. </w:t>
            </w:r>
            <w:r w:rsidR="005F5E4E">
              <w:rPr>
                <w:sz w:val="20"/>
                <w:szCs w:val="20"/>
              </w:rPr>
              <w:t>Gerein</w:t>
            </w:r>
          </w:p>
          <w:p w:rsidR="00242AEE" w:rsidRPr="005F5E4E" w:rsidRDefault="00242AEE" w:rsidP="003B3977">
            <w:pPr>
              <w:keepNext/>
              <w:keepLines/>
              <w:tabs>
                <w:tab w:val="left" w:pos="-1440"/>
                <w:tab w:val="left" w:pos="-720"/>
              </w:tabs>
              <w:rPr>
                <w:sz w:val="20"/>
                <w:szCs w:val="20"/>
              </w:rPr>
            </w:pPr>
            <w:r w:rsidRPr="005F5E4E">
              <w:rPr>
                <w:sz w:val="20"/>
                <w:szCs w:val="20"/>
              </w:rPr>
              <w:tab/>
            </w:r>
            <w:r w:rsidR="005F5E4E">
              <w:rPr>
                <w:sz w:val="20"/>
                <w:szCs w:val="20"/>
              </w:rPr>
              <w:t>A.G. of Saskatchewan</w:t>
            </w:r>
          </w:p>
          <w:p w:rsidR="00242AEE" w:rsidRPr="005F5E4E" w:rsidRDefault="00242AEE" w:rsidP="003B3977">
            <w:pPr>
              <w:keepNext/>
              <w:keepLines/>
              <w:tabs>
                <w:tab w:val="left" w:pos="-1440"/>
                <w:tab w:val="left" w:pos="-720"/>
              </w:tabs>
              <w:rPr>
                <w:sz w:val="20"/>
                <w:szCs w:val="20"/>
              </w:rPr>
            </w:pPr>
          </w:p>
          <w:p w:rsidR="00242AEE" w:rsidRPr="005F5E4E" w:rsidRDefault="00242AEE" w:rsidP="003B3977">
            <w:pPr>
              <w:keepNext/>
              <w:keepLines/>
              <w:tabs>
                <w:tab w:val="left" w:pos="-1440"/>
                <w:tab w:val="left" w:pos="-720"/>
              </w:tabs>
              <w:rPr>
                <w:sz w:val="20"/>
                <w:szCs w:val="20"/>
              </w:rPr>
            </w:pPr>
            <w:r w:rsidRPr="005F5E4E">
              <w:rPr>
                <w:sz w:val="20"/>
                <w:szCs w:val="20"/>
              </w:rPr>
              <w:tab/>
              <w:t>v. (3</w:t>
            </w:r>
            <w:r w:rsidR="00734E15" w:rsidRPr="005F5E4E">
              <w:rPr>
                <w:sz w:val="20"/>
                <w:szCs w:val="20"/>
              </w:rPr>
              <w:t>5</w:t>
            </w:r>
            <w:r w:rsidR="005F5E4E">
              <w:rPr>
                <w:sz w:val="20"/>
                <w:szCs w:val="20"/>
              </w:rPr>
              <w:t>197</w:t>
            </w:r>
            <w:r w:rsidRPr="005F5E4E">
              <w:rPr>
                <w:sz w:val="20"/>
                <w:szCs w:val="20"/>
              </w:rPr>
              <w:t>)</w:t>
            </w:r>
          </w:p>
          <w:p w:rsidR="00242AEE" w:rsidRPr="005F5E4E" w:rsidRDefault="00242AEE" w:rsidP="003B3977">
            <w:pPr>
              <w:keepNext/>
              <w:keepLines/>
              <w:tabs>
                <w:tab w:val="left" w:pos="-1440"/>
                <w:tab w:val="left" w:pos="-720"/>
              </w:tabs>
              <w:rPr>
                <w:sz w:val="20"/>
                <w:szCs w:val="20"/>
              </w:rPr>
            </w:pPr>
          </w:p>
          <w:p w:rsidR="00242AEE" w:rsidRPr="005F5E4E" w:rsidRDefault="005F5E4E" w:rsidP="003B3977">
            <w:pPr>
              <w:keepNext/>
              <w:keepLines/>
              <w:tabs>
                <w:tab w:val="left" w:pos="-1440"/>
                <w:tab w:val="left" w:pos="-720"/>
              </w:tabs>
              <w:rPr>
                <w:b/>
                <w:sz w:val="20"/>
                <w:szCs w:val="20"/>
              </w:rPr>
            </w:pPr>
            <w:r>
              <w:rPr>
                <w:b/>
                <w:sz w:val="20"/>
                <w:szCs w:val="20"/>
              </w:rPr>
              <w:t xml:space="preserve">S.D.B. </w:t>
            </w:r>
            <w:r w:rsidR="00242AEE" w:rsidRPr="005F5E4E">
              <w:rPr>
                <w:b/>
                <w:sz w:val="20"/>
                <w:szCs w:val="20"/>
              </w:rPr>
              <w:t>(</w:t>
            </w:r>
            <w:r>
              <w:rPr>
                <w:b/>
                <w:sz w:val="20"/>
                <w:szCs w:val="20"/>
              </w:rPr>
              <w:t>Sask</w:t>
            </w:r>
            <w:r w:rsidR="00242AEE" w:rsidRPr="005F5E4E">
              <w:rPr>
                <w:b/>
                <w:sz w:val="20"/>
                <w:szCs w:val="20"/>
              </w:rPr>
              <w:t>.)</w:t>
            </w:r>
          </w:p>
          <w:p w:rsidR="00242AEE" w:rsidRPr="005F5E4E" w:rsidRDefault="00242AEE" w:rsidP="003B3977">
            <w:pPr>
              <w:keepNext/>
              <w:keepLines/>
              <w:tabs>
                <w:tab w:val="left" w:pos="-1440"/>
                <w:tab w:val="left" w:pos="-720"/>
              </w:tabs>
              <w:rPr>
                <w:sz w:val="20"/>
                <w:szCs w:val="20"/>
              </w:rPr>
            </w:pPr>
            <w:r w:rsidRPr="005F5E4E">
              <w:rPr>
                <w:sz w:val="20"/>
                <w:szCs w:val="20"/>
              </w:rPr>
              <w:tab/>
            </w:r>
            <w:r w:rsidR="005F5E4E">
              <w:rPr>
                <w:sz w:val="20"/>
                <w:szCs w:val="20"/>
              </w:rPr>
              <w:t>Bob P. Hrycan</w:t>
            </w:r>
          </w:p>
          <w:p w:rsidR="00242AEE" w:rsidRPr="005F5E4E" w:rsidRDefault="00242AEE" w:rsidP="003B3977">
            <w:pPr>
              <w:keepNext/>
              <w:keepLines/>
              <w:tabs>
                <w:tab w:val="left" w:pos="-1440"/>
                <w:tab w:val="left" w:pos="-720"/>
              </w:tabs>
              <w:rPr>
                <w:sz w:val="20"/>
                <w:szCs w:val="20"/>
              </w:rPr>
            </w:pPr>
            <w:r w:rsidRPr="005F5E4E">
              <w:rPr>
                <w:sz w:val="20"/>
                <w:szCs w:val="20"/>
              </w:rPr>
              <w:tab/>
            </w:r>
            <w:r w:rsidR="005F5E4E">
              <w:rPr>
                <w:sz w:val="20"/>
                <w:szCs w:val="20"/>
              </w:rPr>
              <w:t>Hrycan Law Firm</w:t>
            </w:r>
          </w:p>
          <w:p w:rsidR="00242AEE" w:rsidRPr="005F5E4E" w:rsidRDefault="00242AEE" w:rsidP="003B3977">
            <w:pPr>
              <w:keepNext/>
              <w:keepLines/>
              <w:tabs>
                <w:tab w:val="left" w:pos="-1440"/>
                <w:tab w:val="left" w:pos="-720"/>
              </w:tabs>
              <w:rPr>
                <w:sz w:val="20"/>
                <w:szCs w:val="20"/>
              </w:rPr>
            </w:pPr>
          </w:p>
          <w:p w:rsidR="00242AEE" w:rsidRPr="005F5E4E" w:rsidRDefault="00242AEE" w:rsidP="005F5E4E">
            <w:pPr>
              <w:rPr>
                <w:sz w:val="20"/>
                <w:szCs w:val="20"/>
              </w:rPr>
            </w:pPr>
            <w:r w:rsidRPr="005F5E4E">
              <w:rPr>
                <w:sz w:val="20"/>
                <w:szCs w:val="20"/>
              </w:rPr>
              <w:t xml:space="preserve">FILING DATE: </w:t>
            </w:r>
            <w:r w:rsidR="005F5E4E">
              <w:rPr>
                <w:sz w:val="20"/>
                <w:szCs w:val="20"/>
              </w:rPr>
              <w:t>29</w:t>
            </w:r>
            <w:r w:rsidRPr="005F5E4E">
              <w:rPr>
                <w:sz w:val="20"/>
                <w:szCs w:val="20"/>
              </w:rPr>
              <w:t>.0</w:t>
            </w:r>
            <w:r w:rsidR="005F5E4E">
              <w:rPr>
                <w:sz w:val="20"/>
                <w:szCs w:val="20"/>
              </w:rPr>
              <w:t>1</w:t>
            </w:r>
            <w:r w:rsidRPr="005F5E4E">
              <w:rPr>
                <w:sz w:val="20"/>
                <w:szCs w:val="20"/>
              </w:rPr>
              <w:t>.201</w:t>
            </w:r>
            <w:r w:rsidR="00734E15" w:rsidRPr="005F5E4E">
              <w:rPr>
                <w:sz w:val="20"/>
                <w:szCs w:val="20"/>
              </w:rPr>
              <w:t>3</w:t>
            </w:r>
            <w:r w:rsidR="003F21C7" w:rsidRPr="003F21C7">
              <w:rPr>
                <w:sz w:val="20"/>
                <w:szCs w:val="20"/>
                <w:lang w:val="fr-CA"/>
              </w:rPr>
              <w:pict>
                <v:rect id="_x0000_i1026" style="width:108pt;height:1pt" o:hrpct="0" o:hralign="center" o:hrstd="t" o:hrnoshade="t" o:hr="t" fillcolor="black [3213]" stroked="f"/>
              </w:pict>
            </w:r>
          </w:p>
        </w:tc>
      </w:tr>
      <w:tr w:rsidR="00734E15" w:rsidRPr="00A935AA" w:rsidTr="003B3977">
        <w:tc>
          <w:tcPr>
            <w:tcW w:w="4320" w:type="dxa"/>
            <w:shd w:val="clear" w:color="auto" w:fill="auto"/>
          </w:tcPr>
          <w:p w:rsidR="00734E15" w:rsidRPr="00934572" w:rsidRDefault="005F5E4E" w:rsidP="005F5E4E">
            <w:pPr>
              <w:rPr>
                <w:b/>
                <w:sz w:val="20"/>
                <w:szCs w:val="20"/>
                <w:lang w:val="fr-CA"/>
              </w:rPr>
            </w:pPr>
            <w:r w:rsidRPr="00934572">
              <w:rPr>
                <w:b/>
                <w:sz w:val="20"/>
                <w:szCs w:val="20"/>
                <w:lang w:val="fr-CA"/>
              </w:rPr>
              <w:t>Abderrahim Touri</w:t>
            </w:r>
          </w:p>
          <w:p w:rsidR="00734E15" w:rsidRPr="00934572" w:rsidRDefault="00734E15" w:rsidP="005F5E4E">
            <w:pPr>
              <w:tabs>
                <w:tab w:val="left" w:pos="-1440"/>
                <w:tab w:val="left" w:pos="-720"/>
              </w:tabs>
              <w:rPr>
                <w:sz w:val="20"/>
                <w:szCs w:val="20"/>
                <w:lang w:val="fr-CA"/>
              </w:rPr>
            </w:pPr>
            <w:r w:rsidRPr="00934572">
              <w:rPr>
                <w:sz w:val="20"/>
                <w:szCs w:val="20"/>
                <w:lang w:val="fr-CA"/>
              </w:rPr>
              <w:tab/>
            </w:r>
            <w:r w:rsidR="005F5E4E" w:rsidRPr="00934572">
              <w:rPr>
                <w:sz w:val="20"/>
                <w:szCs w:val="20"/>
                <w:lang w:val="fr-CA"/>
              </w:rPr>
              <w:t>Abderrahim Touri</w:t>
            </w:r>
          </w:p>
          <w:p w:rsidR="00734E15" w:rsidRPr="00934572" w:rsidRDefault="00734E15" w:rsidP="005F5E4E">
            <w:pPr>
              <w:tabs>
                <w:tab w:val="left" w:pos="-1440"/>
                <w:tab w:val="left" w:pos="-720"/>
              </w:tabs>
              <w:rPr>
                <w:sz w:val="20"/>
                <w:szCs w:val="20"/>
                <w:lang w:val="fr-CA"/>
              </w:rPr>
            </w:pPr>
          </w:p>
          <w:p w:rsidR="00734E15" w:rsidRPr="005F5E4E" w:rsidRDefault="00734E15" w:rsidP="005F5E4E">
            <w:pPr>
              <w:tabs>
                <w:tab w:val="left" w:pos="-1440"/>
                <w:tab w:val="left" w:pos="-720"/>
              </w:tabs>
              <w:rPr>
                <w:sz w:val="20"/>
                <w:szCs w:val="20"/>
                <w:lang w:val="fr-CA"/>
              </w:rPr>
            </w:pPr>
            <w:r w:rsidRPr="00934572">
              <w:rPr>
                <w:sz w:val="20"/>
                <w:szCs w:val="20"/>
                <w:lang w:val="fr-CA"/>
              </w:rPr>
              <w:tab/>
            </w:r>
            <w:r w:rsidR="005F5E4E" w:rsidRPr="005F5E4E">
              <w:rPr>
                <w:sz w:val="20"/>
                <w:szCs w:val="20"/>
                <w:lang w:val="fr-CA"/>
              </w:rPr>
              <w:t>c</w:t>
            </w:r>
            <w:r w:rsidRPr="005F5E4E">
              <w:rPr>
                <w:sz w:val="20"/>
                <w:szCs w:val="20"/>
                <w:lang w:val="fr-CA"/>
              </w:rPr>
              <w:t>. (35</w:t>
            </w:r>
            <w:r w:rsidR="005F5E4E" w:rsidRPr="005F5E4E">
              <w:rPr>
                <w:sz w:val="20"/>
                <w:szCs w:val="20"/>
                <w:lang w:val="fr-CA"/>
              </w:rPr>
              <w:t>233</w:t>
            </w:r>
            <w:r w:rsidRPr="005F5E4E">
              <w:rPr>
                <w:sz w:val="20"/>
                <w:szCs w:val="20"/>
                <w:lang w:val="fr-CA"/>
              </w:rPr>
              <w:t>)</w:t>
            </w:r>
          </w:p>
          <w:p w:rsidR="00734E15" w:rsidRPr="005F5E4E" w:rsidRDefault="00734E15" w:rsidP="005F5E4E">
            <w:pPr>
              <w:tabs>
                <w:tab w:val="left" w:pos="-1440"/>
                <w:tab w:val="left" w:pos="-720"/>
              </w:tabs>
              <w:rPr>
                <w:sz w:val="20"/>
                <w:szCs w:val="20"/>
                <w:lang w:val="fr-CA"/>
              </w:rPr>
            </w:pPr>
          </w:p>
          <w:p w:rsidR="00734E15" w:rsidRPr="005F5E4E" w:rsidRDefault="005F5E4E" w:rsidP="005F5E4E">
            <w:pPr>
              <w:tabs>
                <w:tab w:val="left" w:pos="-1440"/>
                <w:tab w:val="left" w:pos="-720"/>
              </w:tabs>
              <w:rPr>
                <w:b/>
                <w:sz w:val="20"/>
                <w:szCs w:val="20"/>
                <w:lang w:val="fr-CA"/>
              </w:rPr>
            </w:pPr>
            <w:r w:rsidRPr="005F5E4E">
              <w:rPr>
                <w:b/>
                <w:sz w:val="20"/>
                <w:szCs w:val="20"/>
                <w:lang w:val="fr-CA"/>
              </w:rPr>
              <w:t xml:space="preserve">Multi-Marques Inc. </w:t>
            </w:r>
            <w:r w:rsidR="00734E15" w:rsidRPr="005F5E4E">
              <w:rPr>
                <w:b/>
                <w:sz w:val="20"/>
                <w:szCs w:val="20"/>
                <w:lang w:val="fr-CA"/>
              </w:rPr>
              <w:t>(</w:t>
            </w:r>
            <w:r w:rsidRPr="005F5E4E">
              <w:rPr>
                <w:b/>
                <w:sz w:val="20"/>
                <w:szCs w:val="20"/>
                <w:lang w:val="fr-CA"/>
              </w:rPr>
              <w:t>Qc</w:t>
            </w:r>
            <w:r w:rsidR="00734E15" w:rsidRPr="005F5E4E">
              <w:rPr>
                <w:b/>
                <w:sz w:val="20"/>
                <w:szCs w:val="20"/>
                <w:lang w:val="fr-CA"/>
              </w:rPr>
              <w:t>)</w:t>
            </w:r>
          </w:p>
          <w:p w:rsidR="00734E15" w:rsidRPr="00934572" w:rsidRDefault="00734E15" w:rsidP="005F5E4E">
            <w:pPr>
              <w:tabs>
                <w:tab w:val="left" w:pos="-1440"/>
                <w:tab w:val="left" w:pos="-720"/>
              </w:tabs>
              <w:rPr>
                <w:sz w:val="20"/>
                <w:szCs w:val="20"/>
                <w:lang w:val="fr-CA"/>
              </w:rPr>
            </w:pPr>
            <w:r w:rsidRPr="005F5E4E">
              <w:rPr>
                <w:sz w:val="20"/>
                <w:szCs w:val="20"/>
                <w:lang w:val="fr-CA"/>
              </w:rPr>
              <w:tab/>
            </w:r>
            <w:r w:rsidR="005F5E4E" w:rsidRPr="00934572">
              <w:rPr>
                <w:sz w:val="20"/>
                <w:szCs w:val="20"/>
                <w:lang w:val="fr-CA"/>
              </w:rPr>
              <w:t>Nancy Ménard-Cheng</w:t>
            </w:r>
          </w:p>
          <w:p w:rsidR="00734E15" w:rsidRPr="005F5E4E" w:rsidRDefault="00734E15" w:rsidP="005F5E4E">
            <w:pPr>
              <w:tabs>
                <w:tab w:val="left" w:pos="-1440"/>
                <w:tab w:val="left" w:pos="-720"/>
              </w:tabs>
              <w:rPr>
                <w:sz w:val="20"/>
                <w:szCs w:val="20"/>
              </w:rPr>
            </w:pPr>
            <w:r w:rsidRPr="00934572">
              <w:rPr>
                <w:sz w:val="20"/>
                <w:szCs w:val="20"/>
                <w:lang w:val="fr-CA"/>
              </w:rPr>
              <w:tab/>
            </w:r>
            <w:r w:rsidR="005F5E4E" w:rsidRPr="005F5E4E">
              <w:rPr>
                <w:sz w:val="20"/>
                <w:szCs w:val="20"/>
              </w:rPr>
              <w:t>Norton Rose Canada LLP</w:t>
            </w:r>
          </w:p>
          <w:p w:rsidR="00734E15" w:rsidRPr="005F5E4E" w:rsidRDefault="00734E15" w:rsidP="005F5E4E">
            <w:pPr>
              <w:tabs>
                <w:tab w:val="left" w:pos="-1440"/>
                <w:tab w:val="left" w:pos="-720"/>
              </w:tabs>
              <w:rPr>
                <w:sz w:val="20"/>
                <w:szCs w:val="20"/>
              </w:rPr>
            </w:pPr>
          </w:p>
          <w:p w:rsidR="00734E15" w:rsidRPr="005F5E4E" w:rsidRDefault="00734E15" w:rsidP="005F5E4E">
            <w:pPr>
              <w:rPr>
                <w:sz w:val="20"/>
                <w:szCs w:val="20"/>
                <w:lang w:val="fr-CA"/>
              </w:rPr>
            </w:pPr>
            <w:r w:rsidRPr="005F5E4E">
              <w:rPr>
                <w:sz w:val="20"/>
                <w:szCs w:val="20"/>
                <w:lang w:val="fr-CA"/>
              </w:rPr>
              <w:t>DATE</w:t>
            </w:r>
            <w:r w:rsidR="005F5E4E">
              <w:rPr>
                <w:sz w:val="20"/>
                <w:szCs w:val="20"/>
                <w:lang w:val="fr-CA"/>
              </w:rPr>
              <w:t xml:space="preserve"> DE PRODUCTION </w:t>
            </w:r>
            <w:r w:rsidRPr="005F5E4E">
              <w:rPr>
                <w:sz w:val="20"/>
                <w:szCs w:val="20"/>
                <w:lang w:val="fr-CA"/>
              </w:rPr>
              <w:t xml:space="preserve">: </w:t>
            </w:r>
            <w:r w:rsidR="005F5E4E">
              <w:rPr>
                <w:sz w:val="20"/>
                <w:szCs w:val="20"/>
                <w:lang w:val="fr-CA"/>
              </w:rPr>
              <w:t>31</w:t>
            </w:r>
            <w:r w:rsidRPr="005F5E4E">
              <w:rPr>
                <w:sz w:val="20"/>
                <w:szCs w:val="20"/>
                <w:lang w:val="fr-CA"/>
              </w:rPr>
              <w:t>.0</w:t>
            </w:r>
            <w:r w:rsidR="005F5E4E">
              <w:rPr>
                <w:sz w:val="20"/>
                <w:szCs w:val="20"/>
                <w:lang w:val="fr-CA"/>
              </w:rPr>
              <w:t>1</w:t>
            </w:r>
            <w:r w:rsidRPr="005F5E4E">
              <w:rPr>
                <w:sz w:val="20"/>
                <w:szCs w:val="20"/>
                <w:lang w:val="fr-CA"/>
              </w:rPr>
              <w:t>.2013</w:t>
            </w:r>
          </w:p>
          <w:p w:rsidR="00734E15" w:rsidRPr="005F5E4E" w:rsidRDefault="003F21C7" w:rsidP="005F5E4E">
            <w:pPr>
              <w:rPr>
                <w:sz w:val="20"/>
                <w:szCs w:val="20"/>
                <w:lang w:val="fr-CA"/>
              </w:rPr>
            </w:pPr>
            <w:r w:rsidRPr="003F21C7">
              <w:rPr>
                <w:sz w:val="20"/>
                <w:szCs w:val="20"/>
                <w:lang w:val="fr-CA"/>
              </w:rPr>
              <w:pict>
                <v:rect id="_x0000_i1027" style="width:108pt;height:1pt" o:hrpct="0" o:hralign="center" o:hrstd="t" o:hrnoshade="t" o:hr="t" fillcolor="black [3213]" stroked="f"/>
              </w:pict>
            </w:r>
          </w:p>
        </w:tc>
        <w:tc>
          <w:tcPr>
            <w:tcW w:w="1181" w:type="dxa"/>
            <w:shd w:val="clear" w:color="auto" w:fill="auto"/>
          </w:tcPr>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tc>
        <w:tc>
          <w:tcPr>
            <w:tcW w:w="4320" w:type="dxa"/>
            <w:shd w:val="clear" w:color="auto" w:fill="auto"/>
          </w:tcPr>
          <w:p w:rsidR="00734E15" w:rsidRPr="00934572" w:rsidRDefault="005F5E4E" w:rsidP="005F5E4E">
            <w:pPr>
              <w:keepNext/>
              <w:keepLines/>
              <w:tabs>
                <w:tab w:val="left" w:pos="-1440"/>
                <w:tab w:val="left" w:pos="-720"/>
              </w:tabs>
              <w:rPr>
                <w:b/>
                <w:sz w:val="20"/>
                <w:szCs w:val="20"/>
              </w:rPr>
            </w:pPr>
            <w:r w:rsidRPr="00934572">
              <w:rPr>
                <w:b/>
                <w:sz w:val="20"/>
                <w:szCs w:val="20"/>
              </w:rPr>
              <w:t>Freda Schnabel</w:t>
            </w:r>
          </w:p>
          <w:p w:rsidR="00734E15" w:rsidRPr="00934572" w:rsidRDefault="00734E15" w:rsidP="005F5E4E">
            <w:pPr>
              <w:keepNext/>
              <w:keepLines/>
              <w:tabs>
                <w:tab w:val="left" w:pos="-1440"/>
                <w:tab w:val="left" w:pos="-720"/>
              </w:tabs>
              <w:rPr>
                <w:sz w:val="20"/>
                <w:szCs w:val="20"/>
              </w:rPr>
            </w:pPr>
            <w:r w:rsidRPr="00934572">
              <w:rPr>
                <w:sz w:val="20"/>
                <w:szCs w:val="20"/>
              </w:rPr>
              <w:tab/>
            </w:r>
            <w:r w:rsidR="005F5E4E" w:rsidRPr="00934572">
              <w:rPr>
                <w:sz w:val="20"/>
                <w:szCs w:val="20"/>
              </w:rPr>
              <w:t>Freda Schnabel</w:t>
            </w:r>
          </w:p>
          <w:p w:rsidR="00734E15" w:rsidRPr="00934572" w:rsidRDefault="00734E15" w:rsidP="005F5E4E">
            <w:pPr>
              <w:keepNext/>
              <w:keepLines/>
              <w:tabs>
                <w:tab w:val="left" w:pos="-1440"/>
                <w:tab w:val="left" w:pos="-720"/>
              </w:tabs>
              <w:rPr>
                <w:sz w:val="20"/>
                <w:szCs w:val="20"/>
              </w:rPr>
            </w:pPr>
          </w:p>
          <w:p w:rsidR="00734E15" w:rsidRPr="005F5E4E" w:rsidRDefault="00734E15" w:rsidP="005F5E4E">
            <w:pPr>
              <w:keepNext/>
              <w:keepLines/>
              <w:tabs>
                <w:tab w:val="left" w:pos="-1440"/>
                <w:tab w:val="left" w:pos="-720"/>
              </w:tabs>
              <w:rPr>
                <w:sz w:val="20"/>
                <w:szCs w:val="20"/>
              </w:rPr>
            </w:pPr>
            <w:r w:rsidRPr="00934572">
              <w:rPr>
                <w:sz w:val="20"/>
                <w:szCs w:val="20"/>
              </w:rPr>
              <w:tab/>
            </w:r>
            <w:r w:rsidRPr="005F5E4E">
              <w:rPr>
                <w:sz w:val="20"/>
                <w:szCs w:val="20"/>
              </w:rPr>
              <w:t>v. (35</w:t>
            </w:r>
            <w:r w:rsidR="005F5E4E">
              <w:rPr>
                <w:sz w:val="20"/>
                <w:szCs w:val="20"/>
              </w:rPr>
              <w:t>224</w:t>
            </w:r>
            <w:r w:rsidRPr="005F5E4E">
              <w:rPr>
                <w:sz w:val="20"/>
                <w:szCs w:val="20"/>
              </w:rPr>
              <w:t>)</w:t>
            </w:r>
          </w:p>
          <w:p w:rsidR="00734E15" w:rsidRPr="005F5E4E" w:rsidRDefault="00734E15" w:rsidP="005F5E4E">
            <w:pPr>
              <w:keepNext/>
              <w:keepLines/>
              <w:tabs>
                <w:tab w:val="left" w:pos="-1440"/>
                <w:tab w:val="left" w:pos="-720"/>
              </w:tabs>
              <w:rPr>
                <w:sz w:val="20"/>
                <w:szCs w:val="20"/>
              </w:rPr>
            </w:pPr>
          </w:p>
          <w:p w:rsidR="00734E15" w:rsidRPr="005F5E4E" w:rsidRDefault="005F5E4E" w:rsidP="005F5E4E">
            <w:pPr>
              <w:keepNext/>
              <w:keepLines/>
              <w:tabs>
                <w:tab w:val="left" w:pos="-1440"/>
                <w:tab w:val="left" w:pos="-720"/>
              </w:tabs>
              <w:rPr>
                <w:b/>
                <w:sz w:val="20"/>
                <w:szCs w:val="20"/>
              </w:rPr>
            </w:pPr>
            <w:r>
              <w:rPr>
                <w:b/>
                <w:sz w:val="20"/>
                <w:szCs w:val="20"/>
              </w:rPr>
              <w:t xml:space="preserve">Tiffany Towers Condominium Association </w:t>
            </w:r>
            <w:r w:rsidR="00734E15" w:rsidRPr="005F5E4E">
              <w:rPr>
                <w:b/>
                <w:sz w:val="20"/>
                <w:szCs w:val="20"/>
              </w:rPr>
              <w:t>(</w:t>
            </w:r>
            <w:r>
              <w:rPr>
                <w:b/>
                <w:sz w:val="20"/>
                <w:szCs w:val="20"/>
              </w:rPr>
              <w:t>Que</w:t>
            </w:r>
            <w:r w:rsidR="00734E15" w:rsidRPr="005F5E4E">
              <w:rPr>
                <w:b/>
                <w:sz w:val="20"/>
                <w:szCs w:val="20"/>
              </w:rPr>
              <w:t>.)</w:t>
            </w:r>
          </w:p>
          <w:p w:rsidR="00734E15" w:rsidRPr="005F5E4E" w:rsidRDefault="00734E15" w:rsidP="005F5E4E">
            <w:pPr>
              <w:keepNext/>
              <w:keepLines/>
              <w:tabs>
                <w:tab w:val="left" w:pos="-1440"/>
                <w:tab w:val="left" w:pos="-720"/>
              </w:tabs>
              <w:rPr>
                <w:sz w:val="20"/>
                <w:szCs w:val="20"/>
              </w:rPr>
            </w:pPr>
            <w:r w:rsidRPr="005F5E4E">
              <w:rPr>
                <w:sz w:val="20"/>
                <w:szCs w:val="20"/>
              </w:rPr>
              <w:tab/>
            </w:r>
            <w:r w:rsidR="005F5E4E">
              <w:rPr>
                <w:sz w:val="20"/>
                <w:szCs w:val="20"/>
              </w:rPr>
              <w:t>Charles-Justin Nichols</w:t>
            </w:r>
          </w:p>
          <w:p w:rsidR="00734E15" w:rsidRPr="005F5E4E" w:rsidRDefault="00734E15" w:rsidP="005F5E4E">
            <w:pPr>
              <w:keepNext/>
              <w:keepLines/>
              <w:tabs>
                <w:tab w:val="left" w:pos="-1440"/>
                <w:tab w:val="left" w:pos="-720"/>
              </w:tabs>
              <w:rPr>
                <w:sz w:val="20"/>
                <w:szCs w:val="20"/>
              </w:rPr>
            </w:pPr>
          </w:p>
          <w:p w:rsidR="00734E15" w:rsidRPr="00A935AA" w:rsidRDefault="00734E15" w:rsidP="005F5E4E">
            <w:pPr>
              <w:rPr>
                <w:sz w:val="20"/>
                <w:szCs w:val="20"/>
              </w:rPr>
            </w:pPr>
            <w:r w:rsidRPr="00A935AA">
              <w:rPr>
                <w:sz w:val="20"/>
                <w:szCs w:val="20"/>
              </w:rPr>
              <w:t xml:space="preserve">FILING DATE: </w:t>
            </w:r>
            <w:r>
              <w:rPr>
                <w:sz w:val="20"/>
                <w:szCs w:val="20"/>
              </w:rPr>
              <w:t>0</w:t>
            </w:r>
            <w:r w:rsidR="005F5E4E">
              <w:rPr>
                <w:sz w:val="20"/>
                <w:szCs w:val="20"/>
              </w:rPr>
              <w:t>8</w:t>
            </w:r>
            <w:r w:rsidRPr="00A935AA">
              <w:rPr>
                <w:sz w:val="20"/>
                <w:szCs w:val="20"/>
              </w:rPr>
              <w:t>.0</w:t>
            </w:r>
            <w:r>
              <w:rPr>
                <w:sz w:val="20"/>
                <w:szCs w:val="20"/>
              </w:rPr>
              <w:t>2</w:t>
            </w:r>
            <w:r w:rsidRPr="00A935AA">
              <w:rPr>
                <w:sz w:val="20"/>
                <w:szCs w:val="20"/>
              </w:rPr>
              <w:t>.201</w:t>
            </w:r>
            <w:r>
              <w:rPr>
                <w:sz w:val="20"/>
                <w:szCs w:val="20"/>
              </w:rPr>
              <w:t>3</w:t>
            </w:r>
            <w:r w:rsidR="003F21C7" w:rsidRPr="003F21C7">
              <w:rPr>
                <w:sz w:val="20"/>
                <w:szCs w:val="20"/>
                <w:lang w:val="fr-CA"/>
              </w:rPr>
              <w:pict>
                <v:rect id="_x0000_i1028" style="width:108pt;height:1pt" o:hrpct="0" o:hralign="center" o:hrstd="t" o:hrnoshade="t" o:hr="t" fillcolor="black [3213]" stroked="f"/>
              </w:pict>
            </w:r>
          </w:p>
        </w:tc>
      </w:tr>
      <w:tr w:rsidR="00734E15" w:rsidRPr="005F5E4E" w:rsidTr="003B3977">
        <w:tc>
          <w:tcPr>
            <w:tcW w:w="4320" w:type="dxa"/>
            <w:shd w:val="clear" w:color="auto" w:fill="auto"/>
          </w:tcPr>
          <w:p w:rsidR="00734E15" w:rsidRPr="00A935AA" w:rsidRDefault="005F5E4E" w:rsidP="005F5E4E">
            <w:pPr>
              <w:rPr>
                <w:b/>
                <w:sz w:val="20"/>
                <w:szCs w:val="20"/>
              </w:rPr>
            </w:pPr>
            <w:r>
              <w:rPr>
                <w:b/>
                <w:sz w:val="20"/>
                <w:szCs w:val="20"/>
              </w:rPr>
              <w:t>National Automobile, Aerospace</w:t>
            </w:r>
            <w:r w:rsidR="00B632A9">
              <w:rPr>
                <w:b/>
                <w:sz w:val="20"/>
                <w:szCs w:val="20"/>
              </w:rPr>
              <w:t xml:space="preserve">, </w:t>
            </w:r>
            <w:r>
              <w:rPr>
                <w:b/>
                <w:sz w:val="20"/>
                <w:szCs w:val="20"/>
              </w:rPr>
              <w:t>Transportation and General Workers Union of Canada (CAW-Canada) and its Local 114</w:t>
            </w:r>
          </w:p>
          <w:p w:rsidR="00734E15" w:rsidRPr="00A935AA" w:rsidRDefault="00734E15" w:rsidP="005F5E4E">
            <w:pPr>
              <w:tabs>
                <w:tab w:val="left" w:pos="-1440"/>
                <w:tab w:val="left" w:pos="-720"/>
              </w:tabs>
              <w:rPr>
                <w:sz w:val="20"/>
                <w:szCs w:val="20"/>
              </w:rPr>
            </w:pPr>
            <w:r w:rsidRPr="00A935AA">
              <w:rPr>
                <w:sz w:val="20"/>
                <w:szCs w:val="20"/>
              </w:rPr>
              <w:tab/>
            </w:r>
            <w:r w:rsidR="005F5E4E">
              <w:rPr>
                <w:sz w:val="20"/>
                <w:szCs w:val="20"/>
              </w:rPr>
              <w:t>Peter R. Shklanka</w:t>
            </w:r>
          </w:p>
          <w:p w:rsidR="00734E15" w:rsidRPr="00A935AA" w:rsidRDefault="00734E15" w:rsidP="005F5E4E">
            <w:pPr>
              <w:tabs>
                <w:tab w:val="left" w:pos="-1440"/>
                <w:tab w:val="left" w:pos="-720"/>
              </w:tabs>
              <w:rPr>
                <w:sz w:val="20"/>
                <w:szCs w:val="20"/>
              </w:rPr>
            </w:pPr>
            <w:r w:rsidRPr="00A935AA">
              <w:rPr>
                <w:sz w:val="20"/>
                <w:szCs w:val="20"/>
              </w:rPr>
              <w:tab/>
            </w:r>
            <w:r w:rsidR="005F5E4E">
              <w:rPr>
                <w:sz w:val="20"/>
                <w:szCs w:val="20"/>
              </w:rPr>
              <w:t>Kestrel Workplace Legal Counsel LLP</w:t>
            </w:r>
          </w:p>
          <w:p w:rsidR="00734E15" w:rsidRPr="00A935AA" w:rsidRDefault="00734E15" w:rsidP="005F5E4E">
            <w:pPr>
              <w:tabs>
                <w:tab w:val="left" w:pos="-1440"/>
                <w:tab w:val="left" w:pos="-720"/>
              </w:tabs>
              <w:rPr>
                <w:sz w:val="20"/>
                <w:szCs w:val="20"/>
              </w:rPr>
            </w:pPr>
          </w:p>
          <w:p w:rsidR="00734E15" w:rsidRPr="00A935AA" w:rsidRDefault="00734E15" w:rsidP="005F5E4E">
            <w:pPr>
              <w:tabs>
                <w:tab w:val="left" w:pos="-1440"/>
                <w:tab w:val="left" w:pos="-720"/>
              </w:tabs>
              <w:rPr>
                <w:sz w:val="20"/>
                <w:szCs w:val="20"/>
              </w:rPr>
            </w:pPr>
            <w:r w:rsidRPr="00A935AA">
              <w:rPr>
                <w:sz w:val="20"/>
                <w:szCs w:val="20"/>
              </w:rPr>
              <w:tab/>
              <w:t>v. (3</w:t>
            </w:r>
            <w:r>
              <w:rPr>
                <w:sz w:val="20"/>
                <w:szCs w:val="20"/>
              </w:rPr>
              <w:t>5</w:t>
            </w:r>
            <w:r w:rsidR="005F5E4E">
              <w:rPr>
                <w:sz w:val="20"/>
                <w:szCs w:val="20"/>
              </w:rPr>
              <w:t>213</w:t>
            </w:r>
            <w:r w:rsidRPr="00A935AA">
              <w:rPr>
                <w:sz w:val="20"/>
                <w:szCs w:val="20"/>
              </w:rPr>
              <w:t>)</w:t>
            </w:r>
          </w:p>
          <w:p w:rsidR="00734E15" w:rsidRPr="00A935AA" w:rsidRDefault="00734E15" w:rsidP="005F5E4E">
            <w:pPr>
              <w:tabs>
                <w:tab w:val="left" w:pos="-1440"/>
                <w:tab w:val="left" w:pos="-720"/>
              </w:tabs>
              <w:rPr>
                <w:sz w:val="20"/>
                <w:szCs w:val="20"/>
              </w:rPr>
            </w:pPr>
          </w:p>
          <w:p w:rsidR="00734E15" w:rsidRPr="00A935AA" w:rsidRDefault="005F5E4E" w:rsidP="005F5E4E">
            <w:pPr>
              <w:tabs>
                <w:tab w:val="left" w:pos="-1440"/>
                <w:tab w:val="left" w:pos="-720"/>
              </w:tabs>
              <w:rPr>
                <w:b/>
                <w:sz w:val="20"/>
                <w:szCs w:val="20"/>
              </w:rPr>
            </w:pPr>
            <w:r>
              <w:rPr>
                <w:b/>
                <w:sz w:val="20"/>
                <w:szCs w:val="20"/>
              </w:rPr>
              <w:t xml:space="preserve">Pacific Coach Lines Ltd. et al. </w:t>
            </w:r>
            <w:r w:rsidR="00734E15" w:rsidRPr="00A935AA">
              <w:rPr>
                <w:b/>
                <w:sz w:val="20"/>
                <w:szCs w:val="20"/>
              </w:rPr>
              <w:t>(</w:t>
            </w:r>
            <w:r>
              <w:rPr>
                <w:b/>
                <w:sz w:val="20"/>
                <w:szCs w:val="20"/>
              </w:rPr>
              <w:t>F</w:t>
            </w:r>
            <w:r w:rsidR="00734E15" w:rsidRPr="00A935AA">
              <w:rPr>
                <w:b/>
                <w:sz w:val="20"/>
                <w:szCs w:val="20"/>
              </w:rPr>
              <w:t>.C.)</w:t>
            </w:r>
          </w:p>
          <w:p w:rsidR="00734E15" w:rsidRPr="00A935AA" w:rsidRDefault="00734E15" w:rsidP="005F5E4E">
            <w:pPr>
              <w:tabs>
                <w:tab w:val="left" w:pos="-1440"/>
                <w:tab w:val="left" w:pos="-720"/>
              </w:tabs>
              <w:rPr>
                <w:sz w:val="20"/>
                <w:szCs w:val="20"/>
              </w:rPr>
            </w:pPr>
            <w:r w:rsidRPr="00A935AA">
              <w:rPr>
                <w:sz w:val="20"/>
                <w:szCs w:val="20"/>
              </w:rPr>
              <w:tab/>
            </w:r>
            <w:r w:rsidR="005F5E4E">
              <w:rPr>
                <w:sz w:val="20"/>
                <w:szCs w:val="20"/>
              </w:rPr>
              <w:t>Nazeer T. Mitha</w:t>
            </w:r>
          </w:p>
          <w:p w:rsidR="00734E15" w:rsidRPr="00A935AA" w:rsidRDefault="00734E15" w:rsidP="005F5E4E">
            <w:pPr>
              <w:tabs>
                <w:tab w:val="left" w:pos="-1440"/>
                <w:tab w:val="left" w:pos="-720"/>
              </w:tabs>
              <w:rPr>
                <w:sz w:val="20"/>
                <w:szCs w:val="20"/>
              </w:rPr>
            </w:pPr>
            <w:r w:rsidRPr="00A935AA">
              <w:rPr>
                <w:sz w:val="20"/>
                <w:szCs w:val="20"/>
              </w:rPr>
              <w:tab/>
            </w:r>
            <w:r w:rsidR="005F5E4E">
              <w:rPr>
                <w:sz w:val="20"/>
                <w:szCs w:val="20"/>
              </w:rPr>
              <w:t>Harris &amp; Company</w:t>
            </w:r>
          </w:p>
          <w:p w:rsidR="00734E15" w:rsidRPr="00A935AA" w:rsidRDefault="00734E15" w:rsidP="005F5E4E">
            <w:pPr>
              <w:tabs>
                <w:tab w:val="left" w:pos="-1440"/>
                <w:tab w:val="left" w:pos="-720"/>
              </w:tabs>
              <w:rPr>
                <w:sz w:val="20"/>
                <w:szCs w:val="20"/>
              </w:rPr>
            </w:pPr>
          </w:p>
          <w:p w:rsidR="00734E15" w:rsidRPr="00A935AA" w:rsidRDefault="00734E15" w:rsidP="005F5E4E">
            <w:pPr>
              <w:rPr>
                <w:sz w:val="20"/>
                <w:szCs w:val="20"/>
              </w:rPr>
            </w:pPr>
            <w:r w:rsidRPr="00A935AA">
              <w:rPr>
                <w:sz w:val="20"/>
                <w:szCs w:val="20"/>
              </w:rPr>
              <w:t xml:space="preserve">FILING DATE: </w:t>
            </w:r>
            <w:r>
              <w:rPr>
                <w:sz w:val="20"/>
                <w:szCs w:val="20"/>
              </w:rPr>
              <w:t>0</w:t>
            </w:r>
            <w:r w:rsidR="005F5E4E">
              <w:rPr>
                <w:sz w:val="20"/>
                <w:szCs w:val="20"/>
              </w:rPr>
              <w:t>6</w:t>
            </w:r>
            <w:r w:rsidRPr="00A935AA">
              <w:rPr>
                <w:sz w:val="20"/>
                <w:szCs w:val="20"/>
              </w:rPr>
              <w:t>.0</w:t>
            </w:r>
            <w:r>
              <w:rPr>
                <w:sz w:val="20"/>
                <w:szCs w:val="20"/>
              </w:rPr>
              <w:t>2</w:t>
            </w:r>
            <w:r w:rsidRPr="00A935AA">
              <w:rPr>
                <w:sz w:val="20"/>
                <w:szCs w:val="20"/>
              </w:rPr>
              <w:t>.201</w:t>
            </w:r>
            <w:r>
              <w:rPr>
                <w:sz w:val="20"/>
                <w:szCs w:val="20"/>
              </w:rPr>
              <w:t>3</w:t>
            </w:r>
          </w:p>
          <w:p w:rsidR="00734E15" w:rsidRPr="00A935AA" w:rsidRDefault="003F21C7" w:rsidP="005F5E4E">
            <w:pPr>
              <w:rPr>
                <w:sz w:val="20"/>
                <w:szCs w:val="20"/>
              </w:rPr>
            </w:pPr>
            <w:r w:rsidRPr="003F21C7">
              <w:rPr>
                <w:sz w:val="20"/>
                <w:szCs w:val="20"/>
                <w:lang w:val="fr-CA"/>
              </w:rPr>
              <w:pict>
                <v:rect id="_x0000_i1029" style="width:108pt;height:1pt" o:hrpct="0" o:hralign="center" o:hrstd="t" o:hrnoshade="t" o:hr="t" fillcolor="black [3213]" stroked="f"/>
              </w:pict>
            </w:r>
          </w:p>
        </w:tc>
        <w:tc>
          <w:tcPr>
            <w:tcW w:w="1181" w:type="dxa"/>
            <w:shd w:val="clear" w:color="auto" w:fill="auto"/>
          </w:tcPr>
          <w:p w:rsidR="00734E15" w:rsidRPr="00A935AA" w:rsidRDefault="00734E15" w:rsidP="00242AEE">
            <w:pPr>
              <w:jc w:val="center"/>
              <w:rPr>
                <w:sz w:val="20"/>
                <w:szCs w:val="20"/>
              </w:rPr>
            </w:pPr>
          </w:p>
          <w:p w:rsidR="00734E15" w:rsidRPr="00A935AA" w:rsidRDefault="00734E15" w:rsidP="00242AEE">
            <w:pPr>
              <w:jc w:val="center"/>
              <w:rPr>
                <w:sz w:val="20"/>
                <w:szCs w:val="20"/>
              </w:rPr>
            </w:pPr>
          </w:p>
          <w:p w:rsidR="00734E15" w:rsidRPr="00A935AA" w:rsidRDefault="00734E15" w:rsidP="00242AEE">
            <w:pPr>
              <w:jc w:val="center"/>
              <w:rPr>
                <w:sz w:val="20"/>
                <w:szCs w:val="20"/>
              </w:rPr>
            </w:pPr>
          </w:p>
          <w:p w:rsidR="00734E15" w:rsidRPr="00A935AA" w:rsidRDefault="00734E15" w:rsidP="00242AEE">
            <w:pPr>
              <w:jc w:val="center"/>
              <w:rPr>
                <w:sz w:val="20"/>
                <w:szCs w:val="20"/>
              </w:rPr>
            </w:pPr>
          </w:p>
          <w:p w:rsidR="00734E15" w:rsidRPr="00A935AA" w:rsidRDefault="00734E15" w:rsidP="00242AEE">
            <w:pPr>
              <w:jc w:val="center"/>
              <w:rPr>
                <w:sz w:val="20"/>
                <w:szCs w:val="20"/>
              </w:rPr>
            </w:pPr>
          </w:p>
          <w:p w:rsidR="00734E15" w:rsidRPr="00A935AA" w:rsidRDefault="00734E15" w:rsidP="00242AEE">
            <w:pPr>
              <w:jc w:val="center"/>
              <w:rPr>
                <w:sz w:val="20"/>
                <w:szCs w:val="20"/>
              </w:rPr>
            </w:pPr>
          </w:p>
          <w:p w:rsidR="00734E15" w:rsidRPr="00A935AA" w:rsidRDefault="00734E15" w:rsidP="00242AEE">
            <w:pPr>
              <w:jc w:val="center"/>
              <w:rPr>
                <w:sz w:val="20"/>
                <w:szCs w:val="20"/>
              </w:rPr>
            </w:pPr>
          </w:p>
          <w:p w:rsidR="00734E15" w:rsidRPr="00A935AA" w:rsidRDefault="00734E15" w:rsidP="00242AEE">
            <w:pPr>
              <w:jc w:val="center"/>
              <w:rPr>
                <w:sz w:val="20"/>
                <w:szCs w:val="20"/>
              </w:rPr>
            </w:pPr>
          </w:p>
          <w:p w:rsidR="00734E15" w:rsidRPr="00A935AA" w:rsidRDefault="00734E15" w:rsidP="00242AEE">
            <w:pPr>
              <w:jc w:val="center"/>
              <w:rPr>
                <w:sz w:val="20"/>
                <w:szCs w:val="20"/>
              </w:rPr>
            </w:pPr>
          </w:p>
          <w:p w:rsidR="00734E15" w:rsidRDefault="00734E15" w:rsidP="00242AEE">
            <w:pPr>
              <w:jc w:val="center"/>
              <w:rPr>
                <w:sz w:val="20"/>
                <w:szCs w:val="20"/>
              </w:rPr>
            </w:pPr>
          </w:p>
          <w:p w:rsidR="005F5E4E" w:rsidRPr="00A935AA" w:rsidRDefault="005F5E4E" w:rsidP="00242AEE">
            <w:pPr>
              <w:jc w:val="center"/>
              <w:rPr>
                <w:sz w:val="20"/>
                <w:szCs w:val="20"/>
              </w:rPr>
            </w:pPr>
          </w:p>
          <w:p w:rsidR="00734E15" w:rsidRDefault="00734E15" w:rsidP="00242AEE">
            <w:pPr>
              <w:jc w:val="center"/>
              <w:rPr>
                <w:sz w:val="20"/>
                <w:szCs w:val="20"/>
              </w:rPr>
            </w:pPr>
          </w:p>
          <w:p w:rsidR="00734E15" w:rsidRDefault="00734E15" w:rsidP="00242AEE">
            <w:pPr>
              <w:jc w:val="center"/>
              <w:rPr>
                <w:sz w:val="20"/>
                <w:szCs w:val="20"/>
              </w:rPr>
            </w:pPr>
          </w:p>
          <w:p w:rsidR="00734E15" w:rsidRPr="00A935AA" w:rsidRDefault="00734E15" w:rsidP="00242AEE">
            <w:pPr>
              <w:jc w:val="center"/>
              <w:rPr>
                <w:sz w:val="20"/>
                <w:szCs w:val="20"/>
              </w:rPr>
            </w:pPr>
          </w:p>
        </w:tc>
        <w:tc>
          <w:tcPr>
            <w:tcW w:w="4320" w:type="dxa"/>
            <w:shd w:val="clear" w:color="auto" w:fill="auto"/>
          </w:tcPr>
          <w:p w:rsidR="00734E15" w:rsidRPr="005F5E4E" w:rsidRDefault="005F5E4E" w:rsidP="005F5E4E">
            <w:pPr>
              <w:keepNext/>
              <w:keepLines/>
              <w:tabs>
                <w:tab w:val="left" w:pos="-1440"/>
                <w:tab w:val="left" w:pos="-720"/>
              </w:tabs>
              <w:rPr>
                <w:b/>
                <w:sz w:val="20"/>
                <w:szCs w:val="20"/>
                <w:lang w:val="fr-CA"/>
              </w:rPr>
            </w:pPr>
            <w:r w:rsidRPr="005F5E4E">
              <w:rPr>
                <w:b/>
                <w:sz w:val="20"/>
                <w:szCs w:val="20"/>
                <w:lang w:val="fr-CA"/>
              </w:rPr>
              <w:t>Lise Trudel Thibault</w:t>
            </w:r>
          </w:p>
          <w:p w:rsidR="00734E15" w:rsidRPr="005F5E4E" w:rsidRDefault="00734E15" w:rsidP="005F5E4E">
            <w:pPr>
              <w:keepNext/>
              <w:keepLines/>
              <w:tabs>
                <w:tab w:val="left" w:pos="-1440"/>
                <w:tab w:val="left" w:pos="-720"/>
              </w:tabs>
              <w:rPr>
                <w:sz w:val="20"/>
                <w:szCs w:val="20"/>
                <w:lang w:val="fr-CA"/>
              </w:rPr>
            </w:pPr>
            <w:r w:rsidRPr="005F5E4E">
              <w:rPr>
                <w:sz w:val="20"/>
                <w:szCs w:val="20"/>
                <w:lang w:val="fr-CA"/>
              </w:rPr>
              <w:tab/>
            </w:r>
            <w:r w:rsidR="005F5E4E" w:rsidRPr="005F5E4E">
              <w:rPr>
                <w:sz w:val="20"/>
                <w:szCs w:val="20"/>
                <w:lang w:val="fr-CA"/>
              </w:rPr>
              <w:t>Marc Labelle</w:t>
            </w:r>
          </w:p>
          <w:p w:rsidR="00734E15" w:rsidRPr="005F5E4E" w:rsidRDefault="00734E15" w:rsidP="005F5E4E">
            <w:pPr>
              <w:keepNext/>
              <w:keepLines/>
              <w:tabs>
                <w:tab w:val="left" w:pos="-1440"/>
                <w:tab w:val="left" w:pos="-720"/>
              </w:tabs>
              <w:rPr>
                <w:sz w:val="20"/>
                <w:szCs w:val="20"/>
                <w:lang w:val="fr-CA"/>
              </w:rPr>
            </w:pPr>
            <w:r w:rsidRPr="005F5E4E">
              <w:rPr>
                <w:sz w:val="20"/>
                <w:szCs w:val="20"/>
                <w:lang w:val="fr-CA"/>
              </w:rPr>
              <w:tab/>
            </w:r>
            <w:r w:rsidR="005F5E4E" w:rsidRPr="005F5E4E">
              <w:rPr>
                <w:sz w:val="20"/>
                <w:szCs w:val="20"/>
                <w:lang w:val="fr-CA"/>
              </w:rPr>
              <w:t>Labelle, Boudrault, C</w:t>
            </w:r>
            <w:r w:rsidR="005F5E4E">
              <w:rPr>
                <w:sz w:val="20"/>
                <w:szCs w:val="20"/>
                <w:lang w:val="fr-CA"/>
              </w:rPr>
              <w:t>ôté &amp; Associés</w:t>
            </w:r>
          </w:p>
          <w:p w:rsidR="00734E15" w:rsidRPr="005F5E4E" w:rsidRDefault="00734E15" w:rsidP="005F5E4E">
            <w:pPr>
              <w:keepNext/>
              <w:keepLines/>
              <w:tabs>
                <w:tab w:val="left" w:pos="-1440"/>
                <w:tab w:val="left" w:pos="-720"/>
              </w:tabs>
              <w:rPr>
                <w:sz w:val="20"/>
                <w:szCs w:val="20"/>
                <w:lang w:val="fr-CA"/>
              </w:rPr>
            </w:pPr>
          </w:p>
          <w:p w:rsidR="00734E15" w:rsidRPr="005F5E4E" w:rsidRDefault="00734E15" w:rsidP="005F5E4E">
            <w:pPr>
              <w:keepNext/>
              <w:keepLines/>
              <w:tabs>
                <w:tab w:val="left" w:pos="-1440"/>
                <w:tab w:val="left" w:pos="-720"/>
              </w:tabs>
              <w:rPr>
                <w:sz w:val="20"/>
                <w:szCs w:val="20"/>
                <w:lang w:val="fr-CA"/>
              </w:rPr>
            </w:pPr>
            <w:r w:rsidRPr="005F5E4E">
              <w:rPr>
                <w:sz w:val="20"/>
                <w:szCs w:val="20"/>
                <w:lang w:val="fr-CA"/>
              </w:rPr>
              <w:tab/>
            </w:r>
            <w:r w:rsidR="005F5E4E">
              <w:rPr>
                <w:sz w:val="20"/>
                <w:szCs w:val="20"/>
                <w:lang w:val="fr-CA"/>
              </w:rPr>
              <w:t>c</w:t>
            </w:r>
            <w:r w:rsidRPr="005F5E4E">
              <w:rPr>
                <w:sz w:val="20"/>
                <w:szCs w:val="20"/>
                <w:lang w:val="fr-CA"/>
              </w:rPr>
              <w:t>. (35</w:t>
            </w:r>
            <w:r w:rsidR="005F5E4E">
              <w:rPr>
                <w:sz w:val="20"/>
                <w:szCs w:val="20"/>
                <w:lang w:val="fr-CA"/>
              </w:rPr>
              <w:t>223</w:t>
            </w:r>
            <w:r w:rsidRPr="005F5E4E">
              <w:rPr>
                <w:sz w:val="20"/>
                <w:szCs w:val="20"/>
                <w:lang w:val="fr-CA"/>
              </w:rPr>
              <w:t>)</w:t>
            </w:r>
          </w:p>
          <w:p w:rsidR="00734E15" w:rsidRPr="005F5E4E" w:rsidRDefault="00734E15" w:rsidP="005F5E4E">
            <w:pPr>
              <w:keepNext/>
              <w:keepLines/>
              <w:tabs>
                <w:tab w:val="left" w:pos="-1440"/>
                <w:tab w:val="left" w:pos="-720"/>
              </w:tabs>
              <w:rPr>
                <w:sz w:val="20"/>
                <w:szCs w:val="20"/>
                <w:lang w:val="fr-CA"/>
              </w:rPr>
            </w:pPr>
          </w:p>
          <w:p w:rsidR="00734E15" w:rsidRPr="005F5E4E" w:rsidRDefault="005F5E4E" w:rsidP="005F5E4E">
            <w:pPr>
              <w:keepNext/>
              <w:keepLines/>
              <w:tabs>
                <w:tab w:val="left" w:pos="-1440"/>
                <w:tab w:val="left" w:pos="-720"/>
              </w:tabs>
              <w:rPr>
                <w:b/>
                <w:sz w:val="20"/>
                <w:szCs w:val="20"/>
                <w:lang w:val="fr-CA"/>
              </w:rPr>
            </w:pPr>
            <w:r w:rsidRPr="005F5E4E">
              <w:rPr>
                <w:b/>
                <w:sz w:val="20"/>
                <w:szCs w:val="20"/>
                <w:lang w:val="fr-CA"/>
              </w:rPr>
              <w:t xml:space="preserve">Sa Majesté la Reine </w:t>
            </w:r>
            <w:r w:rsidR="00C1221D">
              <w:rPr>
                <w:b/>
                <w:sz w:val="20"/>
                <w:szCs w:val="20"/>
                <w:lang w:val="fr-CA"/>
              </w:rPr>
              <w:t xml:space="preserve">et autre </w:t>
            </w:r>
            <w:r w:rsidR="00734E15" w:rsidRPr="005F5E4E">
              <w:rPr>
                <w:b/>
                <w:sz w:val="20"/>
                <w:szCs w:val="20"/>
                <w:lang w:val="fr-CA"/>
              </w:rPr>
              <w:t>(</w:t>
            </w:r>
            <w:r w:rsidRPr="005F5E4E">
              <w:rPr>
                <w:b/>
                <w:sz w:val="20"/>
                <w:szCs w:val="20"/>
                <w:lang w:val="fr-CA"/>
              </w:rPr>
              <w:t>Qc</w:t>
            </w:r>
            <w:r w:rsidR="00734E15" w:rsidRPr="005F5E4E">
              <w:rPr>
                <w:b/>
                <w:sz w:val="20"/>
                <w:szCs w:val="20"/>
                <w:lang w:val="fr-CA"/>
              </w:rPr>
              <w:t>)</w:t>
            </w:r>
          </w:p>
          <w:p w:rsidR="00734E15" w:rsidRPr="005F5E4E" w:rsidRDefault="00734E15" w:rsidP="005F5E4E">
            <w:pPr>
              <w:keepNext/>
              <w:keepLines/>
              <w:tabs>
                <w:tab w:val="left" w:pos="-1440"/>
                <w:tab w:val="left" w:pos="-720"/>
              </w:tabs>
              <w:rPr>
                <w:sz w:val="20"/>
                <w:szCs w:val="20"/>
                <w:lang w:val="fr-CA"/>
              </w:rPr>
            </w:pPr>
            <w:r w:rsidRPr="005F5E4E">
              <w:rPr>
                <w:sz w:val="20"/>
                <w:szCs w:val="20"/>
                <w:lang w:val="fr-CA"/>
              </w:rPr>
              <w:tab/>
            </w:r>
            <w:r w:rsidR="005F5E4E">
              <w:rPr>
                <w:sz w:val="20"/>
                <w:szCs w:val="20"/>
                <w:lang w:val="fr-CA"/>
              </w:rPr>
              <w:t>Catherine Dumais</w:t>
            </w:r>
          </w:p>
          <w:p w:rsidR="00734E15" w:rsidRPr="005F5E4E" w:rsidRDefault="00734E15" w:rsidP="005F5E4E">
            <w:pPr>
              <w:keepNext/>
              <w:keepLines/>
              <w:tabs>
                <w:tab w:val="left" w:pos="-1440"/>
                <w:tab w:val="left" w:pos="-720"/>
              </w:tabs>
              <w:rPr>
                <w:sz w:val="20"/>
                <w:szCs w:val="20"/>
                <w:lang w:val="fr-CA"/>
              </w:rPr>
            </w:pPr>
            <w:r w:rsidRPr="005F5E4E">
              <w:rPr>
                <w:sz w:val="20"/>
                <w:szCs w:val="20"/>
                <w:lang w:val="fr-CA"/>
              </w:rPr>
              <w:tab/>
            </w:r>
            <w:r w:rsidR="005F5E4E">
              <w:rPr>
                <w:sz w:val="20"/>
                <w:szCs w:val="20"/>
                <w:lang w:val="fr-CA"/>
              </w:rPr>
              <w:t xml:space="preserve">Poursuites criminelles et pénales du </w:t>
            </w:r>
            <w:r w:rsidR="005F5E4E">
              <w:rPr>
                <w:sz w:val="20"/>
                <w:szCs w:val="20"/>
                <w:lang w:val="fr-CA"/>
              </w:rPr>
              <w:tab/>
              <w:t>Québec</w:t>
            </w:r>
          </w:p>
          <w:p w:rsidR="00734E15" w:rsidRPr="005F5E4E" w:rsidRDefault="00734E15" w:rsidP="005F5E4E">
            <w:pPr>
              <w:keepNext/>
              <w:keepLines/>
              <w:tabs>
                <w:tab w:val="left" w:pos="-1440"/>
                <w:tab w:val="left" w:pos="-720"/>
              </w:tabs>
              <w:rPr>
                <w:sz w:val="20"/>
                <w:szCs w:val="20"/>
                <w:lang w:val="fr-CA"/>
              </w:rPr>
            </w:pPr>
          </w:p>
          <w:p w:rsidR="00734E15" w:rsidRPr="005F5E4E" w:rsidRDefault="00734E15" w:rsidP="00C1221D">
            <w:pPr>
              <w:rPr>
                <w:sz w:val="20"/>
                <w:szCs w:val="20"/>
                <w:lang w:val="fr-CA"/>
              </w:rPr>
            </w:pPr>
            <w:r w:rsidRPr="005F5E4E">
              <w:rPr>
                <w:sz w:val="20"/>
                <w:szCs w:val="20"/>
                <w:lang w:val="fr-CA"/>
              </w:rPr>
              <w:t>DATE</w:t>
            </w:r>
            <w:r w:rsidR="00627F9A">
              <w:rPr>
                <w:sz w:val="20"/>
                <w:szCs w:val="20"/>
                <w:lang w:val="fr-CA"/>
              </w:rPr>
              <w:t xml:space="preserve"> DE PRODUCITON </w:t>
            </w:r>
            <w:r w:rsidRPr="005F5E4E">
              <w:rPr>
                <w:sz w:val="20"/>
                <w:szCs w:val="20"/>
                <w:lang w:val="fr-CA"/>
              </w:rPr>
              <w:t xml:space="preserve">: </w:t>
            </w:r>
            <w:r w:rsidR="00C1221D">
              <w:rPr>
                <w:sz w:val="20"/>
                <w:szCs w:val="20"/>
                <w:lang w:val="fr-CA"/>
              </w:rPr>
              <w:t>11</w:t>
            </w:r>
            <w:r w:rsidRPr="005F5E4E">
              <w:rPr>
                <w:sz w:val="20"/>
                <w:szCs w:val="20"/>
                <w:lang w:val="fr-CA"/>
              </w:rPr>
              <w:t>.02.2013</w:t>
            </w:r>
            <w:r w:rsidR="003F21C7" w:rsidRPr="003F21C7">
              <w:rPr>
                <w:sz w:val="20"/>
                <w:szCs w:val="20"/>
                <w:lang w:val="fr-CA"/>
              </w:rPr>
              <w:pict>
                <v:rect id="_x0000_i1030" style="width:108pt;height:1pt" o:hrpct="0" o:hralign="center" o:hrstd="t" o:hrnoshade="t" o:hr="t" fillcolor="black [3213]" stroked="f"/>
              </w:pict>
            </w:r>
          </w:p>
        </w:tc>
      </w:tr>
      <w:tr w:rsidR="00734E15" w:rsidRPr="00627F9A" w:rsidTr="003B3977">
        <w:trPr>
          <w:cantSplit/>
        </w:trPr>
        <w:tc>
          <w:tcPr>
            <w:tcW w:w="4320" w:type="dxa"/>
            <w:shd w:val="clear" w:color="auto" w:fill="auto"/>
          </w:tcPr>
          <w:p w:rsidR="00734E15" w:rsidRPr="00934572" w:rsidRDefault="00734E15" w:rsidP="005F5E4E">
            <w:pPr>
              <w:rPr>
                <w:b/>
                <w:sz w:val="20"/>
                <w:szCs w:val="20"/>
              </w:rPr>
            </w:pPr>
          </w:p>
          <w:p w:rsidR="00627F9A" w:rsidRPr="00934572" w:rsidRDefault="00627F9A" w:rsidP="005F5E4E">
            <w:pPr>
              <w:rPr>
                <w:b/>
                <w:sz w:val="20"/>
                <w:szCs w:val="20"/>
              </w:rPr>
            </w:pPr>
            <w:r w:rsidRPr="00934572">
              <w:rPr>
                <w:b/>
                <w:sz w:val="20"/>
                <w:szCs w:val="20"/>
              </w:rPr>
              <w:t>Erich Chemama</w:t>
            </w:r>
          </w:p>
          <w:p w:rsidR="00734E15" w:rsidRPr="00934572" w:rsidRDefault="00734E15" w:rsidP="005F5E4E">
            <w:pPr>
              <w:tabs>
                <w:tab w:val="left" w:pos="-1440"/>
                <w:tab w:val="left" w:pos="-720"/>
              </w:tabs>
              <w:rPr>
                <w:sz w:val="20"/>
                <w:szCs w:val="20"/>
              </w:rPr>
            </w:pPr>
            <w:r w:rsidRPr="00934572">
              <w:rPr>
                <w:sz w:val="20"/>
                <w:szCs w:val="20"/>
              </w:rPr>
              <w:tab/>
            </w:r>
            <w:r w:rsidR="00627F9A" w:rsidRPr="00934572">
              <w:rPr>
                <w:sz w:val="20"/>
                <w:szCs w:val="20"/>
              </w:rPr>
              <w:t>Erich Chemama</w:t>
            </w:r>
          </w:p>
          <w:p w:rsidR="00734E15" w:rsidRPr="00934572" w:rsidRDefault="00734E15" w:rsidP="005F5E4E">
            <w:pPr>
              <w:tabs>
                <w:tab w:val="left" w:pos="-1440"/>
                <w:tab w:val="left" w:pos="-720"/>
              </w:tabs>
              <w:rPr>
                <w:sz w:val="20"/>
                <w:szCs w:val="20"/>
              </w:rPr>
            </w:pPr>
          </w:p>
          <w:p w:rsidR="00734E15" w:rsidRPr="00627F9A" w:rsidRDefault="00734E15" w:rsidP="005F5E4E">
            <w:pPr>
              <w:tabs>
                <w:tab w:val="left" w:pos="-1440"/>
                <w:tab w:val="left" w:pos="-720"/>
              </w:tabs>
              <w:rPr>
                <w:sz w:val="20"/>
                <w:szCs w:val="20"/>
              </w:rPr>
            </w:pPr>
            <w:r w:rsidRPr="00934572">
              <w:rPr>
                <w:sz w:val="20"/>
                <w:szCs w:val="20"/>
              </w:rPr>
              <w:tab/>
            </w:r>
            <w:r w:rsidRPr="00627F9A">
              <w:rPr>
                <w:sz w:val="20"/>
                <w:szCs w:val="20"/>
              </w:rPr>
              <w:t>v. (35</w:t>
            </w:r>
            <w:r w:rsidR="00627F9A" w:rsidRPr="00627F9A">
              <w:rPr>
                <w:sz w:val="20"/>
                <w:szCs w:val="20"/>
              </w:rPr>
              <w:t>234</w:t>
            </w:r>
            <w:r w:rsidRPr="00627F9A">
              <w:rPr>
                <w:sz w:val="20"/>
                <w:szCs w:val="20"/>
              </w:rPr>
              <w:t>)</w:t>
            </w:r>
          </w:p>
          <w:p w:rsidR="00734E15" w:rsidRPr="00627F9A" w:rsidRDefault="00734E15" w:rsidP="005F5E4E">
            <w:pPr>
              <w:tabs>
                <w:tab w:val="left" w:pos="-1440"/>
                <w:tab w:val="left" w:pos="-720"/>
              </w:tabs>
              <w:rPr>
                <w:sz w:val="20"/>
                <w:szCs w:val="20"/>
              </w:rPr>
            </w:pPr>
          </w:p>
          <w:p w:rsidR="00734E15" w:rsidRPr="00627F9A" w:rsidRDefault="00627F9A" w:rsidP="005F5E4E">
            <w:pPr>
              <w:tabs>
                <w:tab w:val="left" w:pos="-1440"/>
                <w:tab w:val="left" w:pos="-720"/>
              </w:tabs>
              <w:rPr>
                <w:b/>
                <w:sz w:val="20"/>
                <w:szCs w:val="20"/>
              </w:rPr>
            </w:pPr>
            <w:r w:rsidRPr="00627F9A">
              <w:rPr>
                <w:b/>
                <w:sz w:val="20"/>
                <w:szCs w:val="20"/>
              </w:rPr>
              <w:t xml:space="preserve">Her Majesty the Queen </w:t>
            </w:r>
            <w:r w:rsidR="00734E15" w:rsidRPr="00627F9A">
              <w:rPr>
                <w:b/>
                <w:sz w:val="20"/>
                <w:szCs w:val="20"/>
              </w:rPr>
              <w:t>(</w:t>
            </w:r>
            <w:r w:rsidRPr="00627F9A">
              <w:rPr>
                <w:b/>
                <w:sz w:val="20"/>
                <w:szCs w:val="20"/>
              </w:rPr>
              <w:t>Que</w:t>
            </w:r>
            <w:r w:rsidR="00734E15" w:rsidRPr="00627F9A">
              <w:rPr>
                <w:b/>
                <w:sz w:val="20"/>
                <w:szCs w:val="20"/>
              </w:rPr>
              <w:t>.)</w:t>
            </w:r>
          </w:p>
          <w:p w:rsidR="00734E15" w:rsidRPr="00627F9A" w:rsidRDefault="00734E15" w:rsidP="005F5E4E">
            <w:pPr>
              <w:tabs>
                <w:tab w:val="left" w:pos="-1440"/>
                <w:tab w:val="left" w:pos="-720"/>
              </w:tabs>
              <w:rPr>
                <w:sz w:val="20"/>
                <w:szCs w:val="20"/>
                <w:lang w:val="fr-CA"/>
              </w:rPr>
            </w:pPr>
            <w:r w:rsidRPr="00627F9A">
              <w:rPr>
                <w:sz w:val="20"/>
                <w:szCs w:val="20"/>
              </w:rPr>
              <w:tab/>
            </w:r>
            <w:r w:rsidR="00627F9A" w:rsidRPr="00627F9A">
              <w:rPr>
                <w:sz w:val="20"/>
                <w:szCs w:val="20"/>
                <w:lang w:val="fr-CA"/>
              </w:rPr>
              <w:t>Matthew Ferguson</w:t>
            </w:r>
          </w:p>
          <w:p w:rsidR="00734E15" w:rsidRPr="00627F9A" w:rsidRDefault="00734E15" w:rsidP="005F5E4E">
            <w:pPr>
              <w:tabs>
                <w:tab w:val="left" w:pos="-1440"/>
                <w:tab w:val="left" w:pos="-720"/>
              </w:tabs>
              <w:rPr>
                <w:sz w:val="20"/>
                <w:szCs w:val="20"/>
                <w:lang w:val="fr-CA"/>
              </w:rPr>
            </w:pPr>
            <w:r w:rsidRPr="00627F9A">
              <w:rPr>
                <w:sz w:val="20"/>
                <w:szCs w:val="20"/>
                <w:lang w:val="fr-CA"/>
              </w:rPr>
              <w:tab/>
            </w:r>
            <w:r w:rsidR="00627F9A" w:rsidRPr="00627F9A">
              <w:rPr>
                <w:sz w:val="20"/>
                <w:szCs w:val="20"/>
                <w:lang w:val="fr-CA"/>
              </w:rPr>
              <w:t xml:space="preserve">Poursuites criminelles et pénales du </w:t>
            </w:r>
            <w:r w:rsidR="00627F9A" w:rsidRPr="00627F9A">
              <w:rPr>
                <w:sz w:val="20"/>
                <w:szCs w:val="20"/>
                <w:lang w:val="fr-CA"/>
              </w:rPr>
              <w:tab/>
              <w:t>Québec</w:t>
            </w:r>
          </w:p>
          <w:p w:rsidR="00734E15" w:rsidRPr="00627F9A" w:rsidRDefault="00734E15" w:rsidP="005F5E4E">
            <w:pPr>
              <w:tabs>
                <w:tab w:val="left" w:pos="-1440"/>
                <w:tab w:val="left" w:pos="-720"/>
              </w:tabs>
              <w:rPr>
                <w:sz w:val="20"/>
                <w:szCs w:val="20"/>
                <w:lang w:val="fr-CA"/>
              </w:rPr>
            </w:pPr>
          </w:p>
          <w:p w:rsidR="00734E15" w:rsidRPr="005F5E4E" w:rsidRDefault="00734E15" w:rsidP="005F5E4E">
            <w:pPr>
              <w:rPr>
                <w:sz w:val="20"/>
                <w:szCs w:val="20"/>
                <w:lang w:val="fr-CA"/>
              </w:rPr>
            </w:pPr>
            <w:r w:rsidRPr="005F5E4E">
              <w:rPr>
                <w:sz w:val="20"/>
                <w:szCs w:val="20"/>
                <w:lang w:val="fr-CA"/>
              </w:rPr>
              <w:t xml:space="preserve">FILING DATE: </w:t>
            </w:r>
            <w:r w:rsidR="00627F9A">
              <w:rPr>
                <w:sz w:val="20"/>
                <w:szCs w:val="20"/>
                <w:lang w:val="fr-CA"/>
              </w:rPr>
              <w:t>19</w:t>
            </w:r>
            <w:r w:rsidRPr="005F5E4E">
              <w:rPr>
                <w:sz w:val="20"/>
                <w:szCs w:val="20"/>
                <w:lang w:val="fr-CA"/>
              </w:rPr>
              <w:t>.02.2013</w:t>
            </w:r>
          </w:p>
          <w:p w:rsidR="00734E15" w:rsidRPr="005F5E4E" w:rsidRDefault="003F21C7" w:rsidP="005F5E4E">
            <w:pPr>
              <w:rPr>
                <w:sz w:val="20"/>
                <w:szCs w:val="20"/>
                <w:lang w:val="fr-CA"/>
              </w:rPr>
            </w:pPr>
            <w:r w:rsidRPr="003F21C7">
              <w:rPr>
                <w:sz w:val="20"/>
                <w:szCs w:val="20"/>
                <w:lang w:val="fr-CA"/>
              </w:rPr>
              <w:pict>
                <v:rect id="_x0000_i1031" style="width:108pt;height:1pt" o:hrpct="0" o:hralign="center" o:hrstd="t" o:hrnoshade="t" o:hr="t" fillcolor="black [3213]" stroked="f"/>
              </w:pict>
            </w:r>
          </w:p>
        </w:tc>
        <w:tc>
          <w:tcPr>
            <w:tcW w:w="1181" w:type="dxa"/>
            <w:shd w:val="clear" w:color="auto" w:fill="auto"/>
          </w:tcPr>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Pr="005F5E4E" w:rsidRDefault="00734E15" w:rsidP="00242AEE">
            <w:pPr>
              <w:jc w:val="center"/>
              <w:rPr>
                <w:sz w:val="20"/>
                <w:szCs w:val="20"/>
                <w:lang w:val="fr-CA"/>
              </w:rPr>
            </w:pPr>
          </w:p>
          <w:p w:rsidR="00734E15" w:rsidRDefault="00734E15" w:rsidP="00242AEE">
            <w:pPr>
              <w:jc w:val="center"/>
              <w:rPr>
                <w:sz w:val="20"/>
                <w:szCs w:val="20"/>
                <w:lang w:val="fr-CA"/>
              </w:rPr>
            </w:pPr>
          </w:p>
          <w:p w:rsidR="00627F9A" w:rsidRPr="005F5E4E" w:rsidRDefault="00627F9A" w:rsidP="00242AEE">
            <w:pPr>
              <w:jc w:val="center"/>
              <w:rPr>
                <w:sz w:val="20"/>
                <w:szCs w:val="20"/>
                <w:lang w:val="fr-CA"/>
              </w:rPr>
            </w:pPr>
          </w:p>
          <w:p w:rsidR="00734E15" w:rsidRPr="005F5E4E" w:rsidRDefault="00734E15" w:rsidP="00242AEE">
            <w:pPr>
              <w:jc w:val="center"/>
              <w:rPr>
                <w:sz w:val="20"/>
                <w:szCs w:val="20"/>
                <w:lang w:val="fr-CA"/>
              </w:rPr>
            </w:pPr>
          </w:p>
        </w:tc>
        <w:tc>
          <w:tcPr>
            <w:tcW w:w="4320" w:type="dxa"/>
            <w:shd w:val="clear" w:color="auto" w:fill="auto"/>
          </w:tcPr>
          <w:p w:rsidR="00734E15" w:rsidRPr="00934572" w:rsidRDefault="00627F9A" w:rsidP="005F5E4E">
            <w:pPr>
              <w:keepNext/>
              <w:keepLines/>
              <w:tabs>
                <w:tab w:val="left" w:pos="-1440"/>
                <w:tab w:val="left" w:pos="-720"/>
              </w:tabs>
              <w:rPr>
                <w:b/>
                <w:sz w:val="20"/>
                <w:szCs w:val="20"/>
              </w:rPr>
            </w:pPr>
            <w:r w:rsidRPr="00934572">
              <w:rPr>
                <w:b/>
                <w:sz w:val="20"/>
                <w:szCs w:val="20"/>
              </w:rPr>
              <w:t>Johan Viljoen</w:t>
            </w:r>
          </w:p>
          <w:p w:rsidR="00734E15" w:rsidRPr="00934572" w:rsidRDefault="00734E15" w:rsidP="005F5E4E">
            <w:pPr>
              <w:keepNext/>
              <w:keepLines/>
              <w:tabs>
                <w:tab w:val="left" w:pos="-1440"/>
                <w:tab w:val="left" w:pos="-720"/>
              </w:tabs>
              <w:rPr>
                <w:sz w:val="20"/>
                <w:szCs w:val="20"/>
              </w:rPr>
            </w:pPr>
            <w:r w:rsidRPr="00934572">
              <w:rPr>
                <w:sz w:val="20"/>
                <w:szCs w:val="20"/>
              </w:rPr>
              <w:tab/>
            </w:r>
            <w:r w:rsidR="00627F9A" w:rsidRPr="00934572">
              <w:rPr>
                <w:sz w:val="20"/>
                <w:szCs w:val="20"/>
              </w:rPr>
              <w:t>J. Thomas Curry</w:t>
            </w:r>
          </w:p>
          <w:p w:rsidR="00734E15" w:rsidRPr="00627F9A" w:rsidRDefault="00734E15" w:rsidP="005F5E4E">
            <w:pPr>
              <w:keepNext/>
              <w:keepLines/>
              <w:tabs>
                <w:tab w:val="left" w:pos="-1440"/>
                <w:tab w:val="left" w:pos="-720"/>
              </w:tabs>
              <w:rPr>
                <w:sz w:val="20"/>
                <w:szCs w:val="20"/>
              </w:rPr>
            </w:pPr>
            <w:r w:rsidRPr="00934572">
              <w:rPr>
                <w:sz w:val="20"/>
                <w:szCs w:val="20"/>
              </w:rPr>
              <w:tab/>
            </w:r>
            <w:r w:rsidR="00627F9A" w:rsidRPr="00627F9A">
              <w:rPr>
                <w:sz w:val="20"/>
                <w:szCs w:val="20"/>
              </w:rPr>
              <w:t xml:space="preserve">Lenczner Slaght Royce Smith Griffin </w:t>
            </w:r>
            <w:r w:rsidR="00627F9A" w:rsidRPr="00627F9A">
              <w:rPr>
                <w:sz w:val="20"/>
                <w:szCs w:val="20"/>
              </w:rPr>
              <w:tab/>
              <w:t>LLP</w:t>
            </w:r>
          </w:p>
          <w:p w:rsidR="00734E15" w:rsidRPr="00627F9A" w:rsidRDefault="00734E15" w:rsidP="005F5E4E">
            <w:pPr>
              <w:keepNext/>
              <w:keepLines/>
              <w:tabs>
                <w:tab w:val="left" w:pos="-1440"/>
                <w:tab w:val="left" w:pos="-720"/>
              </w:tabs>
              <w:rPr>
                <w:sz w:val="20"/>
                <w:szCs w:val="20"/>
              </w:rPr>
            </w:pPr>
          </w:p>
          <w:p w:rsidR="00734E15" w:rsidRPr="00934572" w:rsidRDefault="00734E15" w:rsidP="005F5E4E">
            <w:pPr>
              <w:keepNext/>
              <w:keepLines/>
              <w:tabs>
                <w:tab w:val="left" w:pos="-1440"/>
                <w:tab w:val="left" w:pos="-720"/>
              </w:tabs>
              <w:rPr>
                <w:sz w:val="20"/>
                <w:szCs w:val="20"/>
                <w:lang w:val="fr-CA"/>
              </w:rPr>
            </w:pPr>
            <w:r w:rsidRPr="00627F9A">
              <w:rPr>
                <w:sz w:val="20"/>
                <w:szCs w:val="20"/>
              </w:rPr>
              <w:tab/>
            </w:r>
            <w:r w:rsidRPr="00934572">
              <w:rPr>
                <w:sz w:val="20"/>
                <w:szCs w:val="20"/>
                <w:lang w:val="fr-CA"/>
              </w:rPr>
              <w:t>v. (35</w:t>
            </w:r>
            <w:r w:rsidR="00627F9A" w:rsidRPr="00934572">
              <w:rPr>
                <w:sz w:val="20"/>
                <w:szCs w:val="20"/>
                <w:lang w:val="fr-CA"/>
              </w:rPr>
              <w:t>230</w:t>
            </w:r>
            <w:r w:rsidRPr="00934572">
              <w:rPr>
                <w:sz w:val="20"/>
                <w:szCs w:val="20"/>
                <w:lang w:val="fr-CA"/>
              </w:rPr>
              <w:t>)</w:t>
            </w:r>
          </w:p>
          <w:p w:rsidR="00734E15" w:rsidRPr="00934572" w:rsidRDefault="00734E15" w:rsidP="005F5E4E">
            <w:pPr>
              <w:keepNext/>
              <w:keepLines/>
              <w:tabs>
                <w:tab w:val="left" w:pos="-1440"/>
                <w:tab w:val="left" w:pos="-720"/>
              </w:tabs>
              <w:rPr>
                <w:sz w:val="20"/>
                <w:szCs w:val="20"/>
                <w:lang w:val="fr-CA"/>
              </w:rPr>
            </w:pPr>
          </w:p>
          <w:p w:rsidR="00734E15" w:rsidRPr="00934572" w:rsidRDefault="00627F9A" w:rsidP="005F5E4E">
            <w:pPr>
              <w:keepNext/>
              <w:keepLines/>
              <w:tabs>
                <w:tab w:val="left" w:pos="-1440"/>
                <w:tab w:val="left" w:pos="-720"/>
              </w:tabs>
              <w:rPr>
                <w:b/>
                <w:sz w:val="20"/>
                <w:szCs w:val="20"/>
              </w:rPr>
            </w:pPr>
            <w:r w:rsidRPr="00627F9A">
              <w:rPr>
                <w:b/>
                <w:sz w:val="20"/>
                <w:szCs w:val="20"/>
                <w:lang w:val="fr-CA"/>
              </w:rPr>
              <w:t xml:space="preserve">Paul Goodman et al. </w:t>
            </w:r>
            <w:r w:rsidR="00734E15" w:rsidRPr="00934572">
              <w:rPr>
                <w:b/>
                <w:sz w:val="20"/>
                <w:szCs w:val="20"/>
              </w:rPr>
              <w:t>(Ont.)</w:t>
            </w:r>
          </w:p>
          <w:p w:rsidR="00734E15" w:rsidRPr="00627F9A" w:rsidRDefault="00734E15" w:rsidP="005F5E4E">
            <w:pPr>
              <w:keepNext/>
              <w:keepLines/>
              <w:tabs>
                <w:tab w:val="left" w:pos="-1440"/>
                <w:tab w:val="left" w:pos="-720"/>
              </w:tabs>
              <w:rPr>
                <w:sz w:val="20"/>
                <w:szCs w:val="20"/>
              </w:rPr>
            </w:pPr>
            <w:r w:rsidRPr="00934572">
              <w:rPr>
                <w:sz w:val="20"/>
                <w:szCs w:val="20"/>
              </w:rPr>
              <w:tab/>
            </w:r>
            <w:r w:rsidR="00627F9A" w:rsidRPr="00627F9A">
              <w:rPr>
                <w:sz w:val="20"/>
                <w:szCs w:val="20"/>
              </w:rPr>
              <w:t>Donald H. Rogers</w:t>
            </w:r>
          </w:p>
          <w:p w:rsidR="00734E15" w:rsidRPr="00627F9A" w:rsidRDefault="00734E15" w:rsidP="005F5E4E">
            <w:pPr>
              <w:keepNext/>
              <w:keepLines/>
              <w:tabs>
                <w:tab w:val="left" w:pos="-1440"/>
                <w:tab w:val="left" w:pos="-720"/>
              </w:tabs>
              <w:rPr>
                <w:sz w:val="20"/>
                <w:szCs w:val="20"/>
              </w:rPr>
            </w:pPr>
            <w:r w:rsidRPr="00627F9A">
              <w:rPr>
                <w:sz w:val="20"/>
                <w:szCs w:val="20"/>
              </w:rPr>
              <w:tab/>
            </w:r>
            <w:r w:rsidR="00627F9A" w:rsidRPr="00627F9A">
              <w:rPr>
                <w:sz w:val="20"/>
                <w:szCs w:val="20"/>
              </w:rPr>
              <w:t>Rogers Partners LLP</w:t>
            </w:r>
          </w:p>
          <w:p w:rsidR="00734E15" w:rsidRPr="00627F9A" w:rsidRDefault="00734E15" w:rsidP="005F5E4E">
            <w:pPr>
              <w:keepNext/>
              <w:keepLines/>
              <w:tabs>
                <w:tab w:val="left" w:pos="-1440"/>
                <w:tab w:val="left" w:pos="-720"/>
              </w:tabs>
              <w:rPr>
                <w:sz w:val="20"/>
                <w:szCs w:val="20"/>
              </w:rPr>
            </w:pPr>
          </w:p>
          <w:p w:rsidR="00734E15" w:rsidRPr="00627F9A" w:rsidRDefault="00734E15" w:rsidP="00627F9A">
            <w:pPr>
              <w:rPr>
                <w:sz w:val="20"/>
                <w:szCs w:val="20"/>
              </w:rPr>
            </w:pPr>
            <w:r w:rsidRPr="00627F9A">
              <w:rPr>
                <w:sz w:val="20"/>
                <w:szCs w:val="20"/>
              </w:rPr>
              <w:t xml:space="preserve">FILING DATE: </w:t>
            </w:r>
            <w:r w:rsidR="00627F9A">
              <w:rPr>
                <w:sz w:val="20"/>
                <w:szCs w:val="20"/>
              </w:rPr>
              <w:t>18</w:t>
            </w:r>
            <w:r w:rsidRPr="00627F9A">
              <w:rPr>
                <w:sz w:val="20"/>
                <w:szCs w:val="20"/>
              </w:rPr>
              <w:t>.02.2013</w:t>
            </w:r>
            <w:r w:rsidR="003F21C7" w:rsidRPr="003F21C7">
              <w:rPr>
                <w:sz w:val="20"/>
                <w:szCs w:val="20"/>
                <w:lang w:val="fr-CA"/>
              </w:rPr>
              <w:pict>
                <v:rect id="_x0000_i1032" style="width:108pt;height:1pt" o:hrpct="0" o:hralign="center" o:hrstd="t" o:hrnoshade="t" o:hr="t" fillcolor="black [3213]" stroked="f"/>
              </w:pict>
            </w:r>
          </w:p>
        </w:tc>
      </w:tr>
      <w:tr w:rsidR="00734E15" w:rsidRPr="00A935AA" w:rsidTr="003B3977">
        <w:trPr>
          <w:cantSplit/>
        </w:trPr>
        <w:tc>
          <w:tcPr>
            <w:tcW w:w="4320" w:type="dxa"/>
            <w:shd w:val="clear" w:color="auto" w:fill="auto"/>
          </w:tcPr>
          <w:p w:rsidR="00734E15" w:rsidRPr="00627F9A" w:rsidRDefault="00627F9A" w:rsidP="005F5E4E">
            <w:pPr>
              <w:rPr>
                <w:b/>
                <w:sz w:val="20"/>
                <w:szCs w:val="20"/>
                <w:lang w:val="fr-CA"/>
              </w:rPr>
            </w:pPr>
            <w:r w:rsidRPr="00627F9A">
              <w:rPr>
                <w:b/>
                <w:sz w:val="20"/>
                <w:szCs w:val="20"/>
                <w:lang w:val="fr-CA"/>
              </w:rPr>
              <w:lastRenderedPageBreak/>
              <w:t>Union des consommateurs et autre</w:t>
            </w:r>
          </w:p>
          <w:p w:rsidR="00734E15" w:rsidRPr="00627F9A" w:rsidRDefault="00734E15" w:rsidP="005F5E4E">
            <w:pPr>
              <w:tabs>
                <w:tab w:val="left" w:pos="-1440"/>
                <w:tab w:val="left" w:pos="-720"/>
              </w:tabs>
              <w:rPr>
                <w:sz w:val="20"/>
                <w:szCs w:val="20"/>
                <w:lang w:val="fr-CA"/>
              </w:rPr>
            </w:pPr>
            <w:r w:rsidRPr="00627F9A">
              <w:rPr>
                <w:sz w:val="20"/>
                <w:szCs w:val="20"/>
                <w:lang w:val="fr-CA"/>
              </w:rPr>
              <w:tab/>
            </w:r>
            <w:r w:rsidR="00627F9A" w:rsidRPr="00627F9A">
              <w:rPr>
                <w:sz w:val="20"/>
                <w:szCs w:val="20"/>
                <w:lang w:val="fr-CA"/>
              </w:rPr>
              <w:t>Fran</w:t>
            </w:r>
            <w:r w:rsidR="00496B07">
              <w:rPr>
                <w:sz w:val="20"/>
                <w:szCs w:val="20"/>
                <w:lang w:val="fr-CA"/>
              </w:rPr>
              <w:t>çois Lebeau</w:t>
            </w:r>
          </w:p>
          <w:p w:rsidR="00734E15" w:rsidRPr="00627F9A" w:rsidRDefault="00734E15" w:rsidP="005F5E4E">
            <w:pPr>
              <w:tabs>
                <w:tab w:val="left" w:pos="-1440"/>
                <w:tab w:val="left" w:pos="-720"/>
              </w:tabs>
              <w:rPr>
                <w:sz w:val="20"/>
                <w:szCs w:val="20"/>
                <w:lang w:val="fr-CA"/>
              </w:rPr>
            </w:pPr>
            <w:r w:rsidRPr="00627F9A">
              <w:rPr>
                <w:sz w:val="20"/>
                <w:szCs w:val="20"/>
                <w:lang w:val="fr-CA"/>
              </w:rPr>
              <w:tab/>
            </w:r>
            <w:r w:rsidR="00627F9A">
              <w:rPr>
                <w:sz w:val="20"/>
                <w:szCs w:val="20"/>
                <w:lang w:val="fr-CA"/>
              </w:rPr>
              <w:t>Unterberg, Labelle,</w:t>
            </w:r>
            <w:r w:rsidR="0074701D">
              <w:rPr>
                <w:sz w:val="20"/>
                <w:szCs w:val="20"/>
                <w:lang w:val="fr-CA"/>
              </w:rPr>
              <w:t xml:space="preserve"> </w:t>
            </w:r>
            <w:r w:rsidR="00627F9A">
              <w:rPr>
                <w:sz w:val="20"/>
                <w:szCs w:val="20"/>
                <w:lang w:val="fr-CA"/>
              </w:rPr>
              <w:t>Lebeau s.e.n.c.</w:t>
            </w:r>
          </w:p>
          <w:p w:rsidR="00734E15" w:rsidRPr="00627F9A" w:rsidRDefault="00734E15" w:rsidP="005F5E4E">
            <w:pPr>
              <w:tabs>
                <w:tab w:val="left" w:pos="-1440"/>
                <w:tab w:val="left" w:pos="-720"/>
              </w:tabs>
              <w:rPr>
                <w:sz w:val="20"/>
                <w:szCs w:val="20"/>
                <w:lang w:val="fr-CA"/>
              </w:rPr>
            </w:pPr>
          </w:p>
          <w:p w:rsidR="00734E15" w:rsidRPr="00934572" w:rsidRDefault="00734E15" w:rsidP="005F5E4E">
            <w:pPr>
              <w:tabs>
                <w:tab w:val="left" w:pos="-1440"/>
                <w:tab w:val="left" w:pos="-720"/>
              </w:tabs>
              <w:rPr>
                <w:sz w:val="20"/>
                <w:szCs w:val="20"/>
                <w:lang w:val="fr-CA"/>
              </w:rPr>
            </w:pPr>
            <w:r w:rsidRPr="00627F9A">
              <w:rPr>
                <w:sz w:val="20"/>
                <w:szCs w:val="20"/>
                <w:lang w:val="fr-CA"/>
              </w:rPr>
              <w:tab/>
            </w:r>
            <w:r w:rsidR="00627F9A" w:rsidRPr="00934572">
              <w:rPr>
                <w:sz w:val="20"/>
                <w:szCs w:val="20"/>
                <w:lang w:val="fr-CA"/>
              </w:rPr>
              <w:t>c</w:t>
            </w:r>
            <w:r w:rsidRPr="00934572">
              <w:rPr>
                <w:sz w:val="20"/>
                <w:szCs w:val="20"/>
                <w:lang w:val="fr-CA"/>
              </w:rPr>
              <w:t>. (35</w:t>
            </w:r>
            <w:r w:rsidR="00627F9A" w:rsidRPr="00934572">
              <w:rPr>
                <w:sz w:val="20"/>
                <w:szCs w:val="20"/>
                <w:lang w:val="fr-CA"/>
              </w:rPr>
              <w:t>232</w:t>
            </w:r>
            <w:r w:rsidRPr="00934572">
              <w:rPr>
                <w:sz w:val="20"/>
                <w:szCs w:val="20"/>
                <w:lang w:val="fr-CA"/>
              </w:rPr>
              <w:t>)</w:t>
            </w:r>
          </w:p>
          <w:p w:rsidR="00734E15" w:rsidRPr="00934572" w:rsidRDefault="00734E15" w:rsidP="005F5E4E">
            <w:pPr>
              <w:tabs>
                <w:tab w:val="left" w:pos="-1440"/>
                <w:tab w:val="left" w:pos="-720"/>
              </w:tabs>
              <w:rPr>
                <w:sz w:val="20"/>
                <w:szCs w:val="20"/>
                <w:lang w:val="fr-CA"/>
              </w:rPr>
            </w:pPr>
          </w:p>
          <w:p w:rsidR="00734E15" w:rsidRPr="00627F9A" w:rsidRDefault="00627F9A" w:rsidP="005F5E4E">
            <w:pPr>
              <w:tabs>
                <w:tab w:val="left" w:pos="-1440"/>
                <w:tab w:val="left" w:pos="-720"/>
              </w:tabs>
              <w:rPr>
                <w:b/>
                <w:sz w:val="20"/>
                <w:szCs w:val="20"/>
                <w:lang w:val="fr-CA"/>
              </w:rPr>
            </w:pPr>
            <w:r w:rsidRPr="00627F9A">
              <w:rPr>
                <w:b/>
                <w:sz w:val="20"/>
                <w:szCs w:val="20"/>
                <w:lang w:val="fr-CA"/>
              </w:rPr>
              <w:t>Vidéotron S.E.</w:t>
            </w:r>
            <w:r>
              <w:rPr>
                <w:b/>
                <w:sz w:val="20"/>
                <w:szCs w:val="20"/>
                <w:lang w:val="fr-CA"/>
              </w:rPr>
              <w:t xml:space="preserve">N.C. </w:t>
            </w:r>
            <w:r w:rsidR="00734E15" w:rsidRPr="00627F9A">
              <w:rPr>
                <w:b/>
                <w:sz w:val="20"/>
                <w:szCs w:val="20"/>
                <w:lang w:val="fr-CA"/>
              </w:rPr>
              <w:t>(</w:t>
            </w:r>
            <w:r>
              <w:rPr>
                <w:b/>
                <w:sz w:val="20"/>
                <w:szCs w:val="20"/>
                <w:lang w:val="fr-CA"/>
              </w:rPr>
              <w:t>Qc</w:t>
            </w:r>
            <w:r w:rsidR="00734E15" w:rsidRPr="00627F9A">
              <w:rPr>
                <w:b/>
                <w:sz w:val="20"/>
                <w:szCs w:val="20"/>
                <w:lang w:val="fr-CA"/>
              </w:rPr>
              <w:t>)</w:t>
            </w:r>
          </w:p>
          <w:p w:rsidR="00734E15" w:rsidRPr="00627F9A" w:rsidRDefault="00734E15" w:rsidP="005F5E4E">
            <w:pPr>
              <w:tabs>
                <w:tab w:val="left" w:pos="-1440"/>
                <w:tab w:val="left" w:pos="-720"/>
              </w:tabs>
              <w:rPr>
                <w:sz w:val="20"/>
                <w:szCs w:val="20"/>
              </w:rPr>
            </w:pPr>
            <w:r w:rsidRPr="00627F9A">
              <w:rPr>
                <w:sz w:val="20"/>
                <w:szCs w:val="20"/>
                <w:lang w:val="fr-CA"/>
              </w:rPr>
              <w:tab/>
            </w:r>
            <w:r w:rsidR="00627F9A" w:rsidRPr="00627F9A">
              <w:rPr>
                <w:sz w:val="20"/>
                <w:szCs w:val="20"/>
              </w:rPr>
              <w:t>Patrick Ouellet</w:t>
            </w:r>
          </w:p>
          <w:p w:rsidR="00734E15" w:rsidRPr="00627F9A" w:rsidRDefault="00734E15" w:rsidP="005F5E4E">
            <w:pPr>
              <w:tabs>
                <w:tab w:val="left" w:pos="-1440"/>
                <w:tab w:val="left" w:pos="-720"/>
              </w:tabs>
              <w:rPr>
                <w:sz w:val="20"/>
                <w:szCs w:val="20"/>
              </w:rPr>
            </w:pPr>
            <w:r w:rsidRPr="00627F9A">
              <w:rPr>
                <w:sz w:val="20"/>
                <w:szCs w:val="20"/>
              </w:rPr>
              <w:tab/>
            </w:r>
            <w:r w:rsidR="00627F9A" w:rsidRPr="00627F9A">
              <w:rPr>
                <w:sz w:val="20"/>
                <w:szCs w:val="20"/>
              </w:rPr>
              <w:t>Woods s.e.n.c.r.l.</w:t>
            </w:r>
          </w:p>
          <w:p w:rsidR="00734E15" w:rsidRPr="00627F9A" w:rsidRDefault="00734E15" w:rsidP="005F5E4E">
            <w:pPr>
              <w:tabs>
                <w:tab w:val="left" w:pos="-1440"/>
                <w:tab w:val="left" w:pos="-720"/>
              </w:tabs>
              <w:rPr>
                <w:sz w:val="20"/>
                <w:szCs w:val="20"/>
              </w:rPr>
            </w:pPr>
          </w:p>
          <w:p w:rsidR="00734E15" w:rsidRPr="00627F9A" w:rsidRDefault="00734E15" w:rsidP="005F5E4E">
            <w:pPr>
              <w:rPr>
                <w:sz w:val="20"/>
                <w:szCs w:val="20"/>
              </w:rPr>
            </w:pPr>
            <w:r w:rsidRPr="00627F9A">
              <w:rPr>
                <w:sz w:val="20"/>
                <w:szCs w:val="20"/>
              </w:rPr>
              <w:t>DATE</w:t>
            </w:r>
            <w:r w:rsidR="00627F9A">
              <w:rPr>
                <w:sz w:val="20"/>
                <w:szCs w:val="20"/>
              </w:rPr>
              <w:t xml:space="preserve"> DE PRODUCTION </w:t>
            </w:r>
            <w:r w:rsidRPr="00627F9A">
              <w:rPr>
                <w:sz w:val="20"/>
                <w:szCs w:val="20"/>
              </w:rPr>
              <w:t xml:space="preserve">: </w:t>
            </w:r>
            <w:r w:rsidR="00627F9A">
              <w:rPr>
                <w:sz w:val="20"/>
                <w:szCs w:val="20"/>
              </w:rPr>
              <w:t>19</w:t>
            </w:r>
            <w:r w:rsidRPr="00627F9A">
              <w:rPr>
                <w:sz w:val="20"/>
                <w:szCs w:val="20"/>
              </w:rPr>
              <w:t>.02.2013</w:t>
            </w:r>
          </w:p>
          <w:p w:rsidR="00734E15" w:rsidRPr="00627F9A" w:rsidRDefault="003F21C7" w:rsidP="005F5E4E">
            <w:pPr>
              <w:rPr>
                <w:sz w:val="20"/>
                <w:szCs w:val="20"/>
              </w:rPr>
            </w:pPr>
            <w:r w:rsidRPr="003F21C7">
              <w:rPr>
                <w:sz w:val="20"/>
                <w:szCs w:val="20"/>
                <w:lang w:val="fr-CA"/>
              </w:rPr>
              <w:pict>
                <v:rect id="_x0000_i1033" style="width:108pt;height:1pt" o:hrpct="0" o:hralign="center" o:hrstd="t" o:hrnoshade="t" o:hr="t" fillcolor="black [3213]" stroked="f"/>
              </w:pict>
            </w:r>
          </w:p>
        </w:tc>
        <w:tc>
          <w:tcPr>
            <w:tcW w:w="1181" w:type="dxa"/>
            <w:shd w:val="clear" w:color="auto" w:fill="auto"/>
          </w:tcPr>
          <w:p w:rsidR="00734E15" w:rsidRPr="00627F9A" w:rsidRDefault="00734E15" w:rsidP="00242AEE">
            <w:pPr>
              <w:jc w:val="center"/>
              <w:rPr>
                <w:sz w:val="20"/>
                <w:szCs w:val="20"/>
              </w:rPr>
            </w:pPr>
          </w:p>
          <w:p w:rsidR="00734E15" w:rsidRPr="00627F9A" w:rsidRDefault="00734E15" w:rsidP="00242AEE">
            <w:pPr>
              <w:jc w:val="center"/>
              <w:rPr>
                <w:sz w:val="20"/>
                <w:szCs w:val="20"/>
              </w:rPr>
            </w:pPr>
          </w:p>
          <w:p w:rsidR="00734E15" w:rsidRPr="00627F9A" w:rsidRDefault="00734E15" w:rsidP="00242AEE">
            <w:pPr>
              <w:jc w:val="center"/>
              <w:rPr>
                <w:sz w:val="20"/>
                <w:szCs w:val="20"/>
              </w:rPr>
            </w:pPr>
          </w:p>
          <w:p w:rsidR="00734E15" w:rsidRPr="00627F9A" w:rsidRDefault="00734E15" w:rsidP="00242AEE">
            <w:pPr>
              <w:jc w:val="center"/>
              <w:rPr>
                <w:sz w:val="20"/>
                <w:szCs w:val="20"/>
              </w:rPr>
            </w:pPr>
          </w:p>
          <w:p w:rsidR="00734E15" w:rsidRPr="00627F9A" w:rsidRDefault="00734E15" w:rsidP="00242AEE">
            <w:pPr>
              <w:jc w:val="center"/>
              <w:rPr>
                <w:sz w:val="20"/>
                <w:szCs w:val="20"/>
              </w:rPr>
            </w:pPr>
          </w:p>
          <w:p w:rsidR="00734E15" w:rsidRPr="00627F9A" w:rsidRDefault="00734E15" w:rsidP="00242AEE">
            <w:pPr>
              <w:jc w:val="center"/>
              <w:rPr>
                <w:sz w:val="20"/>
                <w:szCs w:val="20"/>
              </w:rPr>
            </w:pPr>
          </w:p>
          <w:p w:rsidR="00734E15" w:rsidRPr="00627F9A" w:rsidRDefault="00734E15" w:rsidP="00242AEE">
            <w:pPr>
              <w:jc w:val="center"/>
              <w:rPr>
                <w:sz w:val="20"/>
                <w:szCs w:val="20"/>
              </w:rPr>
            </w:pPr>
          </w:p>
          <w:p w:rsidR="00734E15" w:rsidRPr="00627F9A" w:rsidRDefault="00734E15" w:rsidP="00242AEE">
            <w:pPr>
              <w:jc w:val="center"/>
              <w:rPr>
                <w:sz w:val="20"/>
                <w:szCs w:val="20"/>
              </w:rPr>
            </w:pPr>
          </w:p>
          <w:p w:rsidR="00734E15" w:rsidRPr="00627F9A" w:rsidRDefault="00734E15" w:rsidP="00242AEE">
            <w:pPr>
              <w:jc w:val="center"/>
              <w:rPr>
                <w:sz w:val="20"/>
                <w:szCs w:val="20"/>
              </w:rPr>
            </w:pPr>
          </w:p>
          <w:p w:rsidR="00734E15" w:rsidRPr="00627F9A" w:rsidRDefault="00734E15" w:rsidP="00242AEE">
            <w:pPr>
              <w:jc w:val="center"/>
              <w:rPr>
                <w:sz w:val="20"/>
                <w:szCs w:val="20"/>
              </w:rPr>
            </w:pPr>
          </w:p>
          <w:p w:rsidR="00734E15" w:rsidRPr="00627F9A" w:rsidRDefault="00734E15" w:rsidP="00242AEE">
            <w:pPr>
              <w:jc w:val="center"/>
              <w:rPr>
                <w:sz w:val="20"/>
                <w:szCs w:val="20"/>
              </w:rPr>
            </w:pPr>
          </w:p>
          <w:p w:rsidR="00734E15" w:rsidRPr="00627F9A" w:rsidRDefault="00734E15" w:rsidP="00242AEE">
            <w:pPr>
              <w:jc w:val="center"/>
              <w:rPr>
                <w:sz w:val="20"/>
                <w:szCs w:val="20"/>
              </w:rPr>
            </w:pPr>
          </w:p>
          <w:p w:rsidR="00734E15" w:rsidRPr="00627F9A" w:rsidRDefault="00734E15" w:rsidP="00242AEE">
            <w:pPr>
              <w:jc w:val="center"/>
              <w:rPr>
                <w:sz w:val="20"/>
                <w:szCs w:val="20"/>
              </w:rPr>
            </w:pPr>
          </w:p>
        </w:tc>
        <w:tc>
          <w:tcPr>
            <w:tcW w:w="4320" w:type="dxa"/>
            <w:shd w:val="clear" w:color="auto" w:fill="auto"/>
          </w:tcPr>
          <w:p w:rsidR="00734E15" w:rsidRPr="00627F9A" w:rsidRDefault="00627F9A" w:rsidP="005F5E4E">
            <w:pPr>
              <w:keepNext/>
              <w:keepLines/>
              <w:tabs>
                <w:tab w:val="left" w:pos="-1440"/>
                <w:tab w:val="left" w:pos="-720"/>
              </w:tabs>
              <w:rPr>
                <w:b/>
                <w:sz w:val="20"/>
                <w:szCs w:val="20"/>
              </w:rPr>
            </w:pPr>
            <w:r>
              <w:rPr>
                <w:b/>
                <w:sz w:val="20"/>
                <w:szCs w:val="20"/>
              </w:rPr>
              <w:t>United Food and Commercial Workers, Local 1400</w:t>
            </w:r>
          </w:p>
          <w:p w:rsidR="00734E15" w:rsidRPr="00627F9A" w:rsidRDefault="00734E15" w:rsidP="005F5E4E">
            <w:pPr>
              <w:keepNext/>
              <w:keepLines/>
              <w:tabs>
                <w:tab w:val="left" w:pos="-1440"/>
                <w:tab w:val="left" w:pos="-720"/>
              </w:tabs>
              <w:rPr>
                <w:sz w:val="20"/>
                <w:szCs w:val="20"/>
              </w:rPr>
            </w:pPr>
            <w:r w:rsidRPr="00627F9A">
              <w:rPr>
                <w:sz w:val="20"/>
                <w:szCs w:val="20"/>
              </w:rPr>
              <w:tab/>
            </w:r>
            <w:r w:rsidR="00627F9A">
              <w:rPr>
                <w:sz w:val="20"/>
                <w:szCs w:val="20"/>
              </w:rPr>
              <w:t>Drew S. Plaxton</w:t>
            </w:r>
          </w:p>
          <w:p w:rsidR="00734E15" w:rsidRPr="00627F9A" w:rsidRDefault="00734E15" w:rsidP="005F5E4E">
            <w:pPr>
              <w:keepNext/>
              <w:keepLines/>
              <w:tabs>
                <w:tab w:val="left" w:pos="-1440"/>
                <w:tab w:val="left" w:pos="-720"/>
              </w:tabs>
              <w:rPr>
                <w:sz w:val="20"/>
                <w:szCs w:val="20"/>
              </w:rPr>
            </w:pPr>
            <w:r w:rsidRPr="00627F9A">
              <w:rPr>
                <w:sz w:val="20"/>
                <w:szCs w:val="20"/>
              </w:rPr>
              <w:tab/>
            </w:r>
            <w:r w:rsidR="00627F9A">
              <w:rPr>
                <w:sz w:val="20"/>
                <w:szCs w:val="20"/>
              </w:rPr>
              <w:t>Plaxton &amp; Company</w:t>
            </w:r>
          </w:p>
          <w:p w:rsidR="00734E15" w:rsidRPr="00627F9A" w:rsidRDefault="00734E15" w:rsidP="005F5E4E">
            <w:pPr>
              <w:keepNext/>
              <w:keepLines/>
              <w:tabs>
                <w:tab w:val="left" w:pos="-1440"/>
                <w:tab w:val="left" w:pos="-720"/>
              </w:tabs>
              <w:rPr>
                <w:sz w:val="20"/>
                <w:szCs w:val="20"/>
              </w:rPr>
            </w:pPr>
          </w:p>
          <w:p w:rsidR="00734E15" w:rsidRPr="00627F9A" w:rsidRDefault="00734E15" w:rsidP="005F5E4E">
            <w:pPr>
              <w:keepNext/>
              <w:keepLines/>
              <w:tabs>
                <w:tab w:val="left" w:pos="-1440"/>
                <w:tab w:val="left" w:pos="-720"/>
              </w:tabs>
              <w:rPr>
                <w:sz w:val="20"/>
                <w:szCs w:val="20"/>
              </w:rPr>
            </w:pPr>
            <w:r w:rsidRPr="00627F9A">
              <w:rPr>
                <w:sz w:val="20"/>
                <w:szCs w:val="20"/>
              </w:rPr>
              <w:tab/>
              <w:t>v. (3</w:t>
            </w:r>
            <w:r w:rsidR="00627F9A">
              <w:rPr>
                <w:sz w:val="20"/>
                <w:szCs w:val="20"/>
              </w:rPr>
              <w:t>515</w:t>
            </w:r>
            <w:r w:rsidRPr="00627F9A">
              <w:rPr>
                <w:sz w:val="20"/>
                <w:szCs w:val="20"/>
              </w:rPr>
              <w:t>5)</w:t>
            </w:r>
          </w:p>
          <w:p w:rsidR="00734E15" w:rsidRPr="00627F9A" w:rsidRDefault="00734E15" w:rsidP="005F5E4E">
            <w:pPr>
              <w:keepNext/>
              <w:keepLines/>
              <w:tabs>
                <w:tab w:val="left" w:pos="-1440"/>
                <w:tab w:val="left" w:pos="-720"/>
              </w:tabs>
              <w:rPr>
                <w:sz w:val="20"/>
                <w:szCs w:val="20"/>
              </w:rPr>
            </w:pPr>
          </w:p>
          <w:p w:rsidR="00734E15" w:rsidRPr="00627F9A" w:rsidRDefault="00627F9A" w:rsidP="005F5E4E">
            <w:pPr>
              <w:keepNext/>
              <w:keepLines/>
              <w:tabs>
                <w:tab w:val="left" w:pos="-1440"/>
                <w:tab w:val="left" w:pos="-720"/>
              </w:tabs>
              <w:rPr>
                <w:b/>
                <w:sz w:val="20"/>
                <w:szCs w:val="20"/>
              </w:rPr>
            </w:pPr>
            <w:r>
              <w:rPr>
                <w:b/>
                <w:sz w:val="20"/>
                <w:szCs w:val="20"/>
              </w:rPr>
              <w:t>Wal-Mart Canada Corp., Operating as Wal</w:t>
            </w:r>
            <w:r w:rsidR="003D3535">
              <w:rPr>
                <w:b/>
                <w:sz w:val="20"/>
                <w:szCs w:val="20"/>
              </w:rPr>
              <w:noBreakHyphen/>
            </w:r>
            <w:r>
              <w:rPr>
                <w:b/>
                <w:sz w:val="20"/>
                <w:szCs w:val="20"/>
              </w:rPr>
              <w:t xml:space="preserve">Mart </w:t>
            </w:r>
            <w:r w:rsidR="003D3535">
              <w:rPr>
                <w:b/>
                <w:sz w:val="20"/>
                <w:szCs w:val="20"/>
              </w:rPr>
              <w:t xml:space="preserve">and Wal-Mart </w:t>
            </w:r>
            <w:r>
              <w:rPr>
                <w:b/>
                <w:sz w:val="20"/>
                <w:szCs w:val="20"/>
              </w:rPr>
              <w:t xml:space="preserve">Canada </w:t>
            </w:r>
            <w:r w:rsidR="00734E15" w:rsidRPr="00627F9A">
              <w:rPr>
                <w:b/>
                <w:sz w:val="20"/>
                <w:szCs w:val="20"/>
              </w:rPr>
              <w:t>(</w:t>
            </w:r>
            <w:r>
              <w:rPr>
                <w:b/>
                <w:sz w:val="20"/>
                <w:szCs w:val="20"/>
              </w:rPr>
              <w:t>Sask</w:t>
            </w:r>
            <w:r w:rsidR="00734E15" w:rsidRPr="00627F9A">
              <w:rPr>
                <w:b/>
                <w:sz w:val="20"/>
                <w:szCs w:val="20"/>
              </w:rPr>
              <w:t>.)</w:t>
            </w:r>
          </w:p>
          <w:p w:rsidR="00734E15" w:rsidRPr="00627F9A" w:rsidRDefault="00734E15" w:rsidP="005F5E4E">
            <w:pPr>
              <w:keepNext/>
              <w:keepLines/>
              <w:tabs>
                <w:tab w:val="left" w:pos="-1440"/>
                <w:tab w:val="left" w:pos="-720"/>
              </w:tabs>
              <w:rPr>
                <w:sz w:val="20"/>
                <w:szCs w:val="20"/>
              </w:rPr>
            </w:pPr>
            <w:r w:rsidRPr="00627F9A">
              <w:rPr>
                <w:sz w:val="20"/>
                <w:szCs w:val="20"/>
              </w:rPr>
              <w:tab/>
            </w:r>
            <w:r w:rsidR="0057053C">
              <w:rPr>
                <w:sz w:val="20"/>
                <w:szCs w:val="20"/>
              </w:rPr>
              <w:t>John R. Beckman, Q.C.</w:t>
            </w:r>
          </w:p>
          <w:p w:rsidR="00734E15" w:rsidRPr="00627F9A" w:rsidRDefault="00734E15" w:rsidP="005F5E4E">
            <w:pPr>
              <w:keepNext/>
              <w:keepLines/>
              <w:tabs>
                <w:tab w:val="left" w:pos="-1440"/>
                <w:tab w:val="left" w:pos="-720"/>
              </w:tabs>
              <w:rPr>
                <w:sz w:val="20"/>
                <w:szCs w:val="20"/>
              </w:rPr>
            </w:pPr>
            <w:r w:rsidRPr="00627F9A">
              <w:rPr>
                <w:sz w:val="20"/>
                <w:szCs w:val="20"/>
              </w:rPr>
              <w:tab/>
            </w:r>
            <w:r w:rsidR="0057053C">
              <w:rPr>
                <w:sz w:val="20"/>
                <w:szCs w:val="20"/>
              </w:rPr>
              <w:t>McKercher LLP</w:t>
            </w:r>
          </w:p>
          <w:p w:rsidR="00734E15" w:rsidRPr="00627F9A" w:rsidRDefault="00734E15" w:rsidP="005F5E4E">
            <w:pPr>
              <w:keepNext/>
              <w:keepLines/>
              <w:tabs>
                <w:tab w:val="left" w:pos="-1440"/>
                <w:tab w:val="left" w:pos="-720"/>
              </w:tabs>
              <w:rPr>
                <w:sz w:val="20"/>
                <w:szCs w:val="20"/>
              </w:rPr>
            </w:pPr>
          </w:p>
          <w:p w:rsidR="00734E15" w:rsidRPr="00A935AA" w:rsidRDefault="00734E15" w:rsidP="0057053C">
            <w:pPr>
              <w:rPr>
                <w:sz w:val="20"/>
                <w:szCs w:val="20"/>
              </w:rPr>
            </w:pPr>
            <w:r w:rsidRPr="00A935AA">
              <w:rPr>
                <w:sz w:val="20"/>
                <w:szCs w:val="20"/>
              </w:rPr>
              <w:t xml:space="preserve">FILING DATE: </w:t>
            </w:r>
            <w:r w:rsidR="0057053C">
              <w:rPr>
                <w:sz w:val="20"/>
                <w:szCs w:val="20"/>
              </w:rPr>
              <w:t>26</w:t>
            </w:r>
            <w:r w:rsidRPr="00A935AA">
              <w:rPr>
                <w:sz w:val="20"/>
                <w:szCs w:val="20"/>
              </w:rPr>
              <w:t>.0</w:t>
            </w:r>
            <w:r>
              <w:rPr>
                <w:sz w:val="20"/>
                <w:szCs w:val="20"/>
              </w:rPr>
              <w:t>2</w:t>
            </w:r>
            <w:r w:rsidRPr="00A935AA">
              <w:rPr>
                <w:sz w:val="20"/>
                <w:szCs w:val="20"/>
              </w:rPr>
              <w:t>.201</w:t>
            </w:r>
            <w:r>
              <w:rPr>
                <w:sz w:val="20"/>
                <w:szCs w:val="20"/>
              </w:rPr>
              <w:t>3</w:t>
            </w:r>
            <w:r w:rsidR="003F21C7" w:rsidRPr="003F21C7">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F6776D">
          <w:headerReference w:type="default" r:id="rId16"/>
          <w:footerReference w:type="default" r:id="rId17"/>
          <w:headerReference w:type="first" r:id="rId18"/>
          <w:footerReference w:type="first" r:id="rId19"/>
          <w:pgSz w:w="12240" w:h="15840"/>
          <w:pgMar w:top="720" w:right="965" w:bottom="1080" w:left="1656" w:header="706" w:footer="706" w:gutter="0"/>
          <w:pgNumType w:start="369"/>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462F4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734E15" w:rsidP="004B7F60">
      <w:pPr>
        <w:widowControl w:val="0"/>
        <w:rPr>
          <w:b/>
          <w:sz w:val="20"/>
          <w:szCs w:val="20"/>
        </w:rPr>
      </w:pPr>
      <w:r>
        <w:rPr>
          <w:b/>
          <w:sz w:val="20"/>
          <w:szCs w:val="20"/>
        </w:rPr>
        <w:t>M</w:t>
      </w:r>
      <w:r w:rsidR="00F761A3">
        <w:rPr>
          <w:b/>
          <w:sz w:val="20"/>
          <w:szCs w:val="20"/>
        </w:rPr>
        <w:t>A</w:t>
      </w:r>
      <w:r w:rsidR="001C592F">
        <w:rPr>
          <w:b/>
          <w:sz w:val="20"/>
          <w:szCs w:val="20"/>
        </w:rPr>
        <w:t>R</w:t>
      </w:r>
      <w:r>
        <w:rPr>
          <w:b/>
          <w:sz w:val="20"/>
          <w:szCs w:val="20"/>
        </w:rPr>
        <w:t>CH</w:t>
      </w:r>
      <w:r w:rsidR="00F761A3">
        <w:rPr>
          <w:b/>
          <w:sz w:val="20"/>
          <w:szCs w:val="20"/>
        </w:rPr>
        <w:t xml:space="preserve"> </w:t>
      </w:r>
      <w:r>
        <w:rPr>
          <w:b/>
          <w:sz w:val="20"/>
          <w:szCs w:val="20"/>
        </w:rPr>
        <w:t>4</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4</w:t>
      </w:r>
      <w:r w:rsidR="004B7F60">
        <w:rPr>
          <w:b/>
          <w:sz w:val="20"/>
          <w:szCs w:val="20"/>
        </w:rPr>
        <w:t xml:space="preserve"> </w:t>
      </w:r>
      <w:r>
        <w:rPr>
          <w:b/>
          <w:sz w:val="20"/>
          <w:szCs w:val="20"/>
        </w:rPr>
        <w:t>M</w:t>
      </w:r>
      <w:r w:rsidR="00F761A3">
        <w:rPr>
          <w:b/>
          <w:sz w:val="20"/>
          <w:szCs w:val="20"/>
        </w:rPr>
        <w:t>A</w:t>
      </w:r>
      <w:r w:rsidR="004B7F60">
        <w:rPr>
          <w:b/>
          <w:sz w:val="20"/>
          <w:szCs w:val="20"/>
        </w:rPr>
        <w:t>R</w:t>
      </w:r>
      <w:r>
        <w:rPr>
          <w:b/>
          <w:sz w:val="20"/>
          <w:szCs w:val="20"/>
        </w:rPr>
        <w:t>S</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4B3478" w:rsidP="004B7F60">
      <w:pPr>
        <w:pStyle w:val="ListParagraph"/>
        <w:widowControl w:val="0"/>
        <w:numPr>
          <w:ilvl w:val="0"/>
          <w:numId w:val="1"/>
        </w:numPr>
        <w:ind w:hanging="720"/>
        <w:jc w:val="both"/>
        <w:rPr>
          <w:sz w:val="20"/>
          <w:szCs w:val="20"/>
        </w:rPr>
      </w:pPr>
      <w:r w:rsidRPr="004B3478">
        <w:rPr>
          <w:i/>
          <w:sz w:val="20"/>
          <w:szCs w:val="20"/>
        </w:rPr>
        <w:t>Glen Carter v. Attorney General of Canada</w:t>
      </w:r>
      <w:r w:rsidRPr="004B3478">
        <w:rPr>
          <w:sz w:val="20"/>
          <w:szCs w:val="20"/>
        </w:rPr>
        <w:t xml:space="preserve"> (F.C.) (Civil) (By Leave)</w:t>
      </w:r>
      <w:r w:rsidRPr="00C50A5C">
        <w:rPr>
          <w:sz w:val="20"/>
          <w:szCs w:val="20"/>
        </w:rPr>
        <w:t xml:space="preserve"> </w:t>
      </w:r>
      <w:r w:rsidR="004B7F60" w:rsidRPr="00C50A5C">
        <w:rPr>
          <w:sz w:val="20"/>
          <w:szCs w:val="20"/>
        </w:rPr>
        <w:t>(3</w:t>
      </w:r>
      <w:r w:rsidR="00734E15">
        <w:rPr>
          <w:sz w:val="20"/>
          <w:szCs w:val="20"/>
        </w:rPr>
        <w:t>5</w:t>
      </w:r>
      <w:r>
        <w:rPr>
          <w:sz w:val="20"/>
          <w:szCs w:val="20"/>
        </w:rPr>
        <w:t>177</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4B3478" w:rsidP="004B7F60">
      <w:pPr>
        <w:pStyle w:val="ListParagraph"/>
        <w:widowControl w:val="0"/>
        <w:numPr>
          <w:ilvl w:val="0"/>
          <w:numId w:val="1"/>
        </w:numPr>
        <w:ind w:hanging="720"/>
        <w:jc w:val="both"/>
        <w:rPr>
          <w:sz w:val="20"/>
          <w:szCs w:val="20"/>
        </w:rPr>
      </w:pPr>
      <w:r w:rsidRPr="004B3478">
        <w:rPr>
          <w:i/>
          <w:sz w:val="20"/>
          <w:szCs w:val="20"/>
        </w:rPr>
        <w:t>Mimi Williams v. Telecommunications Workers Union et al.</w:t>
      </w:r>
      <w:r w:rsidRPr="004B3478">
        <w:rPr>
          <w:sz w:val="20"/>
          <w:szCs w:val="20"/>
        </w:rPr>
        <w:t xml:space="preserve"> (Alta.) (Civil) (By Leave)</w:t>
      </w:r>
      <w:r w:rsidRPr="00C612D0">
        <w:rPr>
          <w:sz w:val="20"/>
          <w:szCs w:val="20"/>
        </w:rPr>
        <w:t xml:space="preserve"> </w:t>
      </w:r>
      <w:r w:rsidR="004B7F60" w:rsidRPr="00C612D0">
        <w:rPr>
          <w:sz w:val="20"/>
          <w:szCs w:val="20"/>
        </w:rPr>
        <w:t>(3</w:t>
      </w:r>
      <w:r w:rsidR="00734E15">
        <w:rPr>
          <w:sz w:val="20"/>
          <w:szCs w:val="20"/>
        </w:rPr>
        <w:t>5</w:t>
      </w:r>
      <w:r>
        <w:rPr>
          <w:sz w:val="20"/>
          <w:szCs w:val="20"/>
        </w:rPr>
        <w:t>114</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4B3478" w:rsidP="004B7F60">
      <w:pPr>
        <w:pStyle w:val="ListParagraph"/>
        <w:widowControl w:val="0"/>
        <w:numPr>
          <w:ilvl w:val="0"/>
          <w:numId w:val="1"/>
        </w:numPr>
        <w:ind w:hanging="720"/>
        <w:jc w:val="both"/>
        <w:rPr>
          <w:sz w:val="20"/>
          <w:szCs w:val="20"/>
        </w:rPr>
      </w:pPr>
      <w:r w:rsidRPr="004B3478">
        <w:rPr>
          <w:i/>
          <w:sz w:val="20"/>
          <w:szCs w:val="20"/>
        </w:rPr>
        <w:t>Genevieve Wright et al. v. College and Association of Registered Nurses of Alberta</w:t>
      </w:r>
      <w:r w:rsidRPr="004B3478">
        <w:rPr>
          <w:sz w:val="20"/>
          <w:szCs w:val="20"/>
        </w:rPr>
        <w:t xml:space="preserve"> (Alta.) (Civil) (By Leave)</w:t>
      </w:r>
      <w:r w:rsidRPr="00940CAD">
        <w:rPr>
          <w:sz w:val="20"/>
          <w:szCs w:val="20"/>
        </w:rPr>
        <w:t xml:space="preserve"> </w:t>
      </w:r>
      <w:r w:rsidR="004B7F60" w:rsidRPr="00940CAD">
        <w:rPr>
          <w:sz w:val="20"/>
          <w:szCs w:val="20"/>
        </w:rPr>
        <w:t>(3</w:t>
      </w:r>
      <w:r w:rsidR="00734E15">
        <w:rPr>
          <w:sz w:val="20"/>
          <w:szCs w:val="20"/>
        </w:rPr>
        <w:t>5</w:t>
      </w:r>
      <w:r>
        <w:rPr>
          <w:sz w:val="20"/>
          <w:szCs w:val="20"/>
        </w:rPr>
        <w:t>081</w:t>
      </w:r>
      <w:r w:rsidR="004B7F60" w:rsidRPr="00940CAD">
        <w:rPr>
          <w:sz w:val="20"/>
          <w:szCs w:val="20"/>
        </w:rPr>
        <w:t>)</w:t>
      </w:r>
    </w:p>
    <w:p w:rsidR="004B7F60" w:rsidRPr="00C50A5C" w:rsidRDefault="004B7F60" w:rsidP="004B7F60">
      <w:pPr>
        <w:widowControl w:val="0"/>
        <w:rPr>
          <w:sz w:val="20"/>
          <w:szCs w:val="20"/>
        </w:rPr>
      </w:pPr>
    </w:p>
    <w:p w:rsidR="004B7F60" w:rsidRPr="00C50A5C" w:rsidRDefault="004B3478" w:rsidP="004B7F60">
      <w:pPr>
        <w:pStyle w:val="ListParagraph"/>
        <w:widowControl w:val="0"/>
        <w:numPr>
          <w:ilvl w:val="0"/>
          <w:numId w:val="1"/>
        </w:numPr>
        <w:ind w:hanging="720"/>
        <w:jc w:val="both"/>
        <w:rPr>
          <w:sz w:val="20"/>
          <w:szCs w:val="20"/>
        </w:rPr>
      </w:pPr>
      <w:r w:rsidRPr="004B3478">
        <w:rPr>
          <w:i/>
          <w:sz w:val="20"/>
          <w:szCs w:val="20"/>
        </w:rPr>
        <w:t>Lawrence Abraham et al. v. Attorney General of Canada</w:t>
      </w:r>
      <w:r w:rsidRPr="004B3478">
        <w:rPr>
          <w:sz w:val="20"/>
          <w:szCs w:val="20"/>
        </w:rPr>
        <w:t xml:space="preserve"> (F.C.) (Civil) (By Leave)</w:t>
      </w:r>
      <w:r w:rsidRPr="00C50A5C">
        <w:rPr>
          <w:sz w:val="20"/>
          <w:szCs w:val="20"/>
        </w:rPr>
        <w:t xml:space="preserve"> </w:t>
      </w:r>
      <w:r w:rsidR="004B7F60" w:rsidRPr="00C50A5C">
        <w:rPr>
          <w:sz w:val="20"/>
          <w:szCs w:val="20"/>
        </w:rPr>
        <w:t>(3</w:t>
      </w:r>
      <w:r w:rsidR="00734E15">
        <w:rPr>
          <w:sz w:val="20"/>
          <w:szCs w:val="20"/>
        </w:rPr>
        <w:t>5</w:t>
      </w:r>
      <w:r>
        <w:rPr>
          <w:sz w:val="20"/>
          <w:szCs w:val="20"/>
        </w:rPr>
        <w:t>141</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4B3478" w:rsidRDefault="004B3478" w:rsidP="004B7F60">
      <w:pPr>
        <w:pStyle w:val="ListParagraph"/>
        <w:widowControl w:val="0"/>
        <w:numPr>
          <w:ilvl w:val="0"/>
          <w:numId w:val="1"/>
        </w:numPr>
        <w:ind w:hanging="720"/>
        <w:jc w:val="both"/>
        <w:rPr>
          <w:sz w:val="20"/>
          <w:szCs w:val="20"/>
        </w:rPr>
      </w:pPr>
      <w:r w:rsidRPr="004B3478">
        <w:rPr>
          <w:i/>
          <w:sz w:val="20"/>
          <w:szCs w:val="20"/>
        </w:rPr>
        <w:t>Dax Richard Mack v. Her Majesty the Queen</w:t>
      </w:r>
      <w:r w:rsidRPr="004B3478">
        <w:rPr>
          <w:sz w:val="20"/>
          <w:szCs w:val="20"/>
        </w:rPr>
        <w:t xml:space="preserve"> (Alta.) (Crim.) (By Leave) </w:t>
      </w:r>
      <w:r w:rsidR="004B7F60" w:rsidRPr="004B3478">
        <w:rPr>
          <w:sz w:val="20"/>
          <w:szCs w:val="20"/>
        </w:rPr>
        <w:t>(3</w:t>
      </w:r>
      <w:r w:rsidR="00734E15" w:rsidRPr="004B3478">
        <w:rPr>
          <w:sz w:val="20"/>
          <w:szCs w:val="20"/>
        </w:rPr>
        <w:t>5</w:t>
      </w:r>
      <w:r w:rsidRPr="004B3478">
        <w:rPr>
          <w:sz w:val="20"/>
          <w:szCs w:val="20"/>
        </w:rPr>
        <w:t>093</w:t>
      </w:r>
      <w:r w:rsidR="004B7F60" w:rsidRPr="004B3478">
        <w:rPr>
          <w:sz w:val="20"/>
          <w:szCs w:val="20"/>
        </w:rPr>
        <w:t>)</w:t>
      </w:r>
    </w:p>
    <w:p w:rsidR="004B7F60" w:rsidRPr="004B3478" w:rsidRDefault="004B7F60" w:rsidP="004B7F60">
      <w:pPr>
        <w:widowControl w:val="0"/>
        <w:rPr>
          <w:sz w:val="20"/>
          <w:szCs w:val="20"/>
        </w:rPr>
      </w:pPr>
    </w:p>
    <w:p w:rsidR="004B7F60" w:rsidRPr="004B3478" w:rsidRDefault="004B3478" w:rsidP="004B7F60">
      <w:pPr>
        <w:pStyle w:val="ListParagraph"/>
        <w:widowControl w:val="0"/>
        <w:numPr>
          <w:ilvl w:val="0"/>
          <w:numId w:val="1"/>
        </w:numPr>
        <w:ind w:hanging="720"/>
        <w:jc w:val="both"/>
        <w:rPr>
          <w:sz w:val="20"/>
          <w:szCs w:val="20"/>
        </w:rPr>
      </w:pPr>
      <w:r w:rsidRPr="004B3478">
        <w:rPr>
          <w:i/>
          <w:sz w:val="20"/>
          <w:szCs w:val="20"/>
        </w:rPr>
        <w:t>David Pearlman v. Phelps Leasing Ltd. et al.</w:t>
      </w:r>
      <w:r w:rsidRPr="004B3478">
        <w:rPr>
          <w:sz w:val="20"/>
          <w:szCs w:val="20"/>
        </w:rPr>
        <w:t xml:space="preserve"> (B.C.) (Civil) (By Leave) </w:t>
      </w:r>
      <w:r w:rsidR="004B7F60" w:rsidRPr="004B3478">
        <w:rPr>
          <w:sz w:val="20"/>
          <w:szCs w:val="20"/>
        </w:rPr>
        <w:t>(35</w:t>
      </w:r>
      <w:r w:rsidRPr="004B3478">
        <w:rPr>
          <w:sz w:val="20"/>
          <w:szCs w:val="20"/>
        </w:rPr>
        <w:t>235</w:t>
      </w:r>
      <w:r w:rsidR="004B7F60" w:rsidRPr="004B3478">
        <w:rPr>
          <w:sz w:val="20"/>
          <w:szCs w:val="20"/>
        </w:rPr>
        <w:t>)</w:t>
      </w:r>
    </w:p>
    <w:p w:rsidR="004B7F60" w:rsidRPr="004B3478" w:rsidRDefault="004B7F60" w:rsidP="004B7F60">
      <w:pPr>
        <w:widowControl w:val="0"/>
        <w:jc w:val="both"/>
        <w:rPr>
          <w:sz w:val="20"/>
          <w:szCs w:val="20"/>
        </w:rPr>
      </w:pPr>
    </w:p>
    <w:p w:rsidR="004B7F60" w:rsidRPr="00115C9E" w:rsidRDefault="004B3478" w:rsidP="004B7F60">
      <w:pPr>
        <w:pStyle w:val="ListParagraph"/>
        <w:widowControl w:val="0"/>
        <w:numPr>
          <w:ilvl w:val="0"/>
          <w:numId w:val="1"/>
        </w:numPr>
        <w:ind w:hanging="720"/>
        <w:jc w:val="both"/>
        <w:rPr>
          <w:sz w:val="20"/>
          <w:szCs w:val="20"/>
          <w:lang w:val="fr-CA"/>
        </w:rPr>
      </w:pPr>
      <w:r w:rsidRPr="004B3478">
        <w:rPr>
          <w:i/>
          <w:sz w:val="20"/>
          <w:szCs w:val="20"/>
        </w:rPr>
        <w:t>Canadian National Railway Company v. Attorney General of Canada et al.</w:t>
      </w:r>
      <w:r w:rsidRPr="004B3478">
        <w:rPr>
          <w:sz w:val="20"/>
          <w:szCs w:val="20"/>
        </w:rPr>
        <w:t xml:space="preserve"> (F.C.) (Civil) (By Leave)</w:t>
      </w:r>
      <w:r w:rsidRPr="00115C9E">
        <w:rPr>
          <w:sz w:val="20"/>
          <w:szCs w:val="20"/>
          <w:lang w:val="fr-CA"/>
        </w:rPr>
        <w:t xml:space="preserve"> </w:t>
      </w:r>
      <w:r w:rsidR="004B7F60" w:rsidRPr="00115C9E">
        <w:rPr>
          <w:sz w:val="20"/>
          <w:szCs w:val="20"/>
          <w:lang w:val="fr-CA"/>
        </w:rPr>
        <w:t>(35</w:t>
      </w:r>
      <w:r>
        <w:rPr>
          <w:sz w:val="20"/>
          <w:szCs w:val="20"/>
          <w:lang w:val="fr-CA"/>
        </w:rPr>
        <w:t>145</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4B3478" w:rsidP="004B7F60">
      <w:pPr>
        <w:pStyle w:val="ListParagraph"/>
        <w:widowControl w:val="0"/>
        <w:numPr>
          <w:ilvl w:val="0"/>
          <w:numId w:val="1"/>
        </w:numPr>
        <w:ind w:hanging="720"/>
        <w:jc w:val="both"/>
        <w:rPr>
          <w:sz w:val="20"/>
          <w:szCs w:val="20"/>
          <w:lang w:val="fr-CA"/>
        </w:rPr>
      </w:pPr>
      <w:r w:rsidRPr="004B3478">
        <w:rPr>
          <w:i/>
          <w:sz w:val="20"/>
          <w:szCs w:val="20"/>
          <w:lang w:val="fr-CA"/>
        </w:rPr>
        <w:t>Mario Brousseau c. Agence du revenu du Québec</w:t>
      </w:r>
      <w:r w:rsidRPr="004B3478">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734E15">
        <w:rPr>
          <w:sz w:val="20"/>
          <w:szCs w:val="20"/>
          <w:lang w:val="fr-CA"/>
        </w:rPr>
        <w:t>5</w:t>
      </w:r>
      <w:r>
        <w:rPr>
          <w:sz w:val="20"/>
          <w:szCs w:val="20"/>
          <w:lang w:val="fr-CA"/>
        </w:rPr>
        <w:t>048</w:t>
      </w:r>
      <w:r w:rsidR="004B7F60" w:rsidRPr="00C50A5C">
        <w:rPr>
          <w:sz w:val="20"/>
          <w:szCs w:val="20"/>
          <w:lang w:val="fr-CA"/>
        </w:rPr>
        <w:t>)</w:t>
      </w:r>
    </w:p>
    <w:p w:rsidR="004B7F60" w:rsidRDefault="004B7F60" w:rsidP="004B7F60">
      <w:pPr>
        <w:widowControl w:val="0"/>
        <w:rPr>
          <w:sz w:val="20"/>
          <w:szCs w:val="20"/>
          <w:lang w:val="fr-CA"/>
        </w:rPr>
      </w:pPr>
    </w:p>
    <w:p w:rsidR="004B7F60" w:rsidRPr="00C50A5C" w:rsidRDefault="004B3478" w:rsidP="004B7F60">
      <w:pPr>
        <w:pStyle w:val="ListParagraph"/>
        <w:widowControl w:val="0"/>
        <w:numPr>
          <w:ilvl w:val="0"/>
          <w:numId w:val="1"/>
        </w:numPr>
        <w:ind w:hanging="720"/>
        <w:jc w:val="both"/>
        <w:rPr>
          <w:sz w:val="20"/>
          <w:szCs w:val="20"/>
          <w:lang w:val="fr-CA"/>
        </w:rPr>
      </w:pPr>
      <w:r w:rsidRPr="004B3478">
        <w:rPr>
          <w:i/>
          <w:sz w:val="20"/>
          <w:szCs w:val="20"/>
          <w:lang w:val="fr-CA"/>
        </w:rPr>
        <w:t>Domenico &amp; fils (1997) inc. c. Devenco Contracting inc. et autre</w:t>
      </w:r>
      <w:r w:rsidRPr="004B3478">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sidR="00734E15">
        <w:rPr>
          <w:sz w:val="20"/>
          <w:szCs w:val="20"/>
          <w:lang w:val="fr-CA"/>
        </w:rPr>
        <w:t>5</w:t>
      </w:r>
      <w:r>
        <w:rPr>
          <w:sz w:val="20"/>
          <w:szCs w:val="20"/>
          <w:lang w:val="fr-CA"/>
        </w:rPr>
        <w:t>104</w:t>
      </w:r>
      <w:r w:rsidR="004B7F60" w:rsidRPr="00C50A5C">
        <w:rPr>
          <w:sz w:val="20"/>
          <w:szCs w:val="20"/>
          <w:lang w:val="fr-CA"/>
        </w:rPr>
        <w:t>)</w:t>
      </w:r>
    </w:p>
    <w:p w:rsidR="004B7F60" w:rsidRDefault="004B7F60" w:rsidP="004B7F60">
      <w:pPr>
        <w:widowControl w:val="0"/>
        <w:jc w:val="both"/>
        <w:rPr>
          <w:sz w:val="20"/>
          <w:szCs w:val="20"/>
          <w:lang w:val="fr-CA"/>
        </w:rPr>
      </w:pPr>
    </w:p>
    <w:p w:rsidR="004B3478" w:rsidRDefault="004B3478" w:rsidP="004B7F60">
      <w:pPr>
        <w:widowControl w:val="0"/>
        <w:jc w:val="both"/>
        <w:rPr>
          <w:sz w:val="20"/>
          <w:szCs w:val="20"/>
          <w:lang w:val="fr-CA"/>
        </w:rPr>
      </w:pPr>
    </w:p>
    <w:p w:rsidR="004B3478" w:rsidRPr="00C50A5C" w:rsidRDefault="004B3478" w:rsidP="004B3478">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3478" w:rsidRPr="00C50A5C" w:rsidRDefault="004B3478" w:rsidP="004B3478">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4B3478" w:rsidRDefault="004B3478" w:rsidP="004B7F60">
      <w:pPr>
        <w:widowControl w:val="0"/>
        <w:jc w:val="both"/>
        <w:rPr>
          <w:sz w:val="20"/>
          <w:szCs w:val="20"/>
          <w:lang w:val="fr-CA"/>
        </w:rPr>
      </w:pPr>
    </w:p>
    <w:p w:rsidR="004B7F60" w:rsidRPr="00115C9E" w:rsidRDefault="004B3478" w:rsidP="004B7F60">
      <w:pPr>
        <w:pStyle w:val="ListParagraph"/>
        <w:widowControl w:val="0"/>
        <w:numPr>
          <w:ilvl w:val="0"/>
          <w:numId w:val="1"/>
        </w:numPr>
        <w:ind w:hanging="720"/>
        <w:jc w:val="both"/>
        <w:rPr>
          <w:sz w:val="20"/>
          <w:szCs w:val="20"/>
        </w:rPr>
      </w:pPr>
      <w:r w:rsidRPr="004B3478">
        <w:rPr>
          <w:i/>
          <w:sz w:val="20"/>
          <w:szCs w:val="20"/>
          <w:lang w:val="fr-CA"/>
        </w:rPr>
        <w:t>Robert Neil Kelly et al. v. Air Canada Pilots Association et al.</w:t>
      </w:r>
      <w:r w:rsidRPr="004B3478">
        <w:rPr>
          <w:sz w:val="20"/>
          <w:szCs w:val="20"/>
          <w:lang w:val="fr-CA"/>
        </w:rPr>
        <w:t xml:space="preserve"> </w:t>
      </w:r>
      <w:r w:rsidRPr="004B3478">
        <w:rPr>
          <w:sz w:val="20"/>
          <w:szCs w:val="20"/>
        </w:rPr>
        <w:t>(F.C.) (Civil) (By Leave)</w:t>
      </w:r>
      <w:r w:rsidRPr="00115C9E">
        <w:rPr>
          <w:sz w:val="20"/>
          <w:szCs w:val="20"/>
        </w:rPr>
        <w:t xml:space="preserve"> </w:t>
      </w:r>
      <w:r w:rsidR="004B7F60" w:rsidRPr="00115C9E">
        <w:rPr>
          <w:sz w:val="20"/>
          <w:szCs w:val="20"/>
        </w:rPr>
        <w:t>(3</w:t>
      </w:r>
      <w:r w:rsidR="00734E15">
        <w:rPr>
          <w:sz w:val="20"/>
          <w:szCs w:val="20"/>
        </w:rPr>
        <w:t>5</w:t>
      </w:r>
      <w:r>
        <w:rPr>
          <w:sz w:val="20"/>
          <w:szCs w:val="20"/>
        </w:rPr>
        <w:t>014</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4B3478" w:rsidP="004B7F60">
      <w:pPr>
        <w:pStyle w:val="ListParagraph"/>
        <w:widowControl w:val="0"/>
        <w:numPr>
          <w:ilvl w:val="0"/>
          <w:numId w:val="1"/>
        </w:numPr>
        <w:ind w:hanging="720"/>
        <w:jc w:val="both"/>
        <w:rPr>
          <w:sz w:val="20"/>
          <w:szCs w:val="20"/>
        </w:rPr>
      </w:pPr>
      <w:r w:rsidRPr="004B3478">
        <w:rPr>
          <w:i/>
          <w:sz w:val="20"/>
          <w:szCs w:val="20"/>
        </w:rPr>
        <w:t>1207192 Ontario Limited v. Her Majesty the Queen</w:t>
      </w:r>
      <w:r w:rsidRPr="004B3478">
        <w:rPr>
          <w:sz w:val="20"/>
          <w:szCs w:val="20"/>
        </w:rPr>
        <w:t xml:space="preserve"> (F.C.) (Civil) (By Leave)</w:t>
      </w:r>
      <w:r w:rsidRPr="00115C9E">
        <w:rPr>
          <w:sz w:val="20"/>
          <w:szCs w:val="20"/>
        </w:rPr>
        <w:t xml:space="preserve"> </w:t>
      </w:r>
      <w:r w:rsidR="004B7F60" w:rsidRPr="00115C9E">
        <w:rPr>
          <w:sz w:val="20"/>
          <w:szCs w:val="20"/>
        </w:rPr>
        <w:t>(3</w:t>
      </w:r>
      <w:r w:rsidR="00734E15">
        <w:rPr>
          <w:sz w:val="20"/>
          <w:szCs w:val="20"/>
        </w:rPr>
        <w:t>5</w:t>
      </w:r>
      <w:r>
        <w:rPr>
          <w:sz w:val="20"/>
          <w:szCs w:val="20"/>
        </w:rPr>
        <w:t>116</w:t>
      </w:r>
      <w:r w:rsidR="004B7F60" w:rsidRPr="00115C9E">
        <w:rPr>
          <w:sz w:val="20"/>
          <w:szCs w:val="20"/>
        </w:rPr>
        <w:t>)</w:t>
      </w:r>
    </w:p>
    <w:p w:rsidR="004B7F60" w:rsidRPr="00115C9E" w:rsidRDefault="004B7F60" w:rsidP="004B7F60">
      <w:pPr>
        <w:widowControl w:val="0"/>
        <w:jc w:val="both"/>
        <w:rPr>
          <w:sz w:val="20"/>
          <w:szCs w:val="20"/>
        </w:rPr>
      </w:pPr>
    </w:p>
    <w:p w:rsidR="004B7F60" w:rsidRDefault="004B3478" w:rsidP="004B7F60">
      <w:pPr>
        <w:pStyle w:val="ListParagraph"/>
        <w:widowControl w:val="0"/>
        <w:numPr>
          <w:ilvl w:val="0"/>
          <w:numId w:val="1"/>
        </w:numPr>
        <w:ind w:hanging="720"/>
        <w:jc w:val="both"/>
        <w:rPr>
          <w:sz w:val="20"/>
          <w:szCs w:val="20"/>
        </w:rPr>
      </w:pPr>
      <w:r w:rsidRPr="004B3478">
        <w:rPr>
          <w:i/>
          <w:sz w:val="20"/>
          <w:szCs w:val="20"/>
        </w:rPr>
        <w:t>Pricewaterhousecoopers Inc, in its capacity as Trustee in Bankruptcy v. Cyrenus Joseph Dugas</w:t>
      </w:r>
      <w:r w:rsidRPr="004B3478">
        <w:rPr>
          <w:sz w:val="20"/>
          <w:szCs w:val="20"/>
        </w:rPr>
        <w:t xml:space="preserve"> (N.B.) (Civil) (By Leave)</w:t>
      </w:r>
      <w:r w:rsidRPr="00C50A5C">
        <w:rPr>
          <w:sz w:val="20"/>
          <w:szCs w:val="20"/>
        </w:rPr>
        <w:t xml:space="preserve"> </w:t>
      </w:r>
      <w:r w:rsidR="004B7F60" w:rsidRPr="00C50A5C">
        <w:rPr>
          <w:sz w:val="20"/>
          <w:szCs w:val="20"/>
        </w:rPr>
        <w:t>(3</w:t>
      </w:r>
      <w:r w:rsidR="00734E15">
        <w:rPr>
          <w:sz w:val="20"/>
          <w:szCs w:val="20"/>
        </w:rPr>
        <w:t>5</w:t>
      </w:r>
      <w:r>
        <w:rPr>
          <w:sz w:val="20"/>
          <w:szCs w:val="20"/>
        </w:rPr>
        <w:t>121</w:t>
      </w:r>
      <w:r w:rsidR="004B7F60" w:rsidRPr="00C50A5C">
        <w:rPr>
          <w:sz w:val="20"/>
          <w:szCs w:val="20"/>
        </w:rPr>
        <w:t>)</w:t>
      </w:r>
    </w:p>
    <w:p w:rsidR="004B7F60" w:rsidRDefault="004B7F60" w:rsidP="004B7F60">
      <w:pPr>
        <w:widowControl w:val="0"/>
        <w:rPr>
          <w:sz w:val="20"/>
          <w:szCs w:val="20"/>
        </w:rPr>
      </w:pPr>
    </w:p>
    <w:p w:rsidR="002E2327" w:rsidRPr="004B3478" w:rsidRDefault="004B3478" w:rsidP="00C50A5C">
      <w:pPr>
        <w:pStyle w:val="ListParagraph"/>
        <w:widowControl w:val="0"/>
        <w:numPr>
          <w:ilvl w:val="0"/>
          <w:numId w:val="1"/>
        </w:numPr>
        <w:ind w:hanging="720"/>
        <w:jc w:val="both"/>
        <w:rPr>
          <w:sz w:val="20"/>
          <w:szCs w:val="20"/>
        </w:rPr>
      </w:pPr>
      <w:r w:rsidRPr="004B3478">
        <w:rPr>
          <w:i/>
          <w:sz w:val="20"/>
          <w:szCs w:val="20"/>
        </w:rPr>
        <w:t>Vasundara Raghavan et al. v. Bell Canada, BCE Inc. et al.</w:t>
      </w:r>
      <w:r w:rsidRPr="004B3478">
        <w:rPr>
          <w:sz w:val="20"/>
          <w:szCs w:val="20"/>
        </w:rPr>
        <w:t xml:space="preserve"> (Ont.) (Civil) (By Leave) </w:t>
      </w:r>
      <w:r w:rsidR="002E2327" w:rsidRPr="004B3478">
        <w:rPr>
          <w:sz w:val="20"/>
          <w:szCs w:val="20"/>
        </w:rPr>
        <w:t>(3</w:t>
      </w:r>
      <w:r w:rsidR="00734E15" w:rsidRPr="004B3478">
        <w:rPr>
          <w:sz w:val="20"/>
          <w:szCs w:val="20"/>
        </w:rPr>
        <w:t>5</w:t>
      </w:r>
      <w:r w:rsidRPr="004B3478">
        <w:rPr>
          <w:sz w:val="20"/>
          <w:szCs w:val="20"/>
        </w:rPr>
        <w:t>094</w:t>
      </w:r>
      <w:r w:rsidR="002E2327" w:rsidRPr="004B3478">
        <w:rPr>
          <w:sz w:val="20"/>
          <w:szCs w:val="20"/>
        </w:rPr>
        <w:t>)</w:t>
      </w:r>
    </w:p>
    <w:p w:rsidR="002E2327" w:rsidRPr="004B3478" w:rsidRDefault="002E2327" w:rsidP="002E2327">
      <w:pPr>
        <w:widowControl w:val="0"/>
        <w:rPr>
          <w:sz w:val="20"/>
          <w:szCs w:val="20"/>
        </w:rPr>
      </w:pPr>
    </w:p>
    <w:p w:rsidR="002E2327" w:rsidRPr="00C50A5C" w:rsidRDefault="003F21C7" w:rsidP="002E2327">
      <w:pPr>
        <w:widowControl w:val="0"/>
        <w:rPr>
          <w:sz w:val="20"/>
          <w:szCs w:val="20"/>
        </w:rPr>
      </w:pPr>
      <w:r w:rsidRPr="003F21C7">
        <w:rPr>
          <w:sz w:val="20"/>
          <w:szCs w:val="20"/>
        </w:rPr>
        <w:pict>
          <v:rect id="_x0000_i1037"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462F49"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3101AB" w:rsidP="008D292F">
      <w:pPr>
        <w:rPr>
          <w:b/>
          <w:sz w:val="20"/>
          <w:szCs w:val="20"/>
        </w:rPr>
      </w:pPr>
      <w:r>
        <w:rPr>
          <w:b/>
          <w:sz w:val="20"/>
          <w:szCs w:val="20"/>
        </w:rPr>
        <w:t>MA</w:t>
      </w:r>
      <w:r w:rsidR="008D292F" w:rsidRPr="00C50A5C">
        <w:rPr>
          <w:b/>
          <w:sz w:val="20"/>
          <w:szCs w:val="20"/>
        </w:rPr>
        <w:t>R</w:t>
      </w:r>
      <w:r>
        <w:rPr>
          <w:b/>
          <w:sz w:val="20"/>
          <w:szCs w:val="20"/>
        </w:rPr>
        <w:t>CH 7</w:t>
      </w:r>
      <w:r w:rsidR="008D292F" w:rsidRPr="00C50A5C">
        <w:rPr>
          <w:b/>
          <w:sz w:val="20"/>
          <w:szCs w:val="20"/>
        </w:rPr>
        <w:t>, 201</w:t>
      </w:r>
      <w:r>
        <w:rPr>
          <w:b/>
          <w:sz w:val="20"/>
          <w:szCs w:val="20"/>
        </w:rPr>
        <w:t>3</w:t>
      </w:r>
      <w:r w:rsidR="008D292F" w:rsidRPr="00C50A5C">
        <w:rPr>
          <w:b/>
          <w:sz w:val="20"/>
          <w:szCs w:val="20"/>
        </w:rPr>
        <w:t xml:space="preserve"> / LE </w:t>
      </w:r>
      <w:r>
        <w:rPr>
          <w:b/>
          <w:sz w:val="20"/>
          <w:szCs w:val="20"/>
        </w:rPr>
        <w:t>7 M</w:t>
      </w:r>
      <w:r w:rsidR="008D292F" w:rsidRPr="00C50A5C">
        <w:rPr>
          <w:b/>
          <w:sz w:val="20"/>
          <w:szCs w:val="20"/>
        </w:rPr>
        <w:t>AR</w:t>
      </w:r>
      <w:r>
        <w:rPr>
          <w:b/>
          <w:sz w:val="20"/>
          <w:szCs w:val="20"/>
        </w:rPr>
        <w:t>S</w:t>
      </w:r>
      <w:r w:rsidR="008D292F" w:rsidRPr="00C50A5C">
        <w:rPr>
          <w:b/>
          <w:sz w:val="20"/>
          <w:szCs w:val="20"/>
        </w:rPr>
        <w:t xml:space="preserve"> 201</w:t>
      </w:r>
      <w:r>
        <w:rPr>
          <w:b/>
          <w:sz w:val="20"/>
          <w:szCs w:val="20"/>
        </w:rPr>
        <w:t>3</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43A3D" w:rsidRPr="00A47DB1" w:rsidTr="00DD7751">
        <w:trPr>
          <w:cantSplit/>
        </w:trPr>
        <w:tc>
          <w:tcPr>
            <w:tcW w:w="1458" w:type="dxa"/>
          </w:tcPr>
          <w:p w:rsidR="00D43A3D" w:rsidRPr="00A47DB1" w:rsidRDefault="00D43A3D" w:rsidP="00DD7751">
            <w:pPr>
              <w:rPr>
                <w:sz w:val="20"/>
                <w:szCs w:val="20"/>
              </w:rPr>
            </w:pPr>
            <w:r w:rsidRPr="00A47DB1">
              <w:rPr>
                <w:rStyle w:val="SCCFileNumberChar"/>
                <w:sz w:val="20"/>
                <w:szCs w:val="20"/>
              </w:rPr>
              <w:t>34997</w:t>
            </w:r>
          </w:p>
          <w:p w:rsidR="00D43A3D" w:rsidRPr="00A47DB1" w:rsidRDefault="00D43A3D" w:rsidP="00DD7751">
            <w:pPr>
              <w:rPr>
                <w:b/>
                <w:sz w:val="20"/>
                <w:szCs w:val="20"/>
                <w:lang w:val="fr-CA"/>
              </w:rPr>
            </w:pPr>
          </w:p>
        </w:tc>
        <w:tc>
          <w:tcPr>
            <w:tcW w:w="8118" w:type="dxa"/>
          </w:tcPr>
          <w:p w:rsidR="00D43A3D" w:rsidRPr="00A47DB1" w:rsidRDefault="00D43A3D" w:rsidP="00DD7751">
            <w:pPr>
              <w:rPr>
                <w:sz w:val="20"/>
                <w:szCs w:val="20"/>
              </w:rPr>
            </w:pPr>
            <w:r w:rsidRPr="00A47DB1">
              <w:rPr>
                <w:rStyle w:val="SCCLsocChar"/>
                <w:sz w:val="20"/>
                <w:szCs w:val="20"/>
                <w:lang w:val="en-CA"/>
              </w:rPr>
              <w:t>Michael McCormick v. Fasken Martineau Dumoulin LLP</w:t>
            </w:r>
            <w:r w:rsidRPr="00A47DB1">
              <w:rPr>
                <w:sz w:val="20"/>
                <w:szCs w:val="20"/>
              </w:rPr>
              <w:t xml:space="preserve"> (B.C.) (Civil) (By Leave)</w:t>
            </w:r>
          </w:p>
          <w:p w:rsidR="00D43A3D" w:rsidRPr="00A47DB1" w:rsidRDefault="00D43A3D" w:rsidP="00DD7751">
            <w:pPr>
              <w:rPr>
                <w:sz w:val="20"/>
                <w:szCs w:val="20"/>
              </w:rPr>
            </w:pPr>
          </w:p>
        </w:tc>
      </w:tr>
      <w:tr w:rsidR="00D43A3D" w:rsidRPr="00A47DB1" w:rsidTr="00DD7751">
        <w:trPr>
          <w:cantSplit/>
        </w:trPr>
        <w:tc>
          <w:tcPr>
            <w:tcW w:w="1458" w:type="dxa"/>
          </w:tcPr>
          <w:p w:rsidR="00D43A3D" w:rsidRPr="00A47DB1" w:rsidRDefault="00D43A3D" w:rsidP="00DD7751">
            <w:pPr>
              <w:rPr>
                <w:sz w:val="20"/>
                <w:szCs w:val="20"/>
              </w:rPr>
            </w:pPr>
            <w:r w:rsidRPr="00A47DB1">
              <w:rPr>
                <w:sz w:val="20"/>
                <w:szCs w:val="20"/>
              </w:rPr>
              <w:t>Coram :</w:t>
            </w:r>
          </w:p>
        </w:tc>
        <w:tc>
          <w:tcPr>
            <w:tcW w:w="8118" w:type="dxa"/>
          </w:tcPr>
          <w:p w:rsidR="00D43A3D" w:rsidRPr="00A47DB1" w:rsidRDefault="00D43A3D" w:rsidP="00DD7751">
            <w:pPr>
              <w:rPr>
                <w:sz w:val="20"/>
                <w:szCs w:val="20"/>
              </w:rPr>
            </w:pPr>
            <w:r w:rsidRPr="00A47DB1">
              <w:rPr>
                <w:rStyle w:val="SCCCoramChar"/>
                <w:sz w:val="20"/>
                <w:szCs w:val="20"/>
                <w:lang w:val="en-CA"/>
              </w:rPr>
              <w:t>McLachlin C.J. and Abella and Cromwell JJ.</w:t>
            </w:r>
          </w:p>
          <w:p w:rsidR="00D43A3D" w:rsidRPr="00A47DB1" w:rsidRDefault="00D43A3D" w:rsidP="00DD7751">
            <w:pPr>
              <w:rPr>
                <w:sz w:val="20"/>
                <w:szCs w:val="20"/>
                <w:u w:val="single"/>
              </w:rPr>
            </w:pPr>
          </w:p>
        </w:tc>
      </w:tr>
      <w:tr w:rsidR="00D43A3D" w:rsidRPr="00462F49" w:rsidTr="00DD7751">
        <w:trPr>
          <w:cantSplit/>
        </w:trPr>
        <w:tc>
          <w:tcPr>
            <w:tcW w:w="9576" w:type="dxa"/>
            <w:gridSpan w:val="2"/>
          </w:tcPr>
          <w:p w:rsidR="00D43A3D" w:rsidRPr="00A47DB1" w:rsidRDefault="00D43A3D" w:rsidP="00DD7751">
            <w:pPr>
              <w:pStyle w:val="SCCShortJudgment"/>
              <w:rPr>
                <w:szCs w:val="20"/>
              </w:rPr>
            </w:pPr>
            <w:r w:rsidRPr="00A47DB1">
              <w:rPr>
                <w:szCs w:val="20"/>
              </w:rPr>
              <w:t>The application for leave to appeal from the judgment of the Court of Appeal for British Columbia (Vancouver), Number CA039128, 2012 BCCA 313, dated July 19, 2012, is granted with costs in the cause.</w:t>
            </w:r>
          </w:p>
          <w:p w:rsidR="00D43A3D" w:rsidRPr="00A47DB1" w:rsidRDefault="00D43A3D" w:rsidP="00DD7751">
            <w:pPr>
              <w:pStyle w:val="SCCShortJudgment"/>
              <w:ind w:firstLine="0"/>
              <w:rPr>
                <w:szCs w:val="20"/>
              </w:rPr>
            </w:pPr>
          </w:p>
          <w:p w:rsidR="00D43A3D" w:rsidRPr="00A47DB1" w:rsidRDefault="00D43A3D" w:rsidP="00D43A3D">
            <w:pPr>
              <w:pStyle w:val="SCCShortJudgment"/>
              <w:rPr>
                <w:szCs w:val="20"/>
                <w:lang w:val="fr-CA"/>
              </w:rPr>
            </w:pPr>
            <w:r w:rsidRPr="00A47DB1">
              <w:rPr>
                <w:szCs w:val="20"/>
                <w:lang w:val="fr-CA"/>
              </w:rPr>
              <w:t>La demande d’autorisation d’appel de l’arrêt de la Cour d’appel de la Colombie-Britannique (Vancouver), numéro CA039128, 2012 BCCA 313, daté du 19 juillet 2012, est accueillie avec dépens suivant l’issue de la cause.</w:t>
            </w:r>
          </w:p>
        </w:tc>
      </w:tr>
    </w:tbl>
    <w:p w:rsidR="003101AB" w:rsidRPr="00D43A3D" w:rsidRDefault="003101AB" w:rsidP="008D292F">
      <w:pPr>
        <w:rPr>
          <w:sz w:val="20"/>
          <w:szCs w:val="20"/>
          <w:lang w:val="fr-CA"/>
        </w:rPr>
      </w:pPr>
    </w:p>
    <w:p w:rsidR="003101AB" w:rsidRPr="001B157C" w:rsidRDefault="003101AB" w:rsidP="003101AB">
      <w:pPr>
        <w:rPr>
          <w:sz w:val="20"/>
          <w:szCs w:val="20"/>
          <w:u w:val="single"/>
        </w:rPr>
      </w:pPr>
      <w:r w:rsidRPr="001B157C">
        <w:rPr>
          <w:sz w:val="20"/>
          <w:szCs w:val="20"/>
          <w:u w:val="single"/>
        </w:rPr>
        <w:t>CASE SUMMARY</w:t>
      </w:r>
    </w:p>
    <w:p w:rsidR="003101AB" w:rsidRDefault="003101AB" w:rsidP="008D292F">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491F5E" w:rsidRPr="00DB4F12" w:rsidTr="00CF3230">
        <w:tc>
          <w:tcPr>
            <w:tcW w:w="5000" w:type="pct"/>
            <w:gridSpan w:val="3"/>
          </w:tcPr>
          <w:p w:rsidR="00491F5E" w:rsidRPr="00DB4F12" w:rsidRDefault="00491F5E" w:rsidP="00CF3230">
            <w:pPr>
              <w:jc w:val="both"/>
              <w:rPr>
                <w:sz w:val="20"/>
                <w:szCs w:val="20"/>
              </w:rPr>
            </w:pPr>
            <w:r w:rsidRPr="00DB4F12">
              <w:rPr>
                <w:sz w:val="20"/>
                <w:szCs w:val="20"/>
              </w:rPr>
              <w:t>Human Rights — Employment relationship — Partnerships — Court of Appeal holding that a partnership should not be treated as the employer of a partner for purposes of human rights legislation — Whether a substantive analysis of the interpretation of “employment” for the purposes of human rights, in a modern context, should be precluded by a threshold test of technical legal form.</w:t>
            </w:r>
          </w:p>
        </w:tc>
      </w:tr>
      <w:tr w:rsidR="00491F5E" w:rsidRPr="00DB4F12" w:rsidTr="00CF3230">
        <w:tc>
          <w:tcPr>
            <w:tcW w:w="5000" w:type="pct"/>
            <w:gridSpan w:val="3"/>
          </w:tcPr>
          <w:p w:rsidR="00491F5E" w:rsidRPr="00DB4F12" w:rsidRDefault="00491F5E" w:rsidP="00CF3230">
            <w:pPr>
              <w:jc w:val="both"/>
              <w:rPr>
                <w:sz w:val="20"/>
                <w:szCs w:val="20"/>
              </w:rPr>
            </w:pPr>
          </w:p>
        </w:tc>
      </w:tr>
      <w:tr w:rsidR="00491F5E" w:rsidRPr="00DB4F12" w:rsidTr="00CF3230">
        <w:tc>
          <w:tcPr>
            <w:tcW w:w="5000" w:type="pct"/>
            <w:gridSpan w:val="3"/>
          </w:tcPr>
          <w:p w:rsidR="00491F5E" w:rsidRPr="00DB4F12" w:rsidRDefault="00491F5E" w:rsidP="00CF3230">
            <w:pPr>
              <w:jc w:val="both"/>
              <w:rPr>
                <w:sz w:val="20"/>
                <w:szCs w:val="20"/>
              </w:rPr>
            </w:pPr>
            <w:r w:rsidRPr="00DB4F12">
              <w:rPr>
                <w:sz w:val="20"/>
                <w:szCs w:val="20"/>
              </w:rPr>
              <w:t xml:space="preserve">The applicant is an equity partner in the respondent law firm, a limited liability partnership registered under the </w:t>
            </w:r>
            <w:r w:rsidRPr="00DB4F12">
              <w:rPr>
                <w:i/>
                <w:sz w:val="20"/>
                <w:szCs w:val="20"/>
              </w:rPr>
              <w:t>Partnership Act</w:t>
            </w:r>
            <w:r w:rsidRPr="00DB4F12">
              <w:rPr>
                <w:sz w:val="20"/>
                <w:szCs w:val="20"/>
              </w:rPr>
              <w:t xml:space="preserve">, R.S.B.C. 1996, c. 348.  He turned 65 years old in March 2010.  Pursuant to a Partnership Agreement, absent an individual arrangement to the contrary, he was required to retire as an equity partner at the end of 2010.  He filed a complaint with the British Columbia Human Rights Tribunal alleging that the respondent is discriminating against him in his employment, on the basis of age, contrary to s. 13 of the </w:t>
            </w:r>
            <w:r w:rsidRPr="00DB4F12">
              <w:rPr>
                <w:i/>
                <w:sz w:val="20"/>
                <w:szCs w:val="20"/>
              </w:rPr>
              <w:t>Human Rights Code</w:t>
            </w:r>
            <w:r w:rsidRPr="00DB4F12">
              <w:rPr>
                <w:sz w:val="20"/>
                <w:szCs w:val="20"/>
              </w:rPr>
              <w:t xml:space="preserve">, R.S.B.C. 1996, c. 210.  The respondent applied to dismiss the complaint under ss. 27(1)(a) and (c) of the </w:t>
            </w:r>
            <w:r w:rsidRPr="00DB4F12">
              <w:rPr>
                <w:i/>
                <w:sz w:val="20"/>
                <w:szCs w:val="20"/>
              </w:rPr>
              <w:t>Code</w:t>
            </w:r>
            <w:r w:rsidRPr="00DB4F12">
              <w:rPr>
                <w:sz w:val="20"/>
                <w:szCs w:val="20"/>
              </w:rPr>
              <w:t xml:space="preserve">, on the grounds that the Tribunal does not have jurisdiction over the complaint and there is no reasonable prospect that it will succeed.  The Tribunal dismissed the respondent’s application.  The respondent sought judicial review. </w:t>
            </w:r>
          </w:p>
          <w:p w:rsidR="00491F5E" w:rsidRPr="00DB4F12" w:rsidRDefault="00491F5E" w:rsidP="00CF3230">
            <w:pPr>
              <w:jc w:val="both"/>
              <w:rPr>
                <w:sz w:val="20"/>
                <w:szCs w:val="20"/>
              </w:rPr>
            </w:pPr>
          </w:p>
        </w:tc>
      </w:tr>
      <w:tr w:rsidR="00491F5E" w:rsidRPr="00DB4F12" w:rsidTr="00CF3230">
        <w:tblPrEx>
          <w:tblCellMar>
            <w:bottom w:w="0" w:type="dxa"/>
          </w:tblCellMar>
        </w:tblPrEx>
        <w:tc>
          <w:tcPr>
            <w:tcW w:w="2390" w:type="pct"/>
          </w:tcPr>
          <w:p w:rsidR="00491F5E" w:rsidRPr="00DB4F12" w:rsidRDefault="00491F5E" w:rsidP="00CF3230">
            <w:pPr>
              <w:jc w:val="both"/>
              <w:rPr>
                <w:sz w:val="20"/>
                <w:szCs w:val="20"/>
              </w:rPr>
            </w:pPr>
            <w:r w:rsidRPr="00DB4F12">
              <w:rPr>
                <w:sz w:val="20"/>
                <w:szCs w:val="20"/>
              </w:rPr>
              <w:t>June 2, 2011</w:t>
            </w:r>
          </w:p>
          <w:p w:rsidR="00491F5E" w:rsidRPr="00DB4F12" w:rsidRDefault="00491F5E" w:rsidP="00CF3230">
            <w:pPr>
              <w:jc w:val="both"/>
              <w:rPr>
                <w:sz w:val="20"/>
                <w:szCs w:val="20"/>
              </w:rPr>
            </w:pPr>
            <w:r w:rsidRPr="00DB4F12">
              <w:rPr>
                <w:sz w:val="20"/>
                <w:szCs w:val="20"/>
              </w:rPr>
              <w:t>Supreme Court of British Columbia</w:t>
            </w:r>
          </w:p>
          <w:p w:rsidR="00491F5E" w:rsidRPr="00DB4F12" w:rsidRDefault="00491F5E" w:rsidP="00CF3230">
            <w:pPr>
              <w:jc w:val="both"/>
              <w:rPr>
                <w:sz w:val="20"/>
                <w:szCs w:val="20"/>
              </w:rPr>
            </w:pPr>
            <w:r w:rsidRPr="00DB4F12">
              <w:rPr>
                <w:sz w:val="20"/>
                <w:szCs w:val="20"/>
              </w:rPr>
              <w:t>(Bruce J.)</w:t>
            </w:r>
          </w:p>
          <w:p w:rsidR="00491F5E" w:rsidRPr="00DB4F12" w:rsidRDefault="00491F5E" w:rsidP="00CF3230">
            <w:pPr>
              <w:jc w:val="both"/>
              <w:rPr>
                <w:sz w:val="20"/>
                <w:szCs w:val="20"/>
              </w:rPr>
            </w:pPr>
            <w:r w:rsidRPr="00DB4F12">
              <w:rPr>
                <w:sz w:val="20"/>
                <w:szCs w:val="20"/>
              </w:rPr>
              <w:t>2011 BCSC 713</w:t>
            </w:r>
          </w:p>
          <w:p w:rsidR="00491F5E" w:rsidRPr="00DB4F12" w:rsidRDefault="00491F5E" w:rsidP="00CF3230">
            <w:pPr>
              <w:jc w:val="both"/>
              <w:rPr>
                <w:sz w:val="20"/>
                <w:szCs w:val="20"/>
              </w:rPr>
            </w:pPr>
          </w:p>
        </w:tc>
        <w:tc>
          <w:tcPr>
            <w:tcW w:w="270" w:type="pct"/>
          </w:tcPr>
          <w:p w:rsidR="00491F5E" w:rsidRPr="00DB4F12" w:rsidRDefault="00491F5E" w:rsidP="00CF3230">
            <w:pPr>
              <w:jc w:val="both"/>
              <w:rPr>
                <w:sz w:val="20"/>
                <w:szCs w:val="20"/>
              </w:rPr>
            </w:pPr>
          </w:p>
        </w:tc>
        <w:tc>
          <w:tcPr>
            <w:tcW w:w="2340" w:type="pct"/>
          </w:tcPr>
          <w:p w:rsidR="00491F5E" w:rsidRPr="00DB4F12" w:rsidRDefault="00491F5E" w:rsidP="00CF3230">
            <w:pPr>
              <w:jc w:val="both"/>
              <w:rPr>
                <w:sz w:val="20"/>
                <w:szCs w:val="20"/>
              </w:rPr>
            </w:pPr>
            <w:r w:rsidRPr="00DB4F12">
              <w:rPr>
                <w:sz w:val="20"/>
                <w:szCs w:val="20"/>
              </w:rPr>
              <w:t xml:space="preserve">Application for judicial review of a declaration by the British Columbia Human Rights Tribunal that it has jurisdiction to hear and consider applicant's complaint dismissed </w:t>
            </w:r>
          </w:p>
        </w:tc>
      </w:tr>
      <w:tr w:rsidR="00491F5E" w:rsidRPr="00DB4F12" w:rsidTr="00CF3230">
        <w:tblPrEx>
          <w:tblCellMar>
            <w:bottom w:w="0" w:type="dxa"/>
          </w:tblCellMar>
        </w:tblPrEx>
        <w:tc>
          <w:tcPr>
            <w:tcW w:w="2390" w:type="pct"/>
          </w:tcPr>
          <w:p w:rsidR="00491F5E" w:rsidRPr="00DB4F12" w:rsidRDefault="00491F5E" w:rsidP="00CF3230">
            <w:pPr>
              <w:jc w:val="both"/>
              <w:rPr>
                <w:sz w:val="20"/>
                <w:szCs w:val="20"/>
              </w:rPr>
            </w:pPr>
            <w:r w:rsidRPr="00DB4F12">
              <w:rPr>
                <w:sz w:val="20"/>
                <w:szCs w:val="20"/>
              </w:rPr>
              <w:t>July 9, 2012</w:t>
            </w:r>
          </w:p>
          <w:p w:rsidR="00491F5E" w:rsidRPr="00DB4F12" w:rsidRDefault="00491F5E" w:rsidP="00CF3230">
            <w:pPr>
              <w:jc w:val="both"/>
              <w:rPr>
                <w:sz w:val="20"/>
                <w:szCs w:val="20"/>
              </w:rPr>
            </w:pPr>
            <w:r w:rsidRPr="00DB4F12">
              <w:rPr>
                <w:sz w:val="20"/>
                <w:szCs w:val="20"/>
              </w:rPr>
              <w:t xml:space="preserve">Court of Appeal for British Columbia </w:t>
            </w:r>
          </w:p>
          <w:p w:rsidR="00491F5E" w:rsidRPr="00DB4F12" w:rsidRDefault="00491F5E" w:rsidP="00CF3230">
            <w:pPr>
              <w:jc w:val="both"/>
              <w:rPr>
                <w:sz w:val="20"/>
                <w:szCs w:val="20"/>
              </w:rPr>
            </w:pPr>
            <w:r w:rsidRPr="00DB4F12">
              <w:rPr>
                <w:sz w:val="20"/>
                <w:szCs w:val="20"/>
              </w:rPr>
              <w:t>(Vancouver)</w:t>
            </w:r>
          </w:p>
          <w:p w:rsidR="00491F5E" w:rsidRPr="00DB4F12" w:rsidRDefault="00491F5E" w:rsidP="00CF3230">
            <w:pPr>
              <w:jc w:val="both"/>
              <w:rPr>
                <w:sz w:val="20"/>
                <w:szCs w:val="20"/>
              </w:rPr>
            </w:pPr>
            <w:r w:rsidRPr="00DB4F12">
              <w:rPr>
                <w:sz w:val="20"/>
                <w:szCs w:val="20"/>
              </w:rPr>
              <w:t>(Finch, Newbury, Levine JJ.A.)</w:t>
            </w:r>
          </w:p>
          <w:p w:rsidR="00491F5E" w:rsidRPr="00DB4F12" w:rsidRDefault="00491F5E" w:rsidP="00CF3230">
            <w:pPr>
              <w:jc w:val="both"/>
              <w:rPr>
                <w:sz w:val="20"/>
                <w:szCs w:val="20"/>
              </w:rPr>
            </w:pPr>
            <w:r w:rsidRPr="00DB4F12">
              <w:rPr>
                <w:sz w:val="20"/>
                <w:szCs w:val="20"/>
              </w:rPr>
              <w:t>2012 BCCA 313; CA039128</w:t>
            </w:r>
          </w:p>
          <w:p w:rsidR="00491F5E" w:rsidRPr="00DB4F12" w:rsidRDefault="00491F5E" w:rsidP="00CF3230">
            <w:pPr>
              <w:jc w:val="both"/>
              <w:rPr>
                <w:sz w:val="20"/>
                <w:szCs w:val="20"/>
              </w:rPr>
            </w:pPr>
          </w:p>
        </w:tc>
        <w:tc>
          <w:tcPr>
            <w:tcW w:w="270" w:type="pct"/>
          </w:tcPr>
          <w:p w:rsidR="00491F5E" w:rsidRPr="00DB4F12" w:rsidRDefault="00491F5E" w:rsidP="00CF3230">
            <w:pPr>
              <w:jc w:val="both"/>
              <w:rPr>
                <w:sz w:val="20"/>
                <w:szCs w:val="20"/>
              </w:rPr>
            </w:pPr>
          </w:p>
        </w:tc>
        <w:tc>
          <w:tcPr>
            <w:tcW w:w="2340" w:type="pct"/>
          </w:tcPr>
          <w:p w:rsidR="00491F5E" w:rsidRPr="00DB4F12" w:rsidRDefault="00491F5E" w:rsidP="00CF3230">
            <w:pPr>
              <w:jc w:val="both"/>
              <w:rPr>
                <w:sz w:val="20"/>
                <w:szCs w:val="20"/>
              </w:rPr>
            </w:pPr>
            <w:r w:rsidRPr="00DB4F12">
              <w:rPr>
                <w:sz w:val="20"/>
                <w:szCs w:val="20"/>
              </w:rPr>
              <w:t>Appeal allowed, complaint dismissed</w:t>
            </w:r>
          </w:p>
          <w:p w:rsidR="00491F5E" w:rsidRPr="00DB4F12" w:rsidRDefault="00491F5E" w:rsidP="00CF3230">
            <w:pPr>
              <w:jc w:val="both"/>
              <w:rPr>
                <w:sz w:val="20"/>
                <w:szCs w:val="20"/>
              </w:rPr>
            </w:pPr>
          </w:p>
        </w:tc>
      </w:tr>
      <w:tr w:rsidR="00491F5E" w:rsidRPr="00DB4F12" w:rsidTr="00CF3230">
        <w:tblPrEx>
          <w:tblCellMar>
            <w:bottom w:w="0" w:type="dxa"/>
          </w:tblCellMar>
        </w:tblPrEx>
        <w:tc>
          <w:tcPr>
            <w:tcW w:w="2390" w:type="pct"/>
          </w:tcPr>
          <w:p w:rsidR="00491F5E" w:rsidRPr="00DB4F12" w:rsidRDefault="00491F5E" w:rsidP="00CF3230">
            <w:pPr>
              <w:jc w:val="both"/>
              <w:rPr>
                <w:sz w:val="20"/>
                <w:szCs w:val="20"/>
              </w:rPr>
            </w:pPr>
            <w:r w:rsidRPr="00DB4F12">
              <w:rPr>
                <w:sz w:val="20"/>
                <w:szCs w:val="20"/>
              </w:rPr>
              <w:t>September 28, 2012</w:t>
            </w:r>
          </w:p>
          <w:p w:rsidR="00491F5E" w:rsidRPr="00DB4F12" w:rsidRDefault="00491F5E" w:rsidP="00CF3230">
            <w:pPr>
              <w:jc w:val="both"/>
              <w:rPr>
                <w:sz w:val="20"/>
                <w:szCs w:val="20"/>
              </w:rPr>
            </w:pPr>
            <w:r w:rsidRPr="00DB4F12">
              <w:rPr>
                <w:sz w:val="20"/>
                <w:szCs w:val="20"/>
              </w:rPr>
              <w:t>Supreme Court of Canada</w:t>
            </w:r>
          </w:p>
        </w:tc>
        <w:tc>
          <w:tcPr>
            <w:tcW w:w="270" w:type="pct"/>
          </w:tcPr>
          <w:p w:rsidR="00491F5E" w:rsidRPr="00DB4F12" w:rsidRDefault="00491F5E" w:rsidP="00CF3230">
            <w:pPr>
              <w:jc w:val="both"/>
              <w:rPr>
                <w:sz w:val="20"/>
                <w:szCs w:val="20"/>
              </w:rPr>
            </w:pPr>
          </w:p>
        </w:tc>
        <w:tc>
          <w:tcPr>
            <w:tcW w:w="2340" w:type="pct"/>
          </w:tcPr>
          <w:p w:rsidR="00491F5E" w:rsidRPr="00DB4F12" w:rsidRDefault="00491F5E" w:rsidP="00CF3230">
            <w:pPr>
              <w:jc w:val="both"/>
              <w:rPr>
                <w:sz w:val="20"/>
                <w:szCs w:val="20"/>
              </w:rPr>
            </w:pPr>
            <w:r w:rsidRPr="00DB4F12">
              <w:rPr>
                <w:sz w:val="20"/>
                <w:szCs w:val="20"/>
              </w:rPr>
              <w:t>Application for leave to appeal filed</w:t>
            </w:r>
          </w:p>
          <w:p w:rsidR="00491F5E" w:rsidRPr="00DB4F12" w:rsidRDefault="00491F5E" w:rsidP="00CF3230">
            <w:pPr>
              <w:jc w:val="both"/>
              <w:rPr>
                <w:sz w:val="20"/>
                <w:szCs w:val="20"/>
              </w:rPr>
            </w:pPr>
          </w:p>
        </w:tc>
      </w:tr>
    </w:tbl>
    <w:p w:rsidR="003101AB" w:rsidRPr="00C50A5C" w:rsidRDefault="003101AB" w:rsidP="003101AB">
      <w:pPr>
        <w:rPr>
          <w:sz w:val="20"/>
          <w:szCs w:val="20"/>
        </w:rPr>
      </w:pPr>
    </w:p>
    <w:p w:rsidR="003101AB" w:rsidRPr="00C50A5C" w:rsidRDefault="003F21C7" w:rsidP="003101AB">
      <w:pPr>
        <w:rPr>
          <w:sz w:val="20"/>
          <w:szCs w:val="20"/>
        </w:rPr>
      </w:pPr>
      <w:r w:rsidRPr="003F21C7">
        <w:rPr>
          <w:sz w:val="20"/>
          <w:szCs w:val="20"/>
          <w:lang w:val="fr-CA"/>
        </w:rPr>
        <w:pict>
          <v:rect id="_x0000_i1040" style="width:2in;height:1pt" o:hrpct="0" o:hralign="center" o:hrstd="t" o:hrnoshade="t" o:hr="t" fillcolor="black [3213]" stroked="f"/>
        </w:pict>
      </w:r>
    </w:p>
    <w:p w:rsidR="003101AB" w:rsidRDefault="003101AB" w:rsidP="003101AB">
      <w:pPr>
        <w:rPr>
          <w:sz w:val="20"/>
          <w:szCs w:val="20"/>
        </w:rPr>
      </w:pPr>
    </w:p>
    <w:p w:rsidR="003101AB" w:rsidRPr="001B157C" w:rsidRDefault="003101AB" w:rsidP="003101AB">
      <w:pPr>
        <w:rPr>
          <w:sz w:val="20"/>
          <w:szCs w:val="20"/>
          <w:u w:val="single"/>
          <w:lang w:val="fr-CA"/>
        </w:rPr>
      </w:pPr>
      <w:r w:rsidRPr="001B157C">
        <w:rPr>
          <w:sz w:val="20"/>
          <w:szCs w:val="20"/>
          <w:u w:val="single"/>
          <w:lang w:val="fr-CA"/>
        </w:rPr>
        <w:t>RÉSUMÉ DE L’AFFAIRE</w:t>
      </w:r>
    </w:p>
    <w:p w:rsidR="003101AB" w:rsidRDefault="003101AB" w:rsidP="008D292F">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491F5E" w:rsidRPr="00462F49" w:rsidTr="00CF3230">
        <w:tc>
          <w:tcPr>
            <w:tcW w:w="5000" w:type="pct"/>
            <w:gridSpan w:val="3"/>
          </w:tcPr>
          <w:p w:rsidR="00491F5E" w:rsidRPr="00DB4F12" w:rsidRDefault="00491F5E" w:rsidP="00CF3230">
            <w:pPr>
              <w:jc w:val="both"/>
              <w:rPr>
                <w:sz w:val="20"/>
                <w:szCs w:val="20"/>
                <w:lang w:val="fr-CA"/>
              </w:rPr>
            </w:pPr>
            <w:r w:rsidRPr="00DB4F12">
              <w:rPr>
                <w:sz w:val="20"/>
                <w:szCs w:val="20"/>
                <w:lang w:val="fr-CA"/>
              </w:rPr>
              <w:t xml:space="preserve">Droits de la personne — Relation d'emploi — Sociétés de personnes — La Cour d'appel a statué qu'une société de personnes ne devait pas être traitée comme l'employeur d'un associé aux fins de la législation sur les droits de la personne — Une analyse de fond de l'interprétation du mot « emploi » aux fins des droits de la personne, dans un </w:t>
            </w:r>
            <w:r w:rsidRPr="00DB4F12">
              <w:rPr>
                <w:sz w:val="20"/>
                <w:szCs w:val="20"/>
                <w:lang w:val="fr-CA"/>
              </w:rPr>
              <w:lastRenderedPageBreak/>
              <w:t>contexte moderne, devrait-elle être exclue par un critère préliminaire fondé sur la forme juridique particulière?</w:t>
            </w:r>
          </w:p>
        </w:tc>
      </w:tr>
      <w:tr w:rsidR="00491F5E" w:rsidRPr="00462F49" w:rsidTr="00CF3230">
        <w:tc>
          <w:tcPr>
            <w:tcW w:w="5000" w:type="pct"/>
            <w:gridSpan w:val="3"/>
          </w:tcPr>
          <w:p w:rsidR="00491F5E" w:rsidRPr="00DB4F12" w:rsidRDefault="00491F5E" w:rsidP="00CF3230">
            <w:pPr>
              <w:jc w:val="both"/>
              <w:rPr>
                <w:sz w:val="20"/>
                <w:szCs w:val="20"/>
                <w:lang w:val="fr-CA"/>
              </w:rPr>
            </w:pPr>
          </w:p>
        </w:tc>
      </w:tr>
      <w:tr w:rsidR="00491F5E" w:rsidRPr="00462F49" w:rsidTr="00CF3230">
        <w:tc>
          <w:tcPr>
            <w:tcW w:w="5000" w:type="pct"/>
            <w:gridSpan w:val="3"/>
          </w:tcPr>
          <w:p w:rsidR="00491F5E" w:rsidRPr="00DB4F12" w:rsidRDefault="00491F5E" w:rsidP="00CF3230">
            <w:pPr>
              <w:jc w:val="both"/>
              <w:rPr>
                <w:sz w:val="20"/>
                <w:szCs w:val="20"/>
                <w:lang w:val="fr-CA"/>
              </w:rPr>
            </w:pPr>
            <w:r w:rsidRPr="00DB4F12">
              <w:rPr>
                <w:sz w:val="20"/>
                <w:szCs w:val="20"/>
                <w:lang w:val="fr-CA"/>
              </w:rPr>
              <w:t xml:space="preserve">Le demandeur est associé dans le cabinet d'avocats intimé, une société à responsabilité limitée inscrite sous le régime de la </w:t>
            </w:r>
            <w:r w:rsidRPr="00DB4F12">
              <w:rPr>
                <w:i/>
                <w:sz w:val="20"/>
                <w:szCs w:val="20"/>
                <w:lang w:val="fr-CA"/>
              </w:rPr>
              <w:t>Partnership Act</w:t>
            </w:r>
            <w:r w:rsidRPr="00DB4F12">
              <w:rPr>
                <w:sz w:val="20"/>
                <w:szCs w:val="20"/>
                <w:lang w:val="fr-CA"/>
              </w:rPr>
              <w:t xml:space="preserve">, R.S.B.C. 1996, ch. 348. Il a atteint l'âge de 65 ans en mars 2010. En vertu du contrat de société, à moins d'entente individuelle contraire, il était tenu de partir à la retraite comme associé à la fin de 2010. Il a déposé une plainte au tribunal des droits de la personne de la Colombie-Britannique, alléguant que intimé fait de la discrimination contre lui dans son emploi, fondée sur son âge, contrairement à l'art. 13 du </w:t>
            </w:r>
            <w:r w:rsidRPr="00DB4F12">
              <w:rPr>
                <w:i/>
                <w:sz w:val="20"/>
                <w:szCs w:val="20"/>
                <w:lang w:val="fr-CA"/>
              </w:rPr>
              <w:t>Human Rights Code</w:t>
            </w:r>
            <w:r w:rsidRPr="00DB4F12">
              <w:rPr>
                <w:sz w:val="20"/>
                <w:szCs w:val="20"/>
                <w:lang w:val="fr-CA"/>
              </w:rPr>
              <w:t>, R.S.B.C. 1996, ch. 210. L'intimé a demandé le rejet de la plainte en vertu des al. 27(1)</w:t>
            </w:r>
            <w:r w:rsidRPr="00DB4F12">
              <w:rPr>
                <w:i/>
                <w:sz w:val="20"/>
                <w:szCs w:val="20"/>
                <w:lang w:val="fr-CA"/>
              </w:rPr>
              <w:t>a)</w:t>
            </w:r>
            <w:r w:rsidRPr="00DB4F12">
              <w:rPr>
                <w:sz w:val="20"/>
                <w:szCs w:val="20"/>
                <w:lang w:val="fr-CA"/>
              </w:rPr>
              <w:t xml:space="preserve"> et </w:t>
            </w:r>
            <w:r w:rsidRPr="00DB4F12">
              <w:rPr>
                <w:i/>
                <w:sz w:val="20"/>
                <w:szCs w:val="20"/>
                <w:lang w:val="fr-CA"/>
              </w:rPr>
              <w:t>c)</w:t>
            </w:r>
            <w:r w:rsidRPr="00DB4F12">
              <w:rPr>
                <w:sz w:val="20"/>
                <w:szCs w:val="20"/>
                <w:lang w:val="fr-CA"/>
              </w:rPr>
              <w:t xml:space="preserve"> du </w:t>
            </w:r>
            <w:r w:rsidRPr="00DB4F12">
              <w:rPr>
                <w:i/>
                <w:sz w:val="20"/>
                <w:szCs w:val="20"/>
                <w:lang w:val="fr-CA"/>
              </w:rPr>
              <w:t>Code</w:t>
            </w:r>
            <w:r w:rsidRPr="00DB4F12">
              <w:rPr>
                <w:sz w:val="20"/>
                <w:szCs w:val="20"/>
                <w:lang w:val="fr-CA"/>
              </w:rPr>
              <w:t xml:space="preserve">, au motif que le tribunal n'a pas compétence à l'égard de la plainte et que celle-ci n'a aucune possibilité raisonnable de succès. Le tribunal a rejeté la demande de l'intimé. L'intimé a demandé le contrôle judiciaire. </w:t>
            </w:r>
          </w:p>
          <w:p w:rsidR="00491F5E" w:rsidRPr="00DB4F12" w:rsidRDefault="00491F5E" w:rsidP="00CF3230">
            <w:pPr>
              <w:jc w:val="both"/>
              <w:rPr>
                <w:sz w:val="20"/>
                <w:szCs w:val="20"/>
                <w:lang w:val="fr-CA"/>
              </w:rPr>
            </w:pPr>
          </w:p>
        </w:tc>
      </w:tr>
      <w:tr w:rsidR="00491F5E" w:rsidRPr="00462F49" w:rsidTr="00CF3230">
        <w:tblPrEx>
          <w:tblCellMar>
            <w:bottom w:w="0" w:type="dxa"/>
          </w:tblCellMar>
        </w:tblPrEx>
        <w:tc>
          <w:tcPr>
            <w:tcW w:w="2390" w:type="pct"/>
          </w:tcPr>
          <w:p w:rsidR="00491F5E" w:rsidRPr="00DB4F12" w:rsidRDefault="00491F5E" w:rsidP="00CF3230">
            <w:pPr>
              <w:jc w:val="both"/>
              <w:rPr>
                <w:sz w:val="20"/>
                <w:szCs w:val="20"/>
                <w:lang w:val="fr-CA"/>
              </w:rPr>
            </w:pPr>
            <w:r w:rsidRPr="00DB4F12">
              <w:rPr>
                <w:sz w:val="20"/>
                <w:szCs w:val="20"/>
                <w:lang w:val="fr-CA"/>
              </w:rPr>
              <w:t>2 juin 2011</w:t>
            </w:r>
          </w:p>
          <w:p w:rsidR="00491F5E" w:rsidRPr="00DB4F12" w:rsidRDefault="00491F5E" w:rsidP="00CF3230">
            <w:pPr>
              <w:jc w:val="both"/>
              <w:rPr>
                <w:sz w:val="20"/>
                <w:szCs w:val="20"/>
                <w:lang w:val="fr-CA"/>
              </w:rPr>
            </w:pPr>
            <w:r w:rsidRPr="00DB4F12">
              <w:rPr>
                <w:sz w:val="20"/>
                <w:szCs w:val="20"/>
                <w:lang w:val="fr-CA"/>
              </w:rPr>
              <w:t xml:space="preserve">Cour suprême de la Colombie-Britannique </w:t>
            </w:r>
          </w:p>
          <w:p w:rsidR="00491F5E" w:rsidRPr="00DB4F12" w:rsidRDefault="00491F5E" w:rsidP="00CF3230">
            <w:pPr>
              <w:jc w:val="both"/>
              <w:rPr>
                <w:sz w:val="20"/>
                <w:szCs w:val="20"/>
                <w:lang w:val="fr-CA"/>
              </w:rPr>
            </w:pPr>
            <w:r w:rsidRPr="00DB4F12">
              <w:rPr>
                <w:sz w:val="20"/>
                <w:szCs w:val="20"/>
                <w:lang w:val="fr-CA"/>
              </w:rPr>
              <w:t>(Juge Bruce)</w:t>
            </w:r>
          </w:p>
          <w:p w:rsidR="00491F5E" w:rsidRPr="00DB4F12" w:rsidRDefault="00491F5E" w:rsidP="00CF3230">
            <w:pPr>
              <w:jc w:val="both"/>
              <w:rPr>
                <w:sz w:val="20"/>
                <w:szCs w:val="20"/>
                <w:lang w:val="fr-CA"/>
              </w:rPr>
            </w:pPr>
            <w:r w:rsidRPr="00DB4F12">
              <w:rPr>
                <w:sz w:val="20"/>
                <w:szCs w:val="20"/>
                <w:lang w:val="fr-CA"/>
              </w:rPr>
              <w:t>2011 BCSC 713</w:t>
            </w:r>
          </w:p>
          <w:p w:rsidR="00491F5E" w:rsidRPr="00DB4F12" w:rsidRDefault="00491F5E" w:rsidP="00CF3230">
            <w:pPr>
              <w:jc w:val="both"/>
              <w:rPr>
                <w:sz w:val="20"/>
                <w:szCs w:val="20"/>
                <w:lang w:val="fr-CA"/>
              </w:rPr>
            </w:pPr>
          </w:p>
        </w:tc>
        <w:tc>
          <w:tcPr>
            <w:tcW w:w="270" w:type="pct"/>
          </w:tcPr>
          <w:p w:rsidR="00491F5E" w:rsidRPr="00DB4F12" w:rsidRDefault="00491F5E" w:rsidP="00CF3230">
            <w:pPr>
              <w:jc w:val="both"/>
              <w:rPr>
                <w:sz w:val="20"/>
                <w:szCs w:val="20"/>
                <w:lang w:val="fr-CA"/>
              </w:rPr>
            </w:pPr>
          </w:p>
        </w:tc>
        <w:tc>
          <w:tcPr>
            <w:tcW w:w="2340" w:type="pct"/>
          </w:tcPr>
          <w:p w:rsidR="00491F5E" w:rsidRPr="00DB4F12" w:rsidRDefault="00491F5E" w:rsidP="00CF3230">
            <w:pPr>
              <w:jc w:val="both"/>
              <w:rPr>
                <w:sz w:val="20"/>
                <w:szCs w:val="20"/>
                <w:lang w:val="fr-CA"/>
              </w:rPr>
            </w:pPr>
            <w:r w:rsidRPr="00DB4F12">
              <w:rPr>
                <w:sz w:val="20"/>
                <w:szCs w:val="20"/>
                <w:lang w:val="fr-CA"/>
              </w:rPr>
              <w:t xml:space="preserve">Demande de contrôle judiciaire d'une déclaration par le tribunal des droits de la personne de la Colombie-Britannique portant qu'il a compétence pour entendre et examiner la plainte du demandeur, rejetée </w:t>
            </w:r>
          </w:p>
        </w:tc>
      </w:tr>
      <w:tr w:rsidR="00491F5E" w:rsidRPr="00DB4F12" w:rsidTr="00CF3230">
        <w:tblPrEx>
          <w:tblCellMar>
            <w:bottom w:w="0" w:type="dxa"/>
          </w:tblCellMar>
        </w:tblPrEx>
        <w:tc>
          <w:tcPr>
            <w:tcW w:w="2390" w:type="pct"/>
          </w:tcPr>
          <w:p w:rsidR="00491F5E" w:rsidRPr="00DB4F12" w:rsidRDefault="00491F5E" w:rsidP="00CF3230">
            <w:pPr>
              <w:jc w:val="both"/>
              <w:rPr>
                <w:sz w:val="20"/>
                <w:szCs w:val="20"/>
                <w:lang w:val="fr-CA"/>
              </w:rPr>
            </w:pPr>
          </w:p>
          <w:p w:rsidR="00491F5E" w:rsidRPr="00DB4F12" w:rsidRDefault="00491F5E" w:rsidP="00CF3230">
            <w:pPr>
              <w:jc w:val="both"/>
              <w:rPr>
                <w:sz w:val="20"/>
                <w:szCs w:val="20"/>
                <w:lang w:val="fr-CA"/>
              </w:rPr>
            </w:pPr>
            <w:r w:rsidRPr="00DB4F12">
              <w:rPr>
                <w:sz w:val="20"/>
                <w:szCs w:val="20"/>
                <w:lang w:val="fr-CA"/>
              </w:rPr>
              <w:t>9 juillet 2012</w:t>
            </w:r>
          </w:p>
          <w:p w:rsidR="00491F5E" w:rsidRPr="00DB4F12" w:rsidRDefault="00491F5E" w:rsidP="00CF3230">
            <w:pPr>
              <w:jc w:val="both"/>
              <w:rPr>
                <w:sz w:val="20"/>
                <w:szCs w:val="20"/>
                <w:lang w:val="fr-CA"/>
              </w:rPr>
            </w:pPr>
            <w:r w:rsidRPr="00DB4F12">
              <w:rPr>
                <w:sz w:val="20"/>
                <w:szCs w:val="20"/>
                <w:lang w:val="fr-CA"/>
              </w:rPr>
              <w:t xml:space="preserve">Cour d'appel de la Colombie-Britannique </w:t>
            </w:r>
          </w:p>
          <w:p w:rsidR="00491F5E" w:rsidRPr="00DB4F12" w:rsidRDefault="00491F5E" w:rsidP="00CF3230">
            <w:pPr>
              <w:jc w:val="both"/>
              <w:rPr>
                <w:sz w:val="20"/>
                <w:szCs w:val="20"/>
                <w:lang w:val="fr-CA"/>
              </w:rPr>
            </w:pPr>
            <w:r w:rsidRPr="00DB4F12">
              <w:rPr>
                <w:sz w:val="20"/>
                <w:szCs w:val="20"/>
                <w:lang w:val="fr-CA"/>
              </w:rPr>
              <w:t>(Vancouver)</w:t>
            </w:r>
          </w:p>
          <w:p w:rsidR="00491F5E" w:rsidRPr="00DB4F12" w:rsidRDefault="00491F5E" w:rsidP="00CF3230">
            <w:pPr>
              <w:jc w:val="both"/>
              <w:rPr>
                <w:sz w:val="20"/>
                <w:szCs w:val="20"/>
                <w:lang w:val="fr-CA"/>
              </w:rPr>
            </w:pPr>
            <w:r w:rsidRPr="00DB4F12">
              <w:rPr>
                <w:sz w:val="20"/>
                <w:szCs w:val="20"/>
                <w:lang w:val="fr-CA"/>
              </w:rPr>
              <w:t>(Juge en chef Finch, juges Newbury et Levine)</w:t>
            </w:r>
          </w:p>
          <w:p w:rsidR="00491F5E" w:rsidRPr="00DB4F12" w:rsidRDefault="00491F5E" w:rsidP="00CF3230">
            <w:pPr>
              <w:jc w:val="both"/>
              <w:rPr>
                <w:sz w:val="20"/>
                <w:szCs w:val="20"/>
                <w:lang w:val="fr-CA"/>
              </w:rPr>
            </w:pPr>
            <w:r w:rsidRPr="00DB4F12">
              <w:rPr>
                <w:sz w:val="20"/>
                <w:szCs w:val="20"/>
                <w:lang w:val="fr-CA"/>
              </w:rPr>
              <w:t>2012 BCCA 313; CA039128</w:t>
            </w:r>
          </w:p>
          <w:p w:rsidR="00491F5E" w:rsidRPr="00DB4F12" w:rsidRDefault="00491F5E" w:rsidP="00CF3230">
            <w:pPr>
              <w:jc w:val="both"/>
              <w:rPr>
                <w:sz w:val="20"/>
                <w:szCs w:val="20"/>
                <w:lang w:val="fr-CA"/>
              </w:rPr>
            </w:pPr>
          </w:p>
        </w:tc>
        <w:tc>
          <w:tcPr>
            <w:tcW w:w="270" w:type="pct"/>
          </w:tcPr>
          <w:p w:rsidR="00491F5E" w:rsidRPr="00DB4F12" w:rsidRDefault="00491F5E" w:rsidP="00CF3230">
            <w:pPr>
              <w:jc w:val="both"/>
              <w:rPr>
                <w:sz w:val="20"/>
                <w:szCs w:val="20"/>
                <w:lang w:val="fr-CA"/>
              </w:rPr>
            </w:pPr>
          </w:p>
        </w:tc>
        <w:tc>
          <w:tcPr>
            <w:tcW w:w="2340" w:type="pct"/>
          </w:tcPr>
          <w:p w:rsidR="00491F5E" w:rsidRPr="00DB4F12" w:rsidRDefault="00491F5E" w:rsidP="00CF3230">
            <w:pPr>
              <w:jc w:val="both"/>
              <w:rPr>
                <w:sz w:val="20"/>
                <w:szCs w:val="20"/>
                <w:lang w:val="fr-CA"/>
              </w:rPr>
            </w:pPr>
          </w:p>
          <w:p w:rsidR="00491F5E" w:rsidRPr="00DB4F12" w:rsidRDefault="00491F5E" w:rsidP="00CF3230">
            <w:pPr>
              <w:jc w:val="both"/>
              <w:rPr>
                <w:sz w:val="20"/>
                <w:szCs w:val="20"/>
                <w:lang w:val="fr-CA"/>
              </w:rPr>
            </w:pPr>
            <w:r w:rsidRPr="00DB4F12">
              <w:rPr>
                <w:sz w:val="20"/>
                <w:szCs w:val="20"/>
                <w:lang w:val="fr-CA"/>
              </w:rPr>
              <w:t>Appel accueilli, plainte rejetée</w:t>
            </w:r>
          </w:p>
          <w:p w:rsidR="00491F5E" w:rsidRPr="00DB4F12" w:rsidRDefault="00491F5E" w:rsidP="00CF3230">
            <w:pPr>
              <w:jc w:val="both"/>
              <w:rPr>
                <w:sz w:val="20"/>
                <w:szCs w:val="20"/>
                <w:lang w:val="fr-CA"/>
              </w:rPr>
            </w:pPr>
          </w:p>
        </w:tc>
      </w:tr>
      <w:tr w:rsidR="00491F5E" w:rsidRPr="00DB4F12" w:rsidTr="00CF3230">
        <w:tblPrEx>
          <w:tblCellMar>
            <w:bottom w:w="0" w:type="dxa"/>
          </w:tblCellMar>
        </w:tblPrEx>
        <w:tc>
          <w:tcPr>
            <w:tcW w:w="2390" w:type="pct"/>
          </w:tcPr>
          <w:p w:rsidR="00491F5E" w:rsidRPr="00DB4F12" w:rsidRDefault="00491F5E" w:rsidP="00CF3230">
            <w:pPr>
              <w:jc w:val="both"/>
              <w:rPr>
                <w:sz w:val="20"/>
                <w:szCs w:val="20"/>
                <w:lang w:val="fr-CA"/>
              </w:rPr>
            </w:pPr>
            <w:r w:rsidRPr="00DB4F12">
              <w:rPr>
                <w:sz w:val="20"/>
                <w:szCs w:val="20"/>
                <w:lang w:val="fr-CA"/>
              </w:rPr>
              <w:t>28 septembre 2012</w:t>
            </w:r>
          </w:p>
          <w:p w:rsidR="00491F5E" w:rsidRPr="00DB4F12" w:rsidRDefault="00491F5E" w:rsidP="00CF3230">
            <w:pPr>
              <w:jc w:val="both"/>
              <w:rPr>
                <w:sz w:val="20"/>
                <w:szCs w:val="20"/>
                <w:lang w:val="fr-CA"/>
              </w:rPr>
            </w:pPr>
            <w:r w:rsidRPr="00DB4F12">
              <w:rPr>
                <w:sz w:val="20"/>
                <w:szCs w:val="20"/>
                <w:lang w:val="fr-CA"/>
              </w:rPr>
              <w:t>Cour suprême du Canada</w:t>
            </w:r>
          </w:p>
        </w:tc>
        <w:tc>
          <w:tcPr>
            <w:tcW w:w="270" w:type="pct"/>
          </w:tcPr>
          <w:p w:rsidR="00491F5E" w:rsidRPr="00DB4F12" w:rsidRDefault="00491F5E" w:rsidP="00CF3230">
            <w:pPr>
              <w:jc w:val="both"/>
              <w:rPr>
                <w:sz w:val="20"/>
                <w:szCs w:val="20"/>
                <w:lang w:val="fr-CA"/>
              </w:rPr>
            </w:pPr>
          </w:p>
        </w:tc>
        <w:tc>
          <w:tcPr>
            <w:tcW w:w="2340" w:type="pct"/>
          </w:tcPr>
          <w:p w:rsidR="00491F5E" w:rsidRPr="00DB4F12" w:rsidRDefault="00491F5E" w:rsidP="00CF3230">
            <w:pPr>
              <w:jc w:val="both"/>
              <w:rPr>
                <w:sz w:val="20"/>
                <w:szCs w:val="20"/>
                <w:lang w:val="fr-CA"/>
              </w:rPr>
            </w:pPr>
            <w:r w:rsidRPr="00DB4F12">
              <w:rPr>
                <w:sz w:val="20"/>
                <w:szCs w:val="20"/>
                <w:lang w:val="fr-CA"/>
              </w:rPr>
              <w:t>Demande d'autorisation d'appel, déposée</w:t>
            </w:r>
          </w:p>
          <w:p w:rsidR="00491F5E" w:rsidRPr="00DB4F12" w:rsidRDefault="00491F5E" w:rsidP="00CF3230">
            <w:pPr>
              <w:jc w:val="both"/>
              <w:rPr>
                <w:sz w:val="20"/>
                <w:szCs w:val="20"/>
                <w:lang w:val="fr-CA"/>
              </w:rPr>
            </w:pPr>
          </w:p>
        </w:tc>
      </w:tr>
    </w:tbl>
    <w:p w:rsidR="003101AB" w:rsidRDefault="003101AB" w:rsidP="008D292F">
      <w:pPr>
        <w:rPr>
          <w:sz w:val="20"/>
          <w:szCs w:val="20"/>
        </w:rPr>
      </w:pPr>
    </w:p>
    <w:p w:rsidR="003101AB" w:rsidRDefault="003F21C7" w:rsidP="008D292F">
      <w:pPr>
        <w:rPr>
          <w:sz w:val="20"/>
          <w:szCs w:val="20"/>
          <w:lang w:val="fr-CA"/>
        </w:rPr>
      </w:pPr>
      <w:r w:rsidRPr="003F21C7">
        <w:rPr>
          <w:sz w:val="20"/>
          <w:szCs w:val="20"/>
          <w:lang w:val="fr-CA"/>
        </w:rPr>
        <w:pict>
          <v:rect id="_x0000_i1041" style="width:2in;height:1pt" o:hrpct="0" o:hralign="center" o:hrstd="t" o:hrnoshade="t" o:hr="t" fillcolor="black [3213]" stroked="f"/>
        </w:pict>
      </w:r>
    </w:p>
    <w:p w:rsidR="003101AB" w:rsidRDefault="003101AB"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43A3D" w:rsidRPr="00A47DB1" w:rsidTr="00DD7751">
        <w:trPr>
          <w:cantSplit/>
        </w:trPr>
        <w:tc>
          <w:tcPr>
            <w:tcW w:w="1458" w:type="dxa"/>
          </w:tcPr>
          <w:p w:rsidR="00D43A3D" w:rsidRPr="00A47DB1" w:rsidRDefault="00D43A3D" w:rsidP="00DD7751">
            <w:pPr>
              <w:rPr>
                <w:sz w:val="20"/>
                <w:szCs w:val="20"/>
              </w:rPr>
            </w:pPr>
            <w:r w:rsidRPr="00A47DB1">
              <w:rPr>
                <w:rStyle w:val="SCCFileNumberChar"/>
                <w:sz w:val="20"/>
                <w:szCs w:val="20"/>
              </w:rPr>
              <w:t>34999</w:t>
            </w:r>
          </w:p>
          <w:p w:rsidR="00D43A3D" w:rsidRPr="00A47DB1" w:rsidRDefault="00D43A3D" w:rsidP="00DD7751">
            <w:pPr>
              <w:rPr>
                <w:b/>
                <w:sz w:val="20"/>
                <w:szCs w:val="20"/>
                <w:lang w:val="fr-CA"/>
              </w:rPr>
            </w:pPr>
          </w:p>
        </w:tc>
        <w:tc>
          <w:tcPr>
            <w:tcW w:w="8118" w:type="dxa"/>
          </w:tcPr>
          <w:p w:rsidR="00D43A3D" w:rsidRPr="00A47DB1" w:rsidRDefault="00D43A3D" w:rsidP="00DD7751">
            <w:pPr>
              <w:rPr>
                <w:sz w:val="20"/>
                <w:szCs w:val="20"/>
              </w:rPr>
            </w:pPr>
            <w:r w:rsidRPr="00A47DB1">
              <w:rPr>
                <w:rStyle w:val="SCCLsocChar"/>
                <w:sz w:val="20"/>
                <w:szCs w:val="20"/>
                <w:lang w:val="en-CA"/>
              </w:rPr>
              <w:t>Her Majesty the Queen in Right of Alberta v. Husky Energy Inc.</w:t>
            </w:r>
            <w:r w:rsidRPr="00A47DB1">
              <w:rPr>
                <w:sz w:val="20"/>
                <w:szCs w:val="20"/>
              </w:rPr>
              <w:t xml:space="preserve"> (Alta.) (Civil) (By Leave)</w:t>
            </w:r>
          </w:p>
          <w:p w:rsidR="00D43A3D" w:rsidRPr="00A47DB1" w:rsidRDefault="00D43A3D" w:rsidP="00DD7751">
            <w:pPr>
              <w:rPr>
                <w:sz w:val="20"/>
                <w:szCs w:val="20"/>
              </w:rPr>
            </w:pPr>
          </w:p>
        </w:tc>
      </w:tr>
      <w:tr w:rsidR="00D43A3D" w:rsidRPr="00A47DB1" w:rsidTr="00DD7751">
        <w:trPr>
          <w:cantSplit/>
        </w:trPr>
        <w:tc>
          <w:tcPr>
            <w:tcW w:w="1458" w:type="dxa"/>
          </w:tcPr>
          <w:p w:rsidR="00D43A3D" w:rsidRPr="00A47DB1" w:rsidRDefault="00D43A3D" w:rsidP="00DD7751">
            <w:pPr>
              <w:rPr>
                <w:sz w:val="20"/>
                <w:szCs w:val="20"/>
              </w:rPr>
            </w:pPr>
            <w:r w:rsidRPr="00A47DB1">
              <w:rPr>
                <w:sz w:val="20"/>
                <w:szCs w:val="20"/>
              </w:rPr>
              <w:t>Coram :</w:t>
            </w:r>
          </w:p>
        </w:tc>
        <w:tc>
          <w:tcPr>
            <w:tcW w:w="8118" w:type="dxa"/>
          </w:tcPr>
          <w:p w:rsidR="00D43A3D" w:rsidRPr="00A47DB1" w:rsidRDefault="00D43A3D" w:rsidP="00DD7751">
            <w:pPr>
              <w:rPr>
                <w:sz w:val="20"/>
                <w:szCs w:val="20"/>
              </w:rPr>
            </w:pPr>
            <w:r w:rsidRPr="00A47DB1">
              <w:rPr>
                <w:rStyle w:val="SCCCoramChar"/>
                <w:sz w:val="20"/>
                <w:szCs w:val="20"/>
                <w:lang w:val="en-CA"/>
              </w:rPr>
              <w:t>McLachlin C.J. and Abella and Cromwell JJ.</w:t>
            </w:r>
          </w:p>
          <w:p w:rsidR="00D43A3D" w:rsidRPr="00A47DB1" w:rsidRDefault="00D43A3D" w:rsidP="00DD7751">
            <w:pPr>
              <w:rPr>
                <w:sz w:val="20"/>
                <w:szCs w:val="20"/>
                <w:u w:val="single"/>
              </w:rPr>
            </w:pPr>
          </w:p>
        </w:tc>
      </w:tr>
      <w:tr w:rsidR="00D43A3D" w:rsidRPr="00462F49" w:rsidTr="00DD7751">
        <w:trPr>
          <w:cantSplit/>
        </w:trPr>
        <w:tc>
          <w:tcPr>
            <w:tcW w:w="9576" w:type="dxa"/>
            <w:gridSpan w:val="2"/>
          </w:tcPr>
          <w:p w:rsidR="00D43A3D" w:rsidRPr="00A47DB1" w:rsidRDefault="00D43A3D" w:rsidP="00DD7751">
            <w:pPr>
              <w:pStyle w:val="SCCShortJudgment"/>
              <w:rPr>
                <w:szCs w:val="20"/>
              </w:rPr>
            </w:pPr>
            <w:r w:rsidRPr="00A47DB1">
              <w:rPr>
                <w:szCs w:val="20"/>
              </w:rPr>
              <w:t>The application for leave to appeal from the judgment of the Court of Appeal of Alberta (Calgary), Number 1101-0149-AC, 2012 ABCA 231, dated July 30, 2012, is dismissed with costs.</w:t>
            </w:r>
          </w:p>
          <w:p w:rsidR="00D43A3D" w:rsidRPr="00A47DB1" w:rsidRDefault="00D43A3D" w:rsidP="00DD7751">
            <w:pPr>
              <w:pStyle w:val="SCCShortJudgment"/>
              <w:ind w:firstLine="0"/>
              <w:rPr>
                <w:szCs w:val="20"/>
              </w:rPr>
            </w:pPr>
          </w:p>
          <w:p w:rsidR="00D43A3D" w:rsidRPr="00A47DB1" w:rsidRDefault="00D43A3D" w:rsidP="00D43A3D">
            <w:pPr>
              <w:pStyle w:val="SCCShortJudgment"/>
              <w:rPr>
                <w:szCs w:val="20"/>
                <w:lang w:val="fr-CA"/>
              </w:rPr>
            </w:pPr>
            <w:r w:rsidRPr="00A47DB1">
              <w:rPr>
                <w:szCs w:val="20"/>
                <w:lang w:val="fr-CA"/>
              </w:rPr>
              <w:t>La demande d’autorisation d’appel de l’arrêt de la Cour d'appel de l’Alberta (Calgary), numéro 1101-0149-AC, 2012 ABCA 231, daté du 30 juillet 2012, est rejetée avec dépens.</w:t>
            </w:r>
          </w:p>
        </w:tc>
      </w:tr>
    </w:tbl>
    <w:p w:rsidR="003101AB" w:rsidRPr="00D43A3D" w:rsidRDefault="003101AB" w:rsidP="003101AB">
      <w:pPr>
        <w:rPr>
          <w:sz w:val="20"/>
          <w:szCs w:val="20"/>
          <w:lang w:val="fr-CA"/>
        </w:rPr>
      </w:pPr>
    </w:p>
    <w:p w:rsidR="003101AB" w:rsidRPr="001B157C" w:rsidRDefault="003101AB" w:rsidP="003101AB">
      <w:pPr>
        <w:rPr>
          <w:sz w:val="20"/>
          <w:szCs w:val="20"/>
          <w:u w:val="single"/>
        </w:rPr>
      </w:pPr>
      <w:r w:rsidRPr="001B157C">
        <w:rPr>
          <w:sz w:val="20"/>
          <w:szCs w:val="20"/>
          <w:u w:val="single"/>
        </w:rPr>
        <w:t>CASE SUMMARY</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31CC1" w:rsidRPr="00DB4F12" w:rsidTr="00CF3230">
        <w:tc>
          <w:tcPr>
            <w:tcW w:w="5000" w:type="pct"/>
            <w:gridSpan w:val="3"/>
          </w:tcPr>
          <w:p w:rsidR="00231CC1" w:rsidRPr="00DB4F12" w:rsidRDefault="00231CC1" w:rsidP="00CF3230">
            <w:pPr>
              <w:jc w:val="both"/>
              <w:rPr>
                <w:sz w:val="20"/>
                <w:szCs w:val="20"/>
              </w:rPr>
            </w:pPr>
            <w:r w:rsidRPr="00DB4F12">
              <w:rPr>
                <w:sz w:val="20"/>
                <w:szCs w:val="20"/>
              </w:rPr>
              <w:t xml:space="preserve">Taxation – Income Tax Assessment – Legislation – Interpretation – Can a group of related taxpayers exploit a misalignment with another province’s corporate tax statute and avoid the application of a provincial GAAR by shifting income between related taxpayers in different provinces where, in the context of the overall series of transactions and result, one or more of the transactions are alleged to be abusive – Do the impugned transactions constitute an abuse of tax legislation – What is the “object, spirit and purpose” of subsection 112(1) of the </w:t>
            </w:r>
            <w:r w:rsidRPr="00DB4F12">
              <w:rPr>
                <w:i/>
                <w:sz w:val="20"/>
                <w:szCs w:val="20"/>
              </w:rPr>
              <w:t>Income Tax Act</w:t>
            </w:r>
            <w:r w:rsidRPr="00DB4F12">
              <w:rPr>
                <w:sz w:val="20"/>
                <w:szCs w:val="20"/>
              </w:rPr>
              <w:t xml:space="preserve"> dealing with the deductibility of inter-corporate dividends – </w:t>
            </w:r>
            <w:r w:rsidRPr="00DB4F12">
              <w:rPr>
                <w:i/>
                <w:sz w:val="20"/>
                <w:szCs w:val="20"/>
              </w:rPr>
              <w:t>Income Tax Act</w:t>
            </w:r>
            <w:r w:rsidRPr="00DB4F12">
              <w:rPr>
                <w:sz w:val="20"/>
                <w:szCs w:val="20"/>
              </w:rPr>
              <w:t>, RSC 1985, c. 1 (5</w:t>
            </w:r>
            <w:r w:rsidRPr="00DB4F12">
              <w:rPr>
                <w:sz w:val="20"/>
                <w:szCs w:val="20"/>
                <w:vertAlign w:val="superscript"/>
              </w:rPr>
              <w:t>th</w:t>
            </w:r>
            <w:r w:rsidRPr="00DB4F12">
              <w:rPr>
                <w:sz w:val="20"/>
                <w:szCs w:val="20"/>
              </w:rPr>
              <w:t xml:space="preserve"> Supp), ss. 20(1)(c), 112(1) and 12(1)(c); </w:t>
            </w:r>
            <w:r w:rsidRPr="00DB4F12">
              <w:rPr>
                <w:i/>
                <w:sz w:val="20"/>
                <w:szCs w:val="20"/>
              </w:rPr>
              <w:t>Alberta Corporate Tax Act</w:t>
            </w:r>
            <w:r w:rsidRPr="00DB4F12">
              <w:rPr>
                <w:sz w:val="20"/>
                <w:szCs w:val="20"/>
              </w:rPr>
              <w:t>, RSA 2000, c. A-15 (</w:t>
            </w:r>
            <w:r w:rsidRPr="00DB4F12">
              <w:rPr>
                <w:i/>
                <w:sz w:val="20"/>
                <w:szCs w:val="20"/>
              </w:rPr>
              <w:t>ACTA</w:t>
            </w:r>
            <w:r w:rsidRPr="00DB4F12">
              <w:rPr>
                <w:sz w:val="20"/>
                <w:szCs w:val="20"/>
              </w:rPr>
              <w:t>), s. 72.1.</w:t>
            </w:r>
          </w:p>
        </w:tc>
      </w:tr>
      <w:tr w:rsidR="00231CC1" w:rsidRPr="00DB4F12" w:rsidTr="00CF3230">
        <w:tc>
          <w:tcPr>
            <w:tcW w:w="5000" w:type="pct"/>
            <w:gridSpan w:val="3"/>
          </w:tcPr>
          <w:p w:rsidR="00231CC1" w:rsidRPr="00DB4F12" w:rsidRDefault="00231CC1" w:rsidP="00CF3230">
            <w:pPr>
              <w:jc w:val="both"/>
              <w:rPr>
                <w:sz w:val="20"/>
                <w:szCs w:val="20"/>
              </w:rPr>
            </w:pPr>
          </w:p>
        </w:tc>
      </w:tr>
      <w:tr w:rsidR="00231CC1" w:rsidRPr="00DB4F12" w:rsidTr="00CF3230">
        <w:tc>
          <w:tcPr>
            <w:tcW w:w="5000" w:type="pct"/>
            <w:gridSpan w:val="3"/>
          </w:tcPr>
          <w:p w:rsidR="00231CC1" w:rsidRPr="00DB4F12" w:rsidRDefault="00231CC1" w:rsidP="00CF3230">
            <w:pPr>
              <w:jc w:val="both"/>
              <w:rPr>
                <w:sz w:val="20"/>
                <w:szCs w:val="20"/>
              </w:rPr>
            </w:pPr>
            <w:r w:rsidRPr="00DB4F12">
              <w:rPr>
                <w:sz w:val="20"/>
                <w:szCs w:val="20"/>
              </w:rPr>
              <w:t xml:space="preserve">Husky Energy Inc. and its group of companies (the “Husky companies”) underwent corporate reorganizations to take advantage of Ontario tax law in effect from 2003 to 2005.  As a result, it did not pay some Alberta tax previously </w:t>
            </w:r>
            <w:r w:rsidRPr="00DB4F12">
              <w:rPr>
                <w:sz w:val="20"/>
                <w:szCs w:val="20"/>
              </w:rPr>
              <w:lastRenderedPageBreak/>
              <w:t xml:space="preserve">payable and claimed deductions previously unavailable against its Alberta income.  The Minister of Finance of the Government of Alberta (“Alberta”) reassessed the Husky companies on the basis that in some instances they had not complied with the technical requirements of the relevant provisions of the </w:t>
            </w:r>
            <w:r w:rsidRPr="00DB4F12">
              <w:rPr>
                <w:i/>
                <w:sz w:val="20"/>
                <w:szCs w:val="20"/>
              </w:rPr>
              <w:t>ACTA</w:t>
            </w:r>
            <w:r w:rsidRPr="00DB4F12">
              <w:rPr>
                <w:sz w:val="20"/>
                <w:szCs w:val="20"/>
              </w:rPr>
              <w:t xml:space="preserve"> or that the transactions resulted in abusive tax avoidance pursuant to the general anti-avoidance rule.  The dividend deductions of the Alberta parent taxpayers and interest deductions by the Alberta borrowers were therefore disallowed.  The Husky companies appealed the reassessments. </w:t>
            </w:r>
          </w:p>
          <w:p w:rsidR="00231CC1" w:rsidRPr="00DB4F12" w:rsidRDefault="00231CC1" w:rsidP="00CF3230">
            <w:pPr>
              <w:jc w:val="both"/>
              <w:rPr>
                <w:sz w:val="20"/>
                <w:szCs w:val="20"/>
              </w:rPr>
            </w:pPr>
          </w:p>
          <w:p w:rsidR="00231CC1" w:rsidRPr="00DB4F12" w:rsidRDefault="00231CC1" w:rsidP="00CF3230">
            <w:pPr>
              <w:jc w:val="both"/>
              <w:rPr>
                <w:sz w:val="20"/>
                <w:szCs w:val="20"/>
              </w:rPr>
            </w:pPr>
            <w:r w:rsidRPr="00DB4F12">
              <w:rPr>
                <w:sz w:val="20"/>
                <w:szCs w:val="20"/>
              </w:rPr>
              <w:t xml:space="preserve">The Alberta Court of Queen’s Bench held that the transactions effecting the reorganization of the Husky companies had not technically breached the provisions of </w:t>
            </w:r>
            <w:r w:rsidRPr="00DB4F12">
              <w:rPr>
                <w:i/>
                <w:sz w:val="20"/>
                <w:szCs w:val="20"/>
              </w:rPr>
              <w:t>ACTA</w:t>
            </w:r>
            <w:r w:rsidRPr="00DB4F12">
              <w:rPr>
                <w:sz w:val="20"/>
                <w:szCs w:val="20"/>
              </w:rPr>
              <w:t xml:space="preserve"> and did not constitute abusive avoidance.  The appeal was dismissed by the Alberta Court of Appeal.</w:t>
            </w:r>
          </w:p>
          <w:p w:rsidR="00231CC1" w:rsidRPr="00DB4F12" w:rsidRDefault="00231CC1" w:rsidP="00CF3230">
            <w:pPr>
              <w:jc w:val="both"/>
              <w:rPr>
                <w:sz w:val="20"/>
                <w:szCs w:val="20"/>
              </w:rPr>
            </w:pPr>
          </w:p>
        </w:tc>
      </w:tr>
      <w:tr w:rsidR="00231CC1" w:rsidRPr="00DB4F12" w:rsidTr="00CF3230">
        <w:tc>
          <w:tcPr>
            <w:tcW w:w="2427" w:type="pct"/>
          </w:tcPr>
          <w:p w:rsidR="00231CC1" w:rsidRPr="00DB4F12" w:rsidRDefault="00231CC1" w:rsidP="00CF3230">
            <w:pPr>
              <w:jc w:val="both"/>
              <w:rPr>
                <w:sz w:val="20"/>
                <w:szCs w:val="20"/>
              </w:rPr>
            </w:pPr>
            <w:r w:rsidRPr="00DB4F12">
              <w:rPr>
                <w:sz w:val="20"/>
                <w:szCs w:val="20"/>
              </w:rPr>
              <w:lastRenderedPageBreak/>
              <w:t>April 18, 2011</w:t>
            </w:r>
          </w:p>
          <w:p w:rsidR="00231CC1" w:rsidRPr="00DB4F12" w:rsidRDefault="00231CC1" w:rsidP="00CF3230">
            <w:pPr>
              <w:jc w:val="both"/>
              <w:rPr>
                <w:sz w:val="20"/>
                <w:szCs w:val="20"/>
              </w:rPr>
            </w:pPr>
            <w:r w:rsidRPr="00DB4F12">
              <w:rPr>
                <w:sz w:val="20"/>
                <w:szCs w:val="20"/>
              </w:rPr>
              <w:t>Court of Queen’s Bench of Alberta</w:t>
            </w:r>
          </w:p>
          <w:p w:rsidR="00231CC1" w:rsidRPr="00DB4F12" w:rsidRDefault="00231CC1" w:rsidP="00CF3230">
            <w:pPr>
              <w:jc w:val="both"/>
              <w:rPr>
                <w:sz w:val="20"/>
                <w:szCs w:val="20"/>
              </w:rPr>
            </w:pPr>
            <w:r w:rsidRPr="00DB4F12">
              <w:rPr>
                <w:sz w:val="20"/>
                <w:szCs w:val="20"/>
              </w:rPr>
              <w:t>(Kent J.)</w:t>
            </w:r>
          </w:p>
          <w:p w:rsidR="00231CC1" w:rsidRPr="00DB4F12" w:rsidRDefault="00231CC1" w:rsidP="00CF3230">
            <w:pPr>
              <w:jc w:val="both"/>
              <w:rPr>
                <w:sz w:val="20"/>
                <w:szCs w:val="20"/>
              </w:rPr>
            </w:pPr>
            <w:r w:rsidRPr="00DB4F12">
              <w:rPr>
                <w:sz w:val="20"/>
                <w:szCs w:val="20"/>
              </w:rPr>
              <w:t>2011 ABQB 268;</w:t>
            </w:r>
          </w:p>
          <w:p w:rsidR="00231CC1" w:rsidRPr="00DB4F12" w:rsidRDefault="00231CC1" w:rsidP="00CF3230">
            <w:pPr>
              <w:jc w:val="both"/>
              <w:rPr>
                <w:sz w:val="20"/>
                <w:szCs w:val="20"/>
              </w:rPr>
            </w:pPr>
          </w:p>
        </w:tc>
        <w:tc>
          <w:tcPr>
            <w:tcW w:w="243" w:type="pct"/>
          </w:tcPr>
          <w:p w:rsidR="00231CC1" w:rsidRPr="00DB4F12" w:rsidRDefault="00231CC1" w:rsidP="00CF3230">
            <w:pPr>
              <w:jc w:val="both"/>
              <w:rPr>
                <w:sz w:val="20"/>
                <w:szCs w:val="20"/>
              </w:rPr>
            </w:pPr>
          </w:p>
        </w:tc>
        <w:tc>
          <w:tcPr>
            <w:tcW w:w="2330" w:type="pct"/>
          </w:tcPr>
          <w:p w:rsidR="00231CC1" w:rsidRPr="00DB4F12" w:rsidRDefault="00231CC1" w:rsidP="00CF3230">
            <w:pPr>
              <w:jc w:val="both"/>
              <w:rPr>
                <w:sz w:val="20"/>
                <w:szCs w:val="20"/>
              </w:rPr>
            </w:pPr>
            <w:r w:rsidRPr="00DB4F12">
              <w:rPr>
                <w:sz w:val="20"/>
                <w:szCs w:val="20"/>
              </w:rPr>
              <w:t>Husky’s appeals allowed and reassessments vacated; Applicant ordered to reassess Husky in accordance with Court’s reasons and Order</w:t>
            </w:r>
          </w:p>
          <w:p w:rsidR="00231CC1" w:rsidRPr="00DB4F12" w:rsidRDefault="00231CC1" w:rsidP="00CF3230">
            <w:pPr>
              <w:jc w:val="both"/>
              <w:rPr>
                <w:sz w:val="20"/>
                <w:szCs w:val="20"/>
              </w:rPr>
            </w:pPr>
          </w:p>
        </w:tc>
      </w:tr>
      <w:tr w:rsidR="00231CC1" w:rsidRPr="00DB4F12" w:rsidTr="00CF3230">
        <w:tc>
          <w:tcPr>
            <w:tcW w:w="2427" w:type="pct"/>
          </w:tcPr>
          <w:p w:rsidR="00231CC1" w:rsidRPr="00DB4F12" w:rsidRDefault="00231CC1" w:rsidP="00CF3230">
            <w:pPr>
              <w:jc w:val="both"/>
              <w:rPr>
                <w:sz w:val="20"/>
                <w:szCs w:val="20"/>
              </w:rPr>
            </w:pPr>
            <w:r w:rsidRPr="00DB4F12">
              <w:rPr>
                <w:sz w:val="20"/>
                <w:szCs w:val="20"/>
              </w:rPr>
              <w:t>July 30, 2012</w:t>
            </w:r>
          </w:p>
          <w:p w:rsidR="00231CC1" w:rsidRPr="00DB4F12" w:rsidRDefault="00231CC1" w:rsidP="00CF3230">
            <w:pPr>
              <w:jc w:val="both"/>
              <w:rPr>
                <w:sz w:val="20"/>
                <w:szCs w:val="20"/>
              </w:rPr>
            </w:pPr>
            <w:r w:rsidRPr="00DB4F12">
              <w:rPr>
                <w:sz w:val="20"/>
                <w:szCs w:val="20"/>
              </w:rPr>
              <w:t>Court of Appeal of Alberta (Calgary)</w:t>
            </w:r>
          </w:p>
          <w:p w:rsidR="00231CC1" w:rsidRPr="00DB4F12" w:rsidRDefault="00231CC1" w:rsidP="00CF3230">
            <w:pPr>
              <w:jc w:val="both"/>
              <w:rPr>
                <w:sz w:val="20"/>
                <w:szCs w:val="20"/>
              </w:rPr>
            </w:pPr>
            <w:r w:rsidRPr="00DB4F12">
              <w:rPr>
                <w:sz w:val="20"/>
                <w:szCs w:val="20"/>
              </w:rPr>
              <w:t>(Hunt, Berger and Bielby JJ.A.)</w:t>
            </w:r>
          </w:p>
          <w:p w:rsidR="00231CC1" w:rsidRPr="00DB4F12" w:rsidRDefault="00231CC1" w:rsidP="00CF3230">
            <w:pPr>
              <w:jc w:val="both"/>
              <w:rPr>
                <w:sz w:val="20"/>
                <w:szCs w:val="20"/>
              </w:rPr>
            </w:pPr>
            <w:r w:rsidRPr="00DB4F12">
              <w:rPr>
                <w:sz w:val="20"/>
                <w:szCs w:val="20"/>
              </w:rPr>
              <w:t xml:space="preserve">2012 ABCA 231; 1101-0149-AC </w:t>
            </w:r>
          </w:p>
          <w:p w:rsidR="00231CC1" w:rsidRPr="00DB4F12" w:rsidRDefault="00231CC1" w:rsidP="00CF3230">
            <w:pPr>
              <w:jc w:val="both"/>
              <w:rPr>
                <w:sz w:val="20"/>
                <w:szCs w:val="20"/>
              </w:rPr>
            </w:pPr>
          </w:p>
        </w:tc>
        <w:tc>
          <w:tcPr>
            <w:tcW w:w="243" w:type="pct"/>
          </w:tcPr>
          <w:p w:rsidR="00231CC1" w:rsidRPr="00DB4F12" w:rsidRDefault="00231CC1" w:rsidP="00CF3230">
            <w:pPr>
              <w:jc w:val="both"/>
              <w:rPr>
                <w:sz w:val="20"/>
                <w:szCs w:val="20"/>
              </w:rPr>
            </w:pPr>
          </w:p>
        </w:tc>
        <w:tc>
          <w:tcPr>
            <w:tcW w:w="2330" w:type="pct"/>
          </w:tcPr>
          <w:p w:rsidR="00231CC1" w:rsidRPr="00DB4F12" w:rsidRDefault="00231CC1" w:rsidP="00CF3230">
            <w:pPr>
              <w:jc w:val="both"/>
              <w:rPr>
                <w:sz w:val="20"/>
                <w:szCs w:val="20"/>
              </w:rPr>
            </w:pPr>
            <w:r w:rsidRPr="00DB4F12">
              <w:rPr>
                <w:sz w:val="20"/>
                <w:szCs w:val="20"/>
              </w:rPr>
              <w:t xml:space="preserve">Appeal dismissed </w:t>
            </w:r>
          </w:p>
        </w:tc>
      </w:tr>
      <w:tr w:rsidR="00231CC1" w:rsidRPr="00DB4F12" w:rsidTr="00CF3230">
        <w:tc>
          <w:tcPr>
            <w:tcW w:w="2427" w:type="pct"/>
          </w:tcPr>
          <w:p w:rsidR="00231CC1" w:rsidRPr="00DB4F12" w:rsidRDefault="00231CC1" w:rsidP="00CF3230">
            <w:pPr>
              <w:jc w:val="both"/>
              <w:rPr>
                <w:sz w:val="20"/>
                <w:szCs w:val="20"/>
              </w:rPr>
            </w:pPr>
            <w:r w:rsidRPr="00DB4F12">
              <w:rPr>
                <w:sz w:val="20"/>
                <w:szCs w:val="20"/>
              </w:rPr>
              <w:t>September 28, 2012</w:t>
            </w:r>
          </w:p>
          <w:p w:rsidR="00231CC1" w:rsidRPr="00DB4F12" w:rsidRDefault="00231CC1" w:rsidP="00CF3230">
            <w:pPr>
              <w:jc w:val="both"/>
              <w:rPr>
                <w:sz w:val="20"/>
                <w:szCs w:val="20"/>
              </w:rPr>
            </w:pPr>
            <w:r w:rsidRPr="00DB4F12">
              <w:rPr>
                <w:sz w:val="20"/>
                <w:szCs w:val="20"/>
              </w:rPr>
              <w:t>Supreme Court of Canada</w:t>
            </w:r>
          </w:p>
        </w:tc>
        <w:tc>
          <w:tcPr>
            <w:tcW w:w="243" w:type="pct"/>
          </w:tcPr>
          <w:p w:rsidR="00231CC1" w:rsidRPr="00DB4F12" w:rsidRDefault="00231CC1" w:rsidP="00CF3230">
            <w:pPr>
              <w:jc w:val="both"/>
              <w:rPr>
                <w:sz w:val="20"/>
                <w:szCs w:val="20"/>
              </w:rPr>
            </w:pPr>
          </w:p>
        </w:tc>
        <w:tc>
          <w:tcPr>
            <w:tcW w:w="2330" w:type="pct"/>
          </w:tcPr>
          <w:p w:rsidR="00231CC1" w:rsidRPr="00DB4F12" w:rsidRDefault="00231CC1" w:rsidP="00CF3230">
            <w:pPr>
              <w:jc w:val="both"/>
              <w:rPr>
                <w:sz w:val="20"/>
                <w:szCs w:val="20"/>
              </w:rPr>
            </w:pPr>
            <w:r w:rsidRPr="00DB4F12">
              <w:rPr>
                <w:sz w:val="20"/>
                <w:szCs w:val="20"/>
              </w:rPr>
              <w:t>Application for leave to appeal filed</w:t>
            </w:r>
          </w:p>
          <w:p w:rsidR="00231CC1" w:rsidRPr="00DB4F12" w:rsidRDefault="00231CC1" w:rsidP="00CF3230">
            <w:pPr>
              <w:jc w:val="both"/>
              <w:rPr>
                <w:sz w:val="20"/>
                <w:szCs w:val="20"/>
              </w:rPr>
            </w:pPr>
          </w:p>
        </w:tc>
      </w:tr>
    </w:tbl>
    <w:p w:rsidR="003101AB" w:rsidRPr="00C50A5C" w:rsidRDefault="003101AB" w:rsidP="003101AB">
      <w:pPr>
        <w:rPr>
          <w:sz w:val="20"/>
          <w:szCs w:val="20"/>
        </w:rPr>
      </w:pPr>
    </w:p>
    <w:p w:rsidR="003101AB" w:rsidRPr="00C50A5C" w:rsidRDefault="003F21C7" w:rsidP="003101AB">
      <w:pPr>
        <w:rPr>
          <w:sz w:val="20"/>
          <w:szCs w:val="20"/>
        </w:rPr>
      </w:pPr>
      <w:r w:rsidRPr="003F21C7">
        <w:rPr>
          <w:sz w:val="20"/>
          <w:szCs w:val="20"/>
          <w:lang w:val="fr-CA"/>
        </w:rPr>
        <w:pict>
          <v:rect id="_x0000_i1042" style="width:2in;height:1pt" o:hrpct="0" o:hralign="center" o:hrstd="t" o:hrnoshade="t" o:hr="t" fillcolor="black [3213]" stroked="f"/>
        </w:pict>
      </w:r>
    </w:p>
    <w:p w:rsidR="003101AB" w:rsidRDefault="003101AB" w:rsidP="003101AB">
      <w:pPr>
        <w:rPr>
          <w:sz w:val="20"/>
          <w:szCs w:val="20"/>
        </w:rPr>
      </w:pPr>
    </w:p>
    <w:p w:rsidR="003101AB" w:rsidRPr="001B157C" w:rsidRDefault="003101AB" w:rsidP="003101AB">
      <w:pPr>
        <w:rPr>
          <w:sz w:val="20"/>
          <w:szCs w:val="20"/>
          <w:u w:val="single"/>
          <w:lang w:val="fr-CA"/>
        </w:rPr>
      </w:pPr>
      <w:r w:rsidRPr="001B157C">
        <w:rPr>
          <w:sz w:val="20"/>
          <w:szCs w:val="20"/>
          <w:u w:val="single"/>
          <w:lang w:val="fr-CA"/>
        </w:rPr>
        <w:t>RÉSUMÉ DE L’AFFAIRE</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31CC1" w:rsidRPr="008779EE" w:rsidTr="00CF3230">
        <w:tc>
          <w:tcPr>
            <w:tcW w:w="5000" w:type="pct"/>
            <w:gridSpan w:val="3"/>
          </w:tcPr>
          <w:p w:rsidR="00231CC1" w:rsidRPr="00DB4F12" w:rsidRDefault="00231CC1" w:rsidP="00CF3230">
            <w:pPr>
              <w:jc w:val="both"/>
              <w:rPr>
                <w:sz w:val="20"/>
                <w:szCs w:val="20"/>
                <w:lang w:val="fr-FR"/>
              </w:rPr>
            </w:pPr>
            <w:r w:rsidRPr="00DB4F12">
              <w:rPr>
                <w:sz w:val="20"/>
                <w:szCs w:val="20"/>
                <w:lang w:val="fr-FR"/>
              </w:rPr>
              <w:t>Droit fiscal – Cotisation de l’impôt sur le revenu – Législation – Interprétation – Un groupe de contribuables affiliés peut</w:t>
            </w:r>
            <w:r w:rsidRPr="00DB4F12">
              <w:rPr>
                <w:sz w:val="20"/>
                <w:szCs w:val="20"/>
                <w:lang w:val="fr-FR"/>
              </w:rPr>
              <w:noBreakHyphen/>
              <w:t>il exploiter une discordance avec la loi d’une autre province sur l’impôt des sociétés et éviter l’application d’une règle générale anti</w:t>
            </w:r>
            <w:r w:rsidRPr="00DB4F12">
              <w:rPr>
                <w:sz w:val="20"/>
                <w:szCs w:val="20"/>
                <w:lang w:val="fr-FR"/>
              </w:rPr>
              <w:noBreakHyphen/>
              <w:t>évitement (RGAÉ) provinciale en transférant un revenu entre des contribuables affiliés dans d’autres provinces si l’on prétend qu’une ou plusieurs des opérations sont abusives, eu égard à l’ensemble de ces opérations et à leur résultat? – Les opérations contestées constituent</w:t>
            </w:r>
            <w:r w:rsidRPr="00DB4F12">
              <w:rPr>
                <w:sz w:val="20"/>
                <w:szCs w:val="20"/>
                <w:lang w:val="fr-FR"/>
              </w:rPr>
              <w:noBreakHyphen/>
              <w:t xml:space="preserve">elles un abus de la législation fiscale? – Quels sont l’« objet et l’esprit » du paragraphe 112(1) de la </w:t>
            </w:r>
            <w:r w:rsidRPr="00DB4F12">
              <w:rPr>
                <w:i/>
                <w:sz w:val="20"/>
                <w:szCs w:val="20"/>
                <w:lang w:val="fr-FR"/>
              </w:rPr>
              <w:t>Loi de l’impôt sur le revenu</w:t>
            </w:r>
            <w:r w:rsidRPr="00DB4F12">
              <w:rPr>
                <w:sz w:val="20"/>
                <w:szCs w:val="20"/>
                <w:lang w:val="fr-FR"/>
              </w:rPr>
              <w:t xml:space="preserve"> qui traite de la possibilité de déduire les dividendes entre sociétés? – </w:t>
            </w:r>
            <w:r w:rsidRPr="00DB4F12">
              <w:rPr>
                <w:i/>
                <w:sz w:val="20"/>
                <w:szCs w:val="20"/>
                <w:lang w:val="fr-FR"/>
              </w:rPr>
              <w:t>Loi de l’impôt sur le revenu</w:t>
            </w:r>
            <w:r w:rsidRPr="00DB4F12">
              <w:rPr>
                <w:sz w:val="20"/>
                <w:szCs w:val="20"/>
                <w:lang w:val="fr-FR"/>
              </w:rPr>
              <w:t>, L.R.C. 1985, ch. 1 (5</w:t>
            </w:r>
            <w:r w:rsidRPr="00DB4F12">
              <w:rPr>
                <w:sz w:val="20"/>
                <w:szCs w:val="20"/>
                <w:vertAlign w:val="superscript"/>
                <w:lang w:val="fr-FR"/>
              </w:rPr>
              <w:t>e</w:t>
            </w:r>
            <w:r w:rsidRPr="00DB4F12">
              <w:rPr>
                <w:sz w:val="20"/>
                <w:szCs w:val="20"/>
                <w:lang w:val="fr-FR"/>
              </w:rPr>
              <w:t> suppl.), art. 20(1)</w:t>
            </w:r>
            <w:r w:rsidRPr="00DB4F12">
              <w:rPr>
                <w:i/>
                <w:sz w:val="20"/>
                <w:szCs w:val="20"/>
                <w:lang w:val="fr-FR"/>
              </w:rPr>
              <w:t>c</w:t>
            </w:r>
            <w:r w:rsidRPr="00DB4F12">
              <w:rPr>
                <w:sz w:val="20"/>
                <w:szCs w:val="20"/>
                <w:lang w:val="fr-FR"/>
              </w:rPr>
              <w:t>), 112(1) et 12(1)</w:t>
            </w:r>
            <w:r w:rsidRPr="00DB4F12">
              <w:rPr>
                <w:i/>
                <w:sz w:val="20"/>
                <w:szCs w:val="20"/>
                <w:lang w:val="fr-FR"/>
              </w:rPr>
              <w:t>c</w:t>
            </w:r>
            <w:r w:rsidRPr="00DB4F12">
              <w:rPr>
                <w:sz w:val="20"/>
                <w:szCs w:val="20"/>
                <w:lang w:val="fr-FR"/>
              </w:rPr>
              <w:t xml:space="preserve">); </w:t>
            </w:r>
            <w:r w:rsidRPr="00DB4F12">
              <w:rPr>
                <w:i/>
                <w:sz w:val="20"/>
                <w:szCs w:val="20"/>
                <w:lang w:val="fr-FR"/>
              </w:rPr>
              <w:t>Alberta Corporate Tax Act</w:t>
            </w:r>
            <w:r w:rsidRPr="00DB4F12">
              <w:rPr>
                <w:sz w:val="20"/>
                <w:szCs w:val="20"/>
                <w:lang w:val="fr-FR"/>
              </w:rPr>
              <w:t>, R.S.A. 2000, ch. A</w:t>
            </w:r>
            <w:r w:rsidRPr="00DB4F12">
              <w:rPr>
                <w:sz w:val="20"/>
                <w:szCs w:val="20"/>
                <w:lang w:val="fr-FR"/>
              </w:rPr>
              <w:noBreakHyphen/>
              <w:t>15 (</w:t>
            </w:r>
            <w:r w:rsidRPr="00DB4F12">
              <w:rPr>
                <w:i/>
                <w:sz w:val="20"/>
                <w:szCs w:val="20"/>
                <w:lang w:val="fr-FR"/>
              </w:rPr>
              <w:t>ACTA</w:t>
            </w:r>
            <w:r w:rsidRPr="00DB4F12">
              <w:rPr>
                <w:sz w:val="20"/>
                <w:szCs w:val="20"/>
                <w:lang w:val="fr-FR"/>
              </w:rPr>
              <w:t>), art. 72.1.</w:t>
            </w:r>
          </w:p>
        </w:tc>
      </w:tr>
      <w:tr w:rsidR="00231CC1" w:rsidRPr="008779EE" w:rsidTr="00CF3230">
        <w:tc>
          <w:tcPr>
            <w:tcW w:w="5000" w:type="pct"/>
            <w:gridSpan w:val="3"/>
          </w:tcPr>
          <w:p w:rsidR="00231CC1" w:rsidRPr="00DB4F12" w:rsidRDefault="00231CC1" w:rsidP="00CF3230">
            <w:pPr>
              <w:jc w:val="both"/>
              <w:rPr>
                <w:sz w:val="20"/>
                <w:szCs w:val="20"/>
                <w:lang w:val="fr-FR"/>
              </w:rPr>
            </w:pPr>
          </w:p>
        </w:tc>
      </w:tr>
      <w:tr w:rsidR="00231CC1" w:rsidRPr="00462F49" w:rsidTr="00CF3230">
        <w:tc>
          <w:tcPr>
            <w:tcW w:w="5000" w:type="pct"/>
            <w:gridSpan w:val="3"/>
          </w:tcPr>
          <w:p w:rsidR="00231CC1" w:rsidRPr="00DB4F12" w:rsidRDefault="00231CC1" w:rsidP="00CF3230">
            <w:pPr>
              <w:jc w:val="both"/>
              <w:rPr>
                <w:sz w:val="20"/>
                <w:szCs w:val="20"/>
                <w:lang w:val="fr-FR"/>
              </w:rPr>
            </w:pPr>
            <w:r w:rsidRPr="00DB4F12">
              <w:rPr>
                <w:sz w:val="20"/>
                <w:szCs w:val="20"/>
                <w:lang w:val="fr-FR"/>
              </w:rPr>
              <w:t>Husky Energy Inc. et son groupe de sociétés (les « sociétés Husky ») ont fait l’objet de réorganisations pour tirer profit de la loi fiscale ontarienne en vigueur de 2003 à 2005.  Par conséquent, elle n’a pas versé à l’Alberta de l’impôt qu’elle lui devait auparavant et a réclamé des déductions auxquelles elle n’avait pas droit auparavant sur le revenu qu’elle a touché dans cette province.  Le ministre des Finances du gouvernement de l’Alberta (« Alberta ») a établi de nouvelles cotisations à l’endroit des sociétés Husky parce que, dans certains cas, elles ne s’étaient pas conformées aux exigences techniques des dispositions applicables de l’</w:t>
            </w:r>
            <w:r w:rsidRPr="00DB4F12">
              <w:rPr>
                <w:i/>
                <w:sz w:val="20"/>
                <w:szCs w:val="20"/>
                <w:lang w:val="fr-FR"/>
              </w:rPr>
              <w:t>ACTA</w:t>
            </w:r>
            <w:r w:rsidRPr="00DB4F12">
              <w:rPr>
                <w:sz w:val="20"/>
                <w:szCs w:val="20"/>
                <w:lang w:val="fr-FR"/>
              </w:rPr>
              <w:t>, ou que les opérations avaient donné lieu à un évitement fiscal abusif aux termes de la règle générale anti</w:t>
            </w:r>
            <w:r w:rsidRPr="00DB4F12">
              <w:rPr>
                <w:sz w:val="20"/>
                <w:szCs w:val="20"/>
                <w:lang w:val="fr-FR"/>
              </w:rPr>
              <w:noBreakHyphen/>
              <w:t xml:space="preserve">évitement.  Les dividendes déduits par les contribuables affiliés albertains et les intérêts déduits par les emprunteurs de cette province ont donc été refusés.  Les sociétés Husky ont fait appel des nouvelles cotisations. </w:t>
            </w:r>
          </w:p>
          <w:p w:rsidR="00231CC1" w:rsidRPr="00DB4F12" w:rsidRDefault="00231CC1" w:rsidP="00CF3230">
            <w:pPr>
              <w:jc w:val="both"/>
              <w:rPr>
                <w:sz w:val="20"/>
                <w:szCs w:val="20"/>
                <w:lang w:val="fr-FR"/>
              </w:rPr>
            </w:pPr>
          </w:p>
          <w:p w:rsidR="00231CC1" w:rsidRPr="00DB4F12" w:rsidRDefault="00231CC1" w:rsidP="00CF3230">
            <w:pPr>
              <w:jc w:val="both"/>
              <w:rPr>
                <w:sz w:val="20"/>
                <w:szCs w:val="20"/>
                <w:lang w:val="fr-FR"/>
              </w:rPr>
            </w:pPr>
            <w:r w:rsidRPr="00DB4F12">
              <w:rPr>
                <w:sz w:val="20"/>
                <w:szCs w:val="20"/>
                <w:lang w:val="fr-FR"/>
              </w:rPr>
              <w:t>La Cour du Banc de la Reine de l’Alberta a jugé que les opérations aboutissant à la réorganisation des sociétés Husky respectaient l’</w:t>
            </w:r>
            <w:r w:rsidRPr="00DB4F12">
              <w:rPr>
                <w:i/>
                <w:sz w:val="20"/>
                <w:szCs w:val="20"/>
                <w:lang w:val="fr-FR"/>
              </w:rPr>
              <w:t>ACTA</w:t>
            </w:r>
            <w:r w:rsidRPr="00DB4F12">
              <w:rPr>
                <w:sz w:val="20"/>
                <w:szCs w:val="20"/>
                <w:lang w:val="fr-FR"/>
              </w:rPr>
              <w:t xml:space="preserve"> sur le plan technique et ne constituaient pas un évitement abusif.  L’appel a été rejeté par la Cour d’appel de l’Alberta.</w:t>
            </w:r>
          </w:p>
          <w:p w:rsidR="00231CC1" w:rsidRPr="00DB4F12" w:rsidRDefault="00231CC1" w:rsidP="00CF3230">
            <w:pPr>
              <w:jc w:val="both"/>
              <w:rPr>
                <w:sz w:val="20"/>
                <w:szCs w:val="20"/>
                <w:lang w:val="fr-FR"/>
              </w:rPr>
            </w:pPr>
          </w:p>
        </w:tc>
      </w:tr>
      <w:tr w:rsidR="00231CC1" w:rsidRPr="00462F49" w:rsidTr="00CF3230">
        <w:tc>
          <w:tcPr>
            <w:tcW w:w="2427" w:type="pct"/>
          </w:tcPr>
          <w:p w:rsidR="00231CC1" w:rsidRPr="00DB4F12" w:rsidRDefault="00231CC1" w:rsidP="00CF3230">
            <w:pPr>
              <w:jc w:val="both"/>
              <w:rPr>
                <w:sz w:val="20"/>
                <w:szCs w:val="20"/>
                <w:lang w:val="fr-FR"/>
              </w:rPr>
            </w:pPr>
            <w:r w:rsidRPr="00DB4F12">
              <w:rPr>
                <w:sz w:val="20"/>
                <w:szCs w:val="20"/>
                <w:lang w:val="fr-FR"/>
              </w:rPr>
              <w:lastRenderedPageBreak/>
              <w:t>18 avril 2011</w:t>
            </w:r>
          </w:p>
          <w:p w:rsidR="00231CC1" w:rsidRPr="00DB4F12" w:rsidRDefault="00231CC1" w:rsidP="00CF3230">
            <w:pPr>
              <w:jc w:val="both"/>
              <w:rPr>
                <w:sz w:val="20"/>
                <w:szCs w:val="20"/>
                <w:lang w:val="fr-FR"/>
              </w:rPr>
            </w:pPr>
            <w:r w:rsidRPr="00DB4F12">
              <w:rPr>
                <w:sz w:val="20"/>
                <w:szCs w:val="20"/>
                <w:lang w:val="fr-FR"/>
              </w:rPr>
              <w:t>Cour du Banc de la Reine de l’Alberta</w:t>
            </w:r>
          </w:p>
          <w:p w:rsidR="00231CC1" w:rsidRPr="00DB4F12" w:rsidRDefault="00231CC1" w:rsidP="00CF3230">
            <w:pPr>
              <w:jc w:val="both"/>
              <w:rPr>
                <w:sz w:val="20"/>
                <w:szCs w:val="20"/>
              </w:rPr>
            </w:pPr>
            <w:r w:rsidRPr="00DB4F12">
              <w:rPr>
                <w:sz w:val="20"/>
                <w:szCs w:val="20"/>
              </w:rPr>
              <w:t>(Juge Kent)</w:t>
            </w:r>
          </w:p>
          <w:p w:rsidR="00231CC1" w:rsidRPr="00DB4F12" w:rsidRDefault="00231CC1" w:rsidP="00CF3230">
            <w:pPr>
              <w:jc w:val="both"/>
              <w:rPr>
                <w:sz w:val="20"/>
                <w:szCs w:val="20"/>
              </w:rPr>
            </w:pPr>
            <w:r w:rsidRPr="00DB4F12">
              <w:rPr>
                <w:sz w:val="20"/>
                <w:szCs w:val="20"/>
              </w:rPr>
              <w:t>2011 ABQB 268;</w:t>
            </w:r>
          </w:p>
          <w:p w:rsidR="00231CC1" w:rsidRPr="00DB4F12" w:rsidRDefault="00231CC1" w:rsidP="00CF3230">
            <w:pPr>
              <w:jc w:val="both"/>
              <w:rPr>
                <w:sz w:val="20"/>
                <w:szCs w:val="20"/>
              </w:rPr>
            </w:pPr>
          </w:p>
        </w:tc>
        <w:tc>
          <w:tcPr>
            <w:tcW w:w="243" w:type="pct"/>
          </w:tcPr>
          <w:p w:rsidR="00231CC1" w:rsidRPr="00DB4F12" w:rsidRDefault="00231CC1" w:rsidP="00CF3230">
            <w:pPr>
              <w:jc w:val="both"/>
              <w:rPr>
                <w:sz w:val="20"/>
                <w:szCs w:val="20"/>
              </w:rPr>
            </w:pPr>
          </w:p>
        </w:tc>
        <w:tc>
          <w:tcPr>
            <w:tcW w:w="2330" w:type="pct"/>
          </w:tcPr>
          <w:p w:rsidR="00231CC1" w:rsidRPr="00DB4F12" w:rsidRDefault="00231CC1" w:rsidP="00CF3230">
            <w:pPr>
              <w:jc w:val="both"/>
              <w:rPr>
                <w:sz w:val="20"/>
                <w:szCs w:val="20"/>
                <w:lang w:val="fr-FR"/>
              </w:rPr>
            </w:pPr>
            <w:r w:rsidRPr="00DB4F12">
              <w:rPr>
                <w:sz w:val="20"/>
                <w:szCs w:val="20"/>
                <w:lang w:val="fr-FR"/>
              </w:rPr>
              <w:t>Appels d’Husky accueillis et nouvelles cotisations annulées; demanderesse enjointe d’établir de nouvelles cotisations à l’égard d’Husky en conformité avec les motifs et l’ordonnance de la Cour</w:t>
            </w:r>
          </w:p>
          <w:p w:rsidR="00231CC1" w:rsidRPr="00DB4F12" w:rsidRDefault="00231CC1" w:rsidP="00CF3230">
            <w:pPr>
              <w:jc w:val="both"/>
              <w:rPr>
                <w:sz w:val="20"/>
                <w:szCs w:val="20"/>
                <w:lang w:val="fr-FR"/>
              </w:rPr>
            </w:pPr>
          </w:p>
        </w:tc>
      </w:tr>
      <w:tr w:rsidR="00231CC1" w:rsidRPr="00DB4F12" w:rsidTr="00CF3230">
        <w:tc>
          <w:tcPr>
            <w:tcW w:w="2427" w:type="pct"/>
          </w:tcPr>
          <w:p w:rsidR="00231CC1" w:rsidRPr="00DB4F12" w:rsidRDefault="00231CC1" w:rsidP="00CF3230">
            <w:pPr>
              <w:jc w:val="both"/>
              <w:rPr>
                <w:sz w:val="20"/>
                <w:szCs w:val="20"/>
                <w:lang w:val="fr-FR"/>
              </w:rPr>
            </w:pPr>
            <w:r w:rsidRPr="00DB4F12">
              <w:rPr>
                <w:sz w:val="20"/>
                <w:szCs w:val="20"/>
                <w:lang w:val="fr-FR"/>
              </w:rPr>
              <w:t>30 juillet 2012</w:t>
            </w:r>
          </w:p>
          <w:p w:rsidR="00231CC1" w:rsidRPr="00DB4F12" w:rsidRDefault="00231CC1" w:rsidP="00CF3230">
            <w:pPr>
              <w:jc w:val="both"/>
              <w:rPr>
                <w:sz w:val="20"/>
                <w:szCs w:val="20"/>
                <w:lang w:val="fr-FR"/>
              </w:rPr>
            </w:pPr>
            <w:r w:rsidRPr="00DB4F12">
              <w:rPr>
                <w:sz w:val="20"/>
                <w:szCs w:val="20"/>
                <w:lang w:val="fr-FR"/>
              </w:rPr>
              <w:t>Cour d’appel de l’Alberta (Calgary)</w:t>
            </w:r>
          </w:p>
          <w:p w:rsidR="00231CC1" w:rsidRPr="00DB4F12" w:rsidRDefault="00231CC1" w:rsidP="00CF3230">
            <w:pPr>
              <w:jc w:val="both"/>
              <w:rPr>
                <w:sz w:val="20"/>
                <w:szCs w:val="20"/>
                <w:lang w:val="fr-FR"/>
              </w:rPr>
            </w:pPr>
            <w:r w:rsidRPr="00DB4F12">
              <w:rPr>
                <w:sz w:val="20"/>
                <w:szCs w:val="20"/>
                <w:lang w:val="fr-FR"/>
              </w:rPr>
              <w:t>(Juges Hunt, Berger et Bielby)</w:t>
            </w:r>
          </w:p>
          <w:p w:rsidR="00231CC1" w:rsidRPr="00DB4F12" w:rsidRDefault="00231CC1" w:rsidP="00CF3230">
            <w:pPr>
              <w:jc w:val="both"/>
              <w:rPr>
                <w:sz w:val="20"/>
                <w:szCs w:val="20"/>
              </w:rPr>
            </w:pPr>
            <w:r w:rsidRPr="00DB4F12">
              <w:rPr>
                <w:sz w:val="20"/>
                <w:szCs w:val="20"/>
              </w:rPr>
              <w:t>2012 ABCA 231; 1101</w:t>
            </w:r>
            <w:r w:rsidRPr="00DB4F12">
              <w:rPr>
                <w:sz w:val="20"/>
                <w:szCs w:val="20"/>
              </w:rPr>
              <w:noBreakHyphen/>
              <w:t>0149</w:t>
            </w:r>
            <w:r w:rsidRPr="00DB4F12">
              <w:rPr>
                <w:sz w:val="20"/>
                <w:szCs w:val="20"/>
              </w:rPr>
              <w:noBreakHyphen/>
              <w:t xml:space="preserve">AC </w:t>
            </w:r>
          </w:p>
          <w:p w:rsidR="00231CC1" w:rsidRPr="00DB4F12" w:rsidRDefault="00231CC1" w:rsidP="00CF3230">
            <w:pPr>
              <w:jc w:val="both"/>
              <w:rPr>
                <w:sz w:val="20"/>
                <w:szCs w:val="20"/>
              </w:rPr>
            </w:pPr>
          </w:p>
        </w:tc>
        <w:tc>
          <w:tcPr>
            <w:tcW w:w="243" w:type="pct"/>
          </w:tcPr>
          <w:p w:rsidR="00231CC1" w:rsidRPr="00DB4F12" w:rsidRDefault="00231CC1" w:rsidP="00CF3230">
            <w:pPr>
              <w:jc w:val="both"/>
              <w:rPr>
                <w:sz w:val="20"/>
                <w:szCs w:val="20"/>
              </w:rPr>
            </w:pPr>
          </w:p>
        </w:tc>
        <w:tc>
          <w:tcPr>
            <w:tcW w:w="2330" w:type="pct"/>
          </w:tcPr>
          <w:p w:rsidR="00231CC1" w:rsidRPr="008779EE" w:rsidRDefault="00231CC1" w:rsidP="00CF3230">
            <w:pPr>
              <w:jc w:val="both"/>
              <w:rPr>
                <w:sz w:val="20"/>
                <w:szCs w:val="20"/>
                <w:lang w:val="fr-CA"/>
              </w:rPr>
            </w:pPr>
            <w:r w:rsidRPr="008779EE">
              <w:rPr>
                <w:sz w:val="20"/>
                <w:szCs w:val="20"/>
                <w:lang w:val="fr-CA"/>
              </w:rPr>
              <w:t xml:space="preserve">Appel rejeté </w:t>
            </w:r>
          </w:p>
        </w:tc>
      </w:tr>
      <w:tr w:rsidR="00231CC1" w:rsidRPr="00DB4F12" w:rsidTr="00CF3230">
        <w:tc>
          <w:tcPr>
            <w:tcW w:w="2427" w:type="pct"/>
          </w:tcPr>
          <w:p w:rsidR="00231CC1" w:rsidRPr="00DB4F12" w:rsidRDefault="00231CC1" w:rsidP="00CF3230">
            <w:pPr>
              <w:jc w:val="both"/>
              <w:rPr>
                <w:sz w:val="20"/>
                <w:szCs w:val="20"/>
                <w:lang w:val="fr-FR"/>
              </w:rPr>
            </w:pPr>
            <w:r w:rsidRPr="00DB4F12">
              <w:rPr>
                <w:sz w:val="20"/>
                <w:szCs w:val="20"/>
                <w:lang w:val="fr-FR"/>
              </w:rPr>
              <w:t>28 septembre 2012</w:t>
            </w:r>
          </w:p>
          <w:p w:rsidR="00231CC1" w:rsidRPr="00DB4F12" w:rsidRDefault="00231CC1" w:rsidP="00CF3230">
            <w:pPr>
              <w:jc w:val="both"/>
              <w:rPr>
                <w:sz w:val="20"/>
                <w:szCs w:val="20"/>
                <w:lang w:val="fr-FR"/>
              </w:rPr>
            </w:pPr>
            <w:r w:rsidRPr="00DB4F12">
              <w:rPr>
                <w:sz w:val="20"/>
                <w:szCs w:val="20"/>
                <w:lang w:val="fr-FR"/>
              </w:rPr>
              <w:t>Cour suprême du Canada</w:t>
            </w:r>
          </w:p>
        </w:tc>
        <w:tc>
          <w:tcPr>
            <w:tcW w:w="243" w:type="pct"/>
          </w:tcPr>
          <w:p w:rsidR="00231CC1" w:rsidRPr="00DB4F12" w:rsidRDefault="00231CC1" w:rsidP="00CF3230">
            <w:pPr>
              <w:jc w:val="both"/>
              <w:rPr>
                <w:sz w:val="20"/>
                <w:szCs w:val="20"/>
                <w:lang w:val="fr-FR"/>
              </w:rPr>
            </w:pPr>
          </w:p>
        </w:tc>
        <w:tc>
          <w:tcPr>
            <w:tcW w:w="2330" w:type="pct"/>
          </w:tcPr>
          <w:p w:rsidR="00231CC1" w:rsidRPr="00DB4F12" w:rsidRDefault="00231CC1" w:rsidP="00CF3230">
            <w:pPr>
              <w:jc w:val="both"/>
              <w:rPr>
                <w:sz w:val="20"/>
                <w:szCs w:val="20"/>
              </w:rPr>
            </w:pPr>
            <w:r w:rsidRPr="00DB4F12">
              <w:rPr>
                <w:sz w:val="20"/>
                <w:szCs w:val="20"/>
                <w:lang w:val="fr-FR"/>
              </w:rPr>
              <w:t>Demande d’autorisation d’appel déposée</w:t>
            </w:r>
          </w:p>
          <w:p w:rsidR="00231CC1" w:rsidRPr="00DB4F12" w:rsidRDefault="00231CC1" w:rsidP="00CF3230">
            <w:pPr>
              <w:jc w:val="both"/>
              <w:rPr>
                <w:sz w:val="20"/>
                <w:szCs w:val="20"/>
              </w:rPr>
            </w:pPr>
          </w:p>
        </w:tc>
      </w:tr>
    </w:tbl>
    <w:p w:rsidR="003101AB" w:rsidRDefault="003101AB" w:rsidP="003101AB">
      <w:pPr>
        <w:rPr>
          <w:sz w:val="20"/>
          <w:szCs w:val="20"/>
        </w:rPr>
      </w:pPr>
    </w:p>
    <w:p w:rsidR="003101AB" w:rsidRDefault="003F21C7" w:rsidP="003101AB">
      <w:pPr>
        <w:rPr>
          <w:sz w:val="20"/>
          <w:szCs w:val="20"/>
          <w:lang w:val="fr-CA"/>
        </w:rPr>
      </w:pPr>
      <w:r w:rsidRPr="003F21C7">
        <w:rPr>
          <w:sz w:val="20"/>
          <w:szCs w:val="20"/>
          <w:lang w:val="fr-CA"/>
        </w:rPr>
        <w:pict>
          <v:rect id="_x0000_i1043" style="width:2in;height:1pt" o:hrpct="0" o:hralign="center" o:hrstd="t" o:hrnoshade="t" o:hr="t" fillcolor="black [3213]" stroked="f"/>
        </w:pict>
      </w:r>
    </w:p>
    <w:p w:rsidR="003101AB" w:rsidRDefault="003101AB" w:rsidP="003101A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63885" w:rsidRPr="00A47DB1" w:rsidTr="00DD7751">
        <w:trPr>
          <w:cantSplit/>
        </w:trPr>
        <w:tc>
          <w:tcPr>
            <w:tcW w:w="1458" w:type="dxa"/>
          </w:tcPr>
          <w:p w:rsidR="00263885" w:rsidRPr="00A47DB1" w:rsidRDefault="00263885" w:rsidP="00DD7751">
            <w:pPr>
              <w:rPr>
                <w:sz w:val="20"/>
                <w:szCs w:val="20"/>
              </w:rPr>
            </w:pPr>
            <w:r w:rsidRPr="00A47DB1">
              <w:rPr>
                <w:rStyle w:val="SCCFileNumberChar"/>
                <w:sz w:val="20"/>
                <w:szCs w:val="20"/>
              </w:rPr>
              <w:t>35003</w:t>
            </w:r>
          </w:p>
          <w:p w:rsidR="00263885" w:rsidRPr="00A47DB1" w:rsidRDefault="00263885" w:rsidP="00DD7751">
            <w:pPr>
              <w:rPr>
                <w:b/>
                <w:sz w:val="20"/>
                <w:szCs w:val="20"/>
                <w:lang w:val="fr-CA"/>
              </w:rPr>
            </w:pPr>
          </w:p>
        </w:tc>
        <w:tc>
          <w:tcPr>
            <w:tcW w:w="8118" w:type="dxa"/>
          </w:tcPr>
          <w:p w:rsidR="00263885" w:rsidRPr="00A47DB1" w:rsidRDefault="00263885" w:rsidP="00263885">
            <w:pPr>
              <w:jc w:val="both"/>
              <w:rPr>
                <w:sz w:val="20"/>
                <w:szCs w:val="20"/>
              </w:rPr>
            </w:pPr>
            <w:r w:rsidRPr="00A47DB1">
              <w:rPr>
                <w:rStyle w:val="SCCLsocChar"/>
                <w:sz w:val="20"/>
                <w:szCs w:val="20"/>
                <w:lang w:val="en-CA"/>
              </w:rPr>
              <w:t>Her Majesty the Queen in Right of Alberta v. Canada Safeway Limited</w:t>
            </w:r>
            <w:r w:rsidRPr="00A47DB1">
              <w:rPr>
                <w:sz w:val="20"/>
                <w:szCs w:val="20"/>
              </w:rPr>
              <w:t xml:space="preserve"> (Alta.) (Civil) (By</w:t>
            </w:r>
            <w:r>
              <w:rPr>
                <w:sz w:val="20"/>
                <w:szCs w:val="20"/>
              </w:rPr>
              <w:t> </w:t>
            </w:r>
            <w:r w:rsidRPr="00A47DB1">
              <w:rPr>
                <w:sz w:val="20"/>
                <w:szCs w:val="20"/>
              </w:rPr>
              <w:t>Leave)</w:t>
            </w:r>
          </w:p>
          <w:p w:rsidR="00263885" w:rsidRPr="00A47DB1" w:rsidRDefault="00263885" w:rsidP="00263885">
            <w:pPr>
              <w:jc w:val="both"/>
              <w:rPr>
                <w:sz w:val="20"/>
                <w:szCs w:val="20"/>
              </w:rPr>
            </w:pPr>
          </w:p>
        </w:tc>
      </w:tr>
      <w:tr w:rsidR="00263885" w:rsidRPr="00A47DB1" w:rsidTr="00DD7751">
        <w:trPr>
          <w:cantSplit/>
        </w:trPr>
        <w:tc>
          <w:tcPr>
            <w:tcW w:w="1458" w:type="dxa"/>
          </w:tcPr>
          <w:p w:rsidR="00263885" w:rsidRPr="00A47DB1" w:rsidRDefault="00263885" w:rsidP="00DD7751">
            <w:pPr>
              <w:rPr>
                <w:sz w:val="20"/>
                <w:szCs w:val="20"/>
              </w:rPr>
            </w:pPr>
            <w:r w:rsidRPr="00A47DB1">
              <w:rPr>
                <w:sz w:val="20"/>
                <w:szCs w:val="20"/>
              </w:rPr>
              <w:t>Coram :</w:t>
            </w:r>
          </w:p>
        </w:tc>
        <w:tc>
          <w:tcPr>
            <w:tcW w:w="8118" w:type="dxa"/>
          </w:tcPr>
          <w:p w:rsidR="00263885" w:rsidRPr="00A47DB1" w:rsidRDefault="00263885" w:rsidP="00DD7751">
            <w:pPr>
              <w:rPr>
                <w:sz w:val="20"/>
                <w:szCs w:val="20"/>
              </w:rPr>
            </w:pPr>
            <w:r w:rsidRPr="00A47DB1">
              <w:rPr>
                <w:rStyle w:val="SCCCoramChar"/>
                <w:sz w:val="20"/>
                <w:szCs w:val="20"/>
                <w:lang w:val="en-CA"/>
              </w:rPr>
              <w:t>McLachlin C.J. and Abella and Cromwell JJ.</w:t>
            </w:r>
          </w:p>
          <w:p w:rsidR="00263885" w:rsidRPr="00A47DB1" w:rsidRDefault="00263885" w:rsidP="00DD7751">
            <w:pPr>
              <w:rPr>
                <w:sz w:val="20"/>
                <w:szCs w:val="20"/>
                <w:u w:val="single"/>
              </w:rPr>
            </w:pPr>
          </w:p>
        </w:tc>
      </w:tr>
      <w:tr w:rsidR="00263885" w:rsidRPr="00462F49" w:rsidTr="00DD7751">
        <w:trPr>
          <w:cantSplit/>
        </w:trPr>
        <w:tc>
          <w:tcPr>
            <w:tcW w:w="9576" w:type="dxa"/>
            <w:gridSpan w:val="2"/>
          </w:tcPr>
          <w:p w:rsidR="00263885" w:rsidRPr="00A47DB1" w:rsidRDefault="00263885" w:rsidP="00DD7751">
            <w:pPr>
              <w:pStyle w:val="SCCShortJudgment"/>
              <w:rPr>
                <w:szCs w:val="20"/>
              </w:rPr>
            </w:pPr>
            <w:r w:rsidRPr="00A47DB1">
              <w:rPr>
                <w:szCs w:val="20"/>
              </w:rPr>
              <w:t>The application for leave to appeal from the judgment of the Court of Appeal of Alberta (Calgary), Number 1101-0160-AC, 2012 ABCA 232, dated July 30, 2012, is dismissed with costs.</w:t>
            </w:r>
          </w:p>
          <w:p w:rsidR="00263885" w:rsidRPr="00A47DB1" w:rsidRDefault="00263885" w:rsidP="00DD7751">
            <w:pPr>
              <w:pStyle w:val="SCCShortJudgment"/>
              <w:ind w:firstLine="0"/>
              <w:rPr>
                <w:szCs w:val="20"/>
              </w:rPr>
            </w:pPr>
          </w:p>
          <w:p w:rsidR="00263885" w:rsidRPr="00A47DB1" w:rsidRDefault="00263885" w:rsidP="00263885">
            <w:pPr>
              <w:pStyle w:val="SCCShortJudgment"/>
              <w:rPr>
                <w:szCs w:val="20"/>
                <w:lang w:val="fr-CA"/>
              </w:rPr>
            </w:pPr>
            <w:r w:rsidRPr="00A47DB1">
              <w:rPr>
                <w:szCs w:val="20"/>
                <w:lang w:val="fr-CA"/>
              </w:rPr>
              <w:t>La demande d’autorisation d’appel de l’arrêt de la Cour d'appel de l’Alberta (Calgary), numéro 1101-0160-AC, 2012 ABCA 232, daté du 30 juillet 2012, est rejetée avec dépens.</w:t>
            </w:r>
          </w:p>
        </w:tc>
      </w:tr>
    </w:tbl>
    <w:p w:rsidR="003101AB" w:rsidRPr="00263885" w:rsidRDefault="003101AB" w:rsidP="003101AB">
      <w:pPr>
        <w:rPr>
          <w:sz w:val="20"/>
          <w:szCs w:val="20"/>
          <w:lang w:val="fr-CA"/>
        </w:rPr>
      </w:pPr>
    </w:p>
    <w:p w:rsidR="003101AB" w:rsidRPr="001B157C" w:rsidRDefault="003101AB" w:rsidP="003101AB">
      <w:pPr>
        <w:rPr>
          <w:sz w:val="20"/>
          <w:szCs w:val="20"/>
          <w:u w:val="single"/>
        </w:rPr>
      </w:pPr>
      <w:r w:rsidRPr="001B157C">
        <w:rPr>
          <w:sz w:val="20"/>
          <w:szCs w:val="20"/>
          <w:u w:val="single"/>
        </w:rPr>
        <w:t>CASE SUMMARY</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31CC1" w:rsidRPr="00DB4F12" w:rsidTr="00CF3230">
        <w:tc>
          <w:tcPr>
            <w:tcW w:w="5000" w:type="pct"/>
            <w:gridSpan w:val="3"/>
          </w:tcPr>
          <w:p w:rsidR="00231CC1" w:rsidRPr="00DB4F12" w:rsidRDefault="00231CC1" w:rsidP="00CF3230">
            <w:pPr>
              <w:jc w:val="both"/>
              <w:rPr>
                <w:sz w:val="20"/>
                <w:szCs w:val="20"/>
              </w:rPr>
            </w:pPr>
            <w:r w:rsidRPr="00DB4F12">
              <w:rPr>
                <w:sz w:val="20"/>
                <w:szCs w:val="20"/>
              </w:rPr>
              <w:t xml:space="preserve">Taxation – Income Tax Assessment – Legislation – Interpretation – Is a province, in its application of its GAAR, precluded from considering transactions within a series that are extra-provincial – How is the GAAR concept of abuse applied in the context of a series involving both paragraph 20(1)(c) and subsection 112(1) of the </w:t>
            </w:r>
            <w:r w:rsidRPr="00DB4F12">
              <w:rPr>
                <w:i/>
                <w:sz w:val="20"/>
                <w:szCs w:val="20"/>
              </w:rPr>
              <w:t>Income Tax Act</w:t>
            </w:r>
            <w:r w:rsidRPr="00DB4F12">
              <w:rPr>
                <w:sz w:val="20"/>
                <w:szCs w:val="20"/>
              </w:rPr>
              <w:t>, R.S.C. 1985, c. 1 (5</w:t>
            </w:r>
            <w:r w:rsidRPr="00DB4F12">
              <w:rPr>
                <w:sz w:val="20"/>
                <w:szCs w:val="20"/>
                <w:vertAlign w:val="superscript"/>
              </w:rPr>
              <w:t>th </w:t>
            </w:r>
            <w:r w:rsidRPr="00DB4F12">
              <w:rPr>
                <w:sz w:val="20"/>
                <w:szCs w:val="20"/>
              </w:rPr>
              <w:t>Supp) and its provincial counterparts.</w:t>
            </w:r>
          </w:p>
        </w:tc>
      </w:tr>
      <w:tr w:rsidR="00231CC1" w:rsidRPr="00DB4F12" w:rsidTr="00CF3230">
        <w:tc>
          <w:tcPr>
            <w:tcW w:w="5000" w:type="pct"/>
            <w:gridSpan w:val="3"/>
          </w:tcPr>
          <w:p w:rsidR="00231CC1" w:rsidRPr="00DB4F12" w:rsidRDefault="00231CC1" w:rsidP="00CF3230">
            <w:pPr>
              <w:jc w:val="both"/>
              <w:rPr>
                <w:sz w:val="20"/>
                <w:szCs w:val="20"/>
              </w:rPr>
            </w:pPr>
          </w:p>
        </w:tc>
      </w:tr>
      <w:tr w:rsidR="00231CC1" w:rsidRPr="00DB4F12" w:rsidTr="00CF3230">
        <w:tc>
          <w:tcPr>
            <w:tcW w:w="5000" w:type="pct"/>
            <w:gridSpan w:val="3"/>
          </w:tcPr>
          <w:p w:rsidR="00231CC1" w:rsidRPr="00DB4F12" w:rsidRDefault="00231CC1" w:rsidP="00CF3230">
            <w:pPr>
              <w:jc w:val="both"/>
              <w:rPr>
                <w:sz w:val="20"/>
                <w:szCs w:val="20"/>
              </w:rPr>
            </w:pPr>
            <w:r w:rsidRPr="00DB4F12">
              <w:rPr>
                <w:sz w:val="20"/>
                <w:szCs w:val="20"/>
              </w:rPr>
              <w:t>The respondent and related companies carried out a sophisticated plan intended to minimize their taxes. One company replaced its retained earnings with money it borrowed from a related company, enabling the first to claim a deduction for interest paid on the borrowed funds. Ultimately, a related, foreign-incorporated company resident in Ontario obtained legal entitlement to the interest and did not pay provincial tax on it, by virtue of Ontario law.  An estimated $6 to $7 million per year of potential provincial taxes was saved.  The Ontario resident paid dividends to another related company, which claimed a deduction on the amount of the inter-corporate dividends.  The applicant reassessed the respondent and the related companies, denying interest expense deductions or including in income the interest received by the Ontario resident.  The companies appealed the reassessments.</w:t>
            </w:r>
          </w:p>
          <w:p w:rsidR="00231CC1" w:rsidRPr="00DB4F12" w:rsidRDefault="00231CC1" w:rsidP="00CF3230">
            <w:pPr>
              <w:jc w:val="both"/>
              <w:rPr>
                <w:sz w:val="20"/>
                <w:szCs w:val="20"/>
              </w:rPr>
            </w:pPr>
          </w:p>
          <w:p w:rsidR="00231CC1" w:rsidRPr="00DB4F12" w:rsidRDefault="00231CC1" w:rsidP="00CF3230">
            <w:pPr>
              <w:jc w:val="both"/>
              <w:rPr>
                <w:sz w:val="20"/>
                <w:szCs w:val="20"/>
              </w:rPr>
            </w:pPr>
            <w:r w:rsidRPr="00DB4F12">
              <w:rPr>
                <w:sz w:val="20"/>
                <w:szCs w:val="20"/>
              </w:rPr>
              <w:t>The Alberta Court of Queen’s Bench allowed the appeals, vacated the reassessments, and ordered that the respondent and the related company’s income, taxable income and taxable amounts be reduced by the reassessed amounts, with interest payable on their over-payment. The Alberta court of Appeal dismissed the appeal.</w:t>
            </w:r>
          </w:p>
          <w:p w:rsidR="00231CC1" w:rsidRPr="00DB4F12" w:rsidRDefault="00231CC1" w:rsidP="00CF3230">
            <w:pPr>
              <w:jc w:val="both"/>
              <w:rPr>
                <w:sz w:val="20"/>
                <w:szCs w:val="20"/>
              </w:rPr>
            </w:pPr>
          </w:p>
        </w:tc>
      </w:tr>
      <w:tr w:rsidR="00231CC1" w:rsidRPr="00DB4F12" w:rsidTr="00263885">
        <w:trPr>
          <w:cantSplit/>
        </w:trPr>
        <w:tc>
          <w:tcPr>
            <w:tcW w:w="2427" w:type="pct"/>
          </w:tcPr>
          <w:p w:rsidR="00231CC1" w:rsidRPr="00DB4F12" w:rsidRDefault="00231CC1" w:rsidP="00CF3230">
            <w:pPr>
              <w:jc w:val="both"/>
              <w:rPr>
                <w:sz w:val="20"/>
                <w:szCs w:val="20"/>
              </w:rPr>
            </w:pPr>
            <w:r w:rsidRPr="00DB4F12">
              <w:rPr>
                <w:sz w:val="20"/>
                <w:szCs w:val="20"/>
              </w:rPr>
              <w:lastRenderedPageBreak/>
              <w:t>May 16, 2011</w:t>
            </w:r>
          </w:p>
          <w:p w:rsidR="00231CC1" w:rsidRPr="00DB4F12" w:rsidRDefault="00231CC1" w:rsidP="00CF3230">
            <w:pPr>
              <w:jc w:val="both"/>
              <w:rPr>
                <w:sz w:val="20"/>
                <w:szCs w:val="20"/>
              </w:rPr>
            </w:pPr>
            <w:r w:rsidRPr="00DB4F12">
              <w:rPr>
                <w:sz w:val="20"/>
                <w:szCs w:val="20"/>
              </w:rPr>
              <w:t>Court of Queen’s Bench of Alberta</w:t>
            </w:r>
          </w:p>
          <w:p w:rsidR="00231CC1" w:rsidRPr="00DB4F12" w:rsidRDefault="00231CC1" w:rsidP="00CF3230">
            <w:pPr>
              <w:jc w:val="both"/>
              <w:rPr>
                <w:sz w:val="20"/>
                <w:szCs w:val="20"/>
              </w:rPr>
            </w:pPr>
            <w:r w:rsidRPr="00DB4F12">
              <w:rPr>
                <w:sz w:val="20"/>
                <w:szCs w:val="20"/>
              </w:rPr>
              <w:t>(Romaine J.)</w:t>
            </w:r>
          </w:p>
          <w:p w:rsidR="00231CC1" w:rsidRPr="00DB4F12" w:rsidRDefault="00231CC1" w:rsidP="00CF3230">
            <w:pPr>
              <w:jc w:val="both"/>
              <w:rPr>
                <w:sz w:val="20"/>
                <w:szCs w:val="20"/>
              </w:rPr>
            </w:pPr>
            <w:r w:rsidRPr="00DB4F12">
              <w:rPr>
                <w:sz w:val="20"/>
                <w:szCs w:val="20"/>
              </w:rPr>
              <w:t>2011 ABQB 329</w:t>
            </w:r>
          </w:p>
          <w:p w:rsidR="00231CC1" w:rsidRPr="00DB4F12" w:rsidRDefault="00231CC1" w:rsidP="00CF3230">
            <w:pPr>
              <w:jc w:val="both"/>
              <w:rPr>
                <w:sz w:val="20"/>
                <w:szCs w:val="20"/>
              </w:rPr>
            </w:pPr>
          </w:p>
        </w:tc>
        <w:tc>
          <w:tcPr>
            <w:tcW w:w="243" w:type="pct"/>
          </w:tcPr>
          <w:p w:rsidR="00231CC1" w:rsidRPr="00DB4F12" w:rsidRDefault="00231CC1" w:rsidP="00CF3230">
            <w:pPr>
              <w:jc w:val="both"/>
              <w:rPr>
                <w:sz w:val="20"/>
                <w:szCs w:val="20"/>
              </w:rPr>
            </w:pPr>
          </w:p>
        </w:tc>
        <w:tc>
          <w:tcPr>
            <w:tcW w:w="2330" w:type="pct"/>
          </w:tcPr>
          <w:p w:rsidR="00231CC1" w:rsidRPr="00DB4F12" w:rsidRDefault="00231CC1" w:rsidP="00CF3230">
            <w:pPr>
              <w:jc w:val="both"/>
              <w:rPr>
                <w:sz w:val="20"/>
                <w:szCs w:val="20"/>
              </w:rPr>
            </w:pPr>
            <w:r w:rsidRPr="00DB4F12">
              <w:rPr>
                <w:sz w:val="20"/>
                <w:szCs w:val="20"/>
              </w:rPr>
              <w:t>Appeals allowed, Applicant’s reassessments quashed, Applicant directed to reduce respondent and related company’s income, taxable income and taxable amounts be reduced by the reassessed amounts, with interest on over-payment</w:t>
            </w:r>
          </w:p>
          <w:p w:rsidR="00231CC1" w:rsidRPr="00DB4F12" w:rsidRDefault="00231CC1" w:rsidP="00CF3230">
            <w:pPr>
              <w:jc w:val="both"/>
              <w:rPr>
                <w:sz w:val="20"/>
                <w:szCs w:val="20"/>
              </w:rPr>
            </w:pPr>
          </w:p>
        </w:tc>
      </w:tr>
      <w:tr w:rsidR="00231CC1" w:rsidRPr="00DB4F12" w:rsidTr="00263885">
        <w:trPr>
          <w:cantSplit/>
        </w:trPr>
        <w:tc>
          <w:tcPr>
            <w:tcW w:w="2427" w:type="pct"/>
          </w:tcPr>
          <w:p w:rsidR="00231CC1" w:rsidRPr="00DB4F12" w:rsidRDefault="00231CC1" w:rsidP="00CF3230">
            <w:pPr>
              <w:jc w:val="both"/>
              <w:rPr>
                <w:sz w:val="20"/>
                <w:szCs w:val="20"/>
              </w:rPr>
            </w:pPr>
            <w:r w:rsidRPr="00DB4F12">
              <w:rPr>
                <w:sz w:val="20"/>
                <w:szCs w:val="20"/>
              </w:rPr>
              <w:t>July 30, 2012</w:t>
            </w:r>
          </w:p>
          <w:p w:rsidR="00231CC1" w:rsidRPr="00DB4F12" w:rsidRDefault="00231CC1" w:rsidP="00CF3230">
            <w:pPr>
              <w:jc w:val="both"/>
              <w:rPr>
                <w:sz w:val="20"/>
                <w:szCs w:val="20"/>
              </w:rPr>
            </w:pPr>
            <w:r w:rsidRPr="00DB4F12">
              <w:rPr>
                <w:sz w:val="20"/>
                <w:szCs w:val="20"/>
              </w:rPr>
              <w:t>Court of Appeal of Alberta (Calgary)</w:t>
            </w:r>
          </w:p>
          <w:p w:rsidR="00231CC1" w:rsidRPr="00DB4F12" w:rsidRDefault="00231CC1" w:rsidP="00CF3230">
            <w:pPr>
              <w:jc w:val="both"/>
              <w:rPr>
                <w:sz w:val="20"/>
                <w:szCs w:val="20"/>
              </w:rPr>
            </w:pPr>
            <w:r w:rsidRPr="00DB4F12">
              <w:rPr>
                <w:sz w:val="20"/>
                <w:szCs w:val="20"/>
              </w:rPr>
              <w:t>(Hunt, Berger and Bielby JJ.A.)</w:t>
            </w:r>
          </w:p>
          <w:p w:rsidR="00231CC1" w:rsidRPr="00DB4F12" w:rsidRDefault="00231CC1" w:rsidP="00CF3230">
            <w:pPr>
              <w:jc w:val="both"/>
              <w:rPr>
                <w:sz w:val="20"/>
                <w:szCs w:val="20"/>
              </w:rPr>
            </w:pPr>
            <w:r w:rsidRPr="00DB4F12">
              <w:rPr>
                <w:sz w:val="20"/>
                <w:szCs w:val="20"/>
              </w:rPr>
              <w:t>2012 ABCA 232; 1101-0160-AC</w:t>
            </w:r>
          </w:p>
          <w:p w:rsidR="00231CC1" w:rsidRPr="00DB4F12" w:rsidRDefault="00231CC1" w:rsidP="00CF3230">
            <w:pPr>
              <w:jc w:val="both"/>
              <w:rPr>
                <w:sz w:val="20"/>
                <w:szCs w:val="20"/>
              </w:rPr>
            </w:pPr>
          </w:p>
        </w:tc>
        <w:tc>
          <w:tcPr>
            <w:tcW w:w="243" w:type="pct"/>
          </w:tcPr>
          <w:p w:rsidR="00231CC1" w:rsidRPr="00DB4F12" w:rsidRDefault="00231CC1" w:rsidP="00CF3230">
            <w:pPr>
              <w:jc w:val="both"/>
              <w:rPr>
                <w:sz w:val="20"/>
                <w:szCs w:val="20"/>
              </w:rPr>
            </w:pPr>
          </w:p>
        </w:tc>
        <w:tc>
          <w:tcPr>
            <w:tcW w:w="2330" w:type="pct"/>
          </w:tcPr>
          <w:p w:rsidR="00231CC1" w:rsidRPr="00DB4F12" w:rsidRDefault="00231CC1" w:rsidP="00CF3230">
            <w:pPr>
              <w:jc w:val="both"/>
              <w:rPr>
                <w:sz w:val="20"/>
                <w:szCs w:val="20"/>
              </w:rPr>
            </w:pPr>
            <w:r w:rsidRPr="00DB4F12">
              <w:rPr>
                <w:sz w:val="20"/>
                <w:szCs w:val="20"/>
              </w:rPr>
              <w:t>Appeal dismissed</w:t>
            </w:r>
          </w:p>
          <w:p w:rsidR="00231CC1" w:rsidRPr="00DB4F12" w:rsidRDefault="00231CC1" w:rsidP="00CF3230">
            <w:pPr>
              <w:jc w:val="both"/>
              <w:rPr>
                <w:sz w:val="20"/>
                <w:szCs w:val="20"/>
              </w:rPr>
            </w:pPr>
          </w:p>
        </w:tc>
      </w:tr>
      <w:tr w:rsidR="00231CC1" w:rsidRPr="00DB4F12" w:rsidTr="00263885">
        <w:trPr>
          <w:cantSplit/>
        </w:trPr>
        <w:tc>
          <w:tcPr>
            <w:tcW w:w="2427" w:type="pct"/>
          </w:tcPr>
          <w:p w:rsidR="00231CC1" w:rsidRPr="00DB4F12" w:rsidRDefault="00231CC1" w:rsidP="00CF3230">
            <w:pPr>
              <w:jc w:val="both"/>
              <w:rPr>
                <w:sz w:val="20"/>
                <w:szCs w:val="20"/>
              </w:rPr>
            </w:pPr>
            <w:r w:rsidRPr="00DB4F12">
              <w:rPr>
                <w:sz w:val="20"/>
                <w:szCs w:val="20"/>
              </w:rPr>
              <w:t>September 28, 2012</w:t>
            </w:r>
          </w:p>
          <w:p w:rsidR="00231CC1" w:rsidRPr="00DB4F12" w:rsidRDefault="00231CC1" w:rsidP="00CF3230">
            <w:pPr>
              <w:jc w:val="both"/>
              <w:rPr>
                <w:sz w:val="20"/>
                <w:szCs w:val="20"/>
              </w:rPr>
            </w:pPr>
            <w:r w:rsidRPr="00DB4F12">
              <w:rPr>
                <w:sz w:val="20"/>
                <w:szCs w:val="20"/>
              </w:rPr>
              <w:t>Supreme Court of Canada</w:t>
            </w:r>
          </w:p>
        </w:tc>
        <w:tc>
          <w:tcPr>
            <w:tcW w:w="243" w:type="pct"/>
          </w:tcPr>
          <w:p w:rsidR="00231CC1" w:rsidRPr="00DB4F12" w:rsidRDefault="00231CC1" w:rsidP="00CF3230">
            <w:pPr>
              <w:jc w:val="both"/>
              <w:rPr>
                <w:sz w:val="20"/>
                <w:szCs w:val="20"/>
              </w:rPr>
            </w:pPr>
          </w:p>
        </w:tc>
        <w:tc>
          <w:tcPr>
            <w:tcW w:w="2330" w:type="pct"/>
          </w:tcPr>
          <w:p w:rsidR="00231CC1" w:rsidRPr="00DB4F12" w:rsidRDefault="00231CC1" w:rsidP="00CF3230">
            <w:pPr>
              <w:jc w:val="both"/>
              <w:rPr>
                <w:sz w:val="20"/>
                <w:szCs w:val="20"/>
              </w:rPr>
            </w:pPr>
            <w:r w:rsidRPr="00DB4F12">
              <w:rPr>
                <w:sz w:val="20"/>
                <w:szCs w:val="20"/>
              </w:rPr>
              <w:t>Application for leave to appeal filed</w:t>
            </w:r>
          </w:p>
          <w:p w:rsidR="00231CC1" w:rsidRPr="00DB4F12" w:rsidRDefault="00231CC1" w:rsidP="00CF3230">
            <w:pPr>
              <w:jc w:val="both"/>
              <w:rPr>
                <w:sz w:val="20"/>
                <w:szCs w:val="20"/>
              </w:rPr>
            </w:pPr>
          </w:p>
        </w:tc>
      </w:tr>
    </w:tbl>
    <w:p w:rsidR="003101AB" w:rsidRPr="00C50A5C" w:rsidRDefault="003101AB" w:rsidP="003101AB">
      <w:pPr>
        <w:rPr>
          <w:sz w:val="20"/>
          <w:szCs w:val="20"/>
        </w:rPr>
      </w:pPr>
    </w:p>
    <w:p w:rsidR="003101AB" w:rsidRPr="00C50A5C" w:rsidRDefault="003F21C7" w:rsidP="003101AB">
      <w:pPr>
        <w:rPr>
          <w:sz w:val="20"/>
          <w:szCs w:val="20"/>
        </w:rPr>
      </w:pPr>
      <w:r w:rsidRPr="003F21C7">
        <w:rPr>
          <w:sz w:val="20"/>
          <w:szCs w:val="20"/>
          <w:lang w:val="fr-CA"/>
        </w:rPr>
        <w:pict>
          <v:rect id="_x0000_i1044" style="width:2in;height:1pt" o:hrpct="0" o:hralign="center" o:hrstd="t" o:hrnoshade="t" o:hr="t" fillcolor="black [3213]" stroked="f"/>
        </w:pict>
      </w:r>
    </w:p>
    <w:p w:rsidR="003101AB" w:rsidRDefault="003101AB" w:rsidP="003101AB">
      <w:pPr>
        <w:rPr>
          <w:sz w:val="20"/>
          <w:szCs w:val="20"/>
        </w:rPr>
      </w:pPr>
    </w:p>
    <w:p w:rsidR="003101AB" w:rsidRPr="001B157C" w:rsidRDefault="003101AB" w:rsidP="003101AB">
      <w:pPr>
        <w:rPr>
          <w:sz w:val="20"/>
          <w:szCs w:val="20"/>
          <w:u w:val="single"/>
          <w:lang w:val="fr-CA"/>
        </w:rPr>
      </w:pPr>
      <w:r w:rsidRPr="001B157C">
        <w:rPr>
          <w:sz w:val="20"/>
          <w:szCs w:val="20"/>
          <w:u w:val="single"/>
          <w:lang w:val="fr-CA"/>
        </w:rPr>
        <w:t>RÉSUMÉ DE L’AFFAIRE</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31CC1" w:rsidRPr="00462F49" w:rsidTr="00CF3230">
        <w:tc>
          <w:tcPr>
            <w:tcW w:w="5000" w:type="pct"/>
            <w:gridSpan w:val="3"/>
          </w:tcPr>
          <w:p w:rsidR="00231CC1" w:rsidRPr="00DB4F12" w:rsidRDefault="00231CC1" w:rsidP="00CF3230">
            <w:pPr>
              <w:jc w:val="both"/>
              <w:rPr>
                <w:sz w:val="20"/>
                <w:szCs w:val="20"/>
                <w:lang w:val="fr-FR"/>
              </w:rPr>
            </w:pPr>
            <w:r w:rsidRPr="00DB4F12">
              <w:rPr>
                <w:sz w:val="20"/>
                <w:szCs w:val="20"/>
                <w:lang w:val="fr-FR"/>
              </w:rPr>
              <w:t>Droit fiscal – Cotisation de l’impôt sur le revenu – Législation – Interprétation – Est</w:t>
            </w:r>
            <w:r w:rsidRPr="00DB4F12">
              <w:rPr>
                <w:sz w:val="20"/>
                <w:szCs w:val="20"/>
                <w:lang w:val="fr-FR"/>
              </w:rPr>
              <w:noBreakHyphen/>
              <w:t>il interdit à une province qui applique sa RGAÉ de tenir compte d’opérations faisant partie d’une série d’opérations extraprovinciales? – De quelle manière la notion d’abus liée à la RGAÉ s’applique</w:t>
            </w:r>
            <w:r w:rsidRPr="00DB4F12">
              <w:rPr>
                <w:sz w:val="20"/>
                <w:szCs w:val="20"/>
                <w:lang w:val="fr-FR"/>
              </w:rPr>
              <w:noBreakHyphen/>
              <w:t>t</w:t>
            </w:r>
            <w:r w:rsidRPr="00DB4F12">
              <w:rPr>
                <w:sz w:val="20"/>
                <w:szCs w:val="20"/>
                <w:lang w:val="fr-FR"/>
              </w:rPr>
              <w:noBreakHyphen/>
              <w:t>elle lorsqu’on a affaire à une série d’opérations mettant en cause l’alinéa 20(1)</w:t>
            </w:r>
            <w:r w:rsidRPr="00DB4F12">
              <w:rPr>
                <w:i/>
                <w:sz w:val="20"/>
                <w:szCs w:val="20"/>
                <w:lang w:val="fr-FR"/>
              </w:rPr>
              <w:t>c</w:t>
            </w:r>
            <w:r w:rsidRPr="00DB4F12">
              <w:rPr>
                <w:sz w:val="20"/>
                <w:szCs w:val="20"/>
                <w:lang w:val="fr-FR"/>
              </w:rPr>
              <w:t xml:space="preserve">) et le paragraphe 112(1) de la </w:t>
            </w:r>
            <w:r w:rsidRPr="00DB4F12">
              <w:rPr>
                <w:i/>
                <w:sz w:val="20"/>
                <w:szCs w:val="20"/>
                <w:lang w:val="fr-FR"/>
              </w:rPr>
              <w:t>Loi de l’impôt sur le revenu</w:t>
            </w:r>
            <w:r w:rsidRPr="00DB4F12">
              <w:rPr>
                <w:sz w:val="20"/>
                <w:szCs w:val="20"/>
                <w:lang w:val="fr-FR"/>
              </w:rPr>
              <w:t>, L.R.C. 1985, ch. 1 (5</w:t>
            </w:r>
            <w:r w:rsidRPr="00DB4F12">
              <w:rPr>
                <w:sz w:val="20"/>
                <w:szCs w:val="20"/>
                <w:vertAlign w:val="superscript"/>
                <w:lang w:val="fr-FR"/>
              </w:rPr>
              <w:t>e </w:t>
            </w:r>
            <w:r w:rsidRPr="00DB4F12">
              <w:rPr>
                <w:sz w:val="20"/>
                <w:szCs w:val="20"/>
                <w:lang w:val="fr-FR"/>
              </w:rPr>
              <w:t>suppl.) et les lois provinciales analogues?</w:t>
            </w:r>
          </w:p>
        </w:tc>
      </w:tr>
      <w:tr w:rsidR="00231CC1" w:rsidRPr="00462F49" w:rsidTr="00CF3230">
        <w:tc>
          <w:tcPr>
            <w:tcW w:w="5000" w:type="pct"/>
            <w:gridSpan w:val="3"/>
          </w:tcPr>
          <w:p w:rsidR="00231CC1" w:rsidRPr="00DB4F12" w:rsidRDefault="00231CC1" w:rsidP="00CF3230">
            <w:pPr>
              <w:jc w:val="both"/>
              <w:rPr>
                <w:sz w:val="20"/>
                <w:szCs w:val="20"/>
                <w:lang w:val="fr-FR"/>
              </w:rPr>
            </w:pPr>
          </w:p>
        </w:tc>
      </w:tr>
      <w:tr w:rsidR="00231CC1" w:rsidRPr="00DB4F12" w:rsidTr="00CF3230">
        <w:tc>
          <w:tcPr>
            <w:tcW w:w="5000" w:type="pct"/>
            <w:gridSpan w:val="3"/>
          </w:tcPr>
          <w:p w:rsidR="00231CC1" w:rsidRPr="00DB4F12" w:rsidRDefault="00231CC1" w:rsidP="00CF3230">
            <w:pPr>
              <w:jc w:val="both"/>
              <w:rPr>
                <w:sz w:val="20"/>
                <w:szCs w:val="20"/>
                <w:lang w:val="fr-FR"/>
              </w:rPr>
            </w:pPr>
            <w:r w:rsidRPr="00DB4F12">
              <w:rPr>
                <w:sz w:val="20"/>
                <w:szCs w:val="20"/>
                <w:lang w:val="fr-FR"/>
              </w:rPr>
              <w:t>L’intimée et ses sociétés affiliées ont mis à exécution un plan astucieux dans le but de payer moins d’impôt.  Une société a remplacé ses bénéfices non distribués par l’argent qu’elle avait emprunté d’une société affiliée, ce qui lui a permis de réclamer la déduction de l’intérêt versé sur l’emprunt.  Par la suite, une société constituée à l’étranger qui réside en Ontario a acquis un droit sur l’intérêt et n’a pas payé d’impôt provincial sur celui</w:t>
            </w:r>
            <w:r w:rsidRPr="00DB4F12">
              <w:rPr>
                <w:sz w:val="20"/>
                <w:szCs w:val="20"/>
                <w:lang w:val="fr-FR"/>
              </w:rPr>
              <w:noBreakHyphen/>
              <w:t>ci grâce à la législation ontarienne.  On estime de six à sept millions de dollars par année l’impôt provincial potentiel qui a été économisé.  La société résidente de l’Ontario a versé des dividendes à une société affiliée, qui a réclamé la déduction de la somme des dividendes entre sociétés.  La demanderesse a établi de nouvelles cotisations à l’égard de l’intimée et de ses sociétés affiliées, et leur a refusé la déduction des frais d’intérêts ou l’ajout dans le calcul du revenu de l’intérêt touché par la société résidant en Ontario.  Les sociétés ont interjeté appel des nouvelles cotisations.</w:t>
            </w:r>
          </w:p>
          <w:p w:rsidR="00231CC1" w:rsidRPr="00DB4F12" w:rsidRDefault="00231CC1" w:rsidP="00CF3230">
            <w:pPr>
              <w:jc w:val="both"/>
              <w:rPr>
                <w:sz w:val="20"/>
                <w:szCs w:val="20"/>
                <w:lang w:val="fr-FR"/>
              </w:rPr>
            </w:pPr>
          </w:p>
          <w:p w:rsidR="00231CC1" w:rsidRPr="00DB4F12" w:rsidRDefault="00231CC1" w:rsidP="00CF3230">
            <w:pPr>
              <w:jc w:val="both"/>
              <w:rPr>
                <w:sz w:val="20"/>
                <w:szCs w:val="20"/>
                <w:lang w:val="fr-FR"/>
              </w:rPr>
            </w:pPr>
            <w:r w:rsidRPr="00DB4F12">
              <w:rPr>
                <w:sz w:val="20"/>
                <w:szCs w:val="20"/>
                <w:lang w:val="fr-FR"/>
              </w:rPr>
              <w:t>La Cour du Banc de la Reine de l’Alberta a accueilli les appels, annulé les nouvelles cotisations et ordonné que le revenu, le revenu imposable et les sommes imposables de l’intimée et de sa société affiliée soient réduits des sommes découlant des nouvelles cotisations, avec intérêts sur leur trop</w:t>
            </w:r>
            <w:r w:rsidRPr="00DB4F12">
              <w:rPr>
                <w:sz w:val="20"/>
                <w:szCs w:val="20"/>
                <w:lang w:val="fr-FR"/>
              </w:rPr>
              <w:noBreakHyphen/>
              <w:t>payé.  La Cour d’appel de l’Alberta a rejeté l’appel.</w:t>
            </w:r>
          </w:p>
          <w:p w:rsidR="00231CC1" w:rsidRPr="00DB4F12" w:rsidRDefault="00231CC1" w:rsidP="00CF3230">
            <w:pPr>
              <w:jc w:val="both"/>
              <w:rPr>
                <w:sz w:val="20"/>
                <w:szCs w:val="20"/>
                <w:lang w:val="fr-FR"/>
              </w:rPr>
            </w:pPr>
          </w:p>
        </w:tc>
      </w:tr>
      <w:tr w:rsidR="00231CC1" w:rsidRPr="00462F49" w:rsidTr="00CF3230">
        <w:tc>
          <w:tcPr>
            <w:tcW w:w="2427" w:type="pct"/>
          </w:tcPr>
          <w:p w:rsidR="00231CC1" w:rsidRPr="00DB4F12" w:rsidRDefault="00231CC1" w:rsidP="00CF3230">
            <w:pPr>
              <w:jc w:val="both"/>
              <w:rPr>
                <w:sz w:val="20"/>
                <w:szCs w:val="20"/>
                <w:lang w:val="fr-FR"/>
              </w:rPr>
            </w:pPr>
            <w:r w:rsidRPr="00DB4F12">
              <w:rPr>
                <w:sz w:val="20"/>
                <w:szCs w:val="20"/>
                <w:lang w:val="fr-FR"/>
              </w:rPr>
              <w:t>16 mai 2011</w:t>
            </w:r>
          </w:p>
          <w:p w:rsidR="00231CC1" w:rsidRPr="00DB4F12" w:rsidRDefault="00231CC1" w:rsidP="00CF3230">
            <w:pPr>
              <w:jc w:val="both"/>
              <w:rPr>
                <w:sz w:val="20"/>
                <w:szCs w:val="20"/>
                <w:lang w:val="fr-FR"/>
              </w:rPr>
            </w:pPr>
            <w:r w:rsidRPr="00DB4F12">
              <w:rPr>
                <w:sz w:val="20"/>
                <w:szCs w:val="20"/>
                <w:lang w:val="fr-FR"/>
              </w:rPr>
              <w:t>Cour du Banc de la Reine de l’Alberta</w:t>
            </w:r>
          </w:p>
          <w:p w:rsidR="00231CC1" w:rsidRPr="00DB4F12" w:rsidRDefault="00231CC1" w:rsidP="00CF3230">
            <w:pPr>
              <w:jc w:val="both"/>
              <w:rPr>
                <w:sz w:val="20"/>
                <w:szCs w:val="20"/>
              </w:rPr>
            </w:pPr>
            <w:r w:rsidRPr="00DB4F12">
              <w:rPr>
                <w:sz w:val="20"/>
                <w:szCs w:val="20"/>
              </w:rPr>
              <w:t>(Juge Romaine)</w:t>
            </w:r>
          </w:p>
          <w:p w:rsidR="00231CC1" w:rsidRPr="00DB4F12" w:rsidRDefault="00231CC1" w:rsidP="00CF3230">
            <w:pPr>
              <w:jc w:val="both"/>
              <w:rPr>
                <w:sz w:val="20"/>
                <w:szCs w:val="20"/>
              </w:rPr>
            </w:pPr>
            <w:r w:rsidRPr="00DB4F12">
              <w:rPr>
                <w:sz w:val="20"/>
                <w:szCs w:val="20"/>
              </w:rPr>
              <w:t>2011 ABQB 329</w:t>
            </w:r>
          </w:p>
          <w:p w:rsidR="00231CC1" w:rsidRPr="00DB4F12" w:rsidRDefault="00231CC1" w:rsidP="00CF3230">
            <w:pPr>
              <w:jc w:val="both"/>
              <w:rPr>
                <w:sz w:val="20"/>
                <w:szCs w:val="20"/>
              </w:rPr>
            </w:pPr>
          </w:p>
        </w:tc>
        <w:tc>
          <w:tcPr>
            <w:tcW w:w="243" w:type="pct"/>
          </w:tcPr>
          <w:p w:rsidR="00231CC1" w:rsidRPr="00DB4F12" w:rsidRDefault="00231CC1" w:rsidP="00CF3230">
            <w:pPr>
              <w:jc w:val="both"/>
              <w:rPr>
                <w:sz w:val="20"/>
                <w:szCs w:val="20"/>
              </w:rPr>
            </w:pPr>
          </w:p>
        </w:tc>
        <w:tc>
          <w:tcPr>
            <w:tcW w:w="2330" w:type="pct"/>
          </w:tcPr>
          <w:p w:rsidR="00231CC1" w:rsidRPr="00DB4F12" w:rsidRDefault="00231CC1" w:rsidP="00CF3230">
            <w:pPr>
              <w:jc w:val="both"/>
              <w:rPr>
                <w:sz w:val="20"/>
                <w:szCs w:val="20"/>
                <w:lang w:val="fr-FR"/>
              </w:rPr>
            </w:pPr>
            <w:r w:rsidRPr="00DB4F12">
              <w:rPr>
                <w:sz w:val="20"/>
                <w:szCs w:val="20"/>
                <w:lang w:val="fr-FR"/>
              </w:rPr>
              <w:t>Appels accueillis, nouvelles cotisations de la demanderesse annulées, demanderesse enjointe de réduire des sommes découlant des nouvelles cotisations le revenu, le revenu imposable et les sommes imposables, avec intérêts sur leur trop</w:t>
            </w:r>
            <w:r w:rsidRPr="00DB4F12">
              <w:rPr>
                <w:sz w:val="20"/>
                <w:szCs w:val="20"/>
                <w:lang w:val="fr-FR"/>
              </w:rPr>
              <w:noBreakHyphen/>
              <w:t>payé</w:t>
            </w:r>
          </w:p>
          <w:p w:rsidR="00231CC1" w:rsidRPr="00DB4F12" w:rsidRDefault="00231CC1" w:rsidP="00CF3230">
            <w:pPr>
              <w:jc w:val="both"/>
              <w:rPr>
                <w:sz w:val="20"/>
                <w:szCs w:val="20"/>
                <w:lang w:val="fr-FR"/>
              </w:rPr>
            </w:pPr>
          </w:p>
        </w:tc>
      </w:tr>
      <w:tr w:rsidR="00231CC1" w:rsidRPr="00DB4F12" w:rsidTr="00CF3230">
        <w:tc>
          <w:tcPr>
            <w:tcW w:w="2427" w:type="pct"/>
          </w:tcPr>
          <w:p w:rsidR="00231CC1" w:rsidRPr="00DB4F12" w:rsidRDefault="00231CC1" w:rsidP="00CF3230">
            <w:pPr>
              <w:jc w:val="both"/>
              <w:rPr>
                <w:sz w:val="20"/>
                <w:szCs w:val="20"/>
                <w:lang w:val="fr-FR"/>
              </w:rPr>
            </w:pPr>
            <w:r w:rsidRPr="00DB4F12">
              <w:rPr>
                <w:sz w:val="20"/>
                <w:szCs w:val="20"/>
                <w:lang w:val="fr-FR"/>
              </w:rPr>
              <w:t>30 juillet 2012</w:t>
            </w:r>
          </w:p>
          <w:p w:rsidR="00231CC1" w:rsidRPr="00DB4F12" w:rsidRDefault="00231CC1" w:rsidP="00CF3230">
            <w:pPr>
              <w:jc w:val="both"/>
              <w:rPr>
                <w:sz w:val="20"/>
                <w:szCs w:val="20"/>
                <w:lang w:val="fr-FR"/>
              </w:rPr>
            </w:pPr>
            <w:r w:rsidRPr="00DB4F12">
              <w:rPr>
                <w:sz w:val="20"/>
                <w:szCs w:val="20"/>
                <w:lang w:val="fr-FR"/>
              </w:rPr>
              <w:t>Cour d’appel de l’Alberta (Calgary)</w:t>
            </w:r>
          </w:p>
          <w:p w:rsidR="00231CC1" w:rsidRPr="00DB4F12" w:rsidRDefault="00231CC1" w:rsidP="00CF3230">
            <w:pPr>
              <w:jc w:val="both"/>
              <w:rPr>
                <w:sz w:val="20"/>
                <w:szCs w:val="20"/>
                <w:lang w:val="fr-FR"/>
              </w:rPr>
            </w:pPr>
            <w:r w:rsidRPr="00DB4F12">
              <w:rPr>
                <w:sz w:val="20"/>
                <w:szCs w:val="20"/>
                <w:lang w:val="fr-FR"/>
              </w:rPr>
              <w:t>(Juges Hunt, Berger et Bielby)</w:t>
            </w:r>
          </w:p>
          <w:p w:rsidR="00231CC1" w:rsidRPr="00DB4F12" w:rsidRDefault="00231CC1" w:rsidP="00CF3230">
            <w:pPr>
              <w:jc w:val="both"/>
              <w:rPr>
                <w:sz w:val="20"/>
                <w:szCs w:val="20"/>
              </w:rPr>
            </w:pPr>
            <w:r w:rsidRPr="00DB4F12">
              <w:rPr>
                <w:sz w:val="20"/>
                <w:szCs w:val="20"/>
              </w:rPr>
              <w:t>2012 ABCA 232; 1101</w:t>
            </w:r>
            <w:r w:rsidRPr="00DB4F12">
              <w:rPr>
                <w:sz w:val="20"/>
                <w:szCs w:val="20"/>
              </w:rPr>
              <w:noBreakHyphen/>
              <w:t>0160</w:t>
            </w:r>
            <w:r w:rsidRPr="00DB4F12">
              <w:rPr>
                <w:sz w:val="20"/>
                <w:szCs w:val="20"/>
              </w:rPr>
              <w:noBreakHyphen/>
              <w:t>AC</w:t>
            </w:r>
          </w:p>
          <w:p w:rsidR="00231CC1" w:rsidRPr="00DB4F12" w:rsidRDefault="00231CC1" w:rsidP="00CF3230">
            <w:pPr>
              <w:jc w:val="both"/>
              <w:rPr>
                <w:sz w:val="20"/>
                <w:szCs w:val="20"/>
              </w:rPr>
            </w:pPr>
          </w:p>
        </w:tc>
        <w:tc>
          <w:tcPr>
            <w:tcW w:w="243" w:type="pct"/>
          </w:tcPr>
          <w:p w:rsidR="00231CC1" w:rsidRPr="00DB4F12" w:rsidRDefault="00231CC1" w:rsidP="00CF3230">
            <w:pPr>
              <w:jc w:val="both"/>
              <w:rPr>
                <w:sz w:val="20"/>
                <w:szCs w:val="20"/>
              </w:rPr>
            </w:pPr>
          </w:p>
        </w:tc>
        <w:tc>
          <w:tcPr>
            <w:tcW w:w="2330" w:type="pct"/>
          </w:tcPr>
          <w:p w:rsidR="00231CC1" w:rsidRPr="00DB4F12" w:rsidRDefault="00231CC1" w:rsidP="00CF3230">
            <w:pPr>
              <w:jc w:val="both"/>
              <w:rPr>
                <w:sz w:val="20"/>
                <w:szCs w:val="20"/>
              </w:rPr>
            </w:pPr>
            <w:r w:rsidRPr="00DB4F12">
              <w:rPr>
                <w:sz w:val="20"/>
                <w:szCs w:val="20"/>
              </w:rPr>
              <w:t>Appel rejeté</w:t>
            </w:r>
          </w:p>
          <w:p w:rsidR="00231CC1" w:rsidRPr="00DB4F12" w:rsidRDefault="00231CC1" w:rsidP="00CF3230">
            <w:pPr>
              <w:jc w:val="both"/>
              <w:rPr>
                <w:sz w:val="20"/>
                <w:szCs w:val="20"/>
              </w:rPr>
            </w:pPr>
          </w:p>
        </w:tc>
      </w:tr>
      <w:tr w:rsidR="00231CC1" w:rsidRPr="00DB4F12" w:rsidTr="00263885">
        <w:trPr>
          <w:cantSplit/>
        </w:trPr>
        <w:tc>
          <w:tcPr>
            <w:tcW w:w="2427" w:type="pct"/>
          </w:tcPr>
          <w:p w:rsidR="00231CC1" w:rsidRPr="00DB4F12" w:rsidRDefault="00231CC1" w:rsidP="00CF3230">
            <w:pPr>
              <w:jc w:val="both"/>
              <w:rPr>
                <w:sz w:val="20"/>
                <w:szCs w:val="20"/>
                <w:lang w:val="fr-FR"/>
              </w:rPr>
            </w:pPr>
            <w:r w:rsidRPr="00DB4F12">
              <w:rPr>
                <w:sz w:val="20"/>
                <w:szCs w:val="20"/>
                <w:lang w:val="fr-FR"/>
              </w:rPr>
              <w:lastRenderedPageBreak/>
              <w:t>28 septembre 2012</w:t>
            </w:r>
          </w:p>
          <w:p w:rsidR="00231CC1" w:rsidRPr="00DB4F12" w:rsidRDefault="00231CC1" w:rsidP="00CF3230">
            <w:pPr>
              <w:jc w:val="both"/>
              <w:rPr>
                <w:sz w:val="20"/>
                <w:szCs w:val="20"/>
                <w:lang w:val="fr-FR"/>
              </w:rPr>
            </w:pPr>
            <w:r w:rsidRPr="00DB4F12">
              <w:rPr>
                <w:sz w:val="20"/>
                <w:szCs w:val="20"/>
                <w:lang w:val="fr-FR"/>
              </w:rPr>
              <w:t>Cour suprême du Canada</w:t>
            </w:r>
          </w:p>
        </w:tc>
        <w:tc>
          <w:tcPr>
            <w:tcW w:w="243" w:type="pct"/>
          </w:tcPr>
          <w:p w:rsidR="00231CC1" w:rsidRPr="00DB4F12" w:rsidRDefault="00231CC1" w:rsidP="00CF3230">
            <w:pPr>
              <w:jc w:val="both"/>
              <w:rPr>
                <w:sz w:val="20"/>
                <w:szCs w:val="20"/>
                <w:lang w:val="fr-FR"/>
              </w:rPr>
            </w:pPr>
          </w:p>
        </w:tc>
        <w:tc>
          <w:tcPr>
            <w:tcW w:w="2330" w:type="pct"/>
          </w:tcPr>
          <w:p w:rsidR="00231CC1" w:rsidRPr="00DB4F12" w:rsidRDefault="00231CC1" w:rsidP="00CF3230">
            <w:pPr>
              <w:jc w:val="both"/>
              <w:rPr>
                <w:sz w:val="20"/>
                <w:szCs w:val="20"/>
              </w:rPr>
            </w:pPr>
            <w:r w:rsidRPr="00DB4F12">
              <w:rPr>
                <w:sz w:val="20"/>
                <w:szCs w:val="20"/>
                <w:lang w:val="fr-FR"/>
              </w:rPr>
              <w:t>Demande d’autorisation d’appel déposée</w:t>
            </w:r>
          </w:p>
          <w:p w:rsidR="00231CC1" w:rsidRPr="00DB4F12" w:rsidRDefault="00231CC1" w:rsidP="00CF3230">
            <w:pPr>
              <w:jc w:val="both"/>
              <w:rPr>
                <w:sz w:val="20"/>
                <w:szCs w:val="20"/>
              </w:rPr>
            </w:pPr>
          </w:p>
        </w:tc>
      </w:tr>
    </w:tbl>
    <w:p w:rsidR="003101AB" w:rsidRDefault="003101AB" w:rsidP="003101AB">
      <w:pPr>
        <w:rPr>
          <w:sz w:val="20"/>
          <w:szCs w:val="20"/>
        </w:rPr>
      </w:pPr>
    </w:p>
    <w:p w:rsidR="003101AB" w:rsidRDefault="003F21C7" w:rsidP="003101AB">
      <w:pPr>
        <w:rPr>
          <w:sz w:val="20"/>
          <w:szCs w:val="20"/>
          <w:lang w:val="fr-CA"/>
        </w:rPr>
      </w:pPr>
      <w:r w:rsidRPr="003F21C7">
        <w:rPr>
          <w:sz w:val="20"/>
          <w:szCs w:val="20"/>
          <w:lang w:val="fr-CA"/>
        </w:rPr>
        <w:pict>
          <v:rect id="_x0000_i1045" style="width:2in;height:1pt" o:hrpct="0" o:hralign="center" o:hrstd="t" o:hrnoshade="t" o:hr="t" fillcolor="black [3213]" stroked="f"/>
        </w:pict>
      </w:r>
    </w:p>
    <w:p w:rsidR="003101AB" w:rsidRDefault="003101AB" w:rsidP="003101A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63885" w:rsidRPr="00A47DB1" w:rsidTr="00DD7751">
        <w:trPr>
          <w:cantSplit/>
        </w:trPr>
        <w:tc>
          <w:tcPr>
            <w:tcW w:w="1458" w:type="dxa"/>
          </w:tcPr>
          <w:p w:rsidR="00263885" w:rsidRPr="00A47DB1" w:rsidRDefault="00263885" w:rsidP="00DD7751">
            <w:pPr>
              <w:rPr>
                <w:sz w:val="20"/>
                <w:szCs w:val="20"/>
              </w:rPr>
            </w:pPr>
            <w:r w:rsidRPr="00A47DB1">
              <w:rPr>
                <w:rStyle w:val="SCCFileNumberChar"/>
                <w:sz w:val="20"/>
                <w:szCs w:val="20"/>
              </w:rPr>
              <w:t>35006</w:t>
            </w:r>
          </w:p>
          <w:p w:rsidR="00263885" w:rsidRPr="00A47DB1" w:rsidRDefault="00263885" w:rsidP="00DD7751">
            <w:pPr>
              <w:rPr>
                <w:b/>
                <w:sz w:val="20"/>
                <w:szCs w:val="20"/>
                <w:lang w:val="fr-CA"/>
              </w:rPr>
            </w:pPr>
          </w:p>
        </w:tc>
        <w:tc>
          <w:tcPr>
            <w:tcW w:w="8118" w:type="dxa"/>
          </w:tcPr>
          <w:p w:rsidR="00263885" w:rsidRPr="00A47DB1" w:rsidRDefault="00263885" w:rsidP="00263885">
            <w:pPr>
              <w:jc w:val="both"/>
              <w:rPr>
                <w:sz w:val="20"/>
                <w:szCs w:val="20"/>
              </w:rPr>
            </w:pPr>
            <w:r w:rsidRPr="00A47DB1">
              <w:rPr>
                <w:rStyle w:val="SCCLsocChar"/>
                <w:sz w:val="20"/>
                <w:szCs w:val="20"/>
                <w:lang w:val="en-CA"/>
              </w:rPr>
              <w:t>Kimberly Shane Stenner v. Lori Noreen Bradshaw</w:t>
            </w:r>
            <w:r>
              <w:rPr>
                <w:rStyle w:val="SCCLsocChar"/>
                <w:sz w:val="20"/>
                <w:szCs w:val="20"/>
                <w:lang w:val="en-CA"/>
              </w:rPr>
              <w:t xml:space="preserve"> and</w:t>
            </w:r>
            <w:r w:rsidRPr="00A47DB1">
              <w:rPr>
                <w:rStyle w:val="SCCLsocChar"/>
                <w:sz w:val="20"/>
                <w:szCs w:val="20"/>
                <w:lang w:val="en-CA"/>
              </w:rPr>
              <w:t xml:space="preserve"> John Bradshaw</w:t>
            </w:r>
            <w:r w:rsidRPr="00A47DB1">
              <w:rPr>
                <w:sz w:val="20"/>
                <w:szCs w:val="20"/>
              </w:rPr>
              <w:t xml:space="preserve"> (B.C.) (Civil) (By</w:t>
            </w:r>
            <w:r>
              <w:rPr>
                <w:sz w:val="20"/>
                <w:szCs w:val="20"/>
              </w:rPr>
              <w:t> </w:t>
            </w:r>
            <w:r w:rsidRPr="00A47DB1">
              <w:rPr>
                <w:sz w:val="20"/>
                <w:szCs w:val="20"/>
              </w:rPr>
              <w:t>Leave)</w:t>
            </w:r>
          </w:p>
          <w:p w:rsidR="00263885" w:rsidRPr="00A47DB1" w:rsidRDefault="00263885" w:rsidP="00263885">
            <w:pPr>
              <w:jc w:val="both"/>
              <w:rPr>
                <w:sz w:val="20"/>
                <w:szCs w:val="20"/>
              </w:rPr>
            </w:pPr>
          </w:p>
        </w:tc>
      </w:tr>
      <w:tr w:rsidR="00263885" w:rsidRPr="00A47DB1" w:rsidTr="00DD7751">
        <w:trPr>
          <w:cantSplit/>
        </w:trPr>
        <w:tc>
          <w:tcPr>
            <w:tcW w:w="1458" w:type="dxa"/>
          </w:tcPr>
          <w:p w:rsidR="00263885" w:rsidRPr="00A47DB1" w:rsidRDefault="00263885" w:rsidP="00DD7751">
            <w:pPr>
              <w:rPr>
                <w:sz w:val="20"/>
                <w:szCs w:val="20"/>
              </w:rPr>
            </w:pPr>
            <w:r w:rsidRPr="00A47DB1">
              <w:rPr>
                <w:sz w:val="20"/>
                <w:szCs w:val="20"/>
              </w:rPr>
              <w:t>Coram :</w:t>
            </w:r>
          </w:p>
        </w:tc>
        <w:tc>
          <w:tcPr>
            <w:tcW w:w="8118" w:type="dxa"/>
          </w:tcPr>
          <w:p w:rsidR="00263885" w:rsidRPr="00A47DB1" w:rsidRDefault="00263885" w:rsidP="00DD7751">
            <w:pPr>
              <w:rPr>
                <w:sz w:val="20"/>
                <w:szCs w:val="20"/>
              </w:rPr>
            </w:pPr>
            <w:r w:rsidRPr="00A47DB1">
              <w:rPr>
                <w:rStyle w:val="SCCCoramChar"/>
                <w:sz w:val="20"/>
                <w:szCs w:val="20"/>
                <w:lang w:val="en-CA"/>
              </w:rPr>
              <w:t>McLachlin C.J. and Abella and Cromwell JJ.</w:t>
            </w:r>
          </w:p>
          <w:p w:rsidR="00263885" w:rsidRPr="00A47DB1" w:rsidRDefault="00263885" w:rsidP="00DD7751">
            <w:pPr>
              <w:rPr>
                <w:sz w:val="20"/>
                <w:szCs w:val="20"/>
                <w:u w:val="single"/>
              </w:rPr>
            </w:pPr>
          </w:p>
        </w:tc>
      </w:tr>
      <w:tr w:rsidR="00263885" w:rsidRPr="00462F49" w:rsidTr="00DD7751">
        <w:trPr>
          <w:cantSplit/>
        </w:trPr>
        <w:tc>
          <w:tcPr>
            <w:tcW w:w="9576" w:type="dxa"/>
            <w:gridSpan w:val="2"/>
          </w:tcPr>
          <w:p w:rsidR="00263885" w:rsidRPr="00A47DB1" w:rsidRDefault="00263885" w:rsidP="00DD7751">
            <w:pPr>
              <w:pStyle w:val="SCCShortJudgment"/>
              <w:rPr>
                <w:szCs w:val="20"/>
              </w:rPr>
            </w:pPr>
            <w:r w:rsidRPr="00A47DB1">
              <w:rPr>
                <w:szCs w:val="20"/>
              </w:rPr>
              <w:t>The application for leave to appeal from the judgment of the Court of Appeal for British Columbia (Vancouver), Number CA038545, 2012 BCCA 296, dated July 4, 2012, is dismissed with costs.</w:t>
            </w:r>
          </w:p>
          <w:p w:rsidR="00263885" w:rsidRPr="00A47DB1" w:rsidRDefault="00263885" w:rsidP="00DD7751">
            <w:pPr>
              <w:pStyle w:val="SCCShortJudgment"/>
              <w:ind w:firstLine="0"/>
              <w:rPr>
                <w:szCs w:val="20"/>
              </w:rPr>
            </w:pPr>
          </w:p>
          <w:p w:rsidR="00263885" w:rsidRPr="00A47DB1" w:rsidRDefault="00263885" w:rsidP="00263885">
            <w:pPr>
              <w:pStyle w:val="SCCShortJudgment"/>
              <w:rPr>
                <w:szCs w:val="20"/>
                <w:lang w:val="fr-CA"/>
              </w:rPr>
            </w:pPr>
            <w:r w:rsidRPr="00A47DB1">
              <w:rPr>
                <w:szCs w:val="20"/>
                <w:lang w:val="fr-CA"/>
              </w:rPr>
              <w:t>La demande d’autorisation d’appel de l’arrêt de la Cour d’appel de la Colombie-Britannique (Vancouver), numéro CA038545, 2012 BCCA 296, daté du 4 juillet 2012, est rejetée avec dépens.</w:t>
            </w:r>
          </w:p>
        </w:tc>
      </w:tr>
    </w:tbl>
    <w:p w:rsidR="003101AB" w:rsidRPr="00263885" w:rsidRDefault="003101AB" w:rsidP="003101AB">
      <w:pPr>
        <w:rPr>
          <w:sz w:val="20"/>
          <w:szCs w:val="20"/>
          <w:lang w:val="fr-CA"/>
        </w:rPr>
      </w:pPr>
    </w:p>
    <w:p w:rsidR="003101AB" w:rsidRPr="001B157C" w:rsidRDefault="003101AB" w:rsidP="003101AB">
      <w:pPr>
        <w:rPr>
          <w:sz w:val="20"/>
          <w:szCs w:val="20"/>
          <w:u w:val="single"/>
        </w:rPr>
      </w:pPr>
      <w:r w:rsidRPr="001B157C">
        <w:rPr>
          <w:sz w:val="20"/>
          <w:szCs w:val="20"/>
          <w:u w:val="single"/>
        </w:rPr>
        <w:t>CASE SUMMARY</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F727E7" w:rsidRPr="00DB4F12" w:rsidTr="00CF3230">
        <w:tc>
          <w:tcPr>
            <w:tcW w:w="5000" w:type="pct"/>
            <w:gridSpan w:val="3"/>
          </w:tcPr>
          <w:p w:rsidR="00F727E7" w:rsidRPr="00DB4F12" w:rsidRDefault="00F727E7" w:rsidP="00CF3230">
            <w:pPr>
              <w:jc w:val="both"/>
              <w:rPr>
                <w:sz w:val="20"/>
                <w:szCs w:val="20"/>
              </w:rPr>
            </w:pPr>
            <w:r w:rsidRPr="00DB4F12">
              <w:rPr>
                <w:sz w:val="20"/>
                <w:szCs w:val="20"/>
              </w:rPr>
              <w:t>Evidence – Parol Evidence – Trusts – Proof of an oral trust agreement – Respondent Lori Bradshaw transfers property to applicant – Whether applicant holds the land in trust – Whether Court of Appeal erred by relying on outdated and inapplicable case law to hold that the parol evidence rule does not apply to the use of oral evidence to prove an alleged trust that is contrary to an express written agreement for a transfer of land – Standard of proof applicable to evidence allowed in exception to the parol evidence rule – Whether reliance on parol evidence to prove a trust contrary to a written agreement requires proof of fraud or the equivalent of fraud in obtaining the property in question - Conditions precedent for the use of parol evidence to prove a claim of a trust contrary to a written agreement.</w:t>
            </w:r>
          </w:p>
        </w:tc>
      </w:tr>
      <w:tr w:rsidR="00F727E7" w:rsidRPr="00DB4F12" w:rsidTr="00CF3230">
        <w:tc>
          <w:tcPr>
            <w:tcW w:w="5000" w:type="pct"/>
            <w:gridSpan w:val="3"/>
          </w:tcPr>
          <w:p w:rsidR="00F727E7" w:rsidRPr="00DB4F12" w:rsidRDefault="00F727E7" w:rsidP="00CF3230">
            <w:pPr>
              <w:jc w:val="both"/>
              <w:rPr>
                <w:sz w:val="20"/>
                <w:szCs w:val="20"/>
              </w:rPr>
            </w:pPr>
          </w:p>
        </w:tc>
      </w:tr>
      <w:tr w:rsidR="00F727E7" w:rsidRPr="00DB4F12" w:rsidTr="00CF3230">
        <w:tc>
          <w:tcPr>
            <w:tcW w:w="5000" w:type="pct"/>
            <w:gridSpan w:val="3"/>
          </w:tcPr>
          <w:p w:rsidR="00F727E7" w:rsidRPr="00DB4F12" w:rsidRDefault="00F727E7" w:rsidP="00CF3230">
            <w:pPr>
              <w:jc w:val="both"/>
              <w:rPr>
                <w:sz w:val="20"/>
                <w:szCs w:val="20"/>
              </w:rPr>
            </w:pPr>
            <w:r w:rsidRPr="00DB4F12">
              <w:rPr>
                <w:sz w:val="20"/>
                <w:szCs w:val="20"/>
              </w:rPr>
              <w:t>The respondents’ mortgage on their matrimonial home went into default.  Lori Bradshaw transferred the property to the applicant in 2004 in a residential real estate transaction. The respondents had listed the property with a licensed realtor.  The applicant and her husband had made a written offer to purchase with a deposit and the offer had been accepted.  The applicant obtained a mortgage to finance the purchase. Lori Bradshaw transferred title to the applicant in the usual form.  The mortgage in default was paid out and cash was paid to the respondents. The transfer was registered in the Land Title Office, giving the applicant legal title to the property.  The respondents however claimed that the transaction was solely in order to arrange new financing using the applicant’s borrowing power and that the parties had an oral agreement that the applicant would re-convey the property back to them upon request. The oral agreement was not documented in the written agreement.  When asked to re-convey, the applicant refused and claimed that the transfer was an ordinary transfer.  The respondents applied for various remedies including a declaration that the property was held in trust for their benefit</w:t>
            </w:r>
          </w:p>
          <w:p w:rsidR="00F727E7" w:rsidRPr="00DB4F12" w:rsidRDefault="00F727E7" w:rsidP="00CF3230">
            <w:pPr>
              <w:jc w:val="both"/>
              <w:rPr>
                <w:sz w:val="20"/>
                <w:szCs w:val="20"/>
              </w:rPr>
            </w:pPr>
          </w:p>
        </w:tc>
      </w:tr>
      <w:tr w:rsidR="00F727E7" w:rsidRPr="00DB4F12" w:rsidTr="00CF3230">
        <w:tblPrEx>
          <w:tblCellMar>
            <w:bottom w:w="0" w:type="dxa"/>
          </w:tblCellMar>
        </w:tblPrEx>
        <w:tc>
          <w:tcPr>
            <w:tcW w:w="2390" w:type="pct"/>
          </w:tcPr>
          <w:p w:rsidR="00F727E7" w:rsidRPr="00DB4F12" w:rsidRDefault="00F727E7" w:rsidP="00CF3230">
            <w:pPr>
              <w:jc w:val="both"/>
              <w:rPr>
                <w:sz w:val="20"/>
                <w:szCs w:val="20"/>
              </w:rPr>
            </w:pPr>
            <w:r w:rsidRPr="00DB4F12">
              <w:rPr>
                <w:sz w:val="20"/>
                <w:szCs w:val="20"/>
              </w:rPr>
              <w:t>October 1, 2010</w:t>
            </w:r>
          </w:p>
          <w:p w:rsidR="00F727E7" w:rsidRPr="00DB4F12" w:rsidRDefault="00F727E7" w:rsidP="00CF3230">
            <w:pPr>
              <w:jc w:val="both"/>
              <w:rPr>
                <w:sz w:val="20"/>
                <w:szCs w:val="20"/>
              </w:rPr>
            </w:pPr>
            <w:r w:rsidRPr="00DB4F12">
              <w:rPr>
                <w:sz w:val="20"/>
                <w:szCs w:val="20"/>
              </w:rPr>
              <w:t>Supreme Court of British Columbia</w:t>
            </w:r>
          </w:p>
          <w:p w:rsidR="00F727E7" w:rsidRPr="00DB4F12" w:rsidRDefault="00F727E7" w:rsidP="00CF3230">
            <w:pPr>
              <w:jc w:val="both"/>
              <w:rPr>
                <w:sz w:val="20"/>
                <w:szCs w:val="20"/>
              </w:rPr>
            </w:pPr>
            <w:r w:rsidRPr="00DB4F12">
              <w:rPr>
                <w:sz w:val="20"/>
                <w:szCs w:val="20"/>
              </w:rPr>
              <w:t>(Dillon J.)</w:t>
            </w:r>
          </w:p>
          <w:p w:rsidR="00F727E7" w:rsidRPr="00DB4F12" w:rsidRDefault="00F727E7" w:rsidP="00CF3230">
            <w:pPr>
              <w:jc w:val="both"/>
              <w:rPr>
                <w:sz w:val="20"/>
                <w:szCs w:val="20"/>
              </w:rPr>
            </w:pPr>
            <w:r w:rsidRPr="00DB4F12">
              <w:rPr>
                <w:sz w:val="20"/>
                <w:szCs w:val="20"/>
              </w:rPr>
              <w:t>2010 BCSC 1398</w:t>
            </w:r>
          </w:p>
          <w:p w:rsidR="00F727E7" w:rsidRPr="00DB4F12" w:rsidRDefault="00F727E7" w:rsidP="00CF3230">
            <w:pPr>
              <w:jc w:val="both"/>
              <w:rPr>
                <w:sz w:val="20"/>
                <w:szCs w:val="20"/>
              </w:rPr>
            </w:pPr>
          </w:p>
        </w:tc>
        <w:tc>
          <w:tcPr>
            <w:tcW w:w="270" w:type="pct"/>
          </w:tcPr>
          <w:p w:rsidR="00F727E7" w:rsidRPr="00DB4F12" w:rsidRDefault="00F727E7" w:rsidP="00CF3230">
            <w:pPr>
              <w:jc w:val="both"/>
              <w:rPr>
                <w:sz w:val="20"/>
                <w:szCs w:val="20"/>
              </w:rPr>
            </w:pPr>
          </w:p>
        </w:tc>
        <w:tc>
          <w:tcPr>
            <w:tcW w:w="2340" w:type="pct"/>
          </w:tcPr>
          <w:p w:rsidR="00F727E7" w:rsidRPr="00DB4F12" w:rsidRDefault="00F727E7" w:rsidP="00CF3230">
            <w:pPr>
              <w:jc w:val="both"/>
              <w:rPr>
                <w:sz w:val="20"/>
                <w:szCs w:val="20"/>
              </w:rPr>
            </w:pPr>
            <w:r w:rsidRPr="00DB4F12">
              <w:rPr>
                <w:sz w:val="20"/>
                <w:szCs w:val="20"/>
              </w:rPr>
              <w:t>Declaration applicant holds property in trust, particulars as to rights to register against title declared; Accounting granted; Claim for set off and counterclaim dismissed</w:t>
            </w:r>
          </w:p>
          <w:p w:rsidR="00F727E7" w:rsidRPr="00DB4F12" w:rsidRDefault="00F727E7" w:rsidP="00CF3230">
            <w:pPr>
              <w:jc w:val="both"/>
              <w:rPr>
                <w:sz w:val="20"/>
                <w:szCs w:val="20"/>
              </w:rPr>
            </w:pPr>
          </w:p>
        </w:tc>
      </w:tr>
      <w:tr w:rsidR="00F727E7" w:rsidRPr="00DB4F12" w:rsidTr="00CF3230">
        <w:tblPrEx>
          <w:tblCellMar>
            <w:bottom w:w="0" w:type="dxa"/>
          </w:tblCellMar>
        </w:tblPrEx>
        <w:tc>
          <w:tcPr>
            <w:tcW w:w="2390" w:type="pct"/>
          </w:tcPr>
          <w:p w:rsidR="00F727E7" w:rsidRPr="00DB4F12" w:rsidRDefault="00F727E7" w:rsidP="00CF3230">
            <w:pPr>
              <w:jc w:val="both"/>
              <w:rPr>
                <w:sz w:val="20"/>
                <w:szCs w:val="20"/>
              </w:rPr>
            </w:pPr>
            <w:r w:rsidRPr="00DB4F12">
              <w:rPr>
                <w:sz w:val="20"/>
                <w:szCs w:val="20"/>
              </w:rPr>
              <w:t>July 4, 2012</w:t>
            </w:r>
          </w:p>
          <w:p w:rsidR="00F727E7" w:rsidRPr="00DB4F12" w:rsidRDefault="00F727E7" w:rsidP="00CF3230">
            <w:pPr>
              <w:jc w:val="both"/>
              <w:rPr>
                <w:sz w:val="20"/>
                <w:szCs w:val="20"/>
              </w:rPr>
            </w:pPr>
            <w:r w:rsidRPr="00DB4F12">
              <w:rPr>
                <w:sz w:val="20"/>
                <w:szCs w:val="20"/>
              </w:rPr>
              <w:t xml:space="preserve">Court of Appeal for British Columbia </w:t>
            </w:r>
          </w:p>
          <w:p w:rsidR="00F727E7" w:rsidRPr="00DB4F12" w:rsidRDefault="00F727E7" w:rsidP="00CF3230">
            <w:pPr>
              <w:jc w:val="both"/>
              <w:rPr>
                <w:sz w:val="20"/>
                <w:szCs w:val="20"/>
              </w:rPr>
            </w:pPr>
            <w:r w:rsidRPr="00DB4F12">
              <w:rPr>
                <w:sz w:val="20"/>
                <w:szCs w:val="20"/>
              </w:rPr>
              <w:t>(Vancouver)</w:t>
            </w:r>
          </w:p>
          <w:p w:rsidR="00F727E7" w:rsidRPr="00DB4F12" w:rsidRDefault="00F727E7" w:rsidP="00CF3230">
            <w:pPr>
              <w:jc w:val="both"/>
              <w:rPr>
                <w:sz w:val="20"/>
                <w:szCs w:val="20"/>
              </w:rPr>
            </w:pPr>
            <w:r w:rsidRPr="00DB4F12">
              <w:rPr>
                <w:sz w:val="20"/>
                <w:szCs w:val="20"/>
              </w:rPr>
              <w:t>(Low, Neilson, Garson JJ.A.)</w:t>
            </w:r>
          </w:p>
          <w:p w:rsidR="00F727E7" w:rsidRPr="00DB4F12" w:rsidRDefault="00F727E7" w:rsidP="00CF3230">
            <w:pPr>
              <w:jc w:val="both"/>
              <w:rPr>
                <w:sz w:val="20"/>
                <w:szCs w:val="20"/>
              </w:rPr>
            </w:pPr>
            <w:r w:rsidRPr="00DB4F12">
              <w:rPr>
                <w:sz w:val="20"/>
                <w:szCs w:val="20"/>
              </w:rPr>
              <w:t>2012 BCCA 296; CA038545</w:t>
            </w:r>
          </w:p>
          <w:p w:rsidR="00F727E7" w:rsidRPr="00DB4F12" w:rsidRDefault="00F727E7" w:rsidP="00CF3230">
            <w:pPr>
              <w:jc w:val="both"/>
              <w:rPr>
                <w:sz w:val="20"/>
                <w:szCs w:val="20"/>
              </w:rPr>
            </w:pPr>
          </w:p>
        </w:tc>
        <w:tc>
          <w:tcPr>
            <w:tcW w:w="270" w:type="pct"/>
          </w:tcPr>
          <w:p w:rsidR="00F727E7" w:rsidRPr="00DB4F12" w:rsidRDefault="00F727E7" w:rsidP="00CF3230">
            <w:pPr>
              <w:jc w:val="both"/>
              <w:rPr>
                <w:sz w:val="20"/>
                <w:szCs w:val="20"/>
              </w:rPr>
            </w:pPr>
          </w:p>
        </w:tc>
        <w:tc>
          <w:tcPr>
            <w:tcW w:w="2340" w:type="pct"/>
          </w:tcPr>
          <w:p w:rsidR="00F727E7" w:rsidRPr="00DB4F12" w:rsidRDefault="00F727E7" w:rsidP="00CF3230">
            <w:pPr>
              <w:jc w:val="both"/>
              <w:rPr>
                <w:sz w:val="20"/>
                <w:szCs w:val="20"/>
              </w:rPr>
            </w:pPr>
            <w:r w:rsidRPr="00DB4F12">
              <w:rPr>
                <w:sz w:val="20"/>
                <w:szCs w:val="20"/>
              </w:rPr>
              <w:t>Appeal dismissed</w:t>
            </w:r>
          </w:p>
          <w:p w:rsidR="00F727E7" w:rsidRPr="00DB4F12" w:rsidRDefault="00F727E7" w:rsidP="00CF3230">
            <w:pPr>
              <w:jc w:val="both"/>
              <w:rPr>
                <w:sz w:val="20"/>
                <w:szCs w:val="20"/>
              </w:rPr>
            </w:pPr>
          </w:p>
        </w:tc>
      </w:tr>
    </w:tbl>
    <w:p w:rsidR="00263885" w:rsidRDefault="00263885">
      <w:r>
        <w:br w:type="page"/>
      </w:r>
    </w:p>
    <w:tbl>
      <w:tblPr>
        <w:tblW w:w="4952" w:type="pct"/>
        <w:tblLayout w:type="fixed"/>
        <w:tblCellMar>
          <w:left w:w="0" w:type="dxa"/>
          <w:right w:w="0" w:type="dxa"/>
        </w:tblCellMar>
        <w:tblLook w:val="04A0"/>
      </w:tblPr>
      <w:tblGrid>
        <w:gridCol w:w="4554"/>
        <w:gridCol w:w="514"/>
        <w:gridCol w:w="4459"/>
      </w:tblGrid>
      <w:tr w:rsidR="00F727E7" w:rsidRPr="00DB4F12" w:rsidTr="00263885">
        <w:trPr>
          <w:cantSplit/>
        </w:trPr>
        <w:tc>
          <w:tcPr>
            <w:tcW w:w="2390" w:type="pct"/>
          </w:tcPr>
          <w:p w:rsidR="00F727E7" w:rsidRPr="00DB4F12" w:rsidRDefault="00F727E7" w:rsidP="00CF3230">
            <w:pPr>
              <w:jc w:val="both"/>
              <w:rPr>
                <w:sz w:val="20"/>
                <w:szCs w:val="20"/>
              </w:rPr>
            </w:pPr>
            <w:r w:rsidRPr="00DB4F12">
              <w:rPr>
                <w:sz w:val="20"/>
                <w:szCs w:val="20"/>
              </w:rPr>
              <w:lastRenderedPageBreak/>
              <w:t>October 1, 2012</w:t>
            </w:r>
          </w:p>
          <w:p w:rsidR="00F727E7" w:rsidRPr="00DB4F12" w:rsidRDefault="00F727E7" w:rsidP="00CF3230">
            <w:pPr>
              <w:jc w:val="both"/>
              <w:rPr>
                <w:sz w:val="20"/>
                <w:szCs w:val="20"/>
              </w:rPr>
            </w:pPr>
            <w:r w:rsidRPr="00DB4F12">
              <w:rPr>
                <w:sz w:val="20"/>
                <w:szCs w:val="20"/>
              </w:rPr>
              <w:t>Supreme Court of Canada</w:t>
            </w:r>
          </w:p>
        </w:tc>
        <w:tc>
          <w:tcPr>
            <w:tcW w:w="270" w:type="pct"/>
          </w:tcPr>
          <w:p w:rsidR="00F727E7" w:rsidRPr="00DB4F12" w:rsidRDefault="00F727E7" w:rsidP="00CF3230">
            <w:pPr>
              <w:jc w:val="both"/>
              <w:rPr>
                <w:sz w:val="20"/>
                <w:szCs w:val="20"/>
              </w:rPr>
            </w:pPr>
          </w:p>
        </w:tc>
        <w:tc>
          <w:tcPr>
            <w:tcW w:w="2340" w:type="pct"/>
          </w:tcPr>
          <w:p w:rsidR="00F727E7" w:rsidRPr="00DB4F12" w:rsidRDefault="00F727E7" w:rsidP="00CF3230">
            <w:pPr>
              <w:jc w:val="both"/>
              <w:rPr>
                <w:sz w:val="20"/>
                <w:szCs w:val="20"/>
              </w:rPr>
            </w:pPr>
            <w:r w:rsidRPr="00DB4F12">
              <w:rPr>
                <w:sz w:val="20"/>
                <w:szCs w:val="20"/>
              </w:rPr>
              <w:t>Application for leave to appeal filed</w:t>
            </w:r>
          </w:p>
          <w:p w:rsidR="00F727E7" w:rsidRPr="00DB4F12" w:rsidRDefault="00F727E7" w:rsidP="00CF3230">
            <w:pPr>
              <w:jc w:val="both"/>
              <w:rPr>
                <w:sz w:val="20"/>
                <w:szCs w:val="20"/>
              </w:rPr>
            </w:pPr>
          </w:p>
        </w:tc>
      </w:tr>
    </w:tbl>
    <w:p w:rsidR="003101AB" w:rsidRPr="00C50A5C" w:rsidRDefault="003101AB" w:rsidP="003101AB">
      <w:pPr>
        <w:rPr>
          <w:sz w:val="20"/>
          <w:szCs w:val="20"/>
        </w:rPr>
      </w:pPr>
    </w:p>
    <w:p w:rsidR="003101AB" w:rsidRPr="00C50A5C" w:rsidRDefault="003F21C7" w:rsidP="003101AB">
      <w:pPr>
        <w:rPr>
          <w:sz w:val="20"/>
          <w:szCs w:val="20"/>
        </w:rPr>
      </w:pPr>
      <w:r w:rsidRPr="003F21C7">
        <w:rPr>
          <w:sz w:val="20"/>
          <w:szCs w:val="20"/>
          <w:lang w:val="fr-CA"/>
        </w:rPr>
        <w:pict>
          <v:rect id="_x0000_i1046" style="width:2in;height:1pt" o:hrpct="0" o:hralign="center" o:hrstd="t" o:hrnoshade="t" o:hr="t" fillcolor="black [3213]" stroked="f"/>
        </w:pict>
      </w:r>
    </w:p>
    <w:p w:rsidR="003101AB" w:rsidRDefault="003101AB" w:rsidP="003101AB">
      <w:pPr>
        <w:rPr>
          <w:sz w:val="20"/>
          <w:szCs w:val="20"/>
        </w:rPr>
      </w:pPr>
    </w:p>
    <w:p w:rsidR="003101AB" w:rsidRPr="001B157C" w:rsidRDefault="003101AB" w:rsidP="003101AB">
      <w:pPr>
        <w:rPr>
          <w:sz w:val="20"/>
          <w:szCs w:val="20"/>
          <w:u w:val="single"/>
          <w:lang w:val="fr-CA"/>
        </w:rPr>
      </w:pPr>
      <w:r w:rsidRPr="001B157C">
        <w:rPr>
          <w:sz w:val="20"/>
          <w:szCs w:val="20"/>
          <w:u w:val="single"/>
          <w:lang w:val="fr-CA"/>
        </w:rPr>
        <w:t>RÉSUMÉ DE L’AFFAIRE</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F727E7" w:rsidRPr="00462F49" w:rsidTr="00CF3230">
        <w:tc>
          <w:tcPr>
            <w:tcW w:w="5000" w:type="pct"/>
            <w:gridSpan w:val="3"/>
          </w:tcPr>
          <w:p w:rsidR="00F727E7" w:rsidRPr="00DB4F12" w:rsidRDefault="00F727E7" w:rsidP="00CF3230">
            <w:pPr>
              <w:jc w:val="both"/>
              <w:rPr>
                <w:sz w:val="20"/>
                <w:szCs w:val="20"/>
                <w:lang w:val="fr-FR"/>
              </w:rPr>
            </w:pPr>
            <w:r w:rsidRPr="00DB4F12">
              <w:rPr>
                <w:sz w:val="20"/>
                <w:szCs w:val="20"/>
                <w:lang w:val="fr-FR"/>
              </w:rPr>
              <w:t>Preuve – Preuve extrinsèque – Fiducies – Preuve d’une entente verbale de fiducie – L’intimée Lorie Bradshaw cède une propriété à la demanderesse, mais invoquent une entente verbale prévoyant qu’elle détient le terrain en fiducie pour leur bénéfice – La Cour d’appel a</w:t>
            </w:r>
            <w:r w:rsidRPr="00DB4F12">
              <w:rPr>
                <w:sz w:val="20"/>
                <w:szCs w:val="20"/>
                <w:lang w:val="fr-FR"/>
              </w:rPr>
              <w:noBreakHyphen/>
              <w:t>t</w:t>
            </w:r>
            <w:r w:rsidRPr="00DB4F12">
              <w:rPr>
                <w:sz w:val="20"/>
                <w:szCs w:val="20"/>
                <w:lang w:val="fr-FR"/>
              </w:rPr>
              <w:noBreakHyphen/>
              <w:t>elle commis une erreur en se fondant sur une jurisprudence désuète et inapplicable pour juger que la règle d’exclusion de la preuve extrinsèque ne s’applique pas à l’utilisation de témoignages oraux en vue d’établir l’existence d’une fiducie contraire à une entente écrite expresse de cession d’un terrain? – Norme de preuve applicable à la preuve admise par exception à la règle d’exclusion de la preuve extrinsèque – Le fait de s’appuyer sur la preuve extrinsèque pour établir une fiducie contraire à une entente écrite exige</w:t>
            </w:r>
            <w:r w:rsidRPr="00DB4F12">
              <w:rPr>
                <w:sz w:val="20"/>
                <w:szCs w:val="20"/>
                <w:lang w:val="fr-FR"/>
              </w:rPr>
              <w:noBreakHyphen/>
              <w:t>t</w:t>
            </w:r>
            <w:r w:rsidRPr="00DB4F12">
              <w:rPr>
                <w:sz w:val="20"/>
                <w:szCs w:val="20"/>
                <w:lang w:val="fr-FR"/>
              </w:rPr>
              <w:noBreakHyphen/>
              <w:t xml:space="preserve">il la preuve du recours à la fraude ou à l’équivalent d’une  fraude pour obtenir la propriété en cause? – Conditions de l’utilisation d’une preuve extrinsèque en vue d’établir l’existence d’une fiducie contraire à une entente écrite. </w:t>
            </w:r>
          </w:p>
        </w:tc>
      </w:tr>
      <w:tr w:rsidR="00F727E7" w:rsidRPr="00462F49" w:rsidTr="00CF3230">
        <w:tc>
          <w:tcPr>
            <w:tcW w:w="5000" w:type="pct"/>
            <w:gridSpan w:val="3"/>
          </w:tcPr>
          <w:p w:rsidR="00F727E7" w:rsidRPr="00DB4F12" w:rsidRDefault="00F727E7" w:rsidP="00CF3230">
            <w:pPr>
              <w:jc w:val="both"/>
              <w:rPr>
                <w:sz w:val="20"/>
                <w:szCs w:val="20"/>
                <w:lang w:val="fr-FR"/>
              </w:rPr>
            </w:pPr>
          </w:p>
        </w:tc>
      </w:tr>
      <w:tr w:rsidR="00F727E7" w:rsidRPr="00462F49" w:rsidTr="00CF3230">
        <w:tc>
          <w:tcPr>
            <w:tcW w:w="5000" w:type="pct"/>
            <w:gridSpan w:val="3"/>
          </w:tcPr>
          <w:p w:rsidR="00F727E7" w:rsidRPr="00DB4F12" w:rsidRDefault="00F727E7" w:rsidP="00CF3230">
            <w:pPr>
              <w:jc w:val="both"/>
              <w:rPr>
                <w:sz w:val="20"/>
                <w:szCs w:val="20"/>
                <w:lang w:val="fr-FR"/>
              </w:rPr>
            </w:pPr>
            <w:r w:rsidRPr="00DB4F12">
              <w:rPr>
                <w:sz w:val="20"/>
                <w:szCs w:val="20"/>
                <w:lang w:val="fr-FR"/>
              </w:rPr>
              <w:t>Les intimés ont fait défaut de payer l’hypothèque sur leur domicile conjugal.  Lori Bradshaw a cédé la propriété à la demanderesse en 2004 dans le cadre d’une opération immobilière.  Les intimés avaient mis la propriété en vente auprès d’un agent immobilier agréé.  La demanderesse et son mari ont fait une offre écrite d’achat accompagnée d’un dépôt, et l’offre fut acceptée.  La demanderesse a contracté une hypothèque pour financer cet achat.  Lori Bradshaw a cédé le titre de propriété à la demanderesse selon la formule habituelle.  L’hypothèque en souffrance a été acquittée et les intimés furent payés en argent liquide.  La cession a été enregistrée au bureau d’enregistrement des droits immobiliers, ce qui a permis à la demanderesse d’acquérir le titre de la propriété.  Les intimés ont toutefois prétendu que l’opération avait uniquement pour but d’établir un nouveau régime de financement à l’aide du pouvoir d’emprunt de la demanderesse, et que les parties avaient convenu oralement que la demanderesse leur remettrait la propriété sur demande.  L’entente verbale n’a pas été consignée dans l’entente écrite.  Quand on lui a demandé de remettre la propriété aux intimés, la demanderesse a refusé et soutenu qu’il s’agissait d’une cession ordinaire.  Les intimés ont demandé plusieurs mesures de réparation, y compris un jugement déclaratoire portant que la propriété était détenue en fiducie pour leur bénéfice.</w:t>
            </w:r>
          </w:p>
          <w:p w:rsidR="00F727E7" w:rsidRPr="00DB4F12" w:rsidRDefault="00F727E7" w:rsidP="00CF3230">
            <w:pPr>
              <w:jc w:val="both"/>
              <w:rPr>
                <w:sz w:val="20"/>
                <w:szCs w:val="20"/>
                <w:lang w:val="fr-FR"/>
              </w:rPr>
            </w:pPr>
          </w:p>
        </w:tc>
      </w:tr>
      <w:tr w:rsidR="00F727E7" w:rsidRPr="00462F49" w:rsidTr="00CF3230">
        <w:tblPrEx>
          <w:tblCellMar>
            <w:bottom w:w="0" w:type="dxa"/>
          </w:tblCellMar>
        </w:tblPrEx>
        <w:tc>
          <w:tcPr>
            <w:tcW w:w="2390" w:type="pct"/>
          </w:tcPr>
          <w:p w:rsidR="00F727E7" w:rsidRPr="00DB4F12" w:rsidRDefault="00F727E7" w:rsidP="00CF3230">
            <w:pPr>
              <w:jc w:val="both"/>
              <w:rPr>
                <w:sz w:val="20"/>
                <w:szCs w:val="20"/>
                <w:lang w:val="fr-FR"/>
              </w:rPr>
            </w:pPr>
            <w:r w:rsidRPr="00DB4F12">
              <w:rPr>
                <w:sz w:val="20"/>
                <w:szCs w:val="20"/>
                <w:lang w:val="fr-FR"/>
              </w:rPr>
              <w:t>1</w:t>
            </w:r>
            <w:r w:rsidRPr="00DB4F12">
              <w:rPr>
                <w:sz w:val="20"/>
                <w:szCs w:val="20"/>
                <w:vertAlign w:val="superscript"/>
                <w:lang w:val="fr-FR"/>
              </w:rPr>
              <w:t>er</w:t>
            </w:r>
            <w:r w:rsidRPr="00DB4F12">
              <w:rPr>
                <w:sz w:val="20"/>
                <w:szCs w:val="20"/>
                <w:lang w:val="fr-FR"/>
              </w:rPr>
              <w:t xml:space="preserve"> octobre 2010</w:t>
            </w:r>
          </w:p>
          <w:p w:rsidR="00F727E7" w:rsidRPr="00DB4F12" w:rsidRDefault="00F727E7" w:rsidP="00CF3230">
            <w:pPr>
              <w:jc w:val="both"/>
              <w:rPr>
                <w:sz w:val="20"/>
                <w:szCs w:val="20"/>
                <w:lang w:val="fr-FR"/>
              </w:rPr>
            </w:pPr>
            <w:r w:rsidRPr="00DB4F12">
              <w:rPr>
                <w:sz w:val="20"/>
                <w:szCs w:val="20"/>
                <w:lang w:val="fr-FR"/>
              </w:rPr>
              <w:t>Cour suprême de la Colombie</w:t>
            </w:r>
            <w:r w:rsidRPr="00DB4F12">
              <w:rPr>
                <w:sz w:val="20"/>
                <w:szCs w:val="20"/>
                <w:lang w:val="fr-FR"/>
              </w:rPr>
              <w:noBreakHyphen/>
              <w:t>Britannique</w:t>
            </w:r>
          </w:p>
          <w:p w:rsidR="00F727E7" w:rsidRPr="00DB4F12" w:rsidRDefault="00F727E7" w:rsidP="00CF3230">
            <w:pPr>
              <w:jc w:val="both"/>
              <w:rPr>
                <w:sz w:val="20"/>
                <w:szCs w:val="20"/>
              </w:rPr>
            </w:pPr>
            <w:r w:rsidRPr="00DB4F12">
              <w:rPr>
                <w:sz w:val="20"/>
                <w:szCs w:val="20"/>
              </w:rPr>
              <w:t>(Juge Dillon)</w:t>
            </w:r>
          </w:p>
          <w:p w:rsidR="00F727E7" w:rsidRPr="00DB4F12" w:rsidRDefault="00F727E7" w:rsidP="00CF3230">
            <w:pPr>
              <w:jc w:val="both"/>
              <w:rPr>
                <w:sz w:val="20"/>
                <w:szCs w:val="20"/>
              </w:rPr>
            </w:pPr>
            <w:r w:rsidRPr="00DB4F12">
              <w:rPr>
                <w:sz w:val="20"/>
                <w:szCs w:val="20"/>
              </w:rPr>
              <w:t>2010 BCSC 1398</w:t>
            </w:r>
          </w:p>
          <w:p w:rsidR="00F727E7" w:rsidRPr="00DB4F12" w:rsidRDefault="00F727E7" w:rsidP="00CF3230">
            <w:pPr>
              <w:jc w:val="both"/>
              <w:rPr>
                <w:sz w:val="20"/>
                <w:szCs w:val="20"/>
              </w:rPr>
            </w:pPr>
          </w:p>
        </w:tc>
        <w:tc>
          <w:tcPr>
            <w:tcW w:w="270" w:type="pct"/>
          </w:tcPr>
          <w:p w:rsidR="00F727E7" w:rsidRPr="00DB4F12" w:rsidRDefault="00F727E7" w:rsidP="00CF3230">
            <w:pPr>
              <w:jc w:val="both"/>
              <w:rPr>
                <w:sz w:val="20"/>
                <w:szCs w:val="20"/>
              </w:rPr>
            </w:pPr>
          </w:p>
        </w:tc>
        <w:tc>
          <w:tcPr>
            <w:tcW w:w="2340" w:type="pct"/>
          </w:tcPr>
          <w:p w:rsidR="00F727E7" w:rsidRPr="00DB4F12" w:rsidRDefault="00F727E7" w:rsidP="00CF3230">
            <w:pPr>
              <w:jc w:val="both"/>
              <w:rPr>
                <w:sz w:val="20"/>
                <w:szCs w:val="20"/>
                <w:lang w:val="fr-FR"/>
              </w:rPr>
            </w:pPr>
            <w:r w:rsidRPr="00DB4F12">
              <w:rPr>
                <w:sz w:val="20"/>
                <w:szCs w:val="20"/>
                <w:lang w:val="fr-FR"/>
              </w:rPr>
              <w:t>Jugement déclaratoire portant que la demanderesse détient la propriété en fiducie pour les intimés, droits d’enregistrement de la fiducie à l’encontre du titre exposés; reddition de comptes accordée; réclamation pour compensation et demande reconventionnelle rejetées</w:t>
            </w:r>
          </w:p>
          <w:p w:rsidR="00F727E7" w:rsidRPr="00DB4F12" w:rsidRDefault="00F727E7" w:rsidP="00CF3230">
            <w:pPr>
              <w:jc w:val="both"/>
              <w:rPr>
                <w:sz w:val="20"/>
                <w:szCs w:val="20"/>
                <w:lang w:val="fr-FR"/>
              </w:rPr>
            </w:pPr>
          </w:p>
        </w:tc>
      </w:tr>
      <w:tr w:rsidR="00F727E7" w:rsidRPr="00DB4F12" w:rsidTr="00CF3230">
        <w:tblPrEx>
          <w:tblCellMar>
            <w:bottom w:w="0" w:type="dxa"/>
          </w:tblCellMar>
        </w:tblPrEx>
        <w:tc>
          <w:tcPr>
            <w:tcW w:w="2390" w:type="pct"/>
          </w:tcPr>
          <w:p w:rsidR="00F727E7" w:rsidRPr="00DB4F12" w:rsidRDefault="00F727E7" w:rsidP="00CF3230">
            <w:pPr>
              <w:jc w:val="both"/>
              <w:rPr>
                <w:sz w:val="20"/>
                <w:szCs w:val="20"/>
                <w:lang w:val="fr-FR"/>
              </w:rPr>
            </w:pPr>
            <w:r w:rsidRPr="00DB4F12">
              <w:rPr>
                <w:sz w:val="20"/>
                <w:szCs w:val="20"/>
                <w:lang w:val="fr-FR"/>
              </w:rPr>
              <w:t>4 juillet 2012</w:t>
            </w:r>
          </w:p>
          <w:p w:rsidR="00F727E7" w:rsidRPr="00DB4F12" w:rsidRDefault="00F727E7" w:rsidP="00CF3230">
            <w:pPr>
              <w:jc w:val="both"/>
              <w:rPr>
                <w:sz w:val="20"/>
                <w:szCs w:val="20"/>
                <w:lang w:val="fr-FR"/>
              </w:rPr>
            </w:pPr>
            <w:r w:rsidRPr="00DB4F12">
              <w:rPr>
                <w:sz w:val="20"/>
                <w:szCs w:val="20"/>
                <w:lang w:val="fr-FR"/>
              </w:rPr>
              <w:t>Cour d’appel de la Colombie</w:t>
            </w:r>
            <w:r w:rsidRPr="00DB4F12">
              <w:rPr>
                <w:sz w:val="20"/>
                <w:szCs w:val="20"/>
                <w:lang w:val="fr-FR"/>
              </w:rPr>
              <w:noBreakHyphen/>
              <w:t xml:space="preserve">Britannique </w:t>
            </w:r>
          </w:p>
          <w:p w:rsidR="00F727E7" w:rsidRPr="00DB4F12" w:rsidRDefault="00F727E7" w:rsidP="00CF3230">
            <w:pPr>
              <w:jc w:val="both"/>
              <w:rPr>
                <w:sz w:val="20"/>
                <w:szCs w:val="20"/>
                <w:lang w:val="fr-FR"/>
              </w:rPr>
            </w:pPr>
            <w:r w:rsidRPr="00DB4F12">
              <w:rPr>
                <w:sz w:val="20"/>
                <w:szCs w:val="20"/>
                <w:lang w:val="fr-FR"/>
              </w:rPr>
              <w:t>(Vancouver)</w:t>
            </w:r>
          </w:p>
          <w:p w:rsidR="00F727E7" w:rsidRPr="00DB4F12" w:rsidRDefault="00F727E7" w:rsidP="00CF3230">
            <w:pPr>
              <w:jc w:val="both"/>
              <w:rPr>
                <w:sz w:val="20"/>
                <w:szCs w:val="20"/>
                <w:lang w:val="fr-FR"/>
              </w:rPr>
            </w:pPr>
            <w:r w:rsidRPr="00DB4F12">
              <w:rPr>
                <w:sz w:val="20"/>
                <w:szCs w:val="20"/>
                <w:lang w:val="fr-FR"/>
              </w:rPr>
              <w:t>(Juges Low, Nielson et Gerson)</w:t>
            </w:r>
          </w:p>
          <w:p w:rsidR="00F727E7" w:rsidRPr="00DB4F12" w:rsidRDefault="00F727E7" w:rsidP="00CF3230">
            <w:pPr>
              <w:jc w:val="both"/>
              <w:rPr>
                <w:sz w:val="20"/>
                <w:szCs w:val="20"/>
                <w:lang w:val="fr-FR"/>
              </w:rPr>
            </w:pPr>
            <w:r w:rsidRPr="00DB4F12">
              <w:rPr>
                <w:sz w:val="20"/>
                <w:szCs w:val="20"/>
                <w:lang w:val="fr-FR"/>
              </w:rPr>
              <w:t>2012 BCCA 296; CA038545</w:t>
            </w:r>
          </w:p>
          <w:p w:rsidR="00F727E7" w:rsidRPr="00DB4F12" w:rsidRDefault="00F727E7" w:rsidP="00CF3230">
            <w:pPr>
              <w:jc w:val="both"/>
              <w:rPr>
                <w:sz w:val="20"/>
                <w:szCs w:val="20"/>
                <w:lang w:val="fr-FR"/>
              </w:rPr>
            </w:pPr>
          </w:p>
        </w:tc>
        <w:tc>
          <w:tcPr>
            <w:tcW w:w="270" w:type="pct"/>
          </w:tcPr>
          <w:p w:rsidR="00F727E7" w:rsidRPr="00DB4F12" w:rsidRDefault="00F727E7" w:rsidP="00CF3230">
            <w:pPr>
              <w:jc w:val="both"/>
              <w:rPr>
                <w:sz w:val="20"/>
                <w:szCs w:val="20"/>
                <w:lang w:val="fr-FR"/>
              </w:rPr>
            </w:pPr>
          </w:p>
        </w:tc>
        <w:tc>
          <w:tcPr>
            <w:tcW w:w="2340" w:type="pct"/>
          </w:tcPr>
          <w:p w:rsidR="00F727E7" w:rsidRPr="008779EE" w:rsidRDefault="00F727E7" w:rsidP="00CF3230">
            <w:pPr>
              <w:jc w:val="both"/>
              <w:rPr>
                <w:sz w:val="20"/>
                <w:szCs w:val="20"/>
                <w:lang w:val="fr-CA"/>
              </w:rPr>
            </w:pPr>
            <w:r w:rsidRPr="008779EE">
              <w:rPr>
                <w:sz w:val="20"/>
                <w:szCs w:val="20"/>
                <w:lang w:val="fr-CA"/>
              </w:rPr>
              <w:t>Appel rejeté</w:t>
            </w:r>
          </w:p>
          <w:p w:rsidR="00F727E7" w:rsidRPr="00DB4F12" w:rsidRDefault="00F727E7" w:rsidP="00CF3230">
            <w:pPr>
              <w:jc w:val="both"/>
              <w:rPr>
                <w:sz w:val="20"/>
                <w:szCs w:val="20"/>
              </w:rPr>
            </w:pPr>
          </w:p>
        </w:tc>
      </w:tr>
      <w:tr w:rsidR="00F727E7" w:rsidRPr="00DB4F12" w:rsidTr="00CF3230">
        <w:tblPrEx>
          <w:tblCellMar>
            <w:bottom w:w="0" w:type="dxa"/>
          </w:tblCellMar>
        </w:tblPrEx>
        <w:tc>
          <w:tcPr>
            <w:tcW w:w="2390" w:type="pct"/>
          </w:tcPr>
          <w:p w:rsidR="00F727E7" w:rsidRPr="00DB4F12" w:rsidRDefault="00F727E7" w:rsidP="00CF3230">
            <w:pPr>
              <w:jc w:val="both"/>
              <w:rPr>
                <w:sz w:val="20"/>
                <w:szCs w:val="20"/>
                <w:lang w:val="fr-FR"/>
              </w:rPr>
            </w:pPr>
            <w:r w:rsidRPr="00DB4F12">
              <w:rPr>
                <w:sz w:val="20"/>
                <w:szCs w:val="20"/>
                <w:lang w:val="fr-FR"/>
              </w:rPr>
              <w:t>1</w:t>
            </w:r>
            <w:r w:rsidRPr="00DB4F12">
              <w:rPr>
                <w:sz w:val="20"/>
                <w:szCs w:val="20"/>
                <w:vertAlign w:val="superscript"/>
                <w:lang w:val="fr-FR"/>
              </w:rPr>
              <w:t>er</w:t>
            </w:r>
            <w:r w:rsidRPr="00DB4F12">
              <w:rPr>
                <w:sz w:val="20"/>
                <w:szCs w:val="20"/>
                <w:lang w:val="fr-FR"/>
              </w:rPr>
              <w:t xml:space="preserve"> octobre 2012</w:t>
            </w:r>
          </w:p>
          <w:p w:rsidR="00F727E7" w:rsidRPr="00DB4F12" w:rsidRDefault="00F727E7" w:rsidP="00CF3230">
            <w:pPr>
              <w:jc w:val="both"/>
              <w:rPr>
                <w:sz w:val="20"/>
                <w:szCs w:val="20"/>
                <w:lang w:val="fr-FR"/>
              </w:rPr>
            </w:pPr>
            <w:r w:rsidRPr="00DB4F12">
              <w:rPr>
                <w:sz w:val="20"/>
                <w:szCs w:val="20"/>
                <w:lang w:val="fr-FR"/>
              </w:rPr>
              <w:t>Cour suprême du Canada</w:t>
            </w:r>
          </w:p>
        </w:tc>
        <w:tc>
          <w:tcPr>
            <w:tcW w:w="270" w:type="pct"/>
          </w:tcPr>
          <w:p w:rsidR="00F727E7" w:rsidRPr="00DB4F12" w:rsidRDefault="00F727E7" w:rsidP="00CF3230">
            <w:pPr>
              <w:jc w:val="both"/>
              <w:rPr>
                <w:sz w:val="20"/>
                <w:szCs w:val="20"/>
                <w:lang w:val="fr-FR"/>
              </w:rPr>
            </w:pPr>
          </w:p>
        </w:tc>
        <w:tc>
          <w:tcPr>
            <w:tcW w:w="2340" w:type="pct"/>
          </w:tcPr>
          <w:p w:rsidR="00F727E7" w:rsidRPr="00DB4F12" w:rsidRDefault="00F727E7" w:rsidP="00CF3230">
            <w:pPr>
              <w:jc w:val="both"/>
              <w:rPr>
                <w:sz w:val="20"/>
                <w:szCs w:val="20"/>
              </w:rPr>
            </w:pPr>
            <w:r w:rsidRPr="00DB4F12">
              <w:rPr>
                <w:sz w:val="20"/>
                <w:szCs w:val="20"/>
                <w:lang w:val="fr-FR"/>
              </w:rPr>
              <w:t>Demande d’autorisation d’appel déposée</w:t>
            </w:r>
          </w:p>
          <w:p w:rsidR="00F727E7" w:rsidRPr="00DB4F12" w:rsidRDefault="00F727E7" w:rsidP="00CF3230">
            <w:pPr>
              <w:jc w:val="both"/>
              <w:rPr>
                <w:sz w:val="20"/>
                <w:szCs w:val="20"/>
              </w:rPr>
            </w:pPr>
          </w:p>
        </w:tc>
      </w:tr>
    </w:tbl>
    <w:p w:rsidR="003101AB" w:rsidRDefault="003101AB" w:rsidP="003101AB">
      <w:pPr>
        <w:rPr>
          <w:sz w:val="20"/>
          <w:szCs w:val="20"/>
        </w:rPr>
      </w:pPr>
    </w:p>
    <w:p w:rsidR="003101AB" w:rsidRDefault="003F21C7" w:rsidP="003101AB">
      <w:pPr>
        <w:rPr>
          <w:sz w:val="20"/>
          <w:szCs w:val="20"/>
          <w:lang w:val="fr-CA"/>
        </w:rPr>
      </w:pPr>
      <w:r w:rsidRPr="003F21C7">
        <w:rPr>
          <w:sz w:val="20"/>
          <w:szCs w:val="20"/>
          <w:lang w:val="fr-CA"/>
        </w:rPr>
        <w:pict>
          <v:rect id="_x0000_i1047" style="width:2in;height:1pt" o:hrpct="0" o:hralign="center" o:hrstd="t" o:hrnoshade="t" o:hr="t" fillcolor="black [3213]" stroked="f"/>
        </w:pict>
      </w:r>
    </w:p>
    <w:p w:rsidR="003101AB" w:rsidRDefault="003101AB" w:rsidP="003101AB">
      <w:pPr>
        <w:rPr>
          <w:sz w:val="20"/>
          <w:szCs w:val="20"/>
        </w:rPr>
      </w:pPr>
    </w:p>
    <w:p w:rsidR="000C49B2" w:rsidRDefault="000C49B2">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C49B2" w:rsidRPr="00BB2F24" w:rsidTr="000C49B2">
        <w:trPr>
          <w:cantSplit/>
        </w:trPr>
        <w:tc>
          <w:tcPr>
            <w:tcW w:w="1458" w:type="dxa"/>
          </w:tcPr>
          <w:p w:rsidR="000C49B2" w:rsidRPr="00BB2F24" w:rsidRDefault="000C49B2" w:rsidP="000C49B2">
            <w:pPr>
              <w:rPr>
                <w:sz w:val="20"/>
                <w:szCs w:val="20"/>
              </w:rPr>
            </w:pPr>
            <w:r w:rsidRPr="00BB2F24">
              <w:rPr>
                <w:rStyle w:val="SCCFileNumberChar"/>
                <w:sz w:val="20"/>
                <w:szCs w:val="20"/>
              </w:rPr>
              <w:lastRenderedPageBreak/>
              <w:t>35026</w:t>
            </w:r>
          </w:p>
          <w:p w:rsidR="000C49B2" w:rsidRPr="00BB2F24" w:rsidRDefault="000C49B2" w:rsidP="000C49B2">
            <w:pPr>
              <w:rPr>
                <w:b/>
                <w:sz w:val="20"/>
                <w:szCs w:val="20"/>
                <w:lang w:val="fr-CA"/>
              </w:rPr>
            </w:pPr>
          </w:p>
        </w:tc>
        <w:tc>
          <w:tcPr>
            <w:tcW w:w="8118" w:type="dxa"/>
          </w:tcPr>
          <w:p w:rsidR="000C49B2" w:rsidRPr="00BB2F24" w:rsidRDefault="000C49B2" w:rsidP="000C49B2">
            <w:pPr>
              <w:jc w:val="both"/>
              <w:rPr>
                <w:sz w:val="20"/>
                <w:szCs w:val="20"/>
              </w:rPr>
            </w:pPr>
            <w:r w:rsidRPr="00BB2F24">
              <w:rPr>
                <w:rStyle w:val="SCCLsocChar"/>
                <w:sz w:val="20"/>
                <w:szCs w:val="20"/>
                <w:lang w:val="en-CA"/>
              </w:rPr>
              <w:t>Sattva Capital Corporation (formerly Sattva Capital Inc.) v. Creston Moly Corporation (formerly Georgia Ventures Inc.)</w:t>
            </w:r>
            <w:r w:rsidRPr="00BB2F24">
              <w:rPr>
                <w:sz w:val="20"/>
                <w:szCs w:val="20"/>
              </w:rPr>
              <w:t xml:space="preserve"> (B.C.) (Civil) (By Leave)</w:t>
            </w:r>
          </w:p>
          <w:p w:rsidR="000C49B2" w:rsidRPr="00BB2F24" w:rsidRDefault="000C49B2" w:rsidP="000C49B2">
            <w:pPr>
              <w:jc w:val="both"/>
              <w:rPr>
                <w:sz w:val="20"/>
                <w:szCs w:val="20"/>
              </w:rPr>
            </w:pPr>
          </w:p>
        </w:tc>
      </w:tr>
      <w:tr w:rsidR="000C49B2" w:rsidRPr="00BB2F24" w:rsidTr="000C49B2">
        <w:trPr>
          <w:cantSplit/>
        </w:trPr>
        <w:tc>
          <w:tcPr>
            <w:tcW w:w="1458" w:type="dxa"/>
          </w:tcPr>
          <w:p w:rsidR="000C49B2" w:rsidRPr="00BB2F24" w:rsidRDefault="000C49B2" w:rsidP="000C49B2">
            <w:pPr>
              <w:rPr>
                <w:sz w:val="20"/>
                <w:szCs w:val="20"/>
              </w:rPr>
            </w:pPr>
            <w:r w:rsidRPr="00BB2F24">
              <w:rPr>
                <w:sz w:val="20"/>
                <w:szCs w:val="20"/>
              </w:rPr>
              <w:t>Coram :</w:t>
            </w:r>
          </w:p>
        </w:tc>
        <w:tc>
          <w:tcPr>
            <w:tcW w:w="8118" w:type="dxa"/>
          </w:tcPr>
          <w:p w:rsidR="000C49B2" w:rsidRPr="00BB2F24" w:rsidRDefault="000C49B2" w:rsidP="000C49B2">
            <w:pPr>
              <w:rPr>
                <w:sz w:val="20"/>
                <w:szCs w:val="20"/>
              </w:rPr>
            </w:pPr>
            <w:r w:rsidRPr="00BB2F24">
              <w:rPr>
                <w:rStyle w:val="SCCCoramChar"/>
                <w:sz w:val="20"/>
                <w:szCs w:val="20"/>
                <w:lang w:val="en-CA"/>
              </w:rPr>
              <w:t>Fish, Rothstein and Moldaver JJ.</w:t>
            </w:r>
          </w:p>
          <w:p w:rsidR="000C49B2" w:rsidRPr="00BB2F24" w:rsidRDefault="000C49B2" w:rsidP="000C49B2">
            <w:pPr>
              <w:rPr>
                <w:sz w:val="20"/>
                <w:szCs w:val="20"/>
                <w:u w:val="single"/>
              </w:rPr>
            </w:pPr>
          </w:p>
        </w:tc>
      </w:tr>
      <w:tr w:rsidR="000C49B2" w:rsidRPr="00462F49" w:rsidTr="000C49B2">
        <w:trPr>
          <w:cantSplit/>
        </w:trPr>
        <w:tc>
          <w:tcPr>
            <w:tcW w:w="9576" w:type="dxa"/>
            <w:gridSpan w:val="2"/>
          </w:tcPr>
          <w:p w:rsidR="000C49B2" w:rsidRPr="00BB2F24" w:rsidRDefault="000C49B2" w:rsidP="000C49B2">
            <w:pPr>
              <w:pStyle w:val="SCCShortJudgment"/>
              <w:rPr>
                <w:szCs w:val="20"/>
              </w:rPr>
            </w:pPr>
            <w:r w:rsidRPr="00BB2F24">
              <w:rPr>
                <w:szCs w:val="20"/>
              </w:rPr>
              <w:t>The motion for an extension of time to serve and file the application for leave to appeal is granted. The application for leave to appeal from the judgments of the Court of Appeal for British Columbia (Vancouver), Numbers CA037382, 2010 BCCA 239 and  CA039064, 2012 BCCA 329, dated May 14, 2010 and August 7, 2012, is granted with costs in the cause.</w:t>
            </w:r>
          </w:p>
          <w:p w:rsidR="000C49B2" w:rsidRPr="00BB2F24" w:rsidRDefault="000C49B2" w:rsidP="000C49B2">
            <w:pPr>
              <w:pStyle w:val="SCCShortJudgment"/>
              <w:ind w:firstLine="0"/>
              <w:rPr>
                <w:szCs w:val="20"/>
              </w:rPr>
            </w:pPr>
          </w:p>
          <w:p w:rsidR="000C49B2" w:rsidRPr="00BB2F24" w:rsidRDefault="000C49B2" w:rsidP="000C49B2">
            <w:pPr>
              <w:pStyle w:val="SCCShortJudgment"/>
              <w:rPr>
                <w:szCs w:val="20"/>
                <w:lang w:val="fr-CA"/>
              </w:rPr>
            </w:pPr>
            <w:r w:rsidRPr="00BB2F24">
              <w:rPr>
                <w:szCs w:val="20"/>
                <w:lang w:val="fr-CA"/>
              </w:rPr>
              <w:t>La requête en prorogation du délai de signification et de dépôt de la demande d’autorisation d’appel est accueillie. La demande d’autorisation d’appel des arrêts de la Cour d’appel de la Colombie-Britannique (Vancouver), numéros CA037382, 2010 BCCA 239 et CA039064, 2012 BCCA 329, datés du 14 mai 2010 et du 7 août 2012, est accueillie avec dépens selon l’issue de la cause.</w:t>
            </w:r>
          </w:p>
        </w:tc>
      </w:tr>
    </w:tbl>
    <w:p w:rsidR="003101AB" w:rsidRPr="000C49B2" w:rsidRDefault="003101AB" w:rsidP="003101AB">
      <w:pPr>
        <w:rPr>
          <w:sz w:val="20"/>
          <w:szCs w:val="20"/>
          <w:lang w:val="fr-CA"/>
        </w:rPr>
      </w:pPr>
    </w:p>
    <w:p w:rsidR="003101AB" w:rsidRPr="001B157C" w:rsidRDefault="003101AB" w:rsidP="003101AB">
      <w:pPr>
        <w:rPr>
          <w:sz w:val="20"/>
          <w:szCs w:val="20"/>
          <w:u w:val="single"/>
        </w:rPr>
      </w:pPr>
      <w:r w:rsidRPr="001B157C">
        <w:rPr>
          <w:sz w:val="20"/>
          <w:szCs w:val="20"/>
          <w:u w:val="single"/>
        </w:rPr>
        <w:t>CASE SUMMARY</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727E7" w:rsidRPr="00DB4F12" w:rsidTr="00CF3230">
        <w:tc>
          <w:tcPr>
            <w:tcW w:w="5000" w:type="pct"/>
            <w:gridSpan w:val="3"/>
          </w:tcPr>
          <w:p w:rsidR="00F727E7" w:rsidRPr="00DB4F12" w:rsidRDefault="00F727E7" w:rsidP="00CF3230">
            <w:pPr>
              <w:jc w:val="both"/>
              <w:rPr>
                <w:sz w:val="20"/>
                <w:szCs w:val="20"/>
              </w:rPr>
            </w:pPr>
            <w:r w:rsidRPr="00DB4F12">
              <w:rPr>
                <w:sz w:val="20"/>
                <w:szCs w:val="20"/>
              </w:rPr>
              <w:t>Contracts — Interpretation — Finder’s fee agreement — Arbitration — Administrative law — Appeals — When, if ever, is the court hearing an appeal of an arbitral award bound by determinations made on the application for leave to appeal? — Where leave to appeal an arbitral award has been granted on a question of law, may the court disregard the arbitrator’s findings of fact in answering that question?</w:t>
            </w:r>
          </w:p>
        </w:tc>
      </w:tr>
      <w:tr w:rsidR="00F727E7" w:rsidRPr="00DB4F12" w:rsidTr="00CF3230">
        <w:tc>
          <w:tcPr>
            <w:tcW w:w="5000" w:type="pct"/>
            <w:gridSpan w:val="3"/>
          </w:tcPr>
          <w:p w:rsidR="00F727E7" w:rsidRPr="00DB4F12" w:rsidRDefault="00F727E7" w:rsidP="00CF3230">
            <w:pPr>
              <w:jc w:val="both"/>
              <w:rPr>
                <w:sz w:val="20"/>
                <w:szCs w:val="20"/>
              </w:rPr>
            </w:pPr>
          </w:p>
        </w:tc>
      </w:tr>
      <w:tr w:rsidR="00F727E7" w:rsidRPr="00DB4F12" w:rsidTr="00CF3230">
        <w:tc>
          <w:tcPr>
            <w:tcW w:w="5000" w:type="pct"/>
            <w:gridSpan w:val="3"/>
          </w:tcPr>
          <w:p w:rsidR="00F727E7" w:rsidRPr="00DB4F12" w:rsidRDefault="00F727E7" w:rsidP="00CF3230">
            <w:pPr>
              <w:jc w:val="both"/>
              <w:rPr>
                <w:color w:val="000000"/>
                <w:sz w:val="20"/>
                <w:szCs w:val="20"/>
              </w:rPr>
            </w:pPr>
            <w:r w:rsidRPr="00DB4F12">
              <w:rPr>
                <w:color w:val="000000"/>
                <w:sz w:val="20"/>
                <w:szCs w:val="20"/>
              </w:rPr>
              <w:t>The applicant ("Sattva") introduced the respondent (“Georgia”) to a potential molybdenum mining deposit in Mexico, which Georgia ultimately purchased.  Sattva and Georgia had entered into a Finder's Fee Agreement effective January 12, 2007.  The parties agreed a finder's fee of $1.5 million U.S. was payable under the Agreement as a result of Sattva's involvement in introducing Georgia to the mining property but could not agree how the amount of the fee would be payable to Sattva.  Georgia took the position that the finder's fee should be paid in shares valued at $0.70 each, while Sattva maintained the fee should be paid in $0.15 shares.</w:t>
            </w:r>
          </w:p>
          <w:p w:rsidR="00F727E7" w:rsidRPr="00DB4F12" w:rsidRDefault="00F727E7" w:rsidP="00CF3230">
            <w:pPr>
              <w:ind w:left="267"/>
              <w:jc w:val="both"/>
              <w:rPr>
                <w:color w:val="000000"/>
                <w:sz w:val="20"/>
                <w:szCs w:val="20"/>
              </w:rPr>
            </w:pPr>
          </w:p>
          <w:p w:rsidR="00F727E7" w:rsidRPr="00DB4F12" w:rsidRDefault="00F727E7" w:rsidP="00CF3230">
            <w:pPr>
              <w:jc w:val="both"/>
              <w:rPr>
                <w:sz w:val="20"/>
                <w:szCs w:val="20"/>
              </w:rPr>
            </w:pPr>
            <w:r w:rsidRPr="00DB4F12">
              <w:rPr>
                <w:color w:val="000000"/>
                <w:sz w:val="20"/>
                <w:szCs w:val="20"/>
              </w:rPr>
              <w:t xml:space="preserve">The matter proceeded to arbitration, and the arbitrator assessed damages in the amount of $4,140,000 against Georgia for breach of contract.  The amount awarded was based on the arbitrator's conclusion there was an 85% probability the TSX Venture Exchange would, pursuant to its policies, have valued the finder's fee at $0.15 per share under the terms of the Agreement and that Sattva had lost an opportunity to sell those shares based on that value.  </w:t>
            </w:r>
            <w:r w:rsidRPr="00DB4F12">
              <w:rPr>
                <w:sz w:val="20"/>
                <w:szCs w:val="20"/>
              </w:rPr>
              <w:t xml:space="preserve">The chambers judge denied Georgia's application for leave to appeal the award because it was his view that Georgia's grounds of appeal were not limited to questions of law alone, as required by s. 31(2) of the </w:t>
            </w:r>
            <w:r w:rsidRPr="00DB4F12">
              <w:rPr>
                <w:i/>
                <w:sz w:val="20"/>
                <w:szCs w:val="20"/>
              </w:rPr>
              <w:t>Commercial Arbitration Act</w:t>
            </w:r>
            <w:r w:rsidRPr="00DB4F12">
              <w:rPr>
                <w:sz w:val="20"/>
                <w:szCs w:val="20"/>
              </w:rPr>
              <w:t>, R.S.B.C. 1996, c. 55</w:t>
            </w:r>
            <w:r w:rsidRPr="00DB4F12">
              <w:rPr>
                <w:i/>
                <w:sz w:val="20"/>
                <w:szCs w:val="20"/>
              </w:rPr>
              <w:t xml:space="preserve">.  </w:t>
            </w:r>
            <w:r w:rsidRPr="00DB4F12">
              <w:rPr>
                <w:sz w:val="20"/>
                <w:szCs w:val="20"/>
              </w:rPr>
              <w:t>The British Columbia Court of Appeal overturned that decision, and granted leave to appeal on two issues of law regarding the interpretation of the Agreement.  That appeal was dismissed.  The British Columbia Court of Appeal allowed Georgia’s appeal of that decision, and granted an order that the finder's fee had been paid.</w:t>
            </w:r>
          </w:p>
          <w:p w:rsidR="00F727E7" w:rsidRPr="00DB4F12" w:rsidRDefault="00F727E7" w:rsidP="00CF3230">
            <w:pPr>
              <w:jc w:val="both"/>
              <w:rPr>
                <w:sz w:val="20"/>
                <w:szCs w:val="20"/>
              </w:rPr>
            </w:pPr>
          </w:p>
        </w:tc>
      </w:tr>
      <w:tr w:rsidR="00F727E7" w:rsidRPr="00DB4F12" w:rsidTr="00CF3230">
        <w:tc>
          <w:tcPr>
            <w:tcW w:w="2427" w:type="pct"/>
          </w:tcPr>
          <w:p w:rsidR="00F727E7" w:rsidRPr="00DB4F12" w:rsidRDefault="00F727E7" w:rsidP="00CF3230">
            <w:pPr>
              <w:jc w:val="both"/>
              <w:rPr>
                <w:sz w:val="20"/>
                <w:szCs w:val="20"/>
              </w:rPr>
            </w:pPr>
            <w:r w:rsidRPr="00DB4F12">
              <w:rPr>
                <w:sz w:val="20"/>
                <w:szCs w:val="20"/>
              </w:rPr>
              <w:t>August 7, 2009</w:t>
            </w:r>
          </w:p>
          <w:p w:rsidR="00F727E7" w:rsidRPr="00DB4F12" w:rsidRDefault="00F727E7" w:rsidP="00CF3230">
            <w:pPr>
              <w:jc w:val="both"/>
              <w:rPr>
                <w:sz w:val="20"/>
                <w:szCs w:val="20"/>
              </w:rPr>
            </w:pPr>
            <w:r w:rsidRPr="00DB4F12">
              <w:rPr>
                <w:sz w:val="20"/>
                <w:szCs w:val="20"/>
              </w:rPr>
              <w:t>Supreme Court of British Columbia</w:t>
            </w:r>
          </w:p>
          <w:p w:rsidR="00F727E7" w:rsidRPr="00DB4F12" w:rsidRDefault="00F727E7" w:rsidP="00CF3230">
            <w:pPr>
              <w:jc w:val="both"/>
              <w:rPr>
                <w:sz w:val="20"/>
                <w:szCs w:val="20"/>
              </w:rPr>
            </w:pPr>
            <w:r w:rsidRPr="00DB4F12">
              <w:rPr>
                <w:sz w:val="20"/>
                <w:szCs w:val="20"/>
              </w:rPr>
              <w:t>(Greyell J.)</w:t>
            </w:r>
          </w:p>
          <w:p w:rsidR="00F727E7" w:rsidRPr="00DB4F12" w:rsidRDefault="00F727E7" w:rsidP="00CF3230">
            <w:pPr>
              <w:jc w:val="both"/>
              <w:rPr>
                <w:sz w:val="20"/>
                <w:szCs w:val="20"/>
              </w:rPr>
            </w:pPr>
            <w:r w:rsidRPr="00DB4F12">
              <w:rPr>
                <w:sz w:val="20"/>
                <w:szCs w:val="20"/>
              </w:rPr>
              <w:t>2009 BCSC 1079</w:t>
            </w:r>
          </w:p>
          <w:p w:rsidR="00F727E7" w:rsidRPr="00DB4F12" w:rsidRDefault="00F727E7" w:rsidP="00CF3230">
            <w:pPr>
              <w:jc w:val="both"/>
              <w:rPr>
                <w:sz w:val="20"/>
                <w:szCs w:val="20"/>
              </w:rPr>
            </w:pP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Leave to appeal award of arbitrator denied</w:t>
            </w:r>
          </w:p>
          <w:p w:rsidR="00F727E7" w:rsidRPr="00DB4F12" w:rsidRDefault="00F727E7" w:rsidP="00CF3230">
            <w:pPr>
              <w:jc w:val="both"/>
              <w:rPr>
                <w:sz w:val="20"/>
                <w:szCs w:val="20"/>
              </w:rPr>
            </w:pPr>
          </w:p>
        </w:tc>
      </w:tr>
      <w:tr w:rsidR="00F727E7" w:rsidRPr="00DB4F12" w:rsidTr="00CF3230">
        <w:tc>
          <w:tcPr>
            <w:tcW w:w="2427" w:type="pct"/>
          </w:tcPr>
          <w:p w:rsidR="00F727E7" w:rsidRPr="00DB4F12" w:rsidRDefault="00F727E7" w:rsidP="00CF3230">
            <w:pPr>
              <w:jc w:val="both"/>
              <w:rPr>
                <w:sz w:val="20"/>
                <w:szCs w:val="20"/>
              </w:rPr>
            </w:pPr>
            <w:r w:rsidRPr="00DB4F12">
              <w:rPr>
                <w:sz w:val="20"/>
                <w:szCs w:val="20"/>
              </w:rPr>
              <w:t>May 14, 2010</w:t>
            </w:r>
          </w:p>
          <w:p w:rsidR="00F727E7" w:rsidRPr="00DB4F12" w:rsidRDefault="00F727E7" w:rsidP="00CF3230">
            <w:pPr>
              <w:jc w:val="both"/>
              <w:rPr>
                <w:sz w:val="20"/>
                <w:szCs w:val="20"/>
              </w:rPr>
            </w:pPr>
            <w:r w:rsidRPr="00DB4F12">
              <w:rPr>
                <w:sz w:val="20"/>
                <w:szCs w:val="20"/>
              </w:rPr>
              <w:t>Court of Appeal for British Columbia</w:t>
            </w:r>
          </w:p>
          <w:p w:rsidR="00F727E7" w:rsidRPr="00DB4F12" w:rsidRDefault="00F727E7" w:rsidP="00CF3230">
            <w:pPr>
              <w:jc w:val="both"/>
              <w:rPr>
                <w:sz w:val="20"/>
                <w:szCs w:val="20"/>
              </w:rPr>
            </w:pPr>
            <w:r w:rsidRPr="00DB4F12">
              <w:rPr>
                <w:sz w:val="20"/>
                <w:szCs w:val="20"/>
              </w:rPr>
              <w:t>(Newbury, Low and Levine JJ.A.)</w:t>
            </w:r>
          </w:p>
          <w:p w:rsidR="00F727E7" w:rsidRPr="00DB4F12" w:rsidRDefault="00F727E7" w:rsidP="00CF3230">
            <w:pPr>
              <w:jc w:val="both"/>
              <w:rPr>
                <w:sz w:val="20"/>
                <w:szCs w:val="20"/>
              </w:rPr>
            </w:pPr>
            <w:r w:rsidRPr="00DB4F12">
              <w:rPr>
                <w:sz w:val="20"/>
                <w:szCs w:val="20"/>
              </w:rPr>
              <w:t>2010 BCCA 239</w:t>
            </w:r>
          </w:p>
          <w:p w:rsidR="00F727E7" w:rsidRPr="00DB4F12" w:rsidRDefault="00F727E7" w:rsidP="00CF3230">
            <w:pPr>
              <w:jc w:val="both"/>
              <w:rPr>
                <w:sz w:val="20"/>
                <w:szCs w:val="20"/>
              </w:rPr>
            </w:pP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Appeal allowed</w:t>
            </w:r>
          </w:p>
          <w:p w:rsidR="00F727E7" w:rsidRPr="00DB4F12" w:rsidRDefault="00F727E7" w:rsidP="00CF3230">
            <w:pPr>
              <w:jc w:val="both"/>
              <w:rPr>
                <w:sz w:val="20"/>
                <w:szCs w:val="20"/>
              </w:rPr>
            </w:pPr>
          </w:p>
        </w:tc>
      </w:tr>
      <w:tr w:rsidR="00F727E7" w:rsidRPr="00DB4F12" w:rsidTr="000C49B2">
        <w:trPr>
          <w:cantSplit/>
        </w:trPr>
        <w:tc>
          <w:tcPr>
            <w:tcW w:w="2427" w:type="pct"/>
          </w:tcPr>
          <w:p w:rsidR="00F727E7" w:rsidRPr="00DB4F12" w:rsidRDefault="00F727E7" w:rsidP="00CF3230">
            <w:pPr>
              <w:jc w:val="both"/>
              <w:rPr>
                <w:sz w:val="20"/>
                <w:szCs w:val="20"/>
              </w:rPr>
            </w:pPr>
            <w:r w:rsidRPr="00DB4F12">
              <w:rPr>
                <w:sz w:val="20"/>
                <w:szCs w:val="20"/>
              </w:rPr>
              <w:lastRenderedPageBreak/>
              <w:t>May 6, 2011</w:t>
            </w:r>
          </w:p>
          <w:p w:rsidR="00F727E7" w:rsidRPr="00DB4F12" w:rsidRDefault="00F727E7" w:rsidP="00CF3230">
            <w:pPr>
              <w:jc w:val="both"/>
              <w:rPr>
                <w:sz w:val="20"/>
                <w:szCs w:val="20"/>
              </w:rPr>
            </w:pPr>
            <w:r w:rsidRPr="00DB4F12">
              <w:rPr>
                <w:sz w:val="20"/>
                <w:szCs w:val="20"/>
              </w:rPr>
              <w:t>Supreme Court of British Columbia</w:t>
            </w:r>
          </w:p>
          <w:p w:rsidR="00F727E7" w:rsidRPr="00DB4F12" w:rsidRDefault="00F727E7" w:rsidP="00CF3230">
            <w:pPr>
              <w:jc w:val="both"/>
              <w:rPr>
                <w:sz w:val="20"/>
                <w:szCs w:val="20"/>
              </w:rPr>
            </w:pPr>
            <w:r w:rsidRPr="00DB4F12">
              <w:rPr>
                <w:sz w:val="20"/>
                <w:szCs w:val="20"/>
              </w:rPr>
              <w:t>(Armstrong J.)</w:t>
            </w:r>
          </w:p>
          <w:p w:rsidR="00F727E7" w:rsidRPr="00DB4F12" w:rsidRDefault="00F727E7" w:rsidP="00CF3230">
            <w:pPr>
              <w:jc w:val="both"/>
              <w:rPr>
                <w:sz w:val="20"/>
                <w:szCs w:val="20"/>
              </w:rPr>
            </w:pPr>
            <w:r w:rsidRPr="00DB4F12">
              <w:rPr>
                <w:sz w:val="20"/>
                <w:szCs w:val="20"/>
              </w:rPr>
              <w:t>2011 BCSC 597</w:t>
            </w:r>
          </w:p>
          <w:p w:rsidR="00F727E7" w:rsidRPr="00DB4F12" w:rsidRDefault="00F727E7" w:rsidP="00CF3230">
            <w:pPr>
              <w:jc w:val="both"/>
              <w:rPr>
                <w:sz w:val="20"/>
                <w:szCs w:val="20"/>
              </w:rPr>
            </w:pP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Appeal dismissed</w:t>
            </w:r>
          </w:p>
          <w:p w:rsidR="00F727E7" w:rsidRPr="00DB4F12" w:rsidRDefault="00F727E7" w:rsidP="00CF3230">
            <w:pPr>
              <w:jc w:val="both"/>
              <w:rPr>
                <w:sz w:val="20"/>
                <w:szCs w:val="20"/>
              </w:rPr>
            </w:pPr>
          </w:p>
        </w:tc>
      </w:tr>
      <w:tr w:rsidR="00F727E7" w:rsidRPr="00DB4F12" w:rsidTr="000C49B2">
        <w:trPr>
          <w:cantSplit/>
        </w:trPr>
        <w:tc>
          <w:tcPr>
            <w:tcW w:w="2427" w:type="pct"/>
          </w:tcPr>
          <w:p w:rsidR="00F727E7" w:rsidRPr="00DB4F12" w:rsidRDefault="00F727E7" w:rsidP="00CF3230">
            <w:pPr>
              <w:jc w:val="both"/>
              <w:rPr>
                <w:sz w:val="20"/>
                <w:szCs w:val="20"/>
              </w:rPr>
            </w:pPr>
            <w:r w:rsidRPr="00DB4F12">
              <w:rPr>
                <w:sz w:val="20"/>
                <w:szCs w:val="20"/>
              </w:rPr>
              <w:t>August 7, 2012</w:t>
            </w:r>
          </w:p>
          <w:p w:rsidR="00F727E7" w:rsidRPr="00DB4F12" w:rsidRDefault="00F727E7" w:rsidP="00CF3230">
            <w:pPr>
              <w:jc w:val="both"/>
              <w:rPr>
                <w:sz w:val="20"/>
                <w:szCs w:val="20"/>
              </w:rPr>
            </w:pPr>
            <w:r w:rsidRPr="00DB4F12">
              <w:rPr>
                <w:sz w:val="20"/>
                <w:szCs w:val="20"/>
              </w:rPr>
              <w:t>Court of Appeal for British Columbia</w:t>
            </w:r>
          </w:p>
          <w:p w:rsidR="00F727E7" w:rsidRPr="00DB4F12" w:rsidRDefault="00F727E7" w:rsidP="00CF3230">
            <w:pPr>
              <w:jc w:val="both"/>
              <w:rPr>
                <w:sz w:val="20"/>
                <w:szCs w:val="20"/>
              </w:rPr>
            </w:pPr>
            <w:r w:rsidRPr="00DB4F12">
              <w:rPr>
                <w:sz w:val="20"/>
                <w:szCs w:val="20"/>
              </w:rPr>
              <w:t>(Kirkpatrick, Neilson and Bennett JJ.A.)</w:t>
            </w:r>
          </w:p>
          <w:p w:rsidR="00F727E7" w:rsidRPr="00DB4F12" w:rsidRDefault="00F727E7" w:rsidP="00CF3230">
            <w:pPr>
              <w:jc w:val="both"/>
              <w:rPr>
                <w:sz w:val="20"/>
                <w:szCs w:val="20"/>
              </w:rPr>
            </w:pPr>
            <w:r w:rsidRPr="00DB4F12">
              <w:rPr>
                <w:sz w:val="20"/>
                <w:szCs w:val="20"/>
              </w:rPr>
              <w:t>2012 BCCA 329</w:t>
            </w:r>
          </w:p>
          <w:p w:rsidR="00F727E7" w:rsidRPr="00DB4F12" w:rsidRDefault="00F727E7" w:rsidP="00CF3230">
            <w:pPr>
              <w:jc w:val="both"/>
              <w:rPr>
                <w:sz w:val="20"/>
                <w:szCs w:val="20"/>
              </w:rPr>
            </w:pP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Appeal allowed</w:t>
            </w:r>
          </w:p>
          <w:p w:rsidR="00F727E7" w:rsidRPr="00DB4F12" w:rsidRDefault="00F727E7" w:rsidP="00CF3230">
            <w:pPr>
              <w:jc w:val="both"/>
              <w:rPr>
                <w:sz w:val="20"/>
                <w:szCs w:val="20"/>
              </w:rPr>
            </w:pPr>
          </w:p>
        </w:tc>
      </w:tr>
      <w:tr w:rsidR="00F727E7" w:rsidRPr="00DB4F12" w:rsidTr="000C49B2">
        <w:trPr>
          <w:cantSplit/>
        </w:trPr>
        <w:tc>
          <w:tcPr>
            <w:tcW w:w="2427" w:type="pct"/>
          </w:tcPr>
          <w:p w:rsidR="00F727E7" w:rsidRPr="00DB4F12" w:rsidRDefault="00F727E7" w:rsidP="00CF3230">
            <w:pPr>
              <w:jc w:val="both"/>
              <w:rPr>
                <w:sz w:val="20"/>
                <w:szCs w:val="20"/>
              </w:rPr>
            </w:pPr>
            <w:r w:rsidRPr="00DB4F12">
              <w:rPr>
                <w:sz w:val="20"/>
                <w:szCs w:val="20"/>
              </w:rPr>
              <w:t>October 9, 2012</w:t>
            </w:r>
          </w:p>
          <w:p w:rsidR="00F727E7" w:rsidRPr="00DB4F12" w:rsidRDefault="00F727E7" w:rsidP="00CF3230">
            <w:pPr>
              <w:jc w:val="both"/>
              <w:rPr>
                <w:sz w:val="20"/>
                <w:szCs w:val="20"/>
              </w:rPr>
            </w:pPr>
            <w:r w:rsidRPr="00DB4F12">
              <w:rPr>
                <w:sz w:val="20"/>
                <w:szCs w:val="20"/>
              </w:rPr>
              <w:t>Supreme Court of Canada</w:t>
            </w: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Application for leave to appeal and motion for extension of time filed</w:t>
            </w:r>
          </w:p>
        </w:tc>
      </w:tr>
    </w:tbl>
    <w:p w:rsidR="003101AB" w:rsidRPr="00C50A5C" w:rsidRDefault="003101AB" w:rsidP="003101AB">
      <w:pPr>
        <w:rPr>
          <w:sz w:val="20"/>
          <w:szCs w:val="20"/>
        </w:rPr>
      </w:pPr>
    </w:p>
    <w:p w:rsidR="003101AB" w:rsidRPr="00C50A5C" w:rsidRDefault="003F21C7" w:rsidP="003101AB">
      <w:pPr>
        <w:rPr>
          <w:sz w:val="20"/>
          <w:szCs w:val="20"/>
        </w:rPr>
      </w:pPr>
      <w:r w:rsidRPr="003F21C7">
        <w:rPr>
          <w:sz w:val="20"/>
          <w:szCs w:val="20"/>
          <w:lang w:val="fr-CA"/>
        </w:rPr>
        <w:pict>
          <v:rect id="_x0000_i1048" style="width:2in;height:1pt" o:hrpct="0" o:hralign="center" o:hrstd="t" o:hrnoshade="t" o:hr="t" fillcolor="black [3213]" stroked="f"/>
        </w:pict>
      </w:r>
    </w:p>
    <w:p w:rsidR="003101AB" w:rsidRDefault="003101AB" w:rsidP="003101AB">
      <w:pPr>
        <w:rPr>
          <w:sz w:val="20"/>
          <w:szCs w:val="20"/>
        </w:rPr>
      </w:pPr>
    </w:p>
    <w:p w:rsidR="003101AB" w:rsidRPr="001B157C" w:rsidRDefault="003101AB" w:rsidP="003101AB">
      <w:pPr>
        <w:rPr>
          <w:sz w:val="20"/>
          <w:szCs w:val="20"/>
          <w:u w:val="single"/>
          <w:lang w:val="fr-CA"/>
        </w:rPr>
      </w:pPr>
      <w:r w:rsidRPr="001B157C">
        <w:rPr>
          <w:sz w:val="20"/>
          <w:szCs w:val="20"/>
          <w:u w:val="single"/>
          <w:lang w:val="fr-CA"/>
        </w:rPr>
        <w:t>RÉSUMÉ DE L’AFFAIRE</w:t>
      </w:r>
    </w:p>
    <w:p w:rsidR="003101AB" w:rsidRDefault="003101AB" w:rsidP="003101A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727E7" w:rsidRPr="00462F49" w:rsidTr="00CF3230">
        <w:tc>
          <w:tcPr>
            <w:tcW w:w="5000" w:type="pct"/>
            <w:gridSpan w:val="3"/>
          </w:tcPr>
          <w:p w:rsidR="00F727E7" w:rsidRPr="00DB4F12" w:rsidRDefault="00F727E7" w:rsidP="00CF3230">
            <w:pPr>
              <w:jc w:val="both"/>
              <w:rPr>
                <w:sz w:val="20"/>
                <w:szCs w:val="20"/>
                <w:lang w:val="fr-CA"/>
              </w:rPr>
            </w:pPr>
            <w:r w:rsidRPr="00DB4F12">
              <w:rPr>
                <w:sz w:val="20"/>
                <w:szCs w:val="20"/>
                <w:lang w:val="fr-CA"/>
              </w:rPr>
              <w:t>Contrats — Interprétation — Contrat de commission d'intermédiaire — Arbitrage — Droit administratif — Appels — Dans quelle situations, s'il en est, la cour saisie de l’appel d'une sentence arbitrale est-elle liée par des décisions prises dans le cadre d'une demande d'autorisation d'appel? — Lorsque l'autorisation d'appel d'une sentence arbitrale a été accordée sur une question de droit, la cour peut-elle faire abstraction des conclusions de fait de l'arbitre en répondant à cette question?</w:t>
            </w:r>
          </w:p>
        </w:tc>
      </w:tr>
      <w:tr w:rsidR="00F727E7" w:rsidRPr="00462F49" w:rsidTr="00CF3230">
        <w:tc>
          <w:tcPr>
            <w:tcW w:w="5000" w:type="pct"/>
            <w:gridSpan w:val="3"/>
          </w:tcPr>
          <w:p w:rsidR="00F727E7" w:rsidRPr="00DB4F12" w:rsidRDefault="00F727E7" w:rsidP="00CF3230">
            <w:pPr>
              <w:jc w:val="both"/>
              <w:rPr>
                <w:sz w:val="20"/>
                <w:szCs w:val="20"/>
                <w:lang w:val="fr-CA"/>
              </w:rPr>
            </w:pPr>
          </w:p>
        </w:tc>
      </w:tr>
      <w:tr w:rsidR="00F727E7" w:rsidRPr="00462F49" w:rsidTr="00CF3230">
        <w:tc>
          <w:tcPr>
            <w:tcW w:w="5000" w:type="pct"/>
            <w:gridSpan w:val="3"/>
          </w:tcPr>
          <w:p w:rsidR="00F727E7" w:rsidRPr="00DB4F12" w:rsidRDefault="00F727E7" w:rsidP="00CF3230">
            <w:pPr>
              <w:jc w:val="both"/>
              <w:rPr>
                <w:color w:val="000000"/>
                <w:sz w:val="20"/>
                <w:szCs w:val="20"/>
                <w:lang w:val="fr-CA"/>
              </w:rPr>
            </w:pPr>
            <w:r w:rsidRPr="00DB4F12">
              <w:rPr>
                <w:color w:val="000000"/>
                <w:sz w:val="20"/>
                <w:szCs w:val="20"/>
                <w:lang w:val="fr-CA"/>
              </w:rPr>
              <w:t>La demanderesse (« Sattva ») a fait connaître à l'intimée (« Georgia ») un dépôt minier potentiel de molybdène au Mexique, que Georgia a fini par acheter. Sattva et Georgia avaient conclu un contrat de commission d'intermédiaire entré en vigueur le 12 janvier 2007. Les parties ont convenu qu'une commission d'intermédiaire de 1,5 millions de dollars US était payable en vertu du contrat à la suite des démarches faites par Sattva pour faire connaître à Georgia le bien minier, mais elles n’ont pu s'entendre sur la manière de payer la commission à Sattva. Georgia était d’avis que la commission d'intermédiaire devait être payée sous forme d'actions évaluées 0,70 $ chacune, alors que Sattva soutenait que la commission devait être payée sous forme d'actions à 0,15 $.</w:t>
            </w:r>
          </w:p>
          <w:p w:rsidR="00F727E7" w:rsidRPr="00DB4F12" w:rsidRDefault="00F727E7" w:rsidP="00CF3230">
            <w:pPr>
              <w:ind w:left="267"/>
              <w:jc w:val="both"/>
              <w:rPr>
                <w:color w:val="000000"/>
                <w:sz w:val="20"/>
                <w:szCs w:val="20"/>
                <w:lang w:val="fr-CA"/>
              </w:rPr>
            </w:pPr>
          </w:p>
          <w:p w:rsidR="00F727E7" w:rsidRPr="00DB4F12" w:rsidRDefault="00F727E7" w:rsidP="00CF3230">
            <w:pPr>
              <w:jc w:val="both"/>
              <w:rPr>
                <w:sz w:val="20"/>
                <w:szCs w:val="20"/>
                <w:lang w:val="fr-CA"/>
              </w:rPr>
            </w:pPr>
            <w:r w:rsidRPr="00DB4F12">
              <w:rPr>
                <w:color w:val="000000"/>
                <w:sz w:val="20"/>
                <w:szCs w:val="20"/>
                <w:lang w:val="fr-CA"/>
              </w:rPr>
              <w:t>La question a été soumise à l'arbitrage et l'arbitre a condamné Georgia à payer des dommages-intérêts de 4 140 000 $ pour violation de contrat. Le montant accordé était fondé sur la conclusion de l'arbitre selon laquelle il y avait une probabilité de 85 % que la Bourse de croissance TSX aurait, en vertu de ses politiques, évalué la commission d'intermédiaire à 0,15 $ par action aux termes du contrat et que Sattva avait perdu une occasion de vendre ces actions en fonction de cette valeur.</w:t>
            </w:r>
            <w:r w:rsidRPr="00DB4F12">
              <w:rPr>
                <w:sz w:val="20"/>
                <w:szCs w:val="20"/>
                <w:lang w:val="fr-CA"/>
              </w:rPr>
              <w:t xml:space="preserve"> Le juge siégeant en chambre a rejeté la demande d'autorisation d'appel de la sentence, présentée par Georgia, car il était d’avis que les motifs d'appel de Georgia ne se limitaient pas exclusivement à des questions de droit, comme l'exigeait le par. 31(2) de la </w:t>
            </w:r>
            <w:r w:rsidRPr="00DB4F12">
              <w:rPr>
                <w:i/>
                <w:sz w:val="20"/>
                <w:szCs w:val="20"/>
                <w:lang w:val="fr-CA"/>
              </w:rPr>
              <w:t>Commercial Arbitration Act</w:t>
            </w:r>
            <w:r w:rsidRPr="00DB4F12">
              <w:rPr>
                <w:sz w:val="20"/>
                <w:szCs w:val="20"/>
                <w:lang w:val="fr-CA"/>
              </w:rPr>
              <w:t>, R.S.B.C. 1996, ch. 55</w:t>
            </w:r>
            <w:r w:rsidRPr="00DB4F12">
              <w:rPr>
                <w:i/>
                <w:sz w:val="20"/>
                <w:szCs w:val="20"/>
                <w:lang w:val="fr-CA"/>
              </w:rPr>
              <w:t>.</w:t>
            </w:r>
            <w:r w:rsidRPr="00DB4F12">
              <w:rPr>
                <w:sz w:val="20"/>
                <w:szCs w:val="20"/>
                <w:lang w:val="fr-CA"/>
              </w:rPr>
              <w:t xml:space="preserve"> La Cour d’appel de la Colombie-Britannique a infirmé cette décision et a accordé l'autorisation d'appel sur deux questions de droit portant sur l'interprétation du contrat. Cet appel a été rejeté. La Cour d'appel de la Colombie-Britannique a accueilli l'appel de cette décision interjeté par Georgia et a rendu une ordonnance portant que la commission d'intermédiaire avait été payée.</w:t>
            </w:r>
          </w:p>
          <w:p w:rsidR="00F727E7" w:rsidRPr="00DB4F12" w:rsidRDefault="00F727E7" w:rsidP="00CF3230">
            <w:pPr>
              <w:jc w:val="both"/>
              <w:rPr>
                <w:sz w:val="20"/>
                <w:szCs w:val="20"/>
                <w:lang w:val="fr-CA"/>
              </w:rPr>
            </w:pPr>
          </w:p>
        </w:tc>
      </w:tr>
      <w:tr w:rsidR="00F727E7" w:rsidRPr="00462F49" w:rsidTr="00CF3230">
        <w:tc>
          <w:tcPr>
            <w:tcW w:w="2427" w:type="pct"/>
          </w:tcPr>
          <w:p w:rsidR="00F727E7" w:rsidRPr="00DB4F12" w:rsidRDefault="00F727E7" w:rsidP="00CF3230">
            <w:pPr>
              <w:jc w:val="both"/>
              <w:rPr>
                <w:sz w:val="20"/>
                <w:szCs w:val="20"/>
                <w:lang w:val="fr-CA"/>
              </w:rPr>
            </w:pPr>
            <w:r w:rsidRPr="00DB4F12">
              <w:rPr>
                <w:sz w:val="20"/>
                <w:szCs w:val="20"/>
                <w:lang w:val="fr-CA"/>
              </w:rPr>
              <w:t>7 août 2009</w:t>
            </w:r>
          </w:p>
          <w:p w:rsidR="00F727E7" w:rsidRPr="00DB4F12" w:rsidRDefault="00F727E7" w:rsidP="00CF3230">
            <w:pPr>
              <w:jc w:val="both"/>
              <w:rPr>
                <w:sz w:val="20"/>
                <w:szCs w:val="20"/>
                <w:lang w:val="fr-CA"/>
              </w:rPr>
            </w:pPr>
            <w:r w:rsidRPr="00DB4F12">
              <w:rPr>
                <w:sz w:val="20"/>
                <w:szCs w:val="20"/>
                <w:lang w:val="fr-CA"/>
              </w:rPr>
              <w:t xml:space="preserve">Cour suprême de la Colombie-Britannique </w:t>
            </w:r>
          </w:p>
          <w:p w:rsidR="00F727E7" w:rsidRPr="00DB4F12" w:rsidRDefault="00F727E7" w:rsidP="00CF3230">
            <w:pPr>
              <w:jc w:val="both"/>
              <w:rPr>
                <w:sz w:val="20"/>
                <w:szCs w:val="20"/>
                <w:lang w:val="fr-CA"/>
              </w:rPr>
            </w:pPr>
            <w:r w:rsidRPr="00DB4F12">
              <w:rPr>
                <w:sz w:val="20"/>
                <w:szCs w:val="20"/>
                <w:lang w:val="fr-CA"/>
              </w:rPr>
              <w:t>(Juge Greyell)</w:t>
            </w:r>
          </w:p>
          <w:p w:rsidR="00F727E7" w:rsidRPr="00DB4F12" w:rsidRDefault="00F727E7" w:rsidP="00CF3230">
            <w:pPr>
              <w:jc w:val="both"/>
              <w:rPr>
                <w:sz w:val="20"/>
                <w:szCs w:val="20"/>
                <w:lang w:val="fr-CA"/>
              </w:rPr>
            </w:pPr>
            <w:r w:rsidRPr="00DB4F12">
              <w:rPr>
                <w:sz w:val="20"/>
                <w:szCs w:val="20"/>
                <w:lang w:val="fr-CA"/>
              </w:rPr>
              <w:t>2009 BCSC 1079</w:t>
            </w:r>
          </w:p>
          <w:p w:rsidR="00F727E7" w:rsidRPr="00DB4F12" w:rsidRDefault="00F727E7" w:rsidP="00CF3230">
            <w:pPr>
              <w:jc w:val="both"/>
              <w:rPr>
                <w:sz w:val="20"/>
                <w:szCs w:val="20"/>
                <w:lang w:val="fr-CA"/>
              </w:rPr>
            </w:pPr>
          </w:p>
        </w:tc>
        <w:tc>
          <w:tcPr>
            <w:tcW w:w="243" w:type="pct"/>
          </w:tcPr>
          <w:p w:rsidR="00F727E7" w:rsidRPr="00DB4F12" w:rsidRDefault="00F727E7" w:rsidP="00CF3230">
            <w:pPr>
              <w:jc w:val="both"/>
              <w:rPr>
                <w:sz w:val="20"/>
                <w:szCs w:val="20"/>
                <w:lang w:val="fr-CA"/>
              </w:rPr>
            </w:pPr>
          </w:p>
        </w:tc>
        <w:tc>
          <w:tcPr>
            <w:tcW w:w="2330" w:type="pct"/>
          </w:tcPr>
          <w:p w:rsidR="00F727E7" w:rsidRPr="00DB4F12" w:rsidRDefault="00F727E7" w:rsidP="00CF3230">
            <w:pPr>
              <w:jc w:val="both"/>
              <w:rPr>
                <w:sz w:val="20"/>
                <w:szCs w:val="20"/>
                <w:lang w:val="fr-CA"/>
              </w:rPr>
            </w:pPr>
            <w:r w:rsidRPr="00DB4F12">
              <w:rPr>
                <w:sz w:val="20"/>
                <w:szCs w:val="20"/>
                <w:lang w:val="fr-CA"/>
              </w:rPr>
              <w:t>Autorisation d'appel de la sentence de l'arbitre, refusée</w:t>
            </w:r>
          </w:p>
          <w:p w:rsidR="00F727E7" w:rsidRPr="00DB4F12" w:rsidRDefault="00F727E7" w:rsidP="00CF3230">
            <w:pPr>
              <w:jc w:val="both"/>
              <w:rPr>
                <w:sz w:val="20"/>
                <w:szCs w:val="20"/>
                <w:lang w:val="fr-CA"/>
              </w:rPr>
            </w:pPr>
          </w:p>
        </w:tc>
      </w:tr>
      <w:tr w:rsidR="00F727E7" w:rsidRPr="00DB4F12" w:rsidTr="000C49B2">
        <w:trPr>
          <w:cantSplit/>
        </w:trPr>
        <w:tc>
          <w:tcPr>
            <w:tcW w:w="2427" w:type="pct"/>
          </w:tcPr>
          <w:p w:rsidR="00F727E7" w:rsidRPr="00DB4F12" w:rsidRDefault="00F727E7" w:rsidP="00CF3230">
            <w:pPr>
              <w:jc w:val="both"/>
              <w:rPr>
                <w:sz w:val="20"/>
                <w:szCs w:val="20"/>
                <w:lang w:val="fr-CA"/>
              </w:rPr>
            </w:pPr>
            <w:r w:rsidRPr="00DB4F12">
              <w:rPr>
                <w:sz w:val="20"/>
                <w:szCs w:val="20"/>
                <w:lang w:val="fr-CA"/>
              </w:rPr>
              <w:lastRenderedPageBreak/>
              <w:t>14 mai 2010</w:t>
            </w:r>
          </w:p>
          <w:p w:rsidR="00F727E7" w:rsidRPr="00DB4F12" w:rsidRDefault="00F727E7" w:rsidP="00CF3230">
            <w:pPr>
              <w:jc w:val="both"/>
              <w:rPr>
                <w:sz w:val="20"/>
                <w:szCs w:val="20"/>
                <w:lang w:val="fr-CA"/>
              </w:rPr>
            </w:pPr>
            <w:r w:rsidRPr="00DB4F12">
              <w:rPr>
                <w:sz w:val="20"/>
                <w:szCs w:val="20"/>
                <w:lang w:val="fr-CA"/>
              </w:rPr>
              <w:t xml:space="preserve">Cour d'appel de la Colombie-Britannique </w:t>
            </w:r>
          </w:p>
          <w:p w:rsidR="00F727E7" w:rsidRPr="00DB4F12" w:rsidRDefault="00F727E7" w:rsidP="00CF3230">
            <w:pPr>
              <w:jc w:val="both"/>
              <w:rPr>
                <w:sz w:val="20"/>
                <w:szCs w:val="20"/>
                <w:lang w:val="fr-CA"/>
              </w:rPr>
            </w:pPr>
            <w:r w:rsidRPr="00DB4F12">
              <w:rPr>
                <w:sz w:val="20"/>
                <w:szCs w:val="20"/>
                <w:lang w:val="fr-CA"/>
              </w:rPr>
              <w:t>(Juges Newbury, Low et Levine)</w:t>
            </w:r>
          </w:p>
          <w:p w:rsidR="00F727E7" w:rsidRPr="00DB4F12" w:rsidRDefault="00F727E7" w:rsidP="00CF3230">
            <w:pPr>
              <w:jc w:val="both"/>
              <w:rPr>
                <w:sz w:val="20"/>
                <w:szCs w:val="20"/>
                <w:lang w:val="fr-CA"/>
              </w:rPr>
            </w:pPr>
            <w:r w:rsidRPr="00DB4F12">
              <w:rPr>
                <w:sz w:val="20"/>
                <w:szCs w:val="20"/>
                <w:lang w:val="fr-CA"/>
              </w:rPr>
              <w:t>2010 BCCA 239</w:t>
            </w:r>
          </w:p>
          <w:p w:rsidR="00F727E7" w:rsidRPr="00DB4F12" w:rsidRDefault="00F727E7" w:rsidP="00CF3230">
            <w:pPr>
              <w:jc w:val="both"/>
              <w:rPr>
                <w:sz w:val="20"/>
                <w:szCs w:val="20"/>
                <w:lang w:val="fr-CA"/>
              </w:rPr>
            </w:pPr>
          </w:p>
        </w:tc>
        <w:tc>
          <w:tcPr>
            <w:tcW w:w="243" w:type="pct"/>
          </w:tcPr>
          <w:p w:rsidR="00F727E7" w:rsidRPr="00DB4F12" w:rsidRDefault="00F727E7" w:rsidP="00CF3230">
            <w:pPr>
              <w:jc w:val="both"/>
              <w:rPr>
                <w:sz w:val="20"/>
                <w:szCs w:val="20"/>
                <w:lang w:val="fr-CA"/>
              </w:rPr>
            </w:pPr>
          </w:p>
        </w:tc>
        <w:tc>
          <w:tcPr>
            <w:tcW w:w="2330" w:type="pct"/>
          </w:tcPr>
          <w:p w:rsidR="00F727E7" w:rsidRPr="00DB4F12" w:rsidRDefault="00F727E7" w:rsidP="00CF3230">
            <w:pPr>
              <w:jc w:val="both"/>
              <w:rPr>
                <w:sz w:val="20"/>
                <w:szCs w:val="20"/>
                <w:lang w:val="fr-CA"/>
              </w:rPr>
            </w:pPr>
            <w:r w:rsidRPr="00DB4F12">
              <w:rPr>
                <w:sz w:val="20"/>
                <w:szCs w:val="20"/>
                <w:lang w:val="fr-CA"/>
              </w:rPr>
              <w:t>Appel accueilli</w:t>
            </w:r>
          </w:p>
          <w:p w:rsidR="00F727E7" w:rsidRPr="00DB4F12" w:rsidRDefault="00F727E7" w:rsidP="00CF3230">
            <w:pPr>
              <w:jc w:val="both"/>
              <w:rPr>
                <w:sz w:val="20"/>
                <w:szCs w:val="20"/>
                <w:lang w:val="fr-CA"/>
              </w:rPr>
            </w:pPr>
          </w:p>
        </w:tc>
      </w:tr>
      <w:tr w:rsidR="00F727E7" w:rsidRPr="00DB4F12" w:rsidTr="000C49B2">
        <w:trPr>
          <w:cantSplit/>
        </w:trPr>
        <w:tc>
          <w:tcPr>
            <w:tcW w:w="2427" w:type="pct"/>
          </w:tcPr>
          <w:p w:rsidR="00F727E7" w:rsidRPr="00DB4F12" w:rsidRDefault="00F727E7" w:rsidP="00CF3230">
            <w:pPr>
              <w:jc w:val="both"/>
              <w:rPr>
                <w:sz w:val="20"/>
                <w:szCs w:val="20"/>
                <w:lang w:val="fr-CA"/>
              </w:rPr>
            </w:pPr>
            <w:r w:rsidRPr="00DB4F12">
              <w:rPr>
                <w:sz w:val="20"/>
                <w:szCs w:val="20"/>
                <w:lang w:val="fr-CA"/>
              </w:rPr>
              <w:t>6 mai 2011</w:t>
            </w:r>
          </w:p>
          <w:p w:rsidR="00F727E7" w:rsidRPr="00DB4F12" w:rsidRDefault="00F727E7" w:rsidP="00CF3230">
            <w:pPr>
              <w:jc w:val="both"/>
              <w:rPr>
                <w:sz w:val="20"/>
                <w:szCs w:val="20"/>
                <w:lang w:val="fr-CA"/>
              </w:rPr>
            </w:pPr>
            <w:r w:rsidRPr="00DB4F12">
              <w:rPr>
                <w:sz w:val="20"/>
                <w:szCs w:val="20"/>
                <w:lang w:val="fr-CA"/>
              </w:rPr>
              <w:t xml:space="preserve">Cour suprême de la Colombie-Britannique </w:t>
            </w:r>
          </w:p>
          <w:p w:rsidR="00F727E7" w:rsidRPr="00DB4F12" w:rsidRDefault="00F727E7" w:rsidP="00CF3230">
            <w:pPr>
              <w:jc w:val="both"/>
              <w:rPr>
                <w:sz w:val="20"/>
                <w:szCs w:val="20"/>
                <w:lang w:val="fr-CA"/>
              </w:rPr>
            </w:pPr>
            <w:r w:rsidRPr="00DB4F12">
              <w:rPr>
                <w:sz w:val="20"/>
                <w:szCs w:val="20"/>
                <w:lang w:val="fr-CA"/>
              </w:rPr>
              <w:t>(Juge Armstrong)</w:t>
            </w:r>
          </w:p>
          <w:p w:rsidR="00F727E7" w:rsidRPr="00DB4F12" w:rsidRDefault="00F727E7" w:rsidP="00CF3230">
            <w:pPr>
              <w:jc w:val="both"/>
              <w:rPr>
                <w:sz w:val="20"/>
                <w:szCs w:val="20"/>
                <w:lang w:val="fr-CA"/>
              </w:rPr>
            </w:pPr>
            <w:r w:rsidRPr="00DB4F12">
              <w:rPr>
                <w:sz w:val="20"/>
                <w:szCs w:val="20"/>
                <w:lang w:val="fr-CA"/>
              </w:rPr>
              <w:t>2011 BCSC 597</w:t>
            </w:r>
          </w:p>
          <w:p w:rsidR="00F727E7" w:rsidRPr="00DB4F12" w:rsidRDefault="00F727E7" w:rsidP="00CF3230">
            <w:pPr>
              <w:jc w:val="both"/>
              <w:rPr>
                <w:sz w:val="20"/>
                <w:szCs w:val="20"/>
                <w:lang w:val="fr-CA"/>
              </w:rPr>
            </w:pPr>
          </w:p>
        </w:tc>
        <w:tc>
          <w:tcPr>
            <w:tcW w:w="243" w:type="pct"/>
          </w:tcPr>
          <w:p w:rsidR="00F727E7" w:rsidRPr="00DB4F12" w:rsidRDefault="00F727E7" w:rsidP="00CF3230">
            <w:pPr>
              <w:jc w:val="both"/>
              <w:rPr>
                <w:sz w:val="20"/>
                <w:szCs w:val="20"/>
                <w:lang w:val="fr-CA"/>
              </w:rPr>
            </w:pPr>
          </w:p>
        </w:tc>
        <w:tc>
          <w:tcPr>
            <w:tcW w:w="2330" w:type="pct"/>
          </w:tcPr>
          <w:p w:rsidR="00F727E7" w:rsidRPr="00DB4F12" w:rsidRDefault="00F727E7" w:rsidP="00CF3230">
            <w:pPr>
              <w:jc w:val="both"/>
              <w:rPr>
                <w:sz w:val="20"/>
                <w:szCs w:val="20"/>
                <w:lang w:val="fr-CA"/>
              </w:rPr>
            </w:pPr>
            <w:r w:rsidRPr="00DB4F12">
              <w:rPr>
                <w:sz w:val="20"/>
                <w:szCs w:val="20"/>
                <w:lang w:val="fr-CA"/>
              </w:rPr>
              <w:t>Appel rejeté</w:t>
            </w:r>
          </w:p>
          <w:p w:rsidR="00F727E7" w:rsidRPr="00DB4F12" w:rsidRDefault="00F727E7" w:rsidP="00CF3230">
            <w:pPr>
              <w:jc w:val="both"/>
              <w:rPr>
                <w:sz w:val="20"/>
                <w:szCs w:val="20"/>
                <w:lang w:val="fr-CA"/>
              </w:rPr>
            </w:pPr>
          </w:p>
        </w:tc>
      </w:tr>
      <w:tr w:rsidR="00F727E7" w:rsidRPr="00DB4F12" w:rsidTr="000C49B2">
        <w:trPr>
          <w:cantSplit/>
        </w:trPr>
        <w:tc>
          <w:tcPr>
            <w:tcW w:w="2427" w:type="pct"/>
          </w:tcPr>
          <w:p w:rsidR="00F727E7" w:rsidRPr="00DB4F12" w:rsidRDefault="00F727E7" w:rsidP="00CF3230">
            <w:pPr>
              <w:jc w:val="both"/>
              <w:rPr>
                <w:sz w:val="20"/>
                <w:szCs w:val="20"/>
                <w:lang w:val="fr-CA"/>
              </w:rPr>
            </w:pPr>
            <w:r w:rsidRPr="00DB4F12">
              <w:rPr>
                <w:sz w:val="20"/>
                <w:szCs w:val="20"/>
                <w:lang w:val="fr-CA"/>
              </w:rPr>
              <w:t>7 août 2012</w:t>
            </w:r>
          </w:p>
          <w:p w:rsidR="00F727E7" w:rsidRPr="00DB4F12" w:rsidRDefault="00F727E7" w:rsidP="00CF3230">
            <w:pPr>
              <w:jc w:val="both"/>
              <w:rPr>
                <w:sz w:val="20"/>
                <w:szCs w:val="20"/>
                <w:lang w:val="fr-CA"/>
              </w:rPr>
            </w:pPr>
            <w:r w:rsidRPr="00DB4F12">
              <w:rPr>
                <w:sz w:val="20"/>
                <w:szCs w:val="20"/>
                <w:lang w:val="fr-CA"/>
              </w:rPr>
              <w:t xml:space="preserve">Cour d'appel de la Colombie-Britannique </w:t>
            </w:r>
          </w:p>
          <w:p w:rsidR="00F727E7" w:rsidRPr="00DB4F12" w:rsidRDefault="00F727E7" w:rsidP="00CF3230">
            <w:pPr>
              <w:jc w:val="both"/>
              <w:rPr>
                <w:sz w:val="20"/>
                <w:szCs w:val="20"/>
                <w:lang w:val="fr-CA"/>
              </w:rPr>
            </w:pPr>
            <w:r w:rsidRPr="00DB4F12">
              <w:rPr>
                <w:sz w:val="20"/>
                <w:szCs w:val="20"/>
                <w:lang w:val="fr-CA"/>
              </w:rPr>
              <w:t>(Juges Kirkpatrick, Neilson et Bennett)</w:t>
            </w:r>
          </w:p>
          <w:p w:rsidR="00F727E7" w:rsidRPr="00DB4F12" w:rsidRDefault="00F727E7" w:rsidP="00CF3230">
            <w:pPr>
              <w:jc w:val="both"/>
              <w:rPr>
                <w:sz w:val="20"/>
                <w:szCs w:val="20"/>
                <w:lang w:val="fr-CA"/>
              </w:rPr>
            </w:pPr>
            <w:r w:rsidRPr="00DB4F12">
              <w:rPr>
                <w:sz w:val="20"/>
                <w:szCs w:val="20"/>
                <w:lang w:val="fr-CA"/>
              </w:rPr>
              <w:t>2012 BCCA 329</w:t>
            </w:r>
          </w:p>
          <w:p w:rsidR="00F727E7" w:rsidRPr="00DB4F12" w:rsidRDefault="00F727E7" w:rsidP="00CF3230">
            <w:pPr>
              <w:jc w:val="both"/>
              <w:rPr>
                <w:sz w:val="20"/>
                <w:szCs w:val="20"/>
                <w:lang w:val="fr-CA"/>
              </w:rPr>
            </w:pPr>
          </w:p>
        </w:tc>
        <w:tc>
          <w:tcPr>
            <w:tcW w:w="243" w:type="pct"/>
          </w:tcPr>
          <w:p w:rsidR="00F727E7" w:rsidRPr="00DB4F12" w:rsidRDefault="00F727E7" w:rsidP="00CF3230">
            <w:pPr>
              <w:jc w:val="both"/>
              <w:rPr>
                <w:sz w:val="20"/>
                <w:szCs w:val="20"/>
                <w:lang w:val="fr-CA"/>
              </w:rPr>
            </w:pPr>
          </w:p>
        </w:tc>
        <w:tc>
          <w:tcPr>
            <w:tcW w:w="2330" w:type="pct"/>
          </w:tcPr>
          <w:p w:rsidR="00F727E7" w:rsidRPr="00DB4F12" w:rsidRDefault="00F727E7" w:rsidP="00CF3230">
            <w:pPr>
              <w:jc w:val="both"/>
              <w:rPr>
                <w:sz w:val="20"/>
                <w:szCs w:val="20"/>
                <w:lang w:val="fr-CA"/>
              </w:rPr>
            </w:pPr>
            <w:r w:rsidRPr="00DB4F12">
              <w:rPr>
                <w:sz w:val="20"/>
                <w:szCs w:val="20"/>
                <w:lang w:val="fr-CA"/>
              </w:rPr>
              <w:t>Appel accueilli</w:t>
            </w:r>
          </w:p>
          <w:p w:rsidR="00F727E7" w:rsidRPr="00DB4F12" w:rsidRDefault="00F727E7" w:rsidP="00CF3230">
            <w:pPr>
              <w:jc w:val="both"/>
              <w:rPr>
                <w:sz w:val="20"/>
                <w:szCs w:val="20"/>
                <w:lang w:val="fr-CA"/>
              </w:rPr>
            </w:pPr>
          </w:p>
        </w:tc>
      </w:tr>
      <w:tr w:rsidR="00F727E7" w:rsidRPr="00462F49" w:rsidTr="000C49B2">
        <w:trPr>
          <w:cantSplit/>
        </w:trPr>
        <w:tc>
          <w:tcPr>
            <w:tcW w:w="2427" w:type="pct"/>
          </w:tcPr>
          <w:p w:rsidR="00F727E7" w:rsidRPr="00DB4F12" w:rsidRDefault="00F727E7" w:rsidP="00CF3230">
            <w:pPr>
              <w:jc w:val="both"/>
              <w:rPr>
                <w:sz w:val="20"/>
                <w:szCs w:val="20"/>
                <w:lang w:val="fr-CA"/>
              </w:rPr>
            </w:pPr>
            <w:r w:rsidRPr="00DB4F12">
              <w:rPr>
                <w:sz w:val="20"/>
                <w:szCs w:val="20"/>
                <w:lang w:val="fr-CA"/>
              </w:rPr>
              <w:t>9 octobre 2012</w:t>
            </w:r>
          </w:p>
          <w:p w:rsidR="00F727E7" w:rsidRPr="00DB4F12" w:rsidRDefault="00F727E7" w:rsidP="00CF3230">
            <w:pPr>
              <w:jc w:val="both"/>
              <w:rPr>
                <w:sz w:val="20"/>
                <w:szCs w:val="20"/>
                <w:lang w:val="fr-CA"/>
              </w:rPr>
            </w:pPr>
            <w:r w:rsidRPr="00DB4F12">
              <w:rPr>
                <w:sz w:val="20"/>
                <w:szCs w:val="20"/>
                <w:lang w:val="fr-CA"/>
              </w:rPr>
              <w:t>Cour suprême du Canada</w:t>
            </w:r>
          </w:p>
        </w:tc>
        <w:tc>
          <w:tcPr>
            <w:tcW w:w="243" w:type="pct"/>
          </w:tcPr>
          <w:p w:rsidR="00F727E7" w:rsidRPr="00DB4F12" w:rsidRDefault="00F727E7" w:rsidP="00CF3230">
            <w:pPr>
              <w:jc w:val="both"/>
              <w:rPr>
                <w:sz w:val="20"/>
                <w:szCs w:val="20"/>
                <w:lang w:val="fr-CA"/>
              </w:rPr>
            </w:pPr>
          </w:p>
        </w:tc>
        <w:tc>
          <w:tcPr>
            <w:tcW w:w="2330" w:type="pct"/>
          </w:tcPr>
          <w:p w:rsidR="00F727E7" w:rsidRPr="00DB4F12" w:rsidRDefault="00F727E7" w:rsidP="00CF3230">
            <w:pPr>
              <w:jc w:val="both"/>
              <w:rPr>
                <w:sz w:val="20"/>
                <w:szCs w:val="20"/>
                <w:lang w:val="fr-CA"/>
              </w:rPr>
            </w:pPr>
            <w:r w:rsidRPr="00DB4F12">
              <w:rPr>
                <w:sz w:val="20"/>
                <w:szCs w:val="20"/>
                <w:lang w:val="fr-CA"/>
              </w:rPr>
              <w:t>Demande d'autorisation d'appel et requête en prolongation de délai, déposées</w:t>
            </w:r>
          </w:p>
        </w:tc>
      </w:tr>
    </w:tbl>
    <w:p w:rsidR="003101AB" w:rsidRPr="00F727E7" w:rsidRDefault="003101AB" w:rsidP="003101AB">
      <w:pPr>
        <w:rPr>
          <w:sz w:val="20"/>
          <w:szCs w:val="20"/>
          <w:lang w:val="fr-CA"/>
        </w:rPr>
      </w:pPr>
    </w:p>
    <w:p w:rsidR="003101AB" w:rsidRDefault="003F21C7" w:rsidP="003101AB">
      <w:pPr>
        <w:rPr>
          <w:sz w:val="20"/>
          <w:szCs w:val="20"/>
          <w:lang w:val="fr-CA"/>
        </w:rPr>
      </w:pPr>
      <w:r w:rsidRPr="003F21C7">
        <w:rPr>
          <w:sz w:val="20"/>
          <w:szCs w:val="20"/>
          <w:lang w:val="fr-CA"/>
        </w:rPr>
        <w:pict>
          <v:rect id="_x0000_i1049" style="width:2in;height:1pt" o:hrpct="0" o:hralign="center" o:hrstd="t" o:hrnoshade="t" o:hr="t" fillcolor="black [3213]" stroked="f"/>
        </w:pict>
      </w:r>
    </w:p>
    <w:p w:rsidR="003101AB" w:rsidRDefault="003101AB" w:rsidP="003101A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63885" w:rsidRPr="00A47DB1" w:rsidTr="00DD7751">
        <w:trPr>
          <w:cantSplit/>
        </w:trPr>
        <w:tc>
          <w:tcPr>
            <w:tcW w:w="1458" w:type="dxa"/>
          </w:tcPr>
          <w:p w:rsidR="00263885" w:rsidRPr="00A47DB1" w:rsidRDefault="00263885" w:rsidP="00DD7751">
            <w:pPr>
              <w:rPr>
                <w:sz w:val="20"/>
                <w:szCs w:val="20"/>
              </w:rPr>
            </w:pPr>
            <w:r w:rsidRPr="00A47DB1">
              <w:rPr>
                <w:rStyle w:val="SCCFileNumberChar"/>
                <w:sz w:val="20"/>
                <w:szCs w:val="20"/>
              </w:rPr>
              <w:t>35034</w:t>
            </w:r>
          </w:p>
          <w:p w:rsidR="00263885" w:rsidRPr="00A47DB1" w:rsidRDefault="00263885" w:rsidP="00DD7751">
            <w:pPr>
              <w:rPr>
                <w:b/>
                <w:sz w:val="20"/>
                <w:szCs w:val="20"/>
                <w:lang w:val="fr-CA"/>
              </w:rPr>
            </w:pPr>
          </w:p>
        </w:tc>
        <w:tc>
          <w:tcPr>
            <w:tcW w:w="8118" w:type="dxa"/>
          </w:tcPr>
          <w:p w:rsidR="00263885" w:rsidRPr="00A47DB1" w:rsidRDefault="00263885" w:rsidP="00263885">
            <w:pPr>
              <w:jc w:val="both"/>
              <w:rPr>
                <w:sz w:val="20"/>
                <w:szCs w:val="20"/>
              </w:rPr>
            </w:pPr>
            <w:r w:rsidRPr="00A47DB1">
              <w:rPr>
                <w:rStyle w:val="SCCLsocChar"/>
                <w:sz w:val="20"/>
                <w:szCs w:val="20"/>
                <w:lang w:val="en-CA"/>
              </w:rPr>
              <w:t>Estate of the Late Zahra (Ziba) Kazemi</w:t>
            </w:r>
            <w:r>
              <w:rPr>
                <w:rStyle w:val="SCCLsocChar"/>
                <w:sz w:val="20"/>
                <w:szCs w:val="20"/>
                <w:lang w:val="en-CA"/>
              </w:rPr>
              <w:t xml:space="preserve"> and </w:t>
            </w:r>
            <w:r w:rsidRPr="00A47DB1">
              <w:rPr>
                <w:rStyle w:val="SCCLsocChar"/>
                <w:sz w:val="20"/>
                <w:szCs w:val="20"/>
                <w:lang w:val="en-CA"/>
              </w:rPr>
              <w:t>Stephan (Salman) Hashemi v. Islamic Republic of Iran, Ayatollah Sayyid Ali Khamenei, Saeed Mortazavi, Mohammad Bakhshi</w:t>
            </w:r>
            <w:r>
              <w:rPr>
                <w:rStyle w:val="SCCLsocChar"/>
                <w:sz w:val="20"/>
                <w:szCs w:val="20"/>
                <w:lang w:val="en-CA"/>
              </w:rPr>
              <w:t xml:space="preserve"> and</w:t>
            </w:r>
            <w:r w:rsidRPr="00A47DB1">
              <w:rPr>
                <w:rStyle w:val="SCCLsocChar"/>
                <w:sz w:val="20"/>
                <w:szCs w:val="20"/>
                <w:lang w:val="en-CA"/>
              </w:rPr>
              <w:t xml:space="preserve"> Attorney General of Canada</w:t>
            </w:r>
            <w:r w:rsidRPr="00A47DB1">
              <w:rPr>
                <w:sz w:val="20"/>
                <w:szCs w:val="20"/>
              </w:rPr>
              <w:t xml:space="preserve"> (Que.) (Civil) (By Leave)</w:t>
            </w:r>
          </w:p>
          <w:p w:rsidR="00263885" w:rsidRPr="00A47DB1" w:rsidRDefault="00263885" w:rsidP="00263885">
            <w:pPr>
              <w:jc w:val="both"/>
              <w:rPr>
                <w:sz w:val="20"/>
                <w:szCs w:val="20"/>
              </w:rPr>
            </w:pPr>
          </w:p>
        </w:tc>
      </w:tr>
      <w:tr w:rsidR="00263885" w:rsidRPr="00A47DB1" w:rsidTr="00DD7751">
        <w:trPr>
          <w:cantSplit/>
        </w:trPr>
        <w:tc>
          <w:tcPr>
            <w:tcW w:w="1458" w:type="dxa"/>
          </w:tcPr>
          <w:p w:rsidR="00263885" w:rsidRPr="00A47DB1" w:rsidRDefault="00263885" w:rsidP="00DD7751">
            <w:pPr>
              <w:rPr>
                <w:sz w:val="20"/>
                <w:szCs w:val="20"/>
              </w:rPr>
            </w:pPr>
            <w:r w:rsidRPr="00A47DB1">
              <w:rPr>
                <w:sz w:val="20"/>
                <w:szCs w:val="20"/>
              </w:rPr>
              <w:t>Coram :</w:t>
            </w:r>
          </w:p>
        </w:tc>
        <w:tc>
          <w:tcPr>
            <w:tcW w:w="8118" w:type="dxa"/>
          </w:tcPr>
          <w:p w:rsidR="00263885" w:rsidRPr="00A47DB1" w:rsidRDefault="00263885" w:rsidP="00DD7751">
            <w:pPr>
              <w:rPr>
                <w:sz w:val="20"/>
                <w:szCs w:val="20"/>
              </w:rPr>
            </w:pPr>
            <w:r w:rsidRPr="00A47DB1">
              <w:rPr>
                <w:rStyle w:val="SCCCoramChar"/>
                <w:sz w:val="20"/>
                <w:szCs w:val="20"/>
                <w:lang w:val="en-CA"/>
              </w:rPr>
              <w:t>McLachlin C.J. and Abella and Cromwell JJ.</w:t>
            </w:r>
          </w:p>
          <w:p w:rsidR="00263885" w:rsidRPr="00A47DB1" w:rsidRDefault="00263885" w:rsidP="00DD7751">
            <w:pPr>
              <w:rPr>
                <w:sz w:val="20"/>
                <w:szCs w:val="20"/>
                <w:u w:val="single"/>
              </w:rPr>
            </w:pPr>
          </w:p>
        </w:tc>
      </w:tr>
      <w:tr w:rsidR="00263885" w:rsidRPr="00462F49" w:rsidTr="00DD7751">
        <w:trPr>
          <w:cantSplit/>
        </w:trPr>
        <w:tc>
          <w:tcPr>
            <w:tcW w:w="9576" w:type="dxa"/>
            <w:gridSpan w:val="2"/>
          </w:tcPr>
          <w:p w:rsidR="00263885" w:rsidRPr="00A47DB1" w:rsidRDefault="00263885" w:rsidP="00DD7751">
            <w:pPr>
              <w:pStyle w:val="SCCShortJudgment"/>
              <w:rPr>
                <w:szCs w:val="20"/>
              </w:rPr>
            </w:pPr>
            <w:r w:rsidRPr="00A47DB1">
              <w:rPr>
                <w:szCs w:val="20"/>
              </w:rPr>
              <w:t>The application for leave to appeal from the judgment of the Court of Appeal of Quebec (Montréal), Numbers 500-09-021440-110 and 500-09-021457-114, 2012 QCCA 1449, dated August 15, 2012, is granted with costs in the cause.</w:t>
            </w:r>
          </w:p>
          <w:p w:rsidR="00263885" w:rsidRPr="00A47DB1" w:rsidRDefault="00263885" w:rsidP="00DD7751">
            <w:pPr>
              <w:pStyle w:val="SCCShortJudgment"/>
              <w:ind w:firstLine="0"/>
              <w:rPr>
                <w:szCs w:val="20"/>
              </w:rPr>
            </w:pPr>
          </w:p>
          <w:p w:rsidR="00263885" w:rsidRPr="00A47DB1" w:rsidRDefault="00263885" w:rsidP="00263885">
            <w:pPr>
              <w:pStyle w:val="SCCShortJudgment"/>
              <w:rPr>
                <w:szCs w:val="20"/>
                <w:lang w:val="fr-CA"/>
              </w:rPr>
            </w:pPr>
            <w:r w:rsidRPr="00A47DB1">
              <w:rPr>
                <w:szCs w:val="20"/>
                <w:lang w:val="fr-CA"/>
              </w:rPr>
              <w:t>La demande d’autorisation d’appel de l’arrêt de la Cour d’appel du Québec (Montréal), numéros 500-09-021440-110 et 500-09-021457-114, 2012 QCCA 1449, daté du 15 août 2012, est accueillie avec dépens suivant l’issue de la cause.</w:t>
            </w:r>
          </w:p>
        </w:tc>
      </w:tr>
    </w:tbl>
    <w:p w:rsidR="003101AB" w:rsidRPr="00263885" w:rsidRDefault="003101AB" w:rsidP="003101AB">
      <w:pPr>
        <w:rPr>
          <w:sz w:val="20"/>
          <w:szCs w:val="20"/>
          <w:lang w:val="fr-CA"/>
        </w:rPr>
      </w:pPr>
    </w:p>
    <w:p w:rsidR="003101AB" w:rsidRPr="001B157C" w:rsidRDefault="003101AB" w:rsidP="003101AB">
      <w:pPr>
        <w:rPr>
          <w:sz w:val="20"/>
          <w:szCs w:val="20"/>
          <w:u w:val="single"/>
        </w:rPr>
      </w:pPr>
      <w:r w:rsidRPr="001B157C">
        <w:rPr>
          <w:sz w:val="20"/>
          <w:szCs w:val="20"/>
          <w:u w:val="single"/>
        </w:rPr>
        <w:t>CASE SUMMARY</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727E7" w:rsidRPr="00DB4F12" w:rsidTr="00CF3230">
        <w:tc>
          <w:tcPr>
            <w:tcW w:w="5000" w:type="pct"/>
            <w:gridSpan w:val="3"/>
          </w:tcPr>
          <w:p w:rsidR="00F727E7" w:rsidRPr="00DB4F12" w:rsidRDefault="00F727E7" w:rsidP="00CF3230">
            <w:pPr>
              <w:jc w:val="both"/>
              <w:rPr>
                <w:sz w:val="20"/>
                <w:szCs w:val="20"/>
              </w:rPr>
            </w:pPr>
            <w:r w:rsidRPr="00DB4F12">
              <w:rPr>
                <w:i/>
                <w:sz w:val="20"/>
                <w:szCs w:val="20"/>
              </w:rPr>
              <w:t>Canadian Charter of Rights and Freedoms</w:t>
            </w:r>
            <w:r w:rsidRPr="00DB4F12">
              <w:rPr>
                <w:sz w:val="20"/>
                <w:szCs w:val="20"/>
              </w:rPr>
              <w:t xml:space="preserve"> – Public International Law – Jurisdictional immunity – Applicants beginning legal proceedings in Quebec against Iran, Iranian Head of State and other state officials in relation to alleged detention, torture and death of Canadian citizen in Iran – Defendants bringing motion to dismiss action as barred by </w:t>
            </w:r>
            <w:r w:rsidRPr="00DB4F12">
              <w:rPr>
                <w:i/>
                <w:sz w:val="20"/>
                <w:szCs w:val="20"/>
              </w:rPr>
              <w:t>State Immunity Act</w:t>
            </w:r>
            <w:r w:rsidRPr="00DB4F12">
              <w:rPr>
                <w:sz w:val="20"/>
                <w:szCs w:val="20"/>
              </w:rPr>
              <w:t xml:space="preserve"> – Whether </w:t>
            </w:r>
            <w:r w:rsidRPr="00DB4F12">
              <w:rPr>
                <w:i/>
                <w:sz w:val="20"/>
                <w:szCs w:val="20"/>
              </w:rPr>
              <w:t xml:space="preserve">State Immunity Act </w:t>
            </w:r>
            <w:r w:rsidRPr="00DB4F12">
              <w:rPr>
                <w:sz w:val="20"/>
                <w:szCs w:val="20"/>
              </w:rPr>
              <w:t xml:space="preserve">bars civil actions initiated in Canada against a foreign State for acts of torture – Whether Canada’s obligation under United Nations </w:t>
            </w:r>
            <w:r w:rsidRPr="00DB4F12">
              <w:rPr>
                <w:i/>
                <w:sz w:val="20"/>
                <w:szCs w:val="20"/>
              </w:rPr>
              <w:t>Convention against Torture and other Cruel, Inhuman or Degrading Treatment or Punishment</w:t>
            </w:r>
            <w:r w:rsidRPr="00DB4F12">
              <w:rPr>
                <w:sz w:val="20"/>
                <w:szCs w:val="20"/>
              </w:rPr>
              <w:t xml:space="preserve"> requires it to provide civil remedy to victims of torture occurring in foreign state – Whether s. 3(1) of </w:t>
            </w:r>
            <w:r w:rsidRPr="00DB4F12">
              <w:rPr>
                <w:i/>
                <w:sz w:val="20"/>
                <w:szCs w:val="20"/>
              </w:rPr>
              <w:t>State Immunity Act</w:t>
            </w:r>
            <w:r w:rsidRPr="00DB4F12">
              <w:rPr>
                <w:sz w:val="20"/>
                <w:szCs w:val="20"/>
              </w:rPr>
              <w:t xml:space="preserve"> infringes s. 2(e) of </w:t>
            </w:r>
            <w:r w:rsidRPr="00DB4F12">
              <w:rPr>
                <w:i/>
                <w:sz w:val="20"/>
                <w:szCs w:val="20"/>
              </w:rPr>
              <w:t>Bill of Rights</w:t>
            </w:r>
            <w:r w:rsidRPr="00DB4F12">
              <w:rPr>
                <w:sz w:val="20"/>
                <w:szCs w:val="20"/>
              </w:rPr>
              <w:t xml:space="preserve"> or s. 7 of the </w:t>
            </w:r>
            <w:r w:rsidRPr="00DB4F12">
              <w:rPr>
                <w:i/>
                <w:sz w:val="20"/>
                <w:szCs w:val="20"/>
              </w:rPr>
              <w:t>Charter</w:t>
            </w:r>
            <w:r w:rsidRPr="00DB4F12">
              <w:rPr>
                <w:sz w:val="20"/>
                <w:szCs w:val="20"/>
              </w:rPr>
              <w:t xml:space="preserve"> by barring proceedings filed by Applicants – Whether the psychological harm caused to a victim of torture by inability to seek redress is sufficient to attract protection of s. 7 of </w:t>
            </w:r>
            <w:r w:rsidRPr="00DB4F12">
              <w:rPr>
                <w:i/>
                <w:sz w:val="20"/>
                <w:szCs w:val="20"/>
              </w:rPr>
              <w:t>Charter</w:t>
            </w:r>
            <w:r w:rsidRPr="00DB4F12">
              <w:rPr>
                <w:sz w:val="20"/>
                <w:szCs w:val="20"/>
              </w:rPr>
              <w:t xml:space="preserve"> – Whether jurisdictional bar created by s. 3(1) of State Immunity Act is compatible with principles of fundamental justice enshrined in </w:t>
            </w:r>
            <w:r w:rsidRPr="00DB4F12">
              <w:rPr>
                <w:i/>
                <w:sz w:val="20"/>
                <w:szCs w:val="20"/>
              </w:rPr>
              <w:t>Bill of Rights</w:t>
            </w:r>
            <w:r w:rsidRPr="00DB4F12">
              <w:rPr>
                <w:sz w:val="20"/>
                <w:szCs w:val="20"/>
              </w:rPr>
              <w:t xml:space="preserve"> and </w:t>
            </w:r>
            <w:r w:rsidRPr="00DB4F12">
              <w:rPr>
                <w:i/>
                <w:sz w:val="20"/>
                <w:szCs w:val="20"/>
              </w:rPr>
              <w:t>Charter</w:t>
            </w:r>
            <w:r w:rsidRPr="00DB4F12">
              <w:rPr>
                <w:sz w:val="20"/>
                <w:szCs w:val="20"/>
              </w:rPr>
              <w:t xml:space="preserve"> – Whether the Court of Appeal erred in determining that state immunity applies to lower level state officials allegedly responsible for acts of torture – </w:t>
            </w:r>
            <w:r w:rsidRPr="00DB4F12">
              <w:rPr>
                <w:i/>
                <w:sz w:val="20"/>
                <w:szCs w:val="20"/>
              </w:rPr>
              <w:t>Canadian Bill of Rights</w:t>
            </w:r>
            <w:r w:rsidRPr="00DB4F12">
              <w:rPr>
                <w:sz w:val="20"/>
                <w:szCs w:val="20"/>
              </w:rPr>
              <w:t xml:space="preserve">, S.C. 1960, c. 44, ss. 2(e) – </w:t>
            </w:r>
            <w:r w:rsidRPr="00DB4F12">
              <w:rPr>
                <w:i/>
                <w:sz w:val="20"/>
                <w:szCs w:val="20"/>
              </w:rPr>
              <w:t>State Immunity Act</w:t>
            </w:r>
            <w:r w:rsidRPr="00DB4F12">
              <w:rPr>
                <w:sz w:val="20"/>
                <w:szCs w:val="20"/>
              </w:rPr>
              <w:t xml:space="preserve">, R.S.C., 1985, c. S-18, ss. 3 and 6 – </w:t>
            </w:r>
            <w:r w:rsidRPr="00DB4F12">
              <w:rPr>
                <w:i/>
                <w:sz w:val="20"/>
                <w:szCs w:val="20"/>
              </w:rPr>
              <w:t>Convention against Torture and other Cruel, Inhuman or Degrading Treatment or Punishment</w:t>
            </w:r>
            <w:r w:rsidRPr="00DB4F12">
              <w:rPr>
                <w:sz w:val="20"/>
                <w:szCs w:val="20"/>
              </w:rPr>
              <w:t>, 1465 U.N.T.S. 85</w:t>
            </w:r>
          </w:p>
        </w:tc>
      </w:tr>
      <w:tr w:rsidR="00F727E7" w:rsidRPr="00DB4F12" w:rsidTr="00CF3230">
        <w:tc>
          <w:tcPr>
            <w:tcW w:w="5000" w:type="pct"/>
            <w:gridSpan w:val="3"/>
          </w:tcPr>
          <w:p w:rsidR="00F727E7" w:rsidRPr="00DB4F12" w:rsidRDefault="00F727E7" w:rsidP="00CF3230">
            <w:pPr>
              <w:jc w:val="both"/>
              <w:rPr>
                <w:sz w:val="20"/>
                <w:szCs w:val="20"/>
              </w:rPr>
            </w:pPr>
          </w:p>
        </w:tc>
      </w:tr>
      <w:tr w:rsidR="00F727E7" w:rsidRPr="00DB4F12" w:rsidTr="00CF3230">
        <w:tc>
          <w:tcPr>
            <w:tcW w:w="5000" w:type="pct"/>
            <w:gridSpan w:val="3"/>
          </w:tcPr>
          <w:p w:rsidR="00F727E7" w:rsidRPr="00DB4F12" w:rsidRDefault="00F727E7" w:rsidP="00CF3230">
            <w:pPr>
              <w:jc w:val="both"/>
              <w:rPr>
                <w:sz w:val="20"/>
                <w:szCs w:val="20"/>
              </w:rPr>
            </w:pPr>
            <w:r w:rsidRPr="00DB4F12">
              <w:rPr>
                <w:sz w:val="20"/>
                <w:szCs w:val="20"/>
              </w:rPr>
              <w:t xml:space="preserve">In 2003, Zahra Kazemi, a Canadian citizen, was allegedly arrested, detained, tortured and killed by State authorities in Iran. Against the wishes of her family and of Canadian authorities, her remains were buried in Iran. </w:t>
            </w:r>
          </w:p>
          <w:p w:rsidR="00F727E7" w:rsidRPr="00DB4F12" w:rsidRDefault="00F727E7" w:rsidP="00CF3230">
            <w:pPr>
              <w:jc w:val="both"/>
              <w:rPr>
                <w:sz w:val="20"/>
                <w:szCs w:val="20"/>
              </w:rPr>
            </w:pPr>
          </w:p>
          <w:p w:rsidR="00F727E7" w:rsidRPr="00DB4F12" w:rsidRDefault="00F727E7" w:rsidP="00CF3230">
            <w:pPr>
              <w:jc w:val="both"/>
              <w:rPr>
                <w:sz w:val="20"/>
                <w:szCs w:val="20"/>
              </w:rPr>
            </w:pPr>
            <w:r w:rsidRPr="00DB4F12">
              <w:rPr>
                <w:sz w:val="20"/>
                <w:szCs w:val="20"/>
              </w:rPr>
              <w:t xml:space="preserve">Her son, Stephan Hashemi, acting in his capacity as liquidator of his mother’s estate as well as in his personal capacity subsequently filed a civil liability claim in Quebec against Iran, the Head of State, the Chief Public Prosecutor as well as the former Deputy Chief of Intelligence for the prison in which Mrs. Kazemi was held.  The claims of the Estate were for damages for the pain and suffering of Mrs. Kazemi in relation to her abuse, sexual assault, torture and death.  The claim filed by Mr. Hashemi in his personal capacity sought damages for his pain and suffering provoked by the arrest, torture and death of his mother.  Exemplary and punitive damages were also sought by the Estate and by Mr. Hashemi for the alleged unlawful and intentional interference with the rights and freedoms of both Mrs. Kazemi and her son.  Lastly, the action sought an order that the respondents be required to disinter and release Mrs. Kazami’s remains so that they may be returned to Canada for an autopsy and burial. </w:t>
            </w:r>
          </w:p>
          <w:p w:rsidR="00F727E7" w:rsidRPr="00DB4F12" w:rsidRDefault="00F727E7" w:rsidP="00CF3230">
            <w:pPr>
              <w:jc w:val="both"/>
              <w:rPr>
                <w:sz w:val="20"/>
                <w:szCs w:val="20"/>
              </w:rPr>
            </w:pPr>
          </w:p>
          <w:p w:rsidR="00F727E7" w:rsidRPr="00DB4F12" w:rsidRDefault="00F727E7" w:rsidP="00CF3230">
            <w:pPr>
              <w:jc w:val="both"/>
              <w:rPr>
                <w:sz w:val="20"/>
                <w:szCs w:val="20"/>
              </w:rPr>
            </w:pPr>
            <w:r w:rsidRPr="00DB4F12">
              <w:rPr>
                <w:sz w:val="20"/>
                <w:szCs w:val="20"/>
              </w:rPr>
              <w:t xml:space="preserve">The respondents brought a motion to dismiss the action on the ground that the suit was unfounded in law, alleging that the action was barred due to the application of s. 3 of the </w:t>
            </w:r>
            <w:r w:rsidRPr="00DB4F12">
              <w:rPr>
                <w:i/>
                <w:sz w:val="20"/>
                <w:szCs w:val="20"/>
              </w:rPr>
              <w:t>State Immunity Act of Canada</w:t>
            </w:r>
            <w:r w:rsidRPr="00DB4F12">
              <w:rPr>
                <w:sz w:val="20"/>
                <w:szCs w:val="20"/>
              </w:rPr>
              <w:t xml:space="preserve">, R.S.C. 1985 c. S-18 (“SIA”) which, as a general principle, prohibits lawsuits against foreign States before Canadian courts.  Mr. Hashemi and the Estate countered with a constitutional challenge alleging that, if the </w:t>
            </w:r>
            <w:r w:rsidRPr="00DB4F12">
              <w:rPr>
                <w:i/>
                <w:sz w:val="20"/>
                <w:szCs w:val="20"/>
              </w:rPr>
              <w:t>State Immunity Act</w:t>
            </w:r>
            <w:r w:rsidRPr="00DB4F12">
              <w:rPr>
                <w:sz w:val="20"/>
                <w:szCs w:val="20"/>
              </w:rPr>
              <w:t xml:space="preserve"> barred their claims, that Act was contrary to s. 2(e) of the </w:t>
            </w:r>
            <w:r w:rsidRPr="00DB4F12">
              <w:rPr>
                <w:i/>
                <w:sz w:val="20"/>
                <w:szCs w:val="20"/>
              </w:rPr>
              <w:t>Canadian Bill of Rights</w:t>
            </w:r>
            <w:r w:rsidRPr="00DB4F12">
              <w:rPr>
                <w:sz w:val="20"/>
                <w:szCs w:val="20"/>
              </w:rPr>
              <w:t xml:space="preserve"> as well as s. 7 of the </w:t>
            </w:r>
            <w:r w:rsidRPr="00DB4F12">
              <w:rPr>
                <w:i/>
                <w:sz w:val="20"/>
                <w:szCs w:val="20"/>
              </w:rPr>
              <w:t xml:space="preserve">Charter </w:t>
            </w:r>
            <w:r w:rsidRPr="00DB4F12">
              <w:rPr>
                <w:sz w:val="20"/>
                <w:szCs w:val="20"/>
              </w:rPr>
              <w:t xml:space="preserve">insofar as it would deprive them of the right to seek a civil remedy against Iran in Canada.  </w:t>
            </w:r>
          </w:p>
          <w:p w:rsidR="00F727E7" w:rsidRPr="00DB4F12" w:rsidRDefault="00F727E7" w:rsidP="00CF3230">
            <w:pPr>
              <w:jc w:val="both"/>
              <w:rPr>
                <w:sz w:val="20"/>
                <w:szCs w:val="20"/>
              </w:rPr>
            </w:pPr>
          </w:p>
        </w:tc>
      </w:tr>
      <w:tr w:rsidR="00F727E7" w:rsidRPr="00DB4F12" w:rsidTr="00CF3230">
        <w:tc>
          <w:tcPr>
            <w:tcW w:w="2427" w:type="pct"/>
          </w:tcPr>
          <w:p w:rsidR="00F727E7" w:rsidRPr="00DB4F12" w:rsidRDefault="00F727E7" w:rsidP="00CF3230">
            <w:pPr>
              <w:jc w:val="both"/>
              <w:rPr>
                <w:sz w:val="20"/>
                <w:szCs w:val="20"/>
              </w:rPr>
            </w:pPr>
            <w:r w:rsidRPr="00DB4F12">
              <w:rPr>
                <w:sz w:val="20"/>
                <w:szCs w:val="20"/>
              </w:rPr>
              <w:t>January 25, 2011</w:t>
            </w:r>
          </w:p>
          <w:p w:rsidR="00F727E7" w:rsidRPr="00DB4F12" w:rsidRDefault="00F727E7" w:rsidP="00CF3230">
            <w:pPr>
              <w:jc w:val="both"/>
              <w:rPr>
                <w:sz w:val="20"/>
                <w:szCs w:val="20"/>
              </w:rPr>
            </w:pPr>
            <w:r w:rsidRPr="00DB4F12">
              <w:rPr>
                <w:sz w:val="20"/>
                <w:szCs w:val="20"/>
              </w:rPr>
              <w:t xml:space="preserve">Superior Court of Quebec </w:t>
            </w:r>
          </w:p>
          <w:p w:rsidR="00F727E7" w:rsidRPr="00DB4F12" w:rsidRDefault="00F727E7" w:rsidP="00CF3230">
            <w:pPr>
              <w:jc w:val="both"/>
              <w:rPr>
                <w:sz w:val="20"/>
                <w:szCs w:val="20"/>
              </w:rPr>
            </w:pPr>
            <w:r w:rsidRPr="00DB4F12">
              <w:rPr>
                <w:sz w:val="20"/>
                <w:szCs w:val="20"/>
              </w:rPr>
              <w:t>(Mongeon J.)</w:t>
            </w:r>
          </w:p>
          <w:p w:rsidR="00F727E7" w:rsidRPr="00DB4F12" w:rsidRDefault="00F727E7" w:rsidP="00CF3230">
            <w:pPr>
              <w:jc w:val="both"/>
              <w:rPr>
                <w:sz w:val="20"/>
                <w:szCs w:val="20"/>
              </w:rPr>
            </w:pPr>
            <w:r w:rsidRPr="00DB4F12">
              <w:rPr>
                <w:sz w:val="20"/>
                <w:szCs w:val="20"/>
              </w:rPr>
              <w:t>2011 QCCS 196</w:t>
            </w:r>
          </w:p>
          <w:p w:rsidR="00F727E7" w:rsidRPr="00DB4F12" w:rsidRDefault="00F727E7" w:rsidP="00CF3230">
            <w:pPr>
              <w:jc w:val="both"/>
              <w:rPr>
                <w:sz w:val="20"/>
                <w:szCs w:val="20"/>
              </w:rPr>
            </w:pP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 xml:space="preserve">Estate’s Statement of claim against respondents, dismissed; Mr. Hashemi’s statement of claim against the respondents, allowed to proceed; Motion challenging constitutionality to </w:t>
            </w:r>
            <w:r w:rsidRPr="00DB4F12">
              <w:rPr>
                <w:i/>
                <w:sz w:val="20"/>
                <w:szCs w:val="20"/>
              </w:rPr>
              <w:t>State Immunity Act</w:t>
            </w:r>
            <w:r w:rsidRPr="00DB4F12">
              <w:rPr>
                <w:sz w:val="20"/>
                <w:szCs w:val="20"/>
              </w:rPr>
              <w:t xml:space="preserve"> dismissed; Act found not be contrary to ss. 2(a) and 2(e) of the </w:t>
            </w:r>
            <w:r w:rsidRPr="00DB4F12">
              <w:rPr>
                <w:i/>
                <w:sz w:val="20"/>
                <w:szCs w:val="20"/>
              </w:rPr>
              <w:t>Canadian Bill of Rights</w:t>
            </w:r>
            <w:r w:rsidRPr="00DB4F12">
              <w:rPr>
                <w:sz w:val="20"/>
                <w:szCs w:val="20"/>
              </w:rPr>
              <w:t xml:space="preserve"> and to ss. 7 and 9 of the </w:t>
            </w:r>
            <w:r w:rsidRPr="00DB4F12">
              <w:rPr>
                <w:i/>
                <w:sz w:val="20"/>
                <w:szCs w:val="20"/>
              </w:rPr>
              <w:t>Charter.</w:t>
            </w:r>
            <w:r w:rsidRPr="00DB4F12">
              <w:rPr>
                <w:sz w:val="20"/>
                <w:szCs w:val="20"/>
              </w:rPr>
              <w:t xml:space="preserve"> </w:t>
            </w:r>
          </w:p>
          <w:p w:rsidR="00F727E7" w:rsidRPr="00DB4F12" w:rsidRDefault="00F727E7" w:rsidP="00CF3230">
            <w:pPr>
              <w:jc w:val="both"/>
              <w:rPr>
                <w:sz w:val="20"/>
                <w:szCs w:val="20"/>
              </w:rPr>
            </w:pPr>
          </w:p>
        </w:tc>
      </w:tr>
      <w:tr w:rsidR="00F727E7" w:rsidRPr="00DB4F12" w:rsidTr="00CF3230">
        <w:tc>
          <w:tcPr>
            <w:tcW w:w="2427" w:type="pct"/>
          </w:tcPr>
          <w:p w:rsidR="00F727E7" w:rsidRPr="00DB4F12" w:rsidRDefault="00F727E7" w:rsidP="00CF3230">
            <w:pPr>
              <w:jc w:val="both"/>
              <w:rPr>
                <w:sz w:val="20"/>
                <w:szCs w:val="20"/>
              </w:rPr>
            </w:pPr>
            <w:r w:rsidRPr="00DB4F12">
              <w:rPr>
                <w:sz w:val="20"/>
                <w:szCs w:val="20"/>
              </w:rPr>
              <w:t>August 15, 2012</w:t>
            </w:r>
          </w:p>
          <w:p w:rsidR="00F727E7" w:rsidRPr="00DB4F12" w:rsidRDefault="00F727E7" w:rsidP="00CF3230">
            <w:pPr>
              <w:jc w:val="both"/>
              <w:rPr>
                <w:sz w:val="20"/>
                <w:szCs w:val="20"/>
              </w:rPr>
            </w:pPr>
            <w:r w:rsidRPr="00DB4F12">
              <w:rPr>
                <w:sz w:val="20"/>
                <w:szCs w:val="20"/>
              </w:rPr>
              <w:t>Court of Appeal of Quebec (Montréal)</w:t>
            </w:r>
          </w:p>
          <w:p w:rsidR="00F727E7" w:rsidRPr="00DB4F12" w:rsidRDefault="00F727E7" w:rsidP="00CF3230">
            <w:pPr>
              <w:jc w:val="both"/>
              <w:rPr>
                <w:sz w:val="20"/>
                <w:szCs w:val="20"/>
              </w:rPr>
            </w:pPr>
            <w:r w:rsidRPr="00DB4F12">
              <w:rPr>
                <w:sz w:val="20"/>
                <w:szCs w:val="20"/>
              </w:rPr>
              <w:t>(Morissette, Wagner and Gascon JJ.A.)</w:t>
            </w:r>
          </w:p>
          <w:p w:rsidR="00F727E7" w:rsidRPr="00DB4F12" w:rsidRDefault="00F727E7" w:rsidP="00CF3230">
            <w:pPr>
              <w:jc w:val="both"/>
              <w:rPr>
                <w:sz w:val="20"/>
                <w:szCs w:val="20"/>
              </w:rPr>
            </w:pPr>
            <w:r w:rsidRPr="00DB4F12">
              <w:rPr>
                <w:sz w:val="20"/>
                <w:szCs w:val="20"/>
              </w:rPr>
              <w:t>2012 QCCA 1449</w:t>
            </w:r>
          </w:p>
          <w:p w:rsidR="00F727E7" w:rsidRPr="00DB4F12" w:rsidRDefault="00F727E7" w:rsidP="00CF3230">
            <w:pPr>
              <w:jc w:val="both"/>
              <w:rPr>
                <w:sz w:val="20"/>
                <w:szCs w:val="20"/>
                <w:lang w:val="fr-FR"/>
              </w:rPr>
            </w:pPr>
          </w:p>
        </w:tc>
        <w:tc>
          <w:tcPr>
            <w:tcW w:w="243" w:type="pct"/>
          </w:tcPr>
          <w:p w:rsidR="00F727E7" w:rsidRPr="00DB4F12" w:rsidRDefault="00F727E7" w:rsidP="00CF3230">
            <w:pPr>
              <w:jc w:val="both"/>
              <w:rPr>
                <w:sz w:val="20"/>
                <w:szCs w:val="20"/>
                <w:lang w:val="fr-FR"/>
              </w:rPr>
            </w:pPr>
          </w:p>
        </w:tc>
        <w:tc>
          <w:tcPr>
            <w:tcW w:w="2330" w:type="pct"/>
          </w:tcPr>
          <w:p w:rsidR="00F727E7" w:rsidRPr="00DB4F12" w:rsidRDefault="00F727E7" w:rsidP="00CF3230">
            <w:pPr>
              <w:jc w:val="both"/>
              <w:rPr>
                <w:sz w:val="20"/>
                <w:szCs w:val="20"/>
              </w:rPr>
            </w:pPr>
            <w:r w:rsidRPr="00DB4F12">
              <w:rPr>
                <w:sz w:val="20"/>
                <w:szCs w:val="20"/>
              </w:rPr>
              <w:t xml:space="preserve">Estate’s appeal dismissed; Respondents’ appeal allowed and action of applicant Hashemi dismissed. </w:t>
            </w:r>
          </w:p>
          <w:p w:rsidR="00F727E7" w:rsidRPr="00DB4F12" w:rsidRDefault="00F727E7" w:rsidP="00CF3230">
            <w:pPr>
              <w:jc w:val="both"/>
              <w:rPr>
                <w:sz w:val="20"/>
                <w:szCs w:val="20"/>
              </w:rPr>
            </w:pPr>
          </w:p>
        </w:tc>
      </w:tr>
      <w:tr w:rsidR="00F727E7" w:rsidRPr="00DB4F12" w:rsidTr="00CF3230">
        <w:tc>
          <w:tcPr>
            <w:tcW w:w="2427" w:type="pct"/>
          </w:tcPr>
          <w:p w:rsidR="00F727E7" w:rsidRPr="00DB4F12" w:rsidRDefault="00F727E7" w:rsidP="00CF3230">
            <w:pPr>
              <w:jc w:val="both"/>
              <w:rPr>
                <w:sz w:val="20"/>
                <w:szCs w:val="20"/>
              </w:rPr>
            </w:pPr>
            <w:r w:rsidRPr="00DB4F12">
              <w:rPr>
                <w:sz w:val="20"/>
                <w:szCs w:val="20"/>
              </w:rPr>
              <w:t>October 15, 2012</w:t>
            </w:r>
          </w:p>
          <w:p w:rsidR="00F727E7" w:rsidRPr="00DB4F12" w:rsidRDefault="00F727E7" w:rsidP="00CF3230">
            <w:pPr>
              <w:jc w:val="both"/>
              <w:rPr>
                <w:sz w:val="20"/>
                <w:szCs w:val="20"/>
              </w:rPr>
            </w:pPr>
            <w:r w:rsidRPr="00DB4F12">
              <w:rPr>
                <w:sz w:val="20"/>
                <w:szCs w:val="20"/>
              </w:rPr>
              <w:t>Supreme Court of Canada</w:t>
            </w: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Application for leave to appeal filed</w:t>
            </w:r>
          </w:p>
        </w:tc>
      </w:tr>
    </w:tbl>
    <w:p w:rsidR="003101AB" w:rsidRPr="00C50A5C" w:rsidRDefault="003101AB" w:rsidP="003101AB">
      <w:pPr>
        <w:rPr>
          <w:sz w:val="20"/>
          <w:szCs w:val="20"/>
        </w:rPr>
      </w:pPr>
    </w:p>
    <w:p w:rsidR="003101AB" w:rsidRPr="00C50A5C" w:rsidRDefault="003F21C7" w:rsidP="003101AB">
      <w:pPr>
        <w:rPr>
          <w:sz w:val="20"/>
          <w:szCs w:val="20"/>
        </w:rPr>
      </w:pPr>
      <w:r w:rsidRPr="003F21C7">
        <w:rPr>
          <w:sz w:val="20"/>
          <w:szCs w:val="20"/>
          <w:lang w:val="fr-CA"/>
        </w:rPr>
        <w:pict>
          <v:rect id="_x0000_i1050" style="width:2in;height:1pt" o:hrpct="0" o:hralign="center" o:hrstd="t" o:hrnoshade="t" o:hr="t" fillcolor="black [3213]" stroked="f"/>
        </w:pict>
      </w:r>
    </w:p>
    <w:p w:rsidR="003101AB" w:rsidRDefault="003101AB" w:rsidP="003101AB">
      <w:pPr>
        <w:rPr>
          <w:sz w:val="20"/>
          <w:szCs w:val="20"/>
        </w:rPr>
      </w:pPr>
    </w:p>
    <w:p w:rsidR="003101AB" w:rsidRPr="001B157C" w:rsidRDefault="003101AB" w:rsidP="003101AB">
      <w:pPr>
        <w:rPr>
          <w:sz w:val="20"/>
          <w:szCs w:val="20"/>
          <w:u w:val="single"/>
          <w:lang w:val="fr-CA"/>
        </w:rPr>
      </w:pPr>
      <w:r w:rsidRPr="001B157C">
        <w:rPr>
          <w:sz w:val="20"/>
          <w:szCs w:val="20"/>
          <w:u w:val="single"/>
          <w:lang w:val="fr-CA"/>
        </w:rPr>
        <w:t>RÉSUMÉ DE L’AFFAIRE</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727E7" w:rsidRPr="00462F49" w:rsidTr="00CF3230">
        <w:tc>
          <w:tcPr>
            <w:tcW w:w="5000" w:type="pct"/>
            <w:gridSpan w:val="3"/>
          </w:tcPr>
          <w:p w:rsidR="00F727E7" w:rsidRPr="00DB4F12" w:rsidRDefault="00F727E7" w:rsidP="00CF3230">
            <w:pPr>
              <w:jc w:val="both"/>
              <w:rPr>
                <w:sz w:val="20"/>
                <w:szCs w:val="20"/>
                <w:lang w:val="fr-FR"/>
              </w:rPr>
            </w:pPr>
            <w:r w:rsidRPr="00DB4F12">
              <w:rPr>
                <w:i/>
                <w:sz w:val="20"/>
                <w:szCs w:val="20"/>
                <w:lang w:val="fr-FR"/>
              </w:rPr>
              <w:t>Charte canadienne des droits et libertés</w:t>
            </w:r>
            <w:r w:rsidRPr="00DB4F12">
              <w:rPr>
                <w:sz w:val="20"/>
                <w:szCs w:val="20"/>
                <w:lang w:val="fr-FR"/>
              </w:rPr>
              <w:t xml:space="preserve"> – Droit international public – Immunité de juridiction – Procédure judiciaire engagée au Québec par les demandeurs contre l’Iran, son chef d’État et d’autres représentants de l’État parce qu’ils auraient détenu, torturé et tué une citoyenne canadienne en Iran – Requête déposée par les défendeurs en vue de faire rejeter l’action au motif que celle</w:t>
            </w:r>
            <w:r w:rsidRPr="00DB4F12">
              <w:rPr>
                <w:sz w:val="20"/>
                <w:szCs w:val="20"/>
                <w:lang w:val="fr-FR"/>
              </w:rPr>
              <w:noBreakHyphen/>
              <w:t xml:space="preserve">ci est irrecevable en raison de la </w:t>
            </w:r>
            <w:r w:rsidRPr="00DB4F12">
              <w:rPr>
                <w:i/>
                <w:sz w:val="20"/>
                <w:szCs w:val="20"/>
                <w:lang w:val="fr-FR"/>
              </w:rPr>
              <w:t>Loi sur l’immunité des États</w:t>
            </w:r>
            <w:r w:rsidRPr="00DB4F12">
              <w:rPr>
                <w:sz w:val="20"/>
                <w:szCs w:val="20"/>
                <w:lang w:val="fr-FR"/>
              </w:rPr>
              <w:t xml:space="preserve">? – La </w:t>
            </w:r>
            <w:r w:rsidRPr="00DB4F12">
              <w:rPr>
                <w:i/>
                <w:sz w:val="20"/>
                <w:szCs w:val="20"/>
                <w:lang w:val="fr-FR"/>
              </w:rPr>
              <w:t>Loi sur l’immunité des États</w:t>
            </w:r>
            <w:r w:rsidRPr="00DB4F12">
              <w:rPr>
                <w:sz w:val="20"/>
                <w:szCs w:val="20"/>
                <w:lang w:val="fr-FR"/>
              </w:rPr>
              <w:t xml:space="preserve"> interdit</w:t>
            </w:r>
            <w:r w:rsidRPr="00DB4F12">
              <w:rPr>
                <w:sz w:val="20"/>
                <w:szCs w:val="20"/>
                <w:lang w:val="fr-FR"/>
              </w:rPr>
              <w:noBreakHyphen/>
              <w:t>elle d’intenter au Canada des actions au civil contre un autre État pour des actes de torture? – Le Canada est</w:t>
            </w:r>
            <w:r w:rsidRPr="00DB4F12">
              <w:rPr>
                <w:sz w:val="20"/>
                <w:szCs w:val="20"/>
                <w:lang w:val="fr-FR"/>
              </w:rPr>
              <w:noBreakHyphen/>
              <w:t xml:space="preserve">il tenu par la </w:t>
            </w:r>
            <w:r w:rsidRPr="00DB4F12">
              <w:rPr>
                <w:i/>
                <w:sz w:val="20"/>
                <w:szCs w:val="20"/>
                <w:lang w:val="fr-FR"/>
              </w:rPr>
              <w:t>Convention contre la torture et autres peines ou traitements cruels, inhumains ou dégradants</w:t>
            </w:r>
            <w:r w:rsidRPr="00DB4F12">
              <w:rPr>
                <w:sz w:val="20"/>
                <w:szCs w:val="20"/>
                <w:lang w:val="fr-FR"/>
              </w:rPr>
              <w:t xml:space="preserve"> des Nations Unies d’accorder aux victimes de torture dans un autre État la possibilité d’exercer un recours civil? – Le par. 3(1) de la </w:t>
            </w:r>
            <w:r w:rsidRPr="00DB4F12">
              <w:rPr>
                <w:i/>
                <w:sz w:val="20"/>
                <w:szCs w:val="20"/>
                <w:lang w:val="fr-FR"/>
              </w:rPr>
              <w:t>Loi sur l’immunité des États</w:t>
            </w:r>
            <w:r w:rsidRPr="00DB4F12">
              <w:rPr>
                <w:sz w:val="20"/>
                <w:szCs w:val="20"/>
                <w:lang w:val="fr-FR"/>
              </w:rPr>
              <w:t xml:space="preserve"> contrevient</w:t>
            </w:r>
            <w:r w:rsidRPr="00DB4F12">
              <w:rPr>
                <w:sz w:val="20"/>
                <w:szCs w:val="20"/>
                <w:lang w:val="fr-FR"/>
              </w:rPr>
              <w:noBreakHyphen/>
              <w:t>il à l’al. 2</w:t>
            </w:r>
            <w:r w:rsidRPr="00DB4F12">
              <w:rPr>
                <w:i/>
                <w:sz w:val="20"/>
                <w:szCs w:val="20"/>
                <w:lang w:val="fr-FR"/>
              </w:rPr>
              <w:t>e</w:t>
            </w:r>
            <w:r w:rsidRPr="00DB4F12">
              <w:rPr>
                <w:sz w:val="20"/>
                <w:szCs w:val="20"/>
                <w:lang w:val="fr-FR"/>
              </w:rPr>
              <w:t xml:space="preserve">) de la </w:t>
            </w:r>
            <w:r w:rsidRPr="00DB4F12">
              <w:rPr>
                <w:i/>
                <w:sz w:val="20"/>
                <w:szCs w:val="20"/>
                <w:lang w:val="fr-FR"/>
              </w:rPr>
              <w:t>Déclaration des droits</w:t>
            </w:r>
            <w:r w:rsidRPr="00DB4F12">
              <w:rPr>
                <w:sz w:val="20"/>
                <w:szCs w:val="20"/>
                <w:lang w:val="fr-FR"/>
              </w:rPr>
              <w:t xml:space="preserve"> ou à l’art. 7 de la </w:t>
            </w:r>
            <w:r w:rsidRPr="00DB4F12">
              <w:rPr>
                <w:i/>
                <w:sz w:val="20"/>
                <w:szCs w:val="20"/>
                <w:lang w:val="fr-FR"/>
              </w:rPr>
              <w:t>Charte</w:t>
            </w:r>
            <w:r w:rsidRPr="00DB4F12">
              <w:rPr>
                <w:sz w:val="20"/>
                <w:szCs w:val="20"/>
                <w:lang w:val="fr-FR"/>
              </w:rPr>
              <w:t xml:space="preserve"> en faisant obstacle à la procédure engagée par les demandeurs? – Le préjudice psychologique causé à une victime de torture par l’impossibilité de demander réparation suffit</w:t>
            </w:r>
            <w:r w:rsidRPr="00DB4F12">
              <w:rPr>
                <w:sz w:val="20"/>
                <w:szCs w:val="20"/>
                <w:lang w:val="fr-FR"/>
              </w:rPr>
              <w:noBreakHyphen/>
              <w:t xml:space="preserve">il à faire entrer en jeu la protection garantie par l’art. 7 de la </w:t>
            </w:r>
            <w:r w:rsidRPr="00DB4F12">
              <w:rPr>
                <w:i/>
                <w:sz w:val="20"/>
                <w:szCs w:val="20"/>
                <w:lang w:val="fr-FR"/>
              </w:rPr>
              <w:t>Charte</w:t>
            </w:r>
            <w:r w:rsidRPr="00DB4F12">
              <w:rPr>
                <w:sz w:val="20"/>
                <w:szCs w:val="20"/>
                <w:lang w:val="fr-FR"/>
              </w:rPr>
              <w:t xml:space="preserve">? – L’immunité de juridiction créée par le par. 3(1) de la </w:t>
            </w:r>
            <w:r w:rsidRPr="00DB4F12">
              <w:rPr>
                <w:i/>
                <w:sz w:val="20"/>
                <w:szCs w:val="20"/>
                <w:lang w:val="fr-FR"/>
              </w:rPr>
              <w:t>Loi sur l’immunité des États</w:t>
            </w:r>
            <w:r w:rsidRPr="00DB4F12">
              <w:rPr>
                <w:sz w:val="20"/>
                <w:szCs w:val="20"/>
                <w:lang w:val="fr-FR"/>
              </w:rPr>
              <w:t xml:space="preserve"> </w:t>
            </w:r>
            <w:r w:rsidRPr="00DB4F12">
              <w:rPr>
                <w:sz w:val="20"/>
                <w:szCs w:val="20"/>
                <w:lang w:val="fr-FR"/>
              </w:rPr>
              <w:lastRenderedPageBreak/>
              <w:t>est</w:t>
            </w:r>
            <w:r w:rsidRPr="00DB4F12">
              <w:rPr>
                <w:sz w:val="20"/>
                <w:szCs w:val="20"/>
                <w:lang w:val="fr-FR"/>
              </w:rPr>
              <w:noBreakHyphen/>
              <w:t xml:space="preserve">elle compatible avec les principes de justice fondamentale consacrés dans la </w:t>
            </w:r>
            <w:r w:rsidRPr="00DB4F12">
              <w:rPr>
                <w:i/>
                <w:sz w:val="20"/>
                <w:szCs w:val="20"/>
                <w:lang w:val="fr-FR"/>
              </w:rPr>
              <w:t>Déclaration des droits</w:t>
            </w:r>
            <w:r w:rsidRPr="00DB4F12">
              <w:rPr>
                <w:sz w:val="20"/>
                <w:szCs w:val="20"/>
                <w:lang w:val="fr-FR"/>
              </w:rPr>
              <w:t xml:space="preserve"> et la </w:t>
            </w:r>
            <w:r w:rsidRPr="00DB4F12">
              <w:rPr>
                <w:i/>
                <w:sz w:val="20"/>
                <w:szCs w:val="20"/>
                <w:lang w:val="fr-FR"/>
              </w:rPr>
              <w:t>Charte</w:t>
            </w:r>
            <w:r w:rsidRPr="00DB4F12">
              <w:rPr>
                <w:sz w:val="20"/>
                <w:szCs w:val="20"/>
                <w:lang w:val="fr-FR"/>
              </w:rPr>
              <w:t>? – La Cour d’appel a</w:t>
            </w:r>
            <w:r w:rsidRPr="00DB4F12">
              <w:rPr>
                <w:sz w:val="20"/>
                <w:szCs w:val="20"/>
                <w:lang w:val="fr-FR"/>
              </w:rPr>
              <w:noBreakHyphen/>
              <w:t>t</w:t>
            </w:r>
            <w:r w:rsidRPr="00DB4F12">
              <w:rPr>
                <w:sz w:val="20"/>
                <w:szCs w:val="20"/>
                <w:lang w:val="fr-FR"/>
              </w:rPr>
              <w:noBreakHyphen/>
              <w:t xml:space="preserve">elle commis une erreur en décidant que l’immunité des États s’applique aux représentants inférieurs de l’État prétendument responsables d’actes de torture? – </w:t>
            </w:r>
            <w:r w:rsidRPr="00DB4F12">
              <w:rPr>
                <w:i/>
                <w:sz w:val="20"/>
                <w:szCs w:val="20"/>
                <w:lang w:val="fr-FR"/>
              </w:rPr>
              <w:t>Déclaration canadienne des droits</w:t>
            </w:r>
            <w:r w:rsidRPr="00DB4F12">
              <w:rPr>
                <w:sz w:val="20"/>
                <w:szCs w:val="20"/>
                <w:lang w:val="fr-FR"/>
              </w:rPr>
              <w:t>, L.C. 1960, ch. 44, art. 2</w:t>
            </w:r>
            <w:r w:rsidRPr="00DB4F12">
              <w:rPr>
                <w:i/>
                <w:sz w:val="20"/>
                <w:szCs w:val="20"/>
                <w:lang w:val="fr-FR"/>
              </w:rPr>
              <w:t>e</w:t>
            </w:r>
            <w:r w:rsidRPr="00DB4F12">
              <w:rPr>
                <w:sz w:val="20"/>
                <w:szCs w:val="20"/>
                <w:lang w:val="fr-FR"/>
              </w:rPr>
              <w:t xml:space="preserve">) – </w:t>
            </w:r>
            <w:r w:rsidRPr="00DB4F12">
              <w:rPr>
                <w:i/>
                <w:sz w:val="20"/>
                <w:szCs w:val="20"/>
                <w:lang w:val="fr-FR"/>
              </w:rPr>
              <w:t>Loi sur l’immunité des États</w:t>
            </w:r>
            <w:r w:rsidRPr="00DB4F12">
              <w:rPr>
                <w:sz w:val="20"/>
                <w:szCs w:val="20"/>
                <w:lang w:val="fr-FR"/>
              </w:rPr>
              <w:t>, L.R.C. 1985, ch. S</w:t>
            </w:r>
            <w:r w:rsidRPr="00DB4F12">
              <w:rPr>
                <w:sz w:val="20"/>
                <w:szCs w:val="20"/>
                <w:lang w:val="fr-FR"/>
              </w:rPr>
              <w:noBreakHyphen/>
              <w:t xml:space="preserve">18, art. 3 et 6 – </w:t>
            </w:r>
            <w:r w:rsidRPr="00DB4F12">
              <w:rPr>
                <w:i/>
                <w:sz w:val="20"/>
                <w:szCs w:val="20"/>
                <w:lang w:val="fr-FR"/>
              </w:rPr>
              <w:t>Convention contre la torture et autres peines ou traitements cruels, inhumains ou dégradants</w:t>
            </w:r>
            <w:r w:rsidRPr="00DB4F12">
              <w:rPr>
                <w:sz w:val="20"/>
                <w:szCs w:val="20"/>
                <w:lang w:val="fr-FR"/>
              </w:rPr>
              <w:t>, 1465 R.T.N.U. 85</w:t>
            </w:r>
          </w:p>
        </w:tc>
      </w:tr>
      <w:tr w:rsidR="00F727E7" w:rsidRPr="00462F49" w:rsidTr="00CF3230">
        <w:tc>
          <w:tcPr>
            <w:tcW w:w="5000" w:type="pct"/>
            <w:gridSpan w:val="3"/>
          </w:tcPr>
          <w:p w:rsidR="00F727E7" w:rsidRPr="00DB4F12" w:rsidRDefault="00F727E7" w:rsidP="00CF3230">
            <w:pPr>
              <w:jc w:val="both"/>
              <w:rPr>
                <w:sz w:val="20"/>
                <w:szCs w:val="20"/>
                <w:lang w:val="fr-FR"/>
              </w:rPr>
            </w:pPr>
          </w:p>
        </w:tc>
      </w:tr>
      <w:tr w:rsidR="00F727E7" w:rsidRPr="00462F49" w:rsidTr="00CF3230">
        <w:tc>
          <w:tcPr>
            <w:tcW w:w="5000" w:type="pct"/>
            <w:gridSpan w:val="3"/>
          </w:tcPr>
          <w:p w:rsidR="00F727E7" w:rsidRPr="00DB4F12" w:rsidRDefault="00F727E7" w:rsidP="00CF3230">
            <w:pPr>
              <w:jc w:val="both"/>
              <w:rPr>
                <w:sz w:val="20"/>
                <w:szCs w:val="20"/>
                <w:lang w:val="fr-FR"/>
              </w:rPr>
            </w:pPr>
            <w:r w:rsidRPr="00DB4F12">
              <w:rPr>
                <w:sz w:val="20"/>
                <w:szCs w:val="20"/>
                <w:lang w:val="fr-FR"/>
              </w:rPr>
              <w:t xml:space="preserve">Zahra Kazemi, une citoyenne canadienne, aurait été arrêtée, incarcérée, torturée et tuée par les autorités de l’État en Iran en 2003.  Ses restes ont été enterrés en Iran contre la volonté de sa famille et des autorités canadiennes. </w:t>
            </w:r>
          </w:p>
          <w:p w:rsidR="00F727E7" w:rsidRPr="00DB4F12" w:rsidRDefault="00F727E7" w:rsidP="00CF3230">
            <w:pPr>
              <w:jc w:val="both"/>
              <w:rPr>
                <w:sz w:val="20"/>
                <w:szCs w:val="20"/>
                <w:lang w:val="fr-FR"/>
              </w:rPr>
            </w:pPr>
          </w:p>
          <w:p w:rsidR="00F727E7" w:rsidRPr="00DB4F12" w:rsidRDefault="00F727E7" w:rsidP="00CF3230">
            <w:pPr>
              <w:jc w:val="both"/>
              <w:rPr>
                <w:sz w:val="20"/>
                <w:szCs w:val="20"/>
                <w:lang w:val="fr-FR"/>
              </w:rPr>
            </w:pPr>
            <w:r w:rsidRPr="00DB4F12">
              <w:rPr>
                <w:sz w:val="20"/>
                <w:szCs w:val="20"/>
                <w:lang w:val="fr-FR"/>
              </w:rPr>
              <w:t>Par la suite, son fils, Stephan Hashemi, agissant à titre de liquidateur de la succession de sa mère et en son nom personnel, a engagé au Québec une poursuite en responsabilité civile contre l’Iran, son chef d’État, le procureur en chef des poursuites pénales et l’ancien sous</w:t>
            </w:r>
            <w:r w:rsidRPr="00DB4F12">
              <w:rPr>
                <w:sz w:val="20"/>
                <w:szCs w:val="20"/>
                <w:lang w:val="fr-FR"/>
              </w:rPr>
              <w:noBreakHyphen/>
              <w:t>chef du Renseignement de la prison où M</w:t>
            </w:r>
            <w:r w:rsidRPr="00DB4F12">
              <w:rPr>
                <w:sz w:val="20"/>
                <w:szCs w:val="20"/>
                <w:vertAlign w:val="superscript"/>
                <w:lang w:val="fr-FR"/>
              </w:rPr>
              <w:t>me </w:t>
            </w:r>
            <w:r w:rsidRPr="00DB4F12">
              <w:rPr>
                <w:sz w:val="20"/>
                <w:szCs w:val="20"/>
                <w:lang w:val="fr-FR"/>
              </w:rPr>
              <w:t>Kazemi était détenue.  La succession réclamait des dommages</w:t>
            </w:r>
            <w:r w:rsidRPr="00DB4F12">
              <w:rPr>
                <w:sz w:val="20"/>
                <w:szCs w:val="20"/>
                <w:lang w:val="fr-FR"/>
              </w:rPr>
              <w:noBreakHyphen/>
              <w:t>intérêts pour les douleurs et souffrances subies par M</w:t>
            </w:r>
            <w:r w:rsidRPr="00DB4F12">
              <w:rPr>
                <w:sz w:val="20"/>
                <w:szCs w:val="20"/>
                <w:vertAlign w:val="superscript"/>
                <w:lang w:val="fr-FR"/>
              </w:rPr>
              <w:t>me </w:t>
            </w:r>
            <w:r w:rsidRPr="00DB4F12">
              <w:rPr>
                <w:sz w:val="20"/>
                <w:szCs w:val="20"/>
                <w:lang w:val="fr-FR"/>
              </w:rPr>
              <w:t>Kazemi relativement aux mauvais traitements, à l’agression sexuelle et à la torture qui lui ont été infligés et à sa mort.  La poursuite intentée par M. Hashemi en son nom personnel visait à obtenir des dommages</w:t>
            </w:r>
            <w:r w:rsidRPr="00DB4F12">
              <w:rPr>
                <w:sz w:val="20"/>
                <w:szCs w:val="20"/>
                <w:lang w:val="fr-FR"/>
              </w:rPr>
              <w:noBreakHyphen/>
              <w:t>intérêts pour le préjudice moral que lui ont causé l’arrestation, la torture et la mort de sa mère.  M. Hashemi et la succession ont aussi demandé des dommages</w:t>
            </w:r>
            <w:r w:rsidRPr="00DB4F12">
              <w:rPr>
                <w:sz w:val="20"/>
                <w:szCs w:val="20"/>
                <w:lang w:val="fr-FR"/>
              </w:rPr>
              <w:noBreakHyphen/>
              <w:t>intérêts exemplaires et punitifs pour la prétendue atteinte illégale et délibérée aux droits et libertés de M</w:t>
            </w:r>
            <w:r w:rsidRPr="00DB4F12">
              <w:rPr>
                <w:sz w:val="20"/>
                <w:szCs w:val="20"/>
                <w:vertAlign w:val="superscript"/>
                <w:lang w:val="fr-FR"/>
              </w:rPr>
              <w:t>me </w:t>
            </w:r>
            <w:r w:rsidRPr="00DB4F12">
              <w:rPr>
                <w:sz w:val="20"/>
                <w:szCs w:val="20"/>
                <w:lang w:val="fr-FR"/>
              </w:rPr>
              <w:t>Kazemi et de son fils.  Enfin, la poursuite visait à obtenir une ordonnance enjoignant aux intimés d’exhumer les restes de M</w:t>
            </w:r>
            <w:r w:rsidRPr="00DB4F12">
              <w:rPr>
                <w:sz w:val="20"/>
                <w:szCs w:val="20"/>
                <w:vertAlign w:val="superscript"/>
                <w:lang w:val="fr-FR"/>
              </w:rPr>
              <w:t>me </w:t>
            </w:r>
            <w:r w:rsidRPr="00DB4F12">
              <w:rPr>
                <w:sz w:val="20"/>
                <w:szCs w:val="20"/>
                <w:lang w:val="fr-FR"/>
              </w:rPr>
              <w:t xml:space="preserve">Kazemi et de s’en départir pour qu’ils fassent l’objet d’une autopsie et soient enterrés au Canada.  </w:t>
            </w:r>
          </w:p>
          <w:p w:rsidR="00F727E7" w:rsidRPr="00DB4F12" w:rsidRDefault="00F727E7" w:rsidP="00CF3230">
            <w:pPr>
              <w:jc w:val="both"/>
              <w:rPr>
                <w:sz w:val="20"/>
                <w:szCs w:val="20"/>
                <w:lang w:val="fr-FR"/>
              </w:rPr>
            </w:pPr>
          </w:p>
          <w:p w:rsidR="00F727E7" w:rsidRPr="00DB4F12" w:rsidRDefault="00F727E7" w:rsidP="00CF3230">
            <w:pPr>
              <w:jc w:val="both"/>
              <w:rPr>
                <w:sz w:val="20"/>
                <w:szCs w:val="20"/>
                <w:lang w:val="fr-FR"/>
              </w:rPr>
            </w:pPr>
            <w:r w:rsidRPr="00DB4F12">
              <w:rPr>
                <w:sz w:val="20"/>
                <w:szCs w:val="20"/>
                <w:lang w:val="fr-FR"/>
              </w:rPr>
              <w:t xml:space="preserve">Les intimés ont déposé une requête en rejet de la poursuite au motif qu’elle n’est pas fondée en droit, soutenant qu’elle était irrecevable en raison de l’application de l’art. 3 de la </w:t>
            </w:r>
            <w:r w:rsidRPr="00DB4F12">
              <w:rPr>
                <w:i/>
                <w:sz w:val="20"/>
                <w:szCs w:val="20"/>
                <w:lang w:val="fr-FR"/>
              </w:rPr>
              <w:t>Loi sur l’immunité des États</w:t>
            </w:r>
            <w:r w:rsidRPr="00DB4F12">
              <w:rPr>
                <w:sz w:val="20"/>
                <w:szCs w:val="20"/>
                <w:lang w:val="fr-FR"/>
              </w:rPr>
              <w:t>, L.R.C. 1985 ch. S</w:t>
            </w:r>
            <w:r w:rsidRPr="00DB4F12">
              <w:rPr>
                <w:sz w:val="20"/>
                <w:szCs w:val="20"/>
                <w:lang w:val="fr-FR"/>
              </w:rPr>
              <w:noBreakHyphen/>
              <w:t xml:space="preserve">18 (« LIÉ »), qui, en règle générale, interdit d’engager des poursuites contre d’autres États devant les tribunaux canadiens.  M. Hashemi et la succession ont répliqué en soulevant une contestation constitutionnelle, prétendant que, si la </w:t>
            </w:r>
            <w:r w:rsidRPr="00DB4F12">
              <w:rPr>
                <w:i/>
                <w:sz w:val="20"/>
                <w:szCs w:val="20"/>
                <w:lang w:val="fr-FR"/>
              </w:rPr>
              <w:t>Loi sur l’immunité des États</w:t>
            </w:r>
            <w:r w:rsidRPr="00DB4F12">
              <w:rPr>
                <w:sz w:val="20"/>
                <w:szCs w:val="20"/>
                <w:lang w:val="fr-FR"/>
              </w:rPr>
              <w:t xml:space="preserve"> fait obstacle à leurs poursuites, elle contrevient à l’al. 2</w:t>
            </w:r>
            <w:r w:rsidRPr="00DB4F12">
              <w:rPr>
                <w:i/>
                <w:sz w:val="20"/>
                <w:szCs w:val="20"/>
                <w:lang w:val="fr-FR"/>
              </w:rPr>
              <w:t>e</w:t>
            </w:r>
            <w:r w:rsidRPr="00DB4F12">
              <w:rPr>
                <w:sz w:val="20"/>
                <w:szCs w:val="20"/>
                <w:lang w:val="fr-FR"/>
              </w:rPr>
              <w:t xml:space="preserve">) de la </w:t>
            </w:r>
            <w:r w:rsidRPr="00DB4F12">
              <w:rPr>
                <w:i/>
                <w:sz w:val="20"/>
                <w:szCs w:val="20"/>
                <w:lang w:val="fr-FR"/>
              </w:rPr>
              <w:t>Déclaration canadienne des droits</w:t>
            </w:r>
            <w:r w:rsidRPr="00DB4F12">
              <w:rPr>
                <w:sz w:val="20"/>
                <w:szCs w:val="20"/>
                <w:lang w:val="fr-FR"/>
              </w:rPr>
              <w:t xml:space="preserve"> et à l’art. 7 de la </w:t>
            </w:r>
            <w:r w:rsidRPr="00DB4F12">
              <w:rPr>
                <w:i/>
                <w:sz w:val="20"/>
                <w:szCs w:val="20"/>
                <w:lang w:val="fr-FR"/>
              </w:rPr>
              <w:t xml:space="preserve">Charte </w:t>
            </w:r>
            <w:r w:rsidRPr="00DB4F12">
              <w:rPr>
                <w:sz w:val="20"/>
                <w:szCs w:val="20"/>
                <w:lang w:val="fr-FR"/>
              </w:rPr>
              <w:t xml:space="preserve">dans la mesure où elle les priverait du droit d’exercer un recours civil au Canada contre l’Iran.  </w:t>
            </w:r>
          </w:p>
          <w:p w:rsidR="00F727E7" w:rsidRPr="00DB4F12" w:rsidRDefault="00F727E7" w:rsidP="00CF3230">
            <w:pPr>
              <w:jc w:val="both"/>
              <w:rPr>
                <w:sz w:val="20"/>
                <w:szCs w:val="20"/>
                <w:lang w:val="fr-FR"/>
              </w:rPr>
            </w:pPr>
          </w:p>
        </w:tc>
      </w:tr>
      <w:tr w:rsidR="00F727E7" w:rsidRPr="00462F49" w:rsidTr="00CF3230">
        <w:tc>
          <w:tcPr>
            <w:tcW w:w="2427" w:type="pct"/>
          </w:tcPr>
          <w:p w:rsidR="00F727E7" w:rsidRPr="00DB4F12" w:rsidRDefault="00F727E7" w:rsidP="00CF3230">
            <w:pPr>
              <w:jc w:val="both"/>
              <w:rPr>
                <w:sz w:val="20"/>
                <w:szCs w:val="20"/>
                <w:lang w:val="fr-FR"/>
              </w:rPr>
            </w:pPr>
            <w:r w:rsidRPr="00DB4F12">
              <w:rPr>
                <w:sz w:val="20"/>
                <w:szCs w:val="20"/>
                <w:lang w:val="fr-FR"/>
              </w:rPr>
              <w:t>25 janvier 2011</w:t>
            </w:r>
          </w:p>
          <w:p w:rsidR="00F727E7" w:rsidRPr="00DB4F12" w:rsidRDefault="00F727E7" w:rsidP="00CF3230">
            <w:pPr>
              <w:jc w:val="both"/>
              <w:rPr>
                <w:sz w:val="20"/>
                <w:szCs w:val="20"/>
                <w:lang w:val="fr-FR"/>
              </w:rPr>
            </w:pPr>
            <w:r w:rsidRPr="00DB4F12">
              <w:rPr>
                <w:sz w:val="20"/>
                <w:szCs w:val="20"/>
                <w:lang w:val="fr-FR"/>
              </w:rPr>
              <w:t xml:space="preserve">Cour supérieure du Québec </w:t>
            </w:r>
          </w:p>
          <w:p w:rsidR="00F727E7" w:rsidRPr="00DB4F12" w:rsidRDefault="00F727E7" w:rsidP="00CF3230">
            <w:pPr>
              <w:jc w:val="both"/>
              <w:rPr>
                <w:sz w:val="20"/>
                <w:szCs w:val="20"/>
                <w:lang w:val="fr-FR"/>
              </w:rPr>
            </w:pPr>
            <w:r w:rsidRPr="00DB4F12">
              <w:rPr>
                <w:sz w:val="20"/>
                <w:szCs w:val="20"/>
                <w:lang w:val="fr-FR"/>
              </w:rPr>
              <w:t>(Juge Mongeon)</w:t>
            </w:r>
          </w:p>
          <w:p w:rsidR="00F727E7" w:rsidRPr="00DB4F12" w:rsidRDefault="00F727E7" w:rsidP="00CF3230">
            <w:pPr>
              <w:jc w:val="both"/>
              <w:rPr>
                <w:sz w:val="20"/>
                <w:szCs w:val="20"/>
              </w:rPr>
            </w:pPr>
            <w:r w:rsidRPr="00DB4F12">
              <w:rPr>
                <w:sz w:val="20"/>
                <w:szCs w:val="20"/>
              </w:rPr>
              <w:t>2011 QCCS 196</w:t>
            </w:r>
          </w:p>
          <w:p w:rsidR="00F727E7" w:rsidRPr="00DB4F12" w:rsidRDefault="00F727E7" w:rsidP="00CF3230">
            <w:pPr>
              <w:jc w:val="both"/>
              <w:rPr>
                <w:sz w:val="20"/>
                <w:szCs w:val="20"/>
              </w:rPr>
            </w:pP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lang w:val="fr-FR"/>
              </w:rPr>
            </w:pPr>
            <w:r w:rsidRPr="00DB4F12">
              <w:rPr>
                <w:sz w:val="20"/>
                <w:szCs w:val="20"/>
                <w:lang w:val="fr-FR"/>
              </w:rPr>
              <w:t xml:space="preserve">Déclaration déposée par la succession contre les intimés rejetée; Instruction de la déclaration déposée par M. Hashemi contre les intimés permise; Requête contestant la validité constitutionnelle de la </w:t>
            </w:r>
            <w:r w:rsidRPr="00DB4F12">
              <w:rPr>
                <w:i/>
                <w:sz w:val="20"/>
                <w:szCs w:val="20"/>
                <w:lang w:val="fr-FR"/>
              </w:rPr>
              <w:t>Loi sur l’immunité des</w:t>
            </w:r>
            <w:r w:rsidRPr="00DB4F12">
              <w:rPr>
                <w:sz w:val="20"/>
                <w:szCs w:val="20"/>
                <w:lang w:val="fr-FR"/>
              </w:rPr>
              <w:t xml:space="preserve"> </w:t>
            </w:r>
            <w:r w:rsidRPr="00DB4F12">
              <w:rPr>
                <w:i/>
                <w:sz w:val="20"/>
                <w:szCs w:val="20"/>
                <w:lang w:val="fr-FR"/>
              </w:rPr>
              <w:t>États</w:t>
            </w:r>
            <w:r w:rsidRPr="00DB4F12">
              <w:rPr>
                <w:sz w:val="20"/>
                <w:szCs w:val="20"/>
                <w:lang w:val="fr-FR"/>
              </w:rPr>
              <w:t xml:space="preserve"> rejetée; Loi jugée conforme aux al. 2</w:t>
            </w:r>
            <w:r w:rsidRPr="00DB4F12">
              <w:rPr>
                <w:i/>
                <w:sz w:val="20"/>
                <w:szCs w:val="20"/>
                <w:lang w:val="fr-FR"/>
              </w:rPr>
              <w:t>a</w:t>
            </w:r>
            <w:r w:rsidRPr="00DB4F12">
              <w:rPr>
                <w:sz w:val="20"/>
                <w:szCs w:val="20"/>
                <w:lang w:val="fr-FR"/>
              </w:rPr>
              <w:t xml:space="preserve">) et </w:t>
            </w:r>
            <w:r w:rsidRPr="00DB4F12">
              <w:rPr>
                <w:i/>
                <w:sz w:val="20"/>
                <w:szCs w:val="20"/>
                <w:lang w:val="fr-FR"/>
              </w:rPr>
              <w:t>e</w:t>
            </w:r>
            <w:r w:rsidRPr="00DB4F12">
              <w:rPr>
                <w:sz w:val="20"/>
                <w:szCs w:val="20"/>
                <w:lang w:val="fr-FR"/>
              </w:rPr>
              <w:t xml:space="preserve">) de la </w:t>
            </w:r>
            <w:r w:rsidRPr="00DB4F12">
              <w:rPr>
                <w:i/>
                <w:sz w:val="20"/>
                <w:szCs w:val="20"/>
                <w:lang w:val="fr-FR"/>
              </w:rPr>
              <w:t>Déclaration canadienne des droits</w:t>
            </w:r>
            <w:r w:rsidRPr="00DB4F12">
              <w:rPr>
                <w:sz w:val="20"/>
                <w:szCs w:val="20"/>
                <w:lang w:val="fr-FR"/>
              </w:rPr>
              <w:t xml:space="preserve"> de même qu’aux art. 7 et 9 de la </w:t>
            </w:r>
            <w:r w:rsidRPr="00DB4F12">
              <w:rPr>
                <w:i/>
                <w:sz w:val="20"/>
                <w:szCs w:val="20"/>
                <w:lang w:val="fr-FR"/>
              </w:rPr>
              <w:t>Charte.</w:t>
            </w:r>
            <w:r w:rsidRPr="00DB4F12">
              <w:rPr>
                <w:sz w:val="20"/>
                <w:szCs w:val="20"/>
                <w:lang w:val="fr-FR"/>
              </w:rPr>
              <w:t xml:space="preserve"> </w:t>
            </w:r>
          </w:p>
          <w:p w:rsidR="00F727E7" w:rsidRPr="00DB4F12" w:rsidRDefault="00F727E7" w:rsidP="00CF3230">
            <w:pPr>
              <w:jc w:val="both"/>
              <w:rPr>
                <w:sz w:val="20"/>
                <w:szCs w:val="20"/>
                <w:lang w:val="fr-FR"/>
              </w:rPr>
            </w:pPr>
          </w:p>
        </w:tc>
      </w:tr>
      <w:tr w:rsidR="00F727E7" w:rsidRPr="00462F49" w:rsidTr="00CF3230">
        <w:tc>
          <w:tcPr>
            <w:tcW w:w="2427" w:type="pct"/>
          </w:tcPr>
          <w:p w:rsidR="00F727E7" w:rsidRPr="00DB4F12" w:rsidRDefault="00F727E7" w:rsidP="00CF3230">
            <w:pPr>
              <w:jc w:val="both"/>
              <w:rPr>
                <w:sz w:val="20"/>
                <w:szCs w:val="20"/>
                <w:lang w:val="fr-FR"/>
              </w:rPr>
            </w:pPr>
            <w:r w:rsidRPr="00DB4F12">
              <w:rPr>
                <w:sz w:val="20"/>
                <w:szCs w:val="20"/>
                <w:lang w:val="fr-FR"/>
              </w:rPr>
              <w:t>15 août 2012</w:t>
            </w:r>
          </w:p>
          <w:p w:rsidR="00F727E7" w:rsidRPr="00DB4F12" w:rsidRDefault="00F727E7" w:rsidP="00CF3230">
            <w:pPr>
              <w:jc w:val="both"/>
              <w:rPr>
                <w:sz w:val="20"/>
                <w:szCs w:val="20"/>
                <w:lang w:val="fr-FR"/>
              </w:rPr>
            </w:pPr>
            <w:r w:rsidRPr="00DB4F12">
              <w:rPr>
                <w:sz w:val="20"/>
                <w:szCs w:val="20"/>
                <w:lang w:val="fr-FR"/>
              </w:rPr>
              <w:t>Cour d’appel du Québec (Montréal)</w:t>
            </w:r>
          </w:p>
          <w:p w:rsidR="00F727E7" w:rsidRPr="00DB4F12" w:rsidRDefault="00F727E7" w:rsidP="00CF3230">
            <w:pPr>
              <w:jc w:val="both"/>
              <w:rPr>
                <w:sz w:val="20"/>
                <w:szCs w:val="20"/>
                <w:lang w:val="fr-FR"/>
              </w:rPr>
            </w:pPr>
            <w:r w:rsidRPr="00DB4F12">
              <w:rPr>
                <w:sz w:val="20"/>
                <w:szCs w:val="20"/>
                <w:lang w:val="fr-FR"/>
              </w:rPr>
              <w:t>(Juges Morissette, Wagner et Gascon)</w:t>
            </w:r>
          </w:p>
          <w:p w:rsidR="00F727E7" w:rsidRPr="00DB4F12" w:rsidRDefault="00F727E7" w:rsidP="00CF3230">
            <w:pPr>
              <w:jc w:val="both"/>
              <w:rPr>
                <w:sz w:val="20"/>
                <w:szCs w:val="20"/>
                <w:lang w:val="fr-FR"/>
              </w:rPr>
            </w:pPr>
            <w:r w:rsidRPr="00DB4F12">
              <w:rPr>
                <w:sz w:val="20"/>
                <w:szCs w:val="20"/>
                <w:lang w:val="fr-FR"/>
              </w:rPr>
              <w:t>2012 QCCA 1449</w:t>
            </w:r>
          </w:p>
          <w:p w:rsidR="00F727E7" w:rsidRPr="00DB4F12" w:rsidRDefault="00F727E7" w:rsidP="00CF3230">
            <w:pPr>
              <w:jc w:val="both"/>
              <w:rPr>
                <w:sz w:val="20"/>
                <w:szCs w:val="20"/>
                <w:lang w:val="fr-FR"/>
              </w:rPr>
            </w:pPr>
          </w:p>
        </w:tc>
        <w:tc>
          <w:tcPr>
            <w:tcW w:w="243" w:type="pct"/>
          </w:tcPr>
          <w:p w:rsidR="00F727E7" w:rsidRPr="00DB4F12" w:rsidRDefault="00F727E7" w:rsidP="00CF3230">
            <w:pPr>
              <w:jc w:val="both"/>
              <w:rPr>
                <w:sz w:val="20"/>
                <w:szCs w:val="20"/>
                <w:lang w:val="fr-FR"/>
              </w:rPr>
            </w:pPr>
          </w:p>
        </w:tc>
        <w:tc>
          <w:tcPr>
            <w:tcW w:w="2330" w:type="pct"/>
          </w:tcPr>
          <w:p w:rsidR="00F727E7" w:rsidRPr="00DB4F12" w:rsidRDefault="00F727E7" w:rsidP="00CF3230">
            <w:pPr>
              <w:jc w:val="both"/>
              <w:rPr>
                <w:sz w:val="20"/>
                <w:szCs w:val="20"/>
                <w:lang w:val="fr-FR"/>
              </w:rPr>
            </w:pPr>
            <w:r w:rsidRPr="00DB4F12">
              <w:rPr>
                <w:sz w:val="20"/>
                <w:szCs w:val="20"/>
                <w:lang w:val="fr-FR"/>
              </w:rPr>
              <w:t xml:space="preserve">Appel de la succession rejeté; appel des intimés accueilli et action du demandeur, M. Hashemi, rejetée. </w:t>
            </w:r>
          </w:p>
          <w:p w:rsidR="00F727E7" w:rsidRPr="00DB4F12" w:rsidRDefault="00F727E7" w:rsidP="00CF3230">
            <w:pPr>
              <w:jc w:val="both"/>
              <w:rPr>
                <w:sz w:val="20"/>
                <w:szCs w:val="20"/>
                <w:lang w:val="fr-FR"/>
              </w:rPr>
            </w:pPr>
          </w:p>
        </w:tc>
      </w:tr>
      <w:tr w:rsidR="00F727E7" w:rsidRPr="00DB4F12" w:rsidTr="00CF3230">
        <w:tc>
          <w:tcPr>
            <w:tcW w:w="2427" w:type="pct"/>
          </w:tcPr>
          <w:p w:rsidR="00F727E7" w:rsidRPr="00DB4F12" w:rsidRDefault="00F727E7" w:rsidP="00CF3230">
            <w:pPr>
              <w:jc w:val="both"/>
              <w:rPr>
                <w:sz w:val="20"/>
                <w:szCs w:val="20"/>
                <w:lang w:val="fr-FR"/>
              </w:rPr>
            </w:pPr>
            <w:r w:rsidRPr="00DB4F12">
              <w:rPr>
                <w:sz w:val="20"/>
                <w:szCs w:val="20"/>
                <w:lang w:val="fr-FR"/>
              </w:rPr>
              <w:t>15 octobre 2012</w:t>
            </w:r>
          </w:p>
          <w:p w:rsidR="00F727E7" w:rsidRPr="00DB4F12" w:rsidRDefault="00F727E7" w:rsidP="00CF3230">
            <w:pPr>
              <w:jc w:val="both"/>
              <w:rPr>
                <w:sz w:val="20"/>
                <w:szCs w:val="20"/>
                <w:lang w:val="fr-FR"/>
              </w:rPr>
            </w:pPr>
            <w:r w:rsidRPr="00DB4F12">
              <w:rPr>
                <w:sz w:val="20"/>
                <w:szCs w:val="20"/>
                <w:lang w:val="fr-FR"/>
              </w:rPr>
              <w:t>Cour suprême du Canada</w:t>
            </w:r>
          </w:p>
        </w:tc>
        <w:tc>
          <w:tcPr>
            <w:tcW w:w="243" w:type="pct"/>
          </w:tcPr>
          <w:p w:rsidR="00F727E7" w:rsidRPr="00DB4F12" w:rsidRDefault="00F727E7" w:rsidP="00CF3230">
            <w:pPr>
              <w:jc w:val="both"/>
              <w:rPr>
                <w:sz w:val="20"/>
                <w:szCs w:val="20"/>
                <w:lang w:val="fr-FR"/>
              </w:rPr>
            </w:pPr>
          </w:p>
        </w:tc>
        <w:tc>
          <w:tcPr>
            <w:tcW w:w="2330" w:type="pct"/>
          </w:tcPr>
          <w:p w:rsidR="00F727E7" w:rsidRPr="00DB4F12" w:rsidRDefault="00F727E7" w:rsidP="00CF3230">
            <w:pPr>
              <w:jc w:val="both"/>
              <w:rPr>
                <w:sz w:val="20"/>
                <w:szCs w:val="20"/>
                <w:lang w:val="fr-FR"/>
              </w:rPr>
            </w:pPr>
            <w:r w:rsidRPr="00DB4F12">
              <w:rPr>
                <w:sz w:val="20"/>
                <w:szCs w:val="20"/>
                <w:lang w:val="fr-FR"/>
              </w:rPr>
              <w:t>Demande d’autorisation d’appel déposée.</w:t>
            </w:r>
          </w:p>
        </w:tc>
      </w:tr>
    </w:tbl>
    <w:p w:rsidR="003101AB" w:rsidRDefault="003101AB" w:rsidP="003101AB">
      <w:pPr>
        <w:rPr>
          <w:sz w:val="20"/>
          <w:szCs w:val="20"/>
        </w:rPr>
      </w:pPr>
    </w:p>
    <w:p w:rsidR="003101AB" w:rsidRDefault="003F21C7" w:rsidP="003101AB">
      <w:pPr>
        <w:rPr>
          <w:sz w:val="20"/>
          <w:szCs w:val="20"/>
          <w:lang w:val="fr-CA"/>
        </w:rPr>
      </w:pPr>
      <w:r w:rsidRPr="003F21C7">
        <w:rPr>
          <w:sz w:val="20"/>
          <w:szCs w:val="20"/>
          <w:lang w:val="fr-CA"/>
        </w:rPr>
        <w:pict>
          <v:rect id="_x0000_i1051" style="width:2in;height:1pt" o:hrpct="0" o:hralign="center" o:hrstd="t" o:hrnoshade="t" o:hr="t" fillcolor="black [3213]" stroked="f"/>
        </w:pict>
      </w:r>
    </w:p>
    <w:p w:rsidR="003101AB" w:rsidRDefault="003101AB" w:rsidP="003101AB">
      <w:pPr>
        <w:rPr>
          <w:sz w:val="20"/>
          <w:szCs w:val="20"/>
        </w:rPr>
      </w:pPr>
    </w:p>
    <w:p w:rsidR="000C49B2" w:rsidRDefault="000C49B2">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76658" w:rsidRPr="00A47DB1" w:rsidTr="00DD7751">
        <w:trPr>
          <w:cantSplit/>
        </w:trPr>
        <w:tc>
          <w:tcPr>
            <w:tcW w:w="1458" w:type="dxa"/>
          </w:tcPr>
          <w:p w:rsidR="00776658" w:rsidRPr="00A47DB1" w:rsidRDefault="00776658" w:rsidP="00DD7751">
            <w:pPr>
              <w:rPr>
                <w:sz w:val="20"/>
                <w:szCs w:val="20"/>
              </w:rPr>
            </w:pPr>
            <w:r w:rsidRPr="00A47DB1">
              <w:rPr>
                <w:rStyle w:val="SCCFileNumberChar"/>
                <w:sz w:val="20"/>
                <w:szCs w:val="20"/>
              </w:rPr>
              <w:lastRenderedPageBreak/>
              <w:t>35052</w:t>
            </w:r>
          </w:p>
          <w:p w:rsidR="00776658" w:rsidRPr="00A47DB1" w:rsidRDefault="00776658" w:rsidP="00DD7751">
            <w:pPr>
              <w:rPr>
                <w:b/>
                <w:sz w:val="20"/>
                <w:szCs w:val="20"/>
                <w:lang w:val="fr-CA"/>
              </w:rPr>
            </w:pPr>
          </w:p>
        </w:tc>
        <w:tc>
          <w:tcPr>
            <w:tcW w:w="8118" w:type="dxa"/>
          </w:tcPr>
          <w:p w:rsidR="00776658" w:rsidRPr="00A47DB1" w:rsidRDefault="00776658" w:rsidP="00776658">
            <w:pPr>
              <w:jc w:val="both"/>
              <w:rPr>
                <w:sz w:val="20"/>
                <w:szCs w:val="20"/>
              </w:rPr>
            </w:pPr>
            <w:r w:rsidRPr="00A47DB1">
              <w:rPr>
                <w:rStyle w:val="SCCLsocChar"/>
                <w:sz w:val="20"/>
                <w:szCs w:val="20"/>
                <w:lang w:val="en-CA"/>
              </w:rPr>
              <w:t>Douglas Martin v. Workers</w:t>
            </w:r>
            <w:r>
              <w:rPr>
                <w:rStyle w:val="SCCLsocChar"/>
                <w:sz w:val="20"/>
                <w:szCs w:val="20"/>
                <w:lang w:val="en-CA"/>
              </w:rPr>
              <w:t>’</w:t>
            </w:r>
            <w:r w:rsidRPr="00A47DB1">
              <w:rPr>
                <w:rStyle w:val="SCCLsocChar"/>
                <w:sz w:val="20"/>
                <w:szCs w:val="20"/>
                <w:lang w:val="en-CA"/>
              </w:rPr>
              <w:t xml:space="preserve"> Compensation Board of Alberta, Appeals Commission for Alberta Workers</w:t>
            </w:r>
            <w:r>
              <w:rPr>
                <w:rStyle w:val="SCCLsocChar"/>
                <w:sz w:val="20"/>
                <w:szCs w:val="20"/>
                <w:lang w:val="en-CA"/>
              </w:rPr>
              <w:t>’</w:t>
            </w:r>
            <w:r w:rsidRPr="00A47DB1">
              <w:rPr>
                <w:rStyle w:val="SCCLsocChar"/>
                <w:sz w:val="20"/>
                <w:szCs w:val="20"/>
                <w:lang w:val="en-CA"/>
              </w:rPr>
              <w:t xml:space="preserve"> Compensation</w:t>
            </w:r>
            <w:r>
              <w:rPr>
                <w:rStyle w:val="SCCLsocChar"/>
                <w:sz w:val="20"/>
                <w:szCs w:val="20"/>
                <w:lang w:val="en-CA"/>
              </w:rPr>
              <w:t xml:space="preserve"> and</w:t>
            </w:r>
            <w:r w:rsidRPr="00A47DB1">
              <w:rPr>
                <w:rStyle w:val="SCCLsocChar"/>
                <w:sz w:val="20"/>
                <w:szCs w:val="20"/>
                <w:lang w:val="en-CA"/>
              </w:rPr>
              <w:t xml:space="preserve"> Department of Justice Canada</w:t>
            </w:r>
            <w:r w:rsidRPr="00A47DB1">
              <w:rPr>
                <w:sz w:val="20"/>
                <w:szCs w:val="20"/>
              </w:rPr>
              <w:t xml:space="preserve"> (Alta.) (Civil) (By Leave)</w:t>
            </w:r>
          </w:p>
          <w:p w:rsidR="00776658" w:rsidRPr="00A47DB1" w:rsidRDefault="00776658" w:rsidP="00776658">
            <w:pPr>
              <w:jc w:val="both"/>
              <w:rPr>
                <w:sz w:val="20"/>
                <w:szCs w:val="20"/>
              </w:rPr>
            </w:pPr>
          </w:p>
        </w:tc>
      </w:tr>
      <w:tr w:rsidR="00776658" w:rsidRPr="00A47DB1" w:rsidTr="00DD7751">
        <w:trPr>
          <w:cantSplit/>
        </w:trPr>
        <w:tc>
          <w:tcPr>
            <w:tcW w:w="1458" w:type="dxa"/>
          </w:tcPr>
          <w:p w:rsidR="00776658" w:rsidRPr="00A47DB1" w:rsidRDefault="00776658" w:rsidP="00DD7751">
            <w:pPr>
              <w:rPr>
                <w:sz w:val="20"/>
                <w:szCs w:val="20"/>
              </w:rPr>
            </w:pPr>
            <w:r w:rsidRPr="00A47DB1">
              <w:rPr>
                <w:sz w:val="20"/>
                <w:szCs w:val="20"/>
              </w:rPr>
              <w:t>Coram :</w:t>
            </w:r>
          </w:p>
        </w:tc>
        <w:tc>
          <w:tcPr>
            <w:tcW w:w="8118" w:type="dxa"/>
          </w:tcPr>
          <w:p w:rsidR="00776658" w:rsidRPr="00A47DB1" w:rsidRDefault="00776658" w:rsidP="00DD7751">
            <w:pPr>
              <w:rPr>
                <w:sz w:val="20"/>
                <w:szCs w:val="20"/>
              </w:rPr>
            </w:pPr>
            <w:r w:rsidRPr="00A47DB1">
              <w:rPr>
                <w:rStyle w:val="SCCCoramChar"/>
                <w:sz w:val="20"/>
                <w:szCs w:val="20"/>
                <w:lang w:val="en-CA"/>
              </w:rPr>
              <w:t>McLachlin C.J. and Abella and Cromwell JJ.</w:t>
            </w:r>
          </w:p>
          <w:p w:rsidR="00776658" w:rsidRPr="00A47DB1" w:rsidRDefault="00776658" w:rsidP="00DD7751">
            <w:pPr>
              <w:rPr>
                <w:sz w:val="20"/>
                <w:szCs w:val="20"/>
                <w:u w:val="single"/>
              </w:rPr>
            </w:pPr>
          </w:p>
        </w:tc>
      </w:tr>
      <w:tr w:rsidR="00776658" w:rsidRPr="00462F49" w:rsidTr="00DD7751">
        <w:trPr>
          <w:cantSplit/>
        </w:trPr>
        <w:tc>
          <w:tcPr>
            <w:tcW w:w="9576" w:type="dxa"/>
            <w:gridSpan w:val="2"/>
          </w:tcPr>
          <w:p w:rsidR="00776658" w:rsidRPr="00A47DB1" w:rsidRDefault="00776658" w:rsidP="00DD7751">
            <w:pPr>
              <w:pStyle w:val="SCCShortJudgment"/>
              <w:rPr>
                <w:szCs w:val="20"/>
              </w:rPr>
            </w:pPr>
            <w:r w:rsidRPr="00A47DB1">
              <w:rPr>
                <w:szCs w:val="20"/>
              </w:rPr>
              <w:t>The application for leave to appeal from the judgment of the Court of Appeal of Alberta (Calgary), Number 1001-0247-AC, 2012 ABCA 248, dated August 29, 2012, is granted with costs in the cause.</w:t>
            </w:r>
          </w:p>
          <w:p w:rsidR="00776658" w:rsidRPr="00A47DB1" w:rsidRDefault="00776658" w:rsidP="00DD7751">
            <w:pPr>
              <w:pStyle w:val="SCCShortJudgment"/>
              <w:ind w:firstLine="0"/>
              <w:rPr>
                <w:szCs w:val="20"/>
              </w:rPr>
            </w:pPr>
          </w:p>
          <w:p w:rsidR="00776658" w:rsidRPr="00A47DB1" w:rsidRDefault="00776658" w:rsidP="00776658">
            <w:pPr>
              <w:pStyle w:val="SCCShortJudgment"/>
              <w:rPr>
                <w:szCs w:val="20"/>
                <w:lang w:val="fr-CA"/>
              </w:rPr>
            </w:pPr>
            <w:r w:rsidRPr="00A47DB1">
              <w:rPr>
                <w:szCs w:val="20"/>
                <w:lang w:val="fr-CA"/>
              </w:rPr>
              <w:t>La demande d’autorisation d’appel de l’arrêt de la Cour d'appel de l’Alberta (Calgary), numéro 1001-0247-AC, 2012 ABCA 248, daté du 29 août 2012, est accueillie avec dépens suivant l’issue de la cause.</w:t>
            </w:r>
          </w:p>
        </w:tc>
      </w:tr>
    </w:tbl>
    <w:p w:rsidR="003101AB" w:rsidRPr="00776658" w:rsidRDefault="003101AB" w:rsidP="003101AB">
      <w:pPr>
        <w:rPr>
          <w:sz w:val="20"/>
          <w:szCs w:val="20"/>
          <w:lang w:val="fr-CA"/>
        </w:rPr>
      </w:pPr>
    </w:p>
    <w:p w:rsidR="003101AB" w:rsidRPr="001B157C" w:rsidRDefault="003101AB" w:rsidP="003101AB">
      <w:pPr>
        <w:rPr>
          <w:sz w:val="20"/>
          <w:szCs w:val="20"/>
          <w:u w:val="single"/>
        </w:rPr>
      </w:pPr>
      <w:r w:rsidRPr="001B157C">
        <w:rPr>
          <w:sz w:val="20"/>
          <w:szCs w:val="20"/>
          <w:u w:val="single"/>
        </w:rPr>
        <w:t>CASE SUMMARY</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727E7" w:rsidRPr="00DB4F12" w:rsidTr="00CF3230">
        <w:tc>
          <w:tcPr>
            <w:tcW w:w="5000" w:type="pct"/>
            <w:gridSpan w:val="3"/>
          </w:tcPr>
          <w:p w:rsidR="00F727E7" w:rsidRPr="00DB4F12" w:rsidRDefault="00F727E7" w:rsidP="00CF3230">
            <w:pPr>
              <w:jc w:val="both"/>
              <w:rPr>
                <w:sz w:val="20"/>
                <w:szCs w:val="20"/>
              </w:rPr>
            </w:pPr>
            <w:r w:rsidRPr="00DB4F12">
              <w:rPr>
                <w:sz w:val="20"/>
                <w:szCs w:val="20"/>
              </w:rPr>
              <w:t xml:space="preserve">Statutes – Statutory interpretation – Eligibility for compensation – Is a federal government or Crown corporation employee’s eligibility for workers’ compensation determined by the </w:t>
            </w:r>
            <w:r w:rsidRPr="00DB4F12">
              <w:rPr>
                <w:i/>
                <w:sz w:val="20"/>
                <w:szCs w:val="20"/>
              </w:rPr>
              <w:t>Government Employees Compensation Act</w:t>
            </w:r>
            <w:r w:rsidRPr="00DB4F12">
              <w:rPr>
                <w:sz w:val="20"/>
                <w:szCs w:val="20"/>
              </w:rPr>
              <w:t>, R.S.C. 1985, c. G</w:t>
            </w:r>
            <w:r w:rsidRPr="00DB4F12">
              <w:rPr>
                <w:sz w:val="20"/>
                <w:szCs w:val="20"/>
              </w:rPr>
              <w:noBreakHyphen/>
              <w:t xml:space="preserve">5 or by provincial legislation? – Can the definition of “accident” under the </w:t>
            </w:r>
            <w:r w:rsidRPr="00DB4F12">
              <w:rPr>
                <w:i/>
                <w:sz w:val="20"/>
                <w:szCs w:val="20"/>
              </w:rPr>
              <w:t>Government Employees Compensation Act</w:t>
            </w:r>
            <w:r w:rsidRPr="00DB4F12">
              <w:rPr>
                <w:sz w:val="20"/>
                <w:szCs w:val="20"/>
              </w:rPr>
              <w:t xml:space="preserve"> be interpreted to require “excessive or unusual” events for psychological stress claims?</w:t>
            </w:r>
          </w:p>
        </w:tc>
      </w:tr>
      <w:tr w:rsidR="00F727E7" w:rsidRPr="00DB4F12" w:rsidTr="00CF3230">
        <w:tc>
          <w:tcPr>
            <w:tcW w:w="5000" w:type="pct"/>
            <w:gridSpan w:val="3"/>
          </w:tcPr>
          <w:p w:rsidR="00F727E7" w:rsidRPr="00DB4F12" w:rsidRDefault="00F727E7" w:rsidP="00CF3230">
            <w:pPr>
              <w:jc w:val="both"/>
              <w:rPr>
                <w:sz w:val="20"/>
                <w:szCs w:val="20"/>
              </w:rPr>
            </w:pPr>
          </w:p>
        </w:tc>
      </w:tr>
      <w:tr w:rsidR="00F727E7" w:rsidRPr="00DB4F12" w:rsidTr="00CF3230">
        <w:tc>
          <w:tcPr>
            <w:tcW w:w="5000" w:type="pct"/>
            <w:gridSpan w:val="3"/>
          </w:tcPr>
          <w:p w:rsidR="00F727E7" w:rsidRPr="00DB4F12" w:rsidRDefault="00F727E7" w:rsidP="00CF3230">
            <w:pPr>
              <w:jc w:val="both"/>
              <w:rPr>
                <w:sz w:val="20"/>
                <w:szCs w:val="20"/>
              </w:rPr>
            </w:pPr>
            <w:r w:rsidRPr="00DB4F12">
              <w:rPr>
                <w:color w:val="000000"/>
                <w:sz w:val="20"/>
                <w:szCs w:val="20"/>
              </w:rPr>
              <w:t xml:space="preserve">The Respondent Martin commenced a labour complaint against the Applicant, his employer. Parks Canada subsequently instructed the Respondent to disclose information relating to data on his work computer so that Parks Canada might comply with a request that it had received under the </w:t>
            </w:r>
            <w:r w:rsidRPr="00DB4F12">
              <w:rPr>
                <w:i/>
                <w:color w:val="000000"/>
                <w:sz w:val="20"/>
                <w:szCs w:val="20"/>
              </w:rPr>
              <w:t>Access to Information Act</w:t>
            </w:r>
            <w:r w:rsidRPr="00DB4F12">
              <w:rPr>
                <w:color w:val="000000"/>
                <w:sz w:val="20"/>
                <w:szCs w:val="20"/>
              </w:rPr>
              <w:t>.  The Respondent claimed that this request triggered a psychological condition leading to his taking leave and, ultimately, to his making a claim for compensation for chronic stress.  The Workers’ Compensation Board found that the Respondent's chronic onset stress was ineligible for compensation because it failed to meet two of the criteria set out in the</w:t>
            </w:r>
            <w:r w:rsidRPr="00DB4F12">
              <w:rPr>
                <w:i/>
                <w:color w:val="000000"/>
                <w:sz w:val="20"/>
                <w:szCs w:val="20"/>
                <w:lang w:eastAsia="fr-FR"/>
              </w:rPr>
              <w:t xml:space="preserve"> Workers’ Compensation Board of Directors </w:t>
            </w:r>
            <w:r w:rsidRPr="00DB4F12">
              <w:rPr>
                <w:i/>
                <w:iCs/>
                <w:color w:val="000000"/>
                <w:sz w:val="20"/>
                <w:szCs w:val="20"/>
                <w:lang w:eastAsia="fr-FR"/>
              </w:rPr>
              <w:t>Policy 03</w:t>
            </w:r>
            <w:r w:rsidRPr="00DB4F12">
              <w:rPr>
                <w:i/>
                <w:iCs/>
                <w:color w:val="000000"/>
                <w:sz w:val="20"/>
                <w:szCs w:val="20"/>
                <w:lang w:eastAsia="fr-FR"/>
              </w:rPr>
              <w:noBreakHyphen/>
              <w:t>01</w:t>
            </w:r>
            <w:r w:rsidRPr="00DB4F12">
              <w:rPr>
                <w:color w:val="000000"/>
                <w:sz w:val="20"/>
                <w:szCs w:val="20"/>
              </w:rPr>
              <w:t xml:space="preserve"> as the labour relations issues with Parks Canada were not excessive or unusual compared to the normal pressures and tensions of an average worker in a similar occupation.  The </w:t>
            </w:r>
            <w:r w:rsidRPr="00DB4F12">
              <w:rPr>
                <w:sz w:val="20"/>
                <w:szCs w:val="20"/>
              </w:rPr>
              <w:t xml:space="preserve">Appeals Commission for Alberta Workers’ Compensation </w:t>
            </w:r>
            <w:r w:rsidRPr="00DB4F12">
              <w:rPr>
                <w:color w:val="000000"/>
                <w:sz w:val="20"/>
                <w:szCs w:val="20"/>
              </w:rPr>
              <w:t>also concluded that the Respondent had not satisfied two criteria of the Policy and was ineligible for the compensation</w:t>
            </w:r>
          </w:p>
          <w:p w:rsidR="00F727E7" w:rsidRPr="00DB4F12" w:rsidRDefault="00F727E7" w:rsidP="00CF3230">
            <w:pPr>
              <w:jc w:val="both"/>
              <w:rPr>
                <w:sz w:val="20"/>
                <w:szCs w:val="20"/>
              </w:rPr>
            </w:pPr>
          </w:p>
        </w:tc>
      </w:tr>
      <w:tr w:rsidR="00F727E7" w:rsidRPr="00DB4F12" w:rsidTr="00CF3230">
        <w:tc>
          <w:tcPr>
            <w:tcW w:w="2427" w:type="pct"/>
          </w:tcPr>
          <w:p w:rsidR="00F727E7" w:rsidRPr="00DB4F12" w:rsidRDefault="00F727E7" w:rsidP="00CF3230">
            <w:pPr>
              <w:jc w:val="both"/>
              <w:rPr>
                <w:sz w:val="20"/>
                <w:szCs w:val="20"/>
              </w:rPr>
            </w:pPr>
            <w:r w:rsidRPr="00DB4F12">
              <w:rPr>
                <w:sz w:val="20"/>
                <w:szCs w:val="20"/>
              </w:rPr>
              <w:t>March 9, 2009</w:t>
            </w:r>
          </w:p>
          <w:p w:rsidR="00F727E7" w:rsidRPr="00DB4F12" w:rsidRDefault="00F727E7" w:rsidP="00CF3230">
            <w:pPr>
              <w:jc w:val="both"/>
              <w:rPr>
                <w:sz w:val="20"/>
                <w:szCs w:val="20"/>
              </w:rPr>
            </w:pPr>
            <w:r w:rsidRPr="00DB4F12">
              <w:rPr>
                <w:sz w:val="20"/>
                <w:szCs w:val="20"/>
              </w:rPr>
              <w:t xml:space="preserve">Appeals Commission for Alberta Workers’ </w:t>
            </w:r>
          </w:p>
          <w:p w:rsidR="00F727E7" w:rsidRPr="00DB4F12" w:rsidRDefault="00F727E7" w:rsidP="00CF3230">
            <w:pPr>
              <w:jc w:val="both"/>
              <w:rPr>
                <w:sz w:val="20"/>
                <w:szCs w:val="20"/>
              </w:rPr>
            </w:pPr>
            <w:r w:rsidRPr="00DB4F12">
              <w:rPr>
                <w:sz w:val="20"/>
                <w:szCs w:val="20"/>
              </w:rPr>
              <w:t>Compensation</w:t>
            </w:r>
          </w:p>
          <w:p w:rsidR="00F727E7" w:rsidRPr="00DB4F12" w:rsidRDefault="00F727E7" w:rsidP="00CF3230">
            <w:pPr>
              <w:jc w:val="both"/>
              <w:rPr>
                <w:sz w:val="20"/>
                <w:szCs w:val="20"/>
              </w:rPr>
            </w:pPr>
            <w:r w:rsidRPr="00DB4F12">
              <w:rPr>
                <w:sz w:val="20"/>
                <w:szCs w:val="20"/>
              </w:rPr>
              <w:t xml:space="preserve">(Spaans A (Chair), Brittain and Sword </w:t>
            </w:r>
          </w:p>
          <w:p w:rsidR="00F727E7" w:rsidRPr="00DB4F12" w:rsidRDefault="00F727E7" w:rsidP="00CF3230">
            <w:pPr>
              <w:jc w:val="both"/>
              <w:rPr>
                <w:sz w:val="20"/>
                <w:szCs w:val="20"/>
              </w:rPr>
            </w:pPr>
            <w:r w:rsidRPr="00DB4F12">
              <w:rPr>
                <w:sz w:val="20"/>
                <w:szCs w:val="20"/>
              </w:rPr>
              <w:t>Commissioners)</w:t>
            </w:r>
          </w:p>
          <w:p w:rsidR="00F727E7" w:rsidRPr="00DB4F12" w:rsidRDefault="00F727E7" w:rsidP="00CF3230">
            <w:pPr>
              <w:jc w:val="both"/>
              <w:rPr>
                <w:sz w:val="20"/>
                <w:szCs w:val="20"/>
              </w:rPr>
            </w:pP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Decision of Board confirmed, worker’s appeal denied: Applicant does not have an acceptable claim for chronic onset psychological/psychiatric injury as result of stress in workplace.</w:t>
            </w:r>
          </w:p>
          <w:p w:rsidR="00F727E7" w:rsidRPr="00DB4F12" w:rsidRDefault="00F727E7" w:rsidP="00CF3230">
            <w:pPr>
              <w:jc w:val="both"/>
              <w:rPr>
                <w:sz w:val="20"/>
                <w:szCs w:val="20"/>
              </w:rPr>
            </w:pPr>
          </w:p>
        </w:tc>
      </w:tr>
      <w:tr w:rsidR="00F727E7" w:rsidRPr="00DB4F12" w:rsidTr="00CF3230">
        <w:tc>
          <w:tcPr>
            <w:tcW w:w="2427" w:type="pct"/>
          </w:tcPr>
          <w:p w:rsidR="00F727E7" w:rsidRPr="00DB4F12" w:rsidRDefault="00F727E7" w:rsidP="00CF3230">
            <w:pPr>
              <w:jc w:val="both"/>
              <w:rPr>
                <w:sz w:val="20"/>
                <w:szCs w:val="20"/>
              </w:rPr>
            </w:pPr>
            <w:r w:rsidRPr="00DB4F12">
              <w:rPr>
                <w:sz w:val="20"/>
                <w:szCs w:val="20"/>
              </w:rPr>
              <w:t>March 9, 2010</w:t>
            </w:r>
          </w:p>
          <w:p w:rsidR="00F727E7" w:rsidRPr="00DB4F12" w:rsidRDefault="00F727E7" w:rsidP="00CF3230">
            <w:pPr>
              <w:jc w:val="both"/>
              <w:rPr>
                <w:sz w:val="20"/>
                <w:szCs w:val="20"/>
              </w:rPr>
            </w:pPr>
            <w:r w:rsidRPr="00DB4F12">
              <w:rPr>
                <w:sz w:val="20"/>
                <w:szCs w:val="20"/>
              </w:rPr>
              <w:t>Court of Queen’s Bench of Alberta</w:t>
            </w:r>
          </w:p>
          <w:p w:rsidR="00F727E7" w:rsidRPr="00DB4F12" w:rsidRDefault="00F727E7" w:rsidP="00CF3230">
            <w:pPr>
              <w:jc w:val="both"/>
              <w:rPr>
                <w:sz w:val="20"/>
                <w:szCs w:val="20"/>
              </w:rPr>
            </w:pPr>
            <w:r w:rsidRPr="00DB4F12">
              <w:rPr>
                <w:sz w:val="20"/>
                <w:szCs w:val="20"/>
              </w:rPr>
              <w:t>(Ouellette J.)</w:t>
            </w:r>
          </w:p>
          <w:p w:rsidR="00F727E7" w:rsidRPr="00DB4F12" w:rsidRDefault="00F727E7" w:rsidP="00CF3230">
            <w:pPr>
              <w:jc w:val="both"/>
              <w:rPr>
                <w:sz w:val="20"/>
                <w:szCs w:val="20"/>
              </w:rPr>
            </w:pP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Judicial review application allowed: Board decision set aside;</w:t>
            </w:r>
            <w:r w:rsidRPr="00DB4F12">
              <w:rPr>
                <w:color w:val="000000"/>
                <w:sz w:val="20"/>
                <w:szCs w:val="20"/>
                <w:lang w:eastAsia="fr-FR"/>
              </w:rPr>
              <w:t xml:space="preserve"> matter to be returned to the Commission to determine entitlement based on Chamber Judge’s interpretation of s. 4(1)(a)(i) of </w:t>
            </w:r>
            <w:r w:rsidRPr="00DB4F12">
              <w:rPr>
                <w:i/>
                <w:iCs/>
                <w:color w:val="000000"/>
                <w:sz w:val="20"/>
                <w:szCs w:val="20"/>
                <w:lang w:eastAsia="fr-FR"/>
              </w:rPr>
              <w:t xml:space="preserve">Government Employees Compensation </w:t>
            </w:r>
            <w:r w:rsidRPr="00DB4F12">
              <w:rPr>
                <w:iCs/>
                <w:color w:val="000000"/>
                <w:sz w:val="20"/>
                <w:szCs w:val="20"/>
                <w:lang w:eastAsia="fr-FR"/>
              </w:rPr>
              <w:t xml:space="preserve">Act </w:t>
            </w:r>
            <w:r w:rsidRPr="00DB4F12">
              <w:rPr>
                <w:color w:val="000000"/>
                <w:sz w:val="20"/>
                <w:szCs w:val="20"/>
                <w:lang w:eastAsia="fr-FR"/>
              </w:rPr>
              <w:t xml:space="preserve">and without regard to any further limitations in the </w:t>
            </w:r>
            <w:r w:rsidRPr="00DB4F12">
              <w:rPr>
                <w:i/>
                <w:iCs/>
                <w:color w:val="000000"/>
                <w:sz w:val="20"/>
                <w:szCs w:val="20"/>
                <w:lang w:eastAsia="fr-FR"/>
              </w:rPr>
              <w:t>Policy</w:t>
            </w:r>
            <w:r w:rsidRPr="00DB4F12">
              <w:rPr>
                <w:color w:val="000000"/>
                <w:sz w:val="20"/>
                <w:szCs w:val="20"/>
                <w:lang w:eastAsia="fr-FR"/>
              </w:rPr>
              <w:t>.</w:t>
            </w:r>
          </w:p>
          <w:p w:rsidR="00F727E7" w:rsidRPr="00DB4F12" w:rsidRDefault="00F727E7" w:rsidP="00CF3230">
            <w:pPr>
              <w:jc w:val="both"/>
              <w:rPr>
                <w:sz w:val="20"/>
                <w:szCs w:val="20"/>
              </w:rPr>
            </w:pPr>
          </w:p>
        </w:tc>
      </w:tr>
      <w:tr w:rsidR="00F727E7" w:rsidRPr="00DB4F12" w:rsidTr="00CF3230">
        <w:tc>
          <w:tcPr>
            <w:tcW w:w="2427" w:type="pct"/>
          </w:tcPr>
          <w:p w:rsidR="00F727E7" w:rsidRPr="00DB4F12" w:rsidRDefault="00F727E7" w:rsidP="00CF3230">
            <w:pPr>
              <w:jc w:val="both"/>
              <w:rPr>
                <w:sz w:val="20"/>
                <w:szCs w:val="20"/>
              </w:rPr>
            </w:pPr>
            <w:r w:rsidRPr="00DB4F12">
              <w:rPr>
                <w:sz w:val="20"/>
                <w:szCs w:val="20"/>
              </w:rPr>
              <w:t>August 29, 2012</w:t>
            </w:r>
          </w:p>
          <w:p w:rsidR="00F727E7" w:rsidRPr="00DB4F12" w:rsidRDefault="00F727E7" w:rsidP="00CF3230">
            <w:pPr>
              <w:jc w:val="both"/>
              <w:rPr>
                <w:sz w:val="20"/>
                <w:szCs w:val="20"/>
              </w:rPr>
            </w:pPr>
            <w:r w:rsidRPr="00DB4F12">
              <w:rPr>
                <w:sz w:val="20"/>
                <w:szCs w:val="20"/>
              </w:rPr>
              <w:t>Court of Appeal of Alberta (Calgary)</w:t>
            </w:r>
          </w:p>
          <w:p w:rsidR="00F727E7" w:rsidRPr="00DB4F12" w:rsidRDefault="00F727E7" w:rsidP="00CF3230">
            <w:pPr>
              <w:jc w:val="both"/>
              <w:rPr>
                <w:sz w:val="20"/>
                <w:szCs w:val="20"/>
              </w:rPr>
            </w:pPr>
            <w:r w:rsidRPr="00DB4F12">
              <w:rPr>
                <w:sz w:val="20"/>
                <w:szCs w:val="20"/>
              </w:rPr>
              <w:t>(Fraser C.J., Watson and McDonald JJ.A.)</w:t>
            </w:r>
          </w:p>
          <w:p w:rsidR="00F727E7" w:rsidRPr="00DB4F12" w:rsidRDefault="00F727E7" w:rsidP="00CF3230">
            <w:pPr>
              <w:jc w:val="both"/>
              <w:rPr>
                <w:sz w:val="20"/>
                <w:szCs w:val="20"/>
              </w:rPr>
            </w:pP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color w:val="000000"/>
                <w:sz w:val="20"/>
                <w:szCs w:val="20"/>
                <w:lang w:eastAsia="fr-FR"/>
              </w:rPr>
              <w:t>Appeal allowed.</w:t>
            </w:r>
          </w:p>
          <w:p w:rsidR="00F727E7" w:rsidRPr="00DB4F12" w:rsidRDefault="00F727E7" w:rsidP="00CF3230">
            <w:pPr>
              <w:jc w:val="both"/>
              <w:rPr>
                <w:sz w:val="20"/>
                <w:szCs w:val="20"/>
              </w:rPr>
            </w:pPr>
          </w:p>
        </w:tc>
      </w:tr>
      <w:tr w:rsidR="00F727E7" w:rsidRPr="00DB4F12" w:rsidTr="00CF3230">
        <w:tc>
          <w:tcPr>
            <w:tcW w:w="2427" w:type="pct"/>
          </w:tcPr>
          <w:p w:rsidR="00F727E7" w:rsidRPr="00DB4F12" w:rsidRDefault="00F727E7" w:rsidP="00CF3230">
            <w:pPr>
              <w:jc w:val="both"/>
              <w:rPr>
                <w:sz w:val="20"/>
                <w:szCs w:val="20"/>
              </w:rPr>
            </w:pPr>
            <w:r w:rsidRPr="00DB4F12">
              <w:rPr>
                <w:sz w:val="20"/>
                <w:szCs w:val="20"/>
              </w:rPr>
              <w:t>October 26, 2012</w:t>
            </w:r>
          </w:p>
          <w:p w:rsidR="00F727E7" w:rsidRPr="00DB4F12" w:rsidRDefault="00F727E7" w:rsidP="00CF3230">
            <w:pPr>
              <w:jc w:val="both"/>
              <w:rPr>
                <w:sz w:val="20"/>
                <w:szCs w:val="20"/>
              </w:rPr>
            </w:pPr>
            <w:r w:rsidRPr="00DB4F12">
              <w:rPr>
                <w:sz w:val="20"/>
                <w:szCs w:val="20"/>
              </w:rPr>
              <w:t>Supreme Court of Canada</w:t>
            </w: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Application for leave to appeal filed.</w:t>
            </w:r>
          </w:p>
          <w:p w:rsidR="00F727E7" w:rsidRPr="00DB4F12" w:rsidRDefault="00F727E7" w:rsidP="00CF3230">
            <w:pPr>
              <w:jc w:val="both"/>
              <w:rPr>
                <w:sz w:val="20"/>
                <w:szCs w:val="20"/>
              </w:rPr>
            </w:pPr>
          </w:p>
        </w:tc>
      </w:tr>
    </w:tbl>
    <w:p w:rsidR="003101AB" w:rsidRPr="00C50A5C" w:rsidRDefault="003101AB" w:rsidP="003101AB">
      <w:pPr>
        <w:rPr>
          <w:sz w:val="20"/>
          <w:szCs w:val="20"/>
        </w:rPr>
      </w:pPr>
    </w:p>
    <w:p w:rsidR="003101AB" w:rsidRPr="00C50A5C" w:rsidRDefault="003F21C7" w:rsidP="003101AB">
      <w:pPr>
        <w:rPr>
          <w:sz w:val="20"/>
          <w:szCs w:val="20"/>
        </w:rPr>
      </w:pPr>
      <w:r w:rsidRPr="003F21C7">
        <w:rPr>
          <w:sz w:val="20"/>
          <w:szCs w:val="20"/>
          <w:lang w:val="fr-CA"/>
        </w:rPr>
        <w:pict>
          <v:rect id="_x0000_i1052" style="width:2in;height:1pt" o:hrpct="0" o:hralign="center" o:hrstd="t" o:hrnoshade="t" o:hr="t" fillcolor="black [3213]" stroked="f"/>
        </w:pict>
      </w:r>
    </w:p>
    <w:p w:rsidR="003101AB" w:rsidRDefault="003101AB" w:rsidP="003101AB">
      <w:pPr>
        <w:rPr>
          <w:sz w:val="20"/>
          <w:szCs w:val="20"/>
        </w:rPr>
      </w:pPr>
    </w:p>
    <w:p w:rsidR="003101AB" w:rsidRPr="001B157C" w:rsidRDefault="003101AB" w:rsidP="003101AB">
      <w:pPr>
        <w:rPr>
          <w:sz w:val="20"/>
          <w:szCs w:val="20"/>
          <w:u w:val="single"/>
          <w:lang w:val="fr-CA"/>
        </w:rPr>
      </w:pPr>
      <w:r w:rsidRPr="001B157C">
        <w:rPr>
          <w:sz w:val="20"/>
          <w:szCs w:val="20"/>
          <w:u w:val="single"/>
          <w:lang w:val="fr-CA"/>
        </w:rPr>
        <w:t>RÉSUMÉ DE L’AFFAIRE</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727E7" w:rsidRPr="00462F49" w:rsidTr="00CF3230">
        <w:tc>
          <w:tcPr>
            <w:tcW w:w="5000" w:type="pct"/>
            <w:gridSpan w:val="3"/>
          </w:tcPr>
          <w:p w:rsidR="00F727E7" w:rsidRPr="00DB4F12" w:rsidRDefault="00F727E7" w:rsidP="00CF3230">
            <w:pPr>
              <w:jc w:val="both"/>
              <w:rPr>
                <w:sz w:val="20"/>
                <w:szCs w:val="20"/>
                <w:lang w:val="fr-FR"/>
              </w:rPr>
            </w:pPr>
            <w:r w:rsidRPr="00DB4F12">
              <w:rPr>
                <w:sz w:val="20"/>
                <w:szCs w:val="20"/>
                <w:lang w:val="fr-FR"/>
              </w:rPr>
              <w:t>Lois – Interprétation des lois – Admissibilité à une indemnité – L’admissibilité d’un fonctionnaire fédéral ou employé d’une société d’État fédérale à une indemnité pour accident du travail est</w:t>
            </w:r>
            <w:r w:rsidRPr="00DB4F12">
              <w:rPr>
                <w:sz w:val="20"/>
                <w:szCs w:val="20"/>
                <w:lang w:val="fr-FR"/>
              </w:rPr>
              <w:noBreakHyphen/>
              <w:t xml:space="preserve">elle prévue par la </w:t>
            </w:r>
            <w:r w:rsidRPr="00DB4F12">
              <w:rPr>
                <w:i/>
                <w:sz w:val="20"/>
                <w:szCs w:val="20"/>
                <w:lang w:val="fr-FR"/>
              </w:rPr>
              <w:t>Loi sur l’indemnisation des agents de l’État</w:t>
            </w:r>
            <w:r w:rsidRPr="00DB4F12">
              <w:rPr>
                <w:sz w:val="20"/>
                <w:szCs w:val="20"/>
                <w:lang w:val="fr-FR"/>
              </w:rPr>
              <w:t>, R.S.C. 1985, ch. G</w:t>
            </w:r>
            <w:r w:rsidRPr="00DB4F12">
              <w:rPr>
                <w:sz w:val="20"/>
                <w:szCs w:val="20"/>
                <w:lang w:val="fr-FR"/>
              </w:rPr>
              <w:noBreakHyphen/>
              <w:t>5,  ou la loi provinciale? – Peut</w:t>
            </w:r>
            <w:r w:rsidRPr="00DB4F12">
              <w:rPr>
                <w:sz w:val="20"/>
                <w:szCs w:val="20"/>
                <w:lang w:val="fr-FR"/>
              </w:rPr>
              <w:noBreakHyphen/>
              <w:t xml:space="preserve">on interpréter la définition d’« accident » figurant dans la </w:t>
            </w:r>
            <w:r w:rsidRPr="00DB4F12">
              <w:rPr>
                <w:i/>
                <w:sz w:val="20"/>
                <w:szCs w:val="20"/>
                <w:lang w:val="fr-FR"/>
              </w:rPr>
              <w:t xml:space="preserve">Loi sur l’indemnisation des agents de l’État </w:t>
            </w:r>
            <w:r w:rsidRPr="00DB4F12">
              <w:rPr>
                <w:sz w:val="20"/>
                <w:szCs w:val="20"/>
                <w:lang w:val="fr-FR"/>
              </w:rPr>
              <w:t>de manière à ce que seul un événement « excessif ou inusité » puisse justifier une demande fondée sur un stress psychologique?</w:t>
            </w:r>
          </w:p>
        </w:tc>
      </w:tr>
      <w:tr w:rsidR="00F727E7" w:rsidRPr="00462F49" w:rsidTr="00CF3230">
        <w:tc>
          <w:tcPr>
            <w:tcW w:w="5000" w:type="pct"/>
            <w:gridSpan w:val="3"/>
          </w:tcPr>
          <w:p w:rsidR="00F727E7" w:rsidRPr="00DB4F12" w:rsidRDefault="00F727E7" w:rsidP="00CF3230">
            <w:pPr>
              <w:jc w:val="both"/>
              <w:rPr>
                <w:sz w:val="20"/>
                <w:szCs w:val="20"/>
                <w:lang w:val="fr-FR"/>
              </w:rPr>
            </w:pPr>
          </w:p>
        </w:tc>
      </w:tr>
      <w:tr w:rsidR="00F727E7" w:rsidRPr="00462F49" w:rsidTr="00CF3230">
        <w:tc>
          <w:tcPr>
            <w:tcW w:w="5000" w:type="pct"/>
            <w:gridSpan w:val="3"/>
          </w:tcPr>
          <w:p w:rsidR="00F727E7" w:rsidRPr="00DB4F12" w:rsidRDefault="00F727E7" w:rsidP="00CF3230">
            <w:pPr>
              <w:jc w:val="both"/>
              <w:rPr>
                <w:sz w:val="20"/>
                <w:szCs w:val="20"/>
                <w:lang w:val="fr-FR"/>
              </w:rPr>
            </w:pPr>
            <w:r w:rsidRPr="00DB4F12">
              <w:rPr>
                <w:color w:val="000000"/>
                <w:sz w:val="20"/>
                <w:szCs w:val="20"/>
                <w:lang w:val="fr-FR"/>
              </w:rPr>
              <w:t xml:space="preserve">L’intimé, M. Martin, a déposé une plainte en matière de relations de travail contre le demandeur, son employeur.  P ar la suite, Parcs Canada a donné pour instruction à l’intimé de communiquer des renseignements sur des données enregistrées dans son ordinateur au travail pour que Parcs Canada soit en mesure d’accéder à une demande qu’il avait reçue en application de la </w:t>
            </w:r>
            <w:r w:rsidRPr="00DB4F12">
              <w:rPr>
                <w:i/>
                <w:color w:val="000000"/>
                <w:sz w:val="20"/>
                <w:szCs w:val="20"/>
                <w:lang w:val="fr-FR"/>
              </w:rPr>
              <w:t>Loi sur l’accès à l’information</w:t>
            </w:r>
            <w:r w:rsidRPr="00DB4F12">
              <w:rPr>
                <w:color w:val="000000"/>
                <w:sz w:val="20"/>
                <w:szCs w:val="20"/>
                <w:lang w:val="fr-FR"/>
              </w:rPr>
              <w:t xml:space="preserve">.  Selon l’intimé, cette demande a provoqué un trouble psychologique qui l’a amené à prendre congé et, en fin de compte, à présenter une demande d’indemnité pour stress chronique.  Le  Workers’ Compensation Board (Bureau) a conclu que l’apparition du stress chronique subi par l’intimé n’ouvrait pas droit à une indemnité parce qu’il ne satisfaisait pas à deux des critères énoncés dans la </w:t>
            </w:r>
            <w:r w:rsidRPr="00DB4F12">
              <w:rPr>
                <w:i/>
                <w:color w:val="000000"/>
                <w:sz w:val="20"/>
                <w:szCs w:val="20"/>
                <w:lang w:val="fr-FR" w:eastAsia="fr-FR"/>
              </w:rPr>
              <w:t xml:space="preserve">Workers’ Compensation Board of Directors </w:t>
            </w:r>
            <w:r w:rsidRPr="00DB4F12">
              <w:rPr>
                <w:i/>
                <w:iCs/>
                <w:color w:val="000000"/>
                <w:sz w:val="20"/>
                <w:szCs w:val="20"/>
                <w:lang w:val="fr-FR" w:eastAsia="fr-FR"/>
              </w:rPr>
              <w:t>Policy 03</w:t>
            </w:r>
            <w:r w:rsidRPr="00DB4F12">
              <w:rPr>
                <w:i/>
                <w:iCs/>
                <w:color w:val="000000"/>
                <w:sz w:val="20"/>
                <w:szCs w:val="20"/>
                <w:lang w:val="fr-FR" w:eastAsia="fr-FR"/>
              </w:rPr>
              <w:noBreakHyphen/>
              <w:t>01</w:t>
            </w:r>
            <w:r w:rsidRPr="00DB4F12">
              <w:rPr>
                <w:color w:val="000000"/>
                <w:sz w:val="20"/>
                <w:szCs w:val="20"/>
                <w:lang w:val="fr-FR"/>
              </w:rPr>
              <w:t xml:space="preserve"> vu que les problèmes de relations de travail mettant en cause Parcs Canada n’étaient pas excessifs ou inusités par rapport aux pressions et tensions exercées normalement sur le travailleur moyen exerçant un emploi semblable.  La </w:t>
            </w:r>
            <w:r w:rsidRPr="00DB4F12">
              <w:rPr>
                <w:sz w:val="20"/>
                <w:szCs w:val="20"/>
                <w:lang w:val="fr-FR"/>
              </w:rPr>
              <w:t xml:space="preserve">Appeals Commission for Alberta Workers’ Compensation (Commission) a également conclu que l’intimé n’avait pas répondu à deux critères de la Politique </w:t>
            </w:r>
            <w:r w:rsidRPr="00DB4F12">
              <w:rPr>
                <w:color w:val="000000"/>
                <w:sz w:val="20"/>
                <w:szCs w:val="20"/>
                <w:lang w:val="fr-FR"/>
              </w:rPr>
              <w:t>et n’avait pas droit à l’indemnité.</w:t>
            </w:r>
          </w:p>
          <w:p w:rsidR="00F727E7" w:rsidRPr="00DB4F12" w:rsidRDefault="00F727E7" w:rsidP="00CF3230">
            <w:pPr>
              <w:jc w:val="both"/>
              <w:rPr>
                <w:sz w:val="20"/>
                <w:szCs w:val="20"/>
                <w:lang w:val="fr-FR"/>
              </w:rPr>
            </w:pPr>
          </w:p>
        </w:tc>
      </w:tr>
      <w:tr w:rsidR="00F727E7" w:rsidRPr="00462F49" w:rsidTr="00CF3230">
        <w:tc>
          <w:tcPr>
            <w:tcW w:w="2427" w:type="pct"/>
          </w:tcPr>
          <w:p w:rsidR="00F727E7" w:rsidRPr="00DB4F12" w:rsidRDefault="00F727E7" w:rsidP="00CF3230">
            <w:pPr>
              <w:jc w:val="both"/>
              <w:rPr>
                <w:sz w:val="20"/>
                <w:szCs w:val="20"/>
              </w:rPr>
            </w:pPr>
            <w:r w:rsidRPr="00DB4F12">
              <w:rPr>
                <w:sz w:val="20"/>
                <w:szCs w:val="20"/>
              </w:rPr>
              <w:t>9 mars 2009</w:t>
            </w:r>
          </w:p>
          <w:p w:rsidR="00F727E7" w:rsidRPr="00DB4F12" w:rsidRDefault="00F727E7" w:rsidP="00CF3230">
            <w:pPr>
              <w:jc w:val="both"/>
              <w:rPr>
                <w:sz w:val="20"/>
                <w:szCs w:val="20"/>
              </w:rPr>
            </w:pPr>
            <w:r w:rsidRPr="00DB4F12">
              <w:rPr>
                <w:sz w:val="20"/>
                <w:szCs w:val="20"/>
              </w:rPr>
              <w:t xml:space="preserve">Appeals Commission for Alberta Workers’ </w:t>
            </w:r>
          </w:p>
          <w:p w:rsidR="00F727E7" w:rsidRPr="00DB4F12" w:rsidRDefault="00F727E7" w:rsidP="00CF3230">
            <w:pPr>
              <w:jc w:val="both"/>
              <w:rPr>
                <w:sz w:val="20"/>
                <w:szCs w:val="20"/>
                <w:lang w:val="fr-CA"/>
              </w:rPr>
            </w:pPr>
            <w:r w:rsidRPr="00DB4F12">
              <w:rPr>
                <w:sz w:val="20"/>
                <w:szCs w:val="20"/>
                <w:lang w:val="fr-CA"/>
              </w:rPr>
              <w:t>Compensation</w:t>
            </w:r>
          </w:p>
          <w:p w:rsidR="00F727E7" w:rsidRPr="00DB4F12" w:rsidRDefault="00F727E7" w:rsidP="00CF3230">
            <w:pPr>
              <w:jc w:val="both"/>
              <w:rPr>
                <w:sz w:val="20"/>
                <w:szCs w:val="20"/>
                <w:lang w:val="fr-FR"/>
              </w:rPr>
            </w:pPr>
            <w:r w:rsidRPr="00DB4F12">
              <w:rPr>
                <w:sz w:val="20"/>
                <w:szCs w:val="20"/>
                <w:lang w:val="fr-FR"/>
              </w:rPr>
              <w:t>(Spaans A (président), commissaires Brittain et Sword)</w:t>
            </w:r>
          </w:p>
        </w:tc>
        <w:tc>
          <w:tcPr>
            <w:tcW w:w="243" w:type="pct"/>
          </w:tcPr>
          <w:p w:rsidR="00F727E7" w:rsidRPr="00DB4F12" w:rsidRDefault="00F727E7" w:rsidP="00CF3230">
            <w:pPr>
              <w:jc w:val="both"/>
              <w:rPr>
                <w:sz w:val="20"/>
                <w:szCs w:val="20"/>
                <w:lang w:val="fr-FR"/>
              </w:rPr>
            </w:pPr>
          </w:p>
        </w:tc>
        <w:tc>
          <w:tcPr>
            <w:tcW w:w="2330" w:type="pct"/>
          </w:tcPr>
          <w:p w:rsidR="00F727E7" w:rsidRPr="00DB4F12" w:rsidRDefault="00F727E7" w:rsidP="00CF3230">
            <w:pPr>
              <w:jc w:val="both"/>
              <w:rPr>
                <w:sz w:val="20"/>
                <w:szCs w:val="20"/>
                <w:lang w:val="fr-FR"/>
              </w:rPr>
            </w:pPr>
            <w:r w:rsidRPr="00DB4F12">
              <w:rPr>
                <w:sz w:val="20"/>
                <w:szCs w:val="20"/>
                <w:lang w:val="fr-FR"/>
              </w:rPr>
              <w:t>Décision du Bureau confirmée, appel du travailleur rejeté : La demande du requérant fondée sur l’apparition d’un préjudice psychologique/psychiatrique chronique découlant du stress au travail ne peut être acceptée.</w:t>
            </w:r>
          </w:p>
          <w:p w:rsidR="00F727E7" w:rsidRPr="00DB4F12" w:rsidRDefault="00F727E7" w:rsidP="00CF3230">
            <w:pPr>
              <w:jc w:val="both"/>
              <w:rPr>
                <w:sz w:val="20"/>
                <w:szCs w:val="20"/>
                <w:lang w:val="fr-FR"/>
              </w:rPr>
            </w:pPr>
          </w:p>
        </w:tc>
      </w:tr>
      <w:tr w:rsidR="00F727E7" w:rsidRPr="00462F49" w:rsidTr="00CF3230">
        <w:tc>
          <w:tcPr>
            <w:tcW w:w="2427" w:type="pct"/>
          </w:tcPr>
          <w:p w:rsidR="00F727E7" w:rsidRPr="00DB4F12" w:rsidRDefault="00F727E7" w:rsidP="00CF3230">
            <w:pPr>
              <w:jc w:val="both"/>
              <w:rPr>
                <w:sz w:val="20"/>
                <w:szCs w:val="20"/>
                <w:lang w:val="fr-FR"/>
              </w:rPr>
            </w:pPr>
            <w:r w:rsidRPr="00DB4F12">
              <w:rPr>
                <w:sz w:val="20"/>
                <w:szCs w:val="20"/>
                <w:lang w:val="fr-FR"/>
              </w:rPr>
              <w:t>9 mars 2010</w:t>
            </w:r>
          </w:p>
          <w:p w:rsidR="00F727E7" w:rsidRPr="00DB4F12" w:rsidRDefault="00F727E7" w:rsidP="00CF3230">
            <w:pPr>
              <w:jc w:val="both"/>
              <w:rPr>
                <w:sz w:val="20"/>
                <w:szCs w:val="20"/>
                <w:lang w:val="fr-FR"/>
              </w:rPr>
            </w:pPr>
            <w:r w:rsidRPr="00DB4F12">
              <w:rPr>
                <w:sz w:val="20"/>
                <w:szCs w:val="20"/>
                <w:lang w:val="fr-FR"/>
              </w:rPr>
              <w:t>Cour du Banc de la Reine de l’Alberta</w:t>
            </w:r>
          </w:p>
          <w:p w:rsidR="00F727E7" w:rsidRPr="00DB4F12" w:rsidRDefault="00F727E7" w:rsidP="00CF3230">
            <w:pPr>
              <w:jc w:val="both"/>
              <w:rPr>
                <w:sz w:val="20"/>
                <w:szCs w:val="20"/>
              </w:rPr>
            </w:pPr>
            <w:r w:rsidRPr="00DB4F12">
              <w:rPr>
                <w:sz w:val="20"/>
                <w:szCs w:val="20"/>
              </w:rPr>
              <w:t>(Juge Ouellette)</w:t>
            </w:r>
          </w:p>
          <w:p w:rsidR="00F727E7" w:rsidRPr="00DB4F12" w:rsidRDefault="00F727E7" w:rsidP="00CF3230">
            <w:pPr>
              <w:jc w:val="both"/>
              <w:rPr>
                <w:sz w:val="20"/>
                <w:szCs w:val="20"/>
              </w:rPr>
            </w:pP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lang w:val="fr-FR"/>
              </w:rPr>
            </w:pPr>
            <w:r w:rsidRPr="00DB4F12">
              <w:rPr>
                <w:sz w:val="20"/>
                <w:szCs w:val="20"/>
                <w:lang w:val="fr-FR"/>
              </w:rPr>
              <w:t>Demande de contrôle judiciaire accueillie : décision du Bureau annulée;</w:t>
            </w:r>
            <w:r w:rsidRPr="00DB4F12">
              <w:rPr>
                <w:color w:val="000000"/>
                <w:sz w:val="20"/>
                <w:szCs w:val="20"/>
                <w:lang w:val="fr-FR" w:eastAsia="fr-FR"/>
              </w:rPr>
              <w:t xml:space="preserve"> affaire renvoyée à la Commission pour qu’elle établisse le droit à une indemnité compte tenu de l’interprétation donnée par le juge en chambre au sous</w:t>
            </w:r>
            <w:r w:rsidRPr="00DB4F12">
              <w:rPr>
                <w:color w:val="000000"/>
                <w:sz w:val="20"/>
                <w:szCs w:val="20"/>
                <w:lang w:val="fr-FR" w:eastAsia="fr-FR"/>
              </w:rPr>
              <w:noBreakHyphen/>
              <w:t>al. 4(1)</w:t>
            </w:r>
            <w:r w:rsidRPr="00DB4F12">
              <w:rPr>
                <w:i/>
                <w:color w:val="000000"/>
                <w:sz w:val="20"/>
                <w:szCs w:val="20"/>
                <w:lang w:val="fr-FR" w:eastAsia="fr-FR"/>
              </w:rPr>
              <w:t>a</w:t>
            </w:r>
            <w:r w:rsidRPr="00DB4F12">
              <w:rPr>
                <w:color w:val="000000"/>
                <w:sz w:val="20"/>
                <w:szCs w:val="20"/>
                <w:lang w:val="fr-FR" w:eastAsia="fr-FR"/>
              </w:rPr>
              <w:t xml:space="preserve">)(i) de la  </w:t>
            </w:r>
            <w:r w:rsidRPr="00DB4F12">
              <w:rPr>
                <w:i/>
                <w:sz w:val="20"/>
                <w:szCs w:val="20"/>
                <w:lang w:val="fr-FR"/>
              </w:rPr>
              <w:t>Loi sur l’indemnisation des agents de l’État</w:t>
            </w:r>
            <w:r w:rsidRPr="00DB4F12">
              <w:rPr>
                <w:i/>
                <w:iCs/>
                <w:color w:val="000000"/>
                <w:sz w:val="20"/>
                <w:szCs w:val="20"/>
                <w:lang w:val="fr-FR" w:eastAsia="fr-FR"/>
              </w:rPr>
              <w:t xml:space="preserve"> </w:t>
            </w:r>
            <w:r w:rsidRPr="00DB4F12">
              <w:rPr>
                <w:color w:val="000000"/>
                <w:sz w:val="20"/>
                <w:szCs w:val="20"/>
                <w:lang w:val="fr-FR" w:eastAsia="fr-FR"/>
              </w:rPr>
              <w:t>et sans égard aux autres limites prévues dans la Politique.</w:t>
            </w:r>
          </w:p>
          <w:p w:rsidR="00F727E7" w:rsidRPr="00DB4F12" w:rsidRDefault="00F727E7" w:rsidP="00CF3230">
            <w:pPr>
              <w:jc w:val="both"/>
              <w:rPr>
                <w:sz w:val="20"/>
                <w:szCs w:val="20"/>
                <w:lang w:val="fr-FR"/>
              </w:rPr>
            </w:pPr>
          </w:p>
        </w:tc>
      </w:tr>
      <w:tr w:rsidR="00F727E7" w:rsidRPr="00DB4F12" w:rsidTr="00CF3230">
        <w:tc>
          <w:tcPr>
            <w:tcW w:w="2427" w:type="pct"/>
          </w:tcPr>
          <w:p w:rsidR="00F727E7" w:rsidRPr="00DB4F12" w:rsidRDefault="00F727E7" w:rsidP="00CF3230">
            <w:pPr>
              <w:jc w:val="both"/>
              <w:rPr>
                <w:sz w:val="20"/>
                <w:szCs w:val="20"/>
                <w:lang w:val="fr-FR"/>
              </w:rPr>
            </w:pPr>
            <w:r w:rsidRPr="00DB4F12">
              <w:rPr>
                <w:sz w:val="20"/>
                <w:szCs w:val="20"/>
                <w:lang w:val="fr-FR"/>
              </w:rPr>
              <w:t>29 août 2012</w:t>
            </w:r>
          </w:p>
          <w:p w:rsidR="00F727E7" w:rsidRPr="00DB4F12" w:rsidRDefault="00F727E7" w:rsidP="00CF3230">
            <w:pPr>
              <w:jc w:val="both"/>
              <w:rPr>
                <w:sz w:val="20"/>
                <w:szCs w:val="20"/>
                <w:lang w:val="fr-FR"/>
              </w:rPr>
            </w:pPr>
            <w:r w:rsidRPr="00DB4F12">
              <w:rPr>
                <w:sz w:val="20"/>
                <w:szCs w:val="20"/>
                <w:lang w:val="fr-FR"/>
              </w:rPr>
              <w:t>Cour d’appel de l’Alberta (Calgary)</w:t>
            </w:r>
          </w:p>
          <w:p w:rsidR="00F727E7" w:rsidRPr="00DB4F12" w:rsidRDefault="00F727E7" w:rsidP="00CF3230">
            <w:pPr>
              <w:jc w:val="both"/>
              <w:rPr>
                <w:sz w:val="20"/>
                <w:szCs w:val="20"/>
                <w:lang w:val="fr-FR"/>
              </w:rPr>
            </w:pPr>
            <w:r w:rsidRPr="00DB4F12">
              <w:rPr>
                <w:sz w:val="20"/>
                <w:szCs w:val="20"/>
                <w:lang w:val="fr-FR"/>
              </w:rPr>
              <w:t>(Juge en chef Fraser et juges Watson et McDonald)</w:t>
            </w:r>
          </w:p>
          <w:p w:rsidR="00F727E7" w:rsidRPr="00DB4F12" w:rsidRDefault="00F727E7" w:rsidP="00CF3230">
            <w:pPr>
              <w:jc w:val="both"/>
              <w:rPr>
                <w:sz w:val="20"/>
                <w:szCs w:val="20"/>
                <w:lang w:val="fr-FR"/>
              </w:rPr>
            </w:pPr>
          </w:p>
        </w:tc>
        <w:tc>
          <w:tcPr>
            <w:tcW w:w="243" w:type="pct"/>
          </w:tcPr>
          <w:p w:rsidR="00F727E7" w:rsidRPr="00DB4F12" w:rsidRDefault="00F727E7" w:rsidP="00CF3230">
            <w:pPr>
              <w:jc w:val="both"/>
              <w:rPr>
                <w:sz w:val="20"/>
                <w:szCs w:val="20"/>
                <w:lang w:val="fr-FR"/>
              </w:rPr>
            </w:pPr>
          </w:p>
        </w:tc>
        <w:tc>
          <w:tcPr>
            <w:tcW w:w="2330" w:type="pct"/>
          </w:tcPr>
          <w:p w:rsidR="00F727E7" w:rsidRPr="00DB4F12" w:rsidRDefault="00F727E7" w:rsidP="00CF3230">
            <w:pPr>
              <w:jc w:val="both"/>
              <w:rPr>
                <w:sz w:val="20"/>
                <w:szCs w:val="20"/>
              </w:rPr>
            </w:pPr>
            <w:r w:rsidRPr="00DB4F12">
              <w:rPr>
                <w:color w:val="000000"/>
                <w:sz w:val="20"/>
                <w:szCs w:val="20"/>
                <w:lang w:val="fr-FR" w:eastAsia="fr-FR"/>
              </w:rPr>
              <w:t>App</w:t>
            </w:r>
            <w:r w:rsidRPr="00DB4F12">
              <w:rPr>
                <w:color w:val="000000"/>
                <w:sz w:val="20"/>
                <w:szCs w:val="20"/>
                <w:lang w:eastAsia="fr-FR"/>
              </w:rPr>
              <w:t>el accueilli.</w:t>
            </w:r>
          </w:p>
          <w:p w:rsidR="00F727E7" w:rsidRPr="00DB4F12" w:rsidRDefault="00F727E7" w:rsidP="00CF3230">
            <w:pPr>
              <w:jc w:val="both"/>
              <w:rPr>
                <w:sz w:val="20"/>
                <w:szCs w:val="20"/>
              </w:rPr>
            </w:pPr>
          </w:p>
          <w:p w:rsidR="00F727E7" w:rsidRPr="00DB4F12" w:rsidRDefault="00F727E7" w:rsidP="00CF3230">
            <w:pPr>
              <w:jc w:val="both"/>
              <w:rPr>
                <w:sz w:val="20"/>
                <w:szCs w:val="20"/>
              </w:rPr>
            </w:pPr>
          </w:p>
        </w:tc>
      </w:tr>
      <w:tr w:rsidR="00F727E7" w:rsidRPr="00DB4F12" w:rsidTr="00CF3230">
        <w:tc>
          <w:tcPr>
            <w:tcW w:w="2427" w:type="pct"/>
          </w:tcPr>
          <w:p w:rsidR="00F727E7" w:rsidRPr="00DB4F12" w:rsidRDefault="00F727E7" w:rsidP="00CF3230">
            <w:pPr>
              <w:jc w:val="both"/>
              <w:rPr>
                <w:sz w:val="20"/>
                <w:szCs w:val="20"/>
                <w:lang w:val="fr-FR"/>
              </w:rPr>
            </w:pPr>
            <w:r w:rsidRPr="00DB4F12">
              <w:rPr>
                <w:sz w:val="20"/>
                <w:szCs w:val="20"/>
                <w:lang w:val="fr-FR"/>
              </w:rPr>
              <w:t>26 octobre 2012</w:t>
            </w:r>
          </w:p>
          <w:p w:rsidR="00F727E7" w:rsidRPr="00DB4F12" w:rsidRDefault="00F727E7" w:rsidP="00CF3230">
            <w:pPr>
              <w:jc w:val="both"/>
              <w:rPr>
                <w:sz w:val="20"/>
                <w:szCs w:val="20"/>
                <w:lang w:val="fr-FR"/>
              </w:rPr>
            </w:pPr>
            <w:r w:rsidRPr="00DB4F12">
              <w:rPr>
                <w:sz w:val="20"/>
                <w:szCs w:val="20"/>
                <w:lang w:val="fr-FR"/>
              </w:rPr>
              <w:t>Cour suprême du Canada</w:t>
            </w:r>
          </w:p>
        </w:tc>
        <w:tc>
          <w:tcPr>
            <w:tcW w:w="243" w:type="pct"/>
          </w:tcPr>
          <w:p w:rsidR="00F727E7" w:rsidRPr="00DB4F12" w:rsidRDefault="00F727E7" w:rsidP="00CF3230">
            <w:pPr>
              <w:jc w:val="both"/>
              <w:rPr>
                <w:sz w:val="20"/>
                <w:szCs w:val="20"/>
                <w:lang w:val="fr-FR"/>
              </w:rPr>
            </w:pPr>
          </w:p>
        </w:tc>
        <w:tc>
          <w:tcPr>
            <w:tcW w:w="2330" w:type="pct"/>
          </w:tcPr>
          <w:p w:rsidR="00F727E7" w:rsidRPr="00DB4F12" w:rsidRDefault="00F727E7" w:rsidP="00CF3230">
            <w:pPr>
              <w:jc w:val="both"/>
              <w:rPr>
                <w:sz w:val="20"/>
                <w:szCs w:val="20"/>
              </w:rPr>
            </w:pPr>
            <w:r w:rsidRPr="00DB4F12">
              <w:rPr>
                <w:sz w:val="20"/>
                <w:szCs w:val="20"/>
                <w:lang w:val="fr-FR"/>
              </w:rPr>
              <w:t>Demande d’autorisation d’appel déposée</w:t>
            </w:r>
            <w:r w:rsidRPr="00DB4F12">
              <w:rPr>
                <w:sz w:val="20"/>
                <w:szCs w:val="20"/>
              </w:rPr>
              <w:t>.</w:t>
            </w:r>
          </w:p>
          <w:p w:rsidR="00F727E7" w:rsidRPr="00DB4F12" w:rsidRDefault="00F727E7" w:rsidP="00CF3230">
            <w:pPr>
              <w:jc w:val="both"/>
              <w:rPr>
                <w:sz w:val="20"/>
                <w:szCs w:val="20"/>
              </w:rPr>
            </w:pPr>
          </w:p>
        </w:tc>
      </w:tr>
    </w:tbl>
    <w:p w:rsidR="003101AB" w:rsidRDefault="003101AB" w:rsidP="003101AB">
      <w:pPr>
        <w:rPr>
          <w:sz w:val="20"/>
          <w:szCs w:val="20"/>
        </w:rPr>
      </w:pPr>
    </w:p>
    <w:p w:rsidR="003101AB" w:rsidRDefault="003F21C7" w:rsidP="003101AB">
      <w:pPr>
        <w:rPr>
          <w:sz w:val="20"/>
          <w:szCs w:val="20"/>
          <w:lang w:val="fr-CA"/>
        </w:rPr>
      </w:pPr>
      <w:r w:rsidRPr="003F21C7">
        <w:rPr>
          <w:sz w:val="20"/>
          <w:szCs w:val="20"/>
          <w:lang w:val="fr-CA"/>
        </w:rPr>
        <w:pict>
          <v:rect id="_x0000_i1053" style="width:2in;height:1pt" o:hrpct="0" o:hralign="center" o:hrstd="t" o:hrnoshade="t" o:hr="t" fillcolor="black [3213]" stroked="f"/>
        </w:pict>
      </w:r>
    </w:p>
    <w:p w:rsidR="003101AB" w:rsidRDefault="003101AB" w:rsidP="003101AB">
      <w:pPr>
        <w:rPr>
          <w:sz w:val="20"/>
          <w:szCs w:val="20"/>
        </w:rPr>
      </w:pPr>
    </w:p>
    <w:p w:rsidR="000C49B2" w:rsidRDefault="000C49B2">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76F53" w:rsidRPr="00466183" w:rsidTr="00DD7751">
        <w:trPr>
          <w:cantSplit/>
        </w:trPr>
        <w:tc>
          <w:tcPr>
            <w:tcW w:w="1458" w:type="dxa"/>
          </w:tcPr>
          <w:p w:rsidR="00976F53" w:rsidRPr="00466183" w:rsidRDefault="00976F53" w:rsidP="00DD7751">
            <w:pPr>
              <w:rPr>
                <w:sz w:val="20"/>
                <w:szCs w:val="20"/>
              </w:rPr>
            </w:pPr>
            <w:r w:rsidRPr="00466183">
              <w:rPr>
                <w:rStyle w:val="SCCFileNumberChar"/>
                <w:sz w:val="20"/>
                <w:szCs w:val="20"/>
              </w:rPr>
              <w:lastRenderedPageBreak/>
              <w:t>35069</w:t>
            </w:r>
          </w:p>
          <w:p w:rsidR="00976F53" w:rsidRPr="00466183" w:rsidRDefault="00976F53" w:rsidP="00DD7751">
            <w:pPr>
              <w:rPr>
                <w:b/>
                <w:sz w:val="20"/>
                <w:szCs w:val="20"/>
                <w:lang w:val="fr-CA"/>
              </w:rPr>
            </w:pPr>
          </w:p>
        </w:tc>
        <w:tc>
          <w:tcPr>
            <w:tcW w:w="8118" w:type="dxa"/>
          </w:tcPr>
          <w:p w:rsidR="00976F53" w:rsidRPr="00466183" w:rsidRDefault="00976F53" w:rsidP="000C49B2">
            <w:pPr>
              <w:jc w:val="both"/>
              <w:rPr>
                <w:sz w:val="20"/>
                <w:szCs w:val="20"/>
              </w:rPr>
            </w:pPr>
            <w:r w:rsidRPr="00466183">
              <w:rPr>
                <w:rStyle w:val="SCCLsocChar"/>
                <w:sz w:val="20"/>
                <w:szCs w:val="20"/>
                <w:lang w:val="en-CA"/>
              </w:rPr>
              <w:t>Greg Dowling Architect Inc., Gregory James Dowling, Ralf Janus Architect Incorporated, Ralf Janus, Robert Lange Architect Inc., Robert Lange, B.X. Smaill Architect Inc., Brett Donald Smaill, Sebastian Butler Architect Inc.</w:t>
            </w:r>
            <w:r>
              <w:rPr>
                <w:rStyle w:val="SCCLsocChar"/>
                <w:sz w:val="20"/>
                <w:szCs w:val="20"/>
                <w:lang w:val="en-CA"/>
              </w:rPr>
              <w:t xml:space="preserve"> and</w:t>
            </w:r>
            <w:r w:rsidRPr="00466183">
              <w:rPr>
                <w:rStyle w:val="SCCLsocChar"/>
                <w:sz w:val="20"/>
                <w:szCs w:val="20"/>
                <w:lang w:val="en-CA"/>
              </w:rPr>
              <w:t xml:space="preserve"> Sebastian Benedict Butler v. J. Raymond Griffin Architect Inc.</w:t>
            </w:r>
            <w:r>
              <w:rPr>
                <w:rStyle w:val="SCCLsocChar"/>
                <w:sz w:val="20"/>
                <w:szCs w:val="20"/>
                <w:lang w:val="en-CA"/>
              </w:rPr>
              <w:t xml:space="preserve"> and</w:t>
            </w:r>
            <w:r w:rsidRPr="00466183">
              <w:rPr>
                <w:rStyle w:val="SCCLsocChar"/>
                <w:sz w:val="20"/>
                <w:szCs w:val="20"/>
                <w:lang w:val="en-CA"/>
              </w:rPr>
              <w:t xml:space="preserve"> John Raymond Griffin</w:t>
            </w:r>
            <w:r w:rsidRPr="00466183">
              <w:rPr>
                <w:sz w:val="20"/>
                <w:szCs w:val="20"/>
              </w:rPr>
              <w:t xml:space="preserve"> (B.C.) (Civil) (By Leave)</w:t>
            </w:r>
          </w:p>
          <w:p w:rsidR="00976F53" w:rsidRPr="00466183" w:rsidRDefault="00976F53" w:rsidP="000C49B2">
            <w:pPr>
              <w:jc w:val="both"/>
              <w:rPr>
                <w:sz w:val="20"/>
                <w:szCs w:val="20"/>
              </w:rPr>
            </w:pPr>
          </w:p>
        </w:tc>
      </w:tr>
      <w:tr w:rsidR="00976F53" w:rsidRPr="00466183" w:rsidTr="00DD7751">
        <w:trPr>
          <w:cantSplit/>
        </w:trPr>
        <w:tc>
          <w:tcPr>
            <w:tcW w:w="1458" w:type="dxa"/>
          </w:tcPr>
          <w:p w:rsidR="00976F53" w:rsidRPr="00466183" w:rsidRDefault="00976F53" w:rsidP="00DD7751">
            <w:pPr>
              <w:rPr>
                <w:sz w:val="20"/>
                <w:szCs w:val="20"/>
              </w:rPr>
            </w:pPr>
            <w:r w:rsidRPr="00466183">
              <w:rPr>
                <w:sz w:val="20"/>
                <w:szCs w:val="20"/>
              </w:rPr>
              <w:t>Coram :</w:t>
            </w:r>
          </w:p>
        </w:tc>
        <w:tc>
          <w:tcPr>
            <w:tcW w:w="8118" w:type="dxa"/>
          </w:tcPr>
          <w:p w:rsidR="00976F53" w:rsidRPr="00466183" w:rsidRDefault="00976F53" w:rsidP="00DD7751">
            <w:pPr>
              <w:rPr>
                <w:sz w:val="20"/>
                <w:szCs w:val="20"/>
              </w:rPr>
            </w:pPr>
            <w:r w:rsidRPr="00466183">
              <w:rPr>
                <w:rStyle w:val="SCCCoramChar"/>
                <w:sz w:val="20"/>
                <w:szCs w:val="20"/>
                <w:lang w:val="en-CA"/>
              </w:rPr>
              <w:t>McLachlin C.J. and Abella and Cromwell JJ.</w:t>
            </w:r>
          </w:p>
          <w:p w:rsidR="00976F53" w:rsidRPr="00466183" w:rsidRDefault="00976F53" w:rsidP="00DD7751">
            <w:pPr>
              <w:rPr>
                <w:sz w:val="20"/>
                <w:szCs w:val="20"/>
                <w:u w:val="single"/>
              </w:rPr>
            </w:pPr>
          </w:p>
        </w:tc>
      </w:tr>
      <w:tr w:rsidR="00976F53" w:rsidRPr="00462F49" w:rsidTr="00DD7751">
        <w:trPr>
          <w:cantSplit/>
        </w:trPr>
        <w:tc>
          <w:tcPr>
            <w:tcW w:w="9576" w:type="dxa"/>
            <w:gridSpan w:val="2"/>
          </w:tcPr>
          <w:p w:rsidR="00976F53" w:rsidRPr="00466183" w:rsidRDefault="00976F53" w:rsidP="00DD7751">
            <w:pPr>
              <w:pStyle w:val="SCCShortJudgment"/>
              <w:rPr>
                <w:szCs w:val="20"/>
              </w:rPr>
            </w:pPr>
            <w:r w:rsidRPr="00466183">
              <w:rPr>
                <w:szCs w:val="20"/>
              </w:rPr>
              <w:t>The application for leave to appeal from the judgment of the Court of Appeal for British Columbia (Vancouver), Number CA037376, 2012 BCCA 366, dated September 11, 2012, is dismissed with costs.</w:t>
            </w:r>
          </w:p>
          <w:p w:rsidR="00976F53" w:rsidRPr="00466183" w:rsidRDefault="00976F53" w:rsidP="00DD7751">
            <w:pPr>
              <w:pStyle w:val="SCCShortJudgment"/>
              <w:ind w:firstLine="0"/>
              <w:rPr>
                <w:szCs w:val="20"/>
              </w:rPr>
            </w:pPr>
          </w:p>
          <w:p w:rsidR="00976F53" w:rsidRPr="00466183" w:rsidRDefault="00976F53" w:rsidP="00DD7751">
            <w:pPr>
              <w:pStyle w:val="SCCShortJudgment"/>
              <w:rPr>
                <w:szCs w:val="20"/>
                <w:lang w:val="fr-CA"/>
              </w:rPr>
            </w:pPr>
            <w:r w:rsidRPr="00466183">
              <w:rPr>
                <w:szCs w:val="20"/>
                <w:lang w:val="fr-CA"/>
              </w:rPr>
              <w:t>La demande d’autorisation d’appel de l’arrêt de la Cour d’appel de la Colombie-Britannique (Vancouver), numéro CA037376, 2012 BCCA 366, daté du 11 septembre 2012, est rejetée avec dépens.</w:t>
            </w:r>
          </w:p>
        </w:tc>
      </w:tr>
    </w:tbl>
    <w:p w:rsidR="003101AB" w:rsidRPr="00976F53" w:rsidRDefault="003101AB" w:rsidP="003101AB">
      <w:pPr>
        <w:rPr>
          <w:sz w:val="20"/>
          <w:szCs w:val="20"/>
          <w:lang w:val="fr-CA"/>
        </w:rPr>
      </w:pPr>
    </w:p>
    <w:p w:rsidR="003101AB" w:rsidRPr="001B157C" w:rsidRDefault="003101AB" w:rsidP="003101AB">
      <w:pPr>
        <w:rPr>
          <w:sz w:val="20"/>
          <w:szCs w:val="20"/>
          <w:u w:val="single"/>
        </w:rPr>
      </w:pPr>
      <w:r w:rsidRPr="001B157C">
        <w:rPr>
          <w:sz w:val="20"/>
          <w:szCs w:val="20"/>
          <w:u w:val="single"/>
        </w:rPr>
        <w:t>CASE SUMMARY</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727E7" w:rsidRPr="00DB4F12" w:rsidTr="00CF3230">
        <w:tc>
          <w:tcPr>
            <w:tcW w:w="5000" w:type="pct"/>
            <w:gridSpan w:val="3"/>
          </w:tcPr>
          <w:p w:rsidR="00F727E7" w:rsidRPr="00DB4F12" w:rsidRDefault="00F727E7" w:rsidP="00CF3230">
            <w:pPr>
              <w:jc w:val="both"/>
              <w:rPr>
                <w:sz w:val="20"/>
                <w:szCs w:val="20"/>
              </w:rPr>
            </w:pPr>
            <w:r w:rsidRPr="00DB4F12">
              <w:rPr>
                <w:sz w:val="20"/>
                <w:szCs w:val="20"/>
              </w:rPr>
              <w:t>Labour relations – Arbitration – Dispute submitted to arbitrator - Application for leave to appeal arbitrator’s award dismissed by the lower courts - In what circumstances may a court refuse to grant leave to appeal where the applicant satisfies all of the statutory criteria for leave to appeal - What principles govern the exercise of a judicial discretion to refuse leave to appeal from an arbitration award - Is it appropriate to refuse leave to appeal on grounds unrelated to the questions in issue in the arbitration or the proposed appeal – Whether there are issues of public importance raised.</w:t>
            </w:r>
          </w:p>
        </w:tc>
      </w:tr>
      <w:tr w:rsidR="00F727E7" w:rsidRPr="00DB4F12" w:rsidTr="00CF3230">
        <w:tc>
          <w:tcPr>
            <w:tcW w:w="5000" w:type="pct"/>
            <w:gridSpan w:val="3"/>
          </w:tcPr>
          <w:p w:rsidR="00F727E7" w:rsidRPr="00DB4F12" w:rsidRDefault="00F727E7" w:rsidP="00CF3230">
            <w:pPr>
              <w:jc w:val="both"/>
              <w:rPr>
                <w:sz w:val="20"/>
                <w:szCs w:val="20"/>
              </w:rPr>
            </w:pPr>
          </w:p>
        </w:tc>
      </w:tr>
      <w:tr w:rsidR="00F727E7" w:rsidRPr="00DB4F12" w:rsidTr="00CF3230">
        <w:tc>
          <w:tcPr>
            <w:tcW w:w="5000" w:type="pct"/>
            <w:gridSpan w:val="3"/>
          </w:tcPr>
          <w:p w:rsidR="00F727E7" w:rsidRPr="00DB4F12" w:rsidRDefault="00F727E7" w:rsidP="00CF3230">
            <w:pPr>
              <w:jc w:val="both"/>
              <w:rPr>
                <w:sz w:val="20"/>
                <w:szCs w:val="20"/>
              </w:rPr>
            </w:pPr>
            <w:r w:rsidRPr="00DB4F12">
              <w:rPr>
                <w:sz w:val="20"/>
                <w:szCs w:val="20"/>
              </w:rPr>
              <w:t>The applicants are partners in an architectural firm.  The respondent, Mr. Griffin, was a founding partner of the firm.  Over time, the firm expanded.  At least four of the partners agreed to allocate profits differently than was set out in the schedule to the restated partnership agreement, resulting in Mr. Griffin being paid less than was contemplated by the schedule.  In May 2008 the partners purported to expel Mr. Griffin from the partnership.  The dispute went to arbitration.  The arbitrator ordered a partial dissolution of the partnership and damages to Mr. Griffin for loss of future income.  Applications for leave to appeal were dismissed. The Court of Appeal dismissed the appeal.</w:t>
            </w:r>
          </w:p>
          <w:p w:rsidR="00F727E7" w:rsidRPr="00DB4F12" w:rsidRDefault="00F727E7" w:rsidP="00CF3230">
            <w:pPr>
              <w:jc w:val="both"/>
              <w:rPr>
                <w:sz w:val="20"/>
                <w:szCs w:val="20"/>
              </w:rPr>
            </w:pPr>
          </w:p>
        </w:tc>
      </w:tr>
      <w:tr w:rsidR="00F727E7" w:rsidRPr="00DB4F12" w:rsidTr="00CF3230">
        <w:tc>
          <w:tcPr>
            <w:tcW w:w="2427" w:type="pct"/>
          </w:tcPr>
          <w:p w:rsidR="00F727E7" w:rsidRPr="00DB4F12" w:rsidRDefault="00F727E7" w:rsidP="00CF3230">
            <w:pPr>
              <w:jc w:val="both"/>
              <w:rPr>
                <w:sz w:val="20"/>
                <w:szCs w:val="20"/>
              </w:rPr>
            </w:pPr>
            <w:r w:rsidRPr="00DB4F12">
              <w:rPr>
                <w:sz w:val="20"/>
                <w:szCs w:val="20"/>
              </w:rPr>
              <w:t>August 29, 2008</w:t>
            </w:r>
          </w:p>
          <w:p w:rsidR="00F727E7" w:rsidRPr="00DB4F12" w:rsidRDefault="00F727E7" w:rsidP="00CF3230">
            <w:pPr>
              <w:jc w:val="both"/>
              <w:rPr>
                <w:sz w:val="20"/>
                <w:szCs w:val="20"/>
              </w:rPr>
            </w:pPr>
            <w:r w:rsidRPr="00DB4F12">
              <w:rPr>
                <w:sz w:val="20"/>
                <w:szCs w:val="20"/>
              </w:rPr>
              <w:t>(Macintosh Q.C., Arbitrator)</w:t>
            </w:r>
          </w:p>
          <w:p w:rsidR="00F727E7" w:rsidRPr="00DB4F12" w:rsidRDefault="00F727E7" w:rsidP="00CF3230">
            <w:pPr>
              <w:jc w:val="both"/>
              <w:rPr>
                <w:sz w:val="20"/>
                <w:szCs w:val="20"/>
              </w:rPr>
            </w:pP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Arbitration award: partial dissolution of the partnership ordered with costs</w:t>
            </w:r>
          </w:p>
        </w:tc>
      </w:tr>
      <w:tr w:rsidR="00F727E7" w:rsidRPr="00DB4F12" w:rsidTr="00CF3230">
        <w:tc>
          <w:tcPr>
            <w:tcW w:w="2427" w:type="pct"/>
          </w:tcPr>
          <w:p w:rsidR="00F727E7" w:rsidRPr="00DB4F12" w:rsidRDefault="00F727E7" w:rsidP="00CF3230">
            <w:pPr>
              <w:jc w:val="both"/>
              <w:rPr>
                <w:sz w:val="20"/>
                <w:szCs w:val="20"/>
              </w:rPr>
            </w:pPr>
            <w:r w:rsidRPr="00DB4F12">
              <w:rPr>
                <w:sz w:val="20"/>
                <w:szCs w:val="20"/>
              </w:rPr>
              <w:t>July 14, 2011</w:t>
            </w:r>
          </w:p>
          <w:p w:rsidR="00F727E7" w:rsidRPr="00DB4F12" w:rsidRDefault="00F727E7" w:rsidP="00CF3230">
            <w:pPr>
              <w:jc w:val="both"/>
              <w:rPr>
                <w:sz w:val="20"/>
                <w:szCs w:val="20"/>
              </w:rPr>
            </w:pPr>
            <w:r w:rsidRPr="00DB4F12">
              <w:rPr>
                <w:sz w:val="20"/>
                <w:szCs w:val="20"/>
              </w:rPr>
              <w:t>(Macintosh Q.C., Arbitrator)</w:t>
            </w:r>
          </w:p>
          <w:p w:rsidR="00F727E7" w:rsidRPr="00DB4F12" w:rsidRDefault="00F727E7" w:rsidP="00CF3230">
            <w:pPr>
              <w:jc w:val="both"/>
              <w:rPr>
                <w:sz w:val="20"/>
                <w:szCs w:val="20"/>
              </w:rPr>
            </w:pP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Damages award: $491,874.00 awarded to Mr. Griffin with costs</w:t>
            </w:r>
          </w:p>
        </w:tc>
      </w:tr>
      <w:tr w:rsidR="00F727E7" w:rsidRPr="00DB4F12" w:rsidTr="00CF3230">
        <w:tc>
          <w:tcPr>
            <w:tcW w:w="2427" w:type="pct"/>
          </w:tcPr>
          <w:p w:rsidR="00F727E7" w:rsidRPr="00DB4F12" w:rsidRDefault="00F727E7" w:rsidP="00CF3230">
            <w:pPr>
              <w:jc w:val="both"/>
              <w:rPr>
                <w:sz w:val="20"/>
                <w:szCs w:val="20"/>
              </w:rPr>
            </w:pPr>
            <w:r w:rsidRPr="00DB4F12">
              <w:rPr>
                <w:sz w:val="20"/>
                <w:szCs w:val="20"/>
              </w:rPr>
              <w:t>July 15, 2009</w:t>
            </w:r>
          </w:p>
          <w:p w:rsidR="00F727E7" w:rsidRPr="00DB4F12" w:rsidRDefault="00F727E7" w:rsidP="00CF3230">
            <w:pPr>
              <w:jc w:val="both"/>
              <w:rPr>
                <w:sz w:val="20"/>
                <w:szCs w:val="20"/>
              </w:rPr>
            </w:pPr>
            <w:r w:rsidRPr="00DB4F12">
              <w:rPr>
                <w:sz w:val="20"/>
                <w:szCs w:val="20"/>
              </w:rPr>
              <w:t>Supreme Court of British Columbia</w:t>
            </w:r>
          </w:p>
          <w:p w:rsidR="00F727E7" w:rsidRPr="00DB4F12" w:rsidRDefault="00F727E7" w:rsidP="00CF3230">
            <w:pPr>
              <w:jc w:val="both"/>
              <w:rPr>
                <w:sz w:val="20"/>
                <w:szCs w:val="20"/>
              </w:rPr>
            </w:pPr>
            <w:r w:rsidRPr="00DB4F12">
              <w:rPr>
                <w:sz w:val="20"/>
                <w:szCs w:val="20"/>
              </w:rPr>
              <w:t>(Smith J.)</w:t>
            </w:r>
          </w:p>
          <w:p w:rsidR="00F727E7" w:rsidRPr="00DB4F12" w:rsidRDefault="00F727E7" w:rsidP="00CF3230">
            <w:pPr>
              <w:jc w:val="both"/>
              <w:rPr>
                <w:sz w:val="20"/>
                <w:szCs w:val="20"/>
              </w:rPr>
            </w:pPr>
            <w:r w:rsidRPr="00DB4F12">
              <w:rPr>
                <w:sz w:val="20"/>
                <w:szCs w:val="20"/>
              </w:rPr>
              <w:t>2009 BCSC 960</w:t>
            </w:r>
          </w:p>
          <w:p w:rsidR="00F727E7" w:rsidRPr="00DB4F12" w:rsidRDefault="00F727E7" w:rsidP="00CF3230">
            <w:pPr>
              <w:jc w:val="both"/>
              <w:rPr>
                <w:sz w:val="20"/>
                <w:szCs w:val="20"/>
              </w:rPr>
            </w:pP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Application for leave to appeal dismissed with costs</w:t>
            </w:r>
          </w:p>
        </w:tc>
      </w:tr>
      <w:tr w:rsidR="00F727E7" w:rsidRPr="00DB4F12" w:rsidTr="00CF3230">
        <w:tc>
          <w:tcPr>
            <w:tcW w:w="2427" w:type="pct"/>
          </w:tcPr>
          <w:p w:rsidR="00F727E7" w:rsidRPr="00DB4F12" w:rsidRDefault="00F727E7" w:rsidP="00CF3230">
            <w:pPr>
              <w:jc w:val="both"/>
              <w:rPr>
                <w:sz w:val="20"/>
                <w:szCs w:val="20"/>
              </w:rPr>
            </w:pPr>
            <w:r w:rsidRPr="00DB4F12">
              <w:rPr>
                <w:sz w:val="20"/>
                <w:szCs w:val="20"/>
              </w:rPr>
              <w:t>September 7, 2012</w:t>
            </w:r>
          </w:p>
          <w:p w:rsidR="00F727E7" w:rsidRPr="00DB4F12" w:rsidRDefault="00F727E7" w:rsidP="00CF3230">
            <w:pPr>
              <w:jc w:val="both"/>
              <w:rPr>
                <w:sz w:val="20"/>
                <w:szCs w:val="20"/>
              </w:rPr>
            </w:pPr>
            <w:r w:rsidRPr="00DB4F12">
              <w:rPr>
                <w:sz w:val="20"/>
                <w:szCs w:val="20"/>
              </w:rPr>
              <w:t>Supreme Court of British Columbia</w:t>
            </w:r>
          </w:p>
          <w:p w:rsidR="00F727E7" w:rsidRPr="00DB4F12" w:rsidRDefault="00F727E7" w:rsidP="00CF3230">
            <w:pPr>
              <w:jc w:val="both"/>
              <w:rPr>
                <w:sz w:val="20"/>
                <w:szCs w:val="20"/>
              </w:rPr>
            </w:pPr>
            <w:r w:rsidRPr="00DB4F12">
              <w:rPr>
                <w:sz w:val="20"/>
                <w:szCs w:val="20"/>
              </w:rPr>
              <w:t>(Russell J.)</w:t>
            </w:r>
          </w:p>
          <w:p w:rsidR="00F727E7" w:rsidRPr="00DB4F12" w:rsidRDefault="00F727E7" w:rsidP="00CF3230">
            <w:pPr>
              <w:jc w:val="both"/>
              <w:rPr>
                <w:sz w:val="20"/>
                <w:szCs w:val="20"/>
              </w:rPr>
            </w:pPr>
            <w:r w:rsidRPr="00DB4F12">
              <w:rPr>
                <w:sz w:val="20"/>
                <w:szCs w:val="20"/>
              </w:rPr>
              <w:t>2012 BCSC 1317</w:t>
            </w:r>
          </w:p>
          <w:p w:rsidR="00F727E7" w:rsidRPr="00DB4F12" w:rsidRDefault="00F727E7" w:rsidP="00CF3230">
            <w:pPr>
              <w:jc w:val="both"/>
              <w:rPr>
                <w:sz w:val="20"/>
                <w:szCs w:val="20"/>
              </w:rPr>
            </w:pP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Application for leave to appeal dismissed with costs</w:t>
            </w:r>
          </w:p>
        </w:tc>
      </w:tr>
      <w:tr w:rsidR="00F727E7" w:rsidRPr="00DB4F12" w:rsidTr="00CF3230">
        <w:tc>
          <w:tcPr>
            <w:tcW w:w="2427" w:type="pct"/>
          </w:tcPr>
          <w:p w:rsidR="00F727E7" w:rsidRPr="00DB4F12" w:rsidRDefault="00F727E7" w:rsidP="00CF3230">
            <w:pPr>
              <w:jc w:val="both"/>
              <w:rPr>
                <w:sz w:val="20"/>
                <w:szCs w:val="20"/>
              </w:rPr>
            </w:pPr>
            <w:r w:rsidRPr="00DB4F12">
              <w:rPr>
                <w:sz w:val="20"/>
                <w:szCs w:val="20"/>
              </w:rPr>
              <w:t>September 11, 2012</w:t>
            </w:r>
          </w:p>
          <w:p w:rsidR="00F727E7" w:rsidRPr="00DB4F12" w:rsidRDefault="00F727E7" w:rsidP="00CF3230">
            <w:pPr>
              <w:jc w:val="both"/>
              <w:rPr>
                <w:sz w:val="20"/>
                <w:szCs w:val="20"/>
              </w:rPr>
            </w:pPr>
            <w:r w:rsidRPr="00DB4F12">
              <w:rPr>
                <w:sz w:val="20"/>
                <w:szCs w:val="20"/>
              </w:rPr>
              <w:t xml:space="preserve">Court of Appeal for British Columbia </w:t>
            </w:r>
          </w:p>
          <w:p w:rsidR="00F727E7" w:rsidRPr="00DB4F12" w:rsidRDefault="00F727E7" w:rsidP="00CF3230">
            <w:pPr>
              <w:jc w:val="both"/>
              <w:rPr>
                <w:sz w:val="20"/>
                <w:szCs w:val="20"/>
              </w:rPr>
            </w:pPr>
            <w:r w:rsidRPr="00DB4F12">
              <w:rPr>
                <w:sz w:val="20"/>
                <w:szCs w:val="20"/>
              </w:rPr>
              <w:t>(Vancouver)</w:t>
            </w:r>
          </w:p>
          <w:p w:rsidR="00F727E7" w:rsidRPr="00DB4F12" w:rsidRDefault="00F727E7" w:rsidP="00CF3230">
            <w:pPr>
              <w:jc w:val="both"/>
              <w:rPr>
                <w:sz w:val="20"/>
                <w:szCs w:val="20"/>
              </w:rPr>
            </w:pPr>
            <w:r w:rsidRPr="00DB4F12">
              <w:rPr>
                <w:sz w:val="20"/>
                <w:szCs w:val="20"/>
              </w:rPr>
              <w:t>(Saunders, Smith, Garson JJ.A.)</w:t>
            </w:r>
          </w:p>
          <w:p w:rsidR="00F727E7" w:rsidRPr="00DB4F12" w:rsidRDefault="00F727E7" w:rsidP="00CF3230">
            <w:pPr>
              <w:jc w:val="both"/>
              <w:rPr>
                <w:sz w:val="20"/>
                <w:szCs w:val="20"/>
              </w:rPr>
            </w:pPr>
            <w:r w:rsidRPr="00DB4F12">
              <w:rPr>
                <w:sz w:val="20"/>
                <w:szCs w:val="20"/>
              </w:rPr>
              <w:t>2012 BCCA 366</w:t>
            </w:r>
          </w:p>
          <w:p w:rsidR="00F727E7" w:rsidRPr="00DB4F12" w:rsidRDefault="00F727E7" w:rsidP="00CF3230">
            <w:pPr>
              <w:jc w:val="both"/>
              <w:rPr>
                <w:sz w:val="20"/>
                <w:szCs w:val="20"/>
              </w:rPr>
            </w:pP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Appeal dismissed</w:t>
            </w:r>
          </w:p>
          <w:p w:rsidR="00F727E7" w:rsidRPr="00DB4F12" w:rsidRDefault="00F727E7" w:rsidP="00CF3230">
            <w:pPr>
              <w:jc w:val="both"/>
              <w:rPr>
                <w:sz w:val="20"/>
                <w:szCs w:val="20"/>
              </w:rPr>
            </w:pPr>
          </w:p>
        </w:tc>
      </w:tr>
      <w:tr w:rsidR="00F727E7" w:rsidRPr="00DB4F12" w:rsidTr="00CF3230">
        <w:tc>
          <w:tcPr>
            <w:tcW w:w="2427" w:type="pct"/>
          </w:tcPr>
          <w:p w:rsidR="00F727E7" w:rsidRPr="00DB4F12" w:rsidRDefault="00F727E7" w:rsidP="00CF3230">
            <w:pPr>
              <w:jc w:val="both"/>
              <w:rPr>
                <w:sz w:val="20"/>
                <w:szCs w:val="20"/>
              </w:rPr>
            </w:pPr>
            <w:r w:rsidRPr="00DB4F12">
              <w:rPr>
                <w:sz w:val="20"/>
                <w:szCs w:val="20"/>
              </w:rPr>
              <w:lastRenderedPageBreak/>
              <w:t>November 13, 2012</w:t>
            </w:r>
          </w:p>
          <w:p w:rsidR="00F727E7" w:rsidRPr="00DB4F12" w:rsidRDefault="00F727E7" w:rsidP="00CF3230">
            <w:pPr>
              <w:jc w:val="both"/>
              <w:rPr>
                <w:sz w:val="20"/>
                <w:szCs w:val="20"/>
              </w:rPr>
            </w:pPr>
            <w:r w:rsidRPr="00DB4F12">
              <w:rPr>
                <w:sz w:val="20"/>
                <w:szCs w:val="20"/>
              </w:rPr>
              <w:t>Supreme Court of Canada</w:t>
            </w:r>
          </w:p>
        </w:tc>
        <w:tc>
          <w:tcPr>
            <w:tcW w:w="243" w:type="pct"/>
          </w:tcPr>
          <w:p w:rsidR="00F727E7" w:rsidRPr="00DB4F12" w:rsidRDefault="00F727E7" w:rsidP="00CF3230">
            <w:pPr>
              <w:jc w:val="both"/>
              <w:rPr>
                <w:sz w:val="20"/>
                <w:szCs w:val="20"/>
              </w:rPr>
            </w:pPr>
          </w:p>
        </w:tc>
        <w:tc>
          <w:tcPr>
            <w:tcW w:w="2330" w:type="pct"/>
          </w:tcPr>
          <w:p w:rsidR="00F727E7" w:rsidRPr="00DB4F12" w:rsidRDefault="00F727E7" w:rsidP="00CF3230">
            <w:pPr>
              <w:jc w:val="both"/>
              <w:rPr>
                <w:sz w:val="20"/>
                <w:szCs w:val="20"/>
              </w:rPr>
            </w:pPr>
            <w:r w:rsidRPr="00DB4F12">
              <w:rPr>
                <w:sz w:val="20"/>
                <w:szCs w:val="20"/>
              </w:rPr>
              <w:t>Application for leave to appeal filed</w:t>
            </w:r>
          </w:p>
          <w:p w:rsidR="00F727E7" w:rsidRPr="00DB4F12" w:rsidRDefault="00F727E7" w:rsidP="00CF3230">
            <w:pPr>
              <w:jc w:val="both"/>
              <w:rPr>
                <w:sz w:val="20"/>
                <w:szCs w:val="20"/>
              </w:rPr>
            </w:pPr>
          </w:p>
        </w:tc>
      </w:tr>
    </w:tbl>
    <w:p w:rsidR="003101AB" w:rsidRPr="00C50A5C" w:rsidRDefault="003101AB" w:rsidP="003101AB">
      <w:pPr>
        <w:rPr>
          <w:sz w:val="20"/>
          <w:szCs w:val="20"/>
        </w:rPr>
      </w:pPr>
    </w:p>
    <w:p w:rsidR="003101AB" w:rsidRPr="00C50A5C" w:rsidRDefault="003F21C7" w:rsidP="003101AB">
      <w:pPr>
        <w:rPr>
          <w:sz w:val="20"/>
          <w:szCs w:val="20"/>
        </w:rPr>
      </w:pPr>
      <w:r w:rsidRPr="003F21C7">
        <w:rPr>
          <w:sz w:val="20"/>
          <w:szCs w:val="20"/>
          <w:lang w:val="fr-CA"/>
        </w:rPr>
        <w:pict>
          <v:rect id="_x0000_i1054" style="width:2in;height:1pt" o:hrpct="0" o:hralign="center" o:hrstd="t" o:hrnoshade="t" o:hr="t" fillcolor="black [3213]" stroked="f"/>
        </w:pict>
      </w:r>
    </w:p>
    <w:p w:rsidR="003101AB" w:rsidRDefault="003101AB" w:rsidP="003101AB">
      <w:pPr>
        <w:rPr>
          <w:sz w:val="20"/>
          <w:szCs w:val="20"/>
        </w:rPr>
      </w:pPr>
    </w:p>
    <w:p w:rsidR="003101AB" w:rsidRPr="001B157C" w:rsidRDefault="003101AB" w:rsidP="003101AB">
      <w:pPr>
        <w:rPr>
          <w:sz w:val="20"/>
          <w:szCs w:val="20"/>
          <w:u w:val="single"/>
          <w:lang w:val="fr-CA"/>
        </w:rPr>
      </w:pPr>
      <w:r w:rsidRPr="001B157C">
        <w:rPr>
          <w:sz w:val="20"/>
          <w:szCs w:val="20"/>
          <w:u w:val="single"/>
          <w:lang w:val="fr-CA"/>
        </w:rPr>
        <w:t>RÉSUMÉ DE L’AFFAIRE</w:t>
      </w:r>
    </w:p>
    <w:p w:rsidR="003101AB" w:rsidRDefault="003101AB" w:rsidP="003101A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727E7" w:rsidRPr="00462F49" w:rsidTr="00CF3230">
        <w:tc>
          <w:tcPr>
            <w:tcW w:w="5000" w:type="pct"/>
            <w:gridSpan w:val="3"/>
          </w:tcPr>
          <w:p w:rsidR="00F727E7" w:rsidRPr="00DB4F12" w:rsidRDefault="00F727E7" w:rsidP="00CF3230">
            <w:pPr>
              <w:jc w:val="both"/>
              <w:rPr>
                <w:sz w:val="20"/>
                <w:szCs w:val="20"/>
                <w:lang w:val="fr-CA"/>
              </w:rPr>
            </w:pPr>
            <w:r w:rsidRPr="00DB4F12">
              <w:rPr>
                <w:sz w:val="20"/>
                <w:szCs w:val="20"/>
                <w:lang w:val="fr-CA"/>
              </w:rPr>
              <w:t>Relations du travail – Arbitrage – Différend soumis à un arbitre – Les juridictions inférieures ont rejeté la demande d'autorisation d'appel de la sentence de l'arbitre – Dans quelles situations une cour peut</w:t>
            </w:r>
            <w:r w:rsidRPr="00DB4F12">
              <w:rPr>
                <w:sz w:val="20"/>
                <w:szCs w:val="20"/>
                <w:lang w:val="fr-CA"/>
              </w:rPr>
              <w:noBreakHyphen/>
              <w:t>elle refuser d'accorder l'autorisation d'appel lorsque le demandeur satisfait à tous les critères d'autorisation d'appel prévus par la loi? – Quels principes régissent l'exercice de la discrétion judiciaire de refuser l'autorisation d'appel d'une sentence arbitrale? – Est</w:t>
            </w:r>
            <w:r w:rsidRPr="00DB4F12">
              <w:rPr>
                <w:sz w:val="20"/>
                <w:szCs w:val="20"/>
                <w:lang w:val="fr-CA"/>
              </w:rPr>
              <w:noBreakHyphen/>
              <w:t>il opportun de refuser l'autorisation d'appel pour des motifs non liés à la question en litige dans l'arbitrage ou l'appel projeté? – L'affaire soulève</w:t>
            </w:r>
            <w:r w:rsidRPr="00DB4F12">
              <w:rPr>
                <w:sz w:val="20"/>
                <w:szCs w:val="20"/>
                <w:lang w:val="fr-CA"/>
              </w:rPr>
              <w:noBreakHyphen/>
              <w:t>t</w:t>
            </w:r>
            <w:r w:rsidRPr="00DB4F12">
              <w:rPr>
                <w:sz w:val="20"/>
                <w:szCs w:val="20"/>
                <w:lang w:val="fr-CA"/>
              </w:rPr>
              <w:noBreakHyphen/>
              <w:t>elle des questions d'importance pour le public?</w:t>
            </w:r>
          </w:p>
        </w:tc>
      </w:tr>
      <w:tr w:rsidR="00F727E7" w:rsidRPr="00462F49" w:rsidTr="00CF3230">
        <w:tc>
          <w:tcPr>
            <w:tcW w:w="5000" w:type="pct"/>
            <w:gridSpan w:val="3"/>
          </w:tcPr>
          <w:p w:rsidR="00F727E7" w:rsidRPr="00DB4F12" w:rsidRDefault="00F727E7" w:rsidP="00CF3230">
            <w:pPr>
              <w:jc w:val="both"/>
              <w:rPr>
                <w:sz w:val="20"/>
                <w:szCs w:val="20"/>
                <w:lang w:val="fr-CA"/>
              </w:rPr>
            </w:pPr>
          </w:p>
        </w:tc>
      </w:tr>
      <w:tr w:rsidR="00F727E7" w:rsidRPr="00462F49" w:rsidTr="00CF3230">
        <w:tc>
          <w:tcPr>
            <w:tcW w:w="5000" w:type="pct"/>
            <w:gridSpan w:val="3"/>
          </w:tcPr>
          <w:p w:rsidR="00F727E7" w:rsidRPr="00DB4F12" w:rsidRDefault="00F727E7" w:rsidP="00CF3230">
            <w:pPr>
              <w:jc w:val="both"/>
              <w:rPr>
                <w:sz w:val="20"/>
                <w:szCs w:val="20"/>
                <w:lang w:val="fr-CA"/>
              </w:rPr>
            </w:pPr>
            <w:r w:rsidRPr="00DB4F12">
              <w:rPr>
                <w:sz w:val="20"/>
                <w:szCs w:val="20"/>
                <w:lang w:val="fr-CA"/>
              </w:rPr>
              <w:t>Les demandeurs sont associés dans un cabinet d'architectes.  L’intimé M. Griffin était un associé fondateur du cabinet.  Au fil des ans, le cabinet a pris de l'expansion.  Au moins quatre associés ont accepté de répartir les bénéfices autrement que ce qui avait été prévu dans l'annexe au contrat de société mis à jour, si bien que M. Griffin touchait moins que ce qui avait été prévu dans l'annexe.  En mai 2008, les associés ont prétendu expulser M. Griffin de la société.  Le différend a été soumis à l'arbitrage. L'arbitre a ordonné la dissolution partielle de la société et l'attribution de dommages</w:t>
            </w:r>
            <w:r w:rsidRPr="00DB4F12">
              <w:rPr>
                <w:sz w:val="20"/>
                <w:szCs w:val="20"/>
                <w:lang w:val="fr-CA"/>
              </w:rPr>
              <w:noBreakHyphen/>
              <w:t>intérêts à M. Griffin pour perte de revenus futurs.  Les demandes d'autorisation d'appel ont été rejetées.  La Cour d'appel a rejeté l'appel.</w:t>
            </w:r>
          </w:p>
          <w:p w:rsidR="00F727E7" w:rsidRPr="00DB4F12" w:rsidRDefault="00F727E7" w:rsidP="00CF3230">
            <w:pPr>
              <w:jc w:val="both"/>
              <w:rPr>
                <w:sz w:val="20"/>
                <w:szCs w:val="20"/>
                <w:lang w:val="fr-CA"/>
              </w:rPr>
            </w:pPr>
          </w:p>
        </w:tc>
      </w:tr>
      <w:tr w:rsidR="00F727E7" w:rsidRPr="00462F49" w:rsidTr="00CF3230">
        <w:tc>
          <w:tcPr>
            <w:tcW w:w="2427" w:type="pct"/>
          </w:tcPr>
          <w:p w:rsidR="00F727E7" w:rsidRPr="00DB4F12" w:rsidRDefault="00F727E7" w:rsidP="00CF3230">
            <w:pPr>
              <w:jc w:val="both"/>
              <w:rPr>
                <w:sz w:val="20"/>
                <w:szCs w:val="20"/>
                <w:lang w:val="fr-CA"/>
              </w:rPr>
            </w:pPr>
            <w:r w:rsidRPr="00DB4F12">
              <w:rPr>
                <w:sz w:val="20"/>
                <w:szCs w:val="20"/>
                <w:lang w:val="fr-CA"/>
              </w:rPr>
              <w:t>29 août 2008</w:t>
            </w:r>
          </w:p>
          <w:p w:rsidR="00F727E7" w:rsidRPr="00DB4F12" w:rsidRDefault="00F727E7" w:rsidP="00CF3230">
            <w:pPr>
              <w:jc w:val="both"/>
              <w:rPr>
                <w:sz w:val="20"/>
                <w:szCs w:val="20"/>
                <w:lang w:val="fr-CA"/>
              </w:rPr>
            </w:pPr>
            <w:r w:rsidRPr="00DB4F12">
              <w:rPr>
                <w:sz w:val="20"/>
                <w:szCs w:val="20"/>
                <w:lang w:val="fr-CA"/>
              </w:rPr>
              <w:t>(M</w:t>
            </w:r>
            <w:r w:rsidRPr="00DB4F12">
              <w:rPr>
                <w:sz w:val="20"/>
                <w:szCs w:val="20"/>
                <w:vertAlign w:val="superscript"/>
                <w:lang w:val="fr-CA"/>
              </w:rPr>
              <w:t>e</w:t>
            </w:r>
            <w:r w:rsidRPr="00DB4F12">
              <w:rPr>
                <w:sz w:val="20"/>
                <w:szCs w:val="20"/>
                <w:lang w:val="fr-CA"/>
              </w:rPr>
              <w:t xml:space="preserve"> Macintosh c.r., arbitre)</w:t>
            </w:r>
          </w:p>
          <w:p w:rsidR="00F727E7" w:rsidRPr="00DB4F12" w:rsidRDefault="00F727E7" w:rsidP="00CF3230">
            <w:pPr>
              <w:jc w:val="both"/>
              <w:rPr>
                <w:sz w:val="20"/>
                <w:szCs w:val="20"/>
                <w:lang w:val="fr-CA"/>
              </w:rPr>
            </w:pPr>
          </w:p>
        </w:tc>
        <w:tc>
          <w:tcPr>
            <w:tcW w:w="243" w:type="pct"/>
          </w:tcPr>
          <w:p w:rsidR="00F727E7" w:rsidRPr="00DB4F12" w:rsidRDefault="00F727E7" w:rsidP="00CF3230">
            <w:pPr>
              <w:jc w:val="both"/>
              <w:rPr>
                <w:sz w:val="20"/>
                <w:szCs w:val="20"/>
                <w:lang w:val="fr-CA"/>
              </w:rPr>
            </w:pPr>
          </w:p>
        </w:tc>
        <w:tc>
          <w:tcPr>
            <w:tcW w:w="2330" w:type="pct"/>
          </w:tcPr>
          <w:p w:rsidR="00F727E7" w:rsidRPr="00DB4F12" w:rsidRDefault="00F727E7" w:rsidP="00CF3230">
            <w:pPr>
              <w:jc w:val="both"/>
              <w:rPr>
                <w:sz w:val="20"/>
                <w:szCs w:val="20"/>
                <w:lang w:val="fr-CA"/>
              </w:rPr>
            </w:pPr>
            <w:r w:rsidRPr="00DB4F12">
              <w:rPr>
                <w:sz w:val="20"/>
                <w:szCs w:val="20"/>
                <w:lang w:val="fr-CA"/>
              </w:rPr>
              <w:t>Sentence arbitrale : ordonnance de dissolution partielle de la société avec dépens</w:t>
            </w:r>
          </w:p>
        </w:tc>
      </w:tr>
      <w:tr w:rsidR="00F727E7" w:rsidRPr="00462F49" w:rsidTr="00CF3230">
        <w:tc>
          <w:tcPr>
            <w:tcW w:w="2427" w:type="pct"/>
          </w:tcPr>
          <w:p w:rsidR="00F727E7" w:rsidRPr="00DB4F12" w:rsidRDefault="00F727E7" w:rsidP="00CF3230">
            <w:pPr>
              <w:jc w:val="both"/>
              <w:rPr>
                <w:sz w:val="20"/>
                <w:szCs w:val="20"/>
                <w:lang w:val="fr-CA"/>
              </w:rPr>
            </w:pPr>
            <w:r w:rsidRPr="00DB4F12">
              <w:rPr>
                <w:sz w:val="20"/>
                <w:szCs w:val="20"/>
                <w:lang w:val="fr-CA"/>
              </w:rPr>
              <w:t>14 juillet 2011</w:t>
            </w:r>
          </w:p>
          <w:p w:rsidR="00F727E7" w:rsidRPr="00DB4F12" w:rsidRDefault="00F727E7" w:rsidP="00CF3230">
            <w:pPr>
              <w:jc w:val="both"/>
              <w:rPr>
                <w:sz w:val="20"/>
                <w:szCs w:val="20"/>
                <w:lang w:val="fr-CA"/>
              </w:rPr>
            </w:pPr>
            <w:r w:rsidRPr="00DB4F12">
              <w:rPr>
                <w:sz w:val="20"/>
                <w:szCs w:val="20"/>
                <w:lang w:val="fr-CA"/>
              </w:rPr>
              <w:t>(M</w:t>
            </w:r>
            <w:r w:rsidRPr="00DB4F12">
              <w:rPr>
                <w:sz w:val="20"/>
                <w:szCs w:val="20"/>
                <w:vertAlign w:val="superscript"/>
                <w:lang w:val="fr-CA"/>
              </w:rPr>
              <w:t>e</w:t>
            </w:r>
            <w:r w:rsidRPr="00DB4F12">
              <w:rPr>
                <w:sz w:val="20"/>
                <w:szCs w:val="20"/>
                <w:lang w:val="fr-CA"/>
              </w:rPr>
              <w:t xml:space="preserve"> Macintosh c.r., arbitre)</w:t>
            </w:r>
          </w:p>
          <w:p w:rsidR="00F727E7" w:rsidRPr="00DB4F12" w:rsidRDefault="00F727E7" w:rsidP="00CF3230">
            <w:pPr>
              <w:jc w:val="both"/>
              <w:rPr>
                <w:sz w:val="20"/>
                <w:szCs w:val="20"/>
                <w:lang w:val="fr-CA"/>
              </w:rPr>
            </w:pPr>
          </w:p>
        </w:tc>
        <w:tc>
          <w:tcPr>
            <w:tcW w:w="243" w:type="pct"/>
          </w:tcPr>
          <w:p w:rsidR="00F727E7" w:rsidRPr="00DB4F12" w:rsidRDefault="00F727E7" w:rsidP="00CF3230">
            <w:pPr>
              <w:jc w:val="both"/>
              <w:rPr>
                <w:sz w:val="20"/>
                <w:szCs w:val="20"/>
                <w:lang w:val="fr-CA"/>
              </w:rPr>
            </w:pPr>
          </w:p>
        </w:tc>
        <w:tc>
          <w:tcPr>
            <w:tcW w:w="2330" w:type="pct"/>
          </w:tcPr>
          <w:p w:rsidR="00F727E7" w:rsidRPr="00DB4F12" w:rsidRDefault="00F727E7" w:rsidP="00CF3230">
            <w:pPr>
              <w:jc w:val="both"/>
              <w:rPr>
                <w:sz w:val="20"/>
                <w:szCs w:val="20"/>
                <w:lang w:val="fr-CA"/>
              </w:rPr>
            </w:pPr>
            <w:r w:rsidRPr="00DB4F12">
              <w:rPr>
                <w:sz w:val="20"/>
                <w:szCs w:val="20"/>
                <w:lang w:val="fr-CA"/>
              </w:rPr>
              <w:t>Sentence en dommages</w:t>
            </w:r>
            <w:r w:rsidRPr="00DB4F12">
              <w:rPr>
                <w:sz w:val="20"/>
                <w:szCs w:val="20"/>
                <w:lang w:val="fr-CA"/>
              </w:rPr>
              <w:noBreakHyphen/>
              <w:t>intérêts : 491 874 $ attribués à M. Griffin avec dépens</w:t>
            </w:r>
          </w:p>
        </w:tc>
      </w:tr>
      <w:tr w:rsidR="00F727E7" w:rsidRPr="00462F49" w:rsidTr="00CF3230">
        <w:tc>
          <w:tcPr>
            <w:tcW w:w="2427" w:type="pct"/>
          </w:tcPr>
          <w:p w:rsidR="00F727E7" w:rsidRPr="00DB4F12" w:rsidRDefault="00F727E7" w:rsidP="00CF3230">
            <w:pPr>
              <w:jc w:val="both"/>
              <w:rPr>
                <w:sz w:val="20"/>
                <w:szCs w:val="20"/>
                <w:lang w:val="fr-CA"/>
              </w:rPr>
            </w:pPr>
            <w:r w:rsidRPr="00DB4F12">
              <w:rPr>
                <w:sz w:val="20"/>
                <w:szCs w:val="20"/>
                <w:lang w:val="fr-CA"/>
              </w:rPr>
              <w:t>15 juillet 2009</w:t>
            </w:r>
          </w:p>
          <w:p w:rsidR="00F727E7" w:rsidRPr="00DB4F12" w:rsidRDefault="00F727E7" w:rsidP="00CF3230">
            <w:pPr>
              <w:jc w:val="both"/>
              <w:rPr>
                <w:sz w:val="20"/>
                <w:szCs w:val="20"/>
                <w:lang w:val="fr-CA"/>
              </w:rPr>
            </w:pPr>
            <w:r w:rsidRPr="00DB4F12">
              <w:rPr>
                <w:sz w:val="20"/>
                <w:szCs w:val="20"/>
                <w:lang w:val="fr-CA"/>
              </w:rPr>
              <w:t>Cour suprême de la Colombie</w:t>
            </w:r>
            <w:r w:rsidRPr="00DB4F12">
              <w:rPr>
                <w:sz w:val="20"/>
                <w:szCs w:val="20"/>
                <w:lang w:val="fr-CA"/>
              </w:rPr>
              <w:noBreakHyphen/>
              <w:t xml:space="preserve">Britannique </w:t>
            </w:r>
          </w:p>
          <w:p w:rsidR="00F727E7" w:rsidRPr="00DB4F12" w:rsidRDefault="00F727E7" w:rsidP="00CF3230">
            <w:pPr>
              <w:jc w:val="both"/>
              <w:rPr>
                <w:sz w:val="20"/>
                <w:szCs w:val="20"/>
                <w:lang w:val="fr-CA"/>
              </w:rPr>
            </w:pPr>
            <w:r w:rsidRPr="00DB4F12">
              <w:rPr>
                <w:sz w:val="20"/>
                <w:szCs w:val="20"/>
                <w:lang w:val="fr-CA"/>
              </w:rPr>
              <w:t>(Juge Smith)</w:t>
            </w:r>
          </w:p>
          <w:p w:rsidR="00F727E7" w:rsidRPr="00DB4F12" w:rsidRDefault="00F727E7" w:rsidP="00CF3230">
            <w:pPr>
              <w:jc w:val="both"/>
              <w:rPr>
                <w:sz w:val="20"/>
                <w:szCs w:val="20"/>
                <w:lang w:val="fr-CA"/>
              </w:rPr>
            </w:pPr>
            <w:r w:rsidRPr="00DB4F12">
              <w:rPr>
                <w:sz w:val="20"/>
                <w:szCs w:val="20"/>
                <w:lang w:val="fr-CA"/>
              </w:rPr>
              <w:t>2009 BCSC 960</w:t>
            </w:r>
          </w:p>
          <w:p w:rsidR="00F727E7" w:rsidRPr="00DB4F12" w:rsidRDefault="00F727E7" w:rsidP="00CF3230">
            <w:pPr>
              <w:jc w:val="both"/>
              <w:rPr>
                <w:sz w:val="20"/>
                <w:szCs w:val="20"/>
                <w:lang w:val="fr-CA"/>
              </w:rPr>
            </w:pPr>
          </w:p>
        </w:tc>
        <w:tc>
          <w:tcPr>
            <w:tcW w:w="243" w:type="pct"/>
          </w:tcPr>
          <w:p w:rsidR="00F727E7" w:rsidRPr="00DB4F12" w:rsidRDefault="00F727E7" w:rsidP="00CF3230">
            <w:pPr>
              <w:jc w:val="both"/>
              <w:rPr>
                <w:sz w:val="20"/>
                <w:szCs w:val="20"/>
                <w:lang w:val="fr-CA"/>
              </w:rPr>
            </w:pPr>
          </w:p>
        </w:tc>
        <w:tc>
          <w:tcPr>
            <w:tcW w:w="2330" w:type="pct"/>
          </w:tcPr>
          <w:p w:rsidR="00F727E7" w:rsidRPr="00DB4F12" w:rsidRDefault="00F727E7" w:rsidP="00CF3230">
            <w:pPr>
              <w:jc w:val="both"/>
              <w:rPr>
                <w:sz w:val="20"/>
                <w:szCs w:val="20"/>
                <w:lang w:val="fr-CA"/>
              </w:rPr>
            </w:pPr>
            <w:r w:rsidRPr="00DB4F12">
              <w:rPr>
                <w:sz w:val="20"/>
                <w:szCs w:val="20"/>
                <w:lang w:val="fr-CA"/>
              </w:rPr>
              <w:t>Demande d’autorisation d'appel, rejetée avec dépens</w:t>
            </w:r>
          </w:p>
        </w:tc>
      </w:tr>
      <w:tr w:rsidR="00F727E7" w:rsidRPr="00462F49" w:rsidTr="00CF3230">
        <w:tc>
          <w:tcPr>
            <w:tcW w:w="2427" w:type="pct"/>
          </w:tcPr>
          <w:p w:rsidR="00F727E7" w:rsidRPr="00DB4F12" w:rsidRDefault="00F727E7" w:rsidP="00CF3230">
            <w:pPr>
              <w:jc w:val="both"/>
              <w:rPr>
                <w:sz w:val="20"/>
                <w:szCs w:val="20"/>
                <w:lang w:val="fr-CA"/>
              </w:rPr>
            </w:pPr>
            <w:r w:rsidRPr="00DB4F12">
              <w:rPr>
                <w:sz w:val="20"/>
                <w:szCs w:val="20"/>
                <w:lang w:val="fr-CA"/>
              </w:rPr>
              <w:t>7 septembre 2012</w:t>
            </w:r>
          </w:p>
          <w:p w:rsidR="00F727E7" w:rsidRPr="00DB4F12" w:rsidRDefault="00F727E7" w:rsidP="00CF3230">
            <w:pPr>
              <w:jc w:val="both"/>
              <w:rPr>
                <w:sz w:val="20"/>
                <w:szCs w:val="20"/>
                <w:lang w:val="fr-CA"/>
              </w:rPr>
            </w:pPr>
            <w:r w:rsidRPr="00DB4F12">
              <w:rPr>
                <w:sz w:val="20"/>
                <w:szCs w:val="20"/>
                <w:lang w:val="fr-CA"/>
              </w:rPr>
              <w:t>Cour suprême de la Colombie</w:t>
            </w:r>
            <w:r w:rsidRPr="00DB4F12">
              <w:rPr>
                <w:sz w:val="20"/>
                <w:szCs w:val="20"/>
                <w:lang w:val="fr-CA"/>
              </w:rPr>
              <w:noBreakHyphen/>
              <w:t xml:space="preserve">Britannique </w:t>
            </w:r>
          </w:p>
          <w:p w:rsidR="00F727E7" w:rsidRPr="00DB4F12" w:rsidRDefault="00F727E7" w:rsidP="00CF3230">
            <w:pPr>
              <w:jc w:val="both"/>
              <w:rPr>
                <w:sz w:val="20"/>
                <w:szCs w:val="20"/>
                <w:lang w:val="fr-CA"/>
              </w:rPr>
            </w:pPr>
            <w:r w:rsidRPr="00DB4F12">
              <w:rPr>
                <w:sz w:val="20"/>
                <w:szCs w:val="20"/>
                <w:lang w:val="fr-CA"/>
              </w:rPr>
              <w:t>(Juge Russell)</w:t>
            </w:r>
          </w:p>
          <w:p w:rsidR="00F727E7" w:rsidRPr="00DB4F12" w:rsidRDefault="00F727E7" w:rsidP="00CF3230">
            <w:pPr>
              <w:jc w:val="both"/>
              <w:rPr>
                <w:sz w:val="20"/>
                <w:szCs w:val="20"/>
                <w:lang w:val="fr-CA"/>
              </w:rPr>
            </w:pPr>
            <w:r w:rsidRPr="00DB4F12">
              <w:rPr>
                <w:sz w:val="20"/>
                <w:szCs w:val="20"/>
                <w:lang w:val="fr-CA"/>
              </w:rPr>
              <w:t>2012 BCSC 1317</w:t>
            </w:r>
          </w:p>
          <w:p w:rsidR="00F727E7" w:rsidRPr="00DB4F12" w:rsidRDefault="00F727E7" w:rsidP="00CF3230">
            <w:pPr>
              <w:jc w:val="both"/>
              <w:rPr>
                <w:sz w:val="20"/>
                <w:szCs w:val="20"/>
                <w:lang w:val="fr-CA"/>
              </w:rPr>
            </w:pPr>
          </w:p>
        </w:tc>
        <w:tc>
          <w:tcPr>
            <w:tcW w:w="243" w:type="pct"/>
          </w:tcPr>
          <w:p w:rsidR="00F727E7" w:rsidRPr="00DB4F12" w:rsidRDefault="00F727E7" w:rsidP="00CF3230">
            <w:pPr>
              <w:jc w:val="both"/>
              <w:rPr>
                <w:sz w:val="20"/>
                <w:szCs w:val="20"/>
                <w:lang w:val="fr-CA"/>
              </w:rPr>
            </w:pPr>
          </w:p>
        </w:tc>
        <w:tc>
          <w:tcPr>
            <w:tcW w:w="2330" w:type="pct"/>
          </w:tcPr>
          <w:p w:rsidR="00F727E7" w:rsidRPr="00DB4F12" w:rsidRDefault="00F727E7" w:rsidP="00CF3230">
            <w:pPr>
              <w:jc w:val="both"/>
              <w:rPr>
                <w:sz w:val="20"/>
                <w:szCs w:val="20"/>
                <w:lang w:val="fr-CA"/>
              </w:rPr>
            </w:pPr>
            <w:r w:rsidRPr="00DB4F12">
              <w:rPr>
                <w:sz w:val="20"/>
                <w:szCs w:val="20"/>
                <w:lang w:val="fr-CA"/>
              </w:rPr>
              <w:t>Demande d’autorisation d'appel, rejetée avec dépens</w:t>
            </w:r>
          </w:p>
        </w:tc>
      </w:tr>
      <w:tr w:rsidR="00F727E7" w:rsidRPr="00DB4F12" w:rsidTr="00CF3230">
        <w:tc>
          <w:tcPr>
            <w:tcW w:w="2427" w:type="pct"/>
          </w:tcPr>
          <w:p w:rsidR="00F727E7" w:rsidRPr="00DB4F12" w:rsidRDefault="00F727E7" w:rsidP="00CF3230">
            <w:pPr>
              <w:jc w:val="both"/>
              <w:rPr>
                <w:sz w:val="20"/>
                <w:szCs w:val="20"/>
                <w:lang w:val="fr-CA"/>
              </w:rPr>
            </w:pPr>
            <w:r w:rsidRPr="00DB4F12">
              <w:rPr>
                <w:sz w:val="20"/>
                <w:szCs w:val="20"/>
                <w:lang w:val="fr-CA"/>
              </w:rPr>
              <w:t>11 septembre 2012</w:t>
            </w:r>
          </w:p>
          <w:p w:rsidR="00F727E7" w:rsidRPr="00DB4F12" w:rsidRDefault="00F727E7" w:rsidP="00CF3230">
            <w:pPr>
              <w:jc w:val="both"/>
              <w:rPr>
                <w:sz w:val="20"/>
                <w:szCs w:val="20"/>
                <w:lang w:val="fr-CA"/>
              </w:rPr>
            </w:pPr>
            <w:r w:rsidRPr="00DB4F12">
              <w:rPr>
                <w:sz w:val="20"/>
                <w:szCs w:val="20"/>
                <w:lang w:val="fr-CA"/>
              </w:rPr>
              <w:t>Cour d'appel de la Colombie</w:t>
            </w:r>
            <w:r w:rsidRPr="00DB4F12">
              <w:rPr>
                <w:sz w:val="20"/>
                <w:szCs w:val="20"/>
                <w:lang w:val="fr-CA"/>
              </w:rPr>
              <w:noBreakHyphen/>
              <w:t xml:space="preserve">Britannique </w:t>
            </w:r>
          </w:p>
          <w:p w:rsidR="00F727E7" w:rsidRPr="00DB4F12" w:rsidRDefault="00F727E7" w:rsidP="00CF3230">
            <w:pPr>
              <w:jc w:val="both"/>
              <w:rPr>
                <w:sz w:val="20"/>
                <w:szCs w:val="20"/>
                <w:lang w:val="fr-CA"/>
              </w:rPr>
            </w:pPr>
            <w:r w:rsidRPr="00DB4F12">
              <w:rPr>
                <w:sz w:val="20"/>
                <w:szCs w:val="20"/>
                <w:lang w:val="fr-CA"/>
              </w:rPr>
              <w:t>(Vancouver)</w:t>
            </w:r>
          </w:p>
          <w:p w:rsidR="00F727E7" w:rsidRPr="00DB4F12" w:rsidRDefault="00F727E7" w:rsidP="00CF3230">
            <w:pPr>
              <w:jc w:val="both"/>
              <w:rPr>
                <w:sz w:val="20"/>
                <w:szCs w:val="20"/>
                <w:lang w:val="fr-CA"/>
              </w:rPr>
            </w:pPr>
            <w:r w:rsidRPr="00DB4F12">
              <w:rPr>
                <w:sz w:val="20"/>
                <w:szCs w:val="20"/>
                <w:lang w:val="fr-CA"/>
              </w:rPr>
              <w:t>(Juges Saunders, Smith et Garson)</w:t>
            </w:r>
          </w:p>
          <w:p w:rsidR="00F727E7" w:rsidRPr="00DB4F12" w:rsidRDefault="00F727E7" w:rsidP="00CF3230">
            <w:pPr>
              <w:jc w:val="both"/>
              <w:rPr>
                <w:sz w:val="20"/>
                <w:szCs w:val="20"/>
                <w:lang w:val="fr-CA"/>
              </w:rPr>
            </w:pPr>
            <w:r w:rsidRPr="00DB4F12">
              <w:rPr>
                <w:sz w:val="20"/>
                <w:szCs w:val="20"/>
                <w:lang w:val="fr-CA"/>
              </w:rPr>
              <w:t>2012 BCCA 366</w:t>
            </w:r>
          </w:p>
          <w:p w:rsidR="00F727E7" w:rsidRPr="00DB4F12" w:rsidRDefault="00F727E7" w:rsidP="00CF3230">
            <w:pPr>
              <w:jc w:val="both"/>
              <w:rPr>
                <w:sz w:val="20"/>
                <w:szCs w:val="20"/>
                <w:lang w:val="fr-CA"/>
              </w:rPr>
            </w:pPr>
          </w:p>
        </w:tc>
        <w:tc>
          <w:tcPr>
            <w:tcW w:w="243" w:type="pct"/>
          </w:tcPr>
          <w:p w:rsidR="00F727E7" w:rsidRPr="00DB4F12" w:rsidRDefault="00F727E7" w:rsidP="00CF3230">
            <w:pPr>
              <w:jc w:val="both"/>
              <w:rPr>
                <w:sz w:val="20"/>
                <w:szCs w:val="20"/>
                <w:lang w:val="fr-CA"/>
              </w:rPr>
            </w:pPr>
          </w:p>
        </w:tc>
        <w:tc>
          <w:tcPr>
            <w:tcW w:w="2330" w:type="pct"/>
          </w:tcPr>
          <w:p w:rsidR="00F727E7" w:rsidRPr="00DB4F12" w:rsidRDefault="00F727E7" w:rsidP="00CF3230">
            <w:pPr>
              <w:jc w:val="both"/>
              <w:rPr>
                <w:sz w:val="20"/>
                <w:szCs w:val="20"/>
                <w:lang w:val="fr-CA"/>
              </w:rPr>
            </w:pPr>
            <w:r w:rsidRPr="00DB4F12">
              <w:rPr>
                <w:sz w:val="20"/>
                <w:szCs w:val="20"/>
                <w:lang w:val="fr-CA"/>
              </w:rPr>
              <w:t>Appel rejeté</w:t>
            </w:r>
          </w:p>
          <w:p w:rsidR="00F727E7" w:rsidRPr="00DB4F12" w:rsidRDefault="00F727E7" w:rsidP="00CF3230">
            <w:pPr>
              <w:jc w:val="both"/>
              <w:rPr>
                <w:sz w:val="20"/>
                <w:szCs w:val="20"/>
                <w:lang w:val="fr-CA"/>
              </w:rPr>
            </w:pPr>
          </w:p>
        </w:tc>
      </w:tr>
      <w:tr w:rsidR="00F727E7" w:rsidRPr="00DB4F12" w:rsidTr="00CF3230">
        <w:tc>
          <w:tcPr>
            <w:tcW w:w="2427" w:type="pct"/>
          </w:tcPr>
          <w:p w:rsidR="00F727E7" w:rsidRPr="00DB4F12" w:rsidRDefault="00F727E7" w:rsidP="00CF3230">
            <w:pPr>
              <w:jc w:val="both"/>
              <w:rPr>
                <w:sz w:val="20"/>
                <w:szCs w:val="20"/>
                <w:lang w:val="fr-CA"/>
              </w:rPr>
            </w:pPr>
            <w:r w:rsidRPr="00DB4F12">
              <w:rPr>
                <w:sz w:val="20"/>
                <w:szCs w:val="20"/>
                <w:lang w:val="fr-CA"/>
              </w:rPr>
              <w:t>13 novembre 2012</w:t>
            </w:r>
          </w:p>
          <w:p w:rsidR="00F727E7" w:rsidRPr="00DB4F12" w:rsidRDefault="00F727E7" w:rsidP="00CF3230">
            <w:pPr>
              <w:jc w:val="both"/>
              <w:rPr>
                <w:sz w:val="20"/>
                <w:szCs w:val="20"/>
                <w:lang w:val="fr-CA"/>
              </w:rPr>
            </w:pPr>
            <w:r w:rsidRPr="00DB4F12">
              <w:rPr>
                <w:sz w:val="20"/>
                <w:szCs w:val="20"/>
                <w:lang w:val="fr-CA"/>
              </w:rPr>
              <w:t>Cour suprême du Canada</w:t>
            </w:r>
          </w:p>
        </w:tc>
        <w:tc>
          <w:tcPr>
            <w:tcW w:w="243" w:type="pct"/>
          </w:tcPr>
          <w:p w:rsidR="00F727E7" w:rsidRPr="00DB4F12" w:rsidRDefault="00F727E7" w:rsidP="00CF3230">
            <w:pPr>
              <w:jc w:val="both"/>
              <w:rPr>
                <w:sz w:val="20"/>
                <w:szCs w:val="20"/>
                <w:lang w:val="fr-CA"/>
              </w:rPr>
            </w:pPr>
          </w:p>
        </w:tc>
        <w:tc>
          <w:tcPr>
            <w:tcW w:w="2330" w:type="pct"/>
          </w:tcPr>
          <w:p w:rsidR="00F727E7" w:rsidRPr="00DB4F12" w:rsidRDefault="00F727E7" w:rsidP="00CF3230">
            <w:pPr>
              <w:jc w:val="both"/>
              <w:rPr>
                <w:sz w:val="20"/>
                <w:szCs w:val="20"/>
                <w:lang w:val="fr-CA"/>
              </w:rPr>
            </w:pPr>
            <w:r w:rsidRPr="00DB4F12">
              <w:rPr>
                <w:sz w:val="20"/>
                <w:szCs w:val="20"/>
                <w:lang w:val="fr-CA"/>
              </w:rPr>
              <w:t>Demande d'autorisation d'appel, déposée</w:t>
            </w:r>
          </w:p>
          <w:p w:rsidR="00F727E7" w:rsidRPr="00DB4F12" w:rsidRDefault="00F727E7" w:rsidP="00CF3230">
            <w:pPr>
              <w:jc w:val="both"/>
              <w:rPr>
                <w:sz w:val="20"/>
                <w:szCs w:val="20"/>
                <w:lang w:val="fr-CA"/>
              </w:rPr>
            </w:pPr>
          </w:p>
        </w:tc>
      </w:tr>
    </w:tbl>
    <w:p w:rsidR="003101AB" w:rsidRDefault="003101AB" w:rsidP="003101AB">
      <w:pPr>
        <w:rPr>
          <w:sz w:val="20"/>
          <w:szCs w:val="20"/>
        </w:rPr>
      </w:pPr>
    </w:p>
    <w:p w:rsidR="003101AB" w:rsidRDefault="003F21C7" w:rsidP="003101AB">
      <w:pPr>
        <w:rPr>
          <w:sz w:val="20"/>
          <w:szCs w:val="20"/>
          <w:lang w:val="fr-CA"/>
        </w:rPr>
      </w:pPr>
      <w:r w:rsidRPr="003F21C7">
        <w:rPr>
          <w:sz w:val="20"/>
          <w:szCs w:val="20"/>
          <w:lang w:val="fr-CA"/>
        </w:rPr>
        <w:pict>
          <v:rect id="_x0000_i1055" style="width:2in;height:1pt" o:hrpct="0" o:hralign="center" o:hrstd="t" o:hrnoshade="t" o:hr="t" fillcolor="black [3213]" stroked="f"/>
        </w:pict>
      </w:r>
    </w:p>
    <w:p w:rsidR="003101AB" w:rsidRDefault="003101AB" w:rsidP="003101A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76658" w:rsidRPr="00A47DB1" w:rsidTr="00DD7751">
        <w:trPr>
          <w:cantSplit/>
        </w:trPr>
        <w:tc>
          <w:tcPr>
            <w:tcW w:w="1458" w:type="dxa"/>
          </w:tcPr>
          <w:p w:rsidR="00776658" w:rsidRPr="00A47DB1" w:rsidRDefault="00776658" w:rsidP="00DD7751">
            <w:pPr>
              <w:rPr>
                <w:sz w:val="20"/>
                <w:szCs w:val="20"/>
              </w:rPr>
            </w:pPr>
            <w:r w:rsidRPr="00A47DB1">
              <w:rPr>
                <w:rStyle w:val="SCCFileNumberChar"/>
                <w:sz w:val="20"/>
                <w:szCs w:val="20"/>
              </w:rPr>
              <w:lastRenderedPageBreak/>
              <w:t>35071</w:t>
            </w:r>
          </w:p>
          <w:p w:rsidR="00776658" w:rsidRPr="00A47DB1" w:rsidRDefault="00776658" w:rsidP="00DD7751">
            <w:pPr>
              <w:rPr>
                <w:b/>
                <w:sz w:val="20"/>
                <w:szCs w:val="20"/>
                <w:lang w:val="fr-CA"/>
              </w:rPr>
            </w:pPr>
          </w:p>
        </w:tc>
        <w:tc>
          <w:tcPr>
            <w:tcW w:w="8118" w:type="dxa"/>
          </w:tcPr>
          <w:p w:rsidR="00776658" w:rsidRPr="00A47DB1" w:rsidRDefault="00776658" w:rsidP="00DD7751">
            <w:pPr>
              <w:rPr>
                <w:sz w:val="20"/>
                <w:szCs w:val="20"/>
              </w:rPr>
            </w:pPr>
            <w:r w:rsidRPr="00A47DB1">
              <w:rPr>
                <w:rStyle w:val="SCCLsocChar"/>
                <w:sz w:val="20"/>
                <w:szCs w:val="20"/>
                <w:lang w:val="en-CA"/>
              </w:rPr>
              <w:t>Daniel Christopher Miles Aitken v. Her Majesty the Queen</w:t>
            </w:r>
            <w:r w:rsidRPr="00A47DB1">
              <w:rPr>
                <w:sz w:val="20"/>
                <w:szCs w:val="20"/>
              </w:rPr>
              <w:t xml:space="preserve"> (B.C.) (Criminal) (By Leave)</w:t>
            </w:r>
          </w:p>
          <w:p w:rsidR="00776658" w:rsidRPr="00A47DB1" w:rsidRDefault="00776658" w:rsidP="00DD7751">
            <w:pPr>
              <w:rPr>
                <w:sz w:val="20"/>
                <w:szCs w:val="20"/>
              </w:rPr>
            </w:pPr>
          </w:p>
        </w:tc>
      </w:tr>
      <w:tr w:rsidR="00776658" w:rsidRPr="00A47DB1" w:rsidTr="00DD7751">
        <w:trPr>
          <w:cantSplit/>
        </w:trPr>
        <w:tc>
          <w:tcPr>
            <w:tcW w:w="1458" w:type="dxa"/>
          </w:tcPr>
          <w:p w:rsidR="00776658" w:rsidRPr="00A47DB1" w:rsidRDefault="00776658" w:rsidP="00DD7751">
            <w:pPr>
              <w:rPr>
                <w:sz w:val="20"/>
                <w:szCs w:val="20"/>
              </w:rPr>
            </w:pPr>
            <w:r w:rsidRPr="00A47DB1">
              <w:rPr>
                <w:sz w:val="20"/>
                <w:szCs w:val="20"/>
              </w:rPr>
              <w:t>Coram :</w:t>
            </w:r>
          </w:p>
        </w:tc>
        <w:tc>
          <w:tcPr>
            <w:tcW w:w="8118" w:type="dxa"/>
          </w:tcPr>
          <w:p w:rsidR="00776658" w:rsidRPr="00A47DB1" w:rsidRDefault="00776658" w:rsidP="00DD7751">
            <w:pPr>
              <w:rPr>
                <w:sz w:val="20"/>
                <w:szCs w:val="20"/>
              </w:rPr>
            </w:pPr>
            <w:r w:rsidRPr="00A47DB1">
              <w:rPr>
                <w:rStyle w:val="SCCCoramChar"/>
                <w:sz w:val="20"/>
                <w:szCs w:val="20"/>
                <w:lang w:val="en-CA"/>
              </w:rPr>
              <w:t>McLachlin C.J. and Abella and Cromwell JJ.</w:t>
            </w:r>
          </w:p>
          <w:p w:rsidR="00776658" w:rsidRPr="00A47DB1" w:rsidRDefault="00776658" w:rsidP="00DD7751">
            <w:pPr>
              <w:rPr>
                <w:sz w:val="20"/>
                <w:szCs w:val="20"/>
                <w:u w:val="single"/>
              </w:rPr>
            </w:pPr>
          </w:p>
        </w:tc>
      </w:tr>
      <w:tr w:rsidR="00776658" w:rsidRPr="00462F49" w:rsidTr="00DD7751">
        <w:trPr>
          <w:cantSplit/>
        </w:trPr>
        <w:tc>
          <w:tcPr>
            <w:tcW w:w="9576" w:type="dxa"/>
            <w:gridSpan w:val="2"/>
          </w:tcPr>
          <w:p w:rsidR="00776658" w:rsidRPr="00A47DB1" w:rsidRDefault="00776658" w:rsidP="00DD7751">
            <w:pPr>
              <w:pStyle w:val="SCCShortJudgment"/>
              <w:rPr>
                <w:szCs w:val="20"/>
              </w:rPr>
            </w:pPr>
            <w:r w:rsidRPr="00A47DB1">
              <w:rPr>
                <w:szCs w:val="20"/>
              </w:rPr>
              <w:t>The motion for an extension of time to serve and file the application for leave to appeal is granted.  The application for leave to appeal from the judgment of the Court of Appeal for British Columbia (Vancouver), Number CA036854, 2012 BCCA 134, dated April 2, 2012, is dismissed without costs.</w:t>
            </w:r>
          </w:p>
          <w:p w:rsidR="00776658" w:rsidRPr="00A47DB1" w:rsidRDefault="00776658" w:rsidP="00DD7751">
            <w:pPr>
              <w:pStyle w:val="SCCShortJudgment"/>
              <w:ind w:firstLine="0"/>
              <w:rPr>
                <w:szCs w:val="20"/>
              </w:rPr>
            </w:pPr>
          </w:p>
          <w:p w:rsidR="00776658" w:rsidRPr="00A47DB1" w:rsidRDefault="00776658" w:rsidP="00776658">
            <w:pPr>
              <w:pStyle w:val="SCCShortJudgment"/>
              <w:rPr>
                <w:szCs w:val="20"/>
                <w:lang w:val="fr-CA"/>
              </w:rPr>
            </w:pPr>
            <w:r w:rsidRPr="00A47DB1">
              <w:rPr>
                <w:szCs w:val="20"/>
                <w:lang w:val="fr-CA"/>
              </w:rPr>
              <w:t>La requête en prorogation du délai de signification et de dépôt de la demande d’autorisation d’appel est accueillie.  La demande d’autorisation d’appel de l’arrêt de la Cour d’appel de la Colombie-Britannique (Vancouver), numéro CA036854, 2012 BCCA 134, daté du 2 avril 2012, est rejetée sans dépens.</w:t>
            </w:r>
          </w:p>
        </w:tc>
      </w:tr>
    </w:tbl>
    <w:p w:rsidR="003101AB" w:rsidRPr="00776658" w:rsidRDefault="003101AB" w:rsidP="003101AB">
      <w:pPr>
        <w:rPr>
          <w:sz w:val="20"/>
          <w:szCs w:val="20"/>
          <w:lang w:val="fr-CA"/>
        </w:rPr>
      </w:pPr>
    </w:p>
    <w:p w:rsidR="003101AB" w:rsidRPr="001B157C" w:rsidRDefault="003101AB" w:rsidP="003101AB">
      <w:pPr>
        <w:rPr>
          <w:sz w:val="20"/>
          <w:szCs w:val="20"/>
          <w:u w:val="single"/>
        </w:rPr>
      </w:pPr>
      <w:r w:rsidRPr="001B157C">
        <w:rPr>
          <w:sz w:val="20"/>
          <w:szCs w:val="20"/>
          <w:u w:val="single"/>
        </w:rPr>
        <w:t>CASE SUMMARY</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30451" w:rsidRPr="00DB4F12" w:rsidTr="00CF3230">
        <w:tc>
          <w:tcPr>
            <w:tcW w:w="5000" w:type="pct"/>
            <w:gridSpan w:val="3"/>
          </w:tcPr>
          <w:p w:rsidR="00430451" w:rsidRPr="00DB4F12" w:rsidRDefault="00430451" w:rsidP="00CF3230">
            <w:pPr>
              <w:jc w:val="both"/>
              <w:rPr>
                <w:sz w:val="20"/>
                <w:szCs w:val="20"/>
              </w:rPr>
            </w:pPr>
            <w:r w:rsidRPr="00DB4F12">
              <w:rPr>
                <w:sz w:val="20"/>
                <w:szCs w:val="20"/>
              </w:rPr>
              <w:t>Criminal law – Evidence – Expert Evidence – Whether the Court of Appeal erred in law in permitting the evidence of the English podiatrist to be adduced on the crucial issue of identification of the shooter in this case thereby causing the real prospect of miscarriage of justice – Whether there are issues of public importance raised.</w:t>
            </w:r>
          </w:p>
        </w:tc>
      </w:tr>
      <w:tr w:rsidR="00430451" w:rsidRPr="00DB4F12" w:rsidTr="00CF3230">
        <w:tc>
          <w:tcPr>
            <w:tcW w:w="5000" w:type="pct"/>
            <w:gridSpan w:val="3"/>
          </w:tcPr>
          <w:p w:rsidR="00430451" w:rsidRPr="00DB4F12" w:rsidRDefault="00430451" w:rsidP="00CF3230">
            <w:pPr>
              <w:jc w:val="both"/>
              <w:rPr>
                <w:sz w:val="20"/>
                <w:szCs w:val="20"/>
              </w:rPr>
            </w:pPr>
          </w:p>
        </w:tc>
      </w:tr>
      <w:tr w:rsidR="00430451" w:rsidRPr="00DB4F12" w:rsidTr="00CF3230">
        <w:tc>
          <w:tcPr>
            <w:tcW w:w="5000" w:type="pct"/>
            <w:gridSpan w:val="3"/>
          </w:tcPr>
          <w:p w:rsidR="00430451" w:rsidRPr="00DB4F12" w:rsidRDefault="00430451" w:rsidP="00CF3230">
            <w:pPr>
              <w:jc w:val="both"/>
              <w:rPr>
                <w:sz w:val="20"/>
                <w:szCs w:val="20"/>
              </w:rPr>
            </w:pPr>
            <w:r w:rsidRPr="00DB4F12">
              <w:rPr>
                <w:sz w:val="20"/>
                <w:szCs w:val="20"/>
              </w:rPr>
              <w:t xml:space="preserve">There was a security closed circuit television positioned above the doorway of the building where Mr. Merino was shot.  The Crown intended to call a podiatrist in order to provide forensic gait analysis of the individuals depicted in the video footage.  In </w:t>
            </w:r>
            <w:r w:rsidRPr="00DB4F12">
              <w:rPr>
                <w:i/>
                <w:sz w:val="20"/>
                <w:szCs w:val="20"/>
              </w:rPr>
              <w:t>R. v. Mohan</w:t>
            </w:r>
            <w:r w:rsidRPr="00DB4F12">
              <w:rPr>
                <w:sz w:val="20"/>
                <w:szCs w:val="20"/>
              </w:rPr>
              <w:t xml:space="preserve">, [1994] 2 S.C.R. 9, Sopinka J. set out the criteria to be applied by a trial judge when determining the admissibility of expert opinion evidence in criminal cases.  The criteria set out in </w:t>
            </w:r>
            <w:r w:rsidRPr="00DB4F12">
              <w:rPr>
                <w:i/>
                <w:sz w:val="20"/>
                <w:szCs w:val="20"/>
              </w:rPr>
              <w:t>Mohan</w:t>
            </w:r>
            <w:r w:rsidRPr="00DB4F12">
              <w:rPr>
                <w:sz w:val="20"/>
                <w:szCs w:val="20"/>
              </w:rPr>
              <w:t xml:space="preserve"> were applied by the lower courts.  The trial judge and the Court of Appeal ruled that the podiatrist’s evidence was admissible.  After a trial by judge and jury, the applicant was convicted of first degree murder.  The conviction appeal was dismissed.</w:t>
            </w:r>
          </w:p>
          <w:p w:rsidR="00430451" w:rsidRPr="00DB4F12" w:rsidRDefault="00430451" w:rsidP="00CF3230">
            <w:pPr>
              <w:jc w:val="both"/>
              <w:rPr>
                <w:sz w:val="20"/>
                <w:szCs w:val="20"/>
              </w:rPr>
            </w:pPr>
          </w:p>
        </w:tc>
      </w:tr>
      <w:tr w:rsidR="00430451" w:rsidRPr="00DB4F12" w:rsidTr="00CF3230">
        <w:tc>
          <w:tcPr>
            <w:tcW w:w="2427" w:type="pct"/>
          </w:tcPr>
          <w:p w:rsidR="00430451" w:rsidRPr="00DB4F12" w:rsidRDefault="00430451" w:rsidP="00CF3230">
            <w:pPr>
              <w:jc w:val="both"/>
              <w:rPr>
                <w:sz w:val="20"/>
                <w:szCs w:val="20"/>
              </w:rPr>
            </w:pPr>
            <w:r w:rsidRPr="00DB4F12">
              <w:rPr>
                <w:sz w:val="20"/>
                <w:szCs w:val="20"/>
              </w:rPr>
              <w:t>January 25, 2009</w:t>
            </w:r>
          </w:p>
          <w:p w:rsidR="00430451" w:rsidRPr="00DB4F12" w:rsidRDefault="00430451" w:rsidP="00CF3230">
            <w:pPr>
              <w:jc w:val="both"/>
              <w:rPr>
                <w:sz w:val="20"/>
                <w:szCs w:val="20"/>
              </w:rPr>
            </w:pPr>
            <w:r w:rsidRPr="00DB4F12">
              <w:rPr>
                <w:sz w:val="20"/>
                <w:szCs w:val="20"/>
              </w:rPr>
              <w:t>Supreme Court of British Columbia</w:t>
            </w:r>
          </w:p>
          <w:p w:rsidR="00430451" w:rsidRPr="00DB4F12" w:rsidRDefault="00430451" w:rsidP="00CF3230">
            <w:pPr>
              <w:jc w:val="both"/>
              <w:rPr>
                <w:sz w:val="20"/>
                <w:szCs w:val="20"/>
              </w:rPr>
            </w:pPr>
            <w:r w:rsidRPr="00DB4F12">
              <w:rPr>
                <w:sz w:val="20"/>
                <w:szCs w:val="20"/>
              </w:rPr>
              <w:t>(Satanove J.)</w:t>
            </w:r>
          </w:p>
          <w:p w:rsidR="00430451" w:rsidRPr="00DB4F12" w:rsidRDefault="00430451" w:rsidP="00CF3230">
            <w:pPr>
              <w:jc w:val="both"/>
              <w:rPr>
                <w:sz w:val="20"/>
                <w:szCs w:val="20"/>
              </w:rPr>
            </w:pPr>
          </w:p>
        </w:tc>
        <w:tc>
          <w:tcPr>
            <w:tcW w:w="243" w:type="pct"/>
          </w:tcPr>
          <w:p w:rsidR="00430451" w:rsidRPr="00DB4F12" w:rsidRDefault="00430451" w:rsidP="00CF3230">
            <w:pPr>
              <w:jc w:val="both"/>
              <w:rPr>
                <w:sz w:val="20"/>
                <w:szCs w:val="20"/>
              </w:rPr>
            </w:pPr>
          </w:p>
        </w:tc>
        <w:tc>
          <w:tcPr>
            <w:tcW w:w="2330" w:type="pct"/>
          </w:tcPr>
          <w:p w:rsidR="00430451" w:rsidRPr="00DB4F12" w:rsidRDefault="00430451" w:rsidP="00CF3230">
            <w:pPr>
              <w:jc w:val="both"/>
              <w:rPr>
                <w:sz w:val="20"/>
                <w:szCs w:val="20"/>
              </w:rPr>
            </w:pPr>
            <w:r w:rsidRPr="00DB4F12">
              <w:rPr>
                <w:sz w:val="20"/>
                <w:szCs w:val="20"/>
              </w:rPr>
              <w:t>Conviction: first degree murder</w:t>
            </w:r>
          </w:p>
          <w:p w:rsidR="00430451" w:rsidRPr="00DB4F12" w:rsidRDefault="00430451" w:rsidP="00CF3230">
            <w:pPr>
              <w:jc w:val="both"/>
              <w:rPr>
                <w:sz w:val="20"/>
                <w:szCs w:val="20"/>
              </w:rPr>
            </w:pPr>
          </w:p>
        </w:tc>
      </w:tr>
      <w:tr w:rsidR="00430451" w:rsidRPr="00DB4F12" w:rsidTr="00CF3230">
        <w:tc>
          <w:tcPr>
            <w:tcW w:w="2427" w:type="pct"/>
          </w:tcPr>
          <w:p w:rsidR="00430451" w:rsidRPr="00DB4F12" w:rsidRDefault="00430451" w:rsidP="00CF3230">
            <w:pPr>
              <w:jc w:val="both"/>
              <w:rPr>
                <w:sz w:val="20"/>
                <w:szCs w:val="20"/>
              </w:rPr>
            </w:pPr>
            <w:r w:rsidRPr="00DB4F12">
              <w:rPr>
                <w:sz w:val="20"/>
                <w:szCs w:val="20"/>
              </w:rPr>
              <w:t>April 2, 2012</w:t>
            </w:r>
          </w:p>
          <w:p w:rsidR="00430451" w:rsidRPr="00DB4F12" w:rsidRDefault="00430451" w:rsidP="00CF3230">
            <w:pPr>
              <w:jc w:val="both"/>
              <w:rPr>
                <w:sz w:val="20"/>
                <w:szCs w:val="20"/>
              </w:rPr>
            </w:pPr>
            <w:r w:rsidRPr="00DB4F12">
              <w:rPr>
                <w:sz w:val="20"/>
                <w:szCs w:val="20"/>
              </w:rPr>
              <w:t xml:space="preserve">Court of Appeal for British Columbia </w:t>
            </w:r>
          </w:p>
          <w:p w:rsidR="00430451" w:rsidRPr="00DB4F12" w:rsidRDefault="00430451" w:rsidP="00CF3230">
            <w:pPr>
              <w:jc w:val="both"/>
              <w:rPr>
                <w:sz w:val="20"/>
                <w:szCs w:val="20"/>
              </w:rPr>
            </w:pPr>
            <w:r w:rsidRPr="00DB4F12">
              <w:rPr>
                <w:sz w:val="20"/>
                <w:szCs w:val="20"/>
              </w:rPr>
              <w:t>(Vancouver)</w:t>
            </w:r>
          </w:p>
          <w:p w:rsidR="00430451" w:rsidRPr="00DB4F12" w:rsidRDefault="00430451" w:rsidP="00CF3230">
            <w:pPr>
              <w:jc w:val="both"/>
              <w:rPr>
                <w:sz w:val="20"/>
                <w:szCs w:val="20"/>
              </w:rPr>
            </w:pPr>
            <w:r w:rsidRPr="00DB4F12">
              <w:rPr>
                <w:sz w:val="20"/>
                <w:szCs w:val="20"/>
              </w:rPr>
              <w:t>(Finch C.J., Hall and Hinkson JJ.A.)</w:t>
            </w:r>
          </w:p>
          <w:p w:rsidR="00430451" w:rsidRPr="00DB4F12" w:rsidRDefault="00430451" w:rsidP="00CF3230">
            <w:pPr>
              <w:jc w:val="both"/>
              <w:rPr>
                <w:sz w:val="20"/>
                <w:szCs w:val="20"/>
              </w:rPr>
            </w:pPr>
            <w:r w:rsidRPr="00DB4F12">
              <w:rPr>
                <w:sz w:val="20"/>
                <w:szCs w:val="20"/>
              </w:rPr>
              <w:t>2012 BCCA 134</w:t>
            </w:r>
          </w:p>
          <w:p w:rsidR="00430451" w:rsidRPr="00DB4F12" w:rsidRDefault="00430451" w:rsidP="00CF3230">
            <w:pPr>
              <w:jc w:val="both"/>
              <w:rPr>
                <w:sz w:val="20"/>
                <w:szCs w:val="20"/>
              </w:rPr>
            </w:pPr>
          </w:p>
        </w:tc>
        <w:tc>
          <w:tcPr>
            <w:tcW w:w="243" w:type="pct"/>
          </w:tcPr>
          <w:p w:rsidR="00430451" w:rsidRPr="00DB4F12" w:rsidRDefault="00430451" w:rsidP="00CF3230">
            <w:pPr>
              <w:jc w:val="both"/>
              <w:rPr>
                <w:sz w:val="20"/>
                <w:szCs w:val="20"/>
              </w:rPr>
            </w:pPr>
          </w:p>
        </w:tc>
        <w:tc>
          <w:tcPr>
            <w:tcW w:w="2330" w:type="pct"/>
          </w:tcPr>
          <w:p w:rsidR="00430451" w:rsidRPr="00DB4F12" w:rsidRDefault="00430451" w:rsidP="00CF3230">
            <w:pPr>
              <w:jc w:val="both"/>
              <w:rPr>
                <w:sz w:val="20"/>
                <w:szCs w:val="20"/>
              </w:rPr>
            </w:pPr>
            <w:r w:rsidRPr="00DB4F12">
              <w:rPr>
                <w:sz w:val="20"/>
                <w:szCs w:val="20"/>
              </w:rPr>
              <w:t>Appeal against conviction dismissed</w:t>
            </w:r>
          </w:p>
          <w:p w:rsidR="00430451" w:rsidRPr="00DB4F12" w:rsidRDefault="00430451" w:rsidP="00CF3230">
            <w:pPr>
              <w:jc w:val="both"/>
              <w:rPr>
                <w:sz w:val="20"/>
                <w:szCs w:val="20"/>
              </w:rPr>
            </w:pPr>
          </w:p>
        </w:tc>
      </w:tr>
      <w:tr w:rsidR="00430451" w:rsidRPr="00DB4F12" w:rsidTr="00CF3230">
        <w:tc>
          <w:tcPr>
            <w:tcW w:w="2427" w:type="pct"/>
          </w:tcPr>
          <w:p w:rsidR="00430451" w:rsidRPr="00DB4F12" w:rsidRDefault="00430451" w:rsidP="00CF3230">
            <w:pPr>
              <w:jc w:val="both"/>
              <w:rPr>
                <w:sz w:val="20"/>
                <w:szCs w:val="20"/>
              </w:rPr>
            </w:pPr>
            <w:r w:rsidRPr="00DB4F12">
              <w:rPr>
                <w:sz w:val="20"/>
                <w:szCs w:val="20"/>
              </w:rPr>
              <w:t>November 14, 2012</w:t>
            </w:r>
          </w:p>
          <w:p w:rsidR="00430451" w:rsidRPr="00DB4F12" w:rsidRDefault="00430451" w:rsidP="00CF3230">
            <w:pPr>
              <w:jc w:val="both"/>
              <w:rPr>
                <w:sz w:val="20"/>
                <w:szCs w:val="20"/>
              </w:rPr>
            </w:pPr>
            <w:r w:rsidRPr="00DB4F12">
              <w:rPr>
                <w:sz w:val="20"/>
                <w:szCs w:val="20"/>
              </w:rPr>
              <w:t>Supreme Court of Canada</w:t>
            </w:r>
          </w:p>
        </w:tc>
        <w:tc>
          <w:tcPr>
            <w:tcW w:w="243" w:type="pct"/>
          </w:tcPr>
          <w:p w:rsidR="00430451" w:rsidRPr="00DB4F12" w:rsidRDefault="00430451" w:rsidP="00CF3230">
            <w:pPr>
              <w:jc w:val="both"/>
              <w:rPr>
                <w:sz w:val="20"/>
                <w:szCs w:val="20"/>
              </w:rPr>
            </w:pPr>
          </w:p>
        </w:tc>
        <w:tc>
          <w:tcPr>
            <w:tcW w:w="2330" w:type="pct"/>
          </w:tcPr>
          <w:p w:rsidR="00430451" w:rsidRPr="00DB4F12" w:rsidRDefault="00430451" w:rsidP="00CF3230">
            <w:pPr>
              <w:jc w:val="both"/>
              <w:rPr>
                <w:sz w:val="20"/>
                <w:szCs w:val="20"/>
              </w:rPr>
            </w:pPr>
            <w:r w:rsidRPr="00DB4F12">
              <w:rPr>
                <w:sz w:val="20"/>
                <w:szCs w:val="20"/>
              </w:rPr>
              <w:t>Motion for an extension of time to serve and file the application for leave to appeal and application for leave to appeal filed</w:t>
            </w:r>
          </w:p>
        </w:tc>
      </w:tr>
    </w:tbl>
    <w:p w:rsidR="003101AB" w:rsidRPr="00C50A5C" w:rsidRDefault="003101AB" w:rsidP="003101AB">
      <w:pPr>
        <w:rPr>
          <w:sz w:val="20"/>
          <w:szCs w:val="20"/>
        </w:rPr>
      </w:pPr>
    </w:p>
    <w:p w:rsidR="003101AB" w:rsidRPr="00C50A5C" w:rsidRDefault="003F21C7" w:rsidP="003101AB">
      <w:pPr>
        <w:rPr>
          <w:sz w:val="20"/>
          <w:szCs w:val="20"/>
        </w:rPr>
      </w:pPr>
      <w:r w:rsidRPr="003F21C7">
        <w:rPr>
          <w:sz w:val="20"/>
          <w:szCs w:val="20"/>
          <w:lang w:val="fr-CA"/>
        </w:rPr>
        <w:pict>
          <v:rect id="_x0000_i1056" style="width:2in;height:1pt" o:hrpct="0" o:hralign="center" o:hrstd="t" o:hrnoshade="t" o:hr="t" fillcolor="black [3213]" stroked="f"/>
        </w:pict>
      </w:r>
    </w:p>
    <w:p w:rsidR="003101AB" w:rsidRDefault="003101AB" w:rsidP="003101AB">
      <w:pPr>
        <w:rPr>
          <w:sz w:val="20"/>
          <w:szCs w:val="20"/>
        </w:rPr>
      </w:pPr>
    </w:p>
    <w:p w:rsidR="003101AB" w:rsidRPr="001B157C" w:rsidRDefault="003101AB" w:rsidP="003101AB">
      <w:pPr>
        <w:rPr>
          <w:sz w:val="20"/>
          <w:szCs w:val="20"/>
          <w:u w:val="single"/>
          <w:lang w:val="fr-CA"/>
        </w:rPr>
      </w:pPr>
      <w:r w:rsidRPr="001B157C">
        <w:rPr>
          <w:sz w:val="20"/>
          <w:szCs w:val="20"/>
          <w:u w:val="single"/>
          <w:lang w:val="fr-CA"/>
        </w:rPr>
        <w:t>RÉSUMÉ DE L’AFFAIRE</w:t>
      </w:r>
    </w:p>
    <w:p w:rsidR="003101AB" w:rsidRDefault="003101AB" w:rsidP="003101A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30451" w:rsidRPr="00462F49" w:rsidTr="00CF3230">
        <w:tc>
          <w:tcPr>
            <w:tcW w:w="5000" w:type="pct"/>
            <w:gridSpan w:val="3"/>
          </w:tcPr>
          <w:p w:rsidR="00430451" w:rsidRPr="00DB4F12" w:rsidRDefault="00430451" w:rsidP="00CF3230">
            <w:pPr>
              <w:jc w:val="both"/>
              <w:rPr>
                <w:sz w:val="20"/>
                <w:szCs w:val="20"/>
                <w:lang w:val="fr-CA"/>
              </w:rPr>
            </w:pPr>
            <w:r w:rsidRPr="00DB4F12">
              <w:rPr>
                <w:sz w:val="20"/>
                <w:szCs w:val="20"/>
                <w:lang w:val="fr-CA"/>
              </w:rPr>
              <w:t>Droit criminel – Preuve – Preuve d'expert – La Cour d'appel a-t-elle commis une erreur de droit en permettant la production de la preuve d'un podiatre anglais sur la question fondamentale de l'identification du tireur en l’espèce, créant ainsi la perspective réelle d'une erreur judiciaire? – L'affaire soulève-t-elle des questions d'importance pour le public?</w:t>
            </w:r>
          </w:p>
        </w:tc>
      </w:tr>
      <w:tr w:rsidR="00430451" w:rsidRPr="00462F49" w:rsidTr="00CF3230">
        <w:tc>
          <w:tcPr>
            <w:tcW w:w="5000" w:type="pct"/>
            <w:gridSpan w:val="3"/>
          </w:tcPr>
          <w:p w:rsidR="00430451" w:rsidRPr="00DB4F12" w:rsidRDefault="00430451" w:rsidP="00CF3230">
            <w:pPr>
              <w:jc w:val="both"/>
              <w:rPr>
                <w:sz w:val="20"/>
                <w:szCs w:val="20"/>
                <w:lang w:val="fr-CA"/>
              </w:rPr>
            </w:pPr>
          </w:p>
        </w:tc>
      </w:tr>
      <w:tr w:rsidR="00430451" w:rsidRPr="00DB4F12" w:rsidTr="00CF3230">
        <w:tc>
          <w:tcPr>
            <w:tcW w:w="5000" w:type="pct"/>
            <w:gridSpan w:val="3"/>
          </w:tcPr>
          <w:p w:rsidR="00430451" w:rsidRPr="00DB4F12" w:rsidRDefault="00430451" w:rsidP="00CF3230">
            <w:pPr>
              <w:jc w:val="both"/>
              <w:rPr>
                <w:sz w:val="20"/>
                <w:szCs w:val="20"/>
                <w:lang w:val="fr-CA"/>
              </w:rPr>
            </w:pPr>
            <w:r w:rsidRPr="00DB4F12">
              <w:rPr>
                <w:sz w:val="20"/>
                <w:szCs w:val="20"/>
                <w:lang w:val="fr-CA"/>
              </w:rPr>
              <w:t xml:space="preserve">Il y avait une télévision de sécurité en circuit fermé installée au-dessus de la porte de l’édifice où M. Merino a été </w:t>
            </w:r>
            <w:r w:rsidRPr="00DB4F12">
              <w:rPr>
                <w:sz w:val="20"/>
                <w:szCs w:val="20"/>
                <w:lang w:val="fr-CA"/>
              </w:rPr>
              <w:lastRenderedPageBreak/>
              <w:t xml:space="preserve">abattu.  Le ministère public avait l'intention de faire entendre un podiatre afin qu'il fournisse une analyse judiciaire de la démarche des personnes qui apparaissaient dans l'enregistrement vidéo.  Dans l'arrêt </w:t>
            </w:r>
            <w:r w:rsidRPr="00DB4F12">
              <w:rPr>
                <w:i/>
                <w:sz w:val="20"/>
                <w:szCs w:val="20"/>
                <w:lang w:val="fr-CA"/>
              </w:rPr>
              <w:t>R. c. Mohan</w:t>
            </w:r>
            <w:r w:rsidRPr="00DB4F12">
              <w:rPr>
                <w:sz w:val="20"/>
                <w:szCs w:val="20"/>
                <w:lang w:val="fr-CA"/>
              </w:rPr>
              <w:t xml:space="preserve">, [1994] 2 R.C.S. 9, le juge Sopinka a énoncé les critères que doit appliquer le juge du procès pour juger de l'admissibilité du témoignage d’opinion d'un expert dans les affaires criminelles.  Les juridictions inférieures ont appliqué les critères de l'arrêt </w:t>
            </w:r>
            <w:r w:rsidRPr="00DB4F12">
              <w:rPr>
                <w:i/>
                <w:sz w:val="20"/>
                <w:szCs w:val="20"/>
                <w:lang w:val="fr-CA"/>
              </w:rPr>
              <w:t>Mohan</w:t>
            </w:r>
            <w:r w:rsidRPr="00DB4F12">
              <w:rPr>
                <w:sz w:val="20"/>
                <w:szCs w:val="20"/>
                <w:lang w:val="fr-CA"/>
              </w:rPr>
              <w:t>.  Le juge du procès et la Cour d'appel ont statué que la preuve du podiatre était admissible.  Au terme d'un procès devant juge et jury, le demandeur a été déclaré coupable de meurtre au premier degré.  L'appel de la déclaration de culpabilité a été rejeté.</w:t>
            </w:r>
          </w:p>
          <w:p w:rsidR="00430451" w:rsidRPr="00DB4F12" w:rsidRDefault="00430451" w:rsidP="00CF3230">
            <w:pPr>
              <w:jc w:val="both"/>
              <w:rPr>
                <w:sz w:val="20"/>
                <w:szCs w:val="20"/>
                <w:lang w:val="fr-CA"/>
              </w:rPr>
            </w:pPr>
          </w:p>
        </w:tc>
      </w:tr>
      <w:tr w:rsidR="00430451" w:rsidRPr="00462F49" w:rsidTr="00CF3230">
        <w:tc>
          <w:tcPr>
            <w:tcW w:w="2427" w:type="pct"/>
          </w:tcPr>
          <w:p w:rsidR="00430451" w:rsidRPr="00DB4F12" w:rsidRDefault="00430451" w:rsidP="00CF3230">
            <w:pPr>
              <w:jc w:val="both"/>
              <w:rPr>
                <w:sz w:val="20"/>
                <w:szCs w:val="20"/>
                <w:lang w:val="fr-CA"/>
              </w:rPr>
            </w:pPr>
            <w:r w:rsidRPr="00DB4F12">
              <w:rPr>
                <w:sz w:val="20"/>
                <w:szCs w:val="20"/>
                <w:lang w:val="fr-CA"/>
              </w:rPr>
              <w:lastRenderedPageBreak/>
              <w:t>25 janvier 2009</w:t>
            </w:r>
          </w:p>
          <w:p w:rsidR="00430451" w:rsidRPr="00DB4F12" w:rsidRDefault="00430451" w:rsidP="00CF3230">
            <w:pPr>
              <w:jc w:val="both"/>
              <w:rPr>
                <w:sz w:val="20"/>
                <w:szCs w:val="20"/>
                <w:lang w:val="fr-CA"/>
              </w:rPr>
            </w:pPr>
            <w:r w:rsidRPr="00DB4F12">
              <w:rPr>
                <w:sz w:val="20"/>
                <w:szCs w:val="20"/>
                <w:lang w:val="fr-CA"/>
              </w:rPr>
              <w:t xml:space="preserve">Cour suprême de la Colombie-Britannique </w:t>
            </w:r>
          </w:p>
          <w:p w:rsidR="00430451" w:rsidRPr="00DB4F12" w:rsidRDefault="00430451" w:rsidP="00CF3230">
            <w:pPr>
              <w:jc w:val="both"/>
              <w:rPr>
                <w:sz w:val="20"/>
                <w:szCs w:val="20"/>
                <w:lang w:val="fr-CA"/>
              </w:rPr>
            </w:pPr>
            <w:r w:rsidRPr="00DB4F12">
              <w:rPr>
                <w:sz w:val="20"/>
                <w:szCs w:val="20"/>
                <w:lang w:val="fr-CA"/>
              </w:rPr>
              <w:t>(Juge Satanove)</w:t>
            </w:r>
          </w:p>
          <w:p w:rsidR="00430451" w:rsidRPr="00DB4F12" w:rsidRDefault="00430451" w:rsidP="00CF3230">
            <w:pPr>
              <w:jc w:val="both"/>
              <w:rPr>
                <w:sz w:val="20"/>
                <w:szCs w:val="20"/>
                <w:lang w:val="fr-CA"/>
              </w:rPr>
            </w:pPr>
          </w:p>
        </w:tc>
        <w:tc>
          <w:tcPr>
            <w:tcW w:w="243" w:type="pct"/>
          </w:tcPr>
          <w:p w:rsidR="00430451" w:rsidRPr="00DB4F12" w:rsidRDefault="00430451" w:rsidP="00CF3230">
            <w:pPr>
              <w:jc w:val="both"/>
              <w:rPr>
                <w:sz w:val="20"/>
                <w:szCs w:val="20"/>
                <w:lang w:val="fr-CA"/>
              </w:rPr>
            </w:pPr>
          </w:p>
        </w:tc>
        <w:tc>
          <w:tcPr>
            <w:tcW w:w="2330" w:type="pct"/>
          </w:tcPr>
          <w:p w:rsidR="00430451" w:rsidRPr="00DB4F12" w:rsidRDefault="00430451" w:rsidP="00CF3230">
            <w:pPr>
              <w:jc w:val="both"/>
              <w:rPr>
                <w:sz w:val="20"/>
                <w:szCs w:val="20"/>
                <w:lang w:val="fr-CA"/>
              </w:rPr>
            </w:pPr>
            <w:r w:rsidRPr="00DB4F12">
              <w:rPr>
                <w:sz w:val="20"/>
                <w:szCs w:val="20"/>
                <w:lang w:val="fr-CA"/>
              </w:rPr>
              <w:t>Déclaration de culpabilité : meurtre au premier degré</w:t>
            </w:r>
          </w:p>
          <w:p w:rsidR="00430451" w:rsidRPr="00DB4F12" w:rsidRDefault="00430451" w:rsidP="00CF3230">
            <w:pPr>
              <w:jc w:val="both"/>
              <w:rPr>
                <w:sz w:val="20"/>
                <w:szCs w:val="20"/>
                <w:lang w:val="fr-CA"/>
              </w:rPr>
            </w:pPr>
          </w:p>
        </w:tc>
      </w:tr>
      <w:tr w:rsidR="00430451" w:rsidRPr="00462F49" w:rsidTr="00CF3230">
        <w:tc>
          <w:tcPr>
            <w:tcW w:w="2427" w:type="pct"/>
          </w:tcPr>
          <w:p w:rsidR="00430451" w:rsidRPr="00DB4F12" w:rsidRDefault="00430451" w:rsidP="00CF3230">
            <w:pPr>
              <w:jc w:val="both"/>
              <w:rPr>
                <w:sz w:val="20"/>
                <w:szCs w:val="20"/>
                <w:lang w:val="fr-CA"/>
              </w:rPr>
            </w:pPr>
            <w:r w:rsidRPr="00DB4F12">
              <w:rPr>
                <w:sz w:val="20"/>
                <w:szCs w:val="20"/>
                <w:lang w:val="fr-CA"/>
              </w:rPr>
              <w:t>2 avril 2012</w:t>
            </w:r>
          </w:p>
          <w:p w:rsidR="00430451" w:rsidRPr="00DB4F12" w:rsidRDefault="00430451" w:rsidP="00CF3230">
            <w:pPr>
              <w:jc w:val="both"/>
              <w:rPr>
                <w:sz w:val="20"/>
                <w:szCs w:val="20"/>
                <w:lang w:val="fr-CA"/>
              </w:rPr>
            </w:pPr>
            <w:r w:rsidRPr="00DB4F12">
              <w:rPr>
                <w:sz w:val="20"/>
                <w:szCs w:val="20"/>
                <w:lang w:val="fr-CA"/>
              </w:rPr>
              <w:t xml:space="preserve">Cour d'appel de la Colombie-Britannique </w:t>
            </w:r>
          </w:p>
          <w:p w:rsidR="00430451" w:rsidRPr="00DB4F12" w:rsidRDefault="00430451" w:rsidP="00CF3230">
            <w:pPr>
              <w:jc w:val="both"/>
              <w:rPr>
                <w:sz w:val="20"/>
                <w:szCs w:val="20"/>
                <w:lang w:val="fr-CA"/>
              </w:rPr>
            </w:pPr>
            <w:r w:rsidRPr="00DB4F12">
              <w:rPr>
                <w:sz w:val="20"/>
                <w:szCs w:val="20"/>
                <w:lang w:val="fr-CA"/>
              </w:rPr>
              <w:t>(Vancouver)</w:t>
            </w:r>
          </w:p>
          <w:p w:rsidR="00430451" w:rsidRPr="00DB4F12" w:rsidRDefault="00430451" w:rsidP="00CF3230">
            <w:pPr>
              <w:jc w:val="both"/>
              <w:rPr>
                <w:sz w:val="20"/>
                <w:szCs w:val="20"/>
                <w:lang w:val="fr-CA"/>
              </w:rPr>
            </w:pPr>
            <w:r w:rsidRPr="00DB4F12">
              <w:rPr>
                <w:sz w:val="20"/>
                <w:szCs w:val="20"/>
                <w:lang w:val="fr-CA"/>
              </w:rPr>
              <w:t>(Juge en chef Finch, juges Hall et Hinkson)</w:t>
            </w:r>
          </w:p>
          <w:p w:rsidR="00430451" w:rsidRPr="00DB4F12" w:rsidRDefault="00430451" w:rsidP="00CF3230">
            <w:pPr>
              <w:jc w:val="both"/>
              <w:rPr>
                <w:sz w:val="20"/>
                <w:szCs w:val="20"/>
                <w:lang w:val="fr-CA"/>
              </w:rPr>
            </w:pPr>
            <w:r w:rsidRPr="00DB4F12">
              <w:rPr>
                <w:sz w:val="20"/>
                <w:szCs w:val="20"/>
                <w:lang w:val="fr-CA"/>
              </w:rPr>
              <w:t>2012 BCCA 134</w:t>
            </w:r>
          </w:p>
          <w:p w:rsidR="00430451" w:rsidRPr="00DB4F12" w:rsidRDefault="00430451" w:rsidP="00CF3230">
            <w:pPr>
              <w:jc w:val="both"/>
              <w:rPr>
                <w:sz w:val="20"/>
                <w:szCs w:val="20"/>
                <w:lang w:val="fr-CA"/>
              </w:rPr>
            </w:pPr>
          </w:p>
        </w:tc>
        <w:tc>
          <w:tcPr>
            <w:tcW w:w="243" w:type="pct"/>
          </w:tcPr>
          <w:p w:rsidR="00430451" w:rsidRPr="00DB4F12" w:rsidRDefault="00430451" w:rsidP="00CF3230">
            <w:pPr>
              <w:jc w:val="both"/>
              <w:rPr>
                <w:sz w:val="20"/>
                <w:szCs w:val="20"/>
                <w:lang w:val="fr-CA"/>
              </w:rPr>
            </w:pPr>
          </w:p>
        </w:tc>
        <w:tc>
          <w:tcPr>
            <w:tcW w:w="2330" w:type="pct"/>
          </w:tcPr>
          <w:p w:rsidR="00430451" w:rsidRPr="00DB4F12" w:rsidRDefault="00430451" w:rsidP="00CF3230">
            <w:pPr>
              <w:jc w:val="both"/>
              <w:rPr>
                <w:sz w:val="20"/>
                <w:szCs w:val="20"/>
                <w:lang w:val="fr-CA"/>
              </w:rPr>
            </w:pPr>
            <w:r w:rsidRPr="00DB4F12">
              <w:rPr>
                <w:sz w:val="20"/>
                <w:szCs w:val="20"/>
                <w:lang w:val="fr-CA"/>
              </w:rPr>
              <w:t>Appel de la déclaration de culpabilité, rejeté</w:t>
            </w:r>
          </w:p>
          <w:p w:rsidR="00430451" w:rsidRPr="00DB4F12" w:rsidRDefault="00430451" w:rsidP="00CF3230">
            <w:pPr>
              <w:jc w:val="both"/>
              <w:rPr>
                <w:sz w:val="20"/>
                <w:szCs w:val="20"/>
                <w:lang w:val="fr-CA"/>
              </w:rPr>
            </w:pPr>
          </w:p>
          <w:p w:rsidR="00430451" w:rsidRPr="00DB4F12" w:rsidRDefault="00430451" w:rsidP="00CF3230">
            <w:pPr>
              <w:jc w:val="both"/>
              <w:rPr>
                <w:sz w:val="20"/>
                <w:szCs w:val="20"/>
                <w:lang w:val="fr-CA"/>
              </w:rPr>
            </w:pPr>
          </w:p>
        </w:tc>
      </w:tr>
      <w:tr w:rsidR="00430451" w:rsidRPr="00462F49" w:rsidTr="00CF3230">
        <w:tc>
          <w:tcPr>
            <w:tcW w:w="2427" w:type="pct"/>
          </w:tcPr>
          <w:p w:rsidR="00430451" w:rsidRPr="00DB4F12" w:rsidRDefault="00430451" w:rsidP="00CF3230">
            <w:pPr>
              <w:jc w:val="both"/>
              <w:rPr>
                <w:sz w:val="20"/>
                <w:szCs w:val="20"/>
                <w:lang w:val="fr-CA"/>
              </w:rPr>
            </w:pPr>
            <w:r w:rsidRPr="00DB4F12">
              <w:rPr>
                <w:sz w:val="20"/>
                <w:szCs w:val="20"/>
                <w:lang w:val="fr-CA"/>
              </w:rPr>
              <w:t>14 novembre 2012</w:t>
            </w:r>
          </w:p>
          <w:p w:rsidR="00430451" w:rsidRPr="00DB4F12" w:rsidRDefault="00430451" w:rsidP="00CF3230">
            <w:pPr>
              <w:jc w:val="both"/>
              <w:rPr>
                <w:sz w:val="20"/>
                <w:szCs w:val="20"/>
                <w:lang w:val="fr-CA"/>
              </w:rPr>
            </w:pPr>
            <w:r w:rsidRPr="00DB4F12">
              <w:rPr>
                <w:sz w:val="20"/>
                <w:szCs w:val="20"/>
                <w:lang w:val="fr-CA"/>
              </w:rPr>
              <w:t>Cour suprême du Canada</w:t>
            </w:r>
          </w:p>
          <w:p w:rsidR="00430451" w:rsidRPr="00DB4F12" w:rsidRDefault="00430451" w:rsidP="00CF3230">
            <w:pPr>
              <w:jc w:val="both"/>
              <w:rPr>
                <w:sz w:val="20"/>
                <w:szCs w:val="20"/>
                <w:lang w:val="fr-CA"/>
              </w:rPr>
            </w:pPr>
          </w:p>
        </w:tc>
        <w:tc>
          <w:tcPr>
            <w:tcW w:w="243" w:type="pct"/>
          </w:tcPr>
          <w:p w:rsidR="00430451" w:rsidRPr="00DB4F12" w:rsidRDefault="00430451" w:rsidP="00CF3230">
            <w:pPr>
              <w:jc w:val="both"/>
              <w:rPr>
                <w:sz w:val="20"/>
                <w:szCs w:val="20"/>
                <w:lang w:val="fr-CA"/>
              </w:rPr>
            </w:pPr>
          </w:p>
        </w:tc>
        <w:tc>
          <w:tcPr>
            <w:tcW w:w="2330" w:type="pct"/>
          </w:tcPr>
          <w:p w:rsidR="00430451" w:rsidRPr="00DB4F12" w:rsidRDefault="00430451" w:rsidP="00CF3230">
            <w:pPr>
              <w:jc w:val="both"/>
              <w:rPr>
                <w:sz w:val="20"/>
                <w:szCs w:val="20"/>
                <w:lang w:val="fr-CA"/>
              </w:rPr>
            </w:pPr>
            <w:r w:rsidRPr="00DB4F12">
              <w:rPr>
                <w:sz w:val="20"/>
                <w:szCs w:val="20"/>
                <w:lang w:val="fr-CA"/>
              </w:rPr>
              <w:t>Requête en prorogation du délai de signification et de dépôt de la demande d'autorisation d'appel et demande d'autorisation d'appel, déposées</w:t>
            </w:r>
          </w:p>
        </w:tc>
      </w:tr>
    </w:tbl>
    <w:p w:rsidR="003101AB" w:rsidRPr="00430451" w:rsidRDefault="003101AB" w:rsidP="003101AB">
      <w:pPr>
        <w:rPr>
          <w:sz w:val="20"/>
          <w:szCs w:val="20"/>
          <w:lang w:val="fr-CA"/>
        </w:rPr>
      </w:pPr>
    </w:p>
    <w:p w:rsidR="003101AB" w:rsidRDefault="003F21C7" w:rsidP="003101AB">
      <w:pPr>
        <w:rPr>
          <w:sz w:val="20"/>
          <w:szCs w:val="20"/>
          <w:lang w:val="fr-CA"/>
        </w:rPr>
      </w:pPr>
      <w:r w:rsidRPr="003F21C7">
        <w:rPr>
          <w:sz w:val="20"/>
          <w:szCs w:val="20"/>
          <w:lang w:val="fr-CA"/>
        </w:rPr>
        <w:pict>
          <v:rect id="_x0000_i1057" style="width:2in;height:1pt" o:hrpct="0" o:hralign="center" o:hrstd="t" o:hrnoshade="t" o:hr="t" fillcolor="black [3213]" stroked="f"/>
        </w:pict>
      </w:r>
    </w:p>
    <w:p w:rsidR="003101AB" w:rsidRDefault="003101AB" w:rsidP="003101A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D7751" w:rsidRPr="00466183" w:rsidTr="00DD7751">
        <w:trPr>
          <w:cantSplit/>
        </w:trPr>
        <w:tc>
          <w:tcPr>
            <w:tcW w:w="1458" w:type="dxa"/>
          </w:tcPr>
          <w:p w:rsidR="00DD7751" w:rsidRPr="00466183" w:rsidRDefault="00DD7751" w:rsidP="00DD7751">
            <w:pPr>
              <w:rPr>
                <w:sz w:val="20"/>
                <w:szCs w:val="20"/>
              </w:rPr>
            </w:pPr>
            <w:r w:rsidRPr="00466183">
              <w:rPr>
                <w:rStyle w:val="SCCFileNumberChar"/>
                <w:sz w:val="20"/>
                <w:szCs w:val="20"/>
              </w:rPr>
              <w:t>35079</w:t>
            </w:r>
          </w:p>
          <w:p w:rsidR="00DD7751" w:rsidRPr="00466183" w:rsidRDefault="00DD7751" w:rsidP="00DD7751">
            <w:pPr>
              <w:rPr>
                <w:b/>
                <w:sz w:val="20"/>
                <w:szCs w:val="20"/>
                <w:lang w:val="fr-CA"/>
              </w:rPr>
            </w:pPr>
          </w:p>
        </w:tc>
        <w:tc>
          <w:tcPr>
            <w:tcW w:w="8118" w:type="dxa"/>
          </w:tcPr>
          <w:p w:rsidR="00DD7751" w:rsidRPr="00466183" w:rsidRDefault="00DD7751" w:rsidP="00DD7751">
            <w:pPr>
              <w:rPr>
                <w:sz w:val="20"/>
                <w:szCs w:val="20"/>
              </w:rPr>
            </w:pPr>
            <w:r w:rsidRPr="00466183">
              <w:rPr>
                <w:rStyle w:val="SCCLsocChar"/>
                <w:sz w:val="20"/>
                <w:szCs w:val="20"/>
                <w:lang w:val="en-CA"/>
              </w:rPr>
              <w:t>Elizabeth Plomp v. Centre hospitalier de St. Mary</w:t>
            </w:r>
            <w:r w:rsidRPr="00466183">
              <w:rPr>
                <w:sz w:val="20"/>
                <w:szCs w:val="20"/>
              </w:rPr>
              <w:t xml:space="preserve"> (Que.) (Civil) (By Leave)</w:t>
            </w:r>
          </w:p>
          <w:p w:rsidR="00DD7751" w:rsidRPr="00466183" w:rsidRDefault="00DD7751" w:rsidP="00DD7751">
            <w:pPr>
              <w:rPr>
                <w:sz w:val="20"/>
                <w:szCs w:val="20"/>
              </w:rPr>
            </w:pPr>
          </w:p>
        </w:tc>
      </w:tr>
      <w:tr w:rsidR="00DD7751" w:rsidRPr="00466183" w:rsidTr="00DD7751">
        <w:trPr>
          <w:cantSplit/>
        </w:trPr>
        <w:tc>
          <w:tcPr>
            <w:tcW w:w="1458" w:type="dxa"/>
          </w:tcPr>
          <w:p w:rsidR="00DD7751" w:rsidRPr="00466183" w:rsidRDefault="00DD7751" w:rsidP="00DD7751">
            <w:pPr>
              <w:rPr>
                <w:sz w:val="20"/>
                <w:szCs w:val="20"/>
              </w:rPr>
            </w:pPr>
            <w:r w:rsidRPr="00466183">
              <w:rPr>
                <w:sz w:val="20"/>
                <w:szCs w:val="20"/>
              </w:rPr>
              <w:t>Coram :</w:t>
            </w:r>
          </w:p>
        </w:tc>
        <w:tc>
          <w:tcPr>
            <w:tcW w:w="8118" w:type="dxa"/>
          </w:tcPr>
          <w:p w:rsidR="00DD7751" w:rsidRPr="00466183" w:rsidRDefault="00DD7751" w:rsidP="00DD7751">
            <w:pPr>
              <w:rPr>
                <w:sz w:val="20"/>
                <w:szCs w:val="20"/>
              </w:rPr>
            </w:pPr>
            <w:r w:rsidRPr="00466183">
              <w:rPr>
                <w:rStyle w:val="SCCCoramChar"/>
                <w:sz w:val="20"/>
                <w:szCs w:val="20"/>
                <w:lang w:val="en-CA"/>
              </w:rPr>
              <w:t>McLachlin C.J. and Abella and Cromwell JJ.</w:t>
            </w:r>
          </w:p>
          <w:p w:rsidR="00DD7751" w:rsidRPr="00466183" w:rsidRDefault="00DD7751" w:rsidP="00DD7751">
            <w:pPr>
              <w:rPr>
                <w:sz w:val="20"/>
                <w:szCs w:val="20"/>
                <w:u w:val="single"/>
              </w:rPr>
            </w:pPr>
          </w:p>
        </w:tc>
      </w:tr>
      <w:tr w:rsidR="00DD7751" w:rsidRPr="00462F49" w:rsidTr="00DD7751">
        <w:trPr>
          <w:cantSplit/>
        </w:trPr>
        <w:tc>
          <w:tcPr>
            <w:tcW w:w="9576" w:type="dxa"/>
            <w:gridSpan w:val="2"/>
          </w:tcPr>
          <w:p w:rsidR="00DD7751" w:rsidRPr="00466183" w:rsidRDefault="00DD7751" w:rsidP="00DD7751">
            <w:pPr>
              <w:pStyle w:val="SCCShortJudgment"/>
              <w:rPr>
                <w:szCs w:val="20"/>
              </w:rPr>
            </w:pPr>
            <w:r w:rsidRPr="00466183">
              <w:rPr>
                <w:szCs w:val="20"/>
              </w:rPr>
              <w:t>The motion for an extension of time to serve and file the application for leave to appeal is granted. The application for leave to appeal from the judgment of the Court of Appeal of Quebec (Montréal), Number  500-09-022818-124, 2012 QCCA 1327, dated July 24, 2012, is dismissed with costs.</w:t>
            </w:r>
          </w:p>
          <w:p w:rsidR="00DD7751" w:rsidRPr="00466183" w:rsidRDefault="00DD7751" w:rsidP="00DD7751">
            <w:pPr>
              <w:pStyle w:val="SCCShortJudgment"/>
              <w:ind w:firstLine="0"/>
              <w:rPr>
                <w:szCs w:val="20"/>
              </w:rPr>
            </w:pPr>
          </w:p>
          <w:p w:rsidR="00DD7751" w:rsidRPr="00466183" w:rsidRDefault="00DD7751" w:rsidP="00DD7751">
            <w:pPr>
              <w:pStyle w:val="SCCShortJudgment"/>
              <w:rPr>
                <w:szCs w:val="20"/>
                <w:lang w:val="fr-CA"/>
              </w:rPr>
            </w:pPr>
            <w:r w:rsidRPr="00466183">
              <w:rPr>
                <w:szCs w:val="20"/>
                <w:lang w:val="fr-CA"/>
              </w:rPr>
              <w:t>La requête en prorogation du délai de signification et de dépôt de la demande d’autorisation d’appel est accueillie.  La demande d’autorisation d’appel de l’arrêt de la Cour d’appel du Québec (Montréal), numéro, 500-09-022818-124, 2012 QCCA 1327 daté du 24 juillet 2012, est rejetée avec dépens.</w:t>
            </w:r>
          </w:p>
        </w:tc>
      </w:tr>
    </w:tbl>
    <w:p w:rsidR="003101AB" w:rsidRPr="00DD7751" w:rsidRDefault="003101AB" w:rsidP="003101AB">
      <w:pPr>
        <w:rPr>
          <w:sz w:val="20"/>
          <w:szCs w:val="20"/>
          <w:lang w:val="fr-CA"/>
        </w:rPr>
      </w:pPr>
    </w:p>
    <w:p w:rsidR="003101AB" w:rsidRPr="001B157C" w:rsidRDefault="003101AB" w:rsidP="003101AB">
      <w:pPr>
        <w:rPr>
          <w:sz w:val="20"/>
          <w:szCs w:val="20"/>
          <w:u w:val="single"/>
        </w:rPr>
      </w:pPr>
      <w:r w:rsidRPr="001B157C">
        <w:rPr>
          <w:sz w:val="20"/>
          <w:szCs w:val="20"/>
          <w:u w:val="single"/>
        </w:rPr>
        <w:t>CASE SUMMARY</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30451" w:rsidRPr="00DB4F12" w:rsidTr="00CF3230">
        <w:tc>
          <w:tcPr>
            <w:tcW w:w="5000" w:type="pct"/>
            <w:gridSpan w:val="3"/>
          </w:tcPr>
          <w:p w:rsidR="00430451" w:rsidRPr="00DB4F12" w:rsidRDefault="00430451" w:rsidP="00CF3230">
            <w:pPr>
              <w:jc w:val="both"/>
              <w:rPr>
                <w:sz w:val="20"/>
                <w:szCs w:val="20"/>
              </w:rPr>
            </w:pPr>
            <w:r w:rsidRPr="00DB4F12">
              <w:rPr>
                <w:sz w:val="20"/>
                <w:szCs w:val="20"/>
              </w:rPr>
              <w:t>Employment law – Unjust dismissal – Civil procedure – Appeals – Complaint of dismissal without good and sufficient cause dismissed by Commission des relations du travail – Motion for judicial review dismissed by Superior Court, and leave to appeal refused by Court of Appeal – Whether courts below made errors.</w:t>
            </w:r>
          </w:p>
        </w:tc>
      </w:tr>
      <w:tr w:rsidR="00430451" w:rsidRPr="00DB4F12" w:rsidTr="00CF3230">
        <w:tc>
          <w:tcPr>
            <w:tcW w:w="5000" w:type="pct"/>
            <w:gridSpan w:val="3"/>
          </w:tcPr>
          <w:p w:rsidR="00430451" w:rsidRPr="00DB4F12" w:rsidRDefault="00430451" w:rsidP="00CF3230">
            <w:pPr>
              <w:jc w:val="both"/>
              <w:rPr>
                <w:sz w:val="20"/>
                <w:szCs w:val="20"/>
              </w:rPr>
            </w:pPr>
          </w:p>
        </w:tc>
      </w:tr>
      <w:tr w:rsidR="00430451" w:rsidRPr="00DB4F12" w:rsidTr="00CF3230">
        <w:tc>
          <w:tcPr>
            <w:tcW w:w="5000" w:type="pct"/>
            <w:gridSpan w:val="3"/>
          </w:tcPr>
          <w:p w:rsidR="00430451" w:rsidRPr="00DB4F12" w:rsidRDefault="00430451" w:rsidP="00CF3230">
            <w:pPr>
              <w:jc w:val="both"/>
              <w:rPr>
                <w:sz w:val="20"/>
                <w:szCs w:val="20"/>
              </w:rPr>
            </w:pPr>
            <w:r w:rsidRPr="00DB4F12">
              <w:rPr>
                <w:sz w:val="20"/>
                <w:szCs w:val="20"/>
              </w:rPr>
              <w:t>From 2005 to 2008, the applicant, Ms. Plomp, worked as an administrative assistant in the epidemiology unit of the respondent hospital (St</w:t>
            </w:r>
            <w:r w:rsidRPr="00DB4F12">
              <w:rPr>
                <w:sz w:val="20"/>
                <w:szCs w:val="20"/>
              </w:rPr>
              <w:noBreakHyphen/>
              <w:t>Mary’s).  She worked there full time, but her employment contract was for an indeterminate term and for a casual, non-unionized job at level R</w:t>
            </w:r>
            <w:r w:rsidRPr="00DB4F12">
              <w:rPr>
                <w:sz w:val="20"/>
                <w:szCs w:val="20"/>
              </w:rPr>
              <w:noBreakHyphen/>
              <w:t>4 (on call, without guaranteed position or hours of work).  Ms. Plomp wanted to obtain permanent, full-time employment (level R</w:t>
            </w:r>
            <w:r w:rsidRPr="00DB4F12">
              <w:rPr>
                <w:sz w:val="20"/>
                <w:szCs w:val="20"/>
              </w:rPr>
              <w:noBreakHyphen/>
              <w:t>1), and she accordingly applied for a position as an assistant in the hospital’s housekeeping unit.  She was offered the position in June 2008, but subject to a 20-day trial period.  At the same time, her position in the epidemiology unit was posted at level R</w:t>
            </w:r>
            <w:r w:rsidRPr="00DB4F12">
              <w:rPr>
                <w:sz w:val="20"/>
                <w:szCs w:val="20"/>
              </w:rPr>
              <w:noBreakHyphen/>
              <w:t xml:space="preserve">1, but she did not apply for it.  The trial period, interrupted by the summer holidays, lasted almost a month.  Ms. Plomp had to spend half her time training her replacement in the epidemiology unit.  In all, she worked nine days in her new duties.  Then, the employer </w:t>
            </w:r>
            <w:r w:rsidRPr="00DB4F12">
              <w:rPr>
                <w:sz w:val="20"/>
                <w:szCs w:val="20"/>
              </w:rPr>
              <w:lastRenderedPageBreak/>
              <w:t>confirmed what she had been told several times: that she would not be given the job, because her work was unsatisfactory.  She would return to her former level, R</w:t>
            </w:r>
            <w:r w:rsidRPr="00DB4F12">
              <w:rPr>
                <w:sz w:val="20"/>
                <w:szCs w:val="20"/>
              </w:rPr>
              <w:noBreakHyphen/>
              <w:t xml:space="preserve">4, but could not return to her former position, which had been filled. </w:t>
            </w:r>
          </w:p>
          <w:p w:rsidR="00430451" w:rsidRPr="00DB4F12" w:rsidRDefault="00430451" w:rsidP="00CF3230">
            <w:pPr>
              <w:jc w:val="both"/>
              <w:rPr>
                <w:sz w:val="20"/>
                <w:szCs w:val="20"/>
              </w:rPr>
            </w:pPr>
          </w:p>
          <w:p w:rsidR="00430451" w:rsidRPr="00DB4F12" w:rsidRDefault="00430451" w:rsidP="00CF3230">
            <w:pPr>
              <w:jc w:val="both"/>
              <w:rPr>
                <w:sz w:val="20"/>
                <w:szCs w:val="20"/>
              </w:rPr>
            </w:pPr>
            <w:r w:rsidRPr="00DB4F12">
              <w:rPr>
                <w:sz w:val="20"/>
                <w:szCs w:val="20"/>
              </w:rPr>
              <w:t>Ms. Plomp filed a complaint with the Commission des relations du travail for dismissal without good and sufficient cause, but the Commission dismissed the complaint on the basis that, in its view, the evidence showed that she had not been dismissed in the circumstances.  The Commission confirmed its decision in a review proceeding, and the Superior Court then dismissed a motion for judicial review.  Doyon J.A. dismissed a motion to the Court of Appeal for leave to appeal.  He found that Ms. Plomp’s appeal had no chance of success.</w:t>
            </w:r>
          </w:p>
          <w:p w:rsidR="00430451" w:rsidRPr="00DB4F12" w:rsidRDefault="00430451" w:rsidP="00CF3230">
            <w:pPr>
              <w:jc w:val="both"/>
              <w:rPr>
                <w:sz w:val="20"/>
                <w:szCs w:val="20"/>
              </w:rPr>
            </w:pPr>
          </w:p>
        </w:tc>
      </w:tr>
      <w:tr w:rsidR="00430451" w:rsidRPr="00DB4F12" w:rsidTr="00CF3230">
        <w:tc>
          <w:tcPr>
            <w:tcW w:w="2427" w:type="pct"/>
          </w:tcPr>
          <w:p w:rsidR="00430451" w:rsidRPr="00DB4F12" w:rsidRDefault="00430451" w:rsidP="00CF3230">
            <w:pPr>
              <w:jc w:val="both"/>
              <w:rPr>
                <w:sz w:val="20"/>
                <w:szCs w:val="20"/>
              </w:rPr>
            </w:pPr>
            <w:r w:rsidRPr="00DB4F12">
              <w:rPr>
                <w:sz w:val="20"/>
                <w:szCs w:val="20"/>
              </w:rPr>
              <w:lastRenderedPageBreak/>
              <w:t>May 28, 2012</w:t>
            </w:r>
          </w:p>
          <w:p w:rsidR="00430451" w:rsidRPr="00DB4F12" w:rsidRDefault="00430451" w:rsidP="00CF3230">
            <w:pPr>
              <w:jc w:val="both"/>
              <w:rPr>
                <w:sz w:val="20"/>
                <w:szCs w:val="20"/>
              </w:rPr>
            </w:pPr>
            <w:r w:rsidRPr="00DB4F12">
              <w:rPr>
                <w:sz w:val="20"/>
                <w:szCs w:val="20"/>
              </w:rPr>
              <w:t>Quebec Superior Court</w:t>
            </w:r>
          </w:p>
          <w:p w:rsidR="00430451" w:rsidRPr="00DB4F12" w:rsidRDefault="00430451" w:rsidP="00CF3230">
            <w:pPr>
              <w:jc w:val="both"/>
              <w:rPr>
                <w:sz w:val="20"/>
                <w:szCs w:val="20"/>
              </w:rPr>
            </w:pPr>
            <w:r w:rsidRPr="00DB4F12">
              <w:rPr>
                <w:sz w:val="20"/>
                <w:szCs w:val="20"/>
              </w:rPr>
              <w:t>(Paquette J.)</w:t>
            </w:r>
          </w:p>
          <w:p w:rsidR="00430451" w:rsidRPr="00DB4F12" w:rsidRDefault="00430451" w:rsidP="00CF3230">
            <w:pPr>
              <w:jc w:val="both"/>
              <w:rPr>
                <w:sz w:val="20"/>
                <w:szCs w:val="20"/>
              </w:rPr>
            </w:pPr>
          </w:p>
        </w:tc>
        <w:tc>
          <w:tcPr>
            <w:tcW w:w="243" w:type="pct"/>
          </w:tcPr>
          <w:p w:rsidR="00430451" w:rsidRPr="00DB4F12" w:rsidRDefault="00430451" w:rsidP="00CF3230">
            <w:pPr>
              <w:jc w:val="both"/>
              <w:rPr>
                <w:sz w:val="20"/>
                <w:szCs w:val="20"/>
              </w:rPr>
            </w:pPr>
          </w:p>
        </w:tc>
        <w:tc>
          <w:tcPr>
            <w:tcW w:w="2330" w:type="pct"/>
          </w:tcPr>
          <w:p w:rsidR="00430451" w:rsidRPr="00DB4F12" w:rsidRDefault="00430451" w:rsidP="00CF3230">
            <w:pPr>
              <w:jc w:val="both"/>
              <w:rPr>
                <w:sz w:val="20"/>
                <w:szCs w:val="20"/>
              </w:rPr>
            </w:pPr>
            <w:r w:rsidRPr="00DB4F12">
              <w:rPr>
                <w:sz w:val="20"/>
                <w:szCs w:val="20"/>
              </w:rPr>
              <w:t>Motion for judicial review dismissed</w:t>
            </w:r>
          </w:p>
          <w:p w:rsidR="00430451" w:rsidRPr="00DB4F12" w:rsidRDefault="00430451" w:rsidP="00CF3230">
            <w:pPr>
              <w:jc w:val="both"/>
              <w:rPr>
                <w:sz w:val="20"/>
                <w:szCs w:val="20"/>
              </w:rPr>
            </w:pPr>
          </w:p>
        </w:tc>
      </w:tr>
      <w:tr w:rsidR="00430451" w:rsidRPr="00DB4F12" w:rsidTr="00CF3230">
        <w:tc>
          <w:tcPr>
            <w:tcW w:w="2427" w:type="pct"/>
          </w:tcPr>
          <w:p w:rsidR="00430451" w:rsidRPr="00DB4F12" w:rsidRDefault="00430451" w:rsidP="00CF3230">
            <w:pPr>
              <w:jc w:val="both"/>
              <w:rPr>
                <w:sz w:val="20"/>
                <w:szCs w:val="20"/>
              </w:rPr>
            </w:pPr>
            <w:r w:rsidRPr="00DB4F12">
              <w:rPr>
                <w:sz w:val="20"/>
                <w:szCs w:val="20"/>
              </w:rPr>
              <w:t>July 24, 2012</w:t>
            </w:r>
          </w:p>
          <w:p w:rsidR="00430451" w:rsidRPr="00DB4F12" w:rsidRDefault="00430451" w:rsidP="00CF3230">
            <w:pPr>
              <w:jc w:val="both"/>
              <w:rPr>
                <w:sz w:val="20"/>
                <w:szCs w:val="20"/>
              </w:rPr>
            </w:pPr>
            <w:r w:rsidRPr="00DB4F12">
              <w:rPr>
                <w:sz w:val="20"/>
                <w:szCs w:val="20"/>
              </w:rPr>
              <w:t>Quebec Court of Appeal (Montréal)</w:t>
            </w:r>
          </w:p>
          <w:p w:rsidR="00430451" w:rsidRPr="00DB4F12" w:rsidRDefault="00430451" w:rsidP="00CF3230">
            <w:pPr>
              <w:jc w:val="both"/>
              <w:rPr>
                <w:sz w:val="20"/>
                <w:szCs w:val="20"/>
              </w:rPr>
            </w:pPr>
            <w:r w:rsidRPr="00DB4F12">
              <w:rPr>
                <w:sz w:val="20"/>
                <w:szCs w:val="20"/>
              </w:rPr>
              <w:t>(Doyon J.A.)</w:t>
            </w:r>
          </w:p>
          <w:p w:rsidR="00430451" w:rsidRPr="00DB4F12" w:rsidRDefault="00430451" w:rsidP="00CF3230">
            <w:pPr>
              <w:jc w:val="both"/>
              <w:rPr>
                <w:sz w:val="20"/>
                <w:szCs w:val="20"/>
              </w:rPr>
            </w:pPr>
            <w:r w:rsidRPr="00DB4F12">
              <w:rPr>
                <w:sz w:val="20"/>
                <w:szCs w:val="20"/>
              </w:rPr>
              <w:t>2012 QCCA 1327; 500</w:t>
            </w:r>
            <w:r w:rsidRPr="00DB4F12">
              <w:rPr>
                <w:sz w:val="20"/>
                <w:szCs w:val="20"/>
              </w:rPr>
              <w:noBreakHyphen/>
              <w:t>09</w:t>
            </w:r>
            <w:r w:rsidRPr="00DB4F12">
              <w:rPr>
                <w:sz w:val="20"/>
                <w:szCs w:val="20"/>
              </w:rPr>
              <w:noBreakHyphen/>
              <w:t>022818</w:t>
            </w:r>
            <w:r w:rsidRPr="00DB4F12">
              <w:rPr>
                <w:sz w:val="20"/>
                <w:szCs w:val="20"/>
              </w:rPr>
              <w:noBreakHyphen/>
              <w:t>124</w:t>
            </w:r>
          </w:p>
          <w:p w:rsidR="00430451" w:rsidRPr="00DB4F12" w:rsidRDefault="00430451" w:rsidP="00CF3230">
            <w:pPr>
              <w:jc w:val="both"/>
              <w:rPr>
                <w:sz w:val="20"/>
                <w:szCs w:val="20"/>
              </w:rPr>
            </w:pPr>
          </w:p>
        </w:tc>
        <w:tc>
          <w:tcPr>
            <w:tcW w:w="243" w:type="pct"/>
          </w:tcPr>
          <w:p w:rsidR="00430451" w:rsidRPr="00DB4F12" w:rsidRDefault="00430451" w:rsidP="00CF3230">
            <w:pPr>
              <w:jc w:val="both"/>
              <w:rPr>
                <w:sz w:val="20"/>
                <w:szCs w:val="20"/>
              </w:rPr>
            </w:pPr>
          </w:p>
        </w:tc>
        <w:tc>
          <w:tcPr>
            <w:tcW w:w="2330" w:type="pct"/>
          </w:tcPr>
          <w:p w:rsidR="00430451" w:rsidRPr="00DB4F12" w:rsidRDefault="00430451" w:rsidP="00CF3230">
            <w:pPr>
              <w:jc w:val="both"/>
              <w:rPr>
                <w:sz w:val="20"/>
                <w:szCs w:val="20"/>
              </w:rPr>
            </w:pPr>
            <w:r w:rsidRPr="00DB4F12">
              <w:rPr>
                <w:sz w:val="20"/>
                <w:szCs w:val="20"/>
              </w:rPr>
              <w:t>Motion for leave to appeal dismissed</w:t>
            </w:r>
          </w:p>
          <w:p w:rsidR="00430451" w:rsidRPr="00DB4F12" w:rsidRDefault="00430451" w:rsidP="00CF3230">
            <w:pPr>
              <w:jc w:val="both"/>
              <w:rPr>
                <w:sz w:val="20"/>
                <w:szCs w:val="20"/>
              </w:rPr>
            </w:pPr>
          </w:p>
        </w:tc>
      </w:tr>
      <w:tr w:rsidR="00430451" w:rsidRPr="00DB4F12" w:rsidTr="00CF3230">
        <w:tc>
          <w:tcPr>
            <w:tcW w:w="2427" w:type="pct"/>
          </w:tcPr>
          <w:p w:rsidR="00430451" w:rsidRPr="00DB4F12" w:rsidRDefault="00430451" w:rsidP="00CF3230">
            <w:pPr>
              <w:jc w:val="both"/>
              <w:rPr>
                <w:sz w:val="20"/>
                <w:szCs w:val="20"/>
              </w:rPr>
            </w:pPr>
            <w:r w:rsidRPr="00DB4F12">
              <w:rPr>
                <w:sz w:val="20"/>
                <w:szCs w:val="20"/>
              </w:rPr>
              <w:t>October 11, 2012</w:t>
            </w:r>
          </w:p>
          <w:p w:rsidR="00430451" w:rsidRPr="00DB4F12" w:rsidRDefault="00430451" w:rsidP="00CF3230">
            <w:pPr>
              <w:jc w:val="both"/>
              <w:rPr>
                <w:sz w:val="20"/>
                <w:szCs w:val="20"/>
              </w:rPr>
            </w:pPr>
            <w:r w:rsidRPr="00DB4F12">
              <w:rPr>
                <w:sz w:val="20"/>
                <w:szCs w:val="20"/>
              </w:rPr>
              <w:t>Supreme Court of Canada</w:t>
            </w:r>
          </w:p>
        </w:tc>
        <w:tc>
          <w:tcPr>
            <w:tcW w:w="243" w:type="pct"/>
          </w:tcPr>
          <w:p w:rsidR="00430451" w:rsidRPr="00DB4F12" w:rsidRDefault="00430451" w:rsidP="00CF3230">
            <w:pPr>
              <w:jc w:val="both"/>
              <w:rPr>
                <w:sz w:val="20"/>
                <w:szCs w:val="20"/>
              </w:rPr>
            </w:pPr>
          </w:p>
        </w:tc>
        <w:tc>
          <w:tcPr>
            <w:tcW w:w="2330" w:type="pct"/>
          </w:tcPr>
          <w:p w:rsidR="00430451" w:rsidRPr="00DB4F12" w:rsidRDefault="00430451" w:rsidP="00CF3230">
            <w:pPr>
              <w:jc w:val="both"/>
              <w:rPr>
                <w:sz w:val="20"/>
                <w:szCs w:val="20"/>
              </w:rPr>
            </w:pPr>
            <w:r w:rsidRPr="00DB4F12">
              <w:rPr>
                <w:sz w:val="20"/>
                <w:szCs w:val="20"/>
              </w:rPr>
              <w:t xml:space="preserve">Motion to extend time to serve and file application for leave to appeal and application for leave to appeal filed </w:t>
            </w:r>
          </w:p>
        </w:tc>
      </w:tr>
    </w:tbl>
    <w:p w:rsidR="003101AB" w:rsidRPr="00C50A5C" w:rsidRDefault="003101AB" w:rsidP="003101AB">
      <w:pPr>
        <w:rPr>
          <w:sz w:val="20"/>
          <w:szCs w:val="20"/>
        </w:rPr>
      </w:pPr>
    </w:p>
    <w:p w:rsidR="003101AB" w:rsidRPr="00C50A5C" w:rsidRDefault="003F21C7" w:rsidP="003101AB">
      <w:pPr>
        <w:rPr>
          <w:sz w:val="20"/>
          <w:szCs w:val="20"/>
        </w:rPr>
      </w:pPr>
      <w:r w:rsidRPr="003F21C7">
        <w:rPr>
          <w:sz w:val="20"/>
          <w:szCs w:val="20"/>
          <w:lang w:val="fr-CA"/>
        </w:rPr>
        <w:pict>
          <v:rect id="_x0000_i1058" style="width:2in;height:1pt" o:hrpct="0" o:hralign="center" o:hrstd="t" o:hrnoshade="t" o:hr="t" fillcolor="black [3213]" stroked="f"/>
        </w:pict>
      </w:r>
    </w:p>
    <w:p w:rsidR="003101AB" w:rsidRDefault="003101AB" w:rsidP="003101AB">
      <w:pPr>
        <w:rPr>
          <w:sz w:val="20"/>
          <w:szCs w:val="20"/>
        </w:rPr>
      </w:pPr>
    </w:p>
    <w:p w:rsidR="003101AB" w:rsidRPr="001B157C" w:rsidRDefault="003101AB" w:rsidP="003101AB">
      <w:pPr>
        <w:rPr>
          <w:sz w:val="20"/>
          <w:szCs w:val="20"/>
          <w:u w:val="single"/>
          <w:lang w:val="fr-CA"/>
        </w:rPr>
      </w:pPr>
      <w:r w:rsidRPr="001B157C">
        <w:rPr>
          <w:sz w:val="20"/>
          <w:szCs w:val="20"/>
          <w:u w:val="single"/>
          <w:lang w:val="fr-CA"/>
        </w:rPr>
        <w:t>RÉSUMÉ DE L’AFFAIRE</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30451" w:rsidRPr="00462F49" w:rsidTr="00CF3230">
        <w:tc>
          <w:tcPr>
            <w:tcW w:w="5000" w:type="pct"/>
            <w:gridSpan w:val="3"/>
          </w:tcPr>
          <w:p w:rsidR="00430451" w:rsidRPr="00DB4F12" w:rsidRDefault="00430451" w:rsidP="00CF3230">
            <w:pPr>
              <w:jc w:val="both"/>
              <w:rPr>
                <w:sz w:val="20"/>
                <w:szCs w:val="20"/>
                <w:lang w:val="fr-CA"/>
              </w:rPr>
            </w:pPr>
            <w:r w:rsidRPr="00DB4F12">
              <w:rPr>
                <w:sz w:val="20"/>
                <w:szCs w:val="20"/>
                <w:lang w:val="fr-CA"/>
              </w:rPr>
              <w:t>Droit de l’emploi – Congédiement injustifié – Procédure civile – Appels – Plainte pour congédiement sans cause juste et suffisante rejetée par la Commission des relations du travail – Requête en révision judiciaire rejetée par la Cour supérieure et permission d’appel refusée par la Cour d’appel – Les instances inférieures ont</w:t>
            </w:r>
            <w:r w:rsidRPr="00DB4F12">
              <w:rPr>
                <w:sz w:val="20"/>
                <w:szCs w:val="20"/>
                <w:lang w:val="fr-CA"/>
              </w:rPr>
              <w:noBreakHyphen/>
              <w:t>elles commis des erreurs?</w:t>
            </w:r>
          </w:p>
        </w:tc>
      </w:tr>
      <w:tr w:rsidR="00430451" w:rsidRPr="00462F49" w:rsidTr="00CF3230">
        <w:tc>
          <w:tcPr>
            <w:tcW w:w="5000" w:type="pct"/>
            <w:gridSpan w:val="3"/>
          </w:tcPr>
          <w:p w:rsidR="00430451" w:rsidRPr="00DB4F12" w:rsidRDefault="00430451" w:rsidP="00CF3230">
            <w:pPr>
              <w:jc w:val="both"/>
              <w:rPr>
                <w:sz w:val="20"/>
                <w:szCs w:val="20"/>
                <w:lang w:val="fr-CA"/>
              </w:rPr>
            </w:pPr>
          </w:p>
        </w:tc>
      </w:tr>
      <w:tr w:rsidR="00430451" w:rsidRPr="00462F49" w:rsidTr="00CF3230">
        <w:tc>
          <w:tcPr>
            <w:tcW w:w="5000" w:type="pct"/>
            <w:gridSpan w:val="3"/>
          </w:tcPr>
          <w:p w:rsidR="00430451" w:rsidRPr="00DB4F12" w:rsidRDefault="00430451" w:rsidP="00CF3230">
            <w:pPr>
              <w:jc w:val="both"/>
              <w:rPr>
                <w:sz w:val="20"/>
                <w:szCs w:val="20"/>
                <w:lang w:val="fr-CA"/>
              </w:rPr>
            </w:pPr>
            <w:r w:rsidRPr="00DB4F12">
              <w:rPr>
                <w:sz w:val="20"/>
                <w:szCs w:val="20"/>
                <w:lang w:val="fr-CA"/>
              </w:rPr>
              <w:t>Entre 2005 et 2008, la demanderesse, Mme Plomp, travaille comme adjointe administrative au service d’épidémiologie du Centre hospitalier intimé (« St</w:t>
            </w:r>
            <w:r w:rsidRPr="00DB4F12">
              <w:rPr>
                <w:sz w:val="20"/>
                <w:szCs w:val="20"/>
                <w:lang w:val="fr-CA"/>
              </w:rPr>
              <w:noBreakHyphen/>
              <w:t>Mary’s »).  Elle y travaille à temps plein, mais son contrat d’emploi est à durée indéterminée et il s’agit d’un emploi occasionnel non syndiqué de niveau R</w:t>
            </w:r>
            <w:r w:rsidRPr="00DB4F12">
              <w:rPr>
                <w:sz w:val="20"/>
                <w:szCs w:val="20"/>
                <w:lang w:val="fr-CA"/>
              </w:rPr>
              <w:noBreakHyphen/>
              <w:t>4 (sur appel, sans garantie de poste ou d’heures de travail). Souhaitant obtenir un emploi permanent à temps plein (niveau R</w:t>
            </w:r>
            <w:r w:rsidRPr="00DB4F12">
              <w:rPr>
                <w:sz w:val="20"/>
                <w:szCs w:val="20"/>
                <w:lang w:val="fr-CA"/>
              </w:rPr>
              <w:noBreakHyphen/>
              <w:t>1), Mme Plomp postule un poste d’adjointe au service de salubrité du St</w:t>
            </w:r>
            <w:r w:rsidRPr="00DB4F12">
              <w:rPr>
                <w:sz w:val="20"/>
                <w:szCs w:val="20"/>
                <w:lang w:val="fr-CA"/>
              </w:rPr>
              <w:noBreakHyphen/>
              <w:t>Mary’s.  Elle l’obtient en juin 2008, mais l’attribution est assujettie à une période d’essai de 20 jours.  À la même époque, le poste qu’elle occupait au service d’épidémiologie est affiché au niveau R</w:t>
            </w:r>
            <w:r w:rsidRPr="00DB4F12">
              <w:rPr>
                <w:sz w:val="20"/>
                <w:szCs w:val="20"/>
                <w:lang w:val="fr-CA"/>
              </w:rPr>
              <w:noBreakHyphen/>
              <w:t>1, mais Mme Plomp ne postule pas. La période d’essai, entrecoupée des vacances estivales, se déroule sur près d’un mois.  Mme Plomp doit consacrer la moitié de son temps à former sa remplaçante au service d’épidémiologie. Au total, Mme Plomp travaillera neuf jours dans ses nouvelles fonctions.  Puis, l’employeur confirme ce qui lui a été mentionné à quelques reprises : elle n’obtiendra pas le poste, car son travail est insatisfaisant.  Elle retrouvera toutefois son statut antérieur de niveau R</w:t>
            </w:r>
            <w:r w:rsidRPr="00DB4F12">
              <w:rPr>
                <w:sz w:val="20"/>
                <w:szCs w:val="20"/>
                <w:lang w:val="fr-CA"/>
              </w:rPr>
              <w:noBreakHyphen/>
              <w:t xml:space="preserve">4, mais elle ne pourra reprendre son ancien poste, car il a été comblé. </w:t>
            </w:r>
          </w:p>
          <w:p w:rsidR="00430451" w:rsidRPr="00DB4F12" w:rsidRDefault="00430451" w:rsidP="00CF3230">
            <w:pPr>
              <w:jc w:val="both"/>
              <w:rPr>
                <w:sz w:val="20"/>
                <w:szCs w:val="20"/>
                <w:lang w:val="fr-CA"/>
              </w:rPr>
            </w:pPr>
          </w:p>
          <w:p w:rsidR="00430451" w:rsidRPr="00DB4F12" w:rsidRDefault="00430451" w:rsidP="00CF3230">
            <w:pPr>
              <w:jc w:val="both"/>
              <w:rPr>
                <w:sz w:val="20"/>
                <w:szCs w:val="20"/>
                <w:lang w:val="fr-CA"/>
              </w:rPr>
            </w:pPr>
            <w:r w:rsidRPr="00DB4F12">
              <w:rPr>
                <w:sz w:val="20"/>
                <w:szCs w:val="20"/>
                <w:lang w:val="fr-CA"/>
              </w:rPr>
              <w:t>Mme Plomp dépose alors une plainte devant la Commission des relations du travail pour congédiement sans cause juste et suffisante, mais la Commission la rejette au motif que, selon elle, la preuve démontre que Mme Plomp n’a pas été congédiée dans les circonstances.  En révision, la Commission confirme la décision, puis la Cour supérieure refuse la révision judiciaire.  Le juge Doyon de la Cour d’appel rejette la requête pour permission d’appeler.  Il estime que l’appel de Mme Plomp n’aurait aucune chance de succès.</w:t>
            </w:r>
          </w:p>
          <w:p w:rsidR="00430451" w:rsidRPr="00DB4F12" w:rsidRDefault="00430451" w:rsidP="00CF3230">
            <w:pPr>
              <w:jc w:val="both"/>
              <w:rPr>
                <w:sz w:val="20"/>
                <w:szCs w:val="20"/>
                <w:lang w:val="fr-CA"/>
              </w:rPr>
            </w:pPr>
          </w:p>
        </w:tc>
      </w:tr>
      <w:tr w:rsidR="00430451" w:rsidRPr="00DB4F12" w:rsidTr="000C49B2">
        <w:trPr>
          <w:cantSplit/>
        </w:trPr>
        <w:tc>
          <w:tcPr>
            <w:tcW w:w="2427" w:type="pct"/>
          </w:tcPr>
          <w:p w:rsidR="00430451" w:rsidRPr="00DB4F12" w:rsidRDefault="00430451" w:rsidP="00CF3230">
            <w:pPr>
              <w:jc w:val="both"/>
              <w:rPr>
                <w:sz w:val="20"/>
                <w:szCs w:val="20"/>
                <w:lang w:val="fr-CA"/>
              </w:rPr>
            </w:pPr>
            <w:r w:rsidRPr="00DB4F12">
              <w:rPr>
                <w:sz w:val="20"/>
                <w:szCs w:val="20"/>
                <w:lang w:val="fr-CA"/>
              </w:rPr>
              <w:lastRenderedPageBreak/>
              <w:t>Le 28 mai 2012</w:t>
            </w:r>
          </w:p>
          <w:p w:rsidR="00430451" w:rsidRPr="00DB4F12" w:rsidRDefault="00430451" w:rsidP="00CF3230">
            <w:pPr>
              <w:jc w:val="both"/>
              <w:rPr>
                <w:sz w:val="20"/>
                <w:szCs w:val="20"/>
                <w:lang w:val="fr-CA"/>
              </w:rPr>
            </w:pPr>
            <w:r w:rsidRPr="00DB4F12">
              <w:rPr>
                <w:sz w:val="20"/>
                <w:szCs w:val="20"/>
                <w:lang w:val="fr-CA"/>
              </w:rPr>
              <w:t>Cour supérieure du Québec</w:t>
            </w:r>
          </w:p>
          <w:p w:rsidR="00430451" w:rsidRPr="00DB4F12" w:rsidRDefault="00430451" w:rsidP="00CF3230">
            <w:pPr>
              <w:jc w:val="both"/>
              <w:rPr>
                <w:sz w:val="20"/>
                <w:szCs w:val="20"/>
                <w:lang w:val="fr-CA"/>
              </w:rPr>
            </w:pPr>
            <w:r w:rsidRPr="00DB4F12">
              <w:rPr>
                <w:sz w:val="20"/>
                <w:szCs w:val="20"/>
                <w:lang w:val="fr-CA"/>
              </w:rPr>
              <w:t>(La juge Paquette)</w:t>
            </w:r>
          </w:p>
          <w:p w:rsidR="00430451" w:rsidRPr="00DB4F12" w:rsidRDefault="00430451" w:rsidP="00CF3230">
            <w:pPr>
              <w:jc w:val="both"/>
              <w:rPr>
                <w:sz w:val="20"/>
                <w:szCs w:val="20"/>
              </w:rPr>
            </w:pPr>
          </w:p>
        </w:tc>
        <w:tc>
          <w:tcPr>
            <w:tcW w:w="243" w:type="pct"/>
          </w:tcPr>
          <w:p w:rsidR="00430451" w:rsidRPr="00DB4F12" w:rsidRDefault="00430451" w:rsidP="00CF3230">
            <w:pPr>
              <w:jc w:val="both"/>
              <w:rPr>
                <w:sz w:val="20"/>
                <w:szCs w:val="20"/>
              </w:rPr>
            </w:pPr>
          </w:p>
        </w:tc>
        <w:tc>
          <w:tcPr>
            <w:tcW w:w="2330" w:type="pct"/>
          </w:tcPr>
          <w:p w:rsidR="00430451" w:rsidRPr="00DB4F12" w:rsidRDefault="00430451" w:rsidP="00CF3230">
            <w:pPr>
              <w:jc w:val="both"/>
              <w:rPr>
                <w:sz w:val="20"/>
                <w:szCs w:val="20"/>
                <w:lang w:val="fr-CA"/>
              </w:rPr>
            </w:pPr>
            <w:r w:rsidRPr="00DB4F12">
              <w:rPr>
                <w:sz w:val="20"/>
                <w:szCs w:val="20"/>
                <w:lang w:val="fr-CA"/>
              </w:rPr>
              <w:t>Requête en révision judiciaire rejetée</w:t>
            </w:r>
          </w:p>
          <w:p w:rsidR="00430451" w:rsidRPr="00DB4F12" w:rsidRDefault="00430451" w:rsidP="00CF3230">
            <w:pPr>
              <w:jc w:val="both"/>
              <w:rPr>
                <w:sz w:val="20"/>
                <w:szCs w:val="20"/>
                <w:lang w:val="fr-CA"/>
              </w:rPr>
            </w:pPr>
          </w:p>
        </w:tc>
      </w:tr>
      <w:tr w:rsidR="00430451" w:rsidRPr="00DB4F12" w:rsidTr="000C49B2">
        <w:trPr>
          <w:cantSplit/>
        </w:trPr>
        <w:tc>
          <w:tcPr>
            <w:tcW w:w="2427" w:type="pct"/>
          </w:tcPr>
          <w:p w:rsidR="00430451" w:rsidRPr="00DB4F12" w:rsidRDefault="00430451" w:rsidP="00CF3230">
            <w:pPr>
              <w:jc w:val="both"/>
              <w:rPr>
                <w:sz w:val="20"/>
                <w:szCs w:val="20"/>
                <w:lang w:val="fr-CA"/>
              </w:rPr>
            </w:pPr>
            <w:r w:rsidRPr="00DB4F12">
              <w:rPr>
                <w:sz w:val="20"/>
                <w:szCs w:val="20"/>
                <w:lang w:val="fr-CA"/>
              </w:rPr>
              <w:t>Le 24 juillet 2012</w:t>
            </w:r>
          </w:p>
          <w:p w:rsidR="00430451" w:rsidRPr="00DB4F12" w:rsidRDefault="00430451" w:rsidP="00CF3230">
            <w:pPr>
              <w:jc w:val="both"/>
              <w:rPr>
                <w:sz w:val="20"/>
                <w:szCs w:val="20"/>
                <w:lang w:val="fr-CA"/>
              </w:rPr>
            </w:pPr>
            <w:r w:rsidRPr="00DB4F12">
              <w:rPr>
                <w:sz w:val="20"/>
                <w:szCs w:val="20"/>
                <w:lang w:val="fr-CA"/>
              </w:rPr>
              <w:t>Cour d’appel du Québec (Montréal)</w:t>
            </w:r>
          </w:p>
          <w:p w:rsidR="00430451" w:rsidRPr="00DB4F12" w:rsidRDefault="00430451" w:rsidP="00CF3230">
            <w:pPr>
              <w:jc w:val="both"/>
              <w:rPr>
                <w:sz w:val="20"/>
                <w:szCs w:val="20"/>
                <w:lang w:val="fr-CA"/>
              </w:rPr>
            </w:pPr>
            <w:r w:rsidRPr="00DB4F12">
              <w:rPr>
                <w:sz w:val="20"/>
                <w:szCs w:val="20"/>
                <w:lang w:val="fr-CA"/>
              </w:rPr>
              <w:t>(Le juge Doyon)</w:t>
            </w:r>
          </w:p>
          <w:p w:rsidR="00430451" w:rsidRPr="00DB4F12" w:rsidRDefault="00430451" w:rsidP="00CF3230">
            <w:pPr>
              <w:jc w:val="both"/>
              <w:rPr>
                <w:sz w:val="20"/>
                <w:szCs w:val="20"/>
                <w:lang w:val="fr-CA"/>
              </w:rPr>
            </w:pPr>
            <w:r w:rsidRPr="00DB4F12">
              <w:rPr>
                <w:sz w:val="20"/>
                <w:szCs w:val="20"/>
                <w:lang w:val="fr-CA"/>
              </w:rPr>
              <w:t>2012 QCCA 1327; 500</w:t>
            </w:r>
            <w:r w:rsidRPr="00DB4F12">
              <w:rPr>
                <w:sz w:val="20"/>
                <w:szCs w:val="20"/>
                <w:lang w:val="fr-CA"/>
              </w:rPr>
              <w:noBreakHyphen/>
              <w:t>09</w:t>
            </w:r>
            <w:r w:rsidRPr="00DB4F12">
              <w:rPr>
                <w:sz w:val="20"/>
                <w:szCs w:val="20"/>
                <w:lang w:val="fr-CA"/>
              </w:rPr>
              <w:noBreakHyphen/>
              <w:t>022818</w:t>
            </w:r>
            <w:r w:rsidRPr="00DB4F12">
              <w:rPr>
                <w:sz w:val="20"/>
                <w:szCs w:val="20"/>
                <w:lang w:val="fr-CA"/>
              </w:rPr>
              <w:noBreakHyphen/>
              <w:t>124</w:t>
            </w:r>
          </w:p>
          <w:p w:rsidR="00430451" w:rsidRPr="00DB4F12" w:rsidRDefault="00430451" w:rsidP="00CF3230">
            <w:pPr>
              <w:jc w:val="both"/>
              <w:rPr>
                <w:sz w:val="20"/>
                <w:szCs w:val="20"/>
              </w:rPr>
            </w:pPr>
          </w:p>
        </w:tc>
        <w:tc>
          <w:tcPr>
            <w:tcW w:w="243" w:type="pct"/>
          </w:tcPr>
          <w:p w:rsidR="00430451" w:rsidRPr="00DB4F12" w:rsidRDefault="00430451" w:rsidP="00CF3230">
            <w:pPr>
              <w:jc w:val="both"/>
              <w:rPr>
                <w:sz w:val="20"/>
                <w:szCs w:val="20"/>
              </w:rPr>
            </w:pPr>
          </w:p>
        </w:tc>
        <w:tc>
          <w:tcPr>
            <w:tcW w:w="2330" w:type="pct"/>
          </w:tcPr>
          <w:p w:rsidR="00430451" w:rsidRPr="00DB4F12" w:rsidRDefault="00430451" w:rsidP="00CF3230">
            <w:pPr>
              <w:jc w:val="both"/>
              <w:rPr>
                <w:sz w:val="20"/>
                <w:szCs w:val="20"/>
                <w:lang w:val="fr-CA"/>
              </w:rPr>
            </w:pPr>
            <w:r w:rsidRPr="00DB4F12">
              <w:rPr>
                <w:sz w:val="20"/>
                <w:szCs w:val="20"/>
                <w:lang w:val="fr-CA"/>
              </w:rPr>
              <w:t>Requête pour permission d’appeler rejetée</w:t>
            </w:r>
          </w:p>
          <w:p w:rsidR="00430451" w:rsidRPr="00DB4F12" w:rsidRDefault="00430451" w:rsidP="00CF3230">
            <w:pPr>
              <w:jc w:val="both"/>
              <w:rPr>
                <w:sz w:val="20"/>
                <w:szCs w:val="20"/>
                <w:lang w:val="fr-CA"/>
              </w:rPr>
            </w:pPr>
          </w:p>
        </w:tc>
      </w:tr>
      <w:tr w:rsidR="00430451" w:rsidRPr="00462F49" w:rsidTr="000C49B2">
        <w:trPr>
          <w:cantSplit/>
        </w:trPr>
        <w:tc>
          <w:tcPr>
            <w:tcW w:w="2427" w:type="pct"/>
          </w:tcPr>
          <w:p w:rsidR="00430451" w:rsidRPr="00DB4F12" w:rsidRDefault="00430451" w:rsidP="00CF3230">
            <w:pPr>
              <w:jc w:val="both"/>
              <w:rPr>
                <w:sz w:val="20"/>
                <w:szCs w:val="20"/>
                <w:lang w:val="fr-CA"/>
              </w:rPr>
            </w:pPr>
            <w:r w:rsidRPr="00DB4F12">
              <w:rPr>
                <w:sz w:val="20"/>
                <w:szCs w:val="20"/>
                <w:lang w:val="fr-CA"/>
              </w:rPr>
              <w:t>Le 11 octobre 2012</w:t>
            </w:r>
          </w:p>
          <w:p w:rsidR="00430451" w:rsidRPr="00DB4F12" w:rsidRDefault="00430451" w:rsidP="00CF3230">
            <w:pPr>
              <w:jc w:val="both"/>
              <w:rPr>
                <w:sz w:val="20"/>
                <w:szCs w:val="20"/>
                <w:lang w:val="fr-CA"/>
              </w:rPr>
            </w:pPr>
            <w:r w:rsidRPr="00DB4F12">
              <w:rPr>
                <w:sz w:val="20"/>
                <w:szCs w:val="20"/>
                <w:lang w:val="fr-CA"/>
              </w:rPr>
              <w:t>Cour suprême du Canada</w:t>
            </w:r>
          </w:p>
        </w:tc>
        <w:tc>
          <w:tcPr>
            <w:tcW w:w="243" w:type="pct"/>
          </w:tcPr>
          <w:p w:rsidR="00430451" w:rsidRPr="00DB4F12" w:rsidRDefault="00430451" w:rsidP="00CF3230">
            <w:pPr>
              <w:jc w:val="both"/>
              <w:rPr>
                <w:sz w:val="20"/>
                <w:szCs w:val="20"/>
                <w:lang w:val="fr-CA"/>
              </w:rPr>
            </w:pPr>
          </w:p>
        </w:tc>
        <w:tc>
          <w:tcPr>
            <w:tcW w:w="2330" w:type="pct"/>
          </w:tcPr>
          <w:p w:rsidR="00430451" w:rsidRPr="00DB4F12" w:rsidRDefault="00430451" w:rsidP="00CF3230">
            <w:pPr>
              <w:jc w:val="both"/>
              <w:rPr>
                <w:sz w:val="20"/>
                <w:szCs w:val="20"/>
                <w:lang w:val="fr-CA"/>
              </w:rPr>
            </w:pPr>
            <w:r w:rsidRPr="00DB4F12">
              <w:rPr>
                <w:sz w:val="20"/>
                <w:szCs w:val="20"/>
                <w:lang w:val="fr-CA"/>
              </w:rPr>
              <w:t>Requête en prorogation du délai de signification et dépôt d’une demande d’autorisation d’appel et demande d'autorisation d'appel déposées</w:t>
            </w:r>
          </w:p>
        </w:tc>
      </w:tr>
    </w:tbl>
    <w:p w:rsidR="003101AB" w:rsidRPr="00430451" w:rsidRDefault="003101AB" w:rsidP="003101AB">
      <w:pPr>
        <w:rPr>
          <w:sz w:val="20"/>
          <w:szCs w:val="20"/>
          <w:lang w:val="fr-CA"/>
        </w:rPr>
      </w:pPr>
    </w:p>
    <w:p w:rsidR="003101AB" w:rsidRDefault="003F21C7" w:rsidP="003101AB">
      <w:pPr>
        <w:rPr>
          <w:sz w:val="20"/>
          <w:szCs w:val="20"/>
          <w:lang w:val="fr-CA"/>
        </w:rPr>
      </w:pPr>
      <w:r w:rsidRPr="003F21C7">
        <w:rPr>
          <w:sz w:val="20"/>
          <w:szCs w:val="20"/>
          <w:lang w:val="fr-CA"/>
        </w:rPr>
        <w:pict>
          <v:rect id="_x0000_i1059" style="width:2in;height:1pt" o:hrpct="0" o:hralign="center" o:hrstd="t" o:hrnoshade="t" o:hr="t" fillcolor="black [3213]" stroked="f"/>
        </w:pict>
      </w:r>
    </w:p>
    <w:p w:rsidR="003101AB" w:rsidRDefault="003101AB" w:rsidP="003101A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76658" w:rsidRPr="00A47DB1" w:rsidTr="00DD7751">
        <w:trPr>
          <w:cantSplit/>
        </w:trPr>
        <w:tc>
          <w:tcPr>
            <w:tcW w:w="1458" w:type="dxa"/>
          </w:tcPr>
          <w:p w:rsidR="00776658" w:rsidRPr="00A47DB1" w:rsidRDefault="00776658" w:rsidP="00DD7751">
            <w:pPr>
              <w:rPr>
                <w:sz w:val="20"/>
                <w:szCs w:val="20"/>
              </w:rPr>
            </w:pPr>
            <w:r w:rsidRPr="00A47DB1">
              <w:rPr>
                <w:rStyle w:val="SCCFileNumberChar"/>
                <w:sz w:val="20"/>
                <w:szCs w:val="20"/>
              </w:rPr>
              <w:t>35086</w:t>
            </w:r>
          </w:p>
          <w:p w:rsidR="00776658" w:rsidRPr="00A47DB1" w:rsidRDefault="00776658" w:rsidP="00DD7751">
            <w:pPr>
              <w:rPr>
                <w:b/>
                <w:sz w:val="20"/>
                <w:szCs w:val="20"/>
                <w:lang w:val="fr-CA"/>
              </w:rPr>
            </w:pPr>
          </w:p>
        </w:tc>
        <w:tc>
          <w:tcPr>
            <w:tcW w:w="8118" w:type="dxa"/>
          </w:tcPr>
          <w:p w:rsidR="00776658" w:rsidRPr="00A47DB1" w:rsidRDefault="00776658" w:rsidP="00776658">
            <w:pPr>
              <w:jc w:val="both"/>
              <w:rPr>
                <w:sz w:val="20"/>
                <w:szCs w:val="20"/>
              </w:rPr>
            </w:pPr>
            <w:r w:rsidRPr="00A47DB1">
              <w:rPr>
                <w:rStyle w:val="SCCLsocChar"/>
                <w:sz w:val="20"/>
                <w:szCs w:val="20"/>
                <w:lang w:val="en-CA"/>
              </w:rPr>
              <w:t>Attorney General of Canada (On Behalf of the United States of America) v. Zachary Charles Leonard</w:t>
            </w:r>
            <w:r w:rsidRPr="00A47DB1">
              <w:rPr>
                <w:sz w:val="20"/>
                <w:szCs w:val="20"/>
              </w:rPr>
              <w:t xml:space="preserve"> (Ont.) (Criminal) (By Leave)</w:t>
            </w:r>
          </w:p>
          <w:p w:rsidR="00776658" w:rsidRPr="00A47DB1" w:rsidRDefault="00776658" w:rsidP="00776658">
            <w:pPr>
              <w:jc w:val="both"/>
              <w:rPr>
                <w:sz w:val="20"/>
                <w:szCs w:val="20"/>
              </w:rPr>
            </w:pPr>
          </w:p>
        </w:tc>
      </w:tr>
      <w:tr w:rsidR="00776658" w:rsidRPr="00A47DB1" w:rsidTr="00DD7751">
        <w:trPr>
          <w:cantSplit/>
        </w:trPr>
        <w:tc>
          <w:tcPr>
            <w:tcW w:w="1458" w:type="dxa"/>
          </w:tcPr>
          <w:p w:rsidR="00776658" w:rsidRPr="00A47DB1" w:rsidRDefault="00776658" w:rsidP="00DD7751">
            <w:pPr>
              <w:rPr>
                <w:sz w:val="20"/>
                <w:szCs w:val="20"/>
              </w:rPr>
            </w:pPr>
            <w:r w:rsidRPr="00A47DB1">
              <w:rPr>
                <w:sz w:val="20"/>
                <w:szCs w:val="20"/>
              </w:rPr>
              <w:t>Coram :</w:t>
            </w:r>
          </w:p>
        </w:tc>
        <w:tc>
          <w:tcPr>
            <w:tcW w:w="8118" w:type="dxa"/>
          </w:tcPr>
          <w:p w:rsidR="00776658" w:rsidRPr="00A47DB1" w:rsidRDefault="00776658" w:rsidP="00DD7751">
            <w:pPr>
              <w:rPr>
                <w:sz w:val="20"/>
                <w:szCs w:val="20"/>
              </w:rPr>
            </w:pPr>
            <w:r w:rsidRPr="00A47DB1">
              <w:rPr>
                <w:rStyle w:val="SCCCoramChar"/>
                <w:sz w:val="20"/>
                <w:szCs w:val="20"/>
                <w:lang w:val="en-CA"/>
              </w:rPr>
              <w:t>McLachlin C.J. and Abella and Cromwell JJ.</w:t>
            </w:r>
          </w:p>
          <w:p w:rsidR="00776658" w:rsidRPr="00A47DB1" w:rsidRDefault="00776658" w:rsidP="00DD7751">
            <w:pPr>
              <w:rPr>
                <w:sz w:val="20"/>
                <w:szCs w:val="20"/>
                <w:u w:val="single"/>
              </w:rPr>
            </w:pPr>
          </w:p>
        </w:tc>
      </w:tr>
      <w:tr w:rsidR="00776658" w:rsidRPr="00462F49" w:rsidTr="00DD7751">
        <w:trPr>
          <w:cantSplit/>
        </w:trPr>
        <w:tc>
          <w:tcPr>
            <w:tcW w:w="9576" w:type="dxa"/>
            <w:gridSpan w:val="2"/>
          </w:tcPr>
          <w:p w:rsidR="00776658" w:rsidRPr="00A47DB1" w:rsidRDefault="00776658" w:rsidP="00DD7751">
            <w:pPr>
              <w:pStyle w:val="SCCShortJudgment"/>
              <w:rPr>
                <w:szCs w:val="20"/>
              </w:rPr>
            </w:pPr>
            <w:r w:rsidRPr="00A47DB1">
              <w:rPr>
                <w:szCs w:val="20"/>
              </w:rPr>
              <w:t>The application for leave to appeal from the judgment of the Court of Appeal for Ontario, Numbers C52373 and C53726,  2012 ONCA 622, dated September 21, 2012, is dismissed without costs.</w:t>
            </w:r>
          </w:p>
          <w:p w:rsidR="00776658" w:rsidRPr="00A47DB1" w:rsidRDefault="00776658" w:rsidP="00DD7751">
            <w:pPr>
              <w:pStyle w:val="SCCShortJudgment"/>
              <w:ind w:firstLine="0"/>
              <w:rPr>
                <w:szCs w:val="20"/>
              </w:rPr>
            </w:pPr>
          </w:p>
          <w:p w:rsidR="00776658" w:rsidRPr="00A47DB1" w:rsidRDefault="00776658" w:rsidP="00776658">
            <w:pPr>
              <w:pStyle w:val="SCCShortJudgment"/>
              <w:rPr>
                <w:szCs w:val="20"/>
                <w:lang w:val="fr-CA"/>
              </w:rPr>
            </w:pPr>
            <w:r w:rsidRPr="00A47DB1">
              <w:rPr>
                <w:szCs w:val="20"/>
                <w:lang w:val="fr-CA"/>
              </w:rPr>
              <w:t>La demande d’autorisation d’appel de l’arrêt de la Cour d’appel de l’Ontario, numéros C52373 et  C53726, 2012 ONCA 622, daté du 21 septembre 2012, est rejetée sans dépens.</w:t>
            </w:r>
          </w:p>
        </w:tc>
      </w:tr>
    </w:tbl>
    <w:p w:rsidR="003101AB" w:rsidRPr="00776658" w:rsidRDefault="003101AB" w:rsidP="003101AB">
      <w:pPr>
        <w:rPr>
          <w:sz w:val="20"/>
          <w:szCs w:val="20"/>
          <w:lang w:val="fr-CA"/>
        </w:rPr>
      </w:pPr>
    </w:p>
    <w:p w:rsidR="003101AB" w:rsidRPr="001B157C" w:rsidRDefault="003101AB" w:rsidP="003101AB">
      <w:pPr>
        <w:rPr>
          <w:sz w:val="20"/>
          <w:szCs w:val="20"/>
          <w:u w:val="single"/>
        </w:rPr>
      </w:pPr>
      <w:r w:rsidRPr="001B157C">
        <w:rPr>
          <w:sz w:val="20"/>
          <w:szCs w:val="20"/>
          <w:u w:val="single"/>
        </w:rPr>
        <w:t>CASE SUMMARY</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30451" w:rsidRPr="00DB4F12" w:rsidTr="00CF3230">
        <w:tc>
          <w:tcPr>
            <w:tcW w:w="5000" w:type="pct"/>
            <w:gridSpan w:val="3"/>
          </w:tcPr>
          <w:p w:rsidR="00430451" w:rsidRPr="00DB4F12" w:rsidRDefault="00430451" w:rsidP="00CF3230">
            <w:pPr>
              <w:jc w:val="both"/>
              <w:rPr>
                <w:smallCaps/>
                <w:sz w:val="20"/>
                <w:szCs w:val="20"/>
              </w:rPr>
            </w:pPr>
            <w:r w:rsidRPr="00DB4F12">
              <w:rPr>
                <w:i/>
                <w:sz w:val="20"/>
                <w:szCs w:val="20"/>
              </w:rPr>
              <w:t>Canadian Charter of Rights and Freedoms</w:t>
            </w:r>
            <w:r w:rsidRPr="00DB4F12">
              <w:rPr>
                <w:sz w:val="20"/>
                <w:szCs w:val="20"/>
              </w:rPr>
              <w:t xml:space="preserve"> — Extradition — Right to liberty — Mobility rights — Principles to be considered when extradition of person of Aboriginal descent is sought — Whether the Court of Appeal erred in its application of the principles set out in </w:t>
            </w:r>
            <w:r w:rsidRPr="00DB4F12">
              <w:rPr>
                <w:i/>
                <w:sz w:val="20"/>
                <w:szCs w:val="20"/>
              </w:rPr>
              <w:t>R. v. Gladue</w:t>
            </w:r>
            <w:r w:rsidRPr="00DB4F12">
              <w:rPr>
                <w:sz w:val="20"/>
                <w:szCs w:val="20"/>
              </w:rPr>
              <w:t xml:space="preserve">, [1999] 1 S.C.R. 688 in determining that the Minister’s decision to surrender Mr. Leonard was contrary to s. 7 of the </w:t>
            </w:r>
            <w:r w:rsidRPr="00DB4F12">
              <w:rPr>
                <w:i/>
                <w:sz w:val="20"/>
                <w:szCs w:val="20"/>
              </w:rPr>
              <w:t>Charter</w:t>
            </w:r>
            <w:r w:rsidRPr="00DB4F12">
              <w:rPr>
                <w:sz w:val="20"/>
                <w:szCs w:val="20"/>
              </w:rPr>
              <w:t xml:space="preserve">? — Whether the Court of Appeal erred in finding that the Minister had failed to conduct a proper analysis of Mr. Leonard’s s. 6(1) </w:t>
            </w:r>
            <w:r w:rsidRPr="00DB4F12">
              <w:rPr>
                <w:i/>
                <w:sz w:val="20"/>
                <w:szCs w:val="20"/>
              </w:rPr>
              <w:t>Charter</w:t>
            </w:r>
            <w:r w:rsidRPr="00DB4F12">
              <w:rPr>
                <w:sz w:val="20"/>
                <w:szCs w:val="20"/>
              </w:rPr>
              <w:t xml:space="preserve"> rights? — Whether the majority of the Court of Appeal erred in its application of s. 57(6)(b) of the </w:t>
            </w:r>
            <w:r w:rsidRPr="00DB4F12">
              <w:rPr>
                <w:i/>
                <w:sz w:val="20"/>
                <w:szCs w:val="20"/>
              </w:rPr>
              <w:t>Extradition Act</w:t>
            </w:r>
            <w:r w:rsidRPr="00DB4F12">
              <w:rPr>
                <w:sz w:val="20"/>
                <w:szCs w:val="20"/>
              </w:rPr>
              <w:t xml:space="preserve"> by failing to remit the matter back to the Minister for reconsideration?</w:t>
            </w:r>
          </w:p>
        </w:tc>
      </w:tr>
      <w:tr w:rsidR="00430451" w:rsidRPr="00DB4F12" w:rsidTr="00CF3230">
        <w:tc>
          <w:tcPr>
            <w:tcW w:w="5000" w:type="pct"/>
            <w:gridSpan w:val="3"/>
          </w:tcPr>
          <w:p w:rsidR="00430451" w:rsidRPr="00DB4F12" w:rsidRDefault="00430451" w:rsidP="00CF3230">
            <w:pPr>
              <w:jc w:val="both"/>
              <w:rPr>
                <w:sz w:val="20"/>
                <w:szCs w:val="20"/>
              </w:rPr>
            </w:pPr>
          </w:p>
        </w:tc>
      </w:tr>
      <w:tr w:rsidR="00430451" w:rsidRPr="00DB4F12" w:rsidTr="00CF3230">
        <w:tc>
          <w:tcPr>
            <w:tcW w:w="5000" w:type="pct"/>
            <w:gridSpan w:val="3"/>
          </w:tcPr>
          <w:p w:rsidR="00430451" w:rsidRPr="00DB4F12" w:rsidRDefault="00430451" w:rsidP="00CF3230">
            <w:pPr>
              <w:jc w:val="both"/>
              <w:rPr>
                <w:sz w:val="20"/>
                <w:szCs w:val="20"/>
              </w:rPr>
            </w:pPr>
            <w:r w:rsidRPr="00DB4F12">
              <w:rPr>
                <w:sz w:val="20"/>
                <w:szCs w:val="20"/>
              </w:rPr>
              <w:t xml:space="preserve">Mr. Leonard is a Canadian citizen of Aboriginal descent.  He was sought for extradition by the United States of America to face prosecution for a cross-border drug offence alleged to have occurred in 2006.  Although he could have been prosecuted for this offence in Canada, the Public Prosecution Service of Canada decided that extradition to the United States was preferable. </w:t>
            </w:r>
          </w:p>
          <w:p w:rsidR="00430451" w:rsidRPr="00DB4F12" w:rsidRDefault="00430451" w:rsidP="00CF3230">
            <w:pPr>
              <w:jc w:val="both"/>
              <w:rPr>
                <w:sz w:val="20"/>
                <w:szCs w:val="20"/>
              </w:rPr>
            </w:pPr>
            <w:r w:rsidRPr="00DB4F12">
              <w:rPr>
                <w:sz w:val="20"/>
                <w:szCs w:val="20"/>
              </w:rPr>
              <w:t xml:space="preserve"> </w:t>
            </w:r>
          </w:p>
          <w:p w:rsidR="00430451" w:rsidRPr="00DB4F12" w:rsidRDefault="00430451" w:rsidP="00CF3230">
            <w:pPr>
              <w:jc w:val="both"/>
              <w:rPr>
                <w:sz w:val="20"/>
                <w:szCs w:val="20"/>
              </w:rPr>
            </w:pPr>
            <w:r w:rsidRPr="00DB4F12">
              <w:rPr>
                <w:sz w:val="20"/>
                <w:szCs w:val="20"/>
              </w:rPr>
              <w:t xml:space="preserve">In 2011, the Minister of Justice issued an order that Mr. Leonard be surrendered to the United States.  Mr. Leonard sought judicial review of this ministerial extradition surrender order on the grounds that the order was contrary to ss. 6(1) and 7 of the </w:t>
            </w:r>
            <w:r w:rsidRPr="00DB4F12">
              <w:rPr>
                <w:i/>
                <w:sz w:val="20"/>
                <w:szCs w:val="20"/>
              </w:rPr>
              <w:t>Charter</w:t>
            </w:r>
            <w:r w:rsidRPr="00DB4F12">
              <w:rPr>
                <w:sz w:val="20"/>
                <w:szCs w:val="20"/>
              </w:rPr>
              <w:t xml:space="preserve"> as the Minister had not given proper consideration or weight to his Aboriginal background as well as to the principles set out in </w:t>
            </w:r>
            <w:r w:rsidRPr="00DB4F12">
              <w:rPr>
                <w:i/>
                <w:sz w:val="20"/>
                <w:szCs w:val="20"/>
              </w:rPr>
              <w:t>R. v. Gladue</w:t>
            </w:r>
            <w:r w:rsidRPr="00DB4F12">
              <w:rPr>
                <w:sz w:val="20"/>
                <w:szCs w:val="20"/>
              </w:rPr>
              <w:t xml:space="preserve">, [1999] 1 S.C.R. 688. </w:t>
            </w:r>
          </w:p>
          <w:p w:rsidR="00430451" w:rsidRPr="00DB4F12" w:rsidRDefault="00430451" w:rsidP="00CF3230">
            <w:pPr>
              <w:jc w:val="both"/>
              <w:rPr>
                <w:sz w:val="20"/>
                <w:szCs w:val="20"/>
              </w:rPr>
            </w:pPr>
          </w:p>
        </w:tc>
      </w:tr>
      <w:tr w:rsidR="00430451" w:rsidRPr="00DB4F12" w:rsidTr="00CF3230">
        <w:tc>
          <w:tcPr>
            <w:tcW w:w="2427" w:type="pct"/>
          </w:tcPr>
          <w:p w:rsidR="00430451" w:rsidRPr="00DB4F12" w:rsidRDefault="00430451" w:rsidP="00CF3230">
            <w:pPr>
              <w:jc w:val="both"/>
              <w:rPr>
                <w:sz w:val="20"/>
                <w:szCs w:val="20"/>
              </w:rPr>
            </w:pPr>
            <w:r w:rsidRPr="00DB4F12">
              <w:rPr>
                <w:sz w:val="20"/>
                <w:szCs w:val="20"/>
              </w:rPr>
              <w:t>April 14, 2011</w:t>
            </w:r>
          </w:p>
          <w:p w:rsidR="00430451" w:rsidRPr="00DB4F12" w:rsidRDefault="00430451" w:rsidP="00CF3230">
            <w:pPr>
              <w:jc w:val="both"/>
              <w:rPr>
                <w:sz w:val="20"/>
                <w:szCs w:val="20"/>
              </w:rPr>
            </w:pPr>
            <w:r w:rsidRPr="00DB4F12">
              <w:rPr>
                <w:sz w:val="20"/>
                <w:szCs w:val="20"/>
              </w:rPr>
              <w:t xml:space="preserve">Minister of Justice of Canada </w:t>
            </w:r>
          </w:p>
          <w:p w:rsidR="00430451" w:rsidRPr="00DB4F12" w:rsidRDefault="00430451" w:rsidP="00CF3230">
            <w:pPr>
              <w:jc w:val="both"/>
              <w:rPr>
                <w:sz w:val="20"/>
                <w:szCs w:val="20"/>
              </w:rPr>
            </w:pPr>
          </w:p>
        </w:tc>
        <w:tc>
          <w:tcPr>
            <w:tcW w:w="243" w:type="pct"/>
          </w:tcPr>
          <w:p w:rsidR="00430451" w:rsidRPr="00DB4F12" w:rsidRDefault="00430451" w:rsidP="00CF3230">
            <w:pPr>
              <w:jc w:val="both"/>
              <w:rPr>
                <w:sz w:val="20"/>
                <w:szCs w:val="20"/>
              </w:rPr>
            </w:pPr>
          </w:p>
        </w:tc>
        <w:tc>
          <w:tcPr>
            <w:tcW w:w="2330" w:type="pct"/>
          </w:tcPr>
          <w:p w:rsidR="00430451" w:rsidRPr="00DB4F12" w:rsidRDefault="00430451" w:rsidP="00CF3230">
            <w:pPr>
              <w:jc w:val="both"/>
              <w:rPr>
                <w:sz w:val="20"/>
                <w:szCs w:val="20"/>
              </w:rPr>
            </w:pPr>
            <w:r w:rsidRPr="00DB4F12">
              <w:rPr>
                <w:sz w:val="20"/>
                <w:szCs w:val="20"/>
              </w:rPr>
              <w:t xml:space="preserve">Surrender order issued </w:t>
            </w:r>
          </w:p>
          <w:p w:rsidR="00430451" w:rsidRPr="00DB4F12" w:rsidRDefault="00430451" w:rsidP="00CF3230">
            <w:pPr>
              <w:jc w:val="both"/>
              <w:rPr>
                <w:sz w:val="20"/>
                <w:szCs w:val="20"/>
              </w:rPr>
            </w:pPr>
          </w:p>
        </w:tc>
      </w:tr>
      <w:tr w:rsidR="00430451" w:rsidRPr="00DB4F12" w:rsidTr="00CF3230">
        <w:tc>
          <w:tcPr>
            <w:tcW w:w="2427" w:type="pct"/>
          </w:tcPr>
          <w:p w:rsidR="00430451" w:rsidRPr="00DB4F12" w:rsidRDefault="00430451" w:rsidP="00CF3230">
            <w:pPr>
              <w:jc w:val="both"/>
              <w:rPr>
                <w:sz w:val="20"/>
                <w:szCs w:val="20"/>
              </w:rPr>
            </w:pPr>
            <w:r w:rsidRPr="00DB4F12">
              <w:rPr>
                <w:sz w:val="20"/>
                <w:szCs w:val="20"/>
              </w:rPr>
              <w:lastRenderedPageBreak/>
              <w:t>September 21, 2012</w:t>
            </w:r>
          </w:p>
          <w:p w:rsidR="00430451" w:rsidRPr="00DB4F12" w:rsidRDefault="00430451" w:rsidP="00CF3230">
            <w:pPr>
              <w:jc w:val="both"/>
              <w:rPr>
                <w:sz w:val="20"/>
                <w:szCs w:val="20"/>
              </w:rPr>
            </w:pPr>
            <w:r w:rsidRPr="00DB4F12">
              <w:rPr>
                <w:sz w:val="20"/>
                <w:szCs w:val="20"/>
              </w:rPr>
              <w:t>Court of Appeal for Ontario</w:t>
            </w:r>
          </w:p>
          <w:p w:rsidR="00430451" w:rsidRPr="00DB4F12" w:rsidRDefault="00430451" w:rsidP="00CF3230">
            <w:pPr>
              <w:jc w:val="both"/>
              <w:rPr>
                <w:sz w:val="20"/>
                <w:szCs w:val="20"/>
              </w:rPr>
            </w:pPr>
            <w:r w:rsidRPr="00DB4F12">
              <w:rPr>
                <w:sz w:val="20"/>
                <w:szCs w:val="20"/>
              </w:rPr>
              <w:t>(Doherty [</w:t>
            </w:r>
            <w:r w:rsidRPr="00DB4F12">
              <w:rPr>
                <w:i/>
                <w:sz w:val="20"/>
                <w:szCs w:val="20"/>
              </w:rPr>
              <w:t>dissenting as to the remedy</w:t>
            </w:r>
            <w:r w:rsidRPr="00DB4F12">
              <w:rPr>
                <w:sz w:val="20"/>
                <w:szCs w:val="20"/>
              </w:rPr>
              <w:t>], MacPherson and Sharpe JJ.A.)</w:t>
            </w:r>
          </w:p>
          <w:p w:rsidR="00430451" w:rsidRPr="00DB4F12" w:rsidRDefault="00430451" w:rsidP="00CF3230">
            <w:pPr>
              <w:jc w:val="both"/>
              <w:rPr>
                <w:sz w:val="20"/>
                <w:szCs w:val="20"/>
              </w:rPr>
            </w:pPr>
            <w:r w:rsidRPr="00DB4F12">
              <w:rPr>
                <w:sz w:val="20"/>
                <w:szCs w:val="20"/>
              </w:rPr>
              <w:t>2012 ONCA 622</w:t>
            </w:r>
          </w:p>
          <w:p w:rsidR="00430451" w:rsidRPr="00DB4F12" w:rsidRDefault="00430451" w:rsidP="00CF3230">
            <w:pPr>
              <w:jc w:val="both"/>
              <w:rPr>
                <w:sz w:val="20"/>
                <w:szCs w:val="20"/>
              </w:rPr>
            </w:pPr>
          </w:p>
        </w:tc>
        <w:tc>
          <w:tcPr>
            <w:tcW w:w="243" w:type="pct"/>
          </w:tcPr>
          <w:p w:rsidR="00430451" w:rsidRPr="00DB4F12" w:rsidRDefault="00430451" w:rsidP="00CF3230">
            <w:pPr>
              <w:jc w:val="both"/>
              <w:rPr>
                <w:sz w:val="20"/>
                <w:szCs w:val="20"/>
              </w:rPr>
            </w:pPr>
          </w:p>
        </w:tc>
        <w:tc>
          <w:tcPr>
            <w:tcW w:w="2330" w:type="pct"/>
          </w:tcPr>
          <w:p w:rsidR="00430451" w:rsidRPr="00DB4F12" w:rsidRDefault="00430451" w:rsidP="00CF3230">
            <w:pPr>
              <w:jc w:val="both"/>
              <w:rPr>
                <w:sz w:val="20"/>
                <w:szCs w:val="20"/>
              </w:rPr>
            </w:pPr>
            <w:r w:rsidRPr="00DB4F12">
              <w:rPr>
                <w:sz w:val="20"/>
                <w:szCs w:val="20"/>
              </w:rPr>
              <w:t>Application for judicial review allowed; surrender order set aside</w:t>
            </w:r>
          </w:p>
        </w:tc>
      </w:tr>
      <w:tr w:rsidR="00430451" w:rsidRPr="00DB4F12" w:rsidTr="00CF3230">
        <w:tc>
          <w:tcPr>
            <w:tcW w:w="2427" w:type="pct"/>
          </w:tcPr>
          <w:p w:rsidR="00430451" w:rsidRPr="00DB4F12" w:rsidRDefault="00430451" w:rsidP="00CF3230">
            <w:pPr>
              <w:jc w:val="both"/>
              <w:rPr>
                <w:sz w:val="20"/>
                <w:szCs w:val="20"/>
              </w:rPr>
            </w:pPr>
            <w:r w:rsidRPr="00DB4F12">
              <w:rPr>
                <w:sz w:val="20"/>
                <w:szCs w:val="20"/>
              </w:rPr>
              <w:t>November 19, 2012</w:t>
            </w:r>
          </w:p>
          <w:p w:rsidR="00430451" w:rsidRPr="00DB4F12" w:rsidRDefault="00430451" w:rsidP="00CF3230">
            <w:pPr>
              <w:jc w:val="both"/>
              <w:rPr>
                <w:sz w:val="20"/>
                <w:szCs w:val="20"/>
              </w:rPr>
            </w:pPr>
            <w:r w:rsidRPr="00DB4F12">
              <w:rPr>
                <w:sz w:val="20"/>
                <w:szCs w:val="20"/>
              </w:rPr>
              <w:t>Supreme Court of Canada</w:t>
            </w:r>
          </w:p>
          <w:p w:rsidR="00430451" w:rsidRPr="00DB4F12" w:rsidRDefault="00430451" w:rsidP="00CF3230">
            <w:pPr>
              <w:jc w:val="both"/>
              <w:rPr>
                <w:sz w:val="20"/>
                <w:szCs w:val="20"/>
              </w:rPr>
            </w:pPr>
          </w:p>
        </w:tc>
        <w:tc>
          <w:tcPr>
            <w:tcW w:w="243" w:type="pct"/>
          </w:tcPr>
          <w:p w:rsidR="00430451" w:rsidRPr="00DB4F12" w:rsidRDefault="00430451" w:rsidP="00CF3230">
            <w:pPr>
              <w:jc w:val="both"/>
              <w:rPr>
                <w:sz w:val="20"/>
                <w:szCs w:val="20"/>
              </w:rPr>
            </w:pPr>
          </w:p>
        </w:tc>
        <w:tc>
          <w:tcPr>
            <w:tcW w:w="2330" w:type="pct"/>
          </w:tcPr>
          <w:p w:rsidR="00430451" w:rsidRPr="00DB4F12" w:rsidRDefault="00430451" w:rsidP="00CF3230">
            <w:pPr>
              <w:jc w:val="both"/>
              <w:rPr>
                <w:sz w:val="20"/>
                <w:szCs w:val="20"/>
              </w:rPr>
            </w:pPr>
            <w:r w:rsidRPr="00DB4F12">
              <w:rPr>
                <w:sz w:val="20"/>
                <w:szCs w:val="20"/>
              </w:rPr>
              <w:t xml:space="preserve">Motion to file a joint application for leave to appeal filed; application for leave to appeal filed </w:t>
            </w:r>
          </w:p>
        </w:tc>
      </w:tr>
      <w:tr w:rsidR="00430451" w:rsidRPr="00DB4F12" w:rsidTr="00CF3230">
        <w:tc>
          <w:tcPr>
            <w:tcW w:w="2427" w:type="pct"/>
          </w:tcPr>
          <w:p w:rsidR="00430451" w:rsidRPr="00DB4F12" w:rsidRDefault="00430451" w:rsidP="00CF3230">
            <w:pPr>
              <w:jc w:val="both"/>
              <w:rPr>
                <w:sz w:val="20"/>
                <w:szCs w:val="20"/>
              </w:rPr>
            </w:pPr>
            <w:r w:rsidRPr="00DB4F12">
              <w:rPr>
                <w:sz w:val="20"/>
                <w:szCs w:val="20"/>
              </w:rPr>
              <w:t>December 20, 2012</w:t>
            </w:r>
          </w:p>
          <w:p w:rsidR="00430451" w:rsidRPr="00DB4F12" w:rsidRDefault="00430451" w:rsidP="00CF3230">
            <w:pPr>
              <w:jc w:val="both"/>
              <w:rPr>
                <w:sz w:val="20"/>
                <w:szCs w:val="20"/>
              </w:rPr>
            </w:pPr>
            <w:r w:rsidRPr="00DB4F12">
              <w:rPr>
                <w:sz w:val="20"/>
                <w:szCs w:val="20"/>
              </w:rPr>
              <w:t>Supreme Court of Canada</w:t>
            </w:r>
          </w:p>
          <w:p w:rsidR="00430451" w:rsidRPr="00DB4F12" w:rsidRDefault="00430451" w:rsidP="00CF3230">
            <w:pPr>
              <w:jc w:val="both"/>
              <w:rPr>
                <w:sz w:val="20"/>
                <w:szCs w:val="20"/>
              </w:rPr>
            </w:pPr>
            <w:r w:rsidRPr="00DB4F12">
              <w:rPr>
                <w:sz w:val="20"/>
                <w:szCs w:val="20"/>
              </w:rPr>
              <w:t>Registrar</w:t>
            </w:r>
          </w:p>
        </w:tc>
        <w:tc>
          <w:tcPr>
            <w:tcW w:w="243" w:type="pct"/>
          </w:tcPr>
          <w:p w:rsidR="00430451" w:rsidRPr="00DB4F12" w:rsidRDefault="00430451" w:rsidP="00CF3230">
            <w:pPr>
              <w:jc w:val="both"/>
              <w:rPr>
                <w:sz w:val="20"/>
                <w:szCs w:val="20"/>
              </w:rPr>
            </w:pPr>
          </w:p>
        </w:tc>
        <w:tc>
          <w:tcPr>
            <w:tcW w:w="2330" w:type="pct"/>
          </w:tcPr>
          <w:p w:rsidR="00430451" w:rsidRPr="00DB4F12" w:rsidRDefault="00430451" w:rsidP="00CF3230">
            <w:pPr>
              <w:jc w:val="both"/>
              <w:rPr>
                <w:sz w:val="20"/>
                <w:szCs w:val="20"/>
              </w:rPr>
            </w:pPr>
            <w:r w:rsidRPr="00DB4F12">
              <w:rPr>
                <w:sz w:val="20"/>
                <w:szCs w:val="20"/>
              </w:rPr>
              <w:t>Motion to file a joint application for leave to appeal dismissed</w:t>
            </w:r>
          </w:p>
        </w:tc>
      </w:tr>
    </w:tbl>
    <w:p w:rsidR="003101AB" w:rsidRPr="00C50A5C" w:rsidRDefault="003101AB" w:rsidP="003101AB">
      <w:pPr>
        <w:rPr>
          <w:sz w:val="20"/>
          <w:szCs w:val="20"/>
        </w:rPr>
      </w:pPr>
    </w:p>
    <w:p w:rsidR="003101AB" w:rsidRPr="00C50A5C" w:rsidRDefault="003F21C7" w:rsidP="003101AB">
      <w:pPr>
        <w:rPr>
          <w:sz w:val="20"/>
          <w:szCs w:val="20"/>
        </w:rPr>
      </w:pPr>
      <w:r w:rsidRPr="003F21C7">
        <w:rPr>
          <w:sz w:val="20"/>
          <w:szCs w:val="20"/>
          <w:lang w:val="fr-CA"/>
        </w:rPr>
        <w:pict>
          <v:rect id="_x0000_i1060" style="width:2in;height:1pt" o:hrpct="0" o:hralign="center" o:hrstd="t" o:hrnoshade="t" o:hr="t" fillcolor="black [3213]" stroked="f"/>
        </w:pict>
      </w:r>
    </w:p>
    <w:p w:rsidR="003101AB" w:rsidRDefault="003101AB" w:rsidP="003101AB">
      <w:pPr>
        <w:rPr>
          <w:sz w:val="20"/>
          <w:szCs w:val="20"/>
        </w:rPr>
      </w:pPr>
    </w:p>
    <w:p w:rsidR="003101AB" w:rsidRPr="001B157C" w:rsidRDefault="003101AB" w:rsidP="003101AB">
      <w:pPr>
        <w:rPr>
          <w:sz w:val="20"/>
          <w:szCs w:val="20"/>
          <w:u w:val="single"/>
          <w:lang w:val="fr-CA"/>
        </w:rPr>
      </w:pPr>
      <w:r w:rsidRPr="001B157C">
        <w:rPr>
          <w:sz w:val="20"/>
          <w:szCs w:val="20"/>
          <w:u w:val="single"/>
          <w:lang w:val="fr-CA"/>
        </w:rPr>
        <w:t>RÉSUMÉ DE L’AFFAIRE</w:t>
      </w:r>
    </w:p>
    <w:p w:rsidR="003101AB" w:rsidRDefault="003101AB" w:rsidP="003101A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87F25" w:rsidRPr="00462F49" w:rsidTr="00CF3230">
        <w:tc>
          <w:tcPr>
            <w:tcW w:w="5000" w:type="pct"/>
            <w:gridSpan w:val="3"/>
          </w:tcPr>
          <w:p w:rsidR="00387F25" w:rsidRPr="00DB4F12" w:rsidRDefault="00387F25" w:rsidP="00CF3230">
            <w:pPr>
              <w:jc w:val="both"/>
              <w:rPr>
                <w:smallCaps/>
                <w:sz w:val="20"/>
                <w:szCs w:val="20"/>
                <w:lang w:val="fr-CA"/>
              </w:rPr>
            </w:pPr>
            <w:r w:rsidRPr="00DB4F12">
              <w:rPr>
                <w:i/>
                <w:sz w:val="20"/>
                <w:szCs w:val="20"/>
                <w:lang w:val="fr-CA"/>
              </w:rPr>
              <w:t xml:space="preserve">Charte canadienne des droits et libertés </w:t>
            </w:r>
            <w:r w:rsidRPr="00DB4F12">
              <w:rPr>
                <w:sz w:val="20"/>
                <w:szCs w:val="20"/>
                <w:lang w:val="fr-CA"/>
              </w:rPr>
              <w:t>— Extradition — Droit à la liberté — Liberté de circulation et d'établissement — Principes à considérer lorsque que l'extradition d'une personne d'ascendance autochtone est demandée — La Cour d'appel s’est</w:t>
            </w:r>
            <w:r w:rsidRPr="00DB4F12">
              <w:rPr>
                <w:sz w:val="20"/>
                <w:szCs w:val="20"/>
                <w:lang w:val="fr-CA"/>
              </w:rPr>
              <w:noBreakHyphen/>
              <w:t xml:space="preserve">elle trompée dans son application des principes énoncés dans l'arrêt </w:t>
            </w:r>
            <w:r w:rsidRPr="00DB4F12">
              <w:rPr>
                <w:i/>
                <w:sz w:val="20"/>
                <w:szCs w:val="20"/>
                <w:lang w:val="fr-CA"/>
              </w:rPr>
              <w:t>R. v. Gladue</w:t>
            </w:r>
            <w:r w:rsidRPr="00DB4F12">
              <w:rPr>
                <w:sz w:val="20"/>
                <w:szCs w:val="20"/>
                <w:lang w:val="fr-CA"/>
              </w:rPr>
              <w:t xml:space="preserve">, [1999] 1 R.C.S. 688 en statuant que la décision du ministre d'extrader M. Leonard était contraire à l'art. 7 de la </w:t>
            </w:r>
            <w:r w:rsidRPr="00DB4F12">
              <w:rPr>
                <w:i/>
                <w:sz w:val="20"/>
                <w:szCs w:val="20"/>
                <w:lang w:val="fr-CA"/>
              </w:rPr>
              <w:t>Charte</w:t>
            </w:r>
            <w:r w:rsidRPr="00DB4F12">
              <w:rPr>
                <w:sz w:val="20"/>
                <w:szCs w:val="20"/>
                <w:lang w:val="fr-CA"/>
              </w:rPr>
              <w:t>? — La Cour d'appel a</w:t>
            </w:r>
            <w:r w:rsidRPr="00DB4F12">
              <w:rPr>
                <w:sz w:val="20"/>
                <w:szCs w:val="20"/>
                <w:lang w:val="fr-CA"/>
              </w:rPr>
              <w:noBreakHyphen/>
              <w:t>t</w:t>
            </w:r>
            <w:r w:rsidRPr="00DB4F12">
              <w:rPr>
                <w:sz w:val="20"/>
                <w:szCs w:val="20"/>
                <w:lang w:val="fr-CA"/>
              </w:rPr>
              <w:noBreakHyphen/>
              <w:t xml:space="preserve">elle eu tort de conclure que le ministre n’avait pas bien analysé les droits de M. Leonard garantis par le par. 6(1) de la </w:t>
            </w:r>
            <w:r w:rsidRPr="00DB4F12">
              <w:rPr>
                <w:i/>
                <w:sz w:val="20"/>
                <w:szCs w:val="20"/>
                <w:lang w:val="fr-CA"/>
              </w:rPr>
              <w:t>Charte</w:t>
            </w:r>
            <w:r w:rsidRPr="00DB4F12">
              <w:rPr>
                <w:sz w:val="20"/>
                <w:szCs w:val="20"/>
                <w:lang w:val="fr-CA"/>
              </w:rPr>
              <w:t>? — Les juges majoritaires de la Cour d'appel se sont</w:t>
            </w:r>
            <w:r w:rsidRPr="00DB4F12">
              <w:rPr>
                <w:sz w:val="20"/>
                <w:szCs w:val="20"/>
                <w:lang w:val="fr-CA"/>
              </w:rPr>
              <w:noBreakHyphen/>
              <w:t>ils trompés dans leur application de l'al. 57(6)</w:t>
            </w:r>
            <w:r w:rsidRPr="00DB4F12">
              <w:rPr>
                <w:i/>
                <w:sz w:val="20"/>
                <w:szCs w:val="20"/>
                <w:lang w:val="fr-CA"/>
              </w:rPr>
              <w:t>b)</w:t>
            </w:r>
            <w:r w:rsidRPr="00DB4F12">
              <w:rPr>
                <w:sz w:val="20"/>
                <w:szCs w:val="20"/>
                <w:lang w:val="fr-CA"/>
              </w:rPr>
              <w:t xml:space="preserve"> de la</w:t>
            </w:r>
            <w:r w:rsidRPr="00DB4F12">
              <w:rPr>
                <w:i/>
                <w:sz w:val="20"/>
                <w:szCs w:val="20"/>
                <w:lang w:val="fr-CA"/>
              </w:rPr>
              <w:t xml:space="preserve"> Loi sur l'extradition</w:t>
            </w:r>
            <w:r w:rsidRPr="00DB4F12">
              <w:rPr>
                <w:sz w:val="20"/>
                <w:szCs w:val="20"/>
                <w:lang w:val="fr-CA"/>
              </w:rPr>
              <w:t xml:space="preserve"> en ne renvoyant pas l'affaire au ministre pour réexamen?</w:t>
            </w:r>
          </w:p>
        </w:tc>
      </w:tr>
      <w:tr w:rsidR="00387F25" w:rsidRPr="00462F49" w:rsidTr="00CF3230">
        <w:tc>
          <w:tcPr>
            <w:tcW w:w="5000" w:type="pct"/>
            <w:gridSpan w:val="3"/>
          </w:tcPr>
          <w:p w:rsidR="00387F25" w:rsidRPr="00DB4F12" w:rsidRDefault="00387F25" w:rsidP="00CF3230">
            <w:pPr>
              <w:jc w:val="both"/>
              <w:rPr>
                <w:sz w:val="20"/>
                <w:szCs w:val="20"/>
                <w:lang w:val="fr-CA"/>
              </w:rPr>
            </w:pPr>
          </w:p>
        </w:tc>
      </w:tr>
      <w:tr w:rsidR="00387F25" w:rsidRPr="00462F49" w:rsidTr="00CF3230">
        <w:tc>
          <w:tcPr>
            <w:tcW w:w="5000" w:type="pct"/>
            <w:gridSpan w:val="3"/>
          </w:tcPr>
          <w:p w:rsidR="00387F25" w:rsidRPr="00DB4F12" w:rsidRDefault="00387F25" w:rsidP="00CF3230">
            <w:pPr>
              <w:jc w:val="both"/>
              <w:rPr>
                <w:sz w:val="20"/>
                <w:szCs w:val="20"/>
                <w:lang w:val="fr-CA"/>
              </w:rPr>
            </w:pPr>
            <w:r w:rsidRPr="00DB4F12">
              <w:rPr>
                <w:sz w:val="20"/>
                <w:szCs w:val="20"/>
                <w:lang w:val="fr-CA"/>
              </w:rPr>
              <w:t>Monsieur Leonard est un citoyen canadien d'ascendance autochtone.  Les États</w:t>
            </w:r>
            <w:r w:rsidRPr="00DB4F12">
              <w:rPr>
                <w:sz w:val="20"/>
                <w:szCs w:val="20"/>
                <w:lang w:val="fr-CA"/>
              </w:rPr>
              <w:noBreakHyphen/>
              <w:t>Unis d'Amérique ont demandé son extradition pour être traduit en justice relativement à une infraction transfrontalière en matière de drogue qui se serait produite en 2006.  Même s'il avait pu être poursuivi relativement à cette infraction au Canada, le Service des poursuites pénales du Canada a décidé que l’extradition vers les États</w:t>
            </w:r>
            <w:r w:rsidRPr="00DB4F12">
              <w:rPr>
                <w:sz w:val="20"/>
                <w:szCs w:val="20"/>
                <w:lang w:val="fr-CA"/>
              </w:rPr>
              <w:noBreakHyphen/>
              <w:t xml:space="preserve">Unis était préférable. </w:t>
            </w:r>
          </w:p>
          <w:p w:rsidR="00387F25" w:rsidRPr="00DB4F12" w:rsidRDefault="00387F25" w:rsidP="00CF3230">
            <w:pPr>
              <w:jc w:val="both"/>
              <w:rPr>
                <w:sz w:val="20"/>
                <w:szCs w:val="20"/>
                <w:lang w:val="fr-CA"/>
              </w:rPr>
            </w:pPr>
          </w:p>
          <w:p w:rsidR="00387F25" w:rsidRPr="00DB4F12" w:rsidRDefault="00387F25" w:rsidP="00CF3230">
            <w:pPr>
              <w:jc w:val="both"/>
              <w:rPr>
                <w:sz w:val="20"/>
                <w:szCs w:val="20"/>
                <w:lang w:val="fr-CA"/>
              </w:rPr>
            </w:pPr>
            <w:r w:rsidRPr="00DB4F12">
              <w:rPr>
                <w:sz w:val="20"/>
                <w:szCs w:val="20"/>
                <w:lang w:val="fr-CA"/>
              </w:rPr>
              <w:t>En 2011, le ministre de la Justice a ordonné l'extradition de M. Leonard vers les États</w:t>
            </w:r>
            <w:r w:rsidRPr="00DB4F12">
              <w:rPr>
                <w:sz w:val="20"/>
                <w:szCs w:val="20"/>
                <w:lang w:val="fr-CA"/>
              </w:rPr>
              <w:noBreakHyphen/>
              <w:t xml:space="preserve">Unis. Monsieur Leonard a demandé le contrôle judiciaire de cet arrêté d’extradition ministériel au motif que l'arrêté était contraire au par. 6(1) et à l'art. 7 de la </w:t>
            </w:r>
            <w:r w:rsidRPr="00DB4F12">
              <w:rPr>
                <w:i/>
                <w:sz w:val="20"/>
                <w:szCs w:val="20"/>
                <w:lang w:val="fr-CA"/>
              </w:rPr>
              <w:t>Charte</w:t>
            </w:r>
            <w:r w:rsidRPr="00DB4F12">
              <w:rPr>
                <w:sz w:val="20"/>
                <w:szCs w:val="20"/>
                <w:lang w:val="fr-CA"/>
              </w:rPr>
              <w:t xml:space="preserve">, puisque le ministre n'avait pas dûment considéré ou pris en compte son ascendance autochtone ni les principes énoncés dans l'arrêt </w:t>
            </w:r>
            <w:r w:rsidRPr="00DB4F12">
              <w:rPr>
                <w:i/>
                <w:sz w:val="20"/>
                <w:szCs w:val="20"/>
                <w:lang w:val="fr-CA"/>
              </w:rPr>
              <w:t>R. c. Gladue</w:t>
            </w:r>
            <w:r w:rsidRPr="00DB4F12">
              <w:rPr>
                <w:sz w:val="20"/>
                <w:szCs w:val="20"/>
                <w:lang w:val="fr-CA"/>
              </w:rPr>
              <w:t>, [1999] 1 R.C.S. 688.</w:t>
            </w:r>
          </w:p>
          <w:p w:rsidR="00387F25" w:rsidRPr="00DB4F12" w:rsidRDefault="00387F25" w:rsidP="00CF3230">
            <w:pPr>
              <w:jc w:val="both"/>
              <w:rPr>
                <w:sz w:val="20"/>
                <w:szCs w:val="20"/>
                <w:lang w:val="fr-CA"/>
              </w:rPr>
            </w:pPr>
          </w:p>
        </w:tc>
      </w:tr>
      <w:tr w:rsidR="00387F25" w:rsidRPr="00DB4F12" w:rsidTr="00CF3230">
        <w:tc>
          <w:tcPr>
            <w:tcW w:w="2427" w:type="pct"/>
          </w:tcPr>
          <w:p w:rsidR="00387F25" w:rsidRPr="00DB4F12" w:rsidRDefault="00387F25" w:rsidP="00CF3230">
            <w:pPr>
              <w:jc w:val="both"/>
              <w:rPr>
                <w:sz w:val="20"/>
                <w:szCs w:val="20"/>
                <w:lang w:val="fr-CA"/>
              </w:rPr>
            </w:pPr>
            <w:r w:rsidRPr="00DB4F12">
              <w:rPr>
                <w:sz w:val="20"/>
                <w:szCs w:val="20"/>
                <w:lang w:val="fr-CA"/>
              </w:rPr>
              <w:t xml:space="preserve">14 avril 2011 </w:t>
            </w:r>
          </w:p>
          <w:p w:rsidR="00387F25" w:rsidRPr="00DB4F12" w:rsidRDefault="00387F25" w:rsidP="00CF3230">
            <w:pPr>
              <w:jc w:val="both"/>
              <w:rPr>
                <w:sz w:val="20"/>
                <w:szCs w:val="20"/>
                <w:lang w:val="fr-CA"/>
              </w:rPr>
            </w:pPr>
            <w:r w:rsidRPr="00DB4F12">
              <w:rPr>
                <w:sz w:val="20"/>
                <w:szCs w:val="20"/>
                <w:lang w:val="fr-CA"/>
              </w:rPr>
              <w:t xml:space="preserve">Ministre de la Justice du Canada </w:t>
            </w:r>
          </w:p>
          <w:p w:rsidR="00387F25" w:rsidRPr="00DB4F12" w:rsidRDefault="00387F25" w:rsidP="00CF3230">
            <w:pPr>
              <w:jc w:val="both"/>
              <w:rPr>
                <w:sz w:val="20"/>
                <w:szCs w:val="20"/>
                <w:lang w:val="fr-CA"/>
              </w:rPr>
            </w:pPr>
          </w:p>
        </w:tc>
        <w:tc>
          <w:tcPr>
            <w:tcW w:w="243" w:type="pct"/>
          </w:tcPr>
          <w:p w:rsidR="00387F25" w:rsidRPr="00DB4F12" w:rsidRDefault="00387F25" w:rsidP="00CF3230">
            <w:pPr>
              <w:jc w:val="both"/>
              <w:rPr>
                <w:sz w:val="20"/>
                <w:szCs w:val="20"/>
                <w:lang w:val="fr-CA"/>
              </w:rPr>
            </w:pPr>
          </w:p>
        </w:tc>
        <w:tc>
          <w:tcPr>
            <w:tcW w:w="2330" w:type="pct"/>
          </w:tcPr>
          <w:p w:rsidR="00387F25" w:rsidRPr="00DB4F12" w:rsidRDefault="00387F25" w:rsidP="00CF3230">
            <w:pPr>
              <w:jc w:val="both"/>
              <w:rPr>
                <w:sz w:val="20"/>
                <w:szCs w:val="20"/>
                <w:lang w:val="fr-CA"/>
              </w:rPr>
            </w:pPr>
            <w:r w:rsidRPr="00DB4F12">
              <w:rPr>
                <w:sz w:val="20"/>
                <w:szCs w:val="20"/>
                <w:lang w:val="fr-CA"/>
              </w:rPr>
              <w:t>Arrêté d'extradition ordonné</w:t>
            </w:r>
          </w:p>
          <w:p w:rsidR="00387F25" w:rsidRPr="00DB4F12" w:rsidRDefault="00387F25" w:rsidP="00CF3230">
            <w:pPr>
              <w:jc w:val="both"/>
              <w:rPr>
                <w:sz w:val="20"/>
                <w:szCs w:val="20"/>
                <w:lang w:val="fr-CA"/>
              </w:rPr>
            </w:pPr>
          </w:p>
        </w:tc>
      </w:tr>
      <w:tr w:rsidR="00387F25" w:rsidRPr="00462F49" w:rsidTr="00CF3230">
        <w:tc>
          <w:tcPr>
            <w:tcW w:w="2427" w:type="pct"/>
          </w:tcPr>
          <w:p w:rsidR="00387F25" w:rsidRPr="00DB4F12" w:rsidRDefault="00387F25" w:rsidP="00CF3230">
            <w:pPr>
              <w:jc w:val="both"/>
              <w:rPr>
                <w:sz w:val="20"/>
                <w:szCs w:val="20"/>
                <w:lang w:val="fr-CA"/>
              </w:rPr>
            </w:pPr>
            <w:r w:rsidRPr="00DB4F12">
              <w:rPr>
                <w:sz w:val="20"/>
                <w:szCs w:val="20"/>
                <w:lang w:val="fr-CA"/>
              </w:rPr>
              <w:t>21 septembre 2012</w:t>
            </w:r>
          </w:p>
          <w:p w:rsidR="00387F25" w:rsidRPr="00DB4F12" w:rsidRDefault="00387F25" w:rsidP="00CF3230">
            <w:pPr>
              <w:jc w:val="both"/>
              <w:rPr>
                <w:sz w:val="20"/>
                <w:szCs w:val="20"/>
                <w:lang w:val="fr-CA"/>
              </w:rPr>
            </w:pPr>
            <w:r w:rsidRPr="00DB4F12">
              <w:rPr>
                <w:sz w:val="20"/>
                <w:szCs w:val="20"/>
                <w:lang w:val="fr-CA"/>
              </w:rPr>
              <w:t xml:space="preserve">Cour d'appel de l'Ontario </w:t>
            </w:r>
          </w:p>
          <w:p w:rsidR="00387F25" w:rsidRPr="00DB4F12" w:rsidRDefault="00387F25" w:rsidP="00CF3230">
            <w:pPr>
              <w:jc w:val="both"/>
              <w:rPr>
                <w:sz w:val="20"/>
                <w:szCs w:val="20"/>
                <w:lang w:val="fr-CA"/>
              </w:rPr>
            </w:pPr>
            <w:r w:rsidRPr="00DB4F12">
              <w:rPr>
                <w:sz w:val="20"/>
                <w:szCs w:val="20"/>
                <w:lang w:val="fr-CA"/>
              </w:rPr>
              <w:t>(Juges Doherty [</w:t>
            </w:r>
            <w:r w:rsidRPr="00DB4F12">
              <w:rPr>
                <w:i/>
                <w:sz w:val="20"/>
                <w:szCs w:val="20"/>
                <w:lang w:val="fr-CA"/>
              </w:rPr>
              <w:t>dissident quant à la réparation</w:t>
            </w:r>
            <w:r w:rsidRPr="00DB4F12">
              <w:rPr>
                <w:sz w:val="20"/>
                <w:szCs w:val="20"/>
                <w:lang w:val="fr-CA"/>
              </w:rPr>
              <w:t>], MacPherson et Sharpe)</w:t>
            </w:r>
          </w:p>
          <w:p w:rsidR="00387F25" w:rsidRPr="00DB4F12" w:rsidRDefault="00387F25" w:rsidP="00CF3230">
            <w:pPr>
              <w:jc w:val="both"/>
              <w:rPr>
                <w:sz w:val="20"/>
                <w:szCs w:val="20"/>
                <w:lang w:val="fr-CA"/>
              </w:rPr>
            </w:pPr>
            <w:r w:rsidRPr="00DB4F12">
              <w:rPr>
                <w:sz w:val="20"/>
                <w:szCs w:val="20"/>
                <w:lang w:val="fr-CA"/>
              </w:rPr>
              <w:t>2012 ONCA 622</w:t>
            </w:r>
          </w:p>
          <w:p w:rsidR="00387F25" w:rsidRPr="00DB4F12" w:rsidRDefault="00387F25" w:rsidP="00CF3230">
            <w:pPr>
              <w:jc w:val="both"/>
              <w:rPr>
                <w:sz w:val="20"/>
                <w:szCs w:val="20"/>
                <w:lang w:val="fr-CA"/>
              </w:rPr>
            </w:pPr>
          </w:p>
        </w:tc>
        <w:tc>
          <w:tcPr>
            <w:tcW w:w="243" w:type="pct"/>
          </w:tcPr>
          <w:p w:rsidR="00387F25" w:rsidRPr="00DB4F12" w:rsidRDefault="00387F25" w:rsidP="00CF3230">
            <w:pPr>
              <w:jc w:val="both"/>
              <w:rPr>
                <w:sz w:val="20"/>
                <w:szCs w:val="20"/>
                <w:lang w:val="fr-CA"/>
              </w:rPr>
            </w:pPr>
          </w:p>
        </w:tc>
        <w:tc>
          <w:tcPr>
            <w:tcW w:w="2330" w:type="pct"/>
          </w:tcPr>
          <w:p w:rsidR="00387F25" w:rsidRPr="00DB4F12" w:rsidRDefault="00387F25" w:rsidP="00CF3230">
            <w:pPr>
              <w:jc w:val="both"/>
              <w:rPr>
                <w:sz w:val="20"/>
                <w:szCs w:val="20"/>
                <w:lang w:val="fr-CA"/>
              </w:rPr>
            </w:pPr>
            <w:r w:rsidRPr="00DB4F12">
              <w:rPr>
                <w:sz w:val="20"/>
                <w:szCs w:val="20"/>
                <w:lang w:val="fr-CA"/>
              </w:rPr>
              <w:t>Demande de contrôle judiciaire, accueillie; arrêté d'extradition annulé</w:t>
            </w:r>
          </w:p>
        </w:tc>
      </w:tr>
      <w:tr w:rsidR="00387F25" w:rsidRPr="00462F49" w:rsidTr="00CF3230">
        <w:tc>
          <w:tcPr>
            <w:tcW w:w="2427" w:type="pct"/>
          </w:tcPr>
          <w:p w:rsidR="00387F25" w:rsidRPr="00DB4F12" w:rsidRDefault="00387F25" w:rsidP="00CF3230">
            <w:pPr>
              <w:jc w:val="both"/>
              <w:rPr>
                <w:sz w:val="20"/>
                <w:szCs w:val="20"/>
                <w:lang w:val="fr-CA"/>
              </w:rPr>
            </w:pPr>
            <w:r w:rsidRPr="00DB4F12">
              <w:rPr>
                <w:sz w:val="20"/>
                <w:szCs w:val="20"/>
                <w:lang w:val="fr-CA"/>
              </w:rPr>
              <w:t>19 novembre 2012</w:t>
            </w:r>
          </w:p>
          <w:p w:rsidR="00387F25" w:rsidRPr="00DB4F12" w:rsidRDefault="00387F25" w:rsidP="00CF3230">
            <w:pPr>
              <w:jc w:val="both"/>
              <w:rPr>
                <w:sz w:val="20"/>
                <w:szCs w:val="20"/>
                <w:lang w:val="fr-CA"/>
              </w:rPr>
            </w:pPr>
            <w:r w:rsidRPr="00DB4F12">
              <w:rPr>
                <w:sz w:val="20"/>
                <w:szCs w:val="20"/>
                <w:lang w:val="fr-CA"/>
              </w:rPr>
              <w:t>Cour suprême du Canada</w:t>
            </w:r>
          </w:p>
          <w:p w:rsidR="00387F25" w:rsidRPr="00DB4F12" w:rsidRDefault="00387F25" w:rsidP="00CF3230">
            <w:pPr>
              <w:jc w:val="both"/>
              <w:rPr>
                <w:sz w:val="20"/>
                <w:szCs w:val="20"/>
                <w:lang w:val="fr-CA"/>
              </w:rPr>
            </w:pPr>
          </w:p>
          <w:p w:rsidR="00387F25" w:rsidRPr="00DB4F12" w:rsidRDefault="00387F25" w:rsidP="00CF3230">
            <w:pPr>
              <w:jc w:val="both"/>
              <w:rPr>
                <w:sz w:val="20"/>
                <w:szCs w:val="20"/>
                <w:lang w:val="fr-CA"/>
              </w:rPr>
            </w:pPr>
          </w:p>
        </w:tc>
        <w:tc>
          <w:tcPr>
            <w:tcW w:w="243" w:type="pct"/>
          </w:tcPr>
          <w:p w:rsidR="00387F25" w:rsidRPr="00DB4F12" w:rsidRDefault="00387F25" w:rsidP="00CF3230">
            <w:pPr>
              <w:jc w:val="both"/>
              <w:rPr>
                <w:sz w:val="20"/>
                <w:szCs w:val="20"/>
                <w:lang w:val="fr-CA"/>
              </w:rPr>
            </w:pPr>
          </w:p>
        </w:tc>
        <w:tc>
          <w:tcPr>
            <w:tcW w:w="2330" w:type="pct"/>
          </w:tcPr>
          <w:p w:rsidR="00387F25" w:rsidRPr="00DB4F12" w:rsidRDefault="00387F25" w:rsidP="00CF3230">
            <w:pPr>
              <w:jc w:val="both"/>
              <w:rPr>
                <w:sz w:val="20"/>
                <w:szCs w:val="20"/>
                <w:lang w:val="fr-CA"/>
              </w:rPr>
            </w:pPr>
            <w:r w:rsidRPr="00DB4F12">
              <w:rPr>
                <w:sz w:val="20"/>
                <w:szCs w:val="20"/>
                <w:lang w:val="fr-CA"/>
              </w:rPr>
              <w:t>Requête sollicitant la permission de déposer une demande d'autorisation conjointe, déposée; demande d'autorisation d'appel, déposée</w:t>
            </w:r>
          </w:p>
          <w:p w:rsidR="00387F25" w:rsidRPr="00DB4F12" w:rsidRDefault="00387F25" w:rsidP="00CF3230">
            <w:pPr>
              <w:jc w:val="both"/>
              <w:rPr>
                <w:sz w:val="20"/>
                <w:szCs w:val="20"/>
                <w:lang w:val="fr-CA"/>
              </w:rPr>
            </w:pPr>
          </w:p>
        </w:tc>
      </w:tr>
      <w:tr w:rsidR="00387F25" w:rsidRPr="00462F49" w:rsidTr="000C49B2">
        <w:trPr>
          <w:cantSplit/>
        </w:trPr>
        <w:tc>
          <w:tcPr>
            <w:tcW w:w="2427" w:type="pct"/>
          </w:tcPr>
          <w:p w:rsidR="00387F25" w:rsidRPr="00DB4F12" w:rsidRDefault="00387F25" w:rsidP="00CF3230">
            <w:pPr>
              <w:jc w:val="both"/>
              <w:rPr>
                <w:sz w:val="20"/>
                <w:szCs w:val="20"/>
                <w:lang w:val="fr-CA"/>
              </w:rPr>
            </w:pPr>
            <w:r w:rsidRPr="00DB4F12">
              <w:rPr>
                <w:sz w:val="20"/>
                <w:szCs w:val="20"/>
                <w:lang w:val="fr-CA"/>
              </w:rPr>
              <w:lastRenderedPageBreak/>
              <w:t>20 décembre 2012</w:t>
            </w:r>
          </w:p>
          <w:p w:rsidR="00387F25" w:rsidRPr="00DB4F12" w:rsidRDefault="00387F25" w:rsidP="00CF3230">
            <w:pPr>
              <w:jc w:val="both"/>
              <w:rPr>
                <w:sz w:val="20"/>
                <w:szCs w:val="20"/>
                <w:lang w:val="fr-CA"/>
              </w:rPr>
            </w:pPr>
            <w:r w:rsidRPr="00DB4F12">
              <w:rPr>
                <w:sz w:val="20"/>
                <w:szCs w:val="20"/>
                <w:lang w:val="fr-CA"/>
              </w:rPr>
              <w:t xml:space="preserve">Cour suprême du Canada </w:t>
            </w:r>
          </w:p>
          <w:p w:rsidR="00387F25" w:rsidRPr="00DB4F12" w:rsidRDefault="00387F25" w:rsidP="00CF3230">
            <w:pPr>
              <w:jc w:val="both"/>
              <w:rPr>
                <w:sz w:val="20"/>
                <w:szCs w:val="20"/>
                <w:lang w:val="fr-CA"/>
              </w:rPr>
            </w:pPr>
            <w:r w:rsidRPr="00DB4F12">
              <w:rPr>
                <w:sz w:val="20"/>
                <w:szCs w:val="20"/>
                <w:lang w:val="fr-CA"/>
              </w:rPr>
              <w:t>Registraire</w:t>
            </w:r>
          </w:p>
        </w:tc>
        <w:tc>
          <w:tcPr>
            <w:tcW w:w="243" w:type="pct"/>
          </w:tcPr>
          <w:p w:rsidR="00387F25" w:rsidRPr="00DB4F12" w:rsidRDefault="00387F25" w:rsidP="00CF3230">
            <w:pPr>
              <w:jc w:val="both"/>
              <w:rPr>
                <w:sz w:val="20"/>
                <w:szCs w:val="20"/>
                <w:lang w:val="fr-CA"/>
              </w:rPr>
            </w:pPr>
          </w:p>
        </w:tc>
        <w:tc>
          <w:tcPr>
            <w:tcW w:w="2330" w:type="pct"/>
          </w:tcPr>
          <w:p w:rsidR="00387F25" w:rsidRPr="00DB4F12" w:rsidRDefault="00387F25" w:rsidP="00CF3230">
            <w:pPr>
              <w:jc w:val="both"/>
              <w:rPr>
                <w:sz w:val="20"/>
                <w:szCs w:val="20"/>
                <w:lang w:val="fr-CA"/>
              </w:rPr>
            </w:pPr>
            <w:r w:rsidRPr="00DB4F12">
              <w:rPr>
                <w:sz w:val="20"/>
                <w:szCs w:val="20"/>
                <w:lang w:val="fr-CA"/>
              </w:rPr>
              <w:t>Requête sollicitant la permission de déposer une demande d'autorisation conjointe, rejetée</w:t>
            </w:r>
          </w:p>
        </w:tc>
      </w:tr>
    </w:tbl>
    <w:p w:rsidR="003101AB" w:rsidRPr="00387F25" w:rsidRDefault="003101AB" w:rsidP="003101AB">
      <w:pPr>
        <w:rPr>
          <w:sz w:val="20"/>
          <w:szCs w:val="20"/>
          <w:lang w:val="fr-CA"/>
        </w:rPr>
      </w:pPr>
    </w:p>
    <w:p w:rsidR="003101AB" w:rsidRDefault="003F21C7" w:rsidP="003101AB">
      <w:pPr>
        <w:rPr>
          <w:sz w:val="20"/>
          <w:szCs w:val="20"/>
          <w:lang w:val="fr-CA"/>
        </w:rPr>
      </w:pPr>
      <w:r w:rsidRPr="003F21C7">
        <w:rPr>
          <w:sz w:val="20"/>
          <w:szCs w:val="20"/>
          <w:lang w:val="fr-CA"/>
        </w:rPr>
        <w:pict>
          <v:rect id="_x0000_i1061" style="width:2in;height:1pt" o:hrpct="0" o:hralign="center" o:hrstd="t" o:hrnoshade="t" o:hr="t" fillcolor="black [3213]" stroked="f"/>
        </w:pict>
      </w:r>
    </w:p>
    <w:p w:rsidR="003101AB" w:rsidRDefault="003101AB" w:rsidP="003101A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150E1" w:rsidRPr="00F150E1" w:rsidTr="00F150E1">
        <w:trPr>
          <w:cantSplit/>
        </w:trPr>
        <w:tc>
          <w:tcPr>
            <w:tcW w:w="1458" w:type="dxa"/>
          </w:tcPr>
          <w:p w:rsidR="00F150E1" w:rsidRPr="00F150E1" w:rsidRDefault="00F150E1" w:rsidP="00F150E1">
            <w:pPr>
              <w:rPr>
                <w:sz w:val="20"/>
                <w:szCs w:val="20"/>
              </w:rPr>
            </w:pPr>
            <w:r w:rsidRPr="00F150E1">
              <w:rPr>
                <w:rStyle w:val="SCCFileNumberChar"/>
                <w:sz w:val="20"/>
                <w:szCs w:val="20"/>
              </w:rPr>
              <w:t>35096</w:t>
            </w:r>
          </w:p>
          <w:p w:rsidR="00F150E1" w:rsidRPr="00F150E1" w:rsidRDefault="00F150E1" w:rsidP="00F150E1">
            <w:pPr>
              <w:rPr>
                <w:b/>
                <w:sz w:val="20"/>
                <w:szCs w:val="20"/>
                <w:lang w:val="fr-CA"/>
              </w:rPr>
            </w:pPr>
          </w:p>
        </w:tc>
        <w:tc>
          <w:tcPr>
            <w:tcW w:w="8118" w:type="dxa"/>
          </w:tcPr>
          <w:p w:rsidR="00F150E1" w:rsidRPr="00F150E1" w:rsidRDefault="00F150E1" w:rsidP="00F150E1">
            <w:pPr>
              <w:rPr>
                <w:sz w:val="20"/>
                <w:szCs w:val="20"/>
              </w:rPr>
            </w:pPr>
            <w:r w:rsidRPr="00F150E1">
              <w:rPr>
                <w:rStyle w:val="SCCLsocChar"/>
                <w:sz w:val="20"/>
                <w:szCs w:val="20"/>
                <w:lang w:val="en-CA"/>
              </w:rPr>
              <w:t>Waleed AlGhaithy v. University of Ottawa</w:t>
            </w:r>
            <w:r w:rsidRPr="00F150E1">
              <w:rPr>
                <w:sz w:val="20"/>
                <w:szCs w:val="20"/>
              </w:rPr>
              <w:t xml:space="preserve"> (Ont.) (Civil) (By Leave)</w:t>
            </w:r>
          </w:p>
          <w:p w:rsidR="00F150E1" w:rsidRPr="00F150E1" w:rsidRDefault="00F150E1" w:rsidP="00F150E1">
            <w:pPr>
              <w:rPr>
                <w:sz w:val="20"/>
                <w:szCs w:val="20"/>
              </w:rPr>
            </w:pPr>
          </w:p>
        </w:tc>
      </w:tr>
      <w:tr w:rsidR="00F150E1" w:rsidRPr="00F150E1" w:rsidTr="00F150E1">
        <w:trPr>
          <w:cantSplit/>
        </w:trPr>
        <w:tc>
          <w:tcPr>
            <w:tcW w:w="1458" w:type="dxa"/>
          </w:tcPr>
          <w:p w:rsidR="00F150E1" w:rsidRPr="00F150E1" w:rsidRDefault="00F150E1" w:rsidP="00F150E1">
            <w:pPr>
              <w:rPr>
                <w:sz w:val="20"/>
                <w:szCs w:val="20"/>
              </w:rPr>
            </w:pPr>
            <w:r w:rsidRPr="00F150E1">
              <w:rPr>
                <w:sz w:val="20"/>
                <w:szCs w:val="20"/>
              </w:rPr>
              <w:t>Coram :</w:t>
            </w:r>
          </w:p>
        </w:tc>
        <w:tc>
          <w:tcPr>
            <w:tcW w:w="8118" w:type="dxa"/>
          </w:tcPr>
          <w:p w:rsidR="00F150E1" w:rsidRPr="00F150E1" w:rsidRDefault="00F150E1" w:rsidP="00F150E1">
            <w:pPr>
              <w:rPr>
                <w:sz w:val="20"/>
                <w:szCs w:val="20"/>
              </w:rPr>
            </w:pPr>
            <w:r w:rsidRPr="00F150E1">
              <w:rPr>
                <w:rStyle w:val="SCCCoramChar"/>
                <w:sz w:val="20"/>
                <w:szCs w:val="20"/>
                <w:lang w:val="en-CA"/>
              </w:rPr>
              <w:t>McLachlin C.J. and Abella and Cromwell JJ.</w:t>
            </w:r>
          </w:p>
          <w:p w:rsidR="00F150E1" w:rsidRPr="00F150E1" w:rsidRDefault="00F150E1" w:rsidP="00F150E1">
            <w:pPr>
              <w:rPr>
                <w:sz w:val="20"/>
                <w:szCs w:val="20"/>
                <w:u w:val="single"/>
              </w:rPr>
            </w:pPr>
          </w:p>
        </w:tc>
      </w:tr>
      <w:tr w:rsidR="00F150E1" w:rsidRPr="00462F49" w:rsidTr="00F150E1">
        <w:trPr>
          <w:cantSplit/>
        </w:trPr>
        <w:tc>
          <w:tcPr>
            <w:tcW w:w="9576" w:type="dxa"/>
            <w:gridSpan w:val="2"/>
          </w:tcPr>
          <w:p w:rsidR="00F150E1" w:rsidRPr="00F150E1" w:rsidRDefault="00F150E1" w:rsidP="00F150E1">
            <w:pPr>
              <w:pStyle w:val="SCCShortJudgment"/>
              <w:rPr>
                <w:szCs w:val="20"/>
              </w:rPr>
            </w:pPr>
            <w:r w:rsidRPr="00F150E1">
              <w:rPr>
                <w:szCs w:val="20"/>
              </w:rPr>
              <w:t>The application for leave to appeal from the judgment of the Court of Appeal for Ontario, Number M41263, dated October 1, 2012, is dismissed with costs.</w:t>
            </w:r>
          </w:p>
          <w:p w:rsidR="00F150E1" w:rsidRPr="00F150E1" w:rsidRDefault="00F150E1" w:rsidP="00F150E1">
            <w:pPr>
              <w:pStyle w:val="SCCShortJudgment"/>
              <w:ind w:firstLine="0"/>
              <w:rPr>
                <w:szCs w:val="20"/>
              </w:rPr>
            </w:pPr>
          </w:p>
          <w:p w:rsidR="00F150E1" w:rsidRPr="00F150E1" w:rsidRDefault="00F150E1" w:rsidP="00F150E1">
            <w:pPr>
              <w:pStyle w:val="SCCShortJudgment"/>
              <w:rPr>
                <w:szCs w:val="20"/>
                <w:lang w:val="fr-CA"/>
              </w:rPr>
            </w:pPr>
            <w:r w:rsidRPr="00F150E1">
              <w:rPr>
                <w:szCs w:val="20"/>
                <w:lang w:val="fr-CA"/>
              </w:rPr>
              <w:t>La demande d’autorisation d’appel de l’arrêt de la Cour d’appel de l’Ontario, numéro M41263, daté du 1</w:t>
            </w:r>
            <w:r w:rsidRPr="007720F9">
              <w:rPr>
                <w:szCs w:val="20"/>
                <w:vertAlign w:val="superscript"/>
                <w:lang w:val="fr-CA"/>
              </w:rPr>
              <w:t>er</w:t>
            </w:r>
            <w:r w:rsidRPr="00F150E1">
              <w:rPr>
                <w:szCs w:val="20"/>
                <w:lang w:val="fr-CA"/>
              </w:rPr>
              <w:t xml:space="preserve">  octobre 2012, est rejetée avec dépens.</w:t>
            </w:r>
          </w:p>
        </w:tc>
      </w:tr>
    </w:tbl>
    <w:p w:rsidR="003101AB" w:rsidRPr="00F150E1" w:rsidRDefault="003101AB" w:rsidP="003101AB">
      <w:pPr>
        <w:rPr>
          <w:sz w:val="20"/>
          <w:szCs w:val="20"/>
          <w:lang w:val="fr-CA"/>
        </w:rPr>
      </w:pPr>
    </w:p>
    <w:p w:rsidR="003101AB" w:rsidRPr="001B157C" w:rsidRDefault="003101AB" w:rsidP="003101AB">
      <w:pPr>
        <w:rPr>
          <w:sz w:val="20"/>
          <w:szCs w:val="20"/>
          <w:u w:val="single"/>
        </w:rPr>
      </w:pPr>
      <w:r w:rsidRPr="001B157C">
        <w:rPr>
          <w:sz w:val="20"/>
          <w:szCs w:val="20"/>
          <w:u w:val="single"/>
        </w:rPr>
        <w:t>CASE SUMMARY</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809"/>
        <w:gridCol w:w="278"/>
        <w:gridCol w:w="4440"/>
      </w:tblGrid>
      <w:tr w:rsidR="00430451" w:rsidRPr="00DB4F12" w:rsidTr="00CF3230">
        <w:tc>
          <w:tcPr>
            <w:tcW w:w="5000" w:type="pct"/>
            <w:gridSpan w:val="3"/>
          </w:tcPr>
          <w:p w:rsidR="00430451" w:rsidRPr="00DB4F12" w:rsidRDefault="00430451" w:rsidP="00CF3230">
            <w:pPr>
              <w:jc w:val="both"/>
              <w:rPr>
                <w:sz w:val="20"/>
                <w:szCs w:val="20"/>
              </w:rPr>
            </w:pPr>
            <w:r w:rsidRPr="00DB4F12">
              <w:rPr>
                <w:i/>
                <w:sz w:val="20"/>
                <w:szCs w:val="20"/>
              </w:rPr>
              <w:t>Charter of Rights</w:t>
            </w:r>
            <w:r w:rsidRPr="00DB4F12">
              <w:rPr>
                <w:sz w:val="20"/>
                <w:szCs w:val="20"/>
              </w:rPr>
              <w:t xml:space="preserve"> – Application – Freedom of expression – Administrative law – Judicial review – Education law – Universities – Applicant dismissed from neurosurgery residency program at respondent university because of unprofessional and disruptive behaviour – Whether </w:t>
            </w:r>
            <w:r w:rsidRPr="00DB4F12">
              <w:rPr>
                <w:i/>
                <w:sz w:val="20"/>
                <w:szCs w:val="20"/>
              </w:rPr>
              <w:t>Charter</w:t>
            </w:r>
            <w:r w:rsidRPr="00DB4F12">
              <w:rPr>
                <w:sz w:val="20"/>
                <w:szCs w:val="20"/>
              </w:rPr>
              <w:t xml:space="preserve"> applies to university in its function of training medical residents – If so, whether applicant’s right to freedom of speech was violated by his dismissal – </w:t>
            </w:r>
            <w:r w:rsidRPr="00DB4F12">
              <w:rPr>
                <w:i/>
                <w:sz w:val="20"/>
                <w:szCs w:val="20"/>
              </w:rPr>
              <w:t>Canadian Charter of Rights and Freedoms</w:t>
            </w:r>
            <w:r w:rsidRPr="00DB4F12">
              <w:rPr>
                <w:sz w:val="20"/>
                <w:szCs w:val="20"/>
              </w:rPr>
              <w:t>, ss. 2(</w:t>
            </w:r>
            <w:r w:rsidRPr="00DB4F12">
              <w:rPr>
                <w:i/>
                <w:sz w:val="20"/>
                <w:szCs w:val="20"/>
              </w:rPr>
              <w:t>b</w:t>
            </w:r>
            <w:r w:rsidRPr="00DB4F12">
              <w:rPr>
                <w:sz w:val="20"/>
                <w:szCs w:val="20"/>
              </w:rPr>
              <w:t>), 32.</w:t>
            </w:r>
          </w:p>
        </w:tc>
      </w:tr>
      <w:tr w:rsidR="00430451" w:rsidRPr="00DB4F12" w:rsidTr="00CF3230">
        <w:tc>
          <w:tcPr>
            <w:tcW w:w="5000" w:type="pct"/>
            <w:gridSpan w:val="3"/>
          </w:tcPr>
          <w:p w:rsidR="00430451" w:rsidRPr="00DB4F12" w:rsidRDefault="00430451" w:rsidP="00CF3230">
            <w:pPr>
              <w:jc w:val="both"/>
              <w:rPr>
                <w:sz w:val="20"/>
                <w:szCs w:val="20"/>
              </w:rPr>
            </w:pPr>
          </w:p>
        </w:tc>
      </w:tr>
      <w:tr w:rsidR="00430451" w:rsidRPr="00DB4F12" w:rsidTr="00CF3230">
        <w:tc>
          <w:tcPr>
            <w:tcW w:w="5000" w:type="pct"/>
            <w:gridSpan w:val="3"/>
          </w:tcPr>
          <w:p w:rsidR="00430451" w:rsidRPr="00DB4F12" w:rsidRDefault="00430451" w:rsidP="00CF3230">
            <w:pPr>
              <w:jc w:val="both"/>
              <w:rPr>
                <w:sz w:val="20"/>
                <w:szCs w:val="20"/>
              </w:rPr>
            </w:pPr>
            <w:r w:rsidRPr="00DB4F12">
              <w:rPr>
                <w:sz w:val="20"/>
                <w:szCs w:val="20"/>
              </w:rPr>
              <w:t>In June 2005, the applicant began a neurosurgery residency at the respondent university.  The program requires a six-year period of residency and in-hospital placements.  In December 2009, the residency program committee recommended that the applicant be dismissed from the program because of his unprofessional and disruptive behaviour.  The faculty council voted 14 to 11 to dismiss the applicant's appeal of the dismissal decision.  The applicant then appealed to the senate appeals committee, which concluded that the pattern of conduct was sufficiently serious and disruptive to warrant the applicant’s dismissal from the program.  The applicant’s application for judicial review of the decision of the appeals committee was dismissed.  The Court of Appeal dismissed his application for leave to appeal.</w:t>
            </w:r>
          </w:p>
          <w:p w:rsidR="00430451" w:rsidRPr="00DB4F12" w:rsidRDefault="00430451" w:rsidP="00CF3230">
            <w:pPr>
              <w:jc w:val="both"/>
              <w:rPr>
                <w:sz w:val="20"/>
                <w:szCs w:val="20"/>
              </w:rPr>
            </w:pPr>
          </w:p>
        </w:tc>
      </w:tr>
      <w:tr w:rsidR="00430451" w:rsidRPr="00DB4F12" w:rsidTr="00CF3230">
        <w:tc>
          <w:tcPr>
            <w:tcW w:w="2524" w:type="pct"/>
          </w:tcPr>
          <w:p w:rsidR="00430451" w:rsidRPr="00DB4F12" w:rsidRDefault="00430451" w:rsidP="00CF3230">
            <w:pPr>
              <w:jc w:val="both"/>
              <w:rPr>
                <w:sz w:val="20"/>
                <w:szCs w:val="20"/>
              </w:rPr>
            </w:pPr>
            <w:r w:rsidRPr="00DB4F12">
              <w:rPr>
                <w:sz w:val="20"/>
                <w:szCs w:val="20"/>
              </w:rPr>
              <w:t>April 4, 2012</w:t>
            </w:r>
          </w:p>
          <w:p w:rsidR="00430451" w:rsidRPr="00DB4F12" w:rsidRDefault="00430451" w:rsidP="00CF3230">
            <w:pPr>
              <w:jc w:val="both"/>
              <w:rPr>
                <w:sz w:val="20"/>
                <w:szCs w:val="20"/>
              </w:rPr>
            </w:pPr>
            <w:r w:rsidRPr="00DB4F12">
              <w:rPr>
                <w:sz w:val="20"/>
                <w:szCs w:val="20"/>
              </w:rPr>
              <w:t>Ontario Superior Court of Justice,</w:t>
            </w:r>
          </w:p>
          <w:p w:rsidR="00430451" w:rsidRPr="00DB4F12" w:rsidRDefault="00430451" w:rsidP="00CF3230">
            <w:pPr>
              <w:jc w:val="both"/>
              <w:rPr>
                <w:sz w:val="20"/>
                <w:szCs w:val="20"/>
              </w:rPr>
            </w:pPr>
            <w:r w:rsidRPr="00DB4F12">
              <w:rPr>
                <w:sz w:val="20"/>
                <w:szCs w:val="20"/>
              </w:rPr>
              <w:t>Divisional Court</w:t>
            </w:r>
          </w:p>
          <w:p w:rsidR="00430451" w:rsidRPr="00DB4F12" w:rsidRDefault="00430451" w:rsidP="00CF3230">
            <w:pPr>
              <w:jc w:val="both"/>
              <w:rPr>
                <w:sz w:val="20"/>
                <w:szCs w:val="20"/>
              </w:rPr>
            </w:pPr>
            <w:r w:rsidRPr="00DB4F12">
              <w:rPr>
                <w:sz w:val="20"/>
                <w:szCs w:val="20"/>
              </w:rPr>
              <w:t>(Then R.S.J., Swinton and Harvison Young JJ.)</w:t>
            </w:r>
          </w:p>
          <w:p w:rsidR="00430451" w:rsidRPr="00DB4F12" w:rsidRDefault="00430451" w:rsidP="00CF3230">
            <w:pPr>
              <w:jc w:val="both"/>
              <w:rPr>
                <w:sz w:val="20"/>
                <w:szCs w:val="20"/>
              </w:rPr>
            </w:pPr>
            <w:r w:rsidRPr="00DB4F12">
              <w:rPr>
                <w:sz w:val="20"/>
                <w:szCs w:val="20"/>
              </w:rPr>
              <w:t>2012 ONSC 142</w:t>
            </w:r>
          </w:p>
          <w:p w:rsidR="00430451" w:rsidRPr="00DB4F12" w:rsidRDefault="00430451" w:rsidP="00CF3230">
            <w:pPr>
              <w:jc w:val="both"/>
              <w:rPr>
                <w:sz w:val="20"/>
                <w:szCs w:val="20"/>
              </w:rPr>
            </w:pPr>
          </w:p>
        </w:tc>
        <w:tc>
          <w:tcPr>
            <w:tcW w:w="146" w:type="pct"/>
          </w:tcPr>
          <w:p w:rsidR="00430451" w:rsidRPr="00DB4F12" w:rsidRDefault="00430451" w:rsidP="00CF3230">
            <w:pPr>
              <w:jc w:val="both"/>
              <w:rPr>
                <w:sz w:val="20"/>
                <w:szCs w:val="20"/>
              </w:rPr>
            </w:pPr>
          </w:p>
        </w:tc>
        <w:tc>
          <w:tcPr>
            <w:tcW w:w="2330" w:type="pct"/>
          </w:tcPr>
          <w:p w:rsidR="00430451" w:rsidRPr="00DB4F12" w:rsidRDefault="00430451" w:rsidP="00CF3230">
            <w:pPr>
              <w:jc w:val="both"/>
              <w:rPr>
                <w:sz w:val="20"/>
                <w:szCs w:val="20"/>
              </w:rPr>
            </w:pPr>
            <w:r w:rsidRPr="00DB4F12">
              <w:rPr>
                <w:sz w:val="20"/>
                <w:szCs w:val="20"/>
              </w:rPr>
              <w:t>Application for judicial review dismissed</w:t>
            </w:r>
          </w:p>
          <w:p w:rsidR="00430451" w:rsidRPr="00DB4F12" w:rsidRDefault="00430451" w:rsidP="00CF3230">
            <w:pPr>
              <w:jc w:val="both"/>
              <w:rPr>
                <w:sz w:val="20"/>
                <w:szCs w:val="20"/>
              </w:rPr>
            </w:pPr>
          </w:p>
        </w:tc>
      </w:tr>
      <w:tr w:rsidR="00430451" w:rsidRPr="00DB4F12" w:rsidTr="00CF3230">
        <w:tc>
          <w:tcPr>
            <w:tcW w:w="2524" w:type="pct"/>
          </w:tcPr>
          <w:p w:rsidR="00430451" w:rsidRPr="00DB4F12" w:rsidRDefault="00430451" w:rsidP="00CF3230">
            <w:pPr>
              <w:jc w:val="both"/>
              <w:rPr>
                <w:sz w:val="20"/>
                <w:szCs w:val="20"/>
              </w:rPr>
            </w:pPr>
            <w:r w:rsidRPr="00DB4F12">
              <w:rPr>
                <w:sz w:val="20"/>
                <w:szCs w:val="20"/>
              </w:rPr>
              <w:t>October 1, 2012</w:t>
            </w:r>
          </w:p>
          <w:p w:rsidR="00430451" w:rsidRPr="00DB4F12" w:rsidRDefault="00430451" w:rsidP="00CF3230">
            <w:pPr>
              <w:jc w:val="both"/>
              <w:rPr>
                <w:sz w:val="20"/>
                <w:szCs w:val="20"/>
              </w:rPr>
            </w:pPr>
            <w:r w:rsidRPr="00DB4F12">
              <w:rPr>
                <w:sz w:val="20"/>
                <w:szCs w:val="20"/>
              </w:rPr>
              <w:t>Court of Appeal for Ontario</w:t>
            </w:r>
          </w:p>
          <w:p w:rsidR="00430451" w:rsidRPr="00DB4F12" w:rsidRDefault="00430451" w:rsidP="00CF3230">
            <w:pPr>
              <w:jc w:val="both"/>
              <w:rPr>
                <w:sz w:val="20"/>
                <w:szCs w:val="20"/>
              </w:rPr>
            </w:pPr>
            <w:r w:rsidRPr="00DB4F12">
              <w:rPr>
                <w:sz w:val="20"/>
                <w:szCs w:val="20"/>
              </w:rPr>
              <w:t>(Sharpe, Simmons and Epstein JJ.A.)</w:t>
            </w:r>
          </w:p>
          <w:p w:rsidR="00430451" w:rsidRPr="00DB4F12" w:rsidRDefault="00430451" w:rsidP="00CF3230">
            <w:pPr>
              <w:jc w:val="both"/>
              <w:rPr>
                <w:sz w:val="20"/>
                <w:szCs w:val="20"/>
              </w:rPr>
            </w:pPr>
          </w:p>
        </w:tc>
        <w:tc>
          <w:tcPr>
            <w:tcW w:w="146" w:type="pct"/>
          </w:tcPr>
          <w:p w:rsidR="00430451" w:rsidRPr="00DB4F12" w:rsidRDefault="00430451" w:rsidP="00CF3230">
            <w:pPr>
              <w:jc w:val="both"/>
              <w:rPr>
                <w:sz w:val="20"/>
                <w:szCs w:val="20"/>
              </w:rPr>
            </w:pPr>
          </w:p>
        </w:tc>
        <w:tc>
          <w:tcPr>
            <w:tcW w:w="2330" w:type="pct"/>
          </w:tcPr>
          <w:p w:rsidR="00430451" w:rsidRPr="00DB4F12" w:rsidRDefault="00430451" w:rsidP="00CF3230">
            <w:pPr>
              <w:jc w:val="both"/>
              <w:rPr>
                <w:sz w:val="20"/>
                <w:szCs w:val="20"/>
              </w:rPr>
            </w:pPr>
            <w:r w:rsidRPr="00DB4F12">
              <w:rPr>
                <w:sz w:val="20"/>
                <w:szCs w:val="20"/>
              </w:rPr>
              <w:t>Application for leave to appeal dismissed</w:t>
            </w:r>
          </w:p>
        </w:tc>
      </w:tr>
      <w:tr w:rsidR="00430451" w:rsidRPr="00DB4F12" w:rsidTr="00CF3230">
        <w:tc>
          <w:tcPr>
            <w:tcW w:w="2524" w:type="pct"/>
          </w:tcPr>
          <w:p w:rsidR="00430451" w:rsidRPr="00DB4F12" w:rsidRDefault="00430451" w:rsidP="00CF3230">
            <w:pPr>
              <w:jc w:val="both"/>
              <w:rPr>
                <w:sz w:val="20"/>
                <w:szCs w:val="20"/>
              </w:rPr>
            </w:pPr>
            <w:r w:rsidRPr="00DB4F12">
              <w:rPr>
                <w:sz w:val="20"/>
                <w:szCs w:val="20"/>
              </w:rPr>
              <w:t>November 26, 2012</w:t>
            </w:r>
          </w:p>
          <w:p w:rsidR="00430451" w:rsidRPr="00DB4F12" w:rsidRDefault="00430451" w:rsidP="00CF3230">
            <w:pPr>
              <w:jc w:val="both"/>
              <w:rPr>
                <w:sz w:val="20"/>
                <w:szCs w:val="20"/>
              </w:rPr>
            </w:pPr>
            <w:r w:rsidRPr="00DB4F12">
              <w:rPr>
                <w:sz w:val="20"/>
                <w:szCs w:val="20"/>
              </w:rPr>
              <w:t>Supreme Court of Canada</w:t>
            </w:r>
          </w:p>
        </w:tc>
        <w:tc>
          <w:tcPr>
            <w:tcW w:w="146" w:type="pct"/>
          </w:tcPr>
          <w:p w:rsidR="00430451" w:rsidRPr="00DB4F12" w:rsidRDefault="00430451" w:rsidP="00CF3230">
            <w:pPr>
              <w:jc w:val="both"/>
              <w:rPr>
                <w:sz w:val="20"/>
                <w:szCs w:val="20"/>
              </w:rPr>
            </w:pPr>
          </w:p>
        </w:tc>
        <w:tc>
          <w:tcPr>
            <w:tcW w:w="2330" w:type="pct"/>
          </w:tcPr>
          <w:p w:rsidR="00430451" w:rsidRPr="00DB4F12" w:rsidRDefault="00430451" w:rsidP="00CF3230">
            <w:pPr>
              <w:jc w:val="both"/>
              <w:rPr>
                <w:sz w:val="20"/>
                <w:szCs w:val="20"/>
              </w:rPr>
            </w:pPr>
            <w:r w:rsidRPr="00DB4F12">
              <w:rPr>
                <w:sz w:val="20"/>
                <w:szCs w:val="20"/>
              </w:rPr>
              <w:t>Application for leave to appeal filed</w:t>
            </w:r>
          </w:p>
          <w:p w:rsidR="00430451" w:rsidRPr="00DB4F12" w:rsidRDefault="00430451" w:rsidP="00CF3230">
            <w:pPr>
              <w:jc w:val="both"/>
              <w:rPr>
                <w:sz w:val="20"/>
                <w:szCs w:val="20"/>
              </w:rPr>
            </w:pPr>
          </w:p>
        </w:tc>
      </w:tr>
    </w:tbl>
    <w:p w:rsidR="003101AB" w:rsidRPr="00C50A5C" w:rsidRDefault="003101AB" w:rsidP="003101AB">
      <w:pPr>
        <w:rPr>
          <w:sz w:val="20"/>
          <w:szCs w:val="20"/>
        </w:rPr>
      </w:pPr>
    </w:p>
    <w:p w:rsidR="003101AB" w:rsidRPr="00C50A5C" w:rsidRDefault="003F21C7" w:rsidP="003101AB">
      <w:pPr>
        <w:rPr>
          <w:sz w:val="20"/>
          <w:szCs w:val="20"/>
        </w:rPr>
      </w:pPr>
      <w:r w:rsidRPr="003F21C7">
        <w:rPr>
          <w:sz w:val="20"/>
          <w:szCs w:val="20"/>
          <w:lang w:val="fr-CA"/>
        </w:rPr>
        <w:pict>
          <v:rect id="_x0000_i1062" style="width:2in;height:1pt" o:hrpct="0" o:hralign="center" o:hrstd="t" o:hrnoshade="t" o:hr="t" fillcolor="black [3213]" stroked="f"/>
        </w:pict>
      </w:r>
    </w:p>
    <w:p w:rsidR="003101AB" w:rsidRDefault="003101AB" w:rsidP="003101AB">
      <w:pPr>
        <w:rPr>
          <w:sz w:val="20"/>
          <w:szCs w:val="20"/>
        </w:rPr>
      </w:pPr>
    </w:p>
    <w:p w:rsidR="000C49B2" w:rsidRDefault="000C49B2">
      <w:pPr>
        <w:rPr>
          <w:sz w:val="20"/>
          <w:szCs w:val="20"/>
          <w:u w:val="single"/>
          <w:lang w:val="fr-CA"/>
        </w:rPr>
      </w:pPr>
      <w:r>
        <w:rPr>
          <w:sz w:val="20"/>
          <w:szCs w:val="20"/>
          <w:u w:val="single"/>
          <w:lang w:val="fr-CA"/>
        </w:rPr>
        <w:br w:type="page"/>
      </w:r>
    </w:p>
    <w:p w:rsidR="003101AB" w:rsidRPr="001B157C" w:rsidRDefault="003101AB" w:rsidP="003101AB">
      <w:pPr>
        <w:rPr>
          <w:sz w:val="20"/>
          <w:szCs w:val="20"/>
          <w:u w:val="single"/>
          <w:lang w:val="fr-CA"/>
        </w:rPr>
      </w:pPr>
      <w:r w:rsidRPr="001B157C">
        <w:rPr>
          <w:sz w:val="20"/>
          <w:szCs w:val="20"/>
          <w:u w:val="single"/>
          <w:lang w:val="fr-CA"/>
        </w:rPr>
        <w:lastRenderedPageBreak/>
        <w:t>RÉSUMÉ DE L’AFFAIRE</w:t>
      </w:r>
    </w:p>
    <w:p w:rsidR="003101AB" w:rsidRDefault="003101AB" w:rsidP="003101AB">
      <w:pPr>
        <w:rPr>
          <w:sz w:val="20"/>
          <w:szCs w:val="20"/>
        </w:rPr>
      </w:pPr>
    </w:p>
    <w:tbl>
      <w:tblPr>
        <w:tblW w:w="4952" w:type="pct"/>
        <w:tblLayout w:type="fixed"/>
        <w:tblCellMar>
          <w:left w:w="0" w:type="dxa"/>
          <w:bottom w:w="99" w:type="dxa"/>
          <w:right w:w="0" w:type="dxa"/>
        </w:tblCellMar>
        <w:tblLook w:val="00A0"/>
      </w:tblPr>
      <w:tblGrid>
        <w:gridCol w:w="4809"/>
        <w:gridCol w:w="278"/>
        <w:gridCol w:w="4440"/>
      </w:tblGrid>
      <w:tr w:rsidR="00430451" w:rsidRPr="00462F49" w:rsidTr="00CF3230">
        <w:tc>
          <w:tcPr>
            <w:tcW w:w="5000" w:type="pct"/>
            <w:gridSpan w:val="3"/>
          </w:tcPr>
          <w:p w:rsidR="00430451" w:rsidRPr="00DB4F12" w:rsidRDefault="00430451" w:rsidP="00CF3230">
            <w:pPr>
              <w:jc w:val="both"/>
              <w:rPr>
                <w:sz w:val="20"/>
                <w:szCs w:val="20"/>
                <w:lang w:val="fr-CA"/>
              </w:rPr>
            </w:pPr>
            <w:r w:rsidRPr="00DB4F12">
              <w:rPr>
                <w:i/>
                <w:sz w:val="20"/>
                <w:szCs w:val="20"/>
                <w:lang w:val="fr-CA"/>
              </w:rPr>
              <w:t xml:space="preserve">Charte des droits </w:t>
            </w:r>
            <w:r w:rsidRPr="00DB4F12">
              <w:rPr>
                <w:sz w:val="20"/>
                <w:szCs w:val="20"/>
                <w:lang w:val="fr-CA"/>
              </w:rPr>
              <w:t xml:space="preserve">– Application – Liberté d'expression – Droit administratif – Contrôle judiciaire – Droit de l'éducation – Universités – Le demandeur a été expulsé du programme de résidence en neurochirurgie à l'université intimée pour cause de comportement non professionnel et perturbateur – La </w:t>
            </w:r>
            <w:r w:rsidRPr="00DB4F12">
              <w:rPr>
                <w:i/>
                <w:sz w:val="20"/>
                <w:szCs w:val="20"/>
                <w:lang w:val="fr-CA"/>
              </w:rPr>
              <w:t>Charte</w:t>
            </w:r>
            <w:r w:rsidRPr="00DB4F12">
              <w:rPr>
                <w:sz w:val="20"/>
                <w:szCs w:val="20"/>
                <w:lang w:val="fr-CA"/>
              </w:rPr>
              <w:t xml:space="preserve"> s'applique</w:t>
            </w:r>
            <w:r w:rsidRPr="00DB4F12">
              <w:rPr>
                <w:sz w:val="20"/>
                <w:szCs w:val="20"/>
                <w:lang w:val="fr-CA"/>
              </w:rPr>
              <w:noBreakHyphen/>
              <w:t>t</w:t>
            </w:r>
            <w:r w:rsidRPr="00DB4F12">
              <w:rPr>
                <w:sz w:val="20"/>
                <w:szCs w:val="20"/>
                <w:lang w:val="fr-CA"/>
              </w:rPr>
              <w:noBreakHyphen/>
              <w:t>elle à l'université dans sa fonction de formation des résidents en médecine? – Dans l'affirmative, le droit du demandeur à la liberté d'expression a</w:t>
            </w:r>
            <w:r w:rsidRPr="00DB4F12">
              <w:rPr>
                <w:sz w:val="20"/>
                <w:szCs w:val="20"/>
                <w:lang w:val="fr-CA"/>
              </w:rPr>
              <w:noBreakHyphen/>
              <w:t>t</w:t>
            </w:r>
            <w:r w:rsidRPr="00DB4F12">
              <w:rPr>
                <w:sz w:val="20"/>
                <w:szCs w:val="20"/>
                <w:lang w:val="fr-CA"/>
              </w:rPr>
              <w:noBreakHyphen/>
              <w:t>il été violé par son expulsion? –</w:t>
            </w:r>
            <w:r w:rsidRPr="00DB4F12">
              <w:rPr>
                <w:i/>
                <w:sz w:val="20"/>
                <w:szCs w:val="20"/>
                <w:lang w:val="fr-CA"/>
              </w:rPr>
              <w:t xml:space="preserve"> Charte canadienne des droits et libertés</w:t>
            </w:r>
            <w:r w:rsidRPr="00DB4F12">
              <w:rPr>
                <w:sz w:val="20"/>
                <w:szCs w:val="20"/>
                <w:lang w:val="fr-CA"/>
              </w:rPr>
              <w:t>, art. 2</w:t>
            </w:r>
            <w:r w:rsidRPr="00DB4F12">
              <w:rPr>
                <w:i/>
                <w:sz w:val="20"/>
                <w:szCs w:val="20"/>
                <w:lang w:val="fr-CA"/>
              </w:rPr>
              <w:t>b</w:t>
            </w:r>
            <w:r w:rsidRPr="00DB4F12">
              <w:rPr>
                <w:sz w:val="20"/>
                <w:szCs w:val="20"/>
                <w:lang w:val="fr-CA"/>
              </w:rPr>
              <w:t>), 32.</w:t>
            </w:r>
          </w:p>
        </w:tc>
      </w:tr>
      <w:tr w:rsidR="00430451" w:rsidRPr="00462F49" w:rsidTr="00CF3230">
        <w:tc>
          <w:tcPr>
            <w:tcW w:w="5000" w:type="pct"/>
            <w:gridSpan w:val="3"/>
          </w:tcPr>
          <w:p w:rsidR="00430451" w:rsidRPr="00DB4F12" w:rsidRDefault="00430451" w:rsidP="00CF3230">
            <w:pPr>
              <w:jc w:val="both"/>
              <w:rPr>
                <w:sz w:val="20"/>
                <w:szCs w:val="20"/>
                <w:lang w:val="fr-CA"/>
              </w:rPr>
            </w:pPr>
          </w:p>
        </w:tc>
      </w:tr>
      <w:tr w:rsidR="00430451" w:rsidRPr="00DB4F12" w:rsidTr="00CF3230">
        <w:tc>
          <w:tcPr>
            <w:tcW w:w="5000" w:type="pct"/>
            <w:gridSpan w:val="3"/>
          </w:tcPr>
          <w:p w:rsidR="00430451" w:rsidRPr="00DB4F12" w:rsidRDefault="00430451" w:rsidP="00CF3230">
            <w:pPr>
              <w:jc w:val="both"/>
              <w:rPr>
                <w:sz w:val="20"/>
                <w:szCs w:val="20"/>
                <w:lang w:val="fr-CA"/>
              </w:rPr>
            </w:pPr>
            <w:r w:rsidRPr="00DB4F12">
              <w:rPr>
                <w:sz w:val="20"/>
                <w:szCs w:val="20"/>
                <w:lang w:val="fr-CA"/>
              </w:rPr>
              <w:t>En juin 2005, le demandeur a entrepris sa résidence en neurochirurgie à l'université intimée.  Le programme prescrit une période de résidence de six ans et les placements dans les hôpitaux.  En décembre 2009, le comité du programme de résidence a recommandé que le demandeur soit expulsé du programme en raison de son comportement non professionnel et perturbateur.  Le conseil de la faculté a voté à 14 voix contre 11 de rejeter l'appel de la mesure d'expulsion interjeté par le demandeur.  Le demandeur a alors interjeté appel au comité d’appel du Sénat qui a conclu que le type de comportement du demandeur était suffisamment grave et perturbateur pour justifier son expulsion du programme.  La demande de contrôle judiciaire de la décision du comité d'appel présentée par le demandeur a été rejetée.  La Cour d'appel a rejeté sa demande d'autorisation d'appel.</w:t>
            </w:r>
          </w:p>
          <w:p w:rsidR="00430451" w:rsidRPr="00DB4F12" w:rsidRDefault="00430451" w:rsidP="00CF3230">
            <w:pPr>
              <w:jc w:val="both"/>
              <w:rPr>
                <w:sz w:val="20"/>
                <w:szCs w:val="20"/>
                <w:lang w:val="fr-CA"/>
              </w:rPr>
            </w:pPr>
          </w:p>
        </w:tc>
      </w:tr>
      <w:tr w:rsidR="00430451" w:rsidRPr="00DB4F12" w:rsidTr="00CF3230">
        <w:tc>
          <w:tcPr>
            <w:tcW w:w="2524" w:type="pct"/>
          </w:tcPr>
          <w:p w:rsidR="00430451" w:rsidRPr="00DB4F12" w:rsidRDefault="00430451" w:rsidP="00CF3230">
            <w:pPr>
              <w:jc w:val="both"/>
              <w:rPr>
                <w:sz w:val="20"/>
                <w:szCs w:val="20"/>
                <w:lang w:val="fr-CA"/>
              </w:rPr>
            </w:pPr>
            <w:r w:rsidRPr="00DB4F12">
              <w:rPr>
                <w:sz w:val="20"/>
                <w:szCs w:val="20"/>
                <w:lang w:val="fr-CA"/>
              </w:rPr>
              <w:t>4 avril 2012</w:t>
            </w:r>
          </w:p>
          <w:p w:rsidR="00430451" w:rsidRPr="00DB4F12" w:rsidRDefault="00430451" w:rsidP="00CF3230">
            <w:pPr>
              <w:jc w:val="both"/>
              <w:rPr>
                <w:sz w:val="20"/>
                <w:szCs w:val="20"/>
                <w:lang w:val="fr-CA"/>
              </w:rPr>
            </w:pPr>
            <w:r w:rsidRPr="00DB4F12">
              <w:rPr>
                <w:sz w:val="20"/>
                <w:szCs w:val="20"/>
                <w:lang w:val="fr-CA"/>
              </w:rPr>
              <w:t>Cour supérieure de justice de l'Ontario</w:t>
            </w:r>
          </w:p>
          <w:p w:rsidR="00430451" w:rsidRPr="00DB4F12" w:rsidRDefault="00430451" w:rsidP="00CF3230">
            <w:pPr>
              <w:jc w:val="both"/>
              <w:rPr>
                <w:sz w:val="20"/>
                <w:szCs w:val="20"/>
                <w:lang w:val="fr-CA"/>
              </w:rPr>
            </w:pPr>
            <w:r w:rsidRPr="00DB4F12">
              <w:rPr>
                <w:sz w:val="20"/>
                <w:szCs w:val="20"/>
                <w:lang w:val="fr-CA"/>
              </w:rPr>
              <w:t xml:space="preserve">Cour divisionnaire </w:t>
            </w:r>
          </w:p>
          <w:p w:rsidR="00430451" w:rsidRPr="00DB4F12" w:rsidRDefault="00430451" w:rsidP="00CF3230">
            <w:pPr>
              <w:jc w:val="both"/>
              <w:rPr>
                <w:sz w:val="20"/>
                <w:szCs w:val="20"/>
                <w:lang w:val="fr-CA"/>
              </w:rPr>
            </w:pPr>
            <w:r w:rsidRPr="00DB4F12">
              <w:rPr>
                <w:sz w:val="20"/>
                <w:szCs w:val="20"/>
                <w:lang w:val="fr-CA"/>
              </w:rPr>
              <w:t>(Juge principal régional Then, juges Swinton et Harvison Young)</w:t>
            </w:r>
          </w:p>
          <w:p w:rsidR="00430451" w:rsidRPr="00DB4F12" w:rsidRDefault="00430451" w:rsidP="00CF3230">
            <w:pPr>
              <w:jc w:val="both"/>
              <w:rPr>
                <w:sz w:val="20"/>
                <w:szCs w:val="20"/>
                <w:lang w:val="fr-CA"/>
              </w:rPr>
            </w:pPr>
            <w:r w:rsidRPr="00DB4F12">
              <w:rPr>
                <w:sz w:val="20"/>
                <w:szCs w:val="20"/>
                <w:lang w:val="fr-CA"/>
              </w:rPr>
              <w:t>2012 ONSC 142</w:t>
            </w:r>
          </w:p>
          <w:p w:rsidR="00430451" w:rsidRPr="00DB4F12" w:rsidRDefault="00430451" w:rsidP="00CF3230">
            <w:pPr>
              <w:jc w:val="both"/>
              <w:rPr>
                <w:sz w:val="20"/>
                <w:szCs w:val="20"/>
                <w:lang w:val="fr-CA"/>
              </w:rPr>
            </w:pPr>
          </w:p>
        </w:tc>
        <w:tc>
          <w:tcPr>
            <w:tcW w:w="146" w:type="pct"/>
          </w:tcPr>
          <w:p w:rsidR="00430451" w:rsidRPr="00DB4F12" w:rsidRDefault="00430451" w:rsidP="00CF3230">
            <w:pPr>
              <w:jc w:val="both"/>
              <w:rPr>
                <w:sz w:val="20"/>
                <w:szCs w:val="20"/>
                <w:lang w:val="fr-CA"/>
              </w:rPr>
            </w:pPr>
          </w:p>
        </w:tc>
        <w:tc>
          <w:tcPr>
            <w:tcW w:w="2330" w:type="pct"/>
          </w:tcPr>
          <w:p w:rsidR="00430451" w:rsidRPr="00DB4F12" w:rsidRDefault="00430451" w:rsidP="00CF3230">
            <w:pPr>
              <w:jc w:val="both"/>
              <w:rPr>
                <w:sz w:val="20"/>
                <w:szCs w:val="20"/>
                <w:lang w:val="fr-CA"/>
              </w:rPr>
            </w:pPr>
            <w:r w:rsidRPr="00DB4F12">
              <w:rPr>
                <w:sz w:val="20"/>
                <w:szCs w:val="20"/>
                <w:lang w:val="fr-CA"/>
              </w:rPr>
              <w:t>Demande de contrôle judiciaire, rejetée</w:t>
            </w:r>
          </w:p>
          <w:p w:rsidR="00430451" w:rsidRPr="00DB4F12" w:rsidRDefault="00430451" w:rsidP="00CF3230">
            <w:pPr>
              <w:jc w:val="both"/>
              <w:rPr>
                <w:sz w:val="20"/>
                <w:szCs w:val="20"/>
                <w:lang w:val="fr-CA"/>
              </w:rPr>
            </w:pPr>
          </w:p>
        </w:tc>
      </w:tr>
      <w:tr w:rsidR="00430451" w:rsidRPr="00DB4F12" w:rsidTr="00CF3230">
        <w:tc>
          <w:tcPr>
            <w:tcW w:w="2524" w:type="pct"/>
          </w:tcPr>
          <w:p w:rsidR="00430451" w:rsidRPr="00DB4F12" w:rsidRDefault="00430451" w:rsidP="00CF3230">
            <w:pPr>
              <w:jc w:val="both"/>
              <w:rPr>
                <w:sz w:val="20"/>
                <w:szCs w:val="20"/>
                <w:lang w:val="fr-CA"/>
              </w:rPr>
            </w:pPr>
            <w:r w:rsidRPr="00DB4F12">
              <w:rPr>
                <w:sz w:val="20"/>
                <w:szCs w:val="20"/>
                <w:lang w:val="fr-CA"/>
              </w:rPr>
              <w:t>1</w:t>
            </w:r>
            <w:r w:rsidRPr="00DB4F12">
              <w:rPr>
                <w:sz w:val="20"/>
                <w:szCs w:val="20"/>
                <w:vertAlign w:val="superscript"/>
                <w:lang w:val="fr-CA"/>
              </w:rPr>
              <w:t>er</w:t>
            </w:r>
            <w:r w:rsidRPr="00DB4F12">
              <w:rPr>
                <w:sz w:val="20"/>
                <w:szCs w:val="20"/>
                <w:lang w:val="fr-CA"/>
              </w:rPr>
              <w:t xml:space="preserve"> octobre 2012</w:t>
            </w:r>
          </w:p>
          <w:p w:rsidR="00430451" w:rsidRPr="00DB4F12" w:rsidRDefault="00430451" w:rsidP="00CF3230">
            <w:pPr>
              <w:jc w:val="both"/>
              <w:rPr>
                <w:sz w:val="20"/>
                <w:szCs w:val="20"/>
                <w:lang w:val="fr-CA"/>
              </w:rPr>
            </w:pPr>
            <w:r w:rsidRPr="00DB4F12">
              <w:rPr>
                <w:sz w:val="20"/>
                <w:szCs w:val="20"/>
                <w:lang w:val="fr-CA"/>
              </w:rPr>
              <w:t xml:space="preserve">Cour d'appel de l'Ontario </w:t>
            </w:r>
          </w:p>
          <w:p w:rsidR="00430451" w:rsidRPr="00DB4F12" w:rsidRDefault="00430451" w:rsidP="00CF3230">
            <w:pPr>
              <w:jc w:val="both"/>
              <w:rPr>
                <w:sz w:val="20"/>
                <w:szCs w:val="20"/>
                <w:lang w:val="fr-CA"/>
              </w:rPr>
            </w:pPr>
            <w:r w:rsidRPr="00DB4F12">
              <w:rPr>
                <w:sz w:val="20"/>
                <w:szCs w:val="20"/>
                <w:lang w:val="fr-CA"/>
              </w:rPr>
              <w:t>(Juges Sharpe, Simmons et Epstein)</w:t>
            </w:r>
          </w:p>
          <w:p w:rsidR="00430451" w:rsidRPr="00DB4F12" w:rsidRDefault="00430451" w:rsidP="00CF3230">
            <w:pPr>
              <w:jc w:val="both"/>
              <w:rPr>
                <w:sz w:val="20"/>
                <w:szCs w:val="20"/>
                <w:lang w:val="fr-CA"/>
              </w:rPr>
            </w:pPr>
          </w:p>
        </w:tc>
        <w:tc>
          <w:tcPr>
            <w:tcW w:w="146" w:type="pct"/>
          </w:tcPr>
          <w:p w:rsidR="00430451" w:rsidRPr="00DB4F12" w:rsidRDefault="00430451" w:rsidP="00CF3230">
            <w:pPr>
              <w:jc w:val="both"/>
              <w:rPr>
                <w:sz w:val="20"/>
                <w:szCs w:val="20"/>
                <w:lang w:val="fr-CA"/>
              </w:rPr>
            </w:pPr>
          </w:p>
        </w:tc>
        <w:tc>
          <w:tcPr>
            <w:tcW w:w="2330" w:type="pct"/>
          </w:tcPr>
          <w:p w:rsidR="00430451" w:rsidRPr="00DB4F12" w:rsidRDefault="00430451" w:rsidP="00CF3230">
            <w:pPr>
              <w:jc w:val="both"/>
              <w:rPr>
                <w:sz w:val="20"/>
                <w:szCs w:val="20"/>
                <w:lang w:val="fr-CA"/>
              </w:rPr>
            </w:pPr>
            <w:r w:rsidRPr="00DB4F12">
              <w:rPr>
                <w:sz w:val="20"/>
                <w:szCs w:val="20"/>
                <w:lang w:val="fr-CA"/>
              </w:rPr>
              <w:t>Demande d'autorisation d'appel, rejetée</w:t>
            </w:r>
          </w:p>
        </w:tc>
      </w:tr>
      <w:tr w:rsidR="00430451" w:rsidRPr="00DB4F12" w:rsidTr="00CF3230">
        <w:tc>
          <w:tcPr>
            <w:tcW w:w="2524" w:type="pct"/>
          </w:tcPr>
          <w:p w:rsidR="00430451" w:rsidRPr="00DB4F12" w:rsidRDefault="00430451" w:rsidP="00CF3230">
            <w:pPr>
              <w:jc w:val="both"/>
              <w:rPr>
                <w:sz w:val="20"/>
                <w:szCs w:val="20"/>
                <w:lang w:val="fr-CA"/>
              </w:rPr>
            </w:pPr>
            <w:r w:rsidRPr="00DB4F12">
              <w:rPr>
                <w:sz w:val="20"/>
                <w:szCs w:val="20"/>
                <w:lang w:val="fr-CA"/>
              </w:rPr>
              <w:t>26 novembre 2012</w:t>
            </w:r>
          </w:p>
          <w:p w:rsidR="00430451" w:rsidRPr="00DB4F12" w:rsidRDefault="00430451" w:rsidP="00CF3230">
            <w:pPr>
              <w:jc w:val="both"/>
              <w:rPr>
                <w:sz w:val="20"/>
                <w:szCs w:val="20"/>
                <w:lang w:val="fr-CA"/>
              </w:rPr>
            </w:pPr>
            <w:r w:rsidRPr="00DB4F12">
              <w:rPr>
                <w:sz w:val="20"/>
                <w:szCs w:val="20"/>
                <w:lang w:val="fr-CA"/>
              </w:rPr>
              <w:t>Cour suprême du Canada</w:t>
            </w:r>
          </w:p>
        </w:tc>
        <w:tc>
          <w:tcPr>
            <w:tcW w:w="146" w:type="pct"/>
          </w:tcPr>
          <w:p w:rsidR="00430451" w:rsidRPr="00DB4F12" w:rsidRDefault="00430451" w:rsidP="00CF3230">
            <w:pPr>
              <w:jc w:val="both"/>
              <w:rPr>
                <w:sz w:val="20"/>
                <w:szCs w:val="20"/>
                <w:lang w:val="fr-CA"/>
              </w:rPr>
            </w:pPr>
          </w:p>
        </w:tc>
        <w:tc>
          <w:tcPr>
            <w:tcW w:w="2330" w:type="pct"/>
          </w:tcPr>
          <w:p w:rsidR="00430451" w:rsidRPr="00DB4F12" w:rsidRDefault="00430451" w:rsidP="00CF3230">
            <w:pPr>
              <w:jc w:val="both"/>
              <w:rPr>
                <w:sz w:val="20"/>
                <w:szCs w:val="20"/>
                <w:lang w:val="fr-CA"/>
              </w:rPr>
            </w:pPr>
            <w:r w:rsidRPr="00DB4F12">
              <w:rPr>
                <w:sz w:val="20"/>
                <w:szCs w:val="20"/>
                <w:lang w:val="fr-CA"/>
              </w:rPr>
              <w:t>Demande autorisation d'appel, déposée</w:t>
            </w:r>
          </w:p>
          <w:p w:rsidR="00430451" w:rsidRPr="00DB4F12" w:rsidRDefault="00430451" w:rsidP="00CF3230">
            <w:pPr>
              <w:jc w:val="both"/>
              <w:rPr>
                <w:sz w:val="20"/>
                <w:szCs w:val="20"/>
                <w:lang w:val="fr-CA"/>
              </w:rPr>
            </w:pPr>
          </w:p>
        </w:tc>
      </w:tr>
    </w:tbl>
    <w:p w:rsidR="003101AB" w:rsidRDefault="003101AB" w:rsidP="003101AB">
      <w:pPr>
        <w:rPr>
          <w:sz w:val="20"/>
          <w:szCs w:val="20"/>
        </w:rPr>
      </w:pPr>
    </w:p>
    <w:p w:rsidR="003101AB" w:rsidRDefault="003F21C7" w:rsidP="003101AB">
      <w:pPr>
        <w:rPr>
          <w:sz w:val="20"/>
          <w:szCs w:val="20"/>
          <w:lang w:val="fr-CA"/>
        </w:rPr>
      </w:pPr>
      <w:r w:rsidRPr="003F21C7">
        <w:rPr>
          <w:sz w:val="20"/>
          <w:szCs w:val="20"/>
          <w:lang w:val="fr-CA"/>
        </w:rPr>
        <w:pict>
          <v:rect id="_x0000_i1063" style="width:2in;height:1pt" o:hrpct="0" o:hralign="center" o:hrstd="t" o:hrnoshade="t" o:hr="t" fillcolor="black [3213]" stroked="f"/>
        </w:pict>
      </w:r>
    </w:p>
    <w:p w:rsidR="003101AB" w:rsidRDefault="003101AB" w:rsidP="003101A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9083D" w:rsidRPr="00466183" w:rsidTr="00F150E1">
        <w:trPr>
          <w:cantSplit/>
        </w:trPr>
        <w:tc>
          <w:tcPr>
            <w:tcW w:w="1458" w:type="dxa"/>
          </w:tcPr>
          <w:p w:rsidR="0079083D" w:rsidRPr="00466183" w:rsidRDefault="0079083D" w:rsidP="00F150E1">
            <w:pPr>
              <w:rPr>
                <w:sz w:val="20"/>
                <w:szCs w:val="20"/>
              </w:rPr>
            </w:pPr>
            <w:r w:rsidRPr="00466183">
              <w:rPr>
                <w:rStyle w:val="SCCFileNumberChar"/>
                <w:sz w:val="20"/>
                <w:szCs w:val="20"/>
              </w:rPr>
              <w:t>35127</w:t>
            </w:r>
          </w:p>
          <w:p w:rsidR="0079083D" w:rsidRPr="00466183" w:rsidRDefault="0079083D" w:rsidP="00F150E1">
            <w:pPr>
              <w:rPr>
                <w:b/>
                <w:sz w:val="20"/>
                <w:szCs w:val="20"/>
                <w:lang w:val="fr-CA"/>
              </w:rPr>
            </w:pPr>
          </w:p>
        </w:tc>
        <w:tc>
          <w:tcPr>
            <w:tcW w:w="8118" w:type="dxa"/>
          </w:tcPr>
          <w:p w:rsidR="0079083D" w:rsidRPr="00466183" w:rsidRDefault="0079083D" w:rsidP="00F150E1">
            <w:pPr>
              <w:rPr>
                <w:sz w:val="20"/>
                <w:szCs w:val="20"/>
              </w:rPr>
            </w:pPr>
            <w:r w:rsidRPr="00466183">
              <w:rPr>
                <w:rStyle w:val="SCCLsocChar"/>
                <w:sz w:val="20"/>
                <w:szCs w:val="20"/>
                <w:lang w:val="en-CA"/>
              </w:rPr>
              <w:t>Jisheng Liu v. McGill University</w:t>
            </w:r>
            <w:r w:rsidRPr="00466183">
              <w:rPr>
                <w:sz w:val="20"/>
                <w:szCs w:val="20"/>
              </w:rPr>
              <w:t xml:space="preserve"> (Que.) (Civil) (By Leave)</w:t>
            </w:r>
          </w:p>
          <w:p w:rsidR="0079083D" w:rsidRPr="00466183" w:rsidRDefault="0079083D" w:rsidP="00F150E1">
            <w:pPr>
              <w:rPr>
                <w:sz w:val="20"/>
                <w:szCs w:val="20"/>
              </w:rPr>
            </w:pPr>
          </w:p>
        </w:tc>
      </w:tr>
      <w:tr w:rsidR="0079083D" w:rsidRPr="00466183" w:rsidTr="00F150E1">
        <w:trPr>
          <w:cantSplit/>
        </w:trPr>
        <w:tc>
          <w:tcPr>
            <w:tcW w:w="1458" w:type="dxa"/>
          </w:tcPr>
          <w:p w:rsidR="0079083D" w:rsidRPr="00466183" w:rsidRDefault="0079083D" w:rsidP="00F150E1">
            <w:pPr>
              <w:rPr>
                <w:sz w:val="20"/>
                <w:szCs w:val="20"/>
              </w:rPr>
            </w:pPr>
            <w:r w:rsidRPr="00466183">
              <w:rPr>
                <w:sz w:val="20"/>
                <w:szCs w:val="20"/>
              </w:rPr>
              <w:t>Coram :</w:t>
            </w:r>
          </w:p>
        </w:tc>
        <w:tc>
          <w:tcPr>
            <w:tcW w:w="8118" w:type="dxa"/>
          </w:tcPr>
          <w:p w:rsidR="0079083D" w:rsidRPr="00466183" w:rsidRDefault="0079083D" w:rsidP="00F150E1">
            <w:pPr>
              <w:rPr>
                <w:sz w:val="20"/>
                <w:szCs w:val="20"/>
              </w:rPr>
            </w:pPr>
            <w:r w:rsidRPr="00466183">
              <w:rPr>
                <w:rStyle w:val="SCCCoramChar"/>
                <w:sz w:val="20"/>
                <w:szCs w:val="20"/>
                <w:lang w:val="en-CA"/>
              </w:rPr>
              <w:t>McLachlin C.J. and Abella and Cromwell JJ.</w:t>
            </w:r>
          </w:p>
          <w:p w:rsidR="0079083D" w:rsidRPr="00466183" w:rsidRDefault="0079083D" w:rsidP="00F150E1">
            <w:pPr>
              <w:rPr>
                <w:sz w:val="20"/>
                <w:szCs w:val="20"/>
                <w:u w:val="single"/>
              </w:rPr>
            </w:pPr>
          </w:p>
        </w:tc>
      </w:tr>
      <w:tr w:rsidR="0079083D" w:rsidRPr="00462F49" w:rsidTr="00837CA1">
        <w:tc>
          <w:tcPr>
            <w:tcW w:w="9576" w:type="dxa"/>
            <w:gridSpan w:val="2"/>
          </w:tcPr>
          <w:p w:rsidR="0079083D" w:rsidRPr="00466183" w:rsidRDefault="0079083D" w:rsidP="00F150E1">
            <w:pPr>
              <w:pStyle w:val="SCCShortJudgment"/>
              <w:rPr>
                <w:szCs w:val="20"/>
              </w:rPr>
            </w:pPr>
            <w:r w:rsidRPr="00466183">
              <w:rPr>
                <w:szCs w:val="20"/>
              </w:rPr>
              <w:t>The motions to file a single leave application and to file a lengthy memorandum are granted. The motion for an extension of time to serve and file the application for leave to appeal is granted.  The application for leave to appeal from the judgments of the Court of Appeal of Quebec (Montréal), Numbers 500-09-022352-124 and 500-09-022493-126, 2012 QCCA 496, 2012 QCCA 1478 and 2012 QCCA 1479, dated March 13 and August 7, 2012, is dismissed with costs. The application for leave to appeal from the judgments of the Superior Court of Quebec, number 500-17-066381-115, 2011 QCCS 5479 and 2012 QCCS 396, dated October 21, 2011 and February 13, 2012, is dismissed for want of jurisdiction.</w:t>
            </w:r>
          </w:p>
          <w:p w:rsidR="0079083D" w:rsidRPr="00466183" w:rsidRDefault="0079083D" w:rsidP="00F150E1">
            <w:pPr>
              <w:pStyle w:val="SCCShortJudgment"/>
              <w:ind w:firstLine="0"/>
              <w:rPr>
                <w:szCs w:val="20"/>
              </w:rPr>
            </w:pPr>
          </w:p>
          <w:p w:rsidR="0079083D" w:rsidRPr="00466183" w:rsidRDefault="0079083D" w:rsidP="0079083D">
            <w:pPr>
              <w:pStyle w:val="SCCShortJudgment"/>
              <w:rPr>
                <w:szCs w:val="20"/>
                <w:lang w:val="fr-CA"/>
              </w:rPr>
            </w:pPr>
            <w:r w:rsidRPr="00466183">
              <w:rPr>
                <w:szCs w:val="20"/>
                <w:lang w:val="fr-CA"/>
              </w:rPr>
              <w:t xml:space="preserve">Les requêtes pour déposer une demande d’autorisation unique et pour déposer un mémoire volumineux sont accueillies.  La requête en prorogation du délai de signification et de dépôt de la demande d’autorisation d’appel est accueillie.  La demande d’autorisation d’appel des arrêts de la Cour d’appel du Québec (Montréal), numéros 500-09-022352-124 et  500-09-022493-126, 2012 QCCA 496, 2012 QCCA 1478 et 2012 QCCA 1479, datés du 13 mars et du 7 août 2012, est rejetée avec dépens. La demande d’autorisation d’appel des jugements de la Cour supérieure du </w:t>
            </w:r>
            <w:r w:rsidRPr="00466183">
              <w:rPr>
                <w:szCs w:val="20"/>
                <w:lang w:val="fr-CA"/>
              </w:rPr>
              <w:lastRenderedPageBreak/>
              <w:t>Québec, numéro 500-17-066381-115, 2011 QCCS 5479 et 2012 QCCS 396, datés du 21 octobre 2011 et du 13 février 2012, est rejetée, faute de compétence.</w:t>
            </w:r>
          </w:p>
        </w:tc>
      </w:tr>
    </w:tbl>
    <w:p w:rsidR="003101AB" w:rsidRPr="0079083D" w:rsidRDefault="003101AB" w:rsidP="003101AB">
      <w:pPr>
        <w:rPr>
          <w:sz w:val="20"/>
          <w:szCs w:val="20"/>
          <w:lang w:val="fr-CA"/>
        </w:rPr>
      </w:pPr>
    </w:p>
    <w:p w:rsidR="003101AB" w:rsidRPr="001B157C" w:rsidRDefault="003101AB" w:rsidP="003101AB">
      <w:pPr>
        <w:rPr>
          <w:sz w:val="20"/>
          <w:szCs w:val="20"/>
          <w:u w:val="single"/>
        </w:rPr>
      </w:pPr>
      <w:r w:rsidRPr="001B157C">
        <w:rPr>
          <w:sz w:val="20"/>
          <w:szCs w:val="20"/>
          <w:u w:val="single"/>
        </w:rPr>
        <w:t>CASE SUMMARY</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5333" w:rsidRPr="00DB4F12" w:rsidTr="00CF3230">
        <w:tc>
          <w:tcPr>
            <w:tcW w:w="5000" w:type="pct"/>
            <w:gridSpan w:val="3"/>
          </w:tcPr>
          <w:p w:rsidR="00815333" w:rsidRPr="00DB4F12" w:rsidRDefault="00815333" w:rsidP="00CF3230">
            <w:pPr>
              <w:jc w:val="both"/>
              <w:rPr>
                <w:sz w:val="20"/>
                <w:szCs w:val="20"/>
              </w:rPr>
            </w:pPr>
            <w:r w:rsidRPr="00DB4F12">
              <w:rPr>
                <w:sz w:val="20"/>
                <w:szCs w:val="20"/>
              </w:rPr>
              <w:t>Civil procedure – Whether lower courts erred.</w:t>
            </w:r>
          </w:p>
        </w:tc>
      </w:tr>
      <w:tr w:rsidR="00815333" w:rsidRPr="00DB4F12" w:rsidTr="00CF3230">
        <w:tc>
          <w:tcPr>
            <w:tcW w:w="5000" w:type="pct"/>
            <w:gridSpan w:val="3"/>
          </w:tcPr>
          <w:p w:rsidR="00815333" w:rsidRPr="00DB4F12" w:rsidRDefault="00815333" w:rsidP="00CF3230">
            <w:pPr>
              <w:jc w:val="both"/>
              <w:rPr>
                <w:sz w:val="20"/>
                <w:szCs w:val="20"/>
              </w:rPr>
            </w:pPr>
          </w:p>
        </w:tc>
      </w:tr>
      <w:tr w:rsidR="00815333" w:rsidRPr="00DB4F12" w:rsidTr="00CF3230">
        <w:tc>
          <w:tcPr>
            <w:tcW w:w="5000" w:type="pct"/>
            <w:gridSpan w:val="3"/>
          </w:tcPr>
          <w:p w:rsidR="00815333" w:rsidRPr="00DB4F12" w:rsidRDefault="00815333" w:rsidP="00CF3230">
            <w:pPr>
              <w:jc w:val="both"/>
              <w:rPr>
                <w:sz w:val="20"/>
                <w:szCs w:val="20"/>
              </w:rPr>
            </w:pPr>
            <w:r w:rsidRPr="00DB4F12">
              <w:rPr>
                <w:sz w:val="20"/>
                <w:szCs w:val="20"/>
              </w:rPr>
              <w:t xml:space="preserve">The applicant, Mr. Liu, worked for the respondent McGill University.  After his position was terminated, he filed a motion to institute judicial proceedings against McGill, alleging, </w:t>
            </w:r>
            <w:r w:rsidRPr="00DB4F12">
              <w:rPr>
                <w:i/>
                <w:sz w:val="20"/>
                <w:szCs w:val="20"/>
              </w:rPr>
              <w:t>inter alia</w:t>
            </w:r>
            <w:r w:rsidRPr="00DB4F12">
              <w:rPr>
                <w:sz w:val="20"/>
                <w:szCs w:val="20"/>
              </w:rPr>
              <w:t>, harassment, discrimination, lack of reasonable accommodation and unpaid leave of absence.  He was unsuccessful.</w:t>
            </w:r>
          </w:p>
          <w:p w:rsidR="00815333" w:rsidRPr="00DB4F12" w:rsidRDefault="00815333" w:rsidP="00CF3230">
            <w:pPr>
              <w:jc w:val="both"/>
              <w:rPr>
                <w:sz w:val="20"/>
                <w:szCs w:val="20"/>
              </w:rPr>
            </w:pPr>
          </w:p>
        </w:tc>
      </w:tr>
      <w:tr w:rsidR="00815333" w:rsidRPr="00DB4F12" w:rsidTr="00CF3230">
        <w:tc>
          <w:tcPr>
            <w:tcW w:w="2427" w:type="pct"/>
          </w:tcPr>
          <w:p w:rsidR="00815333" w:rsidRPr="00DB4F12" w:rsidRDefault="00815333" w:rsidP="00CF3230">
            <w:pPr>
              <w:jc w:val="both"/>
              <w:rPr>
                <w:sz w:val="20"/>
                <w:szCs w:val="20"/>
              </w:rPr>
            </w:pPr>
            <w:r w:rsidRPr="00DB4F12">
              <w:rPr>
                <w:sz w:val="20"/>
                <w:szCs w:val="20"/>
              </w:rPr>
              <w:t>October 21, 2011</w:t>
            </w:r>
          </w:p>
          <w:p w:rsidR="00815333" w:rsidRPr="00DB4F12" w:rsidRDefault="00815333" w:rsidP="00CF3230">
            <w:pPr>
              <w:jc w:val="both"/>
              <w:rPr>
                <w:sz w:val="20"/>
                <w:szCs w:val="20"/>
              </w:rPr>
            </w:pPr>
            <w:r w:rsidRPr="00DB4F12">
              <w:rPr>
                <w:sz w:val="20"/>
                <w:szCs w:val="20"/>
              </w:rPr>
              <w:t>Superior Court of Quebec</w:t>
            </w:r>
          </w:p>
          <w:p w:rsidR="00815333" w:rsidRPr="00DB4F12" w:rsidRDefault="00815333" w:rsidP="00CF3230">
            <w:pPr>
              <w:jc w:val="both"/>
              <w:rPr>
                <w:sz w:val="20"/>
                <w:szCs w:val="20"/>
              </w:rPr>
            </w:pPr>
            <w:r w:rsidRPr="00DB4F12">
              <w:rPr>
                <w:sz w:val="20"/>
                <w:szCs w:val="20"/>
              </w:rPr>
              <w:t>(Dugré J.)</w:t>
            </w: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rPr>
            </w:pPr>
            <w:r w:rsidRPr="00DB4F12">
              <w:rPr>
                <w:sz w:val="20"/>
                <w:szCs w:val="20"/>
              </w:rPr>
              <w:t>Motion to dismiss an action and for declinatory exception granted; motion to institute judicial proceedings dismissed</w:t>
            </w:r>
          </w:p>
          <w:p w:rsidR="00815333" w:rsidRPr="00DB4F12" w:rsidRDefault="00815333" w:rsidP="00CF3230">
            <w:pPr>
              <w:jc w:val="both"/>
              <w:rPr>
                <w:sz w:val="20"/>
                <w:szCs w:val="20"/>
              </w:rPr>
            </w:pPr>
          </w:p>
        </w:tc>
      </w:tr>
      <w:tr w:rsidR="00815333" w:rsidRPr="00DB4F12" w:rsidTr="00CF3230">
        <w:tc>
          <w:tcPr>
            <w:tcW w:w="2427" w:type="pct"/>
          </w:tcPr>
          <w:p w:rsidR="00815333" w:rsidRPr="00DB4F12" w:rsidRDefault="00815333" w:rsidP="00CF3230">
            <w:pPr>
              <w:jc w:val="both"/>
              <w:rPr>
                <w:sz w:val="20"/>
                <w:szCs w:val="20"/>
              </w:rPr>
            </w:pPr>
            <w:r w:rsidRPr="00DB4F12">
              <w:rPr>
                <w:sz w:val="20"/>
                <w:szCs w:val="20"/>
              </w:rPr>
              <w:t>February 13, 2012</w:t>
            </w:r>
          </w:p>
          <w:p w:rsidR="00815333" w:rsidRPr="00DB4F12" w:rsidRDefault="00815333" w:rsidP="00CF3230">
            <w:pPr>
              <w:jc w:val="both"/>
              <w:rPr>
                <w:sz w:val="20"/>
                <w:szCs w:val="20"/>
              </w:rPr>
            </w:pPr>
            <w:r w:rsidRPr="00DB4F12">
              <w:rPr>
                <w:sz w:val="20"/>
                <w:szCs w:val="20"/>
              </w:rPr>
              <w:t>Superior Court of Quebec</w:t>
            </w:r>
          </w:p>
          <w:p w:rsidR="00815333" w:rsidRPr="00DB4F12" w:rsidRDefault="00815333" w:rsidP="00CF3230">
            <w:pPr>
              <w:jc w:val="both"/>
              <w:rPr>
                <w:sz w:val="20"/>
                <w:szCs w:val="20"/>
              </w:rPr>
            </w:pPr>
            <w:r w:rsidRPr="00DB4F12">
              <w:rPr>
                <w:sz w:val="20"/>
                <w:szCs w:val="20"/>
              </w:rPr>
              <w:t>(Therrien J.)</w:t>
            </w: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rPr>
            </w:pPr>
            <w:r w:rsidRPr="00DB4F12">
              <w:rPr>
                <w:sz w:val="20"/>
                <w:szCs w:val="20"/>
              </w:rPr>
              <w:t>Motion to revoke Dugré J.’s judgment dismissed</w:t>
            </w:r>
          </w:p>
          <w:p w:rsidR="00815333" w:rsidRPr="00DB4F12" w:rsidRDefault="00815333" w:rsidP="00CF3230">
            <w:pPr>
              <w:jc w:val="both"/>
              <w:rPr>
                <w:sz w:val="20"/>
                <w:szCs w:val="20"/>
              </w:rPr>
            </w:pPr>
          </w:p>
        </w:tc>
      </w:tr>
      <w:tr w:rsidR="00815333" w:rsidRPr="00DB4F12" w:rsidTr="00CF3230">
        <w:tc>
          <w:tcPr>
            <w:tcW w:w="2427" w:type="pct"/>
          </w:tcPr>
          <w:p w:rsidR="00815333" w:rsidRPr="00DB4F12" w:rsidRDefault="00815333" w:rsidP="00CF3230">
            <w:pPr>
              <w:jc w:val="both"/>
              <w:rPr>
                <w:sz w:val="20"/>
                <w:szCs w:val="20"/>
              </w:rPr>
            </w:pPr>
            <w:r w:rsidRPr="00DB4F12">
              <w:rPr>
                <w:sz w:val="20"/>
                <w:szCs w:val="20"/>
              </w:rPr>
              <w:t>March 13, 2012</w:t>
            </w:r>
          </w:p>
          <w:p w:rsidR="00815333" w:rsidRPr="00DB4F12" w:rsidRDefault="00815333" w:rsidP="00CF3230">
            <w:pPr>
              <w:jc w:val="both"/>
              <w:rPr>
                <w:sz w:val="20"/>
                <w:szCs w:val="20"/>
              </w:rPr>
            </w:pPr>
            <w:r w:rsidRPr="00DB4F12">
              <w:rPr>
                <w:sz w:val="20"/>
                <w:szCs w:val="20"/>
              </w:rPr>
              <w:t>Court of Appeal of Quebec (Montréal)</w:t>
            </w:r>
          </w:p>
          <w:p w:rsidR="00815333" w:rsidRPr="00DB4F12" w:rsidRDefault="00815333" w:rsidP="00CF3230">
            <w:pPr>
              <w:jc w:val="both"/>
              <w:rPr>
                <w:sz w:val="20"/>
                <w:szCs w:val="20"/>
                <w:lang w:val="fr-CA"/>
              </w:rPr>
            </w:pPr>
            <w:r w:rsidRPr="00DB4F12">
              <w:rPr>
                <w:sz w:val="20"/>
                <w:szCs w:val="20"/>
                <w:lang w:val="fr-CA"/>
              </w:rPr>
              <w:t>(Dufresne, Léger and Viens JJ.A.)</w:t>
            </w:r>
          </w:p>
          <w:p w:rsidR="00815333" w:rsidRPr="00DB4F12" w:rsidRDefault="00815333" w:rsidP="00CF3230">
            <w:pPr>
              <w:jc w:val="both"/>
              <w:rPr>
                <w:sz w:val="20"/>
                <w:szCs w:val="20"/>
                <w:lang w:val="fr-CA"/>
              </w:rPr>
            </w:pPr>
            <w:r w:rsidRPr="00DB4F12">
              <w:rPr>
                <w:sz w:val="20"/>
                <w:szCs w:val="20"/>
                <w:lang w:val="fr-CA"/>
              </w:rPr>
              <w:t>500-09-022352-124</w:t>
            </w: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rPr>
            </w:pPr>
            <w:r w:rsidRPr="00DB4F12">
              <w:rPr>
                <w:sz w:val="20"/>
                <w:szCs w:val="20"/>
              </w:rPr>
              <w:t>Motion for leave to appeal the judgment of Dugré J. dismissed; motion to dismiss the appeal granted and appeal dismissed</w:t>
            </w:r>
          </w:p>
          <w:p w:rsidR="00815333" w:rsidRPr="00DB4F12" w:rsidRDefault="00815333" w:rsidP="00CF3230">
            <w:pPr>
              <w:jc w:val="both"/>
              <w:rPr>
                <w:sz w:val="20"/>
                <w:szCs w:val="20"/>
              </w:rPr>
            </w:pPr>
          </w:p>
        </w:tc>
      </w:tr>
      <w:tr w:rsidR="00815333" w:rsidRPr="00DB4F12" w:rsidTr="00CF3230">
        <w:tc>
          <w:tcPr>
            <w:tcW w:w="2427" w:type="pct"/>
          </w:tcPr>
          <w:p w:rsidR="00815333" w:rsidRPr="00DB4F12" w:rsidRDefault="00815333" w:rsidP="00CF3230">
            <w:pPr>
              <w:jc w:val="both"/>
              <w:rPr>
                <w:sz w:val="20"/>
                <w:szCs w:val="20"/>
              </w:rPr>
            </w:pPr>
            <w:r w:rsidRPr="00DB4F12">
              <w:rPr>
                <w:sz w:val="20"/>
                <w:szCs w:val="20"/>
              </w:rPr>
              <w:t>August 7, 2012</w:t>
            </w:r>
          </w:p>
          <w:p w:rsidR="00815333" w:rsidRPr="00DB4F12" w:rsidRDefault="00815333" w:rsidP="00CF3230">
            <w:pPr>
              <w:jc w:val="both"/>
              <w:rPr>
                <w:sz w:val="20"/>
                <w:szCs w:val="20"/>
              </w:rPr>
            </w:pPr>
            <w:r w:rsidRPr="00DB4F12">
              <w:rPr>
                <w:sz w:val="20"/>
                <w:szCs w:val="20"/>
              </w:rPr>
              <w:t>Court of Appeal of Quebec (Montréal)</w:t>
            </w:r>
          </w:p>
          <w:p w:rsidR="00815333" w:rsidRPr="00DB4F12" w:rsidRDefault="00815333" w:rsidP="00CF3230">
            <w:pPr>
              <w:jc w:val="both"/>
              <w:rPr>
                <w:sz w:val="20"/>
                <w:szCs w:val="20"/>
              </w:rPr>
            </w:pPr>
            <w:r w:rsidRPr="00DB4F12">
              <w:rPr>
                <w:sz w:val="20"/>
                <w:szCs w:val="20"/>
              </w:rPr>
              <w:t>(Wagner, Fournier and Gascon JJ.A.)</w:t>
            </w:r>
          </w:p>
          <w:p w:rsidR="00815333" w:rsidRPr="00DB4F12" w:rsidRDefault="00815333" w:rsidP="00CF3230">
            <w:pPr>
              <w:jc w:val="both"/>
              <w:rPr>
                <w:sz w:val="20"/>
                <w:szCs w:val="20"/>
                <w:lang w:val="fr-CA"/>
              </w:rPr>
            </w:pPr>
            <w:r w:rsidRPr="00DB4F12">
              <w:rPr>
                <w:sz w:val="20"/>
                <w:szCs w:val="20"/>
                <w:lang w:val="fr-CA"/>
              </w:rPr>
              <w:t>500-09-022352-124</w:t>
            </w: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rPr>
            </w:pPr>
            <w:r w:rsidRPr="00DB4F12">
              <w:rPr>
                <w:sz w:val="20"/>
                <w:szCs w:val="20"/>
              </w:rPr>
              <w:t>Motion for recusation dismissed; motion to revoke the judgment of the Court of Appeal dated March 13, 2012, dismissed; motion to suspend proceedings dismissed</w:t>
            </w:r>
          </w:p>
          <w:p w:rsidR="00815333" w:rsidRPr="00DB4F12" w:rsidRDefault="00815333" w:rsidP="00CF3230">
            <w:pPr>
              <w:jc w:val="both"/>
              <w:rPr>
                <w:sz w:val="20"/>
                <w:szCs w:val="20"/>
              </w:rPr>
            </w:pPr>
          </w:p>
        </w:tc>
      </w:tr>
      <w:tr w:rsidR="00815333" w:rsidRPr="00DB4F12" w:rsidTr="00CF3230">
        <w:tc>
          <w:tcPr>
            <w:tcW w:w="2427" w:type="pct"/>
          </w:tcPr>
          <w:p w:rsidR="00815333" w:rsidRPr="00DB4F12" w:rsidRDefault="00815333" w:rsidP="00CF3230">
            <w:pPr>
              <w:jc w:val="both"/>
              <w:rPr>
                <w:sz w:val="20"/>
                <w:szCs w:val="20"/>
              </w:rPr>
            </w:pPr>
            <w:r w:rsidRPr="00DB4F12">
              <w:rPr>
                <w:sz w:val="20"/>
                <w:szCs w:val="20"/>
              </w:rPr>
              <w:t>August 7, 2012</w:t>
            </w:r>
          </w:p>
          <w:p w:rsidR="00815333" w:rsidRPr="00DB4F12" w:rsidRDefault="00815333" w:rsidP="00CF3230">
            <w:pPr>
              <w:jc w:val="both"/>
              <w:rPr>
                <w:sz w:val="20"/>
                <w:szCs w:val="20"/>
              </w:rPr>
            </w:pPr>
            <w:r w:rsidRPr="00DB4F12">
              <w:rPr>
                <w:sz w:val="20"/>
                <w:szCs w:val="20"/>
              </w:rPr>
              <w:t>Court of Appeal of Quebec (Montréal)</w:t>
            </w:r>
          </w:p>
          <w:p w:rsidR="00815333" w:rsidRPr="00DB4F12" w:rsidRDefault="00815333" w:rsidP="00CF3230">
            <w:pPr>
              <w:jc w:val="both"/>
              <w:rPr>
                <w:sz w:val="20"/>
                <w:szCs w:val="20"/>
              </w:rPr>
            </w:pPr>
            <w:r w:rsidRPr="00DB4F12">
              <w:rPr>
                <w:sz w:val="20"/>
                <w:szCs w:val="20"/>
              </w:rPr>
              <w:t>(Wagner, Fournier and Gascon JJ.A.)</w:t>
            </w:r>
          </w:p>
          <w:p w:rsidR="00815333" w:rsidRPr="00DB4F12" w:rsidRDefault="00815333" w:rsidP="00CF3230">
            <w:pPr>
              <w:jc w:val="both"/>
              <w:rPr>
                <w:sz w:val="20"/>
                <w:szCs w:val="20"/>
                <w:lang w:val="fr-CA"/>
              </w:rPr>
            </w:pPr>
            <w:r w:rsidRPr="00DB4F12">
              <w:rPr>
                <w:sz w:val="20"/>
                <w:szCs w:val="20"/>
                <w:lang w:val="fr-CA"/>
              </w:rPr>
              <w:t>500-09-022493-126</w:t>
            </w: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rPr>
            </w:pPr>
            <w:r w:rsidRPr="00DB4F12">
              <w:rPr>
                <w:sz w:val="20"/>
                <w:szCs w:val="20"/>
              </w:rPr>
              <w:t>Motion for recusation dismissed; motion to dismiss the appeal from Therrien J.’s judgment granted and appeal dismissed</w:t>
            </w:r>
          </w:p>
          <w:p w:rsidR="00815333" w:rsidRPr="00DB4F12" w:rsidRDefault="00815333" w:rsidP="00CF3230">
            <w:pPr>
              <w:jc w:val="both"/>
              <w:rPr>
                <w:sz w:val="20"/>
                <w:szCs w:val="20"/>
              </w:rPr>
            </w:pPr>
          </w:p>
        </w:tc>
      </w:tr>
      <w:tr w:rsidR="00815333" w:rsidRPr="00DB4F12" w:rsidTr="00CF3230">
        <w:tc>
          <w:tcPr>
            <w:tcW w:w="2427" w:type="pct"/>
          </w:tcPr>
          <w:p w:rsidR="00815333" w:rsidRPr="00DB4F12" w:rsidRDefault="00815333" w:rsidP="00CF3230">
            <w:pPr>
              <w:jc w:val="both"/>
              <w:rPr>
                <w:sz w:val="20"/>
                <w:szCs w:val="20"/>
              </w:rPr>
            </w:pPr>
            <w:r w:rsidRPr="00DB4F12">
              <w:rPr>
                <w:sz w:val="20"/>
                <w:szCs w:val="20"/>
              </w:rPr>
              <w:t>November 23, 2012</w:t>
            </w:r>
          </w:p>
          <w:p w:rsidR="00815333" w:rsidRPr="00DB4F12" w:rsidRDefault="00815333" w:rsidP="00CF3230">
            <w:pPr>
              <w:jc w:val="both"/>
              <w:rPr>
                <w:sz w:val="20"/>
                <w:szCs w:val="20"/>
              </w:rPr>
            </w:pPr>
            <w:r w:rsidRPr="00DB4F12">
              <w:rPr>
                <w:sz w:val="20"/>
                <w:szCs w:val="20"/>
              </w:rPr>
              <w:t>Supreme Court of Canada</w:t>
            </w: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rPr>
            </w:pPr>
            <w:r w:rsidRPr="00DB4F12">
              <w:rPr>
                <w:sz w:val="20"/>
                <w:szCs w:val="20"/>
              </w:rPr>
              <w:t>Motion for an extension of time to file and serve an application for leave to appeal and application for leave to appeal filed</w:t>
            </w:r>
          </w:p>
        </w:tc>
      </w:tr>
    </w:tbl>
    <w:p w:rsidR="003101AB" w:rsidRPr="00C50A5C" w:rsidRDefault="003101AB" w:rsidP="003101AB">
      <w:pPr>
        <w:rPr>
          <w:sz w:val="20"/>
          <w:szCs w:val="20"/>
        </w:rPr>
      </w:pPr>
    </w:p>
    <w:p w:rsidR="003101AB" w:rsidRPr="00C50A5C" w:rsidRDefault="003F21C7" w:rsidP="003101AB">
      <w:pPr>
        <w:rPr>
          <w:sz w:val="20"/>
          <w:szCs w:val="20"/>
        </w:rPr>
      </w:pPr>
      <w:r w:rsidRPr="003F21C7">
        <w:rPr>
          <w:sz w:val="20"/>
          <w:szCs w:val="20"/>
          <w:lang w:val="fr-CA"/>
        </w:rPr>
        <w:pict>
          <v:rect id="_x0000_i1064" style="width:2in;height:1pt" o:hrpct="0" o:hralign="center" o:hrstd="t" o:hrnoshade="t" o:hr="t" fillcolor="black [3213]" stroked="f"/>
        </w:pict>
      </w:r>
    </w:p>
    <w:p w:rsidR="003101AB" w:rsidRDefault="003101AB" w:rsidP="003101AB">
      <w:pPr>
        <w:rPr>
          <w:sz w:val="20"/>
          <w:szCs w:val="20"/>
        </w:rPr>
      </w:pPr>
    </w:p>
    <w:p w:rsidR="003101AB" w:rsidRPr="001B157C" w:rsidRDefault="003101AB" w:rsidP="003101AB">
      <w:pPr>
        <w:rPr>
          <w:sz w:val="20"/>
          <w:szCs w:val="20"/>
          <w:u w:val="single"/>
          <w:lang w:val="fr-CA"/>
        </w:rPr>
      </w:pPr>
      <w:r w:rsidRPr="001B157C">
        <w:rPr>
          <w:sz w:val="20"/>
          <w:szCs w:val="20"/>
          <w:u w:val="single"/>
          <w:lang w:val="fr-CA"/>
        </w:rPr>
        <w:t>RÉSUMÉ DE L’AFFAIRE</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5333" w:rsidRPr="00462F49" w:rsidTr="00CF3230">
        <w:tc>
          <w:tcPr>
            <w:tcW w:w="5000" w:type="pct"/>
            <w:gridSpan w:val="3"/>
          </w:tcPr>
          <w:p w:rsidR="00815333" w:rsidRPr="00DB4F12" w:rsidRDefault="00815333" w:rsidP="00CF3230">
            <w:pPr>
              <w:jc w:val="both"/>
              <w:rPr>
                <w:sz w:val="20"/>
                <w:szCs w:val="20"/>
                <w:lang w:val="fr-FR"/>
              </w:rPr>
            </w:pPr>
            <w:r w:rsidRPr="00DB4F12">
              <w:rPr>
                <w:sz w:val="20"/>
                <w:szCs w:val="20"/>
                <w:lang w:val="fr-FR"/>
              </w:rPr>
              <w:t>Procédure civile – Les juridictions inférieures ont</w:t>
            </w:r>
            <w:r w:rsidRPr="00DB4F12">
              <w:rPr>
                <w:sz w:val="20"/>
                <w:szCs w:val="20"/>
                <w:lang w:val="fr-FR"/>
              </w:rPr>
              <w:noBreakHyphen/>
              <w:t>elles commis des erreurs?</w:t>
            </w:r>
          </w:p>
        </w:tc>
      </w:tr>
      <w:tr w:rsidR="00815333" w:rsidRPr="00462F49" w:rsidTr="00CF3230">
        <w:tc>
          <w:tcPr>
            <w:tcW w:w="5000" w:type="pct"/>
            <w:gridSpan w:val="3"/>
          </w:tcPr>
          <w:p w:rsidR="00815333" w:rsidRPr="00DB4F12" w:rsidRDefault="00815333" w:rsidP="00CF3230">
            <w:pPr>
              <w:jc w:val="both"/>
              <w:rPr>
                <w:sz w:val="20"/>
                <w:szCs w:val="20"/>
                <w:lang w:val="fr-FR"/>
              </w:rPr>
            </w:pPr>
          </w:p>
        </w:tc>
      </w:tr>
      <w:tr w:rsidR="00815333" w:rsidRPr="00DB4F12" w:rsidTr="00CF3230">
        <w:tc>
          <w:tcPr>
            <w:tcW w:w="5000" w:type="pct"/>
            <w:gridSpan w:val="3"/>
          </w:tcPr>
          <w:p w:rsidR="00815333" w:rsidRPr="00DB4F12" w:rsidRDefault="00815333" w:rsidP="00CF3230">
            <w:pPr>
              <w:jc w:val="both"/>
              <w:rPr>
                <w:sz w:val="20"/>
                <w:szCs w:val="20"/>
                <w:lang w:val="fr-FR"/>
              </w:rPr>
            </w:pPr>
            <w:r w:rsidRPr="00DB4F12">
              <w:rPr>
                <w:sz w:val="20"/>
                <w:szCs w:val="20"/>
                <w:lang w:val="fr-FR"/>
              </w:rPr>
              <w:t>Le demandeur, M. Liu, travaillait pour l’Université McGill intimée.  Après l’abolition de son poste, il a déposé une requête introductive d’instance contre l’Université McGill, alléguant entre autres qu’elle l’a harcelé, fait preuve de discrimination envers lui, n’a pas pris de mesures d’adaptation raisonnables à son égard et n’a pas payé son congé.  Il a été débouté.</w:t>
            </w:r>
          </w:p>
          <w:p w:rsidR="00815333" w:rsidRPr="00DB4F12" w:rsidRDefault="00815333" w:rsidP="00CF3230">
            <w:pPr>
              <w:jc w:val="both"/>
              <w:rPr>
                <w:sz w:val="20"/>
                <w:szCs w:val="20"/>
                <w:lang w:val="fr-FR"/>
              </w:rPr>
            </w:pPr>
          </w:p>
        </w:tc>
      </w:tr>
      <w:tr w:rsidR="00815333" w:rsidRPr="00462F49" w:rsidTr="00CF3230">
        <w:tc>
          <w:tcPr>
            <w:tcW w:w="2427" w:type="pct"/>
          </w:tcPr>
          <w:p w:rsidR="00815333" w:rsidRPr="00DB4F12" w:rsidRDefault="00815333" w:rsidP="00CF3230">
            <w:pPr>
              <w:jc w:val="both"/>
              <w:rPr>
                <w:sz w:val="20"/>
                <w:szCs w:val="20"/>
                <w:lang w:val="fr-FR"/>
              </w:rPr>
            </w:pPr>
            <w:r w:rsidRPr="00DB4F12">
              <w:rPr>
                <w:sz w:val="20"/>
                <w:szCs w:val="20"/>
                <w:lang w:val="fr-FR"/>
              </w:rPr>
              <w:lastRenderedPageBreak/>
              <w:t>21 octobre 2011</w:t>
            </w:r>
          </w:p>
          <w:p w:rsidR="00815333" w:rsidRPr="00DB4F12" w:rsidRDefault="00815333" w:rsidP="00CF3230">
            <w:pPr>
              <w:jc w:val="both"/>
              <w:rPr>
                <w:sz w:val="20"/>
                <w:szCs w:val="20"/>
                <w:lang w:val="fr-FR"/>
              </w:rPr>
            </w:pPr>
            <w:r w:rsidRPr="00DB4F12">
              <w:rPr>
                <w:sz w:val="20"/>
                <w:szCs w:val="20"/>
                <w:lang w:val="fr-FR"/>
              </w:rPr>
              <w:t>Cour supérieure du Québec</w:t>
            </w:r>
          </w:p>
          <w:p w:rsidR="00815333" w:rsidRPr="00DB4F12" w:rsidRDefault="00815333" w:rsidP="00CF3230">
            <w:pPr>
              <w:jc w:val="both"/>
              <w:rPr>
                <w:sz w:val="20"/>
                <w:szCs w:val="20"/>
                <w:lang w:val="fr-FR"/>
              </w:rPr>
            </w:pPr>
            <w:r w:rsidRPr="00DB4F12">
              <w:rPr>
                <w:sz w:val="20"/>
                <w:szCs w:val="20"/>
                <w:lang w:val="fr-FR"/>
              </w:rPr>
              <w:t>(Juge Dugré)</w:t>
            </w:r>
          </w:p>
          <w:p w:rsidR="00815333" w:rsidRPr="00DB4F12" w:rsidRDefault="00815333" w:rsidP="00CF3230">
            <w:pPr>
              <w:jc w:val="both"/>
              <w:rPr>
                <w:sz w:val="20"/>
                <w:szCs w:val="20"/>
                <w:lang w:val="fr-FR"/>
              </w:rPr>
            </w:pPr>
          </w:p>
        </w:tc>
        <w:tc>
          <w:tcPr>
            <w:tcW w:w="243" w:type="pct"/>
          </w:tcPr>
          <w:p w:rsidR="00815333" w:rsidRPr="00DB4F12" w:rsidRDefault="00815333" w:rsidP="00CF3230">
            <w:pPr>
              <w:jc w:val="both"/>
              <w:rPr>
                <w:sz w:val="20"/>
                <w:szCs w:val="20"/>
                <w:lang w:val="fr-FR"/>
              </w:rPr>
            </w:pPr>
          </w:p>
        </w:tc>
        <w:tc>
          <w:tcPr>
            <w:tcW w:w="2330" w:type="pct"/>
          </w:tcPr>
          <w:p w:rsidR="00815333" w:rsidRPr="00DB4F12" w:rsidRDefault="00815333" w:rsidP="00CF3230">
            <w:pPr>
              <w:jc w:val="both"/>
              <w:rPr>
                <w:sz w:val="20"/>
                <w:szCs w:val="20"/>
                <w:lang w:val="fr-FR"/>
              </w:rPr>
            </w:pPr>
            <w:r w:rsidRPr="00DB4F12">
              <w:rPr>
                <w:sz w:val="20"/>
                <w:szCs w:val="20"/>
                <w:lang w:val="fr-FR"/>
              </w:rPr>
              <w:t>Requête en rejet de l’action et en exception déclinatoire accueillie; requête introductive d’instance rejetée</w:t>
            </w:r>
          </w:p>
          <w:p w:rsidR="00815333" w:rsidRPr="00DB4F12" w:rsidRDefault="00815333" w:rsidP="00CF3230">
            <w:pPr>
              <w:jc w:val="both"/>
              <w:rPr>
                <w:sz w:val="20"/>
                <w:szCs w:val="20"/>
                <w:lang w:val="fr-FR"/>
              </w:rPr>
            </w:pPr>
          </w:p>
        </w:tc>
      </w:tr>
      <w:tr w:rsidR="00815333" w:rsidRPr="00462F49" w:rsidTr="00CF3230">
        <w:tc>
          <w:tcPr>
            <w:tcW w:w="2427" w:type="pct"/>
          </w:tcPr>
          <w:p w:rsidR="00815333" w:rsidRPr="00DB4F12" w:rsidRDefault="00815333" w:rsidP="00CF3230">
            <w:pPr>
              <w:jc w:val="both"/>
              <w:rPr>
                <w:sz w:val="20"/>
                <w:szCs w:val="20"/>
                <w:lang w:val="fr-FR"/>
              </w:rPr>
            </w:pPr>
            <w:r w:rsidRPr="00DB4F12">
              <w:rPr>
                <w:sz w:val="20"/>
                <w:szCs w:val="20"/>
                <w:lang w:val="fr-FR"/>
              </w:rPr>
              <w:t>13 février 2012</w:t>
            </w:r>
          </w:p>
          <w:p w:rsidR="00815333" w:rsidRPr="00DB4F12" w:rsidRDefault="00815333" w:rsidP="00CF3230">
            <w:pPr>
              <w:jc w:val="both"/>
              <w:rPr>
                <w:sz w:val="20"/>
                <w:szCs w:val="20"/>
                <w:lang w:val="fr-FR"/>
              </w:rPr>
            </w:pPr>
            <w:r w:rsidRPr="00DB4F12">
              <w:rPr>
                <w:sz w:val="20"/>
                <w:szCs w:val="20"/>
                <w:lang w:val="fr-FR"/>
              </w:rPr>
              <w:t>Cour supérieure du Québec</w:t>
            </w:r>
          </w:p>
          <w:p w:rsidR="00815333" w:rsidRPr="00DB4F12" w:rsidRDefault="00815333" w:rsidP="00CF3230">
            <w:pPr>
              <w:jc w:val="both"/>
              <w:rPr>
                <w:sz w:val="20"/>
                <w:szCs w:val="20"/>
                <w:lang w:val="fr-CA"/>
              </w:rPr>
            </w:pPr>
            <w:r w:rsidRPr="00DB4F12">
              <w:rPr>
                <w:sz w:val="20"/>
                <w:szCs w:val="20"/>
                <w:lang w:val="fr-CA"/>
              </w:rPr>
              <w:t>(Juge Therrien)</w:t>
            </w:r>
          </w:p>
          <w:p w:rsidR="00815333" w:rsidRPr="00DB4F12" w:rsidRDefault="00815333" w:rsidP="00CF3230">
            <w:pPr>
              <w:jc w:val="both"/>
              <w:rPr>
                <w:sz w:val="20"/>
                <w:szCs w:val="20"/>
                <w:lang w:val="fr-CA"/>
              </w:rPr>
            </w:pPr>
          </w:p>
        </w:tc>
        <w:tc>
          <w:tcPr>
            <w:tcW w:w="243" w:type="pct"/>
          </w:tcPr>
          <w:p w:rsidR="00815333" w:rsidRPr="00DB4F12" w:rsidRDefault="00815333" w:rsidP="00CF3230">
            <w:pPr>
              <w:jc w:val="both"/>
              <w:rPr>
                <w:sz w:val="20"/>
                <w:szCs w:val="20"/>
                <w:lang w:val="fr-CA"/>
              </w:rPr>
            </w:pPr>
          </w:p>
        </w:tc>
        <w:tc>
          <w:tcPr>
            <w:tcW w:w="2330" w:type="pct"/>
          </w:tcPr>
          <w:p w:rsidR="00815333" w:rsidRPr="00DB4F12" w:rsidRDefault="00815333" w:rsidP="00CF3230">
            <w:pPr>
              <w:jc w:val="both"/>
              <w:rPr>
                <w:sz w:val="20"/>
                <w:szCs w:val="20"/>
                <w:lang w:val="fr-FR"/>
              </w:rPr>
            </w:pPr>
            <w:r w:rsidRPr="00DB4F12">
              <w:rPr>
                <w:sz w:val="20"/>
                <w:szCs w:val="20"/>
                <w:lang w:val="fr-FR"/>
              </w:rPr>
              <w:t>Requête en révocation du jugement du juge Dugré rejetée</w:t>
            </w:r>
          </w:p>
          <w:p w:rsidR="00815333" w:rsidRPr="00DB4F12" w:rsidRDefault="00815333" w:rsidP="00CF3230">
            <w:pPr>
              <w:jc w:val="both"/>
              <w:rPr>
                <w:sz w:val="20"/>
                <w:szCs w:val="20"/>
                <w:lang w:val="fr-FR"/>
              </w:rPr>
            </w:pPr>
          </w:p>
        </w:tc>
      </w:tr>
      <w:tr w:rsidR="00815333" w:rsidRPr="00462F49" w:rsidTr="00CF3230">
        <w:tc>
          <w:tcPr>
            <w:tcW w:w="2427" w:type="pct"/>
          </w:tcPr>
          <w:p w:rsidR="00815333" w:rsidRPr="00DB4F12" w:rsidRDefault="00815333" w:rsidP="00CF3230">
            <w:pPr>
              <w:jc w:val="both"/>
              <w:rPr>
                <w:sz w:val="20"/>
                <w:szCs w:val="20"/>
                <w:lang w:val="fr-FR"/>
              </w:rPr>
            </w:pPr>
            <w:r w:rsidRPr="00DB4F12">
              <w:rPr>
                <w:sz w:val="20"/>
                <w:szCs w:val="20"/>
                <w:lang w:val="fr-FR"/>
              </w:rPr>
              <w:t>13 mars 2012</w:t>
            </w:r>
          </w:p>
          <w:p w:rsidR="00815333" w:rsidRPr="00DB4F12" w:rsidRDefault="00815333" w:rsidP="00CF3230">
            <w:pPr>
              <w:jc w:val="both"/>
              <w:rPr>
                <w:sz w:val="20"/>
                <w:szCs w:val="20"/>
                <w:lang w:val="fr-FR"/>
              </w:rPr>
            </w:pPr>
            <w:r w:rsidRPr="00DB4F12">
              <w:rPr>
                <w:sz w:val="20"/>
                <w:szCs w:val="20"/>
                <w:lang w:val="fr-FR"/>
              </w:rPr>
              <w:t>Cour d’appel du Québec (Montréal)</w:t>
            </w:r>
          </w:p>
          <w:p w:rsidR="00815333" w:rsidRPr="00DB4F12" w:rsidRDefault="00815333" w:rsidP="00CF3230">
            <w:pPr>
              <w:jc w:val="both"/>
              <w:rPr>
                <w:sz w:val="20"/>
                <w:szCs w:val="20"/>
                <w:lang w:val="fr-CA"/>
              </w:rPr>
            </w:pPr>
            <w:r w:rsidRPr="00DB4F12">
              <w:rPr>
                <w:sz w:val="20"/>
                <w:szCs w:val="20"/>
                <w:lang w:val="fr-CA"/>
              </w:rPr>
              <w:t>(Juges Dufresne, Léger et Viens)</w:t>
            </w:r>
          </w:p>
          <w:p w:rsidR="00815333" w:rsidRPr="00DB4F12" w:rsidRDefault="00815333" w:rsidP="00CF3230">
            <w:pPr>
              <w:jc w:val="both"/>
              <w:rPr>
                <w:sz w:val="20"/>
                <w:szCs w:val="20"/>
                <w:lang w:val="fr-CA"/>
              </w:rPr>
            </w:pPr>
            <w:r w:rsidRPr="00DB4F12">
              <w:rPr>
                <w:sz w:val="20"/>
                <w:szCs w:val="20"/>
                <w:lang w:val="fr-CA"/>
              </w:rPr>
              <w:t>500</w:t>
            </w:r>
            <w:r w:rsidRPr="00DB4F12">
              <w:rPr>
                <w:sz w:val="20"/>
                <w:szCs w:val="20"/>
                <w:lang w:val="fr-CA"/>
              </w:rPr>
              <w:noBreakHyphen/>
              <w:t>09</w:t>
            </w:r>
            <w:r w:rsidRPr="00DB4F12">
              <w:rPr>
                <w:sz w:val="20"/>
                <w:szCs w:val="20"/>
                <w:lang w:val="fr-CA"/>
              </w:rPr>
              <w:noBreakHyphen/>
              <w:t>022352</w:t>
            </w:r>
            <w:r w:rsidRPr="00DB4F12">
              <w:rPr>
                <w:sz w:val="20"/>
                <w:szCs w:val="20"/>
                <w:lang w:val="fr-CA"/>
              </w:rPr>
              <w:noBreakHyphen/>
              <w:t>124</w:t>
            </w: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lang w:val="fr-FR"/>
              </w:rPr>
            </w:pPr>
            <w:r w:rsidRPr="00DB4F12">
              <w:rPr>
                <w:sz w:val="20"/>
                <w:szCs w:val="20"/>
                <w:lang w:val="fr-FR"/>
              </w:rPr>
              <w:t>Requête en autorisation d’appel du jugement du juge Dugré rejetée; requête en rejet de l’appel accueillie et appel rejeté</w:t>
            </w:r>
          </w:p>
          <w:p w:rsidR="00815333" w:rsidRPr="00DB4F12" w:rsidRDefault="00815333" w:rsidP="00CF3230">
            <w:pPr>
              <w:jc w:val="both"/>
              <w:rPr>
                <w:sz w:val="20"/>
                <w:szCs w:val="20"/>
                <w:lang w:val="fr-FR"/>
              </w:rPr>
            </w:pPr>
          </w:p>
        </w:tc>
      </w:tr>
      <w:tr w:rsidR="00815333" w:rsidRPr="00462F49" w:rsidTr="00CF3230">
        <w:tc>
          <w:tcPr>
            <w:tcW w:w="2427" w:type="pct"/>
          </w:tcPr>
          <w:p w:rsidR="00815333" w:rsidRPr="00DB4F12" w:rsidRDefault="00815333" w:rsidP="00CF3230">
            <w:pPr>
              <w:jc w:val="both"/>
              <w:rPr>
                <w:sz w:val="20"/>
                <w:szCs w:val="20"/>
                <w:lang w:val="fr-FR"/>
              </w:rPr>
            </w:pPr>
            <w:r w:rsidRPr="00DB4F12">
              <w:rPr>
                <w:sz w:val="20"/>
                <w:szCs w:val="20"/>
                <w:lang w:val="fr-FR"/>
              </w:rPr>
              <w:t>7 août 2012</w:t>
            </w:r>
          </w:p>
          <w:p w:rsidR="00815333" w:rsidRPr="00DB4F12" w:rsidRDefault="00815333" w:rsidP="00CF3230">
            <w:pPr>
              <w:jc w:val="both"/>
              <w:rPr>
                <w:sz w:val="20"/>
                <w:szCs w:val="20"/>
                <w:lang w:val="fr-FR"/>
              </w:rPr>
            </w:pPr>
            <w:r w:rsidRPr="00DB4F12">
              <w:rPr>
                <w:sz w:val="20"/>
                <w:szCs w:val="20"/>
                <w:lang w:val="fr-FR"/>
              </w:rPr>
              <w:t>Cour d’appel du Québec (Montréal)</w:t>
            </w:r>
          </w:p>
          <w:p w:rsidR="00815333" w:rsidRPr="00DB4F12" w:rsidRDefault="00815333" w:rsidP="00CF3230">
            <w:pPr>
              <w:jc w:val="both"/>
              <w:rPr>
                <w:sz w:val="20"/>
                <w:szCs w:val="20"/>
                <w:lang w:val="fr-FR"/>
              </w:rPr>
            </w:pPr>
            <w:r w:rsidRPr="00DB4F12">
              <w:rPr>
                <w:sz w:val="20"/>
                <w:szCs w:val="20"/>
                <w:lang w:val="fr-FR"/>
              </w:rPr>
              <w:t>(Juges Wagner, Fournier et Gascon)</w:t>
            </w:r>
          </w:p>
          <w:p w:rsidR="00815333" w:rsidRPr="00DB4F12" w:rsidRDefault="00815333" w:rsidP="00CF3230">
            <w:pPr>
              <w:jc w:val="both"/>
              <w:rPr>
                <w:sz w:val="20"/>
                <w:szCs w:val="20"/>
                <w:lang w:val="fr-CA"/>
              </w:rPr>
            </w:pPr>
            <w:r w:rsidRPr="00DB4F12">
              <w:rPr>
                <w:sz w:val="20"/>
                <w:szCs w:val="20"/>
                <w:lang w:val="fr-CA"/>
              </w:rPr>
              <w:t>500</w:t>
            </w:r>
            <w:r w:rsidRPr="00DB4F12">
              <w:rPr>
                <w:sz w:val="20"/>
                <w:szCs w:val="20"/>
                <w:lang w:val="fr-CA"/>
              </w:rPr>
              <w:noBreakHyphen/>
              <w:t>09</w:t>
            </w:r>
            <w:r w:rsidRPr="00DB4F12">
              <w:rPr>
                <w:sz w:val="20"/>
                <w:szCs w:val="20"/>
                <w:lang w:val="fr-CA"/>
              </w:rPr>
              <w:noBreakHyphen/>
              <w:t>022352</w:t>
            </w:r>
            <w:r w:rsidRPr="00DB4F12">
              <w:rPr>
                <w:sz w:val="20"/>
                <w:szCs w:val="20"/>
                <w:lang w:val="fr-CA"/>
              </w:rPr>
              <w:noBreakHyphen/>
              <w:t>124</w:t>
            </w: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lang w:val="fr-FR"/>
              </w:rPr>
            </w:pPr>
            <w:r w:rsidRPr="00DB4F12">
              <w:rPr>
                <w:sz w:val="20"/>
                <w:szCs w:val="20"/>
                <w:lang w:val="fr-FR"/>
              </w:rPr>
              <w:t>Requête en récusation rejetée; requête en rejet du jugement de la Cour d’appel daté du 13 mars 2012 rejetée; requête en suspension de l’instance rejetée</w:t>
            </w:r>
          </w:p>
          <w:p w:rsidR="00815333" w:rsidRPr="00DB4F12" w:rsidRDefault="00815333" w:rsidP="00CF3230">
            <w:pPr>
              <w:jc w:val="both"/>
              <w:rPr>
                <w:sz w:val="20"/>
                <w:szCs w:val="20"/>
                <w:lang w:val="fr-FR"/>
              </w:rPr>
            </w:pPr>
          </w:p>
        </w:tc>
      </w:tr>
      <w:tr w:rsidR="00815333" w:rsidRPr="00CB72E7" w:rsidTr="00CF3230">
        <w:tc>
          <w:tcPr>
            <w:tcW w:w="2427" w:type="pct"/>
          </w:tcPr>
          <w:p w:rsidR="00815333" w:rsidRPr="00DB4F12" w:rsidRDefault="00815333" w:rsidP="00CF3230">
            <w:pPr>
              <w:jc w:val="both"/>
              <w:rPr>
                <w:sz w:val="20"/>
                <w:szCs w:val="20"/>
                <w:lang w:val="fr-FR"/>
              </w:rPr>
            </w:pPr>
            <w:r w:rsidRPr="00DB4F12">
              <w:rPr>
                <w:sz w:val="20"/>
                <w:szCs w:val="20"/>
                <w:lang w:val="fr-FR"/>
              </w:rPr>
              <w:t>7 août 2012</w:t>
            </w:r>
          </w:p>
          <w:p w:rsidR="00815333" w:rsidRPr="00DB4F12" w:rsidRDefault="00815333" w:rsidP="00CF3230">
            <w:pPr>
              <w:jc w:val="both"/>
              <w:rPr>
                <w:sz w:val="20"/>
                <w:szCs w:val="20"/>
                <w:lang w:val="fr-FR"/>
              </w:rPr>
            </w:pPr>
            <w:r w:rsidRPr="00DB4F12">
              <w:rPr>
                <w:sz w:val="20"/>
                <w:szCs w:val="20"/>
                <w:lang w:val="fr-FR"/>
              </w:rPr>
              <w:t>Cour d’appel du Québec (Montréal)</w:t>
            </w:r>
          </w:p>
          <w:p w:rsidR="00815333" w:rsidRPr="00DB4F12" w:rsidRDefault="00815333" w:rsidP="00CF3230">
            <w:pPr>
              <w:jc w:val="both"/>
              <w:rPr>
                <w:sz w:val="20"/>
                <w:szCs w:val="20"/>
                <w:lang w:val="fr-FR"/>
              </w:rPr>
            </w:pPr>
            <w:r w:rsidRPr="00DB4F12">
              <w:rPr>
                <w:sz w:val="20"/>
                <w:szCs w:val="20"/>
                <w:lang w:val="fr-FR"/>
              </w:rPr>
              <w:t>(Juges Wagner, Fournier et Gascon)</w:t>
            </w:r>
          </w:p>
          <w:p w:rsidR="00815333" w:rsidRPr="00DB4F12" w:rsidRDefault="00815333" w:rsidP="00CF3230">
            <w:pPr>
              <w:jc w:val="both"/>
              <w:rPr>
                <w:sz w:val="20"/>
                <w:szCs w:val="20"/>
                <w:lang w:val="fr-CA"/>
              </w:rPr>
            </w:pPr>
            <w:r w:rsidRPr="00DB4F12">
              <w:rPr>
                <w:sz w:val="20"/>
                <w:szCs w:val="20"/>
                <w:lang w:val="fr-CA"/>
              </w:rPr>
              <w:t>500</w:t>
            </w:r>
            <w:r w:rsidRPr="00DB4F12">
              <w:rPr>
                <w:sz w:val="20"/>
                <w:szCs w:val="20"/>
                <w:lang w:val="fr-CA"/>
              </w:rPr>
              <w:noBreakHyphen/>
              <w:t>09</w:t>
            </w:r>
            <w:r w:rsidRPr="00DB4F12">
              <w:rPr>
                <w:sz w:val="20"/>
                <w:szCs w:val="20"/>
                <w:lang w:val="fr-CA"/>
              </w:rPr>
              <w:noBreakHyphen/>
              <w:t>022493</w:t>
            </w:r>
            <w:r w:rsidRPr="00DB4F12">
              <w:rPr>
                <w:sz w:val="20"/>
                <w:szCs w:val="20"/>
                <w:lang w:val="fr-CA"/>
              </w:rPr>
              <w:noBreakHyphen/>
              <w:t>126</w:t>
            </w: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lang w:val="fr-FR"/>
              </w:rPr>
            </w:pPr>
            <w:r w:rsidRPr="00DB4F12">
              <w:rPr>
                <w:sz w:val="20"/>
                <w:szCs w:val="20"/>
                <w:lang w:val="fr-FR"/>
              </w:rPr>
              <w:t>Requête en récusation rejetée; requête en rejet de l’appel du jugement du juge Therrien accueillie et appel rejeté</w:t>
            </w:r>
          </w:p>
          <w:p w:rsidR="00815333" w:rsidRPr="00DB4F12" w:rsidRDefault="00815333" w:rsidP="00CF3230">
            <w:pPr>
              <w:jc w:val="both"/>
              <w:rPr>
                <w:sz w:val="20"/>
                <w:szCs w:val="20"/>
                <w:lang w:val="fr-FR"/>
              </w:rPr>
            </w:pPr>
          </w:p>
        </w:tc>
      </w:tr>
      <w:tr w:rsidR="00815333" w:rsidRPr="00CB72E7" w:rsidTr="00CF3230">
        <w:tc>
          <w:tcPr>
            <w:tcW w:w="2427" w:type="pct"/>
          </w:tcPr>
          <w:p w:rsidR="00815333" w:rsidRPr="00DB4F12" w:rsidRDefault="00815333" w:rsidP="00CF3230">
            <w:pPr>
              <w:jc w:val="both"/>
              <w:rPr>
                <w:sz w:val="20"/>
                <w:szCs w:val="20"/>
              </w:rPr>
            </w:pPr>
            <w:r w:rsidRPr="00DB4F12">
              <w:rPr>
                <w:sz w:val="20"/>
                <w:szCs w:val="20"/>
              </w:rPr>
              <w:t>23 novembre 2012</w:t>
            </w:r>
          </w:p>
          <w:p w:rsidR="00815333" w:rsidRPr="00DB4F12" w:rsidRDefault="00815333" w:rsidP="00CF3230">
            <w:pPr>
              <w:jc w:val="both"/>
              <w:rPr>
                <w:sz w:val="20"/>
                <w:szCs w:val="20"/>
              </w:rPr>
            </w:pPr>
            <w:r w:rsidRPr="00DB4F12">
              <w:rPr>
                <w:sz w:val="20"/>
                <w:szCs w:val="20"/>
              </w:rPr>
              <w:t>Cour suprême du Canada</w:t>
            </w: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lang w:val="fr-FR"/>
              </w:rPr>
            </w:pPr>
            <w:r w:rsidRPr="00DB4F12">
              <w:rPr>
                <w:sz w:val="20"/>
                <w:szCs w:val="20"/>
                <w:lang w:val="fr-FR"/>
              </w:rPr>
              <w:t>Requête en prorogation du délai pour déposer et signifier une demande d’autorisation d’appel et demande d’autorisation d’appel déposée</w:t>
            </w:r>
          </w:p>
        </w:tc>
      </w:tr>
    </w:tbl>
    <w:p w:rsidR="003101AB" w:rsidRPr="00815333" w:rsidRDefault="003101AB" w:rsidP="003101AB">
      <w:pPr>
        <w:rPr>
          <w:sz w:val="20"/>
          <w:szCs w:val="20"/>
          <w:lang w:val="fr-CA"/>
        </w:rPr>
      </w:pPr>
    </w:p>
    <w:p w:rsidR="003101AB" w:rsidRDefault="003F21C7" w:rsidP="003101AB">
      <w:pPr>
        <w:rPr>
          <w:sz w:val="20"/>
          <w:szCs w:val="20"/>
          <w:lang w:val="fr-CA"/>
        </w:rPr>
      </w:pPr>
      <w:r w:rsidRPr="003F21C7">
        <w:rPr>
          <w:sz w:val="20"/>
          <w:szCs w:val="20"/>
          <w:lang w:val="fr-CA"/>
        </w:rPr>
        <w:pict>
          <v:rect id="_x0000_i1065" style="width:2in;height:1pt" o:hrpct="0" o:hralign="center" o:hrstd="t" o:hrnoshade="t" o:hr="t" fillcolor="black [3213]" stroked="f"/>
        </w:pict>
      </w:r>
    </w:p>
    <w:p w:rsidR="003101AB" w:rsidRDefault="003101AB" w:rsidP="003101A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E2913" w:rsidRPr="00FE2913" w:rsidTr="00DD7751">
        <w:trPr>
          <w:cantSplit/>
        </w:trPr>
        <w:tc>
          <w:tcPr>
            <w:tcW w:w="1458" w:type="dxa"/>
          </w:tcPr>
          <w:p w:rsidR="00FE2913" w:rsidRPr="00FE2913" w:rsidRDefault="00FE2913" w:rsidP="00DD7751">
            <w:pPr>
              <w:rPr>
                <w:sz w:val="20"/>
                <w:szCs w:val="20"/>
              </w:rPr>
            </w:pPr>
            <w:r w:rsidRPr="00FE2913">
              <w:rPr>
                <w:rStyle w:val="SCCFileNumberChar"/>
                <w:sz w:val="20"/>
                <w:szCs w:val="20"/>
              </w:rPr>
              <w:t>35136</w:t>
            </w:r>
          </w:p>
          <w:p w:rsidR="00FE2913" w:rsidRPr="00FE2913" w:rsidRDefault="00FE2913" w:rsidP="00DD7751">
            <w:pPr>
              <w:rPr>
                <w:b/>
                <w:sz w:val="20"/>
                <w:szCs w:val="20"/>
                <w:lang w:val="fr-CA"/>
              </w:rPr>
            </w:pPr>
          </w:p>
        </w:tc>
        <w:tc>
          <w:tcPr>
            <w:tcW w:w="8118" w:type="dxa"/>
          </w:tcPr>
          <w:p w:rsidR="00FE2913" w:rsidRPr="00FE2913" w:rsidRDefault="00FE2913" w:rsidP="00FE2913">
            <w:pPr>
              <w:jc w:val="both"/>
              <w:rPr>
                <w:sz w:val="20"/>
                <w:szCs w:val="20"/>
              </w:rPr>
            </w:pPr>
            <w:r w:rsidRPr="00FE2913">
              <w:rPr>
                <w:rStyle w:val="SCCLsocChar"/>
                <w:sz w:val="20"/>
                <w:szCs w:val="20"/>
                <w:lang w:val="en-CA"/>
              </w:rPr>
              <w:t>Attorney General of Canada (On Behalf of the United States of America) v. Rejean Gionet</w:t>
            </w:r>
            <w:r w:rsidRPr="00FE2913">
              <w:rPr>
                <w:sz w:val="20"/>
                <w:szCs w:val="20"/>
              </w:rPr>
              <w:t xml:space="preserve"> (Ont.) (Criminal) (By Leave)</w:t>
            </w:r>
          </w:p>
          <w:p w:rsidR="00FE2913" w:rsidRPr="00FE2913" w:rsidRDefault="00FE2913" w:rsidP="00FE2913">
            <w:pPr>
              <w:jc w:val="both"/>
              <w:rPr>
                <w:sz w:val="20"/>
                <w:szCs w:val="20"/>
              </w:rPr>
            </w:pPr>
          </w:p>
        </w:tc>
      </w:tr>
      <w:tr w:rsidR="00FE2913" w:rsidRPr="00FE2913" w:rsidTr="00DD7751">
        <w:trPr>
          <w:cantSplit/>
        </w:trPr>
        <w:tc>
          <w:tcPr>
            <w:tcW w:w="1458" w:type="dxa"/>
          </w:tcPr>
          <w:p w:rsidR="00FE2913" w:rsidRPr="00FE2913" w:rsidRDefault="00FE2913" w:rsidP="00DD7751">
            <w:pPr>
              <w:rPr>
                <w:sz w:val="20"/>
                <w:szCs w:val="20"/>
              </w:rPr>
            </w:pPr>
            <w:r w:rsidRPr="00FE2913">
              <w:rPr>
                <w:sz w:val="20"/>
                <w:szCs w:val="20"/>
              </w:rPr>
              <w:t>Coram :</w:t>
            </w:r>
          </w:p>
        </w:tc>
        <w:tc>
          <w:tcPr>
            <w:tcW w:w="8118" w:type="dxa"/>
          </w:tcPr>
          <w:p w:rsidR="00FE2913" w:rsidRPr="00FE2913" w:rsidRDefault="00FE2913" w:rsidP="00DD7751">
            <w:pPr>
              <w:rPr>
                <w:sz w:val="20"/>
                <w:szCs w:val="20"/>
              </w:rPr>
            </w:pPr>
            <w:r w:rsidRPr="00FE2913">
              <w:rPr>
                <w:rStyle w:val="SCCCoramChar"/>
                <w:sz w:val="20"/>
                <w:szCs w:val="20"/>
                <w:lang w:val="en-CA"/>
              </w:rPr>
              <w:t>McLachlin C.J. and Abella and Cromwell JJ.</w:t>
            </w:r>
          </w:p>
          <w:p w:rsidR="00FE2913" w:rsidRPr="00FE2913" w:rsidRDefault="00FE2913" w:rsidP="00DD7751">
            <w:pPr>
              <w:rPr>
                <w:sz w:val="20"/>
                <w:szCs w:val="20"/>
                <w:u w:val="single"/>
              </w:rPr>
            </w:pPr>
          </w:p>
        </w:tc>
      </w:tr>
      <w:tr w:rsidR="00FE2913" w:rsidRPr="00CB72E7" w:rsidTr="00DD7751">
        <w:trPr>
          <w:cantSplit/>
        </w:trPr>
        <w:tc>
          <w:tcPr>
            <w:tcW w:w="9576" w:type="dxa"/>
            <w:gridSpan w:val="2"/>
          </w:tcPr>
          <w:p w:rsidR="00FE2913" w:rsidRPr="00FE2913" w:rsidRDefault="00FE2913" w:rsidP="00DD7751">
            <w:pPr>
              <w:pStyle w:val="SCCShortJudgment"/>
              <w:rPr>
                <w:szCs w:val="20"/>
              </w:rPr>
            </w:pPr>
            <w:r w:rsidRPr="00FE2913">
              <w:rPr>
                <w:szCs w:val="20"/>
              </w:rPr>
              <w:t>The application for leave to appeal from the judgment of the Court of Appeal for Ontario, Number C54112, 2012 ONCA 622, dated September 21, 2012, is dismissed without costs.</w:t>
            </w:r>
          </w:p>
          <w:p w:rsidR="00FE2913" w:rsidRPr="00FE2913" w:rsidRDefault="00FE2913" w:rsidP="00DD7751">
            <w:pPr>
              <w:pStyle w:val="SCCShortJudgment"/>
              <w:ind w:firstLine="0"/>
              <w:rPr>
                <w:szCs w:val="20"/>
              </w:rPr>
            </w:pPr>
          </w:p>
          <w:p w:rsidR="00FE2913" w:rsidRPr="00FE2913" w:rsidRDefault="00FE2913" w:rsidP="00DD7751">
            <w:pPr>
              <w:pStyle w:val="SCCShortJudgment"/>
              <w:rPr>
                <w:szCs w:val="20"/>
                <w:lang w:val="fr-CA"/>
              </w:rPr>
            </w:pPr>
            <w:r w:rsidRPr="00FE2913">
              <w:rPr>
                <w:szCs w:val="20"/>
                <w:lang w:val="fr-CA"/>
              </w:rPr>
              <w:t>La demande d’autorisation d’appel de l’arrêt de la Cour d’appel de l’Ontario, numéro C54112, 2012 ONCA 622, daté du 21 septembre 2012, est rejetée sans dépens.</w:t>
            </w:r>
          </w:p>
        </w:tc>
      </w:tr>
    </w:tbl>
    <w:p w:rsidR="003101AB" w:rsidRPr="00FE2913" w:rsidRDefault="003101AB" w:rsidP="003101AB">
      <w:pPr>
        <w:rPr>
          <w:sz w:val="20"/>
          <w:szCs w:val="20"/>
          <w:lang w:val="fr-CA"/>
        </w:rPr>
      </w:pPr>
    </w:p>
    <w:p w:rsidR="003101AB" w:rsidRPr="001B157C" w:rsidRDefault="003101AB" w:rsidP="003101AB">
      <w:pPr>
        <w:rPr>
          <w:sz w:val="20"/>
          <w:szCs w:val="20"/>
          <w:u w:val="single"/>
        </w:rPr>
      </w:pPr>
      <w:r w:rsidRPr="001B157C">
        <w:rPr>
          <w:sz w:val="20"/>
          <w:szCs w:val="20"/>
          <w:u w:val="single"/>
        </w:rPr>
        <w:t>CASE SUMMARY</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5333" w:rsidRPr="00DB4F12" w:rsidTr="00CF3230">
        <w:tc>
          <w:tcPr>
            <w:tcW w:w="5000" w:type="pct"/>
            <w:gridSpan w:val="3"/>
          </w:tcPr>
          <w:p w:rsidR="00815333" w:rsidRPr="00DB4F12" w:rsidRDefault="00815333" w:rsidP="00CF3230">
            <w:pPr>
              <w:jc w:val="both"/>
              <w:rPr>
                <w:smallCaps/>
                <w:sz w:val="20"/>
                <w:szCs w:val="20"/>
              </w:rPr>
            </w:pPr>
            <w:r w:rsidRPr="00DB4F12">
              <w:rPr>
                <w:i/>
                <w:sz w:val="20"/>
                <w:szCs w:val="20"/>
              </w:rPr>
              <w:t>Canadian Charter of Rights and Freedoms</w:t>
            </w:r>
            <w:r w:rsidRPr="00DB4F12">
              <w:rPr>
                <w:sz w:val="20"/>
                <w:szCs w:val="20"/>
              </w:rPr>
              <w:t xml:space="preserve"> — Extradition — Right to liberty — Mobility rights — Principles to be considered when extradition of person of Aboriginal descent is sought — Whether the Court of Appeal erred in its application of the principles set out in </w:t>
            </w:r>
            <w:r w:rsidRPr="00DB4F12">
              <w:rPr>
                <w:i/>
                <w:sz w:val="20"/>
                <w:szCs w:val="20"/>
              </w:rPr>
              <w:t>R. v. Gladue</w:t>
            </w:r>
            <w:r w:rsidRPr="00DB4F12">
              <w:rPr>
                <w:sz w:val="20"/>
                <w:szCs w:val="20"/>
              </w:rPr>
              <w:t xml:space="preserve">, [1999] 1 S.C.R. 688 in determining that the Minister’s decision to surrender Mr. Gionet was contrary to s. 7 of the </w:t>
            </w:r>
            <w:r w:rsidRPr="00DB4F12">
              <w:rPr>
                <w:i/>
                <w:sz w:val="20"/>
                <w:szCs w:val="20"/>
              </w:rPr>
              <w:t>Charter</w:t>
            </w:r>
            <w:r w:rsidRPr="00DB4F12">
              <w:rPr>
                <w:sz w:val="20"/>
                <w:szCs w:val="20"/>
              </w:rPr>
              <w:t xml:space="preserve">? — Whether the Court of Appeal erred in finding that the Minister had failed to conduct a proper analysis of Mr. Gionet’s s. 6(1) </w:t>
            </w:r>
            <w:r w:rsidRPr="00DB4F12">
              <w:rPr>
                <w:i/>
                <w:sz w:val="20"/>
                <w:szCs w:val="20"/>
              </w:rPr>
              <w:t>Charter</w:t>
            </w:r>
            <w:r w:rsidRPr="00DB4F12">
              <w:rPr>
                <w:sz w:val="20"/>
                <w:szCs w:val="20"/>
              </w:rPr>
              <w:t xml:space="preserve"> rights? — Whether the majority of the Court of Appeal erred in its application of s. 57(6)(b) of the </w:t>
            </w:r>
            <w:r w:rsidRPr="00DB4F12">
              <w:rPr>
                <w:i/>
                <w:sz w:val="20"/>
                <w:szCs w:val="20"/>
              </w:rPr>
              <w:t>Extradition Act</w:t>
            </w:r>
            <w:r w:rsidRPr="00DB4F12">
              <w:rPr>
                <w:sz w:val="20"/>
                <w:szCs w:val="20"/>
              </w:rPr>
              <w:t xml:space="preserve"> by failing to remit the matter back to the Minister for reconsideration?</w:t>
            </w:r>
          </w:p>
        </w:tc>
      </w:tr>
      <w:tr w:rsidR="00815333" w:rsidRPr="00DB4F12" w:rsidTr="00CF3230">
        <w:tc>
          <w:tcPr>
            <w:tcW w:w="5000" w:type="pct"/>
            <w:gridSpan w:val="3"/>
          </w:tcPr>
          <w:p w:rsidR="00815333" w:rsidRPr="00DB4F12" w:rsidRDefault="00815333" w:rsidP="00CF3230">
            <w:pPr>
              <w:jc w:val="both"/>
              <w:rPr>
                <w:sz w:val="20"/>
                <w:szCs w:val="20"/>
              </w:rPr>
            </w:pPr>
          </w:p>
        </w:tc>
      </w:tr>
      <w:tr w:rsidR="00815333" w:rsidRPr="00DB4F12" w:rsidTr="00CF3230">
        <w:tc>
          <w:tcPr>
            <w:tcW w:w="5000" w:type="pct"/>
            <w:gridSpan w:val="3"/>
          </w:tcPr>
          <w:p w:rsidR="00815333" w:rsidRPr="00DB4F12" w:rsidRDefault="00815333" w:rsidP="00CF3230">
            <w:pPr>
              <w:jc w:val="both"/>
              <w:rPr>
                <w:sz w:val="20"/>
                <w:szCs w:val="20"/>
              </w:rPr>
            </w:pPr>
            <w:r w:rsidRPr="00DB4F12">
              <w:rPr>
                <w:sz w:val="20"/>
                <w:szCs w:val="20"/>
              </w:rPr>
              <w:t xml:space="preserve">Mr. Gionet is a Canadian citizen of Aboriginal descent.  His extradition to the United States of America was sought in relation to his alleged involvement in the importation of drugs into the United States from Canada. Mr. Gionet was arrested in Canada is March of 2009 and was held in custody pending the outcome of extradition proceedings. </w:t>
            </w:r>
          </w:p>
          <w:p w:rsidR="00815333" w:rsidRPr="00DB4F12" w:rsidRDefault="00815333" w:rsidP="00CF3230">
            <w:pPr>
              <w:jc w:val="both"/>
              <w:rPr>
                <w:sz w:val="20"/>
                <w:szCs w:val="20"/>
              </w:rPr>
            </w:pPr>
          </w:p>
          <w:p w:rsidR="00815333" w:rsidRPr="00DB4F12" w:rsidRDefault="00815333" w:rsidP="00CF3230">
            <w:pPr>
              <w:jc w:val="both"/>
              <w:rPr>
                <w:sz w:val="20"/>
                <w:szCs w:val="20"/>
              </w:rPr>
            </w:pPr>
            <w:r w:rsidRPr="00DB4F12">
              <w:rPr>
                <w:sz w:val="20"/>
                <w:szCs w:val="20"/>
              </w:rPr>
              <w:t xml:space="preserve">In March 2010, the Minister of Justice issued an order that Mr. Gionet be surrendered to the United States. Mr. Gionet filed a request that the Minister reconsider his decision.  In June 2011, the Minister confirmed his decision ordering Mr. Gionet’s surrender.  Mr. Gionet sought judicial review of this ministerial extradition surrender order on the grounds that the order was contrary to ss. 6(1) and 7 of the </w:t>
            </w:r>
            <w:r w:rsidRPr="00DB4F12">
              <w:rPr>
                <w:i/>
                <w:sz w:val="20"/>
                <w:szCs w:val="20"/>
              </w:rPr>
              <w:t>Charter</w:t>
            </w:r>
            <w:r w:rsidRPr="00DB4F12">
              <w:rPr>
                <w:sz w:val="20"/>
                <w:szCs w:val="20"/>
              </w:rPr>
              <w:t xml:space="preserve"> as the Minister had not given proper consideration or weight to his Aboriginal background as well as to the principles set out in </w:t>
            </w:r>
            <w:r w:rsidRPr="00DB4F12">
              <w:rPr>
                <w:i/>
                <w:sz w:val="20"/>
                <w:szCs w:val="20"/>
              </w:rPr>
              <w:t>R. v. Gladue</w:t>
            </w:r>
            <w:r w:rsidRPr="00DB4F12">
              <w:rPr>
                <w:sz w:val="20"/>
                <w:szCs w:val="20"/>
              </w:rPr>
              <w:t>, [1999] 1 S.C.R. 688.</w:t>
            </w:r>
          </w:p>
          <w:p w:rsidR="00815333" w:rsidRPr="00DB4F12" w:rsidRDefault="00815333" w:rsidP="00CF3230">
            <w:pPr>
              <w:jc w:val="both"/>
              <w:rPr>
                <w:sz w:val="20"/>
                <w:szCs w:val="20"/>
              </w:rPr>
            </w:pPr>
          </w:p>
        </w:tc>
      </w:tr>
      <w:tr w:rsidR="00815333" w:rsidRPr="00DB4F12" w:rsidTr="00CF3230">
        <w:tc>
          <w:tcPr>
            <w:tcW w:w="2427" w:type="pct"/>
          </w:tcPr>
          <w:p w:rsidR="00815333" w:rsidRPr="00DB4F12" w:rsidRDefault="00815333" w:rsidP="00CF3230">
            <w:pPr>
              <w:jc w:val="both"/>
              <w:rPr>
                <w:sz w:val="20"/>
                <w:szCs w:val="20"/>
              </w:rPr>
            </w:pPr>
            <w:r w:rsidRPr="00DB4F12">
              <w:rPr>
                <w:sz w:val="20"/>
                <w:szCs w:val="20"/>
              </w:rPr>
              <w:t xml:space="preserve">March 18, 2010 </w:t>
            </w:r>
          </w:p>
          <w:p w:rsidR="00815333" w:rsidRPr="00DB4F12" w:rsidRDefault="00815333" w:rsidP="00CF3230">
            <w:pPr>
              <w:jc w:val="both"/>
              <w:rPr>
                <w:sz w:val="20"/>
                <w:szCs w:val="20"/>
              </w:rPr>
            </w:pPr>
            <w:r w:rsidRPr="00DB4F12">
              <w:rPr>
                <w:sz w:val="20"/>
                <w:szCs w:val="20"/>
              </w:rPr>
              <w:t xml:space="preserve">Minister of Justice of Canada </w:t>
            </w: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rPr>
            </w:pPr>
            <w:r w:rsidRPr="00DB4F12">
              <w:rPr>
                <w:sz w:val="20"/>
                <w:szCs w:val="20"/>
              </w:rPr>
              <w:t xml:space="preserve">Surrender order issued </w:t>
            </w:r>
          </w:p>
          <w:p w:rsidR="00815333" w:rsidRPr="00DB4F12" w:rsidRDefault="00815333" w:rsidP="00CF3230">
            <w:pPr>
              <w:jc w:val="both"/>
              <w:rPr>
                <w:sz w:val="20"/>
                <w:szCs w:val="20"/>
              </w:rPr>
            </w:pPr>
          </w:p>
        </w:tc>
      </w:tr>
      <w:tr w:rsidR="00815333" w:rsidRPr="00DB4F12" w:rsidTr="00CF3230">
        <w:tc>
          <w:tcPr>
            <w:tcW w:w="2427" w:type="pct"/>
          </w:tcPr>
          <w:p w:rsidR="00815333" w:rsidRPr="00DB4F12" w:rsidRDefault="00815333" w:rsidP="00CF3230">
            <w:pPr>
              <w:jc w:val="both"/>
              <w:rPr>
                <w:sz w:val="20"/>
                <w:szCs w:val="20"/>
              </w:rPr>
            </w:pPr>
            <w:r w:rsidRPr="00DB4F12">
              <w:rPr>
                <w:sz w:val="20"/>
                <w:szCs w:val="20"/>
              </w:rPr>
              <w:t>June 8, 2011</w:t>
            </w:r>
          </w:p>
          <w:p w:rsidR="00815333" w:rsidRPr="00DB4F12" w:rsidRDefault="00815333" w:rsidP="00CF3230">
            <w:pPr>
              <w:jc w:val="both"/>
              <w:rPr>
                <w:sz w:val="20"/>
                <w:szCs w:val="20"/>
              </w:rPr>
            </w:pPr>
            <w:r w:rsidRPr="00DB4F12">
              <w:rPr>
                <w:sz w:val="20"/>
                <w:szCs w:val="20"/>
              </w:rPr>
              <w:t>Minister of Justice of Canada</w:t>
            </w: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rPr>
            </w:pPr>
            <w:r w:rsidRPr="00DB4F12">
              <w:rPr>
                <w:sz w:val="20"/>
                <w:szCs w:val="20"/>
              </w:rPr>
              <w:t>Surrender order confirmed</w:t>
            </w:r>
          </w:p>
        </w:tc>
      </w:tr>
      <w:tr w:rsidR="00815333" w:rsidRPr="00DB4F12" w:rsidTr="00CF3230">
        <w:tc>
          <w:tcPr>
            <w:tcW w:w="2427" w:type="pct"/>
          </w:tcPr>
          <w:p w:rsidR="00815333" w:rsidRPr="00DB4F12" w:rsidRDefault="00815333" w:rsidP="00CF3230">
            <w:pPr>
              <w:jc w:val="both"/>
              <w:rPr>
                <w:sz w:val="20"/>
                <w:szCs w:val="20"/>
              </w:rPr>
            </w:pPr>
            <w:r w:rsidRPr="00DB4F12">
              <w:rPr>
                <w:sz w:val="20"/>
                <w:szCs w:val="20"/>
              </w:rPr>
              <w:t>September 21, 2012</w:t>
            </w:r>
          </w:p>
          <w:p w:rsidR="00815333" w:rsidRPr="00DB4F12" w:rsidRDefault="00815333" w:rsidP="00CF3230">
            <w:pPr>
              <w:jc w:val="both"/>
              <w:rPr>
                <w:sz w:val="20"/>
                <w:szCs w:val="20"/>
              </w:rPr>
            </w:pPr>
            <w:r w:rsidRPr="00DB4F12">
              <w:rPr>
                <w:sz w:val="20"/>
                <w:szCs w:val="20"/>
              </w:rPr>
              <w:t>Court of Appeal for Ontario</w:t>
            </w:r>
          </w:p>
          <w:p w:rsidR="00815333" w:rsidRPr="00DB4F12" w:rsidRDefault="00815333" w:rsidP="00CF3230">
            <w:pPr>
              <w:jc w:val="both"/>
              <w:rPr>
                <w:sz w:val="20"/>
                <w:szCs w:val="20"/>
              </w:rPr>
            </w:pPr>
            <w:r w:rsidRPr="00DB4F12">
              <w:rPr>
                <w:sz w:val="20"/>
                <w:szCs w:val="20"/>
              </w:rPr>
              <w:t>(Doherty [</w:t>
            </w:r>
            <w:r w:rsidRPr="00DB4F12">
              <w:rPr>
                <w:i/>
                <w:sz w:val="20"/>
                <w:szCs w:val="20"/>
              </w:rPr>
              <w:t>dissenting as to the remedy</w:t>
            </w:r>
            <w:r w:rsidRPr="00DB4F12">
              <w:rPr>
                <w:sz w:val="20"/>
                <w:szCs w:val="20"/>
              </w:rPr>
              <w:t>], MacPherson and Sharpe JJ.A.)</w:t>
            </w:r>
          </w:p>
          <w:p w:rsidR="00815333" w:rsidRPr="00DB4F12" w:rsidRDefault="00815333" w:rsidP="00CF3230">
            <w:pPr>
              <w:jc w:val="both"/>
              <w:rPr>
                <w:sz w:val="20"/>
                <w:szCs w:val="20"/>
              </w:rPr>
            </w:pPr>
            <w:r w:rsidRPr="00DB4F12">
              <w:rPr>
                <w:sz w:val="20"/>
                <w:szCs w:val="20"/>
              </w:rPr>
              <w:t>2012 ONCA 622</w:t>
            </w: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rPr>
            </w:pPr>
            <w:r w:rsidRPr="00DB4F12">
              <w:rPr>
                <w:sz w:val="20"/>
                <w:szCs w:val="20"/>
              </w:rPr>
              <w:t>Application for judicial review allowed; surrender order set aside</w:t>
            </w:r>
          </w:p>
        </w:tc>
      </w:tr>
      <w:tr w:rsidR="00815333" w:rsidRPr="00DB4F12" w:rsidTr="00CF3230">
        <w:tc>
          <w:tcPr>
            <w:tcW w:w="2427" w:type="pct"/>
          </w:tcPr>
          <w:p w:rsidR="00815333" w:rsidRPr="00DB4F12" w:rsidRDefault="00815333" w:rsidP="00CF3230">
            <w:pPr>
              <w:jc w:val="both"/>
              <w:rPr>
                <w:sz w:val="20"/>
                <w:szCs w:val="20"/>
              </w:rPr>
            </w:pPr>
            <w:r w:rsidRPr="00DB4F12">
              <w:rPr>
                <w:sz w:val="20"/>
                <w:szCs w:val="20"/>
              </w:rPr>
              <w:t>November 19, 2012</w:t>
            </w:r>
          </w:p>
          <w:p w:rsidR="00815333" w:rsidRPr="00DB4F12" w:rsidRDefault="00815333" w:rsidP="00CF3230">
            <w:pPr>
              <w:jc w:val="both"/>
              <w:rPr>
                <w:sz w:val="20"/>
                <w:szCs w:val="20"/>
              </w:rPr>
            </w:pPr>
            <w:r w:rsidRPr="00DB4F12">
              <w:rPr>
                <w:sz w:val="20"/>
                <w:szCs w:val="20"/>
              </w:rPr>
              <w:t>Supreme Court of Canada</w:t>
            </w:r>
          </w:p>
          <w:p w:rsidR="00815333" w:rsidRPr="00DB4F12" w:rsidRDefault="00815333" w:rsidP="00CF3230">
            <w:pPr>
              <w:jc w:val="both"/>
              <w:rPr>
                <w:sz w:val="20"/>
                <w:szCs w:val="20"/>
              </w:rPr>
            </w:pP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rPr>
            </w:pPr>
            <w:r w:rsidRPr="00DB4F12">
              <w:rPr>
                <w:sz w:val="20"/>
                <w:szCs w:val="20"/>
              </w:rPr>
              <w:t>Motion to file a joint application for leave to appeal filed; application for leave to appeal filed</w:t>
            </w:r>
          </w:p>
        </w:tc>
      </w:tr>
      <w:tr w:rsidR="00815333" w:rsidRPr="00DB4F12" w:rsidTr="00CF3230">
        <w:tc>
          <w:tcPr>
            <w:tcW w:w="2427" w:type="pct"/>
          </w:tcPr>
          <w:p w:rsidR="00815333" w:rsidRPr="00DB4F12" w:rsidRDefault="00815333" w:rsidP="00CF3230">
            <w:pPr>
              <w:jc w:val="both"/>
              <w:rPr>
                <w:sz w:val="20"/>
                <w:szCs w:val="20"/>
              </w:rPr>
            </w:pPr>
            <w:r w:rsidRPr="00DB4F12">
              <w:rPr>
                <w:sz w:val="20"/>
                <w:szCs w:val="20"/>
              </w:rPr>
              <w:t>December 20, 2012</w:t>
            </w:r>
          </w:p>
          <w:p w:rsidR="00815333" w:rsidRPr="00DB4F12" w:rsidRDefault="00815333" w:rsidP="00CF3230">
            <w:pPr>
              <w:jc w:val="both"/>
              <w:rPr>
                <w:sz w:val="20"/>
                <w:szCs w:val="20"/>
              </w:rPr>
            </w:pPr>
            <w:r w:rsidRPr="00DB4F12">
              <w:rPr>
                <w:sz w:val="20"/>
                <w:szCs w:val="20"/>
              </w:rPr>
              <w:t>Supreme Court of Canada</w:t>
            </w:r>
          </w:p>
          <w:p w:rsidR="00815333" w:rsidRPr="00DB4F12" w:rsidRDefault="00815333" w:rsidP="00CF3230">
            <w:pPr>
              <w:jc w:val="both"/>
              <w:rPr>
                <w:sz w:val="20"/>
                <w:szCs w:val="20"/>
              </w:rPr>
            </w:pPr>
            <w:r w:rsidRPr="00DB4F12">
              <w:rPr>
                <w:sz w:val="20"/>
                <w:szCs w:val="20"/>
              </w:rPr>
              <w:t>Registrar</w:t>
            </w: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rPr>
            </w:pPr>
            <w:r w:rsidRPr="00DB4F12">
              <w:rPr>
                <w:sz w:val="20"/>
                <w:szCs w:val="20"/>
              </w:rPr>
              <w:t>Motion to file a joint application for leave to appeal dismissed</w:t>
            </w:r>
          </w:p>
        </w:tc>
      </w:tr>
    </w:tbl>
    <w:p w:rsidR="003101AB" w:rsidRPr="00C50A5C" w:rsidRDefault="003101AB" w:rsidP="003101AB">
      <w:pPr>
        <w:rPr>
          <w:sz w:val="20"/>
          <w:szCs w:val="20"/>
        </w:rPr>
      </w:pPr>
    </w:p>
    <w:p w:rsidR="003101AB" w:rsidRPr="00C50A5C" w:rsidRDefault="003F21C7" w:rsidP="003101AB">
      <w:pPr>
        <w:rPr>
          <w:sz w:val="20"/>
          <w:szCs w:val="20"/>
        </w:rPr>
      </w:pPr>
      <w:r w:rsidRPr="003F21C7">
        <w:rPr>
          <w:sz w:val="20"/>
          <w:szCs w:val="20"/>
          <w:lang w:val="fr-CA"/>
        </w:rPr>
        <w:pict>
          <v:rect id="_x0000_i1066" style="width:2in;height:1pt" o:hrpct="0" o:hralign="center" o:hrstd="t" o:hrnoshade="t" o:hr="t" fillcolor="black [3213]" stroked="f"/>
        </w:pict>
      </w:r>
    </w:p>
    <w:p w:rsidR="003101AB" w:rsidRDefault="003101AB" w:rsidP="003101AB">
      <w:pPr>
        <w:rPr>
          <w:sz w:val="20"/>
          <w:szCs w:val="20"/>
        </w:rPr>
      </w:pPr>
    </w:p>
    <w:p w:rsidR="003101AB" w:rsidRPr="001B157C" w:rsidRDefault="003101AB" w:rsidP="003101AB">
      <w:pPr>
        <w:rPr>
          <w:sz w:val="20"/>
          <w:szCs w:val="20"/>
          <w:u w:val="single"/>
          <w:lang w:val="fr-CA"/>
        </w:rPr>
      </w:pPr>
      <w:r w:rsidRPr="001B157C">
        <w:rPr>
          <w:sz w:val="20"/>
          <w:szCs w:val="20"/>
          <w:u w:val="single"/>
          <w:lang w:val="fr-CA"/>
        </w:rPr>
        <w:t>RÉSUMÉ DE L’AFFAIRE</w:t>
      </w:r>
    </w:p>
    <w:p w:rsidR="003101AB" w:rsidRDefault="003101AB" w:rsidP="003101A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15333" w:rsidRPr="00CB72E7" w:rsidTr="00CF3230">
        <w:tc>
          <w:tcPr>
            <w:tcW w:w="5000" w:type="pct"/>
            <w:gridSpan w:val="3"/>
          </w:tcPr>
          <w:p w:rsidR="00815333" w:rsidRPr="00DB4F12" w:rsidRDefault="00815333" w:rsidP="00CF3230">
            <w:pPr>
              <w:jc w:val="both"/>
              <w:rPr>
                <w:smallCaps/>
                <w:sz w:val="20"/>
                <w:szCs w:val="20"/>
                <w:lang w:val="fr-CA"/>
              </w:rPr>
            </w:pPr>
            <w:r w:rsidRPr="00DB4F12">
              <w:rPr>
                <w:i/>
                <w:sz w:val="20"/>
                <w:szCs w:val="20"/>
                <w:lang w:val="fr-CA"/>
              </w:rPr>
              <w:t xml:space="preserve">Charte canadienne des droits et libertés </w:t>
            </w:r>
            <w:r w:rsidRPr="00DB4F12">
              <w:rPr>
                <w:sz w:val="20"/>
                <w:szCs w:val="20"/>
                <w:lang w:val="fr-CA"/>
              </w:rPr>
              <w:t>— Extradition — Droit à la liberté — Liberté de circulation et d'établissement — Principes à considérer lorsque que l'extradition d'une personne d'ascendance autochtone est demandée — La Cour d'appel s’est</w:t>
            </w:r>
            <w:r w:rsidRPr="00DB4F12">
              <w:rPr>
                <w:sz w:val="20"/>
                <w:szCs w:val="20"/>
                <w:lang w:val="fr-CA"/>
              </w:rPr>
              <w:noBreakHyphen/>
              <w:t xml:space="preserve">elle trompée dans son application des principes énoncés dans l'arrêt </w:t>
            </w:r>
            <w:r w:rsidRPr="00DB4F12">
              <w:rPr>
                <w:i/>
                <w:sz w:val="20"/>
                <w:szCs w:val="20"/>
                <w:lang w:val="fr-CA"/>
              </w:rPr>
              <w:t>R. v. Gladue</w:t>
            </w:r>
            <w:r w:rsidRPr="00DB4F12">
              <w:rPr>
                <w:sz w:val="20"/>
                <w:szCs w:val="20"/>
                <w:lang w:val="fr-CA"/>
              </w:rPr>
              <w:t xml:space="preserve">, [1999] 1 R.C.S. 688 en statuant que la décision du ministre d'extrader M. Gionet était contraire à l'art. 7 de la </w:t>
            </w:r>
            <w:r w:rsidRPr="00DB4F12">
              <w:rPr>
                <w:i/>
                <w:sz w:val="20"/>
                <w:szCs w:val="20"/>
                <w:lang w:val="fr-CA"/>
              </w:rPr>
              <w:t>Charte</w:t>
            </w:r>
            <w:r w:rsidRPr="00DB4F12">
              <w:rPr>
                <w:sz w:val="20"/>
                <w:szCs w:val="20"/>
                <w:lang w:val="fr-CA"/>
              </w:rPr>
              <w:t>? — La Cour d'appel a</w:t>
            </w:r>
            <w:r w:rsidRPr="00DB4F12">
              <w:rPr>
                <w:sz w:val="20"/>
                <w:szCs w:val="20"/>
                <w:lang w:val="fr-CA"/>
              </w:rPr>
              <w:noBreakHyphen/>
              <w:t>t</w:t>
            </w:r>
            <w:r w:rsidRPr="00DB4F12">
              <w:rPr>
                <w:sz w:val="20"/>
                <w:szCs w:val="20"/>
                <w:lang w:val="fr-CA"/>
              </w:rPr>
              <w:noBreakHyphen/>
              <w:t xml:space="preserve">elle eu tort de conclure que le ministre n’avait pas bien analysé les droits de M. Gionet garantis par le par. 6(1) de la </w:t>
            </w:r>
            <w:r w:rsidRPr="00DB4F12">
              <w:rPr>
                <w:i/>
                <w:sz w:val="20"/>
                <w:szCs w:val="20"/>
                <w:lang w:val="fr-CA"/>
              </w:rPr>
              <w:t>Charte</w:t>
            </w:r>
            <w:r w:rsidRPr="00DB4F12">
              <w:rPr>
                <w:sz w:val="20"/>
                <w:szCs w:val="20"/>
                <w:lang w:val="fr-CA"/>
              </w:rPr>
              <w:t>? — Les juges majoritaires de la Cour d'appel se sont</w:t>
            </w:r>
            <w:r w:rsidRPr="00DB4F12">
              <w:rPr>
                <w:sz w:val="20"/>
                <w:szCs w:val="20"/>
                <w:lang w:val="fr-CA"/>
              </w:rPr>
              <w:noBreakHyphen/>
              <w:t>ils trompés dans leur application de l'al. 57(6)</w:t>
            </w:r>
            <w:r w:rsidRPr="00DB4F12">
              <w:rPr>
                <w:i/>
                <w:sz w:val="20"/>
                <w:szCs w:val="20"/>
                <w:lang w:val="fr-CA"/>
              </w:rPr>
              <w:t>b)</w:t>
            </w:r>
            <w:r w:rsidRPr="00DB4F12">
              <w:rPr>
                <w:sz w:val="20"/>
                <w:szCs w:val="20"/>
                <w:lang w:val="fr-CA"/>
              </w:rPr>
              <w:t xml:space="preserve"> de la</w:t>
            </w:r>
            <w:r w:rsidRPr="00DB4F12">
              <w:rPr>
                <w:i/>
                <w:sz w:val="20"/>
                <w:szCs w:val="20"/>
                <w:lang w:val="fr-CA"/>
              </w:rPr>
              <w:t xml:space="preserve"> Loi sur l'extradition</w:t>
            </w:r>
            <w:r w:rsidRPr="00DB4F12">
              <w:rPr>
                <w:sz w:val="20"/>
                <w:szCs w:val="20"/>
                <w:lang w:val="fr-CA"/>
              </w:rPr>
              <w:t xml:space="preserve"> en ne renvoyant pas l'affaire au ministre pour réexamen?</w:t>
            </w:r>
          </w:p>
        </w:tc>
      </w:tr>
      <w:tr w:rsidR="00815333" w:rsidRPr="00CB72E7" w:rsidTr="00CF3230">
        <w:tc>
          <w:tcPr>
            <w:tcW w:w="5000" w:type="pct"/>
            <w:gridSpan w:val="3"/>
          </w:tcPr>
          <w:p w:rsidR="00815333" w:rsidRPr="00DB4F12" w:rsidRDefault="00815333" w:rsidP="00CF3230">
            <w:pPr>
              <w:jc w:val="both"/>
              <w:rPr>
                <w:sz w:val="20"/>
                <w:szCs w:val="20"/>
                <w:lang w:val="fr-CA"/>
              </w:rPr>
            </w:pPr>
          </w:p>
        </w:tc>
      </w:tr>
      <w:tr w:rsidR="00815333" w:rsidRPr="00CB72E7" w:rsidTr="00CF3230">
        <w:tc>
          <w:tcPr>
            <w:tcW w:w="5000" w:type="pct"/>
            <w:gridSpan w:val="3"/>
          </w:tcPr>
          <w:p w:rsidR="00815333" w:rsidRPr="00DB4F12" w:rsidRDefault="00815333" w:rsidP="00CF3230">
            <w:pPr>
              <w:jc w:val="both"/>
              <w:rPr>
                <w:sz w:val="20"/>
                <w:szCs w:val="20"/>
                <w:lang w:val="fr-CA"/>
              </w:rPr>
            </w:pPr>
            <w:r w:rsidRPr="00DB4F12">
              <w:rPr>
                <w:sz w:val="20"/>
                <w:szCs w:val="20"/>
                <w:lang w:val="fr-CA"/>
              </w:rPr>
              <w:t>Monsieur Gionet est un citoyen canadien d'ascendance autochtone. Son extradition aux États</w:t>
            </w:r>
            <w:r w:rsidRPr="00DB4F12">
              <w:rPr>
                <w:sz w:val="20"/>
                <w:szCs w:val="20"/>
                <w:lang w:val="fr-CA"/>
              </w:rPr>
              <w:noBreakHyphen/>
              <w:t>Unis d'Amérique a été demandée en lien avec son implication présumée dans l'importation de drogues aux États</w:t>
            </w:r>
            <w:r w:rsidRPr="00DB4F12">
              <w:rPr>
                <w:sz w:val="20"/>
                <w:szCs w:val="20"/>
                <w:lang w:val="fr-CA"/>
              </w:rPr>
              <w:noBreakHyphen/>
              <w:t xml:space="preserve">Unis à partir du Canada.  Monsieur Gionet a été arrêté au Canada en mars 2009 et a été détenu en attendant l'issue de l'instance d’extradition. </w:t>
            </w:r>
          </w:p>
          <w:p w:rsidR="00815333" w:rsidRPr="00DB4F12" w:rsidRDefault="00815333" w:rsidP="00CF3230">
            <w:pPr>
              <w:jc w:val="both"/>
              <w:rPr>
                <w:sz w:val="20"/>
                <w:szCs w:val="20"/>
                <w:lang w:val="fr-CA"/>
              </w:rPr>
            </w:pPr>
          </w:p>
          <w:p w:rsidR="00815333" w:rsidRPr="00DB4F12" w:rsidRDefault="00815333" w:rsidP="00CF3230">
            <w:pPr>
              <w:jc w:val="both"/>
              <w:rPr>
                <w:sz w:val="20"/>
                <w:szCs w:val="20"/>
                <w:lang w:val="fr-CA"/>
              </w:rPr>
            </w:pPr>
            <w:r w:rsidRPr="00DB4F12">
              <w:rPr>
                <w:sz w:val="20"/>
                <w:szCs w:val="20"/>
                <w:lang w:val="fr-CA"/>
              </w:rPr>
              <w:t>En mars 2010, le ministre de la Justice a ordonné l'extradition de M. Gionet vers les États</w:t>
            </w:r>
            <w:r w:rsidRPr="00DB4F12">
              <w:rPr>
                <w:sz w:val="20"/>
                <w:szCs w:val="20"/>
                <w:lang w:val="fr-CA"/>
              </w:rPr>
              <w:noBreakHyphen/>
              <w:t xml:space="preserve">Unis. Monsieur Gionet a déposé une demande pour que le ministre réexamine sa décision. En juin 2011, le ministre a confirmé sa décision d'ordonner l'extradition de M. Gionet. Monsieur Gionet a demandé le contrôle judiciaire de cet arrêté d’extradition </w:t>
            </w:r>
            <w:r w:rsidRPr="00DB4F12">
              <w:rPr>
                <w:sz w:val="20"/>
                <w:szCs w:val="20"/>
                <w:lang w:val="fr-CA"/>
              </w:rPr>
              <w:lastRenderedPageBreak/>
              <w:t xml:space="preserve">ministériel au motif que l'arrêté était contraire au par. 6(1) et à l'art. 7 de la </w:t>
            </w:r>
            <w:r w:rsidRPr="00DB4F12">
              <w:rPr>
                <w:i/>
                <w:sz w:val="20"/>
                <w:szCs w:val="20"/>
                <w:lang w:val="fr-CA"/>
              </w:rPr>
              <w:t>Charte</w:t>
            </w:r>
            <w:r w:rsidRPr="00DB4F12">
              <w:rPr>
                <w:sz w:val="20"/>
                <w:szCs w:val="20"/>
                <w:lang w:val="fr-CA"/>
              </w:rPr>
              <w:t xml:space="preserve">, puisque le ministre n'avait pas dûment considéré ou pris en compte son ascendance autochtone ni les principes énoncés dans l'arrêt </w:t>
            </w:r>
            <w:r w:rsidRPr="00DB4F12">
              <w:rPr>
                <w:i/>
                <w:sz w:val="20"/>
                <w:szCs w:val="20"/>
                <w:lang w:val="fr-CA"/>
              </w:rPr>
              <w:t>R. c. Gladue</w:t>
            </w:r>
            <w:r w:rsidRPr="00DB4F12">
              <w:rPr>
                <w:sz w:val="20"/>
                <w:szCs w:val="20"/>
                <w:lang w:val="fr-CA"/>
              </w:rPr>
              <w:t>, [1999] 1 R.C.S. 688.</w:t>
            </w:r>
          </w:p>
          <w:p w:rsidR="00815333" w:rsidRPr="00DB4F12" w:rsidRDefault="00815333" w:rsidP="00CF3230">
            <w:pPr>
              <w:jc w:val="both"/>
              <w:rPr>
                <w:sz w:val="20"/>
                <w:szCs w:val="20"/>
                <w:lang w:val="fr-CA"/>
              </w:rPr>
            </w:pPr>
          </w:p>
        </w:tc>
      </w:tr>
      <w:tr w:rsidR="00815333" w:rsidRPr="00DB4F12" w:rsidTr="00CF3230">
        <w:tc>
          <w:tcPr>
            <w:tcW w:w="2427" w:type="pct"/>
          </w:tcPr>
          <w:p w:rsidR="00815333" w:rsidRPr="00DB4F12" w:rsidRDefault="00815333" w:rsidP="00CF3230">
            <w:pPr>
              <w:jc w:val="both"/>
              <w:rPr>
                <w:sz w:val="20"/>
                <w:szCs w:val="20"/>
                <w:lang w:val="fr-CA"/>
              </w:rPr>
            </w:pPr>
            <w:r w:rsidRPr="00DB4F12">
              <w:rPr>
                <w:sz w:val="20"/>
                <w:szCs w:val="20"/>
                <w:lang w:val="fr-CA"/>
              </w:rPr>
              <w:lastRenderedPageBreak/>
              <w:t xml:space="preserve">18 mars 2010 </w:t>
            </w:r>
          </w:p>
          <w:p w:rsidR="00815333" w:rsidRPr="00DB4F12" w:rsidRDefault="00815333" w:rsidP="00CF3230">
            <w:pPr>
              <w:jc w:val="both"/>
              <w:rPr>
                <w:sz w:val="20"/>
                <w:szCs w:val="20"/>
                <w:lang w:val="fr-CA"/>
              </w:rPr>
            </w:pPr>
            <w:r w:rsidRPr="00DB4F12">
              <w:rPr>
                <w:sz w:val="20"/>
                <w:szCs w:val="20"/>
                <w:lang w:val="fr-CA"/>
              </w:rPr>
              <w:t xml:space="preserve">Ministre de la Justice du Canada </w:t>
            </w:r>
          </w:p>
          <w:p w:rsidR="00815333" w:rsidRPr="00DB4F12" w:rsidRDefault="00815333" w:rsidP="00CF3230">
            <w:pPr>
              <w:jc w:val="both"/>
              <w:rPr>
                <w:sz w:val="20"/>
                <w:szCs w:val="20"/>
                <w:lang w:val="fr-CA"/>
              </w:rPr>
            </w:pPr>
          </w:p>
        </w:tc>
        <w:tc>
          <w:tcPr>
            <w:tcW w:w="243" w:type="pct"/>
          </w:tcPr>
          <w:p w:rsidR="00815333" w:rsidRPr="00DB4F12" w:rsidRDefault="00815333" w:rsidP="00CF3230">
            <w:pPr>
              <w:jc w:val="both"/>
              <w:rPr>
                <w:sz w:val="20"/>
                <w:szCs w:val="20"/>
                <w:lang w:val="fr-CA"/>
              </w:rPr>
            </w:pPr>
          </w:p>
        </w:tc>
        <w:tc>
          <w:tcPr>
            <w:tcW w:w="2330" w:type="pct"/>
          </w:tcPr>
          <w:p w:rsidR="00815333" w:rsidRPr="00DB4F12" w:rsidRDefault="00815333" w:rsidP="00CF3230">
            <w:pPr>
              <w:jc w:val="both"/>
              <w:rPr>
                <w:sz w:val="20"/>
                <w:szCs w:val="20"/>
                <w:lang w:val="fr-CA"/>
              </w:rPr>
            </w:pPr>
            <w:r w:rsidRPr="00DB4F12">
              <w:rPr>
                <w:sz w:val="20"/>
                <w:szCs w:val="20"/>
                <w:lang w:val="fr-CA"/>
              </w:rPr>
              <w:t>Arrêté d'extradition ordonné</w:t>
            </w:r>
          </w:p>
          <w:p w:rsidR="00815333" w:rsidRPr="00DB4F12" w:rsidRDefault="00815333" w:rsidP="00CF3230">
            <w:pPr>
              <w:jc w:val="both"/>
              <w:rPr>
                <w:sz w:val="20"/>
                <w:szCs w:val="20"/>
                <w:lang w:val="fr-CA"/>
              </w:rPr>
            </w:pPr>
          </w:p>
        </w:tc>
      </w:tr>
      <w:tr w:rsidR="00815333" w:rsidRPr="00DB4F12" w:rsidTr="00CF3230">
        <w:tc>
          <w:tcPr>
            <w:tcW w:w="2427" w:type="pct"/>
          </w:tcPr>
          <w:p w:rsidR="00815333" w:rsidRPr="00DB4F12" w:rsidRDefault="00815333" w:rsidP="00CF3230">
            <w:pPr>
              <w:jc w:val="both"/>
              <w:rPr>
                <w:sz w:val="20"/>
                <w:szCs w:val="20"/>
                <w:lang w:val="fr-CA"/>
              </w:rPr>
            </w:pPr>
            <w:r w:rsidRPr="00DB4F12">
              <w:rPr>
                <w:sz w:val="20"/>
                <w:szCs w:val="20"/>
                <w:lang w:val="fr-CA"/>
              </w:rPr>
              <w:t xml:space="preserve">8 juin 2011 </w:t>
            </w:r>
          </w:p>
          <w:p w:rsidR="00815333" w:rsidRPr="00DB4F12" w:rsidRDefault="00815333" w:rsidP="00CF3230">
            <w:pPr>
              <w:jc w:val="both"/>
              <w:rPr>
                <w:sz w:val="20"/>
                <w:szCs w:val="20"/>
                <w:lang w:val="fr-CA"/>
              </w:rPr>
            </w:pPr>
            <w:r w:rsidRPr="00DB4F12">
              <w:rPr>
                <w:sz w:val="20"/>
                <w:szCs w:val="20"/>
                <w:lang w:val="fr-CA"/>
              </w:rPr>
              <w:t>Ministre de la Justice du Canada</w:t>
            </w:r>
          </w:p>
          <w:p w:rsidR="00815333" w:rsidRPr="00DB4F12" w:rsidRDefault="00815333" w:rsidP="00CF3230">
            <w:pPr>
              <w:jc w:val="both"/>
              <w:rPr>
                <w:sz w:val="20"/>
                <w:szCs w:val="20"/>
                <w:lang w:val="fr-CA"/>
              </w:rPr>
            </w:pPr>
          </w:p>
        </w:tc>
        <w:tc>
          <w:tcPr>
            <w:tcW w:w="243" w:type="pct"/>
          </w:tcPr>
          <w:p w:rsidR="00815333" w:rsidRPr="00DB4F12" w:rsidRDefault="00815333" w:rsidP="00CF3230">
            <w:pPr>
              <w:jc w:val="both"/>
              <w:rPr>
                <w:sz w:val="20"/>
                <w:szCs w:val="20"/>
                <w:lang w:val="fr-CA"/>
              </w:rPr>
            </w:pPr>
          </w:p>
        </w:tc>
        <w:tc>
          <w:tcPr>
            <w:tcW w:w="2330" w:type="pct"/>
          </w:tcPr>
          <w:p w:rsidR="00815333" w:rsidRPr="00DB4F12" w:rsidRDefault="00815333" w:rsidP="00CF3230">
            <w:pPr>
              <w:jc w:val="both"/>
              <w:rPr>
                <w:sz w:val="20"/>
                <w:szCs w:val="20"/>
                <w:lang w:val="fr-CA"/>
              </w:rPr>
            </w:pPr>
            <w:r w:rsidRPr="00DB4F12">
              <w:rPr>
                <w:sz w:val="20"/>
                <w:szCs w:val="20"/>
                <w:lang w:val="fr-CA"/>
              </w:rPr>
              <w:t>Arrêté d'extradition confirmé</w:t>
            </w:r>
          </w:p>
        </w:tc>
      </w:tr>
      <w:tr w:rsidR="00815333" w:rsidRPr="00CB72E7" w:rsidTr="00CF3230">
        <w:tc>
          <w:tcPr>
            <w:tcW w:w="2427" w:type="pct"/>
          </w:tcPr>
          <w:p w:rsidR="00815333" w:rsidRPr="00DB4F12" w:rsidRDefault="00815333" w:rsidP="00CF3230">
            <w:pPr>
              <w:jc w:val="both"/>
              <w:rPr>
                <w:sz w:val="20"/>
                <w:szCs w:val="20"/>
                <w:lang w:val="fr-CA"/>
              </w:rPr>
            </w:pPr>
            <w:r w:rsidRPr="00DB4F12">
              <w:rPr>
                <w:sz w:val="20"/>
                <w:szCs w:val="20"/>
                <w:lang w:val="fr-CA"/>
              </w:rPr>
              <w:t>21 septembre 2012</w:t>
            </w:r>
          </w:p>
          <w:p w:rsidR="00815333" w:rsidRPr="00DB4F12" w:rsidRDefault="00815333" w:rsidP="00CF3230">
            <w:pPr>
              <w:jc w:val="both"/>
              <w:rPr>
                <w:sz w:val="20"/>
                <w:szCs w:val="20"/>
                <w:lang w:val="fr-CA"/>
              </w:rPr>
            </w:pPr>
            <w:r w:rsidRPr="00DB4F12">
              <w:rPr>
                <w:sz w:val="20"/>
                <w:szCs w:val="20"/>
                <w:lang w:val="fr-CA"/>
              </w:rPr>
              <w:t xml:space="preserve">Cour d'appel de l'Ontario </w:t>
            </w:r>
          </w:p>
          <w:p w:rsidR="00815333" w:rsidRPr="00DB4F12" w:rsidRDefault="00815333" w:rsidP="00CF3230">
            <w:pPr>
              <w:jc w:val="both"/>
              <w:rPr>
                <w:sz w:val="20"/>
                <w:szCs w:val="20"/>
                <w:lang w:val="fr-CA"/>
              </w:rPr>
            </w:pPr>
            <w:r w:rsidRPr="00DB4F12">
              <w:rPr>
                <w:sz w:val="20"/>
                <w:szCs w:val="20"/>
                <w:lang w:val="fr-CA"/>
              </w:rPr>
              <w:t>(Juges Doherty [</w:t>
            </w:r>
            <w:r w:rsidRPr="00DB4F12">
              <w:rPr>
                <w:i/>
                <w:sz w:val="20"/>
                <w:szCs w:val="20"/>
                <w:lang w:val="fr-CA"/>
              </w:rPr>
              <w:t>dissident quant à la réparation</w:t>
            </w:r>
            <w:r w:rsidRPr="00DB4F12">
              <w:rPr>
                <w:sz w:val="20"/>
                <w:szCs w:val="20"/>
                <w:lang w:val="fr-CA"/>
              </w:rPr>
              <w:t>], MacPherson et Sharpe)</w:t>
            </w:r>
          </w:p>
          <w:p w:rsidR="00815333" w:rsidRPr="00DB4F12" w:rsidRDefault="00815333" w:rsidP="00CF3230">
            <w:pPr>
              <w:jc w:val="both"/>
              <w:rPr>
                <w:sz w:val="20"/>
                <w:szCs w:val="20"/>
                <w:lang w:val="fr-CA"/>
              </w:rPr>
            </w:pPr>
            <w:r w:rsidRPr="00DB4F12">
              <w:rPr>
                <w:sz w:val="20"/>
                <w:szCs w:val="20"/>
                <w:lang w:val="fr-CA"/>
              </w:rPr>
              <w:t>2012 ONCA 622</w:t>
            </w:r>
          </w:p>
          <w:p w:rsidR="00815333" w:rsidRPr="00DB4F12" w:rsidRDefault="00815333" w:rsidP="00CF3230">
            <w:pPr>
              <w:jc w:val="both"/>
              <w:rPr>
                <w:sz w:val="20"/>
                <w:szCs w:val="20"/>
                <w:lang w:val="fr-CA"/>
              </w:rPr>
            </w:pPr>
          </w:p>
        </w:tc>
        <w:tc>
          <w:tcPr>
            <w:tcW w:w="243" w:type="pct"/>
          </w:tcPr>
          <w:p w:rsidR="00815333" w:rsidRPr="00DB4F12" w:rsidRDefault="00815333" w:rsidP="00CF3230">
            <w:pPr>
              <w:jc w:val="both"/>
              <w:rPr>
                <w:sz w:val="20"/>
                <w:szCs w:val="20"/>
                <w:lang w:val="fr-CA"/>
              </w:rPr>
            </w:pPr>
          </w:p>
        </w:tc>
        <w:tc>
          <w:tcPr>
            <w:tcW w:w="2330" w:type="pct"/>
          </w:tcPr>
          <w:p w:rsidR="00815333" w:rsidRPr="00DB4F12" w:rsidRDefault="00815333" w:rsidP="00CF3230">
            <w:pPr>
              <w:jc w:val="both"/>
              <w:rPr>
                <w:sz w:val="20"/>
                <w:szCs w:val="20"/>
                <w:lang w:val="fr-CA"/>
              </w:rPr>
            </w:pPr>
            <w:r w:rsidRPr="00DB4F12">
              <w:rPr>
                <w:sz w:val="20"/>
                <w:szCs w:val="20"/>
                <w:lang w:val="fr-CA"/>
              </w:rPr>
              <w:t>Demande de contrôle judiciaire, accueillie; arrêté d'extradition annulé</w:t>
            </w:r>
          </w:p>
        </w:tc>
      </w:tr>
      <w:tr w:rsidR="00815333" w:rsidRPr="00CB72E7" w:rsidTr="00CF3230">
        <w:tc>
          <w:tcPr>
            <w:tcW w:w="2427" w:type="pct"/>
          </w:tcPr>
          <w:p w:rsidR="00815333" w:rsidRPr="00DB4F12" w:rsidRDefault="00815333" w:rsidP="00CF3230">
            <w:pPr>
              <w:jc w:val="both"/>
              <w:rPr>
                <w:sz w:val="20"/>
                <w:szCs w:val="20"/>
                <w:lang w:val="fr-CA"/>
              </w:rPr>
            </w:pPr>
            <w:r w:rsidRPr="00DB4F12">
              <w:rPr>
                <w:sz w:val="20"/>
                <w:szCs w:val="20"/>
                <w:lang w:val="fr-CA"/>
              </w:rPr>
              <w:t>19 novembre 2012</w:t>
            </w:r>
          </w:p>
          <w:p w:rsidR="00815333" w:rsidRPr="00DB4F12" w:rsidRDefault="00815333" w:rsidP="00CF3230">
            <w:pPr>
              <w:jc w:val="both"/>
              <w:rPr>
                <w:sz w:val="20"/>
                <w:szCs w:val="20"/>
                <w:lang w:val="fr-CA"/>
              </w:rPr>
            </w:pPr>
            <w:r w:rsidRPr="00DB4F12">
              <w:rPr>
                <w:sz w:val="20"/>
                <w:szCs w:val="20"/>
                <w:lang w:val="fr-CA"/>
              </w:rPr>
              <w:t>Cour suprême du Canada</w:t>
            </w:r>
          </w:p>
          <w:p w:rsidR="00815333" w:rsidRPr="00DB4F12" w:rsidRDefault="00815333" w:rsidP="00CF3230">
            <w:pPr>
              <w:jc w:val="both"/>
              <w:rPr>
                <w:sz w:val="20"/>
                <w:szCs w:val="20"/>
                <w:lang w:val="fr-CA"/>
              </w:rPr>
            </w:pPr>
          </w:p>
          <w:p w:rsidR="00815333" w:rsidRPr="00DB4F12" w:rsidRDefault="00815333" w:rsidP="00CF3230">
            <w:pPr>
              <w:jc w:val="both"/>
              <w:rPr>
                <w:sz w:val="20"/>
                <w:szCs w:val="20"/>
                <w:lang w:val="fr-CA"/>
              </w:rPr>
            </w:pPr>
          </w:p>
        </w:tc>
        <w:tc>
          <w:tcPr>
            <w:tcW w:w="243" w:type="pct"/>
          </w:tcPr>
          <w:p w:rsidR="00815333" w:rsidRPr="00DB4F12" w:rsidRDefault="00815333" w:rsidP="00CF3230">
            <w:pPr>
              <w:jc w:val="both"/>
              <w:rPr>
                <w:sz w:val="20"/>
                <w:szCs w:val="20"/>
                <w:lang w:val="fr-CA"/>
              </w:rPr>
            </w:pPr>
          </w:p>
        </w:tc>
        <w:tc>
          <w:tcPr>
            <w:tcW w:w="2330" w:type="pct"/>
          </w:tcPr>
          <w:p w:rsidR="00815333" w:rsidRPr="00DB4F12" w:rsidRDefault="00815333" w:rsidP="00CF3230">
            <w:pPr>
              <w:jc w:val="both"/>
              <w:rPr>
                <w:sz w:val="20"/>
                <w:szCs w:val="20"/>
                <w:lang w:val="fr-CA"/>
              </w:rPr>
            </w:pPr>
            <w:r w:rsidRPr="00DB4F12">
              <w:rPr>
                <w:sz w:val="20"/>
                <w:szCs w:val="20"/>
                <w:lang w:val="fr-CA"/>
              </w:rPr>
              <w:t>Requête sollicitant la permission de déposer une demande d'autorisation conjointe, déposée; demande d'autorisation d'appel, déposée</w:t>
            </w:r>
          </w:p>
          <w:p w:rsidR="00815333" w:rsidRPr="00DB4F12" w:rsidRDefault="00815333" w:rsidP="00CF3230">
            <w:pPr>
              <w:jc w:val="both"/>
              <w:rPr>
                <w:sz w:val="20"/>
                <w:szCs w:val="20"/>
                <w:lang w:val="fr-CA"/>
              </w:rPr>
            </w:pPr>
          </w:p>
        </w:tc>
      </w:tr>
      <w:tr w:rsidR="00815333" w:rsidRPr="00CB72E7" w:rsidTr="00CF3230">
        <w:tc>
          <w:tcPr>
            <w:tcW w:w="2427" w:type="pct"/>
          </w:tcPr>
          <w:p w:rsidR="00815333" w:rsidRPr="00DB4F12" w:rsidRDefault="00815333" w:rsidP="00CF3230">
            <w:pPr>
              <w:jc w:val="both"/>
              <w:rPr>
                <w:sz w:val="20"/>
                <w:szCs w:val="20"/>
                <w:lang w:val="fr-CA"/>
              </w:rPr>
            </w:pPr>
            <w:r w:rsidRPr="00DB4F12">
              <w:rPr>
                <w:sz w:val="20"/>
                <w:szCs w:val="20"/>
                <w:lang w:val="fr-CA"/>
              </w:rPr>
              <w:t>20 décembre 2012</w:t>
            </w:r>
          </w:p>
          <w:p w:rsidR="00815333" w:rsidRPr="00DB4F12" w:rsidRDefault="00815333" w:rsidP="00CF3230">
            <w:pPr>
              <w:jc w:val="both"/>
              <w:rPr>
                <w:sz w:val="20"/>
                <w:szCs w:val="20"/>
                <w:lang w:val="fr-CA"/>
              </w:rPr>
            </w:pPr>
            <w:r w:rsidRPr="00DB4F12">
              <w:rPr>
                <w:sz w:val="20"/>
                <w:szCs w:val="20"/>
                <w:lang w:val="fr-CA"/>
              </w:rPr>
              <w:t xml:space="preserve">Cour suprême du Canada </w:t>
            </w:r>
          </w:p>
          <w:p w:rsidR="00815333" w:rsidRPr="00DB4F12" w:rsidRDefault="00815333" w:rsidP="00CF3230">
            <w:pPr>
              <w:jc w:val="both"/>
              <w:rPr>
                <w:sz w:val="20"/>
                <w:szCs w:val="20"/>
                <w:lang w:val="fr-CA"/>
              </w:rPr>
            </w:pPr>
            <w:r w:rsidRPr="00DB4F12">
              <w:rPr>
                <w:sz w:val="20"/>
                <w:szCs w:val="20"/>
                <w:lang w:val="fr-CA"/>
              </w:rPr>
              <w:t>Registraire</w:t>
            </w:r>
          </w:p>
        </w:tc>
        <w:tc>
          <w:tcPr>
            <w:tcW w:w="243" w:type="pct"/>
          </w:tcPr>
          <w:p w:rsidR="00815333" w:rsidRPr="00DB4F12" w:rsidRDefault="00815333" w:rsidP="00CF3230">
            <w:pPr>
              <w:jc w:val="both"/>
              <w:rPr>
                <w:sz w:val="20"/>
                <w:szCs w:val="20"/>
                <w:lang w:val="fr-CA"/>
              </w:rPr>
            </w:pPr>
          </w:p>
        </w:tc>
        <w:tc>
          <w:tcPr>
            <w:tcW w:w="2330" w:type="pct"/>
          </w:tcPr>
          <w:p w:rsidR="00815333" w:rsidRPr="00DB4F12" w:rsidRDefault="00815333" w:rsidP="00CF3230">
            <w:pPr>
              <w:jc w:val="both"/>
              <w:rPr>
                <w:sz w:val="20"/>
                <w:szCs w:val="20"/>
                <w:lang w:val="fr-CA"/>
              </w:rPr>
            </w:pPr>
            <w:r w:rsidRPr="00DB4F12">
              <w:rPr>
                <w:sz w:val="20"/>
                <w:szCs w:val="20"/>
                <w:lang w:val="fr-CA"/>
              </w:rPr>
              <w:t>Requête sollicitant la permission de déposer une demande d'autorisation conjointe, rejetée</w:t>
            </w:r>
          </w:p>
        </w:tc>
      </w:tr>
    </w:tbl>
    <w:p w:rsidR="003101AB" w:rsidRPr="00815333" w:rsidRDefault="003101AB" w:rsidP="003101AB">
      <w:pPr>
        <w:rPr>
          <w:sz w:val="20"/>
          <w:szCs w:val="20"/>
          <w:lang w:val="fr-CA"/>
        </w:rPr>
      </w:pPr>
    </w:p>
    <w:p w:rsidR="003101AB" w:rsidRDefault="003F21C7" w:rsidP="003101AB">
      <w:pPr>
        <w:rPr>
          <w:sz w:val="20"/>
          <w:szCs w:val="20"/>
          <w:lang w:val="fr-CA"/>
        </w:rPr>
      </w:pPr>
      <w:r w:rsidRPr="003F21C7">
        <w:rPr>
          <w:sz w:val="20"/>
          <w:szCs w:val="20"/>
          <w:lang w:val="fr-CA"/>
        </w:rPr>
        <w:pict>
          <v:rect id="_x0000_i1067" style="width:2in;height:1pt" o:hrpct="0" o:hralign="center" o:hrstd="t" o:hrnoshade="t" o:hr="t" fillcolor="black [3213]" stroked="f"/>
        </w:pict>
      </w:r>
    </w:p>
    <w:p w:rsidR="003101AB" w:rsidRDefault="003101AB" w:rsidP="003101A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9083D" w:rsidRPr="00466183" w:rsidTr="00F150E1">
        <w:trPr>
          <w:cantSplit/>
        </w:trPr>
        <w:tc>
          <w:tcPr>
            <w:tcW w:w="1458" w:type="dxa"/>
          </w:tcPr>
          <w:p w:rsidR="0079083D" w:rsidRPr="00466183" w:rsidRDefault="0079083D" w:rsidP="00F150E1">
            <w:pPr>
              <w:rPr>
                <w:sz w:val="20"/>
                <w:szCs w:val="20"/>
              </w:rPr>
            </w:pPr>
            <w:r w:rsidRPr="00466183">
              <w:rPr>
                <w:rStyle w:val="SCCFileNumberChar"/>
                <w:sz w:val="20"/>
                <w:szCs w:val="20"/>
              </w:rPr>
              <w:t>35159</w:t>
            </w:r>
          </w:p>
          <w:p w:rsidR="0079083D" w:rsidRPr="00466183" w:rsidRDefault="0079083D" w:rsidP="00F150E1">
            <w:pPr>
              <w:rPr>
                <w:b/>
                <w:sz w:val="20"/>
                <w:szCs w:val="20"/>
                <w:lang w:val="fr-CA"/>
              </w:rPr>
            </w:pPr>
          </w:p>
        </w:tc>
        <w:tc>
          <w:tcPr>
            <w:tcW w:w="8118" w:type="dxa"/>
          </w:tcPr>
          <w:p w:rsidR="0079083D" w:rsidRPr="00466183" w:rsidRDefault="0079083D" w:rsidP="00F150E1">
            <w:pPr>
              <w:rPr>
                <w:sz w:val="20"/>
                <w:szCs w:val="20"/>
              </w:rPr>
            </w:pPr>
            <w:r w:rsidRPr="00466183">
              <w:rPr>
                <w:rStyle w:val="SCCLsocChar"/>
                <w:sz w:val="20"/>
                <w:szCs w:val="20"/>
              </w:rPr>
              <w:t>Connie Brauer v. Paulette Raymond</w:t>
            </w:r>
            <w:r w:rsidRPr="00466183">
              <w:rPr>
                <w:sz w:val="20"/>
                <w:szCs w:val="20"/>
                <w:lang w:val="fr-CA"/>
              </w:rPr>
              <w:t xml:space="preserve"> (N.S.) </w:t>
            </w:r>
            <w:r w:rsidRPr="00466183">
              <w:rPr>
                <w:sz w:val="20"/>
                <w:szCs w:val="20"/>
              </w:rPr>
              <w:t>(Civil) (By Leave)</w:t>
            </w:r>
          </w:p>
          <w:p w:rsidR="0079083D" w:rsidRPr="00466183" w:rsidRDefault="0079083D" w:rsidP="00F150E1">
            <w:pPr>
              <w:rPr>
                <w:sz w:val="20"/>
                <w:szCs w:val="20"/>
              </w:rPr>
            </w:pPr>
          </w:p>
        </w:tc>
      </w:tr>
      <w:tr w:rsidR="0079083D" w:rsidRPr="00466183" w:rsidTr="00F150E1">
        <w:trPr>
          <w:cantSplit/>
        </w:trPr>
        <w:tc>
          <w:tcPr>
            <w:tcW w:w="1458" w:type="dxa"/>
          </w:tcPr>
          <w:p w:rsidR="0079083D" w:rsidRPr="00466183" w:rsidRDefault="0079083D" w:rsidP="00F150E1">
            <w:pPr>
              <w:rPr>
                <w:sz w:val="20"/>
                <w:szCs w:val="20"/>
              </w:rPr>
            </w:pPr>
            <w:r w:rsidRPr="00466183">
              <w:rPr>
                <w:sz w:val="20"/>
                <w:szCs w:val="20"/>
              </w:rPr>
              <w:t>Coram :</w:t>
            </w:r>
          </w:p>
        </w:tc>
        <w:tc>
          <w:tcPr>
            <w:tcW w:w="8118" w:type="dxa"/>
          </w:tcPr>
          <w:p w:rsidR="0079083D" w:rsidRPr="00466183" w:rsidRDefault="0079083D" w:rsidP="00F150E1">
            <w:pPr>
              <w:rPr>
                <w:sz w:val="20"/>
                <w:szCs w:val="20"/>
              </w:rPr>
            </w:pPr>
            <w:r w:rsidRPr="00466183">
              <w:rPr>
                <w:rStyle w:val="SCCCoramChar"/>
                <w:sz w:val="20"/>
                <w:szCs w:val="20"/>
                <w:lang w:val="en-CA"/>
              </w:rPr>
              <w:t>McLachlin C.J. and Abella and Cromwell JJ.</w:t>
            </w:r>
          </w:p>
          <w:p w:rsidR="0079083D" w:rsidRPr="00466183" w:rsidRDefault="0079083D" w:rsidP="00F150E1">
            <w:pPr>
              <w:rPr>
                <w:sz w:val="20"/>
                <w:szCs w:val="20"/>
                <w:u w:val="single"/>
              </w:rPr>
            </w:pPr>
          </w:p>
        </w:tc>
      </w:tr>
      <w:tr w:rsidR="0079083D" w:rsidRPr="00CB72E7" w:rsidTr="00F150E1">
        <w:trPr>
          <w:cantSplit/>
        </w:trPr>
        <w:tc>
          <w:tcPr>
            <w:tcW w:w="9576" w:type="dxa"/>
            <w:gridSpan w:val="2"/>
          </w:tcPr>
          <w:p w:rsidR="0079083D" w:rsidRPr="00466183" w:rsidRDefault="0079083D" w:rsidP="00F150E1">
            <w:pPr>
              <w:pStyle w:val="SCCShortJudgment"/>
              <w:rPr>
                <w:szCs w:val="20"/>
              </w:rPr>
            </w:pPr>
            <w:r w:rsidRPr="00466183">
              <w:rPr>
                <w:szCs w:val="20"/>
              </w:rPr>
              <w:t>The application for leave to appeal from the judgment of the Nova Scotia Court of Appeal, Number CA 375964, dated October 18, 2012, is dismissed without costs.</w:t>
            </w:r>
          </w:p>
          <w:p w:rsidR="0079083D" w:rsidRPr="00466183" w:rsidRDefault="0079083D" w:rsidP="00F150E1">
            <w:pPr>
              <w:pStyle w:val="SCCShortJudgment"/>
              <w:ind w:firstLine="0"/>
              <w:rPr>
                <w:szCs w:val="20"/>
              </w:rPr>
            </w:pPr>
          </w:p>
          <w:p w:rsidR="0079083D" w:rsidRPr="00466183" w:rsidRDefault="0079083D" w:rsidP="00F150E1">
            <w:pPr>
              <w:pStyle w:val="SCCShortJudgment"/>
              <w:rPr>
                <w:szCs w:val="20"/>
                <w:lang w:val="fr-CA"/>
              </w:rPr>
            </w:pPr>
            <w:r w:rsidRPr="00466183">
              <w:rPr>
                <w:szCs w:val="20"/>
                <w:lang w:val="fr-CA"/>
              </w:rPr>
              <w:t>La demande d’autorisation d’appel de l’arrêt de la Cour d’appel de la Nouvelle-Écosse, numéro CA 375964, daté du 18 octobre 2012, est rejetée sans dépens.</w:t>
            </w:r>
          </w:p>
        </w:tc>
      </w:tr>
    </w:tbl>
    <w:p w:rsidR="003101AB" w:rsidRPr="0079083D" w:rsidRDefault="003101AB" w:rsidP="003101AB">
      <w:pPr>
        <w:rPr>
          <w:sz w:val="20"/>
          <w:szCs w:val="20"/>
          <w:lang w:val="fr-CA"/>
        </w:rPr>
      </w:pPr>
    </w:p>
    <w:p w:rsidR="003101AB" w:rsidRPr="001B157C" w:rsidRDefault="003101AB" w:rsidP="003101AB">
      <w:pPr>
        <w:rPr>
          <w:sz w:val="20"/>
          <w:szCs w:val="20"/>
          <w:u w:val="single"/>
        </w:rPr>
      </w:pPr>
      <w:r w:rsidRPr="001B157C">
        <w:rPr>
          <w:sz w:val="20"/>
          <w:szCs w:val="20"/>
          <w:u w:val="single"/>
        </w:rPr>
        <w:t>CASE SUMMARY</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5333" w:rsidRPr="00DB4F12" w:rsidTr="00CF3230">
        <w:tc>
          <w:tcPr>
            <w:tcW w:w="5000" w:type="pct"/>
            <w:gridSpan w:val="3"/>
          </w:tcPr>
          <w:p w:rsidR="00815333" w:rsidRPr="00DB4F12" w:rsidRDefault="00815333" w:rsidP="00CF3230">
            <w:pPr>
              <w:jc w:val="both"/>
              <w:rPr>
                <w:sz w:val="20"/>
                <w:szCs w:val="20"/>
              </w:rPr>
            </w:pPr>
            <w:r w:rsidRPr="00DB4F12">
              <w:rPr>
                <w:i/>
                <w:sz w:val="20"/>
                <w:szCs w:val="20"/>
              </w:rPr>
              <w:t>Charter of Rights</w:t>
            </w:r>
            <w:r w:rsidRPr="00DB4F12">
              <w:rPr>
                <w:sz w:val="20"/>
                <w:szCs w:val="20"/>
              </w:rPr>
              <w:t xml:space="preserve"> – Right to Equality – Cruel and unusual treatment – Civil procedure – Costs – Applicant not awarded costs after Respondent filed a Notice of Discontinuance of her action against the Applicant in the Court of Appeal – Whether Applicant should have been awarded her costs – Whether there was bias and discrimination against her</w:t>
            </w:r>
          </w:p>
        </w:tc>
      </w:tr>
      <w:tr w:rsidR="00815333" w:rsidRPr="00DB4F12" w:rsidTr="00CF3230">
        <w:tc>
          <w:tcPr>
            <w:tcW w:w="5000" w:type="pct"/>
            <w:gridSpan w:val="3"/>
          </w:tcPr>
          <w:p w:rsidR="00815333" w:rsidRPr="00DB4F12" w:rsidRDefault="00815333" w:rsidP="00CF3230">
            <w:pPr>
              <w:jc w:val="both"/>
              <w:rPr>
                <w:sz w:val="20"/>
                <w:szCs w:val="20"/>
              </w:rPr>
            </w:pPr>
          </w:p>
        </w:tc>
      </w:tr>
      <w:tr w:rsidR="00815333" w:rsidRPr="00DB4F12" w:rsidTr="00CF3230">
        <w:tc>
          <w:tcPr>
            <w:tcW w:w="5000" w:type="pct"/>
            <w:gridSpan w:val="3"/>
          </w:tcPr>
          <w:p w:rsidR="00815333" w:rsidRPr="00DB4F12" w:rsidRDefault="00815333" w:rsidP="00CF3230">
            <w:pPr>
              <w:jc w:val="both"/>
              <w:rPr>
                <w:sz w:val="20"/>
                <w:szCs w:val="20"/>
              </w:rPr>
            </w:pPr>
            <w:r w:rsidRPr="00DB4F12">
              <w:rPr>
                <w:sz w:val="20"/>
                <w:szCs w:val="20"/>
              </w:rPr>
              <w:t xml:space="preserve">The Respondent, Ms. Raymond, and her former husband went through litigious and acrimonious divorce proceedings.  They were divorced in 1992 but for the next 20 years, the litigation continued as the husband brought numerous applications to have his child support obligations reduced.  He is now married to the Applicant, Ms. Brauer, and together they brought unsuccessful actions against the Crown seeking, </w:t>
            </w:r>
            <w:r w:rsidRPr="00DB4F12">
              <w:rPr>
                <w:i/>
                <w:sz w:val="20"/>
                <w:szCs w:val="20"/>
              </w:rPr>
              <w:t>inter alia</w:t>
            </w:r>
            <w:r w:rsidRPr="00DB4F12">
              <w:rPr>
                <w:sz w:val="20"/>
                <w:szCs w:val="20"/>
              </w:rPr>
              <w:t xml:space="preserve">, damages for the abuse they allegedly suffered at the hands of the justice system.  In 2011, he was enjoined from bringing in his own name or on his behalf by another person, any further proceedings without leave of the court.  Ms. Raymond brought applications before the </w:t>
            </w:r>
            <w:r w:rsidRPr="00DB4F12">
              <w:rPr>
                <w:sz w:val="20"/>
                <w:szCs w:val="20"/>
              </w:rPr>
              <w:lastRenderedPageBreak/>
              <w:t xml:space="preserve">Nova Scotia Supreme Court and Court of Appeal to have the vexatious litigant order extend to Ms. Brauer, for an interim injunction and for a publication ban.  Her applications were dismissed.  In October of 2012, Ms. Raymond filed a Notice of Discontinuance.  Ms. Brauer then filed a motion in the Court of Appeal seeking costs for the discontinuance of the appeal, damages of $35,000 and an order that Ms. Raymond be declared a vexatious litigant.  </w:t>
            </w:r>
          </w:p>
          <w:p w:rsidR="00815333" w:rsidRPr="00DB4F12" w:rsidRDefault="00815333" w:rsidP="00CF3230">
            <w:pPr>
              <w:jc w:val="both"/>
              <w:rPr>
                <w:sz w:val="20"/>
                <w:szCs w:val="20"/>
              </w:rPr>
            </w:pPr>
          </w:p>
        </w:tc>
      </w:tr>
      <w:tr w:rsidR="00815333" w:rsidRPr="00DB4F12" w:rsidTr="00CF3230">
        <w:tc>
          <w:tcPr>
            <w:tcW w:w="2427" w:type="pct"/>
          </w:tcPr>
          <w:p w:rsidR="00815333" w:rsidRPr="00DB4F12" w:rsidRDefault="00815333" w:rsidP="00CF3230">
            <w:pPr>
              <w:jc w:val="both"/>
              <w:rPr>
                <w:sz w:val="20"/>
                <w:szCs w:val="20"/>
              </w:rPr>
            </w:pPr>
            <w:r w:rsidRPr="00DB4F12">
              <w:rPr>
                <w:sz w:val="20"/>
                <w:szCs w:val="20"/>
              </w:rPr>
              <w:lastRenderedPageBreak/>
              <w:t>October 18, 2012</w:t>
            </w:r>
          </w:p>
          <w:p w:rsidR="00815333" w:rsidRPr="00DB4F12" w:rsidRDefault="00815333" w:rsidP="00CF3230">
            <w:pPr>
              <w:jc w:val="both"/>
              <w:rPr>
                <w:sz w:val="20"/>
                <w:szCs w:val="20"/>
              </w:rPr>
            </w:pPr>
            <w:r w:rsidRPr="00DB4F12">
              <w:rPr>
                <w:sz w:val="20"/>
                <w:szCs w:val="20"/>
              </w:rPr>
              <w:t>Nova Scotia Court of Appeal</w:t>
            </w:r>
          </w:p>
          <w:p w:rsidR="00815333" w:rsidRPr="00DB4F12" w:rsidRDefault="00815333" w:rsidP="00CF3230">
            <w:pPr>
              <w:jc w:val="both"/>
              <w:rPr>
                <w:sz w:val="20"/>
                <w:szCs w:val="20"/>
              </w:rPr>
            </w:pPr>
            <w:r w:rsidRPr="00DB4F12">
              <w:rPr>
                <w:sz w:val="20"/>
                <w:szCs w:val="20"/>
              </w:rPr>
              <w:t>(Farrar J.A.)</w:t>
            </w: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rPr>
            </w:pPr>
            <w:r w:rsidRPr="00DB4F12">
              <w:rPr>
                <w:sz w:val="20"/>
                <w:szCs w:val="20"/>
              </w:rPr>
              <w:t xml:space="preserve">Applicant’s motion for costs of the discontinuance, damages of $35,000 and to have Respondent declared a vexatious litigant dismissed.  </w:t>
            </w:r>
          </w:p>
          <w:p w:rsidR="00815333" w:rsidRPr="00DB4F12" w:rsidRDefault="00815333" w:rsidP="00CF3230">
            <w:pPr>
              <w:jc w:val="both"/>
              <w:rPr>
                <w:sz w:val="20"/>
                <w:szCs w:val="20"/>
              </w:rPr>
            </w:pPr>
          </w:p>
        </w:tc>
      </w:tr>
      <w:tr w:rsidR="00815333" w:rsidRPr="00DB4F12" w:rsidTr="00CF3230">
        <w:tc>
          <w:tcPr>
            <w:tcW w:w="2427" w:type="pct"/>
          </w:tcPr>
          <w:p w:rsidR="00815333" w:rsidRPr="00DB4F12" w:rsidRDefault="00815333" w:rsidP="00CF3230">
            <w:pPr>
              <w:jc w:val="both"/>
              <w:rPr>
                <w:sz w:val="20"/>
                <w:szCs w:val="20"/>
              </w:rPr>
            </w:pPr>
            <w:r w:rsidRPr="00DB4F12">
              <w:rPr>
                <w:sz w:val="20"/>
                <w:szCs w:val="20"/>
              </w:rPr>
              <w:t>November 27, 2012</w:t>
            </w:r>
          </w:p>
          <w:p w:rsidR="00815333" w:rsidRPr="00DB4F12" w:rsidRDefault="00815333" w:rsidP="00CF3230">
            <w:pPr>
              <w:jc w:val="both"/>
              <w:rPr>
                <w:sz w:val="20"/>
                <w:szCs w:val="20"/>
              </w:rPr>
            </w:pPr>
            <w:r w:rsidRPr="00DB4F12">
              <w:rPr>
                <w:sz w:val="20"/>
                <w:szCs w:val="20"/>
              </w:rPr>
              <w:t>Supreme Court of Canada</w:t>
            </w: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rPr>
            </w:pPr>
            <w:r w:rsidRPr="00DB4F12">
              <w:rPr>
                <w:sz w:val="20"/>
                <w:szCs w:val="20"/>
              </w:rPr>
              <w:t>Application for leave to appeal filed</w:t>
            </w:r>
          </w:p>
        </w:tc>
      </w:tr>
    </w:tbl>
    <w:p w:rsidR="003101AB" w:rsidRPr="00C50A5C" w:rsidRDefault="003101AB" w:rsidP="003101AB">
      <w:pPr>
        <w:rPr>
          <w:sz w:val="20"/>
          <w:szCs w:val="20"/>
        </w:rPr>
      </w:pPr>
    </w:p>
    <w:p w:rsidR="003101AB" w:rsidRPr="00C50A5C" w:rsidRDefault="003F21C7" w:rsidP="003101AB">
      <w:pPr>
        <w:rPr>
          <w:sz w:val="20"/>
          <w:szCs w:val="20"/>
        </w:rPr>
      </w:pPr>
      <w:r w:rsidRPr="003F21C7">
        <w:rPr>
          <w:sz w:val="20"/>
          <w:szCs w:val="20"/>
          <w:lang w:val="fr-CA"/>
        </w:rPr>
        <w:pict>
          <v:rect id="_x0000_i1068" style="width:2in;height:1pt" o:hrpct="0" o:hralign="center" o:hrstd="t" o:hrnoshade="t" o:hr="t" fillcolor="black [3213]" stroked="f"/>
        </w:pict>
      </w:r>
    </w:p>
    <w:p w:rsidR="003101AB" w:rsidRDefault="003101AB" w:rsidP="003101AB">
      <w:pPr>
        <w:rPr>
          <w:sz w:val="20"/>
          <w:szCs w:val="20"/>
        </w:rPr>
      </w:pPr>
    </w:p>
    <w:p w:rsidR="003101AB" w:rsidRPr="001B157C" w:rsidRDefault="003101AB" w:rsidP="003101AB">
      <w:pPr>
        <w:rPr>
          <w:sz w:val="20"/>
          <w:szCs w:val="20"/>
          <w:u w:val="single"/>
          <w:lang w:val="fr-CA"/>
        </w:rPr>
      </w:pPr>
      <w:r w:rsidRPr="001B157C">
        <w:rPr>
          <w:sz w:val="20"/>
          <w:szCs w:val="20"/>
          <w:u w:val="single"/>
          <w:lang w:val="fr-CA"/>
        </w:rPr>
        <w:t>RÉSUMÉ DE L’AFFAIRE</w:t>
      </w:r>
    </w:p>
    <w:p w:rsidR="003101AB" w:rsidRDefault="003101AB" w:rsidP="003101A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5333" w:rsidRPr="00CB72E7" w:rsidTr="00CF3230">
        <w:tc>
          <w:tcPr>
            <w:tcW w:w="5000" w:type="pct"/>
            <w:gridSpan w:val="3"/>
          </w:tcPr>
          <w:p w:rsidR="00815333" w:rsidRPr="00DB4F12" w:rsidRDefault="00815333" w:rsidP="00CF3230">
            <w:pPr>
              <w:jc w:val="both"/>
              <w:rPr>
                <w:sz w:val="20"/>
                <w:szCs w:val="20"/>
                <w:lang w:val="fr-FR"/>
              </w:rPr>
            </w:pPr>
            <w:r w:rsidRPr="00DB4F12">
              <w:rPr>
                <w:i/>
                <w:sz w:val="20"/>
                <w:szCs w:val="20"/>
                <w:lang w:val="fr-FR"/>
              </w:rPr>
              <w:t>Charte des droits</w:t>
            </w:r>
            <w:r w:rsidRPr="00DB4F12">
              <w:rPr>
                <w:sz w:val="20"/>
                <w:szCs w:val="20"/>
                <w:lang w:val="fr-FR"/>
              </w:rPr>
              <w:t xml:space="preserve"> – Droit à l’égalité – Traitement cruel et inusité – Procédure civile – Dépens – Dépens refusés à la demanderesse après le dépôt, par l’intimée, d’un avis de désistement de l’action qu’elle a intentée contre la demanderesse en Cour d’appel – La demanderesse devrait-elle avoir droit à ses dépens? – A-t-on fait preuve de partialité et de discrimination envers elle? </w:t>
            </w:r>
          </w:p>
        </w:tc>
      </w:tr>
      <w:tr w:rsidR="00815333" w:rsidRPr="00CB72E7" w:rsidTr="00CF3230">
        <w:tc>
          <w:tcPr>
            <w:tcW w:w="5000" w:type="pct"/>
            <w:gridSpan w:val="3"/>
          </w:tcPr>
          <w:p w:rsidR="00815333" w:rsidRPr="00DB4F12" w:rsidRDefault="00815333" w:rsidP="00CF3230">
            <w:pPr>
              <w:jc w:val="both"/>
              <w:rPr>
                <w:sz w:val="20"/>
                <w:szCs w:val="20"/>
                <w:lang w:val="fr-FR"/>
              </w:rPr>
            </w:pPr>
          </w:p>
        </w:tc>
      </w:tr>
      <w:tr w:rsidR="00815333" w:rsidRPr="00CB72E7" w:rsidTr="00CF3230">
        <w:tc>
          <w:tcPr>
            <w:tcW w:w="5000" w:type="pct"/>
            <w:gridSpan w:val="3"/>
          </w:tcPr>
          <w:p w:rsidR="00815333" w:rsidRPr="00DB4F12" w:rsidRDefault="00815333" w:rsidP="00CF3230">
            <w:pPr>
              <w:jc w:val="both"/>
              <w:rPr>
                <w:sz w:val="20"/>
                <w:szCs w:val="20"/>
                <w:lang w:val="fr-FR"/>
              </w:rPr>
            </w:pPr>
            <w:r w:rsidRPr="00DB4F12">
              <w:rPr>
                <w:sz w:val="20"/>
                <w:szCs w:val="20"/>
                <w:lang w:val="fr-FR"/>
              </w:rPr>
              <w:t>L’intimée, M</w:t>
            </w:r>
            <w:r w:rsidRPr="00DB4F12">
              <w:rPr>
                <w:sz w:val="20"/>
                <w:szCs w:val="20"/>
                <w:vertAlign w:val="superscript"/>
                <w:lang w:val="fr-FR"/>
              </w:rPr>
              <w:t>me</w:t>
            </w:r>
            <w:r w:rsidRPr="00DB4F12">
              <w:rPr>
                <w:sz w:val="20"/>
                <w:szCs w:val="20"/>
                <w:lang w:val="fr-FR"/>
              </w:rPr>
              <w:t> Raymond, et son ex-mari ont connu une procédure de divorce tumultueuse et acrimonieuse.  Ils ont divorcé en 1992, mais le litige s’est poursuivi au cours des 20 années suivantes, l’époux présentant de nombreuses demandes en vue de faire réduire le montant de ses obligations alimentaires envers les enfants.  Il est désormais marié à la demanderesse, M</w:t>
            </w:r>
            <w:r w:rsidRPr="00DB4F12">
              <w:rPr>
                <w:sz w:val="20"/>
                <w:szCs w:val="20"/>
                <w:vertAlign w:val="superscript"/>
                <w:lang w:val="fr-FR"/>
              </w:rPr>
              <w:t>me</w:t>
            </w:r>
            <w:r w:rsidRPr="00DB4F12">
              <w:rPr>
                <w:sz w:val="20"/>
                <w:szCs w:val="20"/>
                <w:lang w:val="fr-FR"/>
              </w:rPr>
              <w:t> Brauer, et ils ont intenté ensemble sans succès des actions contre le ministère public en vue d’obtenir notamment des dommages-intérêts pour l’abus qu’ils auraient subi aux mains du système de justice.  In 2011, on a interdit à l’époux d’intenter, en son propre nom ou au nom d’autrui, d’autres poursuites sans l’autorisation de la cour.  M</w:t>
            </w:r>
            <w:r w:rsidRPr="00DB4F12">
              <w:rPr>
                <w:sz w:val="20"/>
                <w:szCs w:val="20"/>
                <w:vertAlign w:val="superscript"/>
                <w:lang w:val="fr-FR"/>
              </w:rPr>
              <w:t>me</w:t>
            </w:r>
            <w:r w:rsidRPr="00DB4F12">
              <w:rPr>
                <w:sz w:val="20"/>
                <w:szCs w:val="20"/>
                <w:lang w:val="fr-FR"/>
              </w:rPr>
              <w:t> Raymond a déposé des demandes en Cour suprême et en Cour d’appel de la Nouvelle-Écosse pour que l’ordonnance déclarant l’époux plaideur quérulent s’applique à M</w:t>
            </w:r>
            <w:r w:rsidRPr="00DB4F12">
              <w:rPr>
                <w:sz w:val="20"/>
                <w:szCs w:val="20"/>
                <w:vertAlign w:val="superscript"/>
                <w:lang w:val="fr-FR"/>
              </w:rPr>
              <w:t>me</w:t>
            </w:r>
            <w:r w:rsidRPr="00DB4F12">
              <w:rPr>
                <w:sz w:val="20"/>
                <w:szCs w:val="20"/>
                <w:lang w:val="fr-FR"/>
              </w:rPr>
              <w:t xml:space="preserve"> Brauer, et en vue d’obtenir une injonction interlocutoire et une ordonnance de non-publication.  Ses demandes ont été rejetées.  </w:t>
            </w:r>
            <w:r w:rsidRPr="00DB4F12">
              <w:rPr>
                <w:sz w:val="20"/>
                <w:szCs w:val="20"/>
                <w:lang w:val="fr-CA"/>
              </w:rPr>
              <w:t xml:space="preserve">Elle a déposé un avis de désistement en octobre 2012.  </w:t>
            </w:r>
            <w:r w:rsidRPr="00DB4F12">
              <w:rPr>
                <w:sz w:val="20"/>
                <w:szCs w:val="20"/>
                <w:lang w:val="fr-FR"/>
              </w:rPr>
              <w:t>M</w:t>
            </w:r>
            <w:r w:rsidRPr="00DB4F12">
              <w:rPr>
                <w:sz w:val="20"/>
                <w:szCs w:val="20"/>
                <w:vertAlign w:val="superscript"/>
                <w:lang w:val="fr-FR"/>
              </w:rPr>
              <w:t>me</w:t>
            </w:r>
            <w:r w:rsidRPr="00DB4F12">
              <w:rPr>
                <w:sz w:val="20"/>
                <w:szCs w:val="20"/>
                <w:lang w:val="fr-FR"/>
              </w:rPr>
              <w:t> Brauer a alors présenté à la Cour d’appel une requête dans laquelle elle sollicite les dépens afférents au désistement de l’appel des dommages-intérêts de 35 000 $ et une ordonnance déclarant M</w:t>
            </w:r>
            <w:r w:rsidRPr="00DB4F12">
              <w:rPr>
                <w:sz w:val="20"/>
                <w:szCs w:val="20"/>
                <w:vertAlign w:val="superscript"/>
                <w:lang w:val="fr-FR"/>
              </w:rPr>
              <w:t>me </w:t>
            </w:r>
            <w:r w:rsidRPr="00DB4F12">
              <w:rPr>
                <w:sz w:val="20"/>
                <w:szCs w:val="20"/>
                <w:lang w:val="fr-FR"/>
              </w:rPr>
              <w:t xml:space="preserve">Raymond plaideuse quérulente.   </w:t>
            </w:r>
          </w:p>
          <w:p w:rsidR="00815333" w:rsidRPr="00DB4F12" w:rsidRDefault="00815333" w:rsidP="00CF3230">
            <w:pPr>
              <w:jc w:val="both"/>
              <w:rPr>
                <w:sz w:val="20"/>
                <w:szCs w:val="20"/>
                <w:lang w:val="fr-FR"/>
              </w:rPr>
            </w:pPr>
          </w:p>
        </w:tc>
      </w:tr>
      <w:tr w:rsidR="00815333" w:rsidRPr="00CB72E7" w:rsidTr="00CF3230">
        <w:tc>
          <w:tcPr>
            <w:tcW w:w="2427" w:type="pct"/>
          </w:tcPr>
          <w:p w:rsidR="00815333" w:rsidRPr="00DB4F12" w:rsidRDefault="00815333" w:rsidP="00CF3230">
            <w:pPr>
              <w:jc w:val="both"/>
              <w:rPr>
                <w:sz w:val="20"/>
                <w:szCs w:val="20"/>
                <w:lang w:val="fr-FR"/>
              </w:rPr>
            </w:pPr>
            <w:r w:rsidRPr="00DB4F12">
              <w:rPr>
                <w:sz w:val="20"/>
                <w:szCs w:val="20"/>
                <w:lang w:val="fr-FR"/>
              </w:rPr>
              <w:t>18 octobre 2012</w:t>
            </w:r>
          </w:p>
          <w:p w:rsidR="00815333" w:rsidRPr="00DB4F12" w:rsidRDefault="00815333" w:rsidP="00CF3230">
            <w:pPr>
              <w:jc w:val="both"/>
              <w:rPr>
                <w:sz w:val="20"/>
                <w:szCs w:val="20"/>
                <w:lang w:val="fr-FR"/>
              </w:rPr>
            </w:pPr>
            <w:r w:rsidRPr="00DB4F12">
              <w:rPr>
                <w:sz w:val="20"/>
                <w:szCs w:val="20"/>
                <w:lang w:val="fr-FR"/>
              </w:rPr>
              <w:t>Cour d’appel de la Nouvelle-Écosse</w:t>
            </w:r>
          </w:p>
          <w:p w:rsidR="00815333" w:rsidRPr="00DB4F12" w:rsidRDefault="00815333" w:rsidP="00CF3230">
            <w:pPr>
              <w:jc w:val="both"/>
              <w:rPr>
                <w:sz w:val="20"/>
                <w:szCs w:val="20"/>
              </w:rPr>
            </w:pPr>
            <w:r w:rsidRPr="00DB4F12">
              <w:rPr>
                <w:sz w:val="20"/>
                <w:szCs w:val="20"/>
              </w:rPr>
              <w:t>(Juge Farrar)</w:t>
            </w:r>
          </w:p>
          <w:p w:rsidR="00815333" w:rsidRPr="00DB4F12" w:rsidRDefault="00815333" w:rsidP="00CF3230">
            <w:pPr>
              <w:jc w:val="both"/>
              <w:rPr>
                <w:sz w:val="20"/>
                <w:szCs w:val="20"/>
              </w:rPr>
            </w:pPr>
          </w:p>
        </w:tc>
        <w:tc>
          <w:tcPr>
            <w:tcW w:w="243" w:type="pct"/>
          </w:tcPr>
          <w:p w:rsidR="00815333" w:rsidRPr="00DB4F12" w:rsidRDefault="00815333" w:rsidP="00CF3230">
            <w:pPr>
              <w:jc w:val="both"/>
              <w:rPr>
                <w:sz w:val="20"/>
                <w:szCs w:val="20"/>
              </w:rPr>
            </w:pPr>
          </w:p>
        </w:tc>
        <w:tc>
          <w:tcPr>
            <w:tcW w:w="2330" w:type="pct"/>
          </w:tcPr>
          <w:p w:rsidR="00815333" w:rsidRPr="00DB4F12" w:rsidRDefault="00815333" w:rsidP="00CF3230">
            <w:pPr>
              <w:jc w:val="both"/>
              <w:rPr>
                <w:sz w:val="20"/>
                <w:szCs w:val="20"/>
                <w:lang w:val="fr-FR"/>
              </w:rPr>
            </w:pPr>
            <w:r w:rsidRPr="00DB4F12">
              <w:rPr>
                <w:sz w:val="20"/>
                <w:szCs w:val="20"/>
                <w:lang w:val="fr-FR"/>
              </w:rPr>
              <w:t>Requête de la demanderesse visant à obtenir les dépens afférents au désistement et des dommages-intérêts de 35 000 $, et à faire déclarer l’intimée plaideuse quérulente  rejetée</w:t>
            </w:r>
          </w:p>
          <w:p w:rsidR="00815333" w:rsidRPr="00DB4F12" w:rsidRDefault="00815333" w:rsidP="00CF3230">
            <w:pPr>
              <w:jc w:val="both"/>
              <w:rPr>
                <w:sz w:val="20"/>
                <w:szCs w:val="20"/>
                <w:lang w:val="fr-FR"/>
              </w:rPr>
            </w:pPr>
          </w:p>
        </w:tc>
      </w:tr>
      <w:tr w:rsidR="00815333" w:rsidRPr="00DB4F12" w:rsidTr="00CF3230">
        <w:tc>
          <w:tcPr>
            <w:tcW w:w="2427" w:type="pct"/>
          </w:tcPr>
          <w:p w:rsidR="00815333" w:rsidRPr="00DB4F12" w:rsidRDefault="00815333" w:rsidP="00CF3230">
            <w:pPr>
              <w:jc w:val="both"/>
              <w:rPr>
                <w:sz w:val="20"/>
                <w:szCs w:val="20"/>
                <w:lang w:val="fr-FR"/>
              </w:rPr>
            </w:pPr>
            <w:r w:rsidRPr="00DB4F12">
              <w:rPr>
                <w:sz w:val="20"/>
                <w:szCs w:val="20"/>
                <w:lang w:val="fr-FR"/>
              </w:rPr>
              <w:t>27 novembre 2012</w:t>
            </w:r>
          </w:p>
          <w:p w:rsidR="00815333" w:rsidRPr="00DB4F12" w:rsidRDefault="00815333" w:rsidP="00CF3230">
            <w:pPr>
              <w:jc w:val="both"/>
              <w:rPr>
                <w:sz w:val="20"/>
                <w:szCs w:val="20"/>
                <w:lang w:val="fr-FR"/>
              </w:rPr>
            </w:pPr>
            <w:r w:rsidRPr="00DB4F12">
              <w:rPr>
                <w:sz w:val="20"/>
                <w:szCs w:val="20"/>
                <w:lang w:val="fr-FR"/>
              </w:rPr>
              <w:t>Cour suprême du Canada</w:t>
            </w:r>
          </w:p>
        </w:tc>
        <w:tc>
          <w:tcPr>
            <w:tcW w:w="243" w:type="pct"/>
          </w:tcPr>
          <w:p w:rsidR="00815333" w:rsidRPr="00DB4F12" w:rsidRDefault="00815333" w:rsidP="00CF3230">
            <w:pPr>
              <w:jc w:val="both"/>
              <w:rPr>
                <w:sz w:val="20"/>
                <w:szCs w:val="20"/>
                <w:lang w:val="fr-FR"/>
              </w:rPr>
            </w:pPr>
          </w:p>
        </w:tc>
        <w:tc>
          <w:tcPr>
            <w:tcW w:w="2330" w:type="pct"/>
          </w:tcPr>
          <w:p w:rsidR="00815333" w:rsidRPr="008779EE" w:rsidRDefault="00815333" w:rsidP="00CF3230">
            <w:pPr>
              <w:jc w:val="both"/>
              <w:rPr>
                <w:sz w:val="20"/>
                <w:szCs w:val="20"/>
                <w:lang w:val="fr-CA"/>
              </w:rPr>
            </w:pPr>
            <w:r w:rsidRPr="008779EE">
              <w:rPr>
                <w:sz w:val="20"/>
                <w:szCs w:val="20"/>
                <w:lang w:val="fr-CA"/>
              </w:rPr>
              <w:t xml:space="preserve">Demande d’autorisation d’appel déposée </w:t>
            </w:r>
          </w:p>
        </w:tc>
      </w:tr>
    </w:tbl>
    <w:p w:rsidR="003101AB" w:rsidRDefault="003101AB" w:rsidP="003101AB">
      <w:pPr>
        <w:rPr>
          <w:sz w:val="20"/>
          <w:szCs w:val="20"/>
        </w:rPr>
      </w:pPr>
    </w:p>
    <w:p w:rsidR="003101AB" w:rsidRDefault="003F21C7" w:rsidP="003101AB">
      <w:pPr>
        <w:rPr>
          <w:sz w:val="20"/>
          <w:szCs w:val="20"/>
          <w:lang w:val="fr-CA"/>
        </w:rPr>
      </w:pPr>
      <w:r w:rsidRPr="003F21C7">
        <w:rPr>
          <w:sz w:val="20"/>
          <w:szCs w:val="20"/>
          <w:lang w:val="fr-CA"/>
        </w:rPr>
        <w:pict>
          <v:rect id="_x0000_i1069" style="width:2in;height:1pt" o:hrpct="0" o:hralign="center" o:hrstd="t" o:hrnoshade="t" o:hr="t" fillcolor="black [3213]" stroked="f"/>
        </w:pict>
      </w:r>
    </w:p>
    <w:p w:rsidR="003101AB" w:rsidRDefault="003101AB" w:rsidP="003101AB">
      <w:pPr>
        <w:rPr>
          <w:sz w:val="20"/>
          <w:szCs w:val="20"/>
        </w:rPr>
      </w:pPr>
    </w:p>
    <w:p w:rsidR="00ED3F56" w:rsidRDefault="00ED3F56" w:rsidP="008D292F">
      <w:pPr>
        <w:rPr>
          <w:sz w:val="20"/>
          <w:szCs w:val="20"/>
          <w:lang w:val="fr-CA"/>
        </w:rPr>
      </w:pPr>
    </w:p>
    <w:p w:rsidR="00ED3F56" w:rsidRDefault="00ED3F56"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FD37D8" w:rsidRPr="00FD37D8" w:rsidRDefault="00FD37D8" w:rsidP="00FD37D8">
      <w:pPr>
        <w:tabs>
          <w:tab w:val="left" w:pos="-1440"/>
          <w:tab w:val="left" w:pos="-720"/>
        </w:tabs>
        <w:jc w:val="both"/>
        <w:rPr>
          <w:rFonts w:eastAsia="Times New Roman" w:cs="Times New Roman"/>
          <w:sz w:val="20"/>
          <w:szCs w:val="20"/>
          <w:lang w:eastAsia="en-CA"/>
        </w:rPr>
      </w:pPr>
      <w:r w:rsidRPr="00FD37D8">
        <w:rPr>
          <w:rFonts w:eastAsia="Times New Roman" w:cs="Times New Roman"/>
          <w:sz w:val="20"/>
          <w:szCs w:val="20"/>
          <w:lang w:eastAsia="en-CA"/>
        </w:rPr>
        <w:t>22.02.2013</w:t>
      </w:r>
    </w:p>
    <w:p w:rsidR="00FD37D8" w:rsidRPr="00FD37D8" w:rsidRDefault="00FD37D8" w:rsidP="00FD37D8">
      <w:pPr>
        <w:tabs>
          <w:tab w:val="left" w:pos="-1440"/>
          <w:tab w:val="left" w:pos="-720"/>
        </w:tabs>
        <w:jc w:val="both"/>
        <w:rPr>
          <w:rFonts w:eastAsia="Times New Roman" w:cs="Times New Roman"/>
          <w:sz w:val="20"/>
          <w:szCs w:val="20"/>
          <w:lang w:eastAsia="en-CA"/>
        </w:rPr>
      </w:pPr>
    </w:p>
    <w:p w:rsidR="00FD37D8" w:rsidRPr="00FD37D8" w:rsidRDefault="00FD37D8" w:rsidP="00FD37D8">
      <w:pPr>
        <w:tabs>
          <w:tab w:val="left" w:pos="-1440"/>
          <w:tab w:val="left" w:pos="-720"/>
        </w:tabs>
        <w:jc w:val="both"/>
        <w:rPr>
          <w:rFonts w:eastAsia="Times New Roman" w:cs="Times New Roman"/>
          <w:sz w:val="20"/>
          <w:szCs w:val="20"/>
          <w:lang w:eastAsia="en-CA"/>
        </w:rPr>
      </w:pPr>
      <w:r w:rsidRPr="00FD37D8">
        <w:rPr>
          <w:rFonts w:eastAsia="Times New Roman" w:cs="Times New Roman"/>
          <w:sz w:val="20"/>
          <w:szCs w:val="20"/>
          <w:lang w:eastAsia="en-CA"/>
        </w:rPr>
        <w:t>Before / Devant :   THE REGISTRAR / LE REGISTRAIRE</w:t>
      </w:r>
    </w:p>
    <w:p w:rsidR="00FD37D8" w:rsidRPr="00FD37D8" w:rsidRDefault="00FD37D8" w:rsidP="00FD37D8">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D37D8" w:rsidRPr="00CB72E7" w:rsidTr="005F1FCE">
        <w:tc>
          <w:tcPr>
            <w:tcW w:w="4338" w:type="dxa"/>
          </w:tcPr>
          <w:p w:rsidR="00FD37D8" w:rsidRPr="00FD37D8" w:rsidRDefault="003F21C7" w:rsidP="00FD37D8">
            <w:pPr>
              <w:tabs>
                <w:tab w:val="left" w:pos="-1440"/>
                <w:tab w:val="left" w:pos="-720"/>
              </w:tabs>
              <w:jc w:val="both"/>
              <w:rPr>
                <w:b/>
              </w:rPr>
            </w:pPr>
            <w:r w:rsidRPr="00FD37D8">
              <w:rPr>
                <w:lang w:val="en-US"/>
              </w:rPr>
              <w:fldChar w:fldCharType="begin"/>
            </w:r>
            <w:r w:rsidR="00FD37D8" w:rsidRPr="00FD37D8">
              <w:rPr>
                <w:lang w:val="en-US"/>
              </w:rPr>
              <w:instrText xml:space="preserve"> SEQ CHAPTER \h \r 1</w:instrText>
            </w:r>
            <w:r w:rsidRPr="00FD37D8">
              <w:rPr>
                <w:lang w:val="en-US"/>
              </w:rPr>
              <w:fldChar w:fldCharType="end"/>
            </w:r>
            <w:r w:rsidR="00FD37D8" w:rsidRPr="00FD37D8">
              <w:rPr>
                <w:b/>
                <w:bCs/>
                <w:lang w:val="en-US"/>
              </w:rPr>
              <w:t>Motion to extend the time to serve and file the applicant’s reply to February 21, 2013</w:t>
            </w:r>
            <w:r w:rsidR="00FD37D8" w:rsidRPr="00FD37D8">
              <w:rPr>
                <w:lang w:val="en-US"/>
              </w:rPr>
              <w:t xml:space="preserve"> </w:t>
            </w:r>
            <w:r w:rsidRPr="00FD37D8">
              <w:rPr>
                <w:lang w:val="en-US"/>
              </w:rPr>
              <w:fldChar w:fldCharType="begin"/>
            </w:r>
            <w:r w:rsidR="00FD37D8" w:rsidRPr="00FD37D8">
              <w:rPr>
                <w:lang w:val="en-US"/>
              </w:rPr>
              <w:instrText xml:space="preserve"> SEQ CHAPTER \h \r 1</w:instrText>
            </w:r>
            <w:r w:rsidRPr="00FD37D8">
              <w:rPr>
                <w:lang w:val="en-US"/>
              </w:rPr>
              <w:fldChar w:fldCharType="end"/>
            </w:r>
          </w:p>
        </w:tc>
        <w:tc>
          <w:tcPr>
            <w:tcW w:w="1170" w:type="dxa"/>
          </w:tcPr>
          <w:p w:rsidR="00FD37D8" w:rsidRPr="00FD37D8" w:rsidRDefault="00FD37D8" w:rsidP="00FD37D8">
            <w:pPr>
              <w:tabs>
                <w:tab w:val="left" w:pos="-1440"/>
                <w:tab w:val="left" w:pos="-720"/>
              </w:tabs>
              <w:jc w:val="both"/>
            </w:pPr>
          </w:p>
          <w:p w:rsidR="00FD37D8" w:rsidRPr="00FD37D8" w:rsidRDefault="00FD37D8" w:rsidP="00FD37D8">
            <w:pPr>
              <w:tabs>
                <w:tab w:val="left" w:pos="-1440"/>
                <w:tab w:val="left" w:pos="-720"/>
              </w:tabs>
              <w:jc w:val="both"/>
            </w:pPr>
          </w:p>
          <w:p w:rsidR="00FD37D8" w:rsidRPr="00FD37D8" w:rsidRDefault="00FD37D8" w:rsidP="00FD37D8">
            <w:pPr>
              <w:tabs>
                <w:tab w:val="left" w:pos="-1440"/>
                <w:tab w:val="left" w:pos="-720"/>
              </w:tabs>
              <w:jc w:val="both"/>
            </w:pPr>
          </w:p>
          <w:p w:rsidR="00FD37D8" w:rsidRPr="00FD37D8" w:rsidRDefault="00FD37D8" w:rsidP="00FD37D8">
            <w:pPr>
              <w:tabs>
                <w:tab w:val="left" w:pos="-1440"/>
                <w:tab w:val="left" w:pos="-720"/>
              </w:tabs>
              <w:jc w:val="both"/>
            </w:pPr>
          </w:p>
        </w:tc>
        <w:tc>
          <w:tcPr>
            <w:tcW w:w="4327" w:type="dxa"/>
          </w:tcPr>
          <w:p w:rsidR="00FD37D8" w:rsidRPr="00FD37D8" w:rsidRDefault="003F21C7" w:rsidP="00FD37D8">
            <w:pPr>
              <w:tabs>
                <w:tab w:val="left" w:pos="-1440"/>
                <w:tab w:val="left" w:pos="-720"/>
              </w:tabs>
              <w:jc w:val="both"/>
              <w:rPr>
                <w:lang w:val="fr-CA"/>
              </w:rPr>
            </w:pPr>
            <w:r w:rsidRPr="00FD37D8">
              <w:rPr>
                <w:lang w:val="en-US"/>
              </w:rPr>
              <w:fldChar w:fldCharType="begin"/>
            </w:r>
            <w:r w:rsidR="00FD37D8" w:rsidRPr="00FD37D8">
              <w:rPr>
                <w:lang w:val="fr-CA"/>
              </w:rPr>
              <w:instrText xml:space="preserve"> SEQ CHAPTER \h \r 1</w:instrText>
            </w:r>
            <w:r w:rsidRPr="00FD37D8">
              <w:rPr>
                <w:lang w:val="en-US"/>
              </w:rPr>
              <w:fldChar w:fldCharType="end"/>
            </w:r>
            <w:r w:rsidR="00FD37D8" w:rsidRPr="00FD37D8">
              <w:rPr>
                <w:b/>
                <w:bCs/>
                <w:lang w:val="fr-CA"/>
              </w:rPr>
              <w:t>Requête en prorogation du délai de signification et de dépôt de la réplique du demandeur jusqu’au 21 février 2013</w:t>
            </w:r>
            <w:r w:rsidRPr="00FD37D8">
              <w:rPr>
                <w:lang w:val="en-US"/>
              </w:rPr>
              <w:fldChar w:fldCharType="begin"/>
            </w:r>
            <w:r w:rsidR="00FD37D8" w:rsidRPr="00FD37D8">
              <w:rPr>
                <w:lang w:val="fr-CA"/>
              </w:rPr>
              <w:instrText xml:space="preserve"> SEQ CHAPTER \h \r 1</w:instrText>
            </w:r>
            <w:r w:rsidRPr="00FD37D8">
              <w:rPr>
                <w:lang w:val="en-US"/>
              </w:rPr>
              <w:fldChar w:fldCharType="end"/>
            </w:r>
            <w:r w:rsidRPr="00FD37D8">
              <w:rPr>
                <w:lang w:val="en-US"/>
              </w:rPr>
              <w:fldChar w:fldCharType="begin"/>
            </w:r>
            <w:r w:rsidR="00FD37D8" w:rsidRPr="00FD37D8">
              <w:rPr>
                <w:lang w:val="fr-CA"/>
              </w:rPr>
              <w:instrText xml:space="preserve"> SEQ CHAPTER \h \r 1</w:instrText>
            </w:r>
            <w:r w:rsidRPr="00FD37D8">
              <w:rPr>
                <w:lang w:val="en-US"/>
              </w:rPr>
              <w:fldChar w:fldCharType="end"/>
            </w:r>
            <w:r w:rsidRPr="00FD37D8">
              <w:rPr>
                <w:lang w:val="en-US"/>
              </w:rPr>
              <w:fldChar w:fldCharType="begin"/>
            </w:r>
            <w:r w:rsidR="00FD37D8" w:rsidRPr="00FD37D8">
              <w:rPr>
                <w:lang w:val="fr-CA"/>
              </w:rPr>
              <w:instrText xml:space="preserve"> SEQ CHAPTER \h \r 1</w:instrText>
            </w:r>
            <w:r w:rsidRPr="00FD37D8">
              <w:rPr>
                <w:lang w:val="en-US"/>
              </w:rPr>
              <w:fldChar w:fldCharType="end"/>
            </w:r>
          </w:p>
        </w:tc>
      </w:tr>
      <w:tr w:rsidR="00FD37D8" w:rsidRPr="00FD37D8" w:rsidTr="005F1FCE">
        <w:tc>
          <w:tcPr>
            <w:tcW w:w="4338" w:type="dxa"/>
          </w:tcPr>
          <w:p w:rsidR="00FD37D8" w:rsidRPr="00FD37D8" w:rsidRDefault="00FD37D8" w:rsidP="00FD37D8">
            <w:pPr>
              <w:tabs>
                <w:tab w:val="left" w:pos="-1440"/>
                <w:tab w:val="left" w:pos="-720"/>
              </w:tabs>
              <w:jc w:val="both"/>
            </w:pPr>
            <w:r w:rsidRPr="00FD37D8">
              <w:t>Attorney General of Ontario</w:t>
            </w:r>
          </w:p>
          <w:p w:rsidR="00FD37D8" w:rsidRPr="00FD37D8" w:rsidRDefault="00FD37D8" w:rsidP="00FD37D8">
            <w:pPr>
              <w:tabs>
                <w:tab w:val="left" w:pos="-1440"/>
                <w:tab w:val="left" w:pos="-720"/>
              </w:tabs>
              <w:jc w:val="both"/>
            </w:pPr>
          </w:p>
          <w:p w:rsidR="00FD37D8" w:rsidRPr="00FD37D8" w:rsidRDefault="00FD37D8" w:rsidP="00FD37D8">
            <w:pPr>
              <w:tabs>
                <w:tab w:val="left" w:pos="-1440"/>
                <w:tab w:val="left" w:pos="-720"/>
              </w:tabs>
              <w:jc w:val="both"/>
            </w:pPr>
            <w:r w:rsidRPr="00FD37D8">
              <w:tab/>
              <w:t>v. (35165)</w:t>
            </w:r>
          </w:p>
          <w:p w:rsidR="00FD37D8" w:rsidRPr="00FD37D8" w:rsidRDefault="00FD37D8" w:rsidP="00FD37D8">
            <w:pPr>
              <w:tabs>
                <w:tab w:val="left" w:pos="-1440"/>
                <w:tab w:val="left" w:pos="-720"/>
              </w:tabs>
              <w:jc w:val="both"/>
            </w:pPr>
          </w:p>
          <w:p w:rsidR="00FD37D8" w:rsidRPr="00FD37D8" w:rsidRDefault="00FD37D8" w:rsidP="00FD37D8">
            <w:pPr>
              <w:tabs>
                <w:tab w:val="left" w:pos="-1440"/>
                <w:tab w:val="left" w:pos="-720"/>
              </w:tabs>
              <w:jc w:val="both"/>
            </w:pPr>
            <w:r w:rsidRPr="00FD37D8">
              <w:t>Thomas John Wierzbicki (Crim.) (Ont.)</w:t>
            </w:r>
          </w:p>
        </w:tc>
        <w:tc>
          <w:tcPr>
            <w:tcW w:w="1170" w:type="dxa"/>
          </w:tcPr>
          <w:p w:rsidR="00FD37D8" w:rsidRPr="00FD37D8" w:rsidRDefault="00FD37D8" w:rsidP="00FD37D8">
            <w:pPr>
              <w:tabs>
                <w:tab w:val="left" w:pos="-1440"/>
                <w:tab w:val="left" w:pos="-720"/>
              </w:tabs>
              <w:jc w:val="both"/>
            </w:pPr>
          </w:p>
        </w:tc>
        <w:tc>
          <w:tcPr>
            <w:tcW w:w="4327" w:type="dxa"/>
          </w:tcPr>
          <w:p w:rsidR="00FD37D8" w:rsidRPr="00FD37D8" w:rsidRDefault="00FD37D8" w:rsidP="00FD37D8">
            <w:pPr>
              <w:tabs>
                <w:tab w:val="left" w:pos="-1440"/>
                <w:tab w:val="left" w:pos="-720"/>
              </w:tabs>
              <w:jc w:val="both"/>
            </w:pPr>
          </w:p>
        </w:tc>
      </w:tr>
    </w:tbl>
    <w:p w:rsidR="00FD37D8" w:rsidRPr="00FD37D8" w:rsidRDefault="00FD37D8" w:rsidP="00FD37D8">
      <w:pPr>
        <w:tabs>
          <w:tab w:val="left" w:pos="-1440"/>
          <w:tab w:val="left" w:pos="-720"/>
        </w:tabs>
        <w:jc w:val="both"/>
        <w:rPr>
          <w:rFonts w:eastAsia="Times New Roman" w:cs="Times New Roman"/>
          <w:sz w:val="20"/>
          <w:szCs w:val="20"/>
          <w:lang w:eastAsia="en-CA"/>
        </w:rPr>
      </w:pPr>
    </w:p>
    <w:p w:rsidR="00FD37D8" w:rsidRPr="00FD37D8" w:rsidRDefault="00FD37D8" w:rsidP="00FD37D8">
      <w:pPr>
        <w:tabs>
          <w:tab w:val="left" w:pos="-1440"/>
          <w:tab w:val="left" w:pos="-720"/>
        </w:tabs>
        <w:jc w:val="both"/>
        <w:rPr>
          <w:rFonts w:eastAsia="Times New Roman" w:cs="Times New Roman"/>
          <w:b/>
          <w:sz w:val="20"/>
          <w:szCs w:val="20"/>
          <w:lang w:eastAsia="en-CA"/>
        </w:rPr>
      </w:pPr>
      <w:r w:rsidRPr="00FD37D8">
        <w:rPr>
          <w:rFonts w:eastAsia="Times New Roman" w:cs="Times New Roman"/>
          <w:b/>
          <w:sz w:val="20"/>
          <w:szCs w:val="20"/>
          <w:lang w:eastAsia="en-CA"/>
        </w:rPr>
        <w:t>GRANTED / ACCORDÉE</w:t>
      </w:r>
    </w:p>
    <w:p w:rsidR="00FD37D8" w:rsidRPr="00FD37D8" w:rsidRDefault="00FD37D8" w:rsidP="00FD37D8">
      <w:pPr>
        <w:tabs>
          <w:tab w:val="left" w:pos="-1440"/>
          <w:tab w:val="left" w:pos="-720"/>
        </w:tabs>
        <w:jc w:val="both"/>
        <w:rPr>
          <w:rFonts w:eastAsia="Times New Roman" w:cs="Times New Roman"/>
          <w:sz w:val="20"/>
          <w:szCs w:val="20"/>
          <w:lang w:eastAsia="en-CA"/>
        </w:rPr>
      </w:pPr>
    </w:p>
    <w:p w:rsidR="00FD37D8" w:rsidRPr="00FD37D8" w:rsidRDefault="003F21C7" w:rsidP="00FD37D8">
      <w:pPr>
        <w:tabs>
          <w:tab w:val="left" w:pos="-1440"/>
          <w:tab w:val="left" w:pos="-720"/>
        </w:tabs>
        <w:jc w:val="both"/>
        <w:rPr>
          <w:rFonts w:eastAsia="Times New Roman" w:cs="Times New Roman"/>
          <w:sz w:val="20"/>
          <w:szCs w:val="20"/>
          <w:lang w:eastAsia="en-CA"/>
        </w:rPr>
      </w:pPr>
      <w:r w:rsidRPr="003F21C7">
        <w:rPr>
          <w:rFonts w:eastAsia="Times New Roman" w:cs="Times New Roman"/>
          <w:sz w:val="20"/>
          <w:szCs w:val="20"/>
          <w:lang w:val="fr-CA" w:eastAsia="en-CA"/>
        </w:rPr>
        <w:pict>
          <v:rect id="_x0000_i1072" style="width:2in;height:1pt" o:hrpct="0" o:hralign="center" o:hrstd="t" o:hrnoshade="t" o:hr="t" fillcolor="black [3213]" stroked="f"/>
        </w:pict>
      </w:r>
    </w:p>
    <w:p w:rsidR="00FD37D8" w:rsidRPr="00FD37D8" w:rsidRDefault="00FD37D8" w:rsidP="00FD37D8">
      <w:pPr>
        <w:tabs>
          <w:tab w:val="left" w:pos="-1440"/>
          <w:tab w:val="left" w:pos="-720"/>
        </w:tabs>
        <w:jc w:val="both"/>
        <w:rPr>
          <w:rFonts w:eastAsia="Times New Roman" w:cs="Times New Roman"/>
          <w:sz w:val="20"/>
          <w:szCs w:val="20"/>
          <w:lang w:val="fr-CA" w:eastAsia="en-CA"/>
        </w:rPr>
      </w:pPr>
    </w:p>
    <w:p w:rsidR="00FD37D8" w:rsidRPr="00FD37D8" w:rsidRDefault="00FD37D8" w:rsidP="00FD37D8">
      <w:pPr>
        <w:tabs>
          <w:tab w:val="left" w:pos="-1440"/>
          <w:tab w:val="left" w:pos="-720"/>
        </w:tabs>
        <w:jc w:val="both"/>
        <w:rPr>
          <w:rFonts w:eastAsia="Times New Roman" w:cs="Times New Roman"/>
          <w:sz w:val="20"/>
          <w:szCs w:val="20"/>
          <w:lang w:eastAsia="en-CA"/>
        </w:rPr>
      </w:pPr>
      <w:r w:rsidRPr="00FD37D8">
        <w:rPr>
          <w:rFonts w:eastAsia="Times New Roman" w:cs="Times New Roman"/>
          <w:sz w:val="20"/>
          <w:szCs w:val="20"/>
          <w:lang w:eastAsia="en-CA"/>
        </w:rPr>
        <w:t>26.02.2013</w:t>
      </w:r>
    </w:p>
    <w:p w:rsidR="00FD37D8" w:rsidRPr="00FD37D8" w:rsidRDefault="00FD37D8" w:rsidP="00FD37D8">
      <w:pPr>
        <w:tabs>
          <w:tab w:val="left" w:pos="-1440"/>
          <w:tab w:val="left" w:pos="-720"/>
        </w:tabs>
        <w:jc w:val="both"/>
        <w:rPr>
          <w:rFonts w:eastAsia="Times New Roman" w:cs="Times New Roman"/>
          <w:sz w:val="20"/>
          <w:szCs w:val="20"/>
          <w:lang w:eastAsia="en-CA"/>
        </w:rPr>
      </w:pPr>
    </w:p>
    <w:p w:rsidR="00FD37D8" w:rsidRPr="00FD37D8" w:rsidRDefault="00FD37D8" w:rsidP="00FD37D8">
      <w:pPr>
        <w:tabs>
          <w:tab w:val="left" w:pos="-1440"/>
          <w:tab w:val="left" w:pos="-720"/>
        </w:tabs>
        <w:jc w:val="both"/>
        <w:rPr>
          <w:rFonts w:eastAsia="Times New Roman" w:cs="Times New Roman"/>
          <w:sz w:val="20"/>
          <w:szCs w:val="20"/>
          <w:lang w:eastAsia="en-CA"/>
        </w:rPr>
      </w:pPr>
      <w:r w:rsidRPr="00FD37D8">
        <w:rPr>
          <w:rFonts w:eastAsia="Times New Roman" w:cs="Times New Roman"/>
          <w:sz w:val="20"/>
          <w:szCs w:val="20"/>
          <w:lang w:eastAsia="en-CA"/>
        </w:rPr>
        <w:t>Before / Devant :   THE DEPUTY REGISTRAR / LA REGISTRAIRE ADJOINTE</w:t>
      </w:r>
    </w:p>
    <w:p w:rsidR="00FD37D8" w:rsidRPr="00FD37D8" w:rsidRDefault="00FD37D8" w:rsidP="00FD37D8">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D37D8" w:rsidRPr="00CB72E7" w:rsidTr="005F1FCE">
        <w:tc>
          <w:tcPr>
            <w:tcW w:w="4338" w:type="dxa"/>
          </w:tcPr>
          <w:p w:rsidR="00FD37D8" w:rsidRPr="00FD37D8" w:rsidRDefault="003F21C7" w:rsidP="00FD37D8">
            <w:pPr>
              <w:tabs>
                <w:tab w:val="left" w:pos="-1440"/>
                <w:tab w:val="left" w:pos="-720"/>
              </w:tabs>
              <w:jc w:val="both"/>
              <w:rPr>
                <w:b/>
              </w:rPr>
            </w:pPr>
            <w:r w:rsidRPr="00FD37D8">
              <w:rPr>
                <w:lang w:val="en-US"/>
              </w:rPr>
              <w:fldChar w:fldCharType="begin"/>
            </w:r>
            <w:r w:rsidR="00FD37D8" w:rsidRPr="00FD37D8">
              <w:rPr>
                <w:lang w:val="en-US"/>
              </w:rPr>
              <w:instrText xml:space="preserve"> SEQ CHAPTER \h \r 1</w:instrText>
            </w:r>
            <w:r w:rsidRPr="00FD37D8">
              <w:rPr>
                <w:lang w:val="en-US"/>
              </w:rPr>
              <w:fldChar w:fldCharType="end"/>
            </w:r>
            <w:r w:rsidR="00FD37D8" w:rsidRPr="00FD37D8">
              <w:rPr>
                <w:b/>
                <w:bCs/>
                <w:lang w:val="en-US"/>
              </w:rPr>
              <w:t>Motion to extend the time to serve and file the respondent’s response to February 7, 2013</w:t>
            </w:r>
            <w:r w:rsidR="00FD37D8" w:rsidRPr="00FD37D8">
              <w:rPr>
                <w:lang w:val="en-US"/>
              </w:rPr>
              <w:t xml:space="preserve"> </w:t>
            </w:r>
            <w:r w:rsidRPr="00FD37D8">
              <w:rPr>
                <w:lang w:val="en-US"/>
              </w:rPr>
              <w:fldChar w:fldCharType="begin"/>
            </w:r>
            <w:r w:rsidR="00FD37D8" w:rsidRPr="00FD37D8">
              <w:rPr>
                <w:lang w:val="en-US"/>
              </w:rPr>
              <w:instrText xml:space="preserve"> SEQ CHAPTER \h \r 1</w:instrText>
            </w:r>
            <w:r w:rsidRPr="00FD37D8">
              <w:rPr>
                <w:lang w:val="en-US"/>
              </w:rPr>
              <w:fldChar w:fldCharType="end"/>
            </w:r>
          </w:p>
        </w:tc>
        <w:tc>
          <w:tcPr>
            <w:tcW w:w="1170" w:type="dxa"/>
          </w:tcPr>
          <w:p w:rsidR="00FD37D8" w:rsidRPr="00FD37D8" w:rsidRDefault="00FD37D8" w:rsidP="00FD37D8">
            <w:pPr>
              <w:tabs>
                <w:tab w:val="left" w:pos="-1440"/>
                <w:tab w:val="left" w:pos="-720"/>
              </w:tabs>
              <w:jc w:val="both"/>
            </w:pPr>
          </w:p>
          <w:p w:rsidR="00FD37D8" w:rsidRPr="00FD37D8" w:rsidRDefault="00FD37D8" w:rsidP="00FD37D8">
            <w:pPr>
              <w:tabs>
                <w:tab w:val="left" w:pos="-1440"/>
                <w:tab w:val="left" w:pos="-720"/>
              </w:tabs>
              <w:jc w:val="both"/>
            </w:pPr>
          </w:p>
          <w:p w:rsidR="00FD37D8" w:rsidRPr="00FD37D8" w:rsidRDefault="00FD37D8" w:rsidP="00FD37D8">
            <w:pPr>
              <w:tabs>
                <w:tab w:val="left" w:pos="-1440"/>
                <w:tab w:val="left" w:pos="-720"/>
              </w:tabs>
              <w:jc w:val="both"/>
            </w:pPr>
          </w:p>
          <w:p w:rsidR="00FD37D8" w:rsidRPr="00FD37D8" w:rsidRDefault="00FD37D8" w:rsidP="00FD37D8">
            <w:pPr>
              <w:tabs>
                <w:tab w:val="left" w:pos="-1440"/>
                <w:tab w:val="left" w:pos="-720"/>
              </w:tabs>
              <w:jc w:val="both"/>
            </w:pPr>
          </w:p>
        </w:tc>
        <w:tc>
          <w:tcPr>
            <w:tcW w:w="4327" w:type="dxa"/>
          </w:tcPr>
          <w:p w:rsidR="00FD37D8" w:rsidRPr="00FD37D8" w:rsidRDefault="003F21C7" w:rsidP="00FD37D8">
            <w:pPr>
              <w:tabs>
                <w:tab w:val="left" w:pos="-1440"/>
                <w:tab w:val="left" w:pos="-720"/>
              </w:tabs>
              <w:jc w:val="both"/>
              <w:rPr>
                <w:lang w:val="fr-CA"/>
              </w:rPr>
            </w:pPr>
            <w:r w:rsidRPr="00FD37D8">
              <w:rPr>
                <w:lang w:val="en-US"/>
              </w:rPr>
              <w:fldChar w:fldCharType="begin"/>
            </w:r>
            <w:r w:rsidR="00FD37D8" w:rsidRPr="00FD37D8">
              <w:rPr>
                <w:lang w:val="fr-CA"/>
              </w:rPr>
              <w:instrText xml:space="preserve"> SEQ CHAPTER \h \r 1</w:instrText>
            </w:r>
            <w:r w:rsidRPr="00FD37D8">
              <w:rPr>
                <w:lang w:val="en-US"/>
              </w:rPr>
              <w:fldChar w:fldCharType="end"/>
            </w:r>
            <w:r w:rsidR="00FD37D8" w:rsidRPr="00FD37D8">
              <w:rPr>
                <w:b/>
                <w:bCs/>
                <w:lang w:val="fr-CA"/>
              </w:rPr>
              <w:t>Requête en prorogation du délai de signification et de dépôt de la réponse de l’intimée jusqu’au 7 février 2013</w:t>
            </w:r>
            <w:r w:rsidRPr="00FD37D8">
              <w:rPr>
                <w:lang w:val="en-US"/>
              </w:rPr>
              <w:fldChar w:fldCharType="begin"/>
            </w:r>
            <w:r w:rsidR="00FD37D8" w:rsidRPr="00FD37D8">
              <w:rPr>
                <w:lang w:val="fr-CA"/>
              </w:rPr>
              <w:instrText xml:space="preserve"> SEQ CHAPTER \h \r 1</w:instrText>
            </w:r>
            <w:r w:rsidRPr="00FD37D8">
              <w:rPr>
                <w:lang w:val="en-US"/>
              </w:rPr>
              <w:fldChar w:fldCharType="end"/>
            </w:r>
            <w:r w:rsidRPr="00FD37D8">
              <w:rPr>
                <w:lang w:val="en-US"/>
              </w:rPr>
              <w:fldChar w:fldCharType="begin"/>
            </w:r>
            <w:r w:rsidR="00FD37D8" w:rsidRPr="00FD37D8">
              <w:rPr>
                <w:lang w:val="fr-CA"/>
              </w:rPr>
              <w:instrText xml:space="preserve"> SEQ CHAPTER \h \r 1</w:instrText>
            </w:r>
            <w:r w:rsidRPr="00FD37D8">
              <w:rPr>
                <w:lang w:val="en-US"/>
              </w:rPr>
              <w:fldChar w:fldCharType="end"/>
            </w:r>
            <w:r w:rsidRPr="00FD37D8">
              <w:rPr>
                <w:lang w:val="en-US"/>
              </w:rPr>
              <w:fldChar w:fldCharType="begin"/>
            </w:r>
            <w:r w:rsidR="00FD37D8" w:rsidRPr="00FD37D8">
              <w:rPr>
                <w:lang w:val="fr-CA"/>
              </w:rPr>
              <w:instrText xml:space="preserve"> SEQ CHAPTER \h \r 1</w:instrText>
            </w:r>
            <w:r w:rsidRPr="00FD37D8">
              <w:rPr>
                <w:lang w:val="en-US"/>
              </w:rPr>
              <w:fldChar w:fldCharType="end"/>
            </w:r>
          </w:p>
        </w:tc>
      </w:tr>
      <w:tr w:rsidR="00FD37D8" w:rsidRPr="00FD37D8" w:rsidTr="005F1FCE">
        <w:tc>
          <w:tcPr>
            <w:tcW w:w="4338" w:type="dxa"/>
          </w:tcPr>
          <w:p w:rsidR="00FD37D8" w:rsidRPr="00FD37D8" w:rsidRDefault="00FD37D8" w:rsidP="00FD37D8">
            <w:pPr>
              <w:tabs>
                <w:tab w:val="left" w:pos="-1440"/>
                <w:tab w:val="left" w:pos="-720"/>
              </w:tabs>
              <w:jc w:val="both"/>
            </w:pPr>
            <w:r w:rsidRPr="00FD37D8">
              <w:t>Raminder Bhander</w:t>
            </w:r>
          </w:p>
          <w:p w:rsidR="00FD37D8" w:rsidRPr="00FD37D8" w:rsidRDefault="00FD37D8" w:rsidP="00FD37D8">
            <w:pPr>
              <w:tabs>
                <w:tab w:val="left" w:pos="-1440"/>
                <w:tab w:val="left" w:pos="-720"/>
              </w:tabs>
              <w:jc w:val="both"/>
            </w:pPr>
          </w:p>
          <w:p w:rsidR="00FD37D8" w:rsidRPr="00FD37D8" w:rsidRDefault="00FD37D8" w:rsidP="00FD37D8">
            <w:pPr>
              <w:tabs>
                <w:tab w:val="left" w:pos="-1440"/>
                <w:tab w:val="left" w:pos="-720"/>
              </w:tabs>
              <w:jc w:val="both"/>
            </w:pPr>
            <w:r w:rsidRPr="00FD37D8">
              <w:tab/>
              <w:t>v. (35161)</w:t>
            </w:r>
          </w:p>
          <w:p w:rsidR="00FD37D8" w:rsidRPr="00FD37D8" w:rsidRDefault="00FD37D8" w:rsidP="00FD37D8">
            <w:pPr>
              <w:tabs>
                <w:tab w:val="left" w:pos="-1440"/>
                <w:tab w:val="left" w:pos="-720"/>
              </w:tabs>
              <w:jc w:val="both"/>
            </w:pPr>
          </w:p>
          <w:p w:rsidR="00FD37D8" w:rsidRPr="00FD37D8" w:rsidRDefault="00FD37D8" w:rsidP="00FD37D8">
            <w:pPr>
              <w:tabs>
                <w:tab w:val="left" w:pos="-1440"/>
                <w:tab w:val="left" w:pos="-720"/>
              </w:tabs>
              <w:jc w:val="both"/>
            </w:pPr>
            <w:r w:rsidRPr="00FD37D8">
              <w:t>Her Majesty the Queen (Crim.) (B.C.)</w:t>
            </w:r>
          </w:p>
        </w:tc>
        <w:tc>
          <w:tcPr>
            <w:tcW w:w="1170" w:type="dxa"/>
          </w:tcPr>
          <w:p w:rsidR="00FD37D8" w:rsidRPr="00FD37D8" w:rsidRDefault="00FD37D8" w:rsidP="00FD37D8">
            <w:pPr>
              <w:tabs>
                <w:tab w:val="left" w:pos="-1440"/>
                <w:tab w:val="left" w:pos="-720"/>
              </w:tabs>
              <w:jc w:val="both"/>
            </w:pPr>
          </w:p>
        </w:tc>
        <w:tc>
          <w:tcPr>
            <w:tcW w:w="4327" w:type="dxa"/>
          </w:tcPr>
          <w:p w:rsidR="00FD37D8" w:rsidRPr="00FD37D8" w:rsidRDefault="00FD37D8" w:rsidP="00FD37D8">
            <w:pPr>
              <w:tabs>
                <w:tab w:val="left" w:pos="-1440"/>
                <w:tab w:val="left" w:pos="-720"/>
              </w:tabs>
              <w:jc w:val="both"/>
            </w:pPr>
          </w:p>
        </w:tc>
      </w:tr>
    </w:tbl>
    <w:p w:rsidR="00FD37D8" w:rsidRPr="00FD37D8" w:rsidRDefault="00FD37D8" w:rsidP="00FD37D8">
      <w:pPr>
        <w:tabs>
          <w:tab w:val="left" w:pos="-1440"/>
          <w:tab w:val="left" w:pos="-720"/>
        </w:tabs>
        <w:jc w:val="both"/>
        <w:rPr>
          <w:rFonts w:eastAsia="Times New Roman" w:cs="Times New Roman"/>
          <w:sz w:val="20"/>
          <w:szCs w:val="20"/>
          <w:lang w:eastAsia="en-CA"/>
        </w:rPr>
      </w:pPr>
    </w:p>
    <w:p w:rsidR="00FD37D8" w:rsidRPr="00FD37D8" w:rsidRDefault="00FD37D8" w:rsidP="00FD37D8">
      <w:pPr>
        <w:tabs>
          <w:tab w:val="left" w:pos="-1440"/>
          <w:tab w:val="left" w:pos="-720"/>
        </w:tabs>
        <w:jc w:val="both"/>
        <w:rPr>
          <w:rFonts w:eastAsia="Times New Roman" w:cs="Times New Roman"/>
          <w:b/>
          <w:sz w:val="20"/>
          <w:szCs w:val="20"/>
          <w:lang w:eastAsia="en-CA"/>
        </w:rPr>
      </w:pPr>
      <w:r w:rsidRPr="00FD37D8">
        <w:rPr>
          <w:rFonts w:eastAsia="Times New Roman" w:cs="Times New Roman"/>
          <w:b/>
          <w:sz w:val="20"/>
          <w:szCs w:val="20"/>
          <w:lang w:eastAsia="en-CA"/>
        </w:rPr>
        <w:t>GRANTED / ACCORDÉE</w:t>
      </w:r>
    </w:p>
    <w:p w:rsidR="00FD37D8" w:rsidRPr="00FD37D8" w:rsidRDefault="00FD37D8" w:rsidP="00FD37D8">
      <w:pPr>
        <w:tabs>
          <w:tab w:val="left" w:pos="-1440"/>
          <w:tab w:val="left" w:pos="-720"/>
        </w:tabs>
        <w:jc w:val="both"/>
        <w:rPr>
          <w:rFonts w:eastAsia="Times New Roman" w:cs="Times New Roman"/>
          <w:sz w:val="20"/>
          <w:szCs w:val="20"/>
          <w:lang w:eastAsia="en-CA"/>
        </w:rPr>
      </w:pPr>
    </w:p>
    <w:p w:rsidR="00FD37D8" w:rsidRPr="00FD37D8" w:rsidRDefault="003F21C7" w:rsidP="00FD37D8">
      <w:pPr>
        <w:tabs>
          <w:tab w:val="left" w:pos="-1440"/>
          <w:tab w:val="left" w:pos="-720"/>
        </w:tabs>
        <w:jc w:val="both"/>
        <w:rPr>
          <w:rFonts w:eastAsia="Times New Roman" w:cs="Times New Roman"/>
          <w:sz w:val="20"/>
          <w:szCs w:val="20"/>
          <w:lang w:val="fr-CA" w:eastAsia="en-CA"/>
        </w:rPr>
      </w:pPr>
      <w:r w:rsidRPr="003F21C7">
        <w:rPr>
          <w:rFonts w:eastAsia="Times New Roman" w:cs="Times New Roman"/>
          <w:sz w:val="20"/>
          <w:szCs w:val="20"/>
          <w:lang w:val="fr-CA" w:eastAsia="en-CA"/>
        </w:rPr>
        <w:pict>
          <v:rect id="_x0000_i1073" style="width:2in;height:1pt" o:hrpct="0" o:hralign="center" o:hrstd="t" o:hrnoshade="t" o:hr="t" fillcolor="black [3213]" stroked="f"/>
        </w:pict>
      </w:r>
    </w:p>
    <w:p w:rsidR="00FD37D8" w:rsidRPr="00FD37D8" w:rsidRDefault="00FD37D8" w:rsidP="00FD37D8">
      <w:pPr>
        <w:tabs>
          <w:tab w:val="left" w:pos="-1440"/>
          <w:tab w:val="left" w:pos="-720"/>
        </w:tabs>
        <w:jc w:val="both"/>
        <w:rPr>
          <w:rFonts w:eastAsia="Times New Roman" w:cs="Times New Roman"/>
          <w:sz w:val="20"/>
          <w:szCs w:val="20"/>
          <w:lang w:val="fr-CA" w:eastAsia="en-CA"/>
        </w:rPr>
      </w:pPr>
    </w:p>
    <w:p w:rsidR="00FD37D8" w:rsidRPr="00FD37D8" w:rsidRDefault="00FD37D8" w:rsidP="00FD37D8">
      <w:pPr>
        <w:tabs>
          <w:tab w:val="left" w:pos="-1440"/>
          <w:tab w:val="left" w:pos="-720"/>
        </w:tabs>
        <w:jc w:val="both"/>
        <w:rPr>
          <w:rFonts w:eastAsia="Times New Roman" w:cs="Times New Roman"/>
          <w:sz w:val="20"/>
          <w:szCs w:val="20"/>
          <w:lang w:val="fr-CA" w:eastAsia="en-CA"/>
        </w:rPr>
      </w:pPr>
      <w:r w:rsidRPr="00FD37D8">
        <w:rPr>
          <w:rFonts w:eastAsia="Times New Roman" w:cs="Times New Roman"/>
          <w:sz w:val="20"/>
          <w:szCs w:val="20"/>
          <w:lang w:val="fr-CA" w:eastAsia="en-CA"/>
        </w:rPr>
        <w:t>27.02.2013</w:t>
      </w:r>
    </w:p>
    <w:p w:rsidR="00FD37D8" w:rsidRPr="00FD37D8" w:rsidRDefault="00FD37D8" w:rsidP="00FD37D8">
      <w:pPr>
        <w:tabs>
          <w:tab w:val="left" w:pos="-1440"/>
          <w:tab w:val="left" w:pos="-720"/>
        </w:tabs>
        <w:jc w:val="both"/>
        <w:rPr>
          <w:rFonts w:eastAsia="Times New Roman" w:cs="Times New Roman"/>
          <w:sz w:val="20"/>
          <w:szCs w:val="20"/>
          <w:lang w:val="fr-CA" w:eastAsia="en-CA"/>
        </w:rPr>
      </w:pPr>
    </w:p>
    <w:p w:rsidR="00FD37D8" w:rsidRPr="00FD37D8" w:rsidRDefault="00FD37D8" w:rsidP="00FD37D8">
      <w:pPr>
        <w:tabs>
          <w:tab w:val="left" w:pos="-1440"/>
          <w:tab w:val="left" w:pos="-720"/>
        </w:tabs>
        <w:jc w:val="both"/>
        <w:rPr>
          <w:rFonts w:eastAsia="Times New Roman" w:cs="Times New Roman"/>
          <w:sz w:val="20"/>
          <w:szCs w:val="20"/>
          <w:lang w:val="fr-CA" w:eastAsia="en-CA"/>
        </w:rPr>
      </w:pPr>
      <w:r w:rsidRPr="00FD37D8">
        <w:rPr>
          <w:rFonts w:eastAsia="Times New Roman" w:cs="Times New Roman"/>
          <w:sz w:val="20"/>
          <w:szCs w:val="20"/>
          <w:lang w:val="fr-CA" w:eastAsia="en-CA"/>
        </w:rPr>
        <w:t>Before / Devant :   ROTHSTEIN J. / LE JUGE ROTHSTEIN</w:t>
      </w:r>
    </w:p>
    <w:p w:rsidR="00FD37D8" w:rsidRPr="00FD37D8" w:rsidRDefault="00FD37D8" w:rsidP="00FD37D8">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D37D8" w:rsidRPr="00CB72E7" w:rsidTr="005F1FCE">
        <w:tc>
          <w:tcPr>
            <w:tcW w:w="4338" w:type="dxa"/>
          </w:tcPr>
          <w:p w:rsidR="00FD37D8" w:rsidRPr="00FD37D8" w:rsidRDefault="003F21C7" w:rsidP="00FD37D8">
            <w:pPr>
              <w:tabs>
                <w:tab w:val="left" w:pos="-1440"/>
                <w:tab w:val="left" w:pos="-720"/>
              </w:tabs>
              <w:jc w:val="both"/>
              <w:rPr>
                <w:b/>
              </w:rPr>
            </w:pPr>
            <w:r w:rsidRPr="00FD37D8">
              <w:rPr>
                <w:lang w:val="en-US"/>
              </w:rPr>
              <w:fldChar w:fldCharType="begin"/>
            </w:r>
            <w:r w:rsidR="00FD37D8" w:rsidRPr="00FD37D8">
              <w:rPr>
                <w:lang w:val="en-US"/>
              </w:rPr>
              <w:instrText xml:space="preserve"> SEQ CHAPTER \h \r 1</w:instrText>
            </w:r>
            <w:r w:rsidRPr="00FD37D8">
              <w:rPr>
                <w:lang w:val="en-US"/>
              </w:rPr>
              <w:fldChar w:fldCharType="end"/>
            </w:r>
            <w:r w:rsidRPr="00FD37D8">
              <w:rPr>
                <w:lang w:val="en-US"/>
              </w:rPr>
              <w:fldChar w:fldCharType="begin"/>
            </w:r>
            <w:r w:rsidR="00FD37D8" w:rsidRPr="00FD37D8">
              <w:rPr>
                <w:lang w:val="en-US"/>
              </w:rPr>
              <w:instrText xml:space="preserve"> SEQ CHAPTER \h \r 1</w:instrText>
            </w:r>
            <w:r w:rsidRPr="00FD37D8">
              <w:rPr>
                <w:lang w:val="en-US"/>
              </w:rPr>
              <w:fldChar w:fldCharType="end"/>
            </w:r>
            <w:r w:rsidR="00FD37D8" w:rsidRPr="00FD37D8">
              <w:rPr>
                <w:b/>
                <w:bCs/>
                <w:lang w:val="en-US"/>
              </w:rPr>
              <w:t>Motion to file a reply factum on appeal</w:t>
            </w:r>
          </w:p>
        </w:tc>
        <w:tc>
          <w:tcPr>
            <w:tcW w:w="1170" w:type="dxa"/>
          </w:tcPr>
          <w:p w:rsidR="00FD37D8" w:rsidRPr="00FD37D8" w:rsidRDefault="00FD37D8" w:rsidP="00FD37D8">
            <w:pPr>
              <w:tabs>
                <w:tab w:val="left" w:pos="-1440"/>
                <w:tab w:val="left" w:pos="-720"/>
              </w:tabs>
              <w:jc w:val="both"/>
            </w:pPr>
          </w:p>
          <w:p w:rsidR="00FD37D8" w:rsidRPr="00FD37D8" w:rsidRDefault="00FD37D8" w:rsidP="00FD37D8">
            <w:pPr>
              <w:tabs>
                <w:tab w:val="left" w:pos="-1440"/>
                <w:tab w:val="left" w:pos="-720"/>
              </w:tabs>
              <w:jc w:val="both"/>
            </w:pPr>
          </w:p>
          <w:p w:rsidR="00FD37D8" w:rsidRPr="00FD37D8" w:rsidRDefault="00FD37D8" w:rsidP="00FD37D8">
            <w:pPr>
              <w:tabs>
                <w:tab w:val="left" w:pos="-1440"/>
                <w:tab w:val="left" w:pos="-720"/>
              </w:tabs>
              <w:jc w:val="both"/>
            </w:pPr>
          </w:p>
        </w:tc>
        <w:tc>
          <w:tcPr>
            <w:tcW w:w="4327" w:type="dxa"/>
          </w:tcPr>
          <w:p w:rsidR="00FD37D8" w:rsidRPr="00FD37D8" w:rsidRDefault="003F21C7" w:rsidP="00FD37D8">
            <w:pPr>
              <w:tabs>
                <w:tab w:val="left" w:pos="-1440"/>
                <w:tab w:val="left" w:pos="-720"/>
              </w:tabs>
              <w:jc w:val="both"/>
              <w:rPr>
                <w:lang w:val="fr-CA"/>
              </w:rPr>
            </w:pPr>
            <w:r w:rsidRPr="00FD37D8">
              <w:rPr>
                <w:lang w:val="en-US"/>
              </w:rPr>
              <w:fldChar w:fldCharType="begin"/>
            </w:r>
            <w:r w:rsidR="00FD37D8" w:rsidRPr="00FD37D8">
              <w:rPr>
                <w:lang w:val="fr-CA"/>
              </w:rPr>
              <w:instrText xml:space="preserve"> SEQ CHAPTER \h \r 1</w:instrText>
            </w:r>
            <w:r w:rsidRPr="00FD37D8">
              <w:rPr>
                <w:lang w:val="en-US"/>
              </w:rPr>
              <w:fldChar w:fldCharType="end"/>
            </w:r>
            <w:r w:rsidR="00FD37D8" w:rsidRPr="00FD37D8">
              <w:rPr>
                <w:b/>
                <w:bCs/>
                <w:lang w:val="fr-CA"/>
              </w:rPr>
              <w:t>Requête en vue de déposer un mémoire en réplique à l’égard de l’appel</w:t>
            </w:r>
            <w:r w:rsidRPr="00FD37D8">
              <w:rPr>
                <w:lang w:val="en-US"/>
              </w:rPr>
              <w:fldChar w:fldCharType="begin"/>
            </w:r>
            <w:r w:rsidR="00FD37D8" w:rsidRPr="00FD37D8">
              <w:rPr>
                <w:lang w:val="fr-CA"/>
              </w:rPr>
              <w:instrText xml:space="preserve"> SEQ CHAPTER \h \r 1</w:instrText>
            </w:r>
            <w:r w:rsidRPr="00FD37D8">
              <w:rPr>
                <w:lang w:val="en-US"/>
              </w:rPr>
              <w:fldChar w:fldCharType="end"/>
            </w:r>
            <w:r w:rsidRPr="00FD37D8">
              <w:rPr>
                <w:lang w:val="en-US"/>
              </w:rPr>
              <w:fldChar w:fldCharType="begin"/>
            </w:r>
            <w:r w:rsidR="00FD37D8" w:rsidRPr="00FD37D8">
              <w:rPr>
                <w:lang w:val="fr-CA"/>
              </w:rPr>
              <w:instrText xml:space="preserve"> SEQ CHAPTER \h \r 1</w:instrText>
            </w:r>
            <w:r w:rsidRPr="00FD37D8">
              <w:rPr>
                <w:lang w:val="en-US"/>
              </w:rPr>
              <w:fldChar w:fldCharType="end"/>
            </w:r>
          </w:p>
        </w:tc>
      </w:tr>
      <w:tr w:rsidR="00FD37D8" w:rsidRPr="00FD37D8" w:rsidTr="005F1FCE">
        <w:tc>
          <w:tcPr>
            <w:tcW w:w="4338" w:type="dxa"/>
          </w:tcPr>
          <w:p w:rsidR="00FD37D8" w:rsidRPr="00FD37D8" w:rsidRDefault="00FD37D8" w:rsidP="00FD37D8">
            <w:pPr>
              <w:tabs>
                <w:tab w:val="left" w:pos="-1440"/>
                <w:tab w:val="left" w:pos="-720"/>
              </w:tabs>
              <w:jc w:val="both"/>
            </w:pPr>
            <w:r w:rsidRPr="00FD37D8">
              <w:t>Her Majesty the Queen in Right of the Province of British Columbia as represented by the Ministry of Forests</w:t>
            </w:r>
          </w:p>
          <w:p w:rsidR="00FD37D8" w:rsidRPr="00FD37D8" w:rsidRDefault="00FD37D8" w:rsidP="00FD37D8">
            <w:pPr>
              <w:tabs>
                <w:tab w:val="left" w:pos="-1440"/>
                <w:tab w:val="left" w:pos="-720"/>
              </w:tabs>
              <w:jc w:val="both"/>
            </w:pPr>
          </w:p>
          <w:p w:rsidR="00FD37D8" w:rsidRPr="00FD37D8" w:rsidRDefault="00FD37D8" w:rsidP="00FD37D8">
            <w:pPr>
              <w:tabs>
                <w:tab w:val="left" w:pos="-1440"/>
                <w:tab w:val="left" w:pos="-720"/>
              </w:tabs>
              <w:jc w:val="both"/>
            </w:pPr>
            <w:r w:rsidRPr="00FD37D8">
              <w:tab/>
              <w:t>v. (34769)</w:t>
            </w:r>
          </w:p>
          <w:p w:rsidR="00FD37D8" w:rsidRPr="00FD37D8" w:rsidRDefault="00FD37D8" w:rsidP="00FD37D8">
            <w:pPr>
              <w:tabs>
                <w:tab w:val="left" w:pos="-1440"/>
                <w:tab w:val="left" w:pos="-720"/>
              </w:tabs>
              <w:jc w:val="both"/>
            </w:pPr>
          </w:p>
          <w:p w:rsidR="00FD37D8" w:rsidRPr="00FD37D8" w:rsidRDefault="00FD37D8" w:rsidP="00FD37D8">
            <w:pPr>
              <w:tabs>
                <w:tab w:val="left" w:pos="-1440"/>
                <w:tab w:val="left" w:pos="-720"/>
              </w:tabs>
              <w:jc w:val="both"/>
            </w:pPr>
            <w:r w:rsidRPr="00FD37D8">
              <w:t>Teal Cedar Products Ltd (B.C.)</w:t>
            </w:r>
          </w:p>
        </w:tc>
        <w:tc>
          <w:tcPr>
            <w:tcW w:w="1170" w:type="dxa"/>
          </w:tcPr>
          <w:p w:rsidR="00FD37D8" w:rsidRPr="00FD37D8" w:rsidRDefault="00FD37D8" w:rsidP="00FD37D8">
            <w:pPr>
              <w:tabs>
                <w:tab w:val="left" w:pos="-1440"/>
                <w:tab w:val="left" w:pos="-720"/>
              </w:tabs>
              <w:jc w:val="both"/>
            </w:pPr>
          </w:p>
        </w:tc>
        <w:tc>
          <w:tcPr>
            <w:tcW w:w="4327" w:type="dxa"/>
          </w:tcPr>
          <w:p w:rsidR="00FD37D8" w:rsidRPr="00FD37D8" w:rsidRDefault="00FD37D8" w:rsidP="00FD37D8">
            <w:pPr>
              <w:tabs>
                <w:tab w:val="left" w:pos="-1440"/>
                <w:tab w:val="left" w:pos="-720"/>
              </w:tabs>
              <w:jc w:val="both"/>
            </w:pPr>
          </w:p>
        </w:tc>
      </w:tr>
    </w:tbl>
    <w:p w:rsidR="00FD37D8" w:rsidRPr="00FD37D8" w:rsidRDefault="00FD37D8" w:rsidP="00FD37D8">
      <w:pPr>
        <w:tabs>
          <w:tab w:val="left" w:pos="-1440"/>
          <w:tab w:val="left" w:pos="-720"/>
        </w:tabs>
        <w:jc w:val="both"/>
        <w:rPr>
          <w:rFonts w:eastAsia="Times New Roman" w:cs="Times New Roman"/>
          <w:sz w:val="20"/>
          <w:szCs w:val="20"/>
          <w:lang w:eastAsia="en-CA"/>
        </w:rPr>
      </w:pPr>
    </w:p>
    <w:p w:rsidR="00FD37D8" w:rsidRPr="00FD37D8" w:rsidRDefault="00FD37D8" w:rsidP="00FD37D8">
      <w:pPr>
        <w:tabs>
          <w:tab w:val="left" w:pos="-1440"/>
          <w:tab w:val="left" w:pos="-720"/>
        </w:tabs>
        <w:jc w:val="both"/>
        <w:rPr>
          <w:rFonts w:eastAsia="Times New Roman" w:cs="Times New Roman"/>
          <w:b/>
          <w:sz w:val="20"/>
          <w:szCs w:val="20"/>
          <w:lang w:eastAsia="en-CA"/>
        </w:rPr>
      </w:pPr>
      <w:r w:rsidRPr="00FD37D8">
        <w:rPr>
          <w:rFonts w:eastAsia="Times New Roman" w:cs="Times New Roman"/>
          <w:b/>
          <w:sz w:val="20"/>
          <w:szCs w:val="20"/>
          <w:lang w:eastAsia="en-CA"/>
        </w:rPr>
        <w:t>DISMISSED / REJETÉE</w:t>
      </w:r>
    </w:p>
    <w:p w:rsidR="00FD37D8" w:rsidRDefault="00FD37D8" w:rsidP="00FD37D8">
      <w:pPr>
        <w:rPr>
          <w:rFonts w:eastAsia="Times New Roman" w:cs="Times New Roman"/>
          <w:sz w:val="20"/>
          <w:szCs w:val="20"/>
          <w:lang w:eastAsia="en-CA"/>
        </w:rPr>
      </w:pPr>
    </w:p>
    <w:p w:rsidR="00FD37D8" w:rsidRPr="00FD37D8" w:rsidRDefault="00FD37D8" w:rsidP="00FD37D8">
      <w:pPr>
        <w:rPr>
          <w:rFonts w:eastAsia="Times New Roman" w:cs="Times New Roman"/>
          <w:sz w:val="20"/>
          <w:szCs w:val="20"/>
          <w:lang w:eastAsia="en-CA"/>
        </w:rPr>
      </w:pPr>
      <w:r w:rsidRPr="00FD37D8">
        <w:rPr>
          <w:rFonts w:eastAsia="Times New Roman" w:cs="Times New Roman"/>
          <w:sz w:val="20"/>
          <w:szCs w:val="20"/>
          <w:lang w:eastAsia="en-CA"/>
        </w:rPr>
        <w:br w:type="page"/>
      </w:r>
    </w:p>
    <w:p w:rsidR="00FD37D8" w:rsidRPr="00FD37D8" w:rsidRDefault="00FD37D8" w:rsidP="00FD37D8">
      <w:pPr>
        <w:spacing w:line="233" w:lineRule="auto"/>
        <w:jc w:val="both"/>
        <w:rPr>
          <w:rFonts w:eastAsia="Times New Roman" w:cs="Times New Roman"/>
          <w:sz w:val="20"/>
          <w:szCs w:val="20"/>
          <w:lang w:eastAsia="en-CA"/>
        </w:rPr>
      </w:pPr>
      <w:r w:rsidRPr="00FD37D8">
        <w:rPr>
          <w:rFonts w:eastAsia="Times New Roman" w:cs="Times New Roman"/>
          <w:b/>
          <w:sz w:val="20"/>
          <w:szCs w:val="20"/>
          <w:lang w:val="en-US" w:eastAsia="en-CA"/>
        </w:rPr>
        <w:lastRenderedPageBreak/>
        <w:t xml:space="preserve">UPON APPLICATION </w:t>
      </w:r>
      <w:r w:rsidRPr="00FD37D8">
        <w:rPr>
          <w:rFonts w:eastAsia="Times New Roman" w:cs="Times New Roman"/>
          <w:sz w:val="20"/>
          <w:szCs w:val="20"/>
          <w:lang w:val="en-US" w:eastAsia="en-CA"/>
        </w:rPr>
        <w:t xml:space="preserve">by </w:t>
      </w:r>
      <w:r w:rsidRPr="00FD37D8">
        <w:rPr>
          <w:rFonts w:eastAsia="Times New Roman" w:cs="Times New Roman"/>
          <w:sz w:val="20"/>
          <w:szCs w:val="20"/>
          <w:lang w:eastAsia="en-CA"/>
        </w:rPr>
        <w:t>the appellant for an order permitting the filing of a five page reply factum;</w:t>
      </w:r>
    </w:p>
    <w:p w:rsidR="00FD37D8" w:rsidRPr="00FD37D8" w:rsidRDefault="00FD37D8" w:rsidP="00FD37D8">
      <w:pPr>
        <w:spacing w:line="233" w:lineRule="auto"/>
        <w:jc w:val="both"/>
        <w:rPr>
          <w:rFonts w:eastAsia="Times New Roman" w:cs="Times New Roman"/>
          <w:sz w:val="20"/>
          <w:szCs w:val="20"/>
          <w:lang w:eastAsia="en-CA"/>
        </w:rPr>
      </w:pPr>
    </w:p>
    <w:p w:rsidR="00FD37D8" w:rsidRPr="00FD37D8" w:rsidRDefault="00FD37D8" w:rsidP="00FD37D8">
      <w:pPr>
        <w:spacing w:line="233" w:lineRule="auto"/>
        <w:jc w:val="both"/>
        <w:rPr>
          <w:rFonts w:eastAsia="Times New Roman" w:cs="Times New Roman"/>
          <w:sz w:val="20"/>
          <w:szCs w:val="20"/>
          <w:lang w:val="en-US" w:eastAsia="en-CA"/>
        </w:rPr>
      </w:pPr>
      <w:r w:rsidRPr="00FD37D8">
        <w:rPr>
          <w:rFonts w:eastAsia="Times New Roman" w:cs="Times New Roman"/>
          <w:b/>
          <w:bCs/>
          <w:sz w:val="20"/>
          <w:szCs w:val="20"/>
          <w:lang w:val="en-US" w:eastAsia="en-CA"/>
        </w:rPr>
        <w:t>AND THE MATERIAL FILED</w:t>
      </w:r>
      <w:r w:rsidRPr="00FD37D8">
        <w:rPr>
          <w:rFonts w:eastAsia="Times New Roman" w:cs="Times New Roman"/>
          <w:sz w:val="20"/>
          <w:szCs w:val="20"/>
          <w:lang w:val="en-US" w:eastAsia="en-CA"/>
        </w:rPr>
        <w:t xml:space="preserve"> having been read;</w:t>
      </w:r>
    </w:p>
    <w:p w:rsidR="00FD37D8" w:rsidRPr="00FD37D8" w:rsidRDefault="00FD37D8" w:rsidP="00FD37D8">
      <w:pPr>
        <w:spacing w:line="233" w:lineRule="auto"/>
        <w:jc w:val="center"/>
        <w:rPr>
          <w:rFonts w:eastAsia="Times New Roman" w:cs="Times New Roman"/>
          <w:sz w:val="20"/>
          <w:szCs w:val="20"/>
          <w:lang w:val="en-US" w:eastAsia="en-CA"/>
        </w:rPr>
      </w:pPr>
    </w:p>
    <w:p w:rsidR="00FD37D8" w:rsidRPr="00FD37D8" w:rsidRDefault="00FD37D8" w:rsidP="00FD37D8">
      <w:pPr>
        <w:spacing w:line="233" w:lineRule="auto"/>
        <w:jc w:val="both"/>
        <w:rPr>
          <w:rFonts w:eastAsia="Times New Roman" w:cs="Times New Roman"/>
          <w:sz w:val="20"/>
          <w:szCs w:val="20"/>
          <w:lang w:val="en-US" w:eastAsia="en-CA"/>
        </w:rPr>
      </w:pPr>
      <w:r w:rsidRPr="00FD37D8">
        <w:rPr>
          <w:rFonts w:eastAsia="Times New Roman" w:cs="Times New Roman"/>
          <w:b/>
          <w:bCs/>
          <w:sz w:val="20"/>
          <w:szCs w:val="20"/>
          <w:lang w:val="en-US" w:eastAsia="en-CA"/>
        </w:rPr>
        <w:t>IT IS HEREBY ORDERED THAT:</w:t>
      </w:r>
    </w:p>
    <w:p w:rsidR="00FD37D8" w:rsidRPr="00FD37D8" w:rsidRDefault="00FD37D8" w:rsidP="00FD37D8">
      <w:pPr>
        <w:spacing w:line="233" w:lineRule="auto"/>
        <w:jc w:val="both"/>
        <w:rPr>
          <w:rFonts w:eastAsia="Times New Roman" w:cs="Times New Roman"/>
          <w:sz w:val="20"/>
          <w:szCs w:val="20"/>
          <w:lang w:val="en-US" w:eastAsia="en-CA"/>
        </w:rPr>
      </w:pPr>
    </w:p>
    <w:p w:rsidR="00FD37D8" w:rsidRPr="00FD37D8" w:rsidRDefault="00FD37D8" w:rsidP="00FD37D8">
      <w:pPr>
        <w:spacing w:line="0" w:lineRule="atLeast"/>
        <w:jc w:val="both"/>
        <w:rPr>
          <w:rFonts w:eastAsia="Times New Roman" w:cs="Times New Roman"/>
          <w:sz w:val="20"/>
          <w:szCs w:val="20"/>
          <w:lang w:val="fr-CA" w:eastAsia="en-CA"/>
        </w:rPr>
      </w:pPr>
      <w:r w:rsidRPr="00FD37D8">
        <w:rPr>
          <w:rFonts w:eastAsia="Times New Roman" w:cs="Times New Roman"/>
          <w:sz w:val="20"/>
          <w:szCs w:val="20"/>
          <w:lang w:val="en-US" w:eastAsia="en-CA"/>
        </w:rPr>
        <w:tab/>
      </w:r>
      <w:r w:rsidRPr="00FD37D8">
        <w:rPr>
          <w:rFonts w:eastAsia="Times New Roman" w:cs="Times New Roman"/>
          <w:sz w:val="20"/>
          <w:szCs w:val="20"/>
          <w:lang w:val="fr-CA" w:eastAsia="en-CA"/>
        </w:rPr>
        <w:t>The motion is dismissed.</w:t>
      </w:r>
    </w:p>
    <w:p w:rsidR="00FD37D8" w:rsidRPr="00FD37D8" w:rsidRDefault="00FD37D8" w:rsidP="00FD37D8">
      <w:pPr>
        <w:spacing w:line="233" w:lineRule="auto"/>
        <w:rPr>
          <w:rFonts w:eastAsia="Times New Roman" w:cs="Times New Roman"/>
          <w:sz w:val="20"/>
          <w:szCs w:val="20"/>
          <w:lang w:val="fr-CA" w:eastAsia="en-CA"/>
        </w:rPr>
      </w:pPr>
    </w:p>
    <w:p w:rsidR="00FD37D8" w:rsidRPr="00FD37D8" w:rsidRDefault="00FD37D8" w:rsidP="00FD37D8">
      <w:pPr>
        <w:spacing w:line="233" w:lineRule="auto"/>
        <w:rPr>
          <w:rFonts w:eastAsia="Times New Roman" w:cs="Times New Roman"/>
          <w:sz w:val="20"/>
          <w:szCs w:val="20"/>
          <w:lang w:val="fr-CA" w:eastAsia="en-CA"/>
        </w:rPr>
      </w:pPr>
    </w:p>
    <w:p w:rsidR="00FD37D8" w:rsidRPr="00FD37D8" w:rsidRDefault="00FD37D8" w:rsidP="00FD37D8">
      <w:pPr>
        <w:spacing w:line="233" w:lineRule="auto"/>
        <w:rPr>
          <w:rFonts w:eastAsia="Times New Roman" w:cs="Times New Roman"/>
          <w:sz w:val="20"/>
          <w:szCs w:val="20"/>
          <w:lang w:val="fr-CA" w:eastAsia="en-CA"/>
        </w:rPr>
      </w:pPr>
    </w:p>
    <w:p w:rsidR="00FD37D8" w:rsidRPr="00FD37D8" w:rsidRDefault="00FD37D8" w:rsidP="00FD37D8">
      <w:pPr>
        <w:spacing w:line="233" w:lineRule="auto"/>
        <w:rPr>
          <w:rFonts w:eastAsia="Times New Roman" w:cs="Times New Roman"/>
          <w:sz w:val="20"/>
          <w:szCs w:val="20"/>
          <w:lang w:val="fr-CA" w:eastAsia="en-CA"/>
        </w:rPr>
      </w:pPr>
      <w:r w:rsidRPr="00FD37D8">
        <w:rPr>
          <w:rFonts w:eastAsia="Times New Roman" w:cs="Times New Roman"/>
          <w:b/>
          <w:sz w:val="20"/>
          <w:szCs w:val="20"/>
          <w:lang w:val="fr-CA" w:eastAsia="en-CA"/>
        </w:rPr>
        <w:t>À LA SUITE DE LA DEMANDE</w:t>
      </w:r>
      <w:r w:rsidRPr="00FD37D8">
        <w:rPr>
          <w:rFonts w:eastAsia="Times New Roman" w:cs="Times New Roman"/>
          <w:sz w:val="20"/>
          <w:szCs w:val="20"/>
          <w:lang w:val="fr-CA" w:eastAsia="en-CA"/>
        </w:rPr>
        <w:t xml:space="preserve"> présentée par l’appelante en vue de déposer un mémoire en réplique de 5 pages;</w:t>
      </w:r>
    </w:p>
    <w:p w:rsidR="00FD37D8" w:rsidRPr="00FD37D8" w:rsidRDefault="00FD37D8" w:rsidP="00FD37D8">
      <w:pPr>
        <w:spacing w:line="233" w:lineRule="auto"/>
        <w:rPr>
          <w:rFonts w:eastAsia="Times New Roman" w:cs="Times New Roman"/>
          <w:sz w:val="20"/>
          <w:szCs w:val="20"/>
          <w:lang w:val="fr-CA" w:eastAsia="en-CA"/>
        </w:rPr>
      </w:pPr>
    </w:p>
    <w:p w:rsidR="00FD37D8" w:rsidRPr="00FD37D8" w:rsidRDefault="00FD37D8" w:rsidP="00FD37D8">
      <w:pPr>
        <w:spacing w:line="233" w:lineRule="auto"/>
        <w:rPr>
          <w:rFonts w:eastAsia="Times New Roman" w:cs="Times New Roman"/>
          <w:sz w:val="20"/>
          <w:szCs w:val="20"/>
          <w:lang w:val="fr-CA" w:eastAsia="en-CA"/>
        </w:rPr>
      </w:pPr>
      <w:r w:rsidRPr="00FD37D8">
        <w:rPr>
          <w:rFonts w:eastAsia="Times New Roman" w:cs="Times New Roman"/>
          <w:b/>
          <w:sz w:val="20"/>
          <w:szCs w:val="20"/>
          <w:lang w:val="fr-CA" w:eastAsia="en-CA"/>
        </w:rPr>
        <w:t>ET APRÈS EXAMEN</w:t>
      </w:r>
      <w:r w:rsidRPr="00FD37D8">
        <w:rPr>
          <w:rFonts w:eastAsia="Times New Roman" w:cs="Times New Roman"/>
          <w:sz w:val="20"/>
          <w:szCs w:val="20"/>
          <w:lang w:val="fr-CA" w:eastAsia="en-CA"/>
        </w:rPr>
        <w:t xml:space="preserve"> des documents déposés;</w:t>
      </w:r>
    </w:p>
    <w:p w:rsidR="00FD37D8" w:rsidRPr="00FD37D8" w:rsidRDefault="00FD37D8" w:rsidP="00FD37D8">
      <w:pPr>
        <w:spacing w:line="233" w:lineRule="auto"/>
        <w:rPr>
          <w:rFonts w:eastAsia="Times New Roman" w:cs="Times New Roman"/>
          <w:sz w:val="20"/>
          <w:szCs w:val="20"/>
          <w:lang w:val="fr-CA" w:eastAsia="en-CA"/>
        </w:rPr>
      </w:pPr>
    </w:p>
    <w:p w:rsidR="00FD37D8" w:rsidRPr="00FD37D8" w:rsidRDefault="00FD37D8" w:rsidP="00FD37D8">
      <w:pPr>
        <w:spacing w:line="233" w:lineRule="auto"/>
        <w:rPr>
          <w:rFonts w:eastAsia="Times New Roman" w:cs="Times New Roman"/>
          <w:b/>
          <w:sz w:val="20"/>
          <w:szCs w:val="20"/>
          <w:lang w:val="fr-CA" w:eastAsia="en-CA"/>
        </w:rPr>
      </w:pPr>
      <w:r w:rsidRPr="00FD37D8">
        <w:rPr>
          <w:rFonts w:eastAsia="Times New Roman" w:cs="Times New Roman"/>
          <w:b/>
          <w:sz w:val="20"/>
          <w:szCs w:val="20"/>
          <w:lang w:val="fr-CA" w:eastAsia="en-CA"/>
        </w:rPr>
        <w:t>IL EST ORDONNÉ CE QUI SUIT :</w:t>
      </w:r>
    </w:p>
    <w:p w:rsidR="00FD37D8" w:rsidRPr="00FD37D8" w:rsidRDefault="00FD37D8" w:rsidP="00FD37D8">
      <w:pPr>
        <w:spacing w:line="233" w:lineRule="auto"/>
        <w:rPr>
          <w:rFonts w:eastAsia="Times New Roman" w:cs="Times New Roman"/>
          <w:sz w:val="20"/>
          <w:szCs w:val="20"/>
          <w:lang w:val="fr-CA" w:eastAsia="en-CA"/>
        </w:rPr>
      </w:pPr>
    </w:p>
    <w:p w:rsidR="00FD37D8" w:rsidRPr="00FD37D8" w:rsidRDefault="00FD37D8" w:rsidP="00FD37D8">
      <w:pPr>
        <w:spacing w:line="233" w:lineRule="auto"/>
        <w:ind w:firstLine="720"/>
        <w:rPr>
          <w:rFonts w:eastAsia="Times New Roman" w:cs="Times New Roman"/>
          <w:sz w:val="20"/>
          <w:szCs w:val="20"/>
          <w:lang w:val="fr-CA" w:eastAsia="en-CA"/>
        </w:rPr>
      </w:pPr>
      <w:r w:rsidRPr="00FD37D8">
        <w:rPr>
          <w:rFonts w:eastAsia="Times New Roman" w:cs="Times New Roman"/>
          <w:sz w:val="20"/>
          <w:szCs w:val="20"/>
          <w:lang w:val="fr-CA" w:eastAsia="en-CA"/>
        </w:rPr>
        <w:t>La requête est rejetée.</w:t>
      </w:r>
    </w:p>
    <w:p w:rsidR="00FD37D8" w:rsidRPr="00FD37D8" w:rsidRDefault="00FD37D8" w:rsidP="00FD37D8">
      <w:pPr>
        <w:tabs>
          <w:tab w:val="left" w:pos="-1440"/>
          <w:tab w:val="left" w:pos="-720"/>
        </w:tabs>
        <w:jc w:val="both"/>
        <w:rPr>
          <w:rFonts w:eastAsia="Times New Roman" w:cs="Times New Roman"/>
          <w:sz w:val="20"/>
          <w:szCs w:val="20"/>
          <w:lang w:val="fr-FR" w:eastAsia="en-CA"/>
        </w:rPr>
      </w:pPr>
    </w:p>
    <w:p w:rsidR="00FD37D8" w:rsidRPr="00FD37D8" w:rsidRDefault="003F21C7" w:rsidP="00FD37D8">
      <w:pPr>
        <w:tabs>
          <w:tab w:val="left" w:pos="-1440"/>
          <w:tab w:val="left" w:pos="-720"/>
        </w:tabs>
        <w:jc w:val="both"/>
        <w:rPr>
          <w:rFonts w:eastAsia="Times New Roman" w:cs="Times New Roman"/>
          <w:sz w:val="20"/>
          <w:szCs w:val="20"/>
          <w:lang w:val="fr-CA" w:eastAsia="en-CA"/>
        </w:rPr>
      </w:pPr>
      <w:r w:rsidRPr="003F21C7">
        <w:rPr>
          <w:rFonts w:eastAsia="Times New Roman" w:cs="Times New Roman"/>
          <w:sz w:val="20"/>
          <w:szCs w:val="20"/>
          <w:lang w:val="fr-CA" w:eastAsia="en-CA"/>
        </w:rPr>
        <w:pict>
          <v:rect id="_x0000_i1074" style="width:2in;height:1pt" o:hrpct="0" o:hralign="center" o:hrstd="t" o:hrnoshade="t" o:hr="t" fillcolor="black [3213]" stroked="f"/>
        </w:pict>
      </w:r>
    </w:p>
    <w:p w:rsidR="00FD37D8" w:rsidRPr="00FD37D8" w:rsidRDefault="00FD37D8" w:rsidP="00FD37D8">
      <w:pPr>
        <w:tabs>
          <w:tab w:val="left" w:pos="-1440"/>
          <w:tab w:val="left" w:pos="-720"/>
        </w:tabs>
        <w:jc w:val="both"/>
        <w:rPr>
          <w:rFonts w:eastAsia="Times New Roman" w:cs="Times New Roman"/>
          <w:sz w:val="20"/>
          <w:szCs w:val="20"/>
          <w:lang w:val="fr-CA" w:eastAsia="en-CA"/>
        </w:rPr>
      </w:pPr>
    </w:p>
    <w:p w:rsidR="00FD37D8" w:rsidRPr="00FD37D8" w:rsidRDefault="00FD37D8" w:rsidP="00FD37D8">
      <w:pPr>
        <w:tabs>
          <w:tab w:val="left" w:pos="-1440"/>
          <w:tab w:val="left" w:pos="-720"/>
        </w:tabs>
        <w:jc w:val="both"/>
        <w:rPr>
          <w:rFonts w:eastAsia="Times New Roman" w:cs="Times New Roman"/>
          <w:sz w:val="20"/>
          <w:szCs w:val="20"/>
          <w:lang w:val="fr-CA" w:eastAsia="en-CA"/>
        </w:rPr>
      </w:pPr>
      <w:r w:rsidRPr="00FD37D8">
        <w:rPr>
          <w:rFonts w:eastAsia="Times New Roman" w:cs="Times New Roman"/>
          <w:sz w:val="20"/>
          <w:szCs w:val="20"/>
          <w:lang w:val="fr-CA" w:eastAsia="en-CA"/>
        </w:rPr>
        <w:t>27.02.2013</w:t>
      </w:r>
    </w:p>
    <w:p w:rsidR="00FD37D8" w:rsidRPr="00FD37D8" w:rsidRDefault="00FD37D8" w:rsidP="00FD37D8">
      <w:pPr>
        <w:tabs>
          <w:tab w:val="left" w:pos="-1440"/>
          <w:tab w:val="left" w:pos="-720"/>
        </w:tabs>
        <w:jc w:val="both"/>
        <w:rPr>
          <w:rFonts w:eastAsia="Times New Roman" w:cs="Times New Roman"/>
          <w:sz w:val="20"/>
          <w:szCs w:val="20"/>
          <w:lang w:val="fr-CA" w:eastAsia="en-CA"/>
        </w:rPr>
      </w:pPr>
    </w:p>
    <w:p w:rsidR="00FD37D8" w:rsidRPr="00FD37D8" w:rsidRDefault="00FD37D8" w:rsidP="00FD37D8">
      <w:pPr>
        <w:tabs>
          <w:tab w:val="left" w:pos="-1440"/>
          <w:tab w:val="left" w:pos="-720"/>
        </w:tabs>
        <w:jc w:val="both"/>
        <w:rPr>
          <w:rFonts w:eastAsia="Times New Roman" w:cs="Times New Roman"/>
          <w:sz w:val="20"/>
          <w:szCs w:val="20"/>
          <w:lang w:val="fr-CA" w:eastAsia="en-CA"/>
        </w:rPr>
      </w:pPr>
      <w:r w:rsidRPr="00FD37D8">
        <w:rPr>
          <w:rFonts w:eastAsia="Times New Roman" w:cs="Times New Roman"/>
          <w:sz w:val="20"/>
          <w:szCs w:val="20"/>
          <w:lang w:val="fr-CA" w:eastAsia="en-CA"/>
        </w:rPr>
        <w:t>Before / Devant :   ROTHSTEIN J. / LE JUGE ROTHSTEIN</w:t>
      </w:r>
    </w:p>
    <w:p w:rsidR="00FD37D8" w:rsidRPr="00FD37D8" w:rsidRDefault="00FD37D8" w:rsidP="00FD37D8">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3060"/>
        <w:gridCol w:w="1170"/>
        <w:gridCol w:w="4327"/>
      </w:tblGrid>
      <w:tr w:rsidR="00FD37D8" w:rsidRPr="00CB72E7" w:rsidTr="005F1FCE">
        <w:tc>
          <w:tcPr>
            <w:tcW w:w="4338" w:type="dxa"/>
            <w:gridSpan w:val="2"/>
          </w:tcPr>
          <w:p w:rsidR="00FD37D8" w:rsidRPr="00FD37D8" w:rsidRDefault="003F21C7" w:rsidP="00FD37D8">
            <w:pPr>
              <w:jc w:val="both"/>
              <w:rPr>
                <w:b/>
              </w:rPr>
            </w:pPr>
            <w:r w:rsidRPr="00FD37D8">
              <w:rPr>
                <w:lang w:val="en-US"/>
              </w:rPr>
              <w:fldChar w:fldCharType="begin"/>
            </w:r>
            <w:r w:rsidR="00FD37D8" w:rsidRPr="00FD37D8">
              <w:rPr>
                <w:lang w:val="en-US"/>
              </w:rPr>
              <w:instrText xml:space="preserve"> SEQ CHAPTER \h \r 1</w:instrText>
            </w:r>
            <w:r w:rsidRPr="00FD37D8">
              <w:rPr>
                <w:lang w:val="en-US"/>
              </w:rPr>
              <w:fldChar w:fldCharType="end"/>
            </w:r>
            <w:r w:rsidR="00FD37D8" w:rsidRPr="00FD37D8">
              <w:rPr>
                <w:b/>
                <w:bCs/>
                <w:lang w:val="en-US"/>
              </w:rPr>
              <w:t>Motions for an extension of time and for leave to intervene</w:t>
            </w:r>
            <w:r w:rsidRPr="00FD37D8">
              <w:rPr>
                <w:lang w:val="en-US"/>
              </w:rPr>
              <w:fldChar w:fldCharType="begin"/>
            </w:r>
            <w:r w:rsidR="00FD37D8" w:rsidRPr="00FD37D8">
              <w:instrText xml:space="preserve"> SEQ CHAPTER \h \r 1</w:instrText>
            </w:r>
            <w:r w:rsidRPr="00FD37D8">
              <w:rPr>
                <w:lang w:val="en-US"/>
              </w:rPr>
              <w:fldChar w:fldCharType="end"/>
            </w:r>
          </w:p>
        </w:tc>
        <w:tc>
          <w:tcPr>
            <w:tcW w:w="1170" w:type="dxa"/>
          </w:tcPr>
          <w:p w:rsidR="00FD37D8" w:rsidRPr="00FD37D8" w:rsidRDefault="00FD37D8" w:rsidP="00FD37D8"/>
          <w:p w:rsidR="00FD37D8" w:rsidRPr="00FD37D8" w:rsidRDefault="00FD37D8" w:rsidP="00FD37D8"/>
          <w:p w:rsidR="00FD37D8" w:rsidRPr="00FD37D8" w:rsidRDefault="00FD37D8" w:rsidP="00FD37D8"/>
        </w:tc>
        <w:tc>
          <w:tcPr>
            <w:tcW w:w="4327" w:type="dxa"/>
          </w:tcPr>
          <w:p w:rsidR="00FD37D8" w:rsidRPr="00FD37D8" w:rsidRDefault="003F21C7" w:rsidP="00FD37D8">
            <w:pPr>
              <w:jc w:val="both"/>
              <w:rPr>
                <w:b/>
                <w:lang w:val="fr-CA"/>
              </w:rPr>
            </w:pPr>
            <w:r w:rsidRPr="00FD37D8">
              <w:rPr>
                <w:lang w:val="en-US"/>
              </w:rPr>
              <w:fldChar w:fldCharType="begin"/>
            </w:r>
            <w:r w:rsidR="00FD37D8" w:rsidRPr="00FD37D8">
              <w:rPr>
                <w:lang w:val="fr-CA"/>
              </w:rPr>
              <w:instrText xml:space="preserve"> SEQ CHAPTER \h \r 1</w:instrText>
            </w:r>
            <w:r w:rsidRPr="00FD37D8">
              <w:rPr>
                <w:lang w:val="en-US"/>
              </w:rPr>
              <w:fldChar w:fldCharType="end"/>
            </w:r>
            <w:r w:rsidR="00FD37D8" w:rsidRPr="00FD37D8">
              <w:rPr>
                <w:b/>
                <w:bCs/>
                <w:lang w:val="fr-CA"/>
              </w:rPr>
              <w:t>Requêtes en prorogation de délai et en autorisation d’intervenir</w:t>
            </w:r>
            <w:r w:rsidRPr="00FD37D8">
              <w:rPr>
                <w:lang w:val="en-US"/>
              </w:rPr>
              <w:fldChar w:fldCharType="begin"/>
            </w:r>
            <w:r w:rsidR="00FD37D8" w:rsidRPr="00FD37D8">
              <w:rPr>
                <w:lang w:val="fr-CA"/>
              </w:rPr>
              <w:instrText xml:space="preserve"> SEQ CHAPTER \h \r 1</w:instrText>
            </w:r>
            <w:r w:rsidRPr="00FD37D8">
              <w:rPr>
                <w:lang w:val="en-US"/>
              </w:rPr>
              <w:fldChar w:fldCharType="end"/>
            </w:r>
          </w:p>
        </w:tc>
      </w:tr>
      <w:tr w:rsidR="00FD37D8" w:rsidRPr="00FD37D8" w:rsidTr="005F1FCE">
        <w:tc>
          <w:tcPr>
            <w:tcW w:w="1278" w:type="dxa"/>
          </w:tcPr>
          <w:p w:rsidR="00FD37D8" w:rsidRPr="00FD37D8" w:rsidRDefault="00FD37D8" w:rsidP="00FD37D8">
            <w:r w:rsidRPr="00FD37D8">
              <w:t>BY / PAR</w:t>
            </w:r>
          </w:p>
        </w:tc>
        <w:tc>
          <w:tcPr>
            <w:tcW w:w="3060" w:type="dxa"/>
          </w:tcPr>
          <w:p w:rsidR="00FD37D8" w:rsidRPr="00FD37D8" w:rsidRDefault="00FD37D8" w:rsidP="00FD37D8">
            <w:r w:rsidRPr="00FD37D8">
              <w:rPr>
                <w:bCs/>
                <w:lang w:val="fr-CA"/>
              </w:rPr>
              <w:t>Procureur général de l'Ontario</w:t>
            </w:r>
            <w:r w:rsidRPr="00FD37D8">
              <w:rPr>
                <w:lang w:val="en-US"/>
              </w:rPr>
              <w:t>;</w:t>
            </w:r>
          </w:p>
        </w:tc>
        <w:tc>
          <w:tcPr>
            <w:tcW w:w="1170" w:type="dxa"/>
          </w:tcPr>
          <w:p w:rsidR="00FD37D8" w:rsidRPr="00FD37D8" w:rsidRDefault="00FD37D8" w:rsidP="00FD37D8"/>
        </w:tc>
        <w:tc>
          <w:tcPr>
            <w:tcW w:w="4327" w:type="dxa"/>
          </w:tcPr>
          <w:p w:rsidR="00FD37D8" w:rsidRPr="00FD37D8" w:rsidRDefault="00FD37D8" w:rsidP="00FD37D8"/>
        </w:tc>
      </w:tr>
      <w:tr w:rsidR="00FD37D8" w:rsidRPr="00CB72E7" w:rsidTr="005F1FCE">
        <w:tc>
          <w:tcPr>
            <w:tcW w:w="1278" w:type="dxa"/>
          </w:tcPr>
          <w:p w:rsidR="00FD37D8" w:rsidRPr="00FD37D8" w:rsidRDefault="00FD37D8" w:rsidP="00FD37D8"/>
        </w:tc>
        <w:tc>
          <w:tcPr>
            <w:tcW w:w="3060" w:type="dxa"/>
          </w:tcPr>
          <w:p w:rsidR="00FD37D8" w:rsidRPr="00FD37D8" w:rsidRDefault="00FD37D8" w:rsidP="00FD37D8">
            <w:pPr>
              <w:rPr>
                <w:lang w:val="fr-CA"/>
              </w:rPr>
            </w:pPr>
            <w:r w:rsidRPr="00FD37D8">
              <w:rPr>
                <w:lang w:val="fr-CA"/>
              </w:rPr>
              <w:t>Commissaire aux langues officielles du Canada;</w:t>
            </w:r>
          </w:p>
        </w:tc>
        <w:tc>
          <w:tcPr>
            <w:tcW w:w="1170" w:type="dxa"/>
          </w:tcPr>
          <w:p w:rsidR="00FD37D8" w:rsidRPr="00FD37D8" w:rsidRDefault="00FD37D8" w:rsidP="00FD37D8">
            <w:pPr>
              <w:rPr>
                <w:lang w:val="fr-CA"/>
              </w:rPr>
            </w:pPr>
          </w:p>
        </w:tc>
        <w:tc>
          <w:tcPr>
            <w:tcW w:w="4327" w:type="dxa"/>
          </w:tcPr>
          <w:p w:rsidR="00FD37D8" w:rsidRPr="00FD37D8" w:rsidRDefault="00FD37D8" w:rsidP="00FD37D8">
            <w:pPr>
              <w:rPr>
                <w:lang w:val="fr-CA"/>
              </w:rPr>
            </w:pPr>
          </w:p>
        </w:tc>
      </w:tr>
      <w:tr w:rsidR="00FD37D8" w:rsidRPr="00CB72E7" w:rsidTr="005F1FCE">
        <w:tc>
          <w:tcPr>
            <w:tcW w:w="1278" w:type="dxa"/>
          </w:tcPr>
          <w:p w:rsidR="00FD37D8" w:rsidRPr="00FD37D8" w:rsidRDefault="00FD37D8" w:rsidP="00FD37D8">
            <w:pPr>
              <w:rPr>
                <w:lang w:val="fr-CA"/>
              </w:rPr>
            </w:pPr>
          </w:p>
        </w:tc>
        <w:tc>
          <w:tcPr>
            <w:tcW w:w="3060" w:type="dxa"/>
          </w:tcPr>
          <w:p w:rsidR="00FD37D8" w:rsidRPr="00FD37D8" w:rsidRDefault="00FD37D8" w:rsidP="00FD37D8">
            <w:pPr>
              <w:rPr>
                <w:lang w:val="fr-CA"/>
              </w:rPr>
            </w:pPr>
            <w:r w:rsidRPr="00FD37D8">
              <w:rPr>
                <w:lang w:val="fr-CA"/>
              </w:rPr>
              <w:t>Association des juristes d'expression française de la Colombie-Britannique</w:t>
            </w:r>
          </w:p>
        </w:tc>
        <w:tc>
          <w:tcPr>
            <w:tcW w:w="1170" w:type="dxa"/>
          </w:tcPr>
          <w:p w:rsidR="00FD37D8" w:rsidRPr="00FD37D8" w:rsidRDefault="00FD37D8" w:rsidP="00FD37D8">
            <w:pPr>
              <w:rPr>
                <w:lang w:val="fr-CA"/>
              </w:rPr>
            </w:pPr>
          </w:p>
        </w:tc>
        <w:tc>
          <w:tcPr>
            <w:tcW w:w="4327" w:type="dxa"/>
          </w:tcPr>
          <w:p w:rsidR="00FD37D8" w:rsidRPr="00FD37D8" w:rsidRDefault="00FD37D8" w:rsidP="00FD37D8">
            <w:pPr>
              <w:rPr>
                <w:lang w:val="fr-CA"/>
              </w:rPr>
            </w:pPr>
          </w:p>
        </w:tc>
      </w:tr>
      <w:tr w:rsidR="00FD37D8" w:rsidRPr="00CB72E7" w:rsidTr="005F1FCE">
        <w:tc>
          <w:tcPr>
            <w:tcW w:w="1278" w:type="dxa"/>
          </w:tcPr>
          <w:p w:rsidR="00FD37D8" w:rsidRPr="00FD37D8" w:rsidRDefault="00FD37D8" w:rsidP="00FD37D8">
            <w:pPr>
              <w:rPr>
                <w:lang w:val="fr-CA"/>
              </w:rPr>
            </w:pPr>
          </w:p>
        </w:tc>
        <w:tc>
          <w:tcPr>
            <w:tcW w:w="3060" w:type="dxa"/>
          </w:tcPr>
          <w:p w:rsidR="00FD37D8" w:rsidRPr="00FD37D8" w:rsidRDefault="00FD37D8" w:rsidP="00FD37D8">
            <w:pPr>
              <w:rPr>
                <w:lang w:val="fr-CA"/>
              </w:rPr>
            </w:pPr>
          </w:p>
        </w:tc>
        <w:tc>
          <w:tcPr>
            <w:tcW w:w="1170" w:type="dxa"/>
          </w:tcPr>
          <w:p w:rsidR="00FD37D8" w:rsidRPr="00FD37D8" w:rsidRDefault="00FD37D8" w:rsidP="00FD37D8">
            <w:pPr>
              <w:rPr>
                <w:lang w:val="fr-CA"/>
              </w:rPr>
            </w:pPr>
          </w:p>
        </w:tc>
        <w:tc>
          <w:tcPr>
            <w:tcW w:w="4327" w:type="dxa"/>
          </w:tcPr>
          <w:p w:rsidR="00FD37D8" w:rsidRPr="00FD37D8" w:rsidRDefault="00FD37D8" w:rsidP="00FD37D8">
            <w:pPr>
              <w:rPr>
                <w:lang w:val="fr-CA"/>
              </w:rPr>
            </w:pPr>
          </w:p>
        </w:tc>
      </w:tr>
      <w:tr w:rsidR="00FD37D8" w:rsidRPr="00CB72E7" w:rsidTr="005F1FCE">
        <w:tc>
          <w:tcPr>
            <w:tcW w:w="1278" w:type="dxa"/>
          </w:tcPr>
          <w:p w:rsidR="00FD37D8" w:rsidRPr="00FD37D8" w:rsidRDefault="00FD37D8" w:rsidP="00FD37D8">
            <w:r w:rsidRPr="00FD37D8">
              <w:t>IN / DANS :</w:t>
            </w:r>
          </w:p>
        </w:tc>
        <w:tc>
          <w:tcPr>
            <w:tcW w:w="3060" w:type="dxa"/>
          </w:tcPr>
          <w:p w:rsidR="00FD37D8" w:rsidRPr="00FD37D8" w:rsidRDefault="00FD37D8" w:rsidP="00FD37D8">
            <w:pPr>
              <w:rPr>
                <w:lang w:val="fr-CA"/>
              </w:rPr>
            </w:pPr>
            <w:r w:rsidRPr="00FD37D8">
              <w:rPr>
                <w:lang w:val="fr-CA"/>
              </w:rPr>
              <w:t>Conseil Scolaire Francophone de la Colombie-Britannique et autres</w:t>
            </w:r>
          </w:p>
          <w:p w:rsidR="00FD37D8" w:rsidRPr="00FD37D8" w:rsidRDefault="00FD37D8" w:rsidP="00FD37D8">
            <w:pPr>
              <w:rPr>
                <w:lang w:val="fr-CA"/>
              </w:rPr>
            </w:pPr>
          </w:p>
          <w:p w:rsidR="00FD37D8" w:rsidRPr="00FD37D8" w:rsidRDefault="00FD37D8" w:rsidP="00FD37D8">
            <w:pPr>
              <w:rPr>
                <w:lang w:val="fr-CA"/>
              </w:rPr>
            </w:pPr>
            <w:r w:rsidRPr="00FD37D8">
              <w:rPr>
                <w:lang w:val="fr-CA"/>
              </w:rPr>
              <w:tab/>
              <w:t>c. (34908)</w:t>
            </w:r>
          </w:p>
          <w:p w:rsidR="00FD37D8" w:rsidRPr="00FD37D8" w:rsidRDefault="00FD37D8" w:rsidP="00FD37D8">
            <w:pPr>
              <w:rPr>
                <w:lang w:val="fr-CA"/>
              </w:rPr>
            </w:pPr>
          </w:p>
          <w:p w:rsidR="00FD37D8" w:rsidRPr="00FD37D8" w:rsidRDefault="00FD37D8" w:rsidP="00FD37D8">
            <w:pPr>
              <w:rPr>
                <w:lang w:val="fr-CA"/>
              </w:rPr>
            </w:pPr>
            <w:r w:rsidRPr="00FD37D8">
              <w:rPr>
                <w:lang w:val="fr-CA"/>
              </w:rPr>
              <w:t>Sa Majesté la Reine du chef de la province de Colombie-Britannique et autre (C.-B.)</w:t>
            </w:r>
          </w:p>
        </w:tc>
        <w:tc>
          <w:tcPr>
            <w:tcW w:w="1170" w:type="dxa"/>
          </w:tcPr>
          <w:p w:rsidR="00FD37D8" w:rsidRPr="00FD37D8" w:rsidRDefault="00FD37D8" w:rsidP="00FD37D8">
            <w:pPr>
              <w:rPr>
                <w:lang w:val="fr-CA"/>
              </w:rPr>
            </w:pPr>
          </w:p>
        </w:tc>
        <w:tc>
          <w:tcPr>
            <w:tcW w:w="4327" w:type="dxa"/>
          </w:tcPr>
          <w:p w:rsidR="00FD37D8" w:rsidRPr="00FD37D8" w:rsidRDefault="00FD37D8" w:rsidP="00FD37D8">
            <w:pPr>
              <w:rPr>
                <w:lang w:val="fr-CA"/>
              </w:rPr>
            </w:pPr>
          </w:p>
        </w:tc>
      </w:tr>
    </w:tbl>
    <w:p w:rsidR="00FD37D8" w:rsidRPr="00FD37D8" w:rsidRDefault="00FD37D8" w:rsidP="00FD37D8">
      <w:pPr>
        <w:tabs>
          <w:tab w:val="left" w:pos="-1440"/>
          <w:tab w:val="left" w:pos="-720"/>
        </w:tabs>
        <w:jc w:val="both"/>
        <w:rPr>
          <w:rFonts w:eastAsia="Times New Roman" w:cs="Times New Roman"/>
          <w:sz w:val="20"/>
          <w:szCs w:val="20"/>
          <w:lang w:val="fr-CA" w:eastAsia="en-CA"/>
        </w:rPr>
      </w:pPr>
    </w:p>
    <w:p w:rsidR="00FD37D8" w:rsidRPr="00FD37D8" w:rsidRDefault="00FD37D8" w:rsidP="00FD37D8">
      <w:pPr>
        <w:tabs>
          <w:tab w:val="left" w:pos="-1440"/>
          <w:tab w:val="left" w:pos="-720"/>
        </w:tabs>
        <w:jc w:val="both"/>
        <w:rPr>
          <w:rFonts w:eastAsia="Times New Roman" w:cs="Times New Roman"/>
          <w:sz w:val="20"/>
          <w:szCs w:val="20"/>
          <w:lang w:val="fr-CA" w:eastAsia="en-CA"/>
        </w:rPr>
      </w:pPr>
      <w:r w:rsidRPr="00FD37D8">
        <w:rPr>
          <w:rFonts w:eastAsia="Times New Roman" w:cs="Times New Roman"/>
          <w:b/>
          <w:sz w:val="20"/>
          <w:szCs w:val="20"/>
          <w:lang w:val="fr-CA" w:eastAsia="en-CA"/>
        </w:rPr>
        <w:t>GRANTED / ACCORDÉES</w:t>
      </w:r>
    </w:p>
    <w:p w:rsidR="00FD37D8" w:rsidRPr="00FD37D8" w:rsidRDefault="00FD37D8" w:rsidP="00FD37D8">
      <w:pPr>
        <w:tabs>
          <w:tab w:val="left" w:pos="-1440"/>
          <w:tab w:val="left" w:pos="-720"/>
        </w:tabs>
        <w:jc w:val="both"/>
        <w:rPr>
          <w:rFonts w:eastAsia="Times New Roman" w:cs="Times New Roman"/>
          <w:sz w:val="20"/>
          <w:szCs w:val="20"/>
          <w:lang w:val="fr-CA" w:eastAsia="en-CA"/>
        </w:rPr>
      </w:pPr>
    </w:p>
    <w:p w:rsidR="00FD37D8" w:rsidRPr="00FD37D8" w:rsidRDefault="00FD37D8" w:rsidP="00FD37D8">
      <w:pPr>
        <w:spacing w:line="233" w:lineRule="auto"/>
        <w:jc w:val="both"/>
        <w:rPr>
          <w:rFonts w:eastAsia="Times New Roman" w:cs="Times New Roman"/>
          <w:bCs/>
          <w:sz w:val="20"/>
          <w:szCs w:val="20"/>
          <w:lang w:val="fr-CA" w:eastAsia="en-CA"/>
        </w:rPr>
      </w:pPr>
      <w:r w:rsidRPr="00FD37D8">
        <w:rPr>
          <w:rFonts w:eastAsia="Times New Roman" w:cs="Times New Roman"/>
          <w:b/>
          <w:bCs/>
          <w:sz w:val="20"/>
          <w:szCs w:val="20"/>
          <w:lang w:val="fr-CA" w:eastAsia="en-CA"/>
        </w:rPr>
        <w:t xml:space="preserve">À LA SUITE DE LA DEMANDE </w:t>
      </w:r>
      <w:r w:rsidRPr="00FD37D8">
        <w:rPr>
          <w:rFonts w:eastAsia="Times New Roman" w:cs="Times New Roman"/>
          <w:bCs/>
          <w:sz w:val="20"/>
          <w:szCs w:val="20"/>
          <w:lang w:val="fr-CA" w:eastAsia="en-CA"/>
        </w:rPr>
        <w:t>présentée par le Procureur général de l'Ontario en prorogation du délai applicable à une demande d'autorisation d'intervenir et en autorisation d'intervenir dans l'appel;</w:t>
      </w:r>
    </w:p>
    <w:p w:rsidR="00FD37D8" w:rsidRPr="00FD37D8" w:rsidRDefault="00FD37D8" w:rsidP="00FD37D8">
      <w:pPr>
        <w:spacing w:line="233" w:lineRule="auto"/>
        <w:jc w:val="both"/>
        <w:rPr>
          <w:rFonts w:eastAsia="Times New Roman" w:cs="Times New Roman"/>
          <w:b/>
          <w:bCs/>
          <w:sz w:val="20"/>
          <w:szCs w:val="20"/>
          <w:lang w:val="fr-CA" w:eastAsia="en-CA"/>
        </w:rPr>
      </w:pPr>
    </w:p>
    <w:p w:rsidR="00FD37D8" w:rsidRPr="00FD37D8" w:rsidRDefault="00FD37D8" w:rsidP="00FD37D8">
      <w:pPr>
        <w:spacing w:line="233" w:lineRule="auto"/>
        <w:jc w:val="both"/>
        <w:rPr>
          <w:rFonts w:eastAsia="Times New Roman" w:cs="Times New Roman"/>
          <w:sz w:val="20"/>
          <w:szCs w:val="20"/>
          <w:lang w:val="fr-CA" w:eastAsia="en-CA"/>
        </w:rPr>
      </w:pPr>
      <w:r w:rsidRPr="00FD37D8">
        <w:rPr>
          <w:rFonts w:eastAsia="Times New Roman" w:cs="Times New Roman"/>
          <w:b/>
          <w:bCs/>
          <w:sz w:val="20"/>
          <w:szCs w:val="20"/>
          <w:lang w:val="fr-CA" w:eastAsia="en-CA"/>
        </w:rPr>
        <w:t xml:space="preserve">ET À LA SUITE DES DEMANDES </w:t>
      </w:r>
      <w:r w:rsidRPr="00FD37D8">
        <w:rPr>
          <w:rFonts w:eastAsia="Times New Roman" w:cs="Times New Roman"/>
          <w:sz w:val="20"/>
          <w:szCs w:val="20"/>
          <w:lang w:val="fr-CA" w:eastAsia="en-CA"/>
        </w:rPr>
        <w:t>présentées par le Commissaire aux langues officielles du Canada et l’Association des juristes d'expression française de la Colombie-Britannique en vue d’intervenir dans l’appel;</w:t>
      </w:r>
    </w:p>
    <w:p w:rsidR="00FD37D8" w:rsidRPr="00FD37D8" w:rsidRDefault="00FD37D8" w:rsidP="00FD37D8">
      <w:pPr>
        <w:spacing w:line="233" w:lineRule="auto"/>
        <w:jc w:val="both"/>
        <w:rPr>
          <w:rFonts w:eastAsia="Times New Roman" w:cs="Times New Roman"/>
          <w:sz w:val="20"/>
          <w:szCs w:val="20"/>
          <w:lang w:val="fr-CA" w:eastAsia="en-CA"/>
        </w:rPr>
      </w:pPr>
    </w:p>
    <w:p w:rsidR="00FD37D8" w:rsidRPr="00FD37D8" w:rsidRDefault="00FD37D8" w:rsidP="00FD37D8">
      <w:pPr>
        <w:spacing w:line="233" w:lineRule="auto"/>
        <w:jc w:val="both"/>
        <w:rPr>
          <w:rFonts w:eastAsia="Times New Roman" w:cs="Times New Roman"/>
          <w:sz w:val="20"/>
          <w:szCs w:val="20"/>
          <w:lang w:val="fr-CA" w:eastAsia="en-CA"/>
        </w:rPr>
      </w:pPr>
      <w:r w:rsidRPr="00FD37D8">
        <w:rPr>
          <w:rFonts w:eastAsia="Times New Roman" w:cs="Times New Roman"/>
          <w:b/>
          <w:bCs/>
          <w:sz w:val="20"/>
          <w:szCs w:val="20"/>
          <w:lang w:val="fr-CA" w:eastAsia="en-CA"/>
        </w:rPr>
        <w:t xml:space="preserve">ET APRÈS EXAMEN </w:t>
      </w:r>
      <w:r w:rsidRPr="00FD37D8">
        <w:rPr>
          <w:rFonts w:eastAsia="Times New Roman" w:cs="Times New Roman"/>
          <w:sz w:val="20"/>
          <w:szCs w:val="20"/>
          <w:lang w:val="fr-CA" w:eastAsia="en-CA"/>
        </w:rPr>
        <w:t xml:space="preserve">des documents déposés; </w:t>
      </w:r>
    </w:p>
    <w:p w:rsidR="00FD37D8" w:rsidRDefault="00FD37D8" w:rsidP="00FD37D8">
      <w:pPr>
        <w:rPr>
          <w:rFonts w:eastAsia="Times New Roman" w:cs="Times New Roman"/>
          <w:sz w:val="20"/>
          <w:szCs w:val="20"/>
          <w:lang w:val="fr-CA" w:eastAsia="en-CA"/>
        </w:rPr>
      </w:pPr>
    </w:p>
    <w:p w:rsidR="00FD37D8" w:rsidRPr="00FD37D8" w:rsidRDefault="00FD37D8" w:rsidP="00FD37D8">
      <w:pPr>
        <w:rPr>
          <w:rFonts w:eastAsia="Times New Roman" w:cs="Times New Roman"/>
          <w:sz w:val="20"/>
          <w:szCs w:val="20"/>
          <w:lang w:val="fr-CA" w:eastAsia="en-CA"/>
        </w:rPr>
      </w:pPr>
      <w:r w:rsidRPr="00FD37D8">
        <w:rPr>
          <w:rFonts w:eastAsia="Times New Roman" w:cs="Times New Roman"/>
          <w:sz w:val="20"/>
          <w:szCs w:val="20"/>
          <w:lang w:val="fr-CA" w:eastAsia="en-CA"/>
        </w:rPr>
        <w:br w:type="page"/>
      </w:r>
    </w:p>
    <w:p w:rsidR="00FD37D8" w:rsidRPr="00FD37D8" w:rsidRDefault="00FD37D8" w:rsidP="00FD37D8">
      <w:pPr>
        <w:spacing w:line="233" w:lineRule="auto"/>
        <w:jc w:val="both"/>
        <w:rPr>
          <w:rFonts w:eastAsia="Times New Roman" w:cs="Times New Roman"/>
          <w:sz w:val="20"/>
          <w:szCs w:val="20"/>
          <w:lang w:val="fr-CA" w:eastAsia="en-CA"/>
        </w:rPr>
      </w:pPr>
      <w:r w:rsidRPr="00FD37D8">
        <w:rPr>
          <w:rFonts w:eastAsia="Times New Roman" w:cs="Times New Roman"/>
          <w:b/>
          <w:bCs/>
          <w:sz w:val="20"/>
          <w:szCs w:val="20"/>
          <w:lang w:val="fr-CA" w:eastAsia="en-CA"/>
        </w:rPr>
        <w:lastRenderedPageBreak/>
        <w:t xml:space="preserve">IL EST ORDONNÉ CE QUI SUIT : </w:t>
      </w:r>
    </w:p>
    <w:p w:rsidR="00FD37D8" w:rsidRPr="00FD37D8" w:rsidRDefault="00FD37D8" w:rsidP="00FD37D8">
      <w:pPr>
        <w:spacing w:line="233" w:lineRule="auto"/>
        <w:jc w:val="both"/>
        <w:rPr>
          <w:rFonts w:eastAsia="Times New Roman" w:cs="Times New Roman"/>
          <w:sz w:val="20"/>
          <w:szCs w:val="20"/>
          <w:lang w:val="fr-CA" w:eastAsia="en-CA"/>
        </w:rPr>
      </w:pPr>
    </w:p>
    <w:p w:rsidR="00FD37D8" w:rsidRPr="00FD37D8" w:rsidRDefault="00FD37D8" w:rsidP="00FD37D8">
      <w:pPr>
        <w:spacing w:line="233" w:lineRule="auto"/>
        <w:jc w:val="both"/>
        <w:rPr>
          <w:rFonts w:eastAsia="Times New Roman" w:cs="Times New Roman"/>
          <w:sz w:val="20"/>
          <w:szCs w:val="20"/>
          <w:lang w:val="fr-CA" w:eastAsia="en-CA"/>
        </w:rPr>
      </w:pPr>
      <w:r w:rsidRPr="00FD37D8">
        <w:rPr>
          <w:rFonts w:eastAsia="Times New Roman" w:cs="Times New Roman"/>
          <w:sz w:val="20"/>
          <w:szCs w:val="20"/>
          <w:lang w:val="fr-CA" w:eastAsia="en-CA"/>
        </w:rPr>
        <w:t xml:space="preserve">La requête en prorogation du délai applicable à une demande d'autorisation d'intervenir et en autorisation d'intervenir présentée par le </w:t>
      </w:r>
      <w:r w:rsidRPr="00FD37D8">
        <w:rPr>
          <w:rFonts w:eastAsia="Times New Roman" w:cs="Times New Roman"/>
          <w:bCs/>
          <w:sz w:val="20"/>
          <w:szCs w:val="20"/>
          <w:lang w:val="fr-CA" w:eastAsia="en-CA"/>
        </w:rPr>
        <w:t>Procureur général de l'Ontario</w:t>
      </w:r>
      <w:r w:rsidRPr="00FD37D8">
        <w:rPr>
          <w:rFonts w:eastAsia="Times New Roman" w:cs="Times New Roman"/>
          <w:sz w:val="20"/>
          <w:szCs w:val="20"/>
          <w:lang w:val="fr-CA" w:eastAsia="en-CA"/>
        </w:rPr>
        <w:t xml:space="preserve"> est accueillie et l’intervenant pourra signifier et déposer un mémoire d'au plus dix pages au plus tard le 22 mars 2013.</w:t>
      </w:r>
    </w:p>
    <w:p w:rsidR="00FD37D8" w:rsidRPr="00FD37D8" w:rsidRDefault="00FD37D8" w:rsidP="00FD37D8">
      <w:pPr>
        <w:spacing w:line="233" w:lineRule="auto"/>
        <w:jc w:val="both"/>
        <w:rPr>
          <w:rFonts w:eastAsia="Times New Roman" w:cs="Times New Roman"/>
          <w:sz w:val="20"/>
          <w:szCs w:val="20"/>
          <w:lang w:val="fr-CA" w:eastAsia="en-CA"/>
        </w:rPr>
      </w:pPr>
    </w:p>
    <w:p w:rsidR="00FD37D8" w:rsidRPr="00FD37D8" w:rsidRDefault="00FD37D8" w:rsidP="00FD37D8">
      <w:pPr>
        <w:spacing w:line="233" w:lineRule="auto"/>
        <w:jc w:val="both"/>
        <w:rPr>
          <w:rFonts w:eastAsia="Times New Roman" w:cs="Times New Roman"/>
          <w:sz w:val="20"/>
          <w:szCs w:val="20"/>
          <w:lang w:val="fr-CA" w:eastAsia="en-CA"/>
        </w:rPr>
      </w:pPr>
      <w:r w:rsidRPr="00FD37D8">
        <w:rPr>
          <w:rFonts w:eastAsia="Times New Roman" w:cs="Times New Roman"/>
          <w:sz w:val="20"/>
          <w:szCs w:val="20"/>
          <w:lang w:val="fr-CA" w:eastAsia="en-CA"/>
        </w:rPr>
        <w:t xml:space="preserve">Les requêtes </w:t>
      </w:r>
      <w:r w:rsidR="003F21C7" w:rsidRPr="00FD37D8">
        <w:rPr>
          <w:rFonts w:eastAsia="Times New Roman" w:cs="Times New Roman"/>
          <w:sz w:val="20"/>
          <w:szCs w:val="20"/>
          <w:lang w:eastAsia="en-CA"/>
        </w:rPr>
        <w:fldChar w:fldCharType="begin"/>
      </w:r>
      <w:r w:rsidRPr="00FD37D8">
        <w:rPr>
          <w:rFonts w:eastAsia="Times New Roman" w:cs="Times New Roman"/>
          <w:sz w:val="20"/>
          <w:szCs w:val="20"/>
          <w:lang w:val="fr-FR" w:eastAsia="en-CA"/>
        </w:rPr>
        <w:instrText xml:space="preserve"> SEQ CHAPTER \h \r 1</w:instrText>
      </w:r>
      <w:r w:rsidR="003F21C7" w:rsidRPr="00FD37D8">
        <w:rPr>
          <w:rFonts w:eastAsia="Times New Roman" w:cs="Times New Roman"/>
          <w:sz w:val="20"/>
          <w:szCs w:val="20"/>
          <w:lang w:eastAsia="en-CA"/>
        </w:rPr>
        <w:fldChar w:fldCharType="end"/>
      </w:r>
      <w:r w:rsidRPr="00FD37D8">
        <w:rPr>
          <w:rFonts w:eastAsia="Times New Roman" w:cs="Times New Roman"/>
          <w:sz w:val="20"/>
          <w:szCs w:val="20"/>
          <w:lang w:val="fr-CA" w:eastAsia="en-CA"/>
        </w:rPr>
        <w:t>en autorisation d’intervenir du Commissaire aux langues officielles du Canada et de l’Association des juristes d'expression française de la Colombie-Britannique sont accueillies et ces intervenants pourront signifier et déposer un mémoire d’au plus 10 pages au plus tard le 22 mars 2013.</w:t>
      </w:r>
    </w:p>
    <w:p w:rsidR="00FD37D8" w:rsidRPr="00FD37D8" w:rsidRDefault="00FD37D8" w:rsidP="00FD37D8">
      <w:pPr>
        <w:spacing w:line="233" w:lineRule="auto"/>
        <w:jc w:val="both"/>
        <w:rPr>
          <w:rFonts w:eastAsia="Times New Roman" w:cs="Times New Roman"/>
          <w:sz w:val="20"/>
          <w:szCs w:val="20"/>
          <w:lang w:val="fr-CA" w:eastAsia="en-CA"/>
        </w:rPr>
      </w:pPr>
    </w:p>
    <w:p w:rsidR="00FD37D8" w:rsidRPr="00FD37D8" w:rsidRDefault="00FD37D8" w:rsidP="00FD37D8">
      <w:pPr>
        <w:spacing w:line="225" w:lineRule="auto"/>
        <w:jc w:val="both"/>
        <w:rPr>
          <w:rFonts w:eastAsia="Times New Roman" w:cs="Times New Roman"/>
          <w:sz w:val="20"/>
          <w:szCs w:val="20"/>
          <w:lang w:val="fr-CA" w:eastAsia="en-CA"/>
        </w:rPr>
      </w:pPr>
      <w:r w:rsidRPr="00FD37D8">
        <w:rPr>
          <w:rFonts w:eastAsia="Times New Roman" w:cs="Times New Roman"/>
          <w:sz w:val="20"/>
          <w:szCs w:val="20"/>
          <w:lang w:val="fr-CA" w:eastAsia="en-CA"/>
        </w:rPr>
        <w:t xml:space="preserve">La décision sur la demande en vue de présenter une plaidoirie orale sera rendue après réception et examen des arguments écrits des parties et des intervenants. </w:t>
      </w:r>
    </w:p>
    <w:p w:rsidR="00FD37D8" w:rsidRPr="00FD37D8" w:rsidRDefault="00FD37D8" w:rsidP="00FD37D8">
      <w:pPr>
        <w:spacing w:line="233" w:lineRule="auto"/>
        <w:jc w:val="both"/>
        <w:rPr>
          <w:rFonts w:eastAsia="Times New Roman" w:cs="Times New Roman"/>
          <w:color w:val="000000" w:themeColor="text1"/>
          <w:sz w:val="20"/>
          <w:szCs w:val="20"/>
          <w:lang w:val="fr-CA" w:eastAsia="fr-FR"/>
        </w:rPr>
      </w:pPr>
    </w:p>
    <w:p w:rsidR="00FD37D8" w:rsidRPr="00FD37D8" w:rsidRDefault="003F21C7" w:rsidP="00FD37D8">
      <w:pPr>
        <w:jc w:val="both"/>
        <w:rPr>
          <w:rFonts w:eastAsia="Times New Roman" w:cs="Times New Roman"/>
          <w:sz w:val="20"/>
          <w:szCs w:val="20"/>
          <w:lang w:val="fr-FR" w:eastAsia="en-CA"/>
        </w:rPr>
      </w:pPr>
      <w:r w:rsidRPr="00FD37D8">
        <w:rPr>
          <w:rFonts w:eastAsia="Times New Roman" w:cs="Times New Roman"/>
          <w:sz w:val="20"/>
          <w:szCs w:val="20"/>
          <w:lang w:eastAsia="en-CA"/>
        </w:rPr>
        <w:fldChar w:fldCharType="begin"/>
      </w:r>
      <w:r w:rsidR="00FD37D8" w:rsidRPr="00FD37D8">
        <w:rPr>
          <w:rFonts w:eastAsia="Times New Roman" w:cs="Times New Roman"/>
          <w:sz w:val="20"/>
          <w:szCs w:val="20"/>
          <w:lang w:val="fr-FR" w:eastAsia="en-CA"/>
        </w:rPr>
        <w:instrText xml:space="preserve"> SEQ CHAPTER \h \r 1</w:instrText>
      </w:r>
      <w:r w:rsidRPr="00FD37D8">
        <w:rPr>
          <w:rFonts w:eastAsia="Times New Roman" w:cs="Times New Roman"/>
          <w:sz w:val="20"/>
          <w:szCs w:val="20"/>
          <w:lang w:eastAsia="en-CA"/>
        </w:rPr>
        <w:fldChar w:fldCharType="end"/>
      </w:r>
      <w:r w:rsidR="00FD37D8" w:rsidRPr="00FD37D8">
        <w:rPr>
          <w:rFonts w:eastAsia="Times New Roman" w:cs="Times New Roman"/>
          <w:sz w:val="20"/>
          <w:szCs w:val="20"/>
          <w:lang w:val="fr-CA" w:eastAsia="en-CA"/>
        </w:rPr>
        <w:t xml:space="preserve">Les intervenants </w:t>
      </w:r>
      <w:r w:rsidRPr="00FD37D8">
        <w:rPr>
          <w:rFonts w:eastAsia="Times New Roman" w:cs="Times New Roman"/>
          <w:sz w:val="20"/>
          <w:szCs w:val="20"/>
          <w:lang w:eastAsia="en-CA"/>
        </w:rPr>
        <w:fldChar w:fldCharType="begin"/>
      </w:r>
      <w:r w:rsidR="00FD37D8" w:rsidRPr="00FD37D8">
        <w:rPr>
          <w:rFonts w:eastAsia="Times New Roman" w:cs="Times New Roman"/>
          <w:sz w:val="20"/>
          <w:szCs w:val="20"/>
          <w:lang w:val="fr-FR" w:eastAsia="en-CA"/>
        </w:rPr>
        <w:instrText xml:space="preserve"> SEQ CHAPTER \h \r 1</w:instrText>
      </w:r>
      <w:r w:rsidRPr="00FD37D8">
        <w:rPr>
          <w:rFonts w:eastAsia="Times New Roman" w:cs="Times New Roman"/>
          <w:sz w:val="20"/>
          <w:szCs w:val="20"/>
          <w:lang w:eastAsia="en-CA"/>
        </w:rPr>
        <w:fldChar w:fldCharType="end"/>
      </w:r>
      <w:r w:rsidR="00FD37D8" w:rsidRPr="00FD37D8">
        <w:rPr>
          <w:rFonts w:eastAsia="Times New Roman" w:cs="Times New Roman"/>
          <w:bCs/>
          <w:sz w:val="20"/>
          <w:szCs w:val="20"/>
          <w:lang w:val="fr-FR" w:eastAsia="en-CA"/>
        </w:rPr>
        <w:t>n'ont pas le droit de soulever de nouvelles questions, de produire d'autres éléments de preuve ni de compléter de quelque autre façon le dossier des parties.</w:t>
      </w:r>
    </w:p>
    <w:p w:rsidR="00FD37D8" w:rsidRPr="00FD37D8" w:rsidRDefault="00FD37D8" w:rsidP="00FD37D8">
      <w:pPr>
        <w:spacing w:line="233" w:lineRule="auto"/>
        <w:jc w:val="both"/>
        <w:rPr>
          <w:rFonts w:eastAsia="Times New Roman" w:cs="Times New Roman"/>
          <w:sz w:val="20"/>
          <w:szCs w:val="20"/>
          <w:lang w:val="fr-FR" w:eastAsia="en-CA"/>
        </w:rPr>
      </w:pPr>
    </w:p>
    <w:p w:rsidR="00FD37D8" w:rsidRPr="00FD37D8" w:rsidRDefault="003F21C7" w:rsidP="00FD37D8">
      <w:pPr>
        <w:spacing w:line="233" w:lineRule="auto"/>
        <w:jc w:val="both"/>
        <w:rPr>
          <w:rFonts w:eastAsia="Times New Roman" w:cs="Times New Roman"/>
          <w:sz w:val="20"/>
          <w:szCs w:val="20"/>
          <w:lang w:val="fr-CA" w:eastAsia="en-CA"/>
        </w:rPr>
      </w:pPr>
      <w:r w:rsidRPr="00FD37D8">
        <w:rPr>
          <w:rFonts w:eastAsia="Times New Roman" w:cs="Times New Roman"/>
          <w:sz w:val="20"/>
          <w:szCs w:val="20"/>
          <w:lang w:eastAsia="en-CA"/>
        </w:rPr>
        <w:fldChar w:fldCharType="begin"/>
      </w:r>
      <w:r w:rsidR="00FD37D8" w:rsidRPr="00FD37D8">
        <w:rPr>
          <w:rFonts w:eastAsia="Times New Roman" w:cs="Times New Roman"/>
          <w:sz w:val="20"/>
          <w:szCs w:val="20"/>
          <w:lang w:val="fr-FR" w:eastAsia="en-CA"/>
        </w:rPr>
        <w:instrText xml:space="preserve"> SEQ CHAPTER \h \r 1</w:instrText>
      </w:r>
      <w:r w:rsidRPr="00FD37D8">
        <w:rPr>
          <w:rFonts w:eastAsia="Times New Roman" w:cs="Times New Roman"/>
          <w:sz w:val="20"/>
          <w:szCs w:val="20"/>
          <w:lang w:eastAsia="en-CA"/>
        </w:rPr>
        <w:fldChar w:fldCharType="end"/>
      </w:r>
      <w:r w:rsidR="00FD37D8" w:rsidRPr="00FD37D8">
        <w:rPr>
          <w:rFonts w:eastAsia="Times New Roman" w:cs="Times New Roman"/>
          <w:sz w:val="20"/>
          <w:szCs w:val="20"/>
          <w:lang w:val="fr-CA" w:eastAsia="en-CA"/>
        </w:rPr>
        <w:t>Conformément à l'alinéa 59(1)(</w:t>
      </w:r>
      <w:r w:rsidR="00FD37D8" w:rsidRPr="00FD37D8">
        <w:rPr>
          <w:rFonts w:eastAsia="Times New Roman" w:cs="Times New Roman"/>
          <w:i/>
          <w:iCs/>
          <w:sz w:val="20"/>
          <w:szCs w:val="20"/>
          <w:lang w:val="fr-CA" w:eastAsia="en-CA"/>
        </w:rPr>
        <w:t>a</w:t>
      </w:r>
      <w:r w:rsidR="00FD37D8" w:rsidRPr="00FD37D8">
        <w:rPr>
          <w:rFonts w:eastAsia="Times New Roman" w:cs="Times New Roman"/>
          <w:sz w:val="20"/>
          <w:szCs w:val="20"/>
          <w:lang w:val="fr-CA" w:eastAsia="en-CA"/>
        </w:rPr>
        <w:t xml:space="preserve">) des </w:t>
      </w:r>
      <w:r w:rsidR="00FD37D8" w:rsidRPr="00FD37D8">
        <w:rPr>
          <w:rFonts w:eastAsia="Times New Roman" w:cs="Times New Roman"/>
          <w:i/>
          <w:iCs/>
          <w:sz w:val="20"/>
          <w:szCs w:val="20"/>
          <w:lang w:val="fr-CA" w:eastAsia="en-CA"/>
        </w:rPr>
        <w:t>Règles de la Cour suprême du Canada</w:t>
      </w:r>
      <w:r w:rsidR="00FD37D8" w:rsidRPr="00FD37D8">
        <w:rPr>
          <w:rFonts w:eastAsia="Times New Roman" w:cs="Times New Roman"/>
          <w:sz w:val="20"/>
          <w:szCs w:val="20"/>
          <w:lang w:val="fr-CA" w:eastAsia="en-CA"/>
        </w:rPr>
        <w:t>, les intervenants paieront aux appelants et aux intimés tous débours supplémentaires résultant de leur intervention.</w:t>
      </w:r>
    </w:p>
    <w:p w:rsidR="00FD37D8" w:rsidRPr="00FD37D8" w:rsidRDefault="00FD37D8" w:rsidP="00FD37D8">
      <w:pPr>
        <w:spacing w:line="233" w:lineRule="auto"/>
        <w:jc w:val="both"/>
        <w:rPr>
          <w:rFonts w:eastAsia="Times New Roman" w:cs="Times New Roman"/>
          <w:sz w:val="20"/>
          <w:szCs w:val="20"/>
          <w:lang w:val="fr-CA" w:eastAsia="en-CA"/>
        </w:rPr>
      </w:pPr>
    </w:p>
    <w:p w:rsidR="00FD37D8" w:rsidRPr="00FD37D8" w:rsidRDefault="00FD37D8" w:rsidP="00FD37D8">
      <w:pPr>
        <w:spacing w:line="233" w:lineRule="auto"/>
        <w:jc w:val="both"/>
        <w:rPr>
          <w:rFonts w:eastAsia="Times New Roman" w:cs="Times New Roman"/>
          <w:sz w:val="20"/>
          <w:szCs w:val="20"/>
          <w:lang w:val="fr-CA" w:eastAsia="en-CA"/>
        </w:rPr>
      </w:pPr>
    </w:p>
    <w:p w:rsidR="00FD37D8" w:rsidRPr="00FD37D8" w:rsidRDefault="00FD37D8" w:rsidP="00FD37D8">
      <w:pPr>
        <w:spacing w:line="233" w:lineRule="auto"/>
        <w:jc w:val="both"/>
        <w:rPr>
          <w:rFonts w:eastAsia="Times New Roman" w:cs="Times New Roman"/>
          <w:b/>
          <w:bCs/>
          <w:sz w:val="20"/>
          <w:szCs w:val="20"/>
          <w:lang w:val="fr-FR" w:eastAsia="en-CA"/>
        </w:rPr>
      </w:pPr>
    </w:p>
    <w:p w:rsidR="00FD37D8" w:rsidRPr="00FD37D8" w:rsidRDefault="00FD37D8" w:rsidP="00FD37D8">
      <w:pPr>
        <w:spacing w:line="233" w:lineRule="auto"/>
        <w:jc w:val="both"/>
        <w:rPr>
          <w:rFonts w:eastAsia="Times New Roman" w:cs="Times New Roman"/>
          <w:sz w:val="20"/>
          <w:szCs w:val="20"/>
          <w:lang w:eastAsia="en-CA"/>
        </w:rPr>
      </w:pPr>
      <w:r w:rsidRPr="00FD37D8">
        <w:rPr>
          <w:rFonts w:eastAsia="Times New Roman" w:cs="Times New Roman"/>
          <w:b/>
          <w:bCs/>
          <w:sz w:val="20"/>
          <w:szCs w:val="20"/>
          <w:lang w:eastAsia="en-CA"/>
        </w:rPr>
        <w:t xml:space="preserve">UPON APPLICATION </w:t>
      </w:r>
      <w:r w:rsidRPr="00FD37D8">
        <w:rPr>
          <w:rFonts w:eastAsia="Times New Roman" w:cs="Times New Roman"/>
          <w:sz w:val="20"/>
          <w:szCs w:val="20"/>
          <w:lang w:eastAsia="en-CA"/>
        </w:rPr>
        <w:t>by the Attorney General of Ontario for an extension of time to apply for leave to intervene and for leave to intervene in the above appeal;</w:t>
      </w:r>
    </w:p>
    <w:p w:rsidR="00FD37D8" w:rsidRPr="00FD37D8" w:rsidRDefault="00FD37D8" w:rsidP="00FD37D8">
      <w:pPr>
        <w:spacing w:line="233" w:lineRule="auto"/>
        <w:jc w:val="both"/>
        <w:rPr>
          <w:rFonts w:eastAsia="Times New Roman" w:cs="Times New Roman"/>
          <w:b/>
          <w:bCs/>
          <w:sz w:val="20"/>
          <w:szCs w:val="20"/>
          <w:lang w:eastAsia="en-CA"/>
        </w:rPr>
      </w:pPr>
    </w:p>
    <w:p w:rsidR="00FD37D8" w:rsidRPr="00FD37D8" w:rsidRDefault="00FD37D8" w:rsidP="00FD37D8">
      <w:pPr>
        <w:spacing w:line="233" w:lineRule="auto"/>
        <w:jc w:val="both"/>
        <w:rPr>
          <w:rFonts w:eastAsia="Times New Roman" w:cs="Times New Roman"/>
          <w:sz w:val="20"/>
          <w:szCs w:val="20"/>
          <w:lang w:eastAsia="en-CA"/>
        </w:rPr>
      </w:pPr>
      <w:r w:rsidRPr="00FD37D8">
        <w:rPr>
          <w:rFonts w:eastAsia="Times New Roman" w:cs="Times New Roman"/>
          <w:b/>
          <w:bCs/>
          <w:sz w:val="20"/>
          <w:szCs w:val="20"/>
          <w:lang w:eastAsia="en-CA"/>
        </w:rPr>
        <w:t xml:space="preserve">AND UPON APPLICATIONS </w:t>
      </w:r>
      <w:r w:rsidRPr="00FD37D8">
        <w:rPr>
          <w:rFonts w:eastAsia="Times New Roman" w:cs="Times New Roman"/>
          <w:sz w:val="20"/>
          <w:szCs w:val="20"/>
          <w:lang w:eastAsia="en-CA"/>
        </w:rPr>
        <w:t>by the Commissioner of Official Languages of Canada and the Association des juristes d'expression française de la Colombie-Britannique for leave to intervene in the above appeal;</w:t>
      </w:r>
    </w:p>
    <w:p w:rsidR="00FD37D8" w:rsidRPr="00FD37D8" w:rsidRDefault="00FD37D8" w:rsidP="00FD37D8">
      <w:pPr>
        <w:spacing w:line="233" w:lineRule="auto"/>
        <w:rPr>
          <w:rFonts w:eastAsia="Times New Roman" w:cs="Times New Roman"/>
          <w:sz w:val="20"/>
          <w:szCs w:val="20"/>
          <w:lang w:eastAsia="en-CA"/>
        </w:rPr>
      </w:pPr>
    </w:p>
    <w:p w:rsidR="00FD37D8" w:rsidRPr="00FD37D8" w:rsidRDefault="00FD37D8" w:rsidP="00FD37D8">
      <w:pPr>
        <w:spacing w:line="233" w:lineRule="auto"/>
        <w:rPr>
          <w:rFonts w:eastAsia="Times New Roman" w:cs="Times New Roman"/>
          <w:sz w:val="20"/>
          <w:szCs w:val="20"/>
          <w:lang w:eastAsia="en-CA"/>
        </w:rPr>
      </w:pPr>
      <w:r w:rsidRPr="00FD37D8">
        <w:rPr>
          <w:rFonts w:eastAsia="Times New Roman" w:cs="Times New Roman"/>
          <w:b/>
          <w:bCs/>
          <w:sz w:val="20"/>
          <w:szCs w:val="20"/>
          <w:lang w:eastAsia="en-CA"/>
        </w:rPr>
        <w:t>AND THE MATERIAL FILED</w:t>
      </w:r>
      <w:r w:rsidRPr="00FD37D8">
        <w:rPr>
          <w:rFonts w:eastAsia="Times New Roman" w:cs="Times New Roman"/>
          <w:sz w:val="20"/>
          <w:szCs w:val="20"/>
          <w:lang w:eastAsia="en-CA"/>
        </w:rPr>
        <w:t xml:space="preserve"> having been read;</w:t>
      </w:r>
    </w:p>
    <w:p w:rsidR="00FD37D8" w:rsidRPr="00FD37D8" w:rsidRDefault="00FD37D8" w:rsidP="00FD37D8">
      <w:pPr>
        <w:spacing w:line="233" w:lineRule="auto"/>
        <w:rPr>
          <w:rFonts w:eastAsia="Times New Roman" w:cs="Times New Roman"/>
          <w:sz w:val="20"/>
          <w:szCs w:val="20"/>
          <w:lang w:eastAsia="en-CA"/>
        </w:rPr>
      </w:pPr>
    </w:p>
    <w:p w:rsidR="00FD37D8" w:rsidRPr="00FD37D8" w:rsidRDefault="00FD37D8" w:rsidP="00FD37D8">
      <w:pPr>
        <w:spacing w:line="233" w:lineRule="auto"/>
        <w:rPr>
          <w:rFonts w:eastAsia="Times New Roman" w:cs="Times New Roman"/>
          <w:sz w:val="20"/>
          <w:szCs w:val="20"/>
          <w:lang w:eastAsia="en-CA"/>
        </w:rPr>
      </w:pPr>
      <w:r w:rsidRPr="00FD37D8">
        <w:rPr>
          <w:rFonts w:eastAsia="Times New Roman" w:cs="Times New Roman"/>
          <w:b/>
          <w:bCs/>
          <w:sz w:val="20"/>
          <w:szCs w:val="20"/>
          <w:lang w:eastAsia="en-CA"/>
        </w:rPr>
        <w:t>IT IS HEREBY ORDERED THAT:</w:t>
      </w:r>
    </w:p>
    <w:p w:rsidR="00FD37D8" w:rsidRPr="00FD37D8" w:rsidRDefault="00FD37D8" w:rsidP="00FD37D8">
      <w:pPr>
        <w:spacing w:line="233" w:lineRule="auto"/>
        <w:rPr>
          <w:rFonts w:eastAsia="Times New Roman" w:cs="Times New Roman"/>
          <w:sz w:val="20"/>
          <w:szCs w:val="20"/>
          <w:lang w:eastAsia="en-CA"/>
        </w:rPr>
      </w:pPr>
    </w:p>
    <w:p w:rsidR="00FD37D8" w:rsidRPr="00FD37D8" w:rsidRDefault="00FD37D8" w:rsidP="00FD37D8">
      <w:pPr>
        <w:spacing w:line="233" w:lineRule="auto"/>
        <w:jc w:val="both"/>
        <w:rPr>
          <w:rFonts w:eastAsia="Times New Roman" w:cs="Times New Roman"/>
          <w:sz w:val="20"/>
          <w:szCs w:val="20"/>
          <w:lang w:eastAsia="en-CA"/>
        </w:rPr>
      </w:pPr>
      <w:r w:rsidRPr="00FD37D8">
        <w:rPr>
          <w:rFonts w:eastAsia="Times New Roman" w:cs="Times New Roman"/>
          <w:sz w:val="20"/>
          <w:szCs w:val="20"/>
          <w:lang w:eastAsia="en-CA"/>
        </w:rPr>
        <w:t>The motion for an extension of time to apply for leave to intervene and for leave to intervene of the Attorney General of Ontario is granted and the said intervener shall be entitled to serve and file a factum not to exceed 10 pages in length on or before March 22, 2013.</w:t>
      </w:r>
    </w:p>
    <w:p w:rsidR="00FD37D8" w:rsidRPr="00FD37D8" w:rsidRDefault="00FD37D8" w:rsidP="00FD37D8">
      <w:pPr>
        <w:spacing w:line="233" w:lineRule="auto"/>
        <w:jc w:val="both"/>
        <w:rPr>
          <w:rFonts w:eastAsia="Times New Roman" w:cs="Times New Roman"/>
          <w:sz w:val="20"/>
          <w:szCs w:val="20"/>
          <w:lang w:eastAsia="en-CA"/>
        </w:rPr>
      </w:pPr>
    </w:p>
    <w:p w:rsidR="00FD37D8" w:rsidRPr="00FD37D8" w:rsidRDefault="00FD37D8" w:rsidP="00FD37D8">
      <w:pPr>
        <w:spacing w:line="233" w:lineRule="auto"/>
        <w:jc w:val="both"/>
        <w:rPr>
          <w:rFonts w:eastAsia="Times New Roman" w:cs="Times New Roman"/>
          <w:sz w:val="20"/>
          <w:szCs w:val="20"/>
          <w:lang w:eastAsia="en-CA"/>
        </w:rPr>
      </w:pPr>
      <w:r w:rsidRPr="00FD37D8">
        <w:rPr>
          <w:rFonts w:eastAsia="Times New Roman" w:cs="Times New Roman"/>
          <w:sz w:val="20"/>
          <w:szCs w:val="20"/>
          <w:lang w:eastAsia="en-CA"/>
        </w:rPr>
        <w:t>The motions for leave to intervene of the Commissioner of Official Languages of Canada and the Association des juristes d'expression française de la Colombie-Britannique are granted and the said interveners shall be entitled to serve and file a factum not to exceed 10 pages in length on or before March 22, 2013.</w:t>
      </w:r>
    </w:p>
    <w:p w:rsidR="00FD37D8" w:rsidRPr="00FD37D8" w:rsidRDefault="00FD37D8" w:rsidP="00FD37D8">
      <w:pPr>
        <w:spacing w:line="233" w:lineRule="auto"/>
        <w:jc w:val="both"/>
        <w:rPr>
          <w:rFonts w:eastAsia="Times New Roman" w:cs="Times New Roman"/>
          <w:sz w:val="20"/>
          <w:szCs w:val="20"/>
          <w:lang w:eastAsia="en-CA"/>
        </w:rPr>
      </w:pPr>
    </w:p>
    <w:p w:rsidR="00FD37D8" w:rsidRPr="00FD37D8" w:rsidRDefault="00FD37D8" w:rsidP="00FD37D8">
      <w:pPr>
        <w:spacing w:line="233" w:lineRule="auto"/>
        <w:jc w:val="both"/>
        <w:rPr>
          <w:rFonts w:eastAsia="Times New Roman" w:cs="Times New Roman"/>
          <w:sz w:val="20"/>
          <w:szCs w:val="20"/>
          <w:lang w:eastAsia="en-CA"/>
        </w:rPr>
      </w:pPr>
      <w:r w:rsidRPr="00FD37D8">
        <w:rPr>
          <w:rFonts w:eastAsia="Times New Roman" w:cs="Times New Roman"/>
          <w:sz w:val="20"/>
          <w:szCs w:val="20"/>
          <w:lang w:eastAsia="en-CA"/>
        </w:rPr>
        <w:t>The request to present oral argument is deferred to a date following receipt and consideration of the written arguments of the parties and the interveners.</w:t>
      </w:r>
    </w:p>
    <w:p w:rsidR="00FD37D8" w:rsidRPr="00FD37D8" w:rsidRDefault="00FD37D8" w:rsidP="00FD37D8">
      <w:pPr>
        <w:spacing w:line="233" w:lineRule="auto"/>
        <w:jc w:val="both"/>
        <w:rPr>
          <w:rFonts w:eastAsia="Times New Roman" w:cs="Times New Roman"/>
          <w:sz w:val="20"/>
          <w:szCs w:val="20"/>
          <w:lang w:eastAsia="en-CA"/>
        </w:rPr>
      </w:pPr>
    </w:p>
    <w:p w:rsidR="00FD37D8" w:rsidRPr="00FD37D8" w:rsidRDefault="003F21C7" w:rsidP="00FD37D8">
      <w:pPr>
        <w:jc w:val="both"/>
        <w:rPr>
          <w:rFonts w:eastAsia="Times New Roman" w:cs="Times New Roman"/>
          <w:bCs/>
          <w:sz w:val="20"/>
          <w:szCs w:val="20"/>
          <w:lang w:eastAsia="en-CA"/>
        </w:rPr>
      </w:pPr>
      <w:r w:rsidRPr="00FD37D8">
        <w:rPr>
          <w:rFonts w:eastAsia="Times New Roman" w:cs="Times New Roman"/>
          <w:sz w:val="20"/>
          <w:szCs w:val="20"/>
          <w:lang w:eastAsia="en-CA"/>
        </w:rPr>
        <w:fldChar w:fldCharType="begin"/>
      </w:r>
      <w:r w:rsidR="00FD37D8" w:rsidRPr="00FD37D8">
        <w:rPr>
          <w:rFonts w:eastAsia="Times New Roman" w:cs="Times New Roman"/>
          <w:sz w:val="20"/>
          <w:szCs w:val="20"/>
          <w:lang w:eastAsia="en-CA"/>
        </w:rPr>
        <w:instrText xml:space="preserve"> SEQ CHAPTER \h \r 1</w:instrText>
      </w:r>
      <w:r w:rsidRPr="00FD37D8">
        <w:rPr>
          <w:rFonts w:eastAsia="Times New Roman" w:cs="Times New Roman"/>
          <w:sz w:val="20"/>
          <w:szCs w:val="20"/>
          <w:lang w:eastAsia="en-CA"/>
        </w:rPr>
        <w:fldChar w:fldCharType="end"/>
      </w:r>
      <w:r w:rsidR="00FD37D8" w:rsidRPr="00FD37D8">
        <w:rPr>
          <w:rFonts w:eastAsia="Times New Roman" w:cs="Times New Roman"/>
          <w:bCs/>
          <w:sz w:val="20"/>
          <w:szCs w:val="20"/>
          <w:lang w:eastAsia="en-CA"/>
        </w:rPr>
        <w:t>The interveners are not entitled to raise new issues or to adduce further evidence or otherwise to supplement the record of the parties.</w:t>
      </w:r>
    </w:p>
    <w:p w:rsidR="00FD37D8" w:rsidRPr="00FD37D8" w:rsidRDefault="00FD37D8" w:rsidP="00FD37D8">
      <w:pPr>
        <w:spacing w:line="233" w:lineRule="auto"/>
        <w:jc w:val="both"/>
        <w:rPr>
          <w:rFonts w:eastAsia="Times New Roman" w:cs="Times New Roman"/>
          <w:sz w:val="20"/>
          <w:szCs w:val="20"/>
          <w:lang w:eastAsia="en-CA"/>
        </w:rPr>
      </w:pPr>
    </w:p>
    <w:p w:rsidR="00FD37D8" w:rsidRPr="00FD37D8" w:rsidRDefault="00FD37D8" w:rsidP="00FD37D8">
      <w:pPr>
        <w:spacing w:line="233" w:lineRule="auto"/>
        <w:jc w:val="both"/>
        <w:rPr>
          <w:rFonts w:eastAsia="Times New Roman" w:cs="Times New Roman"/>
          <w:sz w:val="20"/>
          <w:szCs w:val="20"/>
          <w:lang w:eastAsia="en-CA"/>
        </w:rPr>
      </w:pPr>
      <w:r w:rsidRPr="00FD37D8">
        <w:rPr>
          <w:rFonts w:eastAsia="Times New Roman" w:cs="Times New Roman"/>
          <w:sz w:val="20"/>
          <w:szCs w:val="20"/>
          <w:lang w:eastAsia="en-CA"/>
        </w:rPr>
        <w:t>Pursuant to Rule 59(1)(</w:t>
      </w:r>
      <w:r w:rsidRPr="00FD37D8">
        <w:rPr>
          <w:rFonts w:eastAsia="Times New Roman" w:cs="Times New Roman"/>
          <w:i/>
          <w:iCs/>
          <w:sz w:val="20"/>
          <w:szCs w:val="20"/>
          <w:lang w:eastAsia="en-CA"/>
        </w:rPr>
        <w:t>a</w:t>
      </w:r>
      <w:r w:rsidRPr="00FD37D8">
        <w:rPr>
          <w:rFonts w:eastAsia="Times New Roman" w:cs="Times New Roman"/>
          <w:sz w:val="20"/>
          <w:szCs w:val="20"/>
          <w:lang w:eastAsia="en-CA"/>
        </w:rPr>
        <w:t xml:space="preserve">) of the </w:t>
      </w:r>
      <w:r w:rsidRPr="00FD37D8">
        <w:rPr>
          <w:rFonts w:eastAsia="Times New Roman" w:cs="Times New Roman"/>
          <w:i/>
          <w:iCs/>
          <w:sz w:val="20"/>
          <w:szCs w:val="20"/>
          <w:lang w:eastAsia="en-CA"/>
        </w:rPr>
        <w:t>Rules of the Supreme Court of Canada</w:t>
      </w:r>
      <w:r w:rsidRPr="00FD37D8">
        <w:rPr>
          <w:rFonts w:eastAsia="Times New Roman" w:cs="Times New Roman"/>
          <w:sz w:val="20"/>
          <w:szCs w:val="20"/>
          <w:lang w:eastAsia="en-CA"/>
        </w:rPr>
        <w:t>, the interveners shall pay to the appellants and respondents any additional disbursements occasioned to the appellants and respondents by their interventions.</w:t>
      </w:r>
    </w:p>
    <w:p w:rsidR="00FD37D8" w:rsidRPr="00FD37D8" w:rsidRDefault="00FD37D8" w:rsidP="00FD37D8">
      <w:pPr>
        <w:tabs>
          <w:tab w:val="left" w:pos="-1440"/>
          <w:tab w:val="left" w:pos="-720"/>
        </w:tabs>
        <w:jc w:val="both"/>
        <w:rPr>
          <w:rFonts w:eastAsia="Times New Roman" w:cs="Times New Roman"/>
          <w:sz w:val="20"/>
          <w:szCs w:val="20"/>
          <w:lang w:val="en-US" w:eastAsia="en-CA"/>
        </w:rPr>
      </w:pPr>
    </w:p>
    <w:p w:rsidR="00FD37D8" w:rsidRPr="00FD37D8" w:rsidRDefault="003F21C7" w:rsidP="00FD37D8">
      <w:pPr>
        <w:tabs>
          <w:tab w:val="left" w:pos="-1440"/>
          <w:tab w:val="left" w:pos="-720"/>
        </w:tabs>
        <w:jc w:val="both"/>
        <w:rPr>
          <w:rFonts w:eastAsia="Times New Roman" w:cs="Times New Roman"/>
          <w:sz w:val="20"/>
          <w:szCs w:val="20"/>
          <w:lang w:val="fr-CA" w:eastAsia="en-CA"/>
        </w:rPr>
      </w:pPr>
      <w:r w:rsidRPr="003F21C7">
        <w:rPr>
          <w:rFonts w:eastAsia="Times New Roman" w:cs="Times New Roman"/>
          <w:sz w:val="20"/>
          <w:szCs w:val="20"/>
          <w:lang w:val="fr-CA" w:eastAsia="en-CA"/>
        </w:rPr>
        <w:pict>
          <v:rect id="_x0000_i1075" style="width:2in;height:1pt" o:hrpct="0" o:hralign="center" o:hrstd="t" o:hrnoshade="t" o:hr="t" fillcolor="black [3213]" stroked="f"/>
        </w:pict>
      </w:r>
    </w:p>
    <w:p w:rsidR="00FD37D8" w:rsidRPr="00FD37D8" w:rsidRDefault="00FD37D8" w:rsidP="00FD37D8">
      <w:pPr>
        <w:tabs>
          <w:tab w:val="left" w:pos="-1440"/>
          <w:tab w:val="left" w:pos="-720"/>
        </w:tabs>
        <w:jc w:val="both"/>
        <w:rPr>
          <w:rFonts w:eastAsia="Times New Roman" w:cs="Times New Roman"/>
          <w:sz w:val="20"/>
          <w:szCs w:val="20"/>
          <w:lang w:val="fr-CA" w:eastAsia="en-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CB72E7"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B2148B" w:rsidP="003B3977">
            <w:pPr>
              <w:rPr>
                <w:sz w:val="20"/>
                <w:szCs w:val="20"/>
              </w:rPr>
            </w:pPr>
            <w:r>
              <w:rPr>
                <w:sz w:val="20"/>
                <w:szCs w:val="20"/>
              </w:rPr>
              <w:t>25</w:t>
            </w:r>
            <w:r w:rsidR="0010587F" w:rsidRPr="003B3977">
              <w:rPr>
                <w:sz w:val="20"/>
                <w:szCs w:val="20"/>
              </w:rPr>
              <w:t>.0</w:t>
            </w:r>
            <w:r>
              <w:rPr>
                <w:sz w:val="20"/>
                <w:szCs w:val="20"/>
              </w:rPr>
              <w:t>2</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B2148B" w:rsidP="003B3977">
            <w:pPr>
              <w:rPr>
                <w:b/>
                <w:sz w:val="20"/>
                <w:szCs w:val="20"/>
              </w:rPr>
            </w:pPr>
            <w:r>
              <w:rPr>
                <w:b/>
                <w:sz w:val="20"/>
                <w:szCs w:val="20"/>
              </w:rPr>
              <w:t>Roger William, on his own behalf and on behalf of all other members of the Xeni Gwet’in First Nations Government and on behalf of all other members of the Tsilhqot’in Nation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B2148B">
              <w:rPr>
                <w:b/>
                <w:sz w:val="20"/>
                <w:szCs w:val="20"/>
              </w:rPr>
              <w:t>4</w:t>
            </w:r>
            <w:r w:rsidRPr="003B3977">
              <w:rPr>
                <w:b/>
                <w:sz w:val="20"/>
                <w:szCs w:val="20"/>
              </w:rPr>
              <w:t>9</w:t>
            </w:r>
            <w:r w:rsidR="00B2148B">
              <w:rPr>
                <w:b/>
                <w:sz w:val="20"/>
                <w:szCs w:val="20"/>
              </w:rPr>
              <w:t>86</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 xml:space="preserve">Her Majesty the Queen </w:t>
            </w:r>
            <w:r w:rsidR="00B2148B">
              <w:rPr>
                <w:b/>
                <w:sz w:val="20"/>
                <w:szCs w:val="20"/>
              </w:rPr>
              <w:t xml:space="preserve">in Right of the Province of British Columbia and the Regional Manager of the Cariboo Forest Region et al. </w:t>
            </w:r>
            <w:r w:rsidRPr="003B3977">
              <w:rPr>
                <w:b/>
                <w:sz w:val="20"/>
                <w:szCs w:val="20"/>
              </w:rPr>
              <w:t>(</w:t>
            </w:r>
            <w:r w:rsidR="00B2148B">
              <w:rPr>
                <w:b/>
                <w:sz w:val="20"/>
                <w:szCs w:val="20"/>
              </w:rPr>
              <w:t>B.C</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B2148B">
              <w:rPr>
                <w:sz w:val="20"/>
                <w:szCs w:val="20"/>
              </w:rPr>
              <w:t>By Leave</w:t>
            </w:r>
            <w:r w:rsidRPr="003B3977">
              <w:rPr>
                <w:sz w:val="20"/>
                <w:szCs w:val="20"/>
              </w:rPr>
              <w:t>)</w:t>
            </w:r>
          </w:p>
          <w:p w:rsidR="0010587F" w:rsidRPr="003B3977" w:rsidRDefault="0010587F" w:rsidP="003B3977">
            <w:pPr>
              <w:rPr>
                <w:sz w:val="20"/>
                <w:szCs w:val="20"/>
              </w:rPr>
            </w:pPr>
          </w:p>
          <w:p w:rsidR="0010587F" w:rsidRPr="00B2148B" w:rsidRDefault="003F21C7" w:rsidP="003B3977">
            <w:pPr>
              <w:rPr>
                <w:sz w:val="20"/>
                <w:szCs w:val="20"/>
              </w:rPr>
            </w:pPr>
            <w:r w:rsidRPr="003F21C7">
              <w:rPr>
                <w:sz w:val="20"/>
                <w:szCs w:val="20"/>
                <w:lang w:val="fr-CA"/>
              </w:rPr>
              <w:pict>
                <v:rect id="_x0000_i1078"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Default="0010587F" w:rsidP="0010587F">
            <w:pPr>
              <w:jc w:val="center"/>
              <w:rPr>
                <w:sz w:val="20"/>
                <w:szCs w:val="20"/>
              </w:rPr>
            </w:pPr>
          </w:p>
          <w:p w:rsidR="000056E3" w:rsidRDefault="000056E3" w:rsidP="0010587F">
            <w:pPr>
              <w:jc w:val="center"/>
              <w:rPr>
                <w:sz w:val="20"/>
                <w:szCs w:val="20"/>
              </w:rPr>
            </w:pPr>
          </w:p>
          <w:p w:rsidR="000056E3" w:rsidRDefault="000056E3" w:rsidP="0010587F">
            <w:pPr>
              <w:jc w:val="center"/>
              <w:rPr>
                <w:sz w:val="20"/>
                <w:szCs w:val="20"/>
              </w:rPr>
            </w:pPr>
          </w:p>
          <w:p w:rsidR="000056E3" w:rsidRDefault="000056E3" w:rsidP="0010587F">
            <w:pPr>
              <w:jc w:val="center"/>
              <w:rPr>
                <w:sz w:val="20"/>
                <w:szCs w:val="20"/>
              </w:rPr>
            </w:pPr>
          </w:p>
          <w:p w:rsidR="000056E3" w:rsidRPr="003B3977" w:rsidRDefault="000056E3"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CB72E7"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C50A5C" w:rsidRDefault="00AA010D" w:rsidP="00C1697B">
            <w:pPr>
              <w:rPr>
                <w:sz w:val="20"/>
                <w:szCs w:val="20"/>
              </w:rPr>
            </w:pPr>
            <w:r>
              <w:rPr>
                <w:sz w:val="20"/>
                <w:szCs w:val="20"/>
              </w:rPr>
              <w:t>26</w:t>
            </w:r>
            <w:r w:rsidR="00C1697B" w:rsidRPr="00C50A5C">
              <w:rPr>
                <w:sz w:val="20"/>
                <w:szCs w:val="20"/>
              </w:rPr>
              <w:t>.0</w:t>
            </w:r>
            <w:r>
              <w:rPr>
                <w:sz w:val="20"/>
                <w:szCs w:val="20"/>
              </w:rPr>
              <w:t>2</w:t>
            </w:r>
            <w:r w:rsidR="00C1697B" w:rsidRPr="00C50A5C">
              <w:rPr>
                <w:sz w:val="20"/>
                <w:szCs w:val="20"/>
              </w:rPr>
              <w:t>.201</w:t>
            </w:r>
            <w:r>
              <w:rPr>
                <w:sz w:val="20"/>
                <w:szCs w:val="20"/>
              </w:rPr>
              <w:t>3</w:t>
            </w:r>
          </w:p>
          <w:p w:rsidR="00C1697B" w:rsidRPr="00C50A5C" w:rsidRDefault="00C1697B" w:rsidP="00C1697B">
            <w:pPr>
              <w:rPr>
                <w:sz w:val="20"/>
                <w:szCs w:val="20"/>
              </w:rPr>
            </w:pPr>
          </w:p>
          <w:p w:rsidR="00C1697B" w:rsidRPr="00C1697B" w:rsidRDefault="00AA010D" w:rsidP="00C1697B">
            <w:pPr>
              <w:rPr>
                <w:b/>
                <w:sz w:val="20"/>
                <w:szCs w:val="20"/>
              </w:rPr>
            </w:pPr>
            <w:r>
              <w:rPr>
                <w:b/>
                <w:sz w:val="20"/>
                <w:szCs w:val="20"/>
              </w:rPr>
              <w:t>Attorney Ge</w:t>
            </w:r>
            <w:r w:rsidR="00C1697B" w:rsidRPr="00C1697B">
              <w:rPr>
                <w:b/>
                <w:sz w:val="20"/>
                <w:szCs w:val="20"/>
              </w:rPr>
              <w:t>n</w:t>
            </w:r>
            <w:r>
              <w:rPr>
                <w:b/>
                <w:sz w:val="20"/>
                <w:szCs w:val="20"/>
              </w:rPr>
              <w:t>eral of Canada</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w:t>
            </w:r>
            <w:r w:rsidR="00AA010D">
              <w:rPr>
                <w:b/>
                <w:sz w:val="20"/>
                <w:szCs w:val="20"/>
              </w:rPr>
              <w:t>4925</w:t>
            </w:r>
            <w:r w:rsidRPr="00C1697B">
              <w:rPr>
                <w:b/>
                <w:sz w:val="20"/>
                <w:szCs w:val="20"/>
              </w:rPr>
              <w:t>)</w:t>
            </w:r>
          </w:p>
          <w:p w:rsidR="00C1697B" w:rsidRPr="00C1697B" w:rsidRDefault="00C1697B" w:rsidP="00C1697B">
            <w:pPr>
              <w:rPr>
                <w:b/>
                <w:sz w:val="20"/>
                <w:szCs w:val="20"/>
              </w:rPr>
            </w:pPr>
          </w:p>
          <w:p w:rsidR="00C1697B" w:rsidRPr="00C1697B" w:rsidRDefault="00AA010D" w:rsidP="00C1697B">
            <w:pPr>
              <w:rPr>
                <w:b/>
                <w:sz w:val="20"/>
                <w:szCs w:val="20"/>
              </w:rPr>
            </w:pPr>
            <w:r>
              <w:rPr>
                <w:b/>
                <w:sz w:val="20"/>
                <w:szCs w:val="20"/>
              </w:rPr>
              <w:t>Yuriy Kobzar</w:t>
            </w:r>
            <w:r w:rsidR="00C1697B" w:rsidRPr="00C1697B">
              <w:rPr>
                <w:b/>
                <w:sz w:val="20"/>
                <w:szCs w:val="20"/>
              </w:rPr>
              <w:t xml:space="preserve"> (Ont.)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C50A5C" w:rsidRDefault="003F21C7" w:rsidP="00697C62">
            <w:pPr>
              <w:rPr>
                <w:sz w:val="20"/>
                <w:szCs w:val="20"/>
                <w:lang w:val="fr-CA"/>
              </w:rPr>
            </w:pPr>
            <w:r w:rsidRPr="003F21C7">
              <w:rPr>
                <w:sz w:val="20"/>
                <w:szCs w:val="20"/>
                <w:lang w:val="fr-CA"/>
              </w:rPr>
              <w:pict>
                <v:rect id="_x0000_i1081"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lang w:val="fr-CA"/>
              </w:rPr>
            </w:pP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CB72E7"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0056E3" w:rsidP="00AF1715">
      <w:pPr>
        <w:rPr>
          <w:b/>
          <w:sz w:val="20"/>
          <w:szCs w:val="20"/>
        </w:rPr>
      </w:pPr>
      <w:r>
        <w:rPr>
          <w:b/>
          <w:sz w:val="20"/>
          <w:szCs w:val="20"/>
        </w:rPr>
        <w:t>MA</w:t>
      </w:r>
      <w:r w:rsidR="00AF1715" w:rsidRPr="003B3977">
        <w:rPr>
          <w:b/>
          <w:sz w:val="20"/>
          <w:szCs w:val="20"/>
        </w:rPr>
        <w:t>R</w:t>
      </w:r>
      <w:r>
        <w:rPr>
          <w:b/>
          <w:sz w:val="20"/>
          <w:szCs w:val="20"/>
        </w:rPr>
        <w:t>CH</w:t>
      </w:r>
      <w:r w:rsidR="00AF1715" w:rsidRPr="003B3977">
        <w:rPr>
          <w:b/>
          <w:sz w:val="20"/>
          <w:szCs w:val="20"/>
        </w:rPr>
        <w:t xml:space="preserve"> </w:t>
      </w:r>
      <w:r>
        <w:rPr>
          <w:b/>
          <w:sz w:val="20"/>
          <w:szCs w:val="20"/>
        </w:rPr>
        <w:t>7</w:t>
      </w:r>
      <w:r w:rsidR="00AF1715" w:rsidRPr="003B3977">
        <w:rPr>
          <w:b/>
          <w:sz w:val="20"/>
          <w:szCs w:val="20"/>
        </w:rPr>
        <w:t>, 201</w:t>
      </w:r>
      <w:r>
        <w:rPr>
          <w:b/>
          <w:sz w:val="20"/>
          <w:szCs w:val="20"/>
        </w:rPr>
        <w:t>3</w:t>
      </w:r>
      <w:r w:rsidR="00AF1715" w:rsidRPr="003B3977">
        <w:rPr>
          <w:b/>
          <w:sz w:val="20"/>
          <w:szCs w:val="20"/>
        </w:rPr>
        <w:t xml:space="preserve"> / LE </w:t>
      </w:r>
      <w:r>
        <w:rPr>
          <w:b/>
          <w:sz w:val="20"/>
          <w:szCs w:val="20"/>
        </w:rPr>
        <w:t>7 MA</w:t>
      </w:r>
      <w:r w:rsidR="00AF1715" w:rsidRPr="003B3977">
        <w:rPr>
          <w:b/>
          <w:sz w:val="20"/>
          <w:szCs w:val="20"/>
        </w:rPr>
        <w:t>R</w:t>
      </w:r>
      <w:r>
        <w:rPr>
          <w:b/>
          <w:sz w:val="20"/>
          <w:szCs w:val="20"/>
        </w:rPr>
        <w:t>S</w:t>
      </w:r>
      <w:r w:rsidR="00AF1715" w:rsidRPr="003B3977">
        <w:rPr>
          <w:b/>
          <w:sz w:val="20"/>
          <w:szCs w:val="20"/>
        </w:rPr>
        <w:t xml:space="preserve"> 201</w:t>
      </w:r>
      <w:r>
        <w:rPr>
          <w:b/>
          <w:sz w:val="20"/>
          <w:szCs w:val="20"/>
        </w:rPr>
        <w:t>3</w:t>
      </w:r>
    </w:p>
    <w:p w:rsidR="00AF1715" w:rsidRPr="003B3977" w:rsidRDefault="00AF1715" w:rsidP="00AF1715">
      <w:pPr>
        <w:rPr>
          <w:sz w:val="20"/>
          <w:szCs w:val="20"/>
        </w:rPr>
      </w:pPr>
    </w:p>
    <w:p w:rsidR="0001792A" w:rsidRPr="0001792A" w:rsidRDefault="0001792A" w:rsidP="0001792A">
      <w:pPr>
        <w:ind w:left="1440" w:hanging="1440"/>
        <w:jc w:val="both"/>
        <w:rPr>
          <w:rFonts w:eastAsia="Calibri" w:cs="Times New Roman"/>
          <w:sz w:val="20"/>
          <w:szCs w:val="20"/>
          <w:lang w:val="en-US"/>
        </w:rPr>
      </w:pPr>
      <w:r w:rsidRPr="0001792A">
        <w:rPr>
          <w:rFonts w:eastAsia="Calibri" w:cs="Times New Roman"/>
          <w:b/>
          <w:sz w:val="20"/>
          <w:szCs w:val="20"/>
          <w:lang w:val="en-US"/>
        </w:rPr>
        <w:t>34413</w:t>
      </w:r>
      <w:r w:rsidRPr="0001792A">
        <w:rPr>
          <w:rFonts w:eastAsia="Calibri" w:cs="Times New Roman"/>
          <w:b/>
          <w:sz w:val="20"/>
          <w:szCs w:val="20"/>
          <w:lang w:val="en-US"/>
        </w:rPr>
        <w:tab/>
      </w:r>
      <w:r w:rsidRPr="0001792A">
        <w:rPr>
          <w:rFonts w:eastAsia="Calibri" w:cs="Times New Roman"/>
          <w:b/>
          <w:sz w:val="20"/>
          <w:szCs w:val="20"/>
          <w:u w:val="single"/>
          <w:lang w:val="en-US"/>
        </w:rPr>
        <w:t>Antrim Truck Centre Ltd. v. Her Majesty the Queen in Right of the Province of Ontario, as represented by the Minister of Transportation – and – Attorney General of British Columbia, City of Toronto and Metrolinx</w:t>
      </w:r>
      <w:r w:rsidRPr="0001792A">
        <w:rPr>
          <w:rFonts w:eastAsia="Calibri" w:cs="Times New Roman"/>
          <w:b/>
          <w:sz w:val="20"/>
          <w:szCs w:val="20"/>
          <w:lang w:val="en-US"/>
        </w:rPr>
        <w:t xml:space="preserve"> </w:t>
      </w:r>
      <w:r w:rsidRPr="0001792A">
        <w:rPr>
          <w:rFonts w:eastAsia="Calibri" w:cs="Times New Roman"/>
          <w:sz w:val="20"/>
          <w:szCs w:val="20"/>
          <w:lang w:val="en-US"/>
        </w:rPr>
        <w:t>(Ont.)</w:t>
      </w:r>
    </w:p>
    <w:p w:rsidR="0001792A" w:rsidRPr="0001792A" w:rsidRDefault="0001792A" w:rsidP="0001792A">
      <w:pPr>
        <w:ind w:left="1440"/>
        <w:jc w:val="both"/>
        <w:rPr>
          <w:rFonts w:eastAsia="Times New Roman" w:cs="Times New Roman"/>
          <w:b/>
          <w:sz w:val="20"/>
          <w:szCs w:val="20"/>
          <w:lang w:val="en-US"/>
        </w:rPr>
      </w:pPr>
      <w:r w:rsidRPr="0001792A">
        <w:rPr>
          <w:rFonts w:eastAsia="Times New Roman" w:cs="Times New Roman"/>
          <w:b/>
          <w:sz w:val="20"/>
          <w:szCs w:val="20"/>
          <w:lang w:val="en-US"/>
        </w:rPr>
        <w:t>2013 SCC 13 / 2013 CSC 13</w:t>
      </w:r>
    </w:p>
    <w:p w:rsidR="0001792A" w:rsidRPr="0001792A" w:rsidRDefault="0001792A" w:rsidP="0001792A">
      <w:pPr>
        <w:ind w:left="1440" w:hanging="1440"/>
        <w:jc w:val="both"/>
        <w:rPr>
          <w:rFonts w:eastAsia="Times New Roman" w:cs="Times New Roman"/>
          <w:b/>
          <w:sz w:val="20"/>
          <w:szCs w:val="20"/>
          <w:lang w:val="en-US"/>
        </w:rPr>
      </w:pPr>
    </w:p>
    <w:p w:rsidR="0001792A" w:rsidRPr="0001792A" w:rsidRDefault="0001792A" w:rsidP="0001792A">
      <w:pPr>
        <w:ind w:left="1440" w:hanging="1440"/>
        <w:jc w:val="both"/>
        <w:rPr>
          <w:rFonts w:eastAsia="Times New Roman" w:cs="Times New Roman"/>
          <w:sz w:val="20"/>
          <w:szCs w:val="20"/>
          <w:u w:val="single"/>
          <w:lang w:val="en-US"/>
        </w:rPr>
      </w:pPr>
      <w:r w:rsidRPr="0001792A">
        <w:rPr>
          <w:rFonts w:eastAsia="Times New Roman" w:cs="Times New Roman"/>
          <w:sz w:val="20"/>
          <w:szCs w:val="20"/>
          <w:lang w:val="en-US"/>
        </w:rPr>
        <w:t>Coram:</w:t>
      </w:r>
      <w:r>
        <w:rPr>
          <w:rFonts w:eastAsia="Times New Roman" w:cs="Times New Roman"/>
          <w:sz w:val="20"/>
          <w:szCs w:val="20"/>
          <w:lang w:val="en-US"/>
        </w:rPr>
        <w:tab/>
      </w:r>
      <w:r w:rsidRPr="0001792A">
        <w:rPr>
          <w:rFonts w:eastAsia="Times New Roman" w:cs="Times New Roman"/>
          <w:sz w:val="20"/>
          <w:szCs w:val="20"/>
          <w:u w:val="single"/>
          <w:lang w:val="en-US"/>
        </w:rPr>
        <w:t>McLachlin C.J. and LeBel, Fish, Abella, Rothstein, Cromwell, Moldaver, Karakatsanis and Wagner</w:t>
      </w:r>
      <w:r w:rsidR="00ED42A3">
        <w:rPr>
          <w:rFonts w:eastAsia="Times New Roman" w:cs="Times New Roman"/>
          <w:sz w:val="20"/>
          <w:szCs w:val="20"/>
          <w:u w:val="single"/>
          <w:lang w:val="en-US"/>
        </w:rPr>
        <w:t> </w:t>
      </w:r>
      <w:r w:rsidRPr="0001792A">
        <w:rPr>
          <w:rFonts w:eastAsia="Times New Roman" w:cs="Times New Roman"/>
          <w:sz w:val="20"/>
          <w:szCs w:val="20"/>
          <w:u w:val="single"/>
          <w:lang w:val="en-US"/>
        </w:rPr>
        <w:t>JJ.</w:t>
      </w:r>
      <w:r w:rsidRPr="0001792A">
        <w:rPr>
          <w:rFonts w:eastAsia="Times New Roman" w:cs="Times New Roman"/>
          <w:sz w:val="20"/>
          <w:szCs w:val="20"/>
          <w:lang w:val="en-US"/>
        </w:rPr>
        <w:t xml:space="preserve"> </w:t>
      </w:r>
    </w:p>
    <w:p w:rsidR="0001792A" w:rsidRPr="0001792A" w:rsidRDefault="0001792A" w:rsidP="0001792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US"/>
        </w:rPr>
      </w:pPr>
    </w:p>
    <w:p w:rsidR="0001792A" w:rsidRPr="0001792A" w:rsidRDefault="0001792A" w:rsidP="0001792A">
      <w:pPr>
        <w:jc w:val="both"/>
        <w:rPr>
          <w:rFonts w:eastAsia="Calibri" w:cs="Times New Roman"/>
          <w:sz w:val="20"/>
          <w:szCs w:val="20"/>
        </w:rPr>
      </w:pPr>
      <w:r w:rsidRPr="0001792A">
        <w:rPr>
          <w:rFonts w:eastAsia="Calibri" w:cs="Times New Roman"/>
          <w:sz w:val="20"/>
          <w:szCs w:val="20"/>
        </w:rPr>
        <w:t xml:space="preserve">The appeal from the judgment </w:t>
      </w:r>
      <w:bookmarkStart w:id="1" w:name="BM_1_"/>
      <w:bookmarkEnd w:id="1"/>
      <w:r w:rsidRPr="0001792A">
        <w:rPr>
          <w:rFonts w:eastAsia="Calibri" w:cs="Times New Roman"/>
          <w:sz w:val="20"/>
          <w:szCs w:val="20"/>
        </w:rPr>
        <w:t>of the Court of Appeal for Ontario, Number C52101, 2011 ONCA 419, dated June 2, 2011, heard on November 14, 2012, is allowed.  The order of the Court of Appeal is set aside.  The order of the Ontario Municipal Board is restored. The appellant is awarded costs in the Court of Appeal in the amount of $20,000, inclusive of disbursements, and costs in this Court, including the application for leave to appeal, on a solicitor and client basis.</w:t>
      </w:r>
    </w:p>
    <w:p w:rsidR="0001792A" w:rsidRPr="0001792A" w:rsidRDefault="0001792A" w:rsidP="0001792A">
      <w:pPr>
        <w:jc w:val="both"/>
        <w:rPr>
          <w:rFonts w:eastAsia="Calibri" w:cs="Times New Roman"/>
          <w:sz w:val="20"/>
          <w:szCs w:val="20"/>
        </w:rPr>
      </w:pPr>
    </w:p>
    <w:p w:rsidR="0001792A" w:rsidRPr="0001792A" w:rsidRDefault="0001792A" w:rsidP="0001792A">
      <w:pPr>
        <w:jc w:val="both"/>
        <w:rPr>
          <w:rFonts w:eastAsia="Calibri" w:cs="Times New Roman"/>
          <w:sz w:val="20"/>
          <w:szCs w:val="20"/>
          <w:lang w:val="fr-CA"/>
        </w:rPr>
      </w:pPr>
      <w:r w:rsidRPr="0001792A">
        <w:rPr>
          <w:rFonts w:eastAsia="Calibri" w:cs="Times New Roman"/>
          <w:sz w:val="20"/>
          <w:szCs w:val="20"/>
          <w:lang w:val="fr-CA"/>
        </w:rPr>
        <w:t>L’appel interjeté contre l’arrêt de la Cour d’appel de l’Ontario, numéro C52101, 2011 ONCA 419, en date du 2 juin 2011, entendu le 14 novembre 2012, est accueilli.  L’ordonnance de la Cour d’appel est annulée.   L’ordonnance de la Commission des affaires municipales de l’Ontario est rétablie.  L’appelante a droit à ses dépens devant la Cour d’appel au montant de 20 000 $, y compris les débours, et à ses dépens devant notre Cour, y compris ceux afférents à la demande d’autorisation d’appel, sur la base avocat-client.</w:t>
      </w:r>
    </w:p>
    <w:p w:rsidR="00AF1715" w:rsidRDefault="00AF1715" w:rsidP="00AF1715">
      <w:pPr>
        <w:rPr>
          <w:sz w:val="20"/>
          <w:szCs w:val="20"/>
          <w:lang w:val="fr-CA"/>
        </w:rPr>
      </w:pPr>
    </w:p>
    <w:p w:rsidR="00AF1715" w:rsidRPr="003B3977" w:rsidRDefault="003F21C7" w:rsidP="00AF1715">
      <w:pPr>
        <w:spacing w:line="0" w:lineRule="atLeast"/>
        <w:rPr>
          <w:sz w:val="20"/>
          <w:szCs w:val="20"/>
        </w:rPr>
      </w:pPr>
      <w:r w:rsidRPr="003F21C7">
        <w:rPr>
          <w:b/>
          <w:sz w:val="20"/>
          <w:szCs w:val="20"/>
        </w:rPr>
        <w:pict>
          <v:rect id="_x0000_i1084" style="width:144.3pt;height:1pt" o:hrpct="300" o:hralign="center" o:hrstd="t" o:hrnoshade="t" o:hr="t" fillcolor="black [3213]" stroked="f"/>
        </w:pict>
      </w:r>
    </w:p>
    <w:p w:rsidR="004665AA" w:rsidRDefault="004665AA" w:rsidP="000056E3">
      <w:pPr>
        <w:rPr>
          <w:b/>
          <w:sz w:val="20"/>
          <w:szCs w:val="20"/>
        </w:rPr>
      </w:pPr>
    </w:p>
    <w:p w:rsidR="000056E3" w:rsidRPr="003B3977" w:rsidRDefault="000056E3" w:rsidP="000056E3">
      <w:pPr>
        <w:rPr>
          <w:b/>
          <w:sz w:val="20"/>
          <w:szCs w:val="20"/>
        </w:rPr>
      </w:pPr>
      <w:r>
        <w:rPr>
          <w:b/>
          <w:sz w:val="20"/>
          <w:szCs w:val="20"/>
        </w:rPr>
        <w:t>MA</w:t>
      </w:r>
      <w:r w:rsidRPr="003B3977">
        <w:rPr>
          <w:b/>
          <w:sz w:val="20"/>
          <w:szCs w:val="20"/>
        </w:rPr>
        <w:t>R</w:t>
      </w:r>
      <w:r>
        <w:rPr>
          <w:b/>
          <w:sz w:val="20"/>
          <w:szCs w:val="20"/>
        </w:rPr>
        <w:t>CH</w:t>
      </w:r>
      <w:r w:rsidRPr="003B3977">
        <w:rPr>
          <w:b/>
          <w:sz w:val="20"/>
          <w:szCs w:val="20"/>
        </w:rPr>
        <w:t xml:space="preserve"> </w:t>
      </w:r>
      <w:r>
        <w:rPr>
          <w:b/>
          <w:sz w:val="20"/>
          <w:szCs w:val="20"/>
        </w:rPr>
        <w:t>8</w:t>
      </w:r>
      <w:r w:rsidRPr="003B3977">
        <w:rPr>
          <w:b/>
          <w:sz w:val="20"/>
          <w:szCs w:val="20"/>
        </w:rPr>
        <w:t>, 201</w:t>
      </w:r>
      <w:r>
        <w:rPr>
          <w:b/>
          <w:sz w:val="20"/>
          <w:szCs w:val="20"/>
        </w:rPr>
        <w:t>3</w:t>
      </w:r>
      <w:r w:rsidRPr="003B3977">
        <w:rPr>
          <w:b/>
          <w:sz w:val="20"/>
          <w:szCs w:val="20"/>
        </w:rPr>
        <w:t xml:space="preserve"> / LE </w:t>
      </w:r>
      <w:r>
        <w:rPr>
          <w:b/>
          <w:sz w:val="20"/>
          <w:szCs w:val="20"/>
        </w:rPr>
        <w:t>8 MA</w:t>
      </w:r>
      <w:r w:rsidRPr="003B3977">
        <w:rPr>
          <w:b/>
          <w:sz w:val="20"/>
          <w:szCs w:val="20"/>
        </w:rPr>
        <w:t>R</w:t>
      </w:r>
      <w:r>
        <w:rPr>
          <w:b/>
          <w:sz w:val="20"/>
          <w:szCs w:val="20"/>
        </w:rPr>
        <w:t>S</w:t>
      </w:r>
      <w:r w:rsidRPr="003B3977">
        <w:rPr>
          <w:b/>
          <w:sz w:val="20"/>
          <w:szCs w:val="20"/>
        </w:rPr>
        <w:t xml:space="preserve"> 201</w:t>
      </w:r>
      <w:r>
        <w:rPr>
          <w:b/>
          <w:sz w:val="20"/>
          <w:szCs w:val="20"/>
        </w:rPr>
        <w:t>3</w:t>
      </w:r>
    </w:p>
    <w:p w:rsidR="000056E3" w:rsidRDefault="000056E3" w:rsidP="00AF1715">
      <w:pPr>
        <w:ind w:left="1440" w:hanging="1440"/>
        <w:jc w:val="both"/>
        <w:rPr>
          <w:sz w:val="20"/>
          <w:szCs w:val="20"/>
          <w:lang w:val="en-GB"/>
        </w:rPr>
      </w:pPr>
    </w:p>
    <w:p w:rsidR="004665AA" w:rsidRPr="004665AA" w:rsidRDefault="00AF1715" w:rsidP="004665AA">
      <w:pPr>
        <w:pStyle w:val="SCCLsocParty"/>
        <w:ind w:left="1440" w:hanging="1440"/>
        <w:rPr>
          <w:b w:val="0"/>
          <w:sz w:val="20"/>
          <w:szCs w:val="20"/>
        </w:rPr>
      </w:pPr>
      <w:r w:rsidRPr="004665AA">
        <w:rPr>
          <w:sz w:val="20"/>
          <w:szCs w:val="20"/>
          <w:lang w:val="en-GB"/>
        </w:rPr>
        <w:t>3</w:t>
      </w:r>
      <w:r w:rsidR="004665AA" w:rsidRPr="004665AA">
        <w:rPr>
          <w:sz w:val="20"/>
          <w:szCs w:val="20"/>
          <w:lang w:val="en-GB"/>
        </w:rPr>
        <w:t>3</w:t>
      </w:r>
      <w:r w:rsidRPr="004665AA">
        <w:rPr>
          <w:sz w:val="20"/>
          <w:szCs w:val="20"/>
          <w:lang w:val="en-GB"/>
        </w:rPr>
        <w:t>8</w:t>
      </w:r>
      <w:r w:rsidR="004665AA" w:rsidRPr="004665AA">
        <w:rPr>
          <w:sz w:val="20"/>
          <w:szCs w:val="20"/>
          <w:lang w:val="en-GB"/>
        </w:rPr>
        <w:t>80</w:t>
      </w:r>
      <w:r w:rsidRPr="004665AA">
        <w:rPr>
          <w:sz w:val="20"/>
          <w:szCs w:val="20"/>
          <w:lang w:val="en-GB"/>
        </w:rPr>
        <w:tab/>
      </w:r>
      <w:r w:rsidR="004665AA" w:rsidRPr="004665AA">
        <w:rPr>
          <w:sz w:val="20"/>
          <w:szCs w:val="20"/>
          <w:u w:val="single"/>
        </w:rPr>
        <w:t xml:space="preserve">Manitoba Metis Federation Inc., Yvon Dumont, Billy Jo de la Ronde, Roy Chartrand, Ron Erickson, Claire Riddle, Jack Fleming, Jack McPherson, Don Roulette, Edgar Bruce Jr., Freda Lundmark, Miles Allarie, Celia Klassen, Alma Belhumeur, Stan Guiboche, Jeanne Perrault, Marie Banks Ducharme and Earl Henderson v. Attorney General of Canada and Attorney General of Manitoba </w:t>
      </w:r>
      <w:r w:rsidR="00A833C3" w:rsidRPr="00A833C3">
        <w:rPr>
          <w:sz w:val="20"/>
          <w:szCs w:val="20"/>
          <w:u w:val="single"/>
          <w:lang w:val="en-US"/>
        </w:rPr>
        <w:t>– and –</w:t>
      </w:r>
      <w:r w:rsidR="004665AA" w:rsidRPr="004665AA">
        <w:rPr>
          <w:sz w:val="20"/>
          <w:szCs w:val="20"/>
          <w:u w:val="single"/>
        </w:rPr>
        <w:t xml:space="preserve"> Attorney General for Saskatchewan, Attorney General of Alberta, Métis National Council, Métis Nation of Alberta, Métis Nation of Ontario, Treaty One First Nations and Assembly of First Nations</w:t>
      </w:r>
      <w:r w:rsidR="004665AA">
        <w:rPr>
          <w:b w:val="0"/>
          <w:sz w:val="20"/>
          <w:szCs w:val="20"/>
        </w:rPr>
        <w:t xml:space="preserve"> (Man.)</w:t>
      </w:r>
    </w:p>
    <w:p w:rsidR="004665AA" w:rsidRPr="003B3977" w:rsidRDefault="004665AA" w:rsidP="004665AA">
      <w:pPr>
        <w:ind w:left="1440"/>
        <w:jc w:val="both"/>
        <w:rPr>
          <w:sz w:val="20"/>
          <w:szCs w:val="20"/>
        </w:rPr>
      </w:pPr>
      <w:r w:rsidRPr="003B3977">
        <w:rPr>
          <w:b/>
          <w:sz w:val="20"/>
          <w:szCs w:val="20"/>
        </w:rPr>
        <w:t>201</w:t>
      </w:r>
      <w:r>
        <w:rPr>
          <w:b/>
          <w:sz w:val="20"/>
          <w:szCs w:val="20"/>
        </w:rPr>
        <w:t>3</w:t>
      </w:r>
      <w:r w:rsidRPr="003B3977">
        <w:rPr>
          <w:b/>
          <w:sz w:val="20"/>
          <w:szCs w:val="20"/>
        </w:rPr>
        <w:t xml:space="preserve"> SCC </w:t>
      </w:r>
      <w:r>
        <w:rPr>
          <w:b/>
          <w:sz w:val="20"/>
          <w:szCs w:val="20"/>
        </w:rPr>
        <w:t>1</w:t>
      </w:r>
      <w:r w:rsidRPr="003B3977">
        <w:rPr>
          <w:b/>
          <w:sz w:val="20"/>
          <w:szCs w:val="20"/>
        </w:rPr>
        <w:t>4 / 201</w:t>
      </w:r>
      <w:r>
        <w:rPr>
          <w:b/>
          <w:sz w:val="20"/>
          <w:szCs w:val="20"/>
        </w:rPr>
        <w:t>3</w:t>
      </w:r>
      <w:r w:rsidRPr="003B3977">
        <w:rPr>
          <w:b/>
          <w:sz w:val="20"/>
          <w:szCs w:val="20"/>
        </w:rPr>
        <w:t xml:space="preserve"> CSC </w:t>
      </w:r>
      <w:r>
        <w:rPr>
          <w:b/>
          <w:sz w:val="20"/>
          <w:szCs w:val="20"/>
        </w:rPr>
        <w:t>1</w:t>
      </w:r>
      <w:r w:rsidRPr="003B3977">
        <w:rPr>
          <w:b/>
          <w:sz w:val="20"/>
          <w:szCs w:val="20"/>
        </w:rPr>
        <w:t>4</w:t>
      </w:r>
    </w:p>
    <w:p w:rsidR="00575830" w:rsidRDefault="00575830" w:rsidP="00AF1715">
      <w:pPr>
        <w:ind w:left="1440" w:hanging="1440"/>
        <w:jc w:val="both"/>
        <w:rPr>
          <w:sz w:val="20"/>
          <w:szCs w:val="20"/>
        </w:rPr>
      </w:pPr>
    </w:p>
    <w:p w:rsidR="00AF1715" w:rsidRPr="004466C5" w:rsidRDefault="00170263" w:rsidP="00170263">
      <w:pPr>
        <w:ind w:left="1440" w:hanging="1440"/>
        <w:jc w:val="both"/>
        <w:rPr>
          <w:sz w:val="20"/>
          <w:szCs w:val="20"/>
        </w:rPr>
      </w:pPr>
      <w:r w:rsidRPr="00F025A5">
        <w:rPr>
          <w:sz w:val="20"/>
          <w:szCs w:val="20"/>
        </w:rPr>
        <w:t xml:space="preserve">Coram: </w:t>
      </w:r>
      <w:r>
        <w:rPr>
          <w:sz w:val="20"/>
          <w:szCs w:val="20"/>
        </w:rPr>
        <w:tab/>
      </w:r>
      <w:r w:rsidRPr="004466C5">
        <w:rPr>
          <w:sz w:val="20"/>
          <w:szCs w:val="20"/>
          <w:u w:val="single"/>
        </w:rPr>
        <w:t xml:space="preserve">McLachlin C.J. and LeBel, </w:t>
      </w:r>
      <w:r w:rsidR="004665AA" w:rsidRPr="004466C5">
        <w:rPr>
          <w:sz w:val="20"/>
          <w:szCs w:val="20"/>
          <w:u w:val="single"/>
        </w:rPr>
        <w:t>Deschamps</w:t>
      </w:r>
      <w:r w:rsidR="004665AA" w:rsidRPr="004466C5">
        <w:rPr>
          <w:sz w:val="20"/>
          <w:szCs w:val="20"/>
          <w:u w:val="single"/>
          <w:vertAlign w:val="superscript"/>
        </w:rPr>
        <w:t>*</w:t>
      </w:r>
      <w:r w:rsidR="004466C5" w:rsidRPr="004466C5">
        <w:rPr>
          <w:sz w:val="20"/>
          <w:szCs w:val="20"/>
          <w:u w:val="single"/>
        </w:rPr>
        <w:t xml:space="preserve">, </w:t>
      </w:r>
      <w:r w:rsidRPr="004466C5">
        <w:rPr>
          <w:sz w:val="20"/>
          <w:szCs w:val="20"/>
          <w:u w:val="single"/>
        </w:rPr>
        <w:t>Fish, Abella, Rothstein, Cromwell, Moldaver and Karakatsanis JJ.</w:t>
      </w:r>
    </w:p>
    <w:p w:rsidR="00170263" w:rsidRDefault="00170263" w:rsidP="00AF1715">
      <w:pPr>
        <w:jc w:val="both"/>
        <w:rPr>
          <w:sz w:val="20"/>
          <w:szCs w:val="20"/>
        </w:rPr>
      </w:pPr>
    </w:p>
    <w:p w:rsidR="004665AA" w:rsidRDefault="004665AA" w:rsidP="00AF1715">
      <w:pPr>
        <w:jc w:val="both"/>
        <w:rPr>
          <w:sz w:val="20"/>
          <w:szCs w:val="20"/>
          <w:lang w:val="fr-CA"/>
        </w:rPr>
      </w:pPr>
      <w:r w:rsidRPr="004665AA">
        <w:rPr>
          <w:sz w:val="20"/>
          <w:szCs w:val="20"/>
          <w:lang w:val="fr-CA"/>
        </w:rPr>
        <w:t>(</w:t>
      </w:r>
      <w:r w:rsidRPr="004665AA">
        <w:rPr>
          <w:sz w:val="20"/>
          <w:szCs w:val="20"/>
          <w:vertAlign w:val="superscript"/>
          <w:lang w:val="fr-CA"/>
        </w:rPr>
        <w:t>*</w:t>
      </w:r>
      <w:r w:rsidRPr="004665AA">
        <w:rPr>
          <w:sz w:val="20"/>
          <w:szCs w:val="20"/>
          <w:lang w:val="fr-CA"/>
        </w:rPr>
        <w:t xml:space="preserve"> Deschamps J. took no part in the judgment. / </w:t>
      </w:r>
      <w:r w:rsidRPr="00170263">
        <w:rPr>
          <w:sz w:val="20"/>
          <w:szCs w:val="20"/>
          <w:vertAlign w:val="superscript"/>
          <w:lang w:val="fr-CA"/>
        </w:rPr>
        <w:t>*</w:t>
      </w:r>
      <w:r w:rsidRPr="00170263">
        <w:rPr>
          <w:sz w:val="20"/>
          <w:szCs w:val="20"/>
          <w:lang w:val="fr-CA"/>
        </w:rPr>
        <w:t xml:space="preserve"> La juge Deschamps n’a pas participé au jugement.</w:t>
      </w:r>
      <w:r>
        <w:rPr>
          <w:sz w:val="20"/>
          <w:szCs w:val="20"/>
          <w:lang w:val="fr-CA"/>
        </w:rPr>
        <w:t>)</w:t>
      </w:r>
    </w:p>
    <w:p w:rsidR="004665AA" w:rsidRPr="004665AA" w:rsidRDefault="004665AA" w:rsidP="00AF1715">
      <w:pPr>
        <w:jc w:val="both"/>
        <w:rPr>
          <w:sz w:val="20"/>
          <w:szCs w:val="20"/>
          <w:lang w:val="fr-CA"/>
        </w:rPr>
      </w:pPr>
    </w:p>
    <w:p w:rsidR="00AF1715" w:rsidRPr="003B3977" w:rsidRDefault="00170263" w:rsidP="00170263">
      <w:pPr>
        <w:jc w:val="both"/>
        <w:rPr>
          <w:sz w:val="20"/>
          <w:szCs w:val="20"/>
        </w:rPr>
      </w:pPr>
      <w:r w:rsidRPr="00397AB9">
        <w:rPr>
          <w:sz w:val="20"/>
          <w:szCs w:val="20"/>
        </w:rPr>
        <w:t xml:space="preserve">The appeal from the judgment of the Court of Appeal of Manitoba, Number AI08-30-06872, 2010 MBCA 71, dated July 7, 2010, heard on December 13, 2011, is allowed in part. It is declared that the federal Crown failed to implement the land grant provision set out in s. 31 of the </w:t>
      </w:r>
      <w:r w:rsidRPr="00397AB9">
        <w:rPr>
          <w:i/>
          <w:sz w:val="20"/>
          <w:szCs w:val="20"/>
        </w:rPr>
        <w:t>Manitoba Act, 1870</w:t>
      </w:r>
      <w:r w:rsidRPr="00397AB9">
        <w:rPr>
          <w:sz w:val="20"/>
          <w:szCs w:val="20"/>
        </w:rPr>
        <w:t>, S.C. 1870, c. 3, in accordance with the honour of the Crown. The appellants are awarded their costs throughout. Rothstein and Moldaver JJ. are dissenting.</w:t>
      </w:r>
    </w:p>
    <w:p w:rsidR="00AF1715" w:rsidRPr="006C5F7A" w:rsidRDefault="00AF1715" w:rsidP="00AF1715">
      <w:pPr>
        <w:jc w:val="both"/>
        <w:rPr>
          <w:rFonts w:cs="Times New Roman"/>
          <w:sz w:val="20"/>
          <w:szCs w:val="20"/>
        </w:rPr>
      </w:pPr>
    </w:p>
    <w:p w:rsidR="00170263" w:rsidRPr="006C5F7A" w:rsidRDefault="00170263" w:rsidP="004665AA">
      <w:pPr>
        <w:spacing w:line="0" w:lineRule="atLeast"/>
        <w:jc w:val="both"/>
        <w:rPr>
          <w:rFonts w:cs="Times New Roman"/>
          <w:sz w:val="20"/>
          <w:szCs w:val="20"/>
          <w:lang w:val="fr-CA"/>
        </w:rPr>
      </w:pPr>
      <w:r w:rsidRPr="00397AB9">
        <w:rPr>
          <w:sz w:val="20"/>
          <w:szCs w:val="20"/>
          <w:lang w:val="fr-CA"/>
        </w:rPr>
        <w:t xml:space="preserve">L’appel interjeté contre l’arrêt de la Cour </w:t>
      </w:r>
      <w:r w:rsidRPr="00397AB9">
        <w:rPr>
          <w:spacing w:val="-2"/>
          <w:sz w:val="20"/>
          <w:szCs w:val="20"/>
          <w:lang w:val="fr-CA"/>
        </w:rPr>
        <w:t>d’appel du Manitoba, numéro AI0</w:t>
      </w:r>
      <w:r w:rsidRPr="00397AB9">
        <w:rPr>
          <w:sz w:val="20"/>
          <w:szCs w:val="20"/>
          <w:lang w:val="fr-CA"/>
        </w:rPr>
        <w:t>8-30-06872, 2010 MBCA 71, en date du 7 juillet 2010, entendu le 13 décembre 2011, est</w:t>
      </w:r>
      <w:r w:rsidRPr="00397AB9">
        <w:rPr>
          <w:rFonts w:eastAsia="Times New Roman" w:cs="Times New Roman"/>
          <w:sz w:val="20"/>
          <w:szCs w:val="20"/>
          <w:lang w:val="fr-CA"/>
        </w:rPr>
        <w:t xml:space="preserve"> accueilli en partie. </w:t>
      </w:r>
      <w:r w:rsidRPr="00397AB9">
        <w:rPr>
          <w:sz w:val="20"/>
          <w:szCs w:val="20"/>
          <w:lang w:val="fr-CA"/>
        </w:rPr>
        <w:t>Il est déclar</w:t>
      </w:r>
      <w:r w:rsidRPr="00397AB9">
        <w:rPr>
          <w:rFonts w:cs="Times New Roman"/>
          <w:sz w:val="20"/>
          <w:szCs w:val="20"/>
          <w:lang w:val="fr-CA"/>
        </w:rPr>
        <w:t>é</w:t>
      </w:r>
      <w:r w:rsidRPr="00397AB9">
        <w:rPr>
          <w:sz w:val="20"/>
          <w:szCs w:val="20"/>
          <w:lang w:val="fr-CA"/>
        </w:rPr>
        <w:t xml:space="preserve"> que la Couronne fédérale n’a pas mis en œuvre de façon honorable la disposition prévoyant la concession </w:t>
      </w:r>
      <w:r w:rsidRPr="00397AB9">
        <w:rPr>
          <w:rFonts w:cs="Times New Roman"/>
          <w:sz w:val="20"/>
          <w:szCs w:val="20"/>
          <w:lang w:val="fr-CA"/>
        </w:rPr>
        <w:t xml:space="preserve">de terres énoncée à l’art. 31 de la </w:t>
      </w:r>
      <w:r w:rsidRPr="00397AB9">
        <w:rPr>
          <w:rFonts w:cs="Times New Roman"/>
          <w:i/>
          <w:iCs/>
          <w:sz w:val="20"/>
          <w:szCs w:val="20"/>
          <w:lang w:val="fr-CA"/>
        </w:rPr>
        <w:t>Loi de 1870 sur le Manitoba</w:t>
      </w:r>
      <w:r w:rsidRPr="00397AB9">
        <w:rPr>
          <w:rFonts w:cs="Times New Roman"/>
          <w:iCs/>
          <w:sz w:val="20"/>
          <w:szCs w:val="20"/>
          <w:lang w:val="fr-CA"/>
        </w:rPr>
        <w:t>, S.C. 1870, ch. 3</w:t>
      </w:r>
      <w:r w:rsidRPr="00397AB9">
        <w:rPr>
          <w:rFonts w:cs="Times New Roman"/>
          <w:sz w:val="20"/>
          <w:szCs w:val="20"/>
          <w:lang w:val="fr-CA"/>
        </w:rPr>
        <w:t>. Les appelants ont droit à leurs dépens devant toutes les cours. Les juges Rothstein et Moldaver sont dissidents.</w:t>
      </w:r>
    </w:p>
    <w:p w:rsidR="00732DB7" w:rsidRPr="00C50A5C" w:rsidRDefault="003F21C7" w:rsidP="00C20B18">
      <w:pPr>
        <w:spacing w:line="0" w:lineRule="atLeast"/>
        <w:rPr>
          <w:sz w:val="20"/>
          <w:szCs w:val="20"/>
        </w:rPr>
      </w:pPr>
      <w:r w:rsidRPr="003F21C7">
        <w:rPr>
          <w:rFonts w:cs="Times New Roman"/>
          <w:b/>
          <w:sz w:val="20"/>
          <w:szCs w:val="20"/>
        </w:rPr>
        <w:pict>
          <v:rect id="_x0000_i1085" style="width:144.3pt;height:1pt" o:hrpct="300" o:hralign="center" o:hrstd="t" o:hrnoshade="t" o:hr="t" fillcolor="black [3213]" stroked="f"/>
        </w:pict>
      </w:r>
    </w:p>
    <w:p w:rsidR="00697C62" w:rsidRPr="00C50A5C" w:rsidRDefault="00697C62" w:rsidP="00732DB7">
      <w:pPr>
        <w:widowControl w:val="0"/>
        <w:rPr>
          <w:sz w:val="20"/>
          <w:szCs w:val="20"/>
        </w:rPr>
        <w:sectPr w:rsidR="00697C62"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D2233E" w:rsidRPr="00E708A7" w:rsidRDefault="00D2233E" w:rsidP="00D2233E">
      <w:pPr>
        <w:rPr>
          <w:rFonts w:eastAsia="Calibri" w:cs="Times New Roman"/>
          <w:sz w:val="20"/>
          <w:szCs w:val="20"/>
        </w:rPr>
      </w:pPr>
      <w:r w:rsidRPr="00E708A7">
        <w:rPr>
          <w:rFonts w:eastAsia="Calibri" w:cs="Times New Roman"/>
          <w:i/>
          <w:sz w:val="20"/>
          <w:szCs w:val="20"/>
        </w:rPr>
        <w:t>Antrim Truck Centre Ltd. v. Her Majesty the Queen in Right of the Province of Ontario, as represented by the Minister of Transportation</w:t>
      </w:r>
      <w:r w:rsidRPr="00E708A7">
        <w:rPr>
          <w:rFonts w:eastAsia="Calibri" w:cs="Times New Roman"/>
          <w:sz w:val="20"/>
          <w:szCs w:val="20"/>
        </w:rPr>
        <w:t xml:space="preserve"> (Ont.) (34413)</w:t>
      </w:r>
    </w:p>
    <w:p w:rsidR="00CF3230" w:rsidRPr="00BA5ECB" w:rsidRDefault="00CF3230" w:rsidP="00CF3230">
      <w:pPr>
        <w:jc w:val="both"/>
        <w:rPr>
          <w:b/>
          <w:sz w:val="20"/>
          <w:szCs w:val="20"/>
        </w:rPr>
      </w:pPr>
      <w:r w:rsidRPr="00BA5ECB">
        <w:rPr>
          <w:b/>
          <w:sz w:val="20"/>
          <w:szCs w:val="20"/>
        </w:rPr>
        <w:t xml:space="preserve">Indexed as:  Antrim Truck Centre Ltd. </w:t>
      </w:r>
      <w:r w:rsidRPr="00BA5ECB">
        <w:rPr>
          <w:b/>
          <w:i/>
          <w:sz w:val="20"/>
          <w:szCs w:val="20"/>
        </w:rPr>
        <w:t>v.</w:t>
      </w:r>
      <w:r w:rsidRPr="00BA5ECB">
        <w:rPr>
          <w:b/>
          <w:sz w:val="20"/>
          <w:szCs w:val="20"/>
        </w:rPr>
        <w:t xml:space="preserve"> Ontario (Transportation)</w:t>
      </w:r>
      <w:r>
        <w:rPr>
          <w:b/>
          <w:sz w:val="20"/>
          <w:szCs w:val="20"/>
        </w:rPr>
        <w:t xml:space="preserve"> /</w:t>
      </w:r>
    </w:p>
    <w:p w:rsidR="00CF3230" w:rsidRDefault="00CF3230" w:rsidP="005C6840">
      <w:pPr>
        <w:pStyle w:val="SCCSystemYear"/>
        <w:jc w:val="both"/>
        <w:rPr>
          <w:sz w:val="20"/>
        </w:rPr>
      </w:pPr>
      <w:r w:rsidRPr="00DE3F16">
        <w:rPr>
          <w:sz w:val="20"/>
        </w:rPr>
        <w:t xml:space="preserve">Répertorié : Antrim Truck Centre Ltd. </w:t>
      </w:r>
      <w:r w:rsidRPr="00DE3F16">
        <w:rPr>
          <w:i/>
          <w:sz w:val="20"/>
        </w:rPr>
        <w:t>c.</w:t>
      </w:r>
      <w:r w:rsidRPr="00DE3F16">
        <w:rPr>
          <w:sz w:val="20"/>
        </w:rPr>
        <w:t xml:space="preserve"> Ontario (Transports)</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7F387B">
        <w:rPr>
          <w:sz w:val="20"/>
        </w:rPr>
        <w:t>1</w:t>
      </w:r>
      <w:r w:rsidR="00D2233E">
        <w:rPr>
          <w:sz w:val="20"/>
        </w:rPr>
        <w:t>3</w:t>
      </w:r>
      <w:r w:rsidRPr="003B3977">
        <w:rPr>
          <w:sz w:val="20"/>
        </w:rPr>
        <w:t xml:space="preserve"> / Référence neutre : 201</w:t>
      </w:r>
      <w:r w:rsidR="00F761A3">
        <w:rPr>
          <w:sz w:val="20"/>
        </w:rPr>
        <w:t>3</w:t>
      </w:r>
      <w:r w:rsidRPr="003B3977">
        <w:rPr>
          <w:sz w:val="20"/>
        </w:rPr>
        <w:t xml:space="preserve"> CSC </w:t>
      </w:r>
      <w:r w:rsidR="007F387B">
        <w:rPr>
          <w:sz w:val="20"/>
        </w:rPr>
        <w:t>1</w:t>
      </w:r>
      <w:r w:rsidR="00D2233E">
        <w:rPr>
          <w:sz w:val="20"/>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E92044">
        <w:rPr>
          <w:rFonts w:cs="Times New Roman"/>
          <w:sz w:val="20"/>
          <w:szCs w:val="20"/>
          <w:lang w:val="fr-CA"/>
        </w:rPr>
        <w:t>Novem</w:t>
      </w:r>
      <w:r w:rsidRPr="003B3977">
        <w:rPr>
          <w:rFonts w:cs="Times New Roman"/>
          <w:sz w:val="20"/>
          <w:szCs w:val="20"/>
          <w:lang w:val="fr-CA"/>
        </w:rPr>
        <w:t xml:space="preserve">ber </w:t>
      </w:r>
      <w:r w:rsidR="00E92044">
        <w:rPr>
          <w:rFonts w:cs="Times New Roman"/>
          <w:sz w:val="20"/>
          <w:szCs w:val="20"/>
          <w:lang w:val="fr-CA"/>
        </w:rPr>
        <w:t>1</w:t>
      </w:r>
      <w:r w:rsidR="003533C2">
        <w:rPr>
          <w:rFonts w:cs="Times New Roman"/>
          <w:sz w:val="20"/>
          <w:szCs w:val="20"/>
          <w:lang w:val="fr-CA"/>
        </w:rPr>
        <w:t>4</w:t>
      </w:r>
      <w:r w:rsidRPr="003B3977">
        <w:rPr>
          <w:rFonts w:cs="Times New Roman"/>
          <w:sz w:val="20"/>
          <w:szCs w:val="20"/>
          <w:lang w:val="fr-CA"/>
        </w:rPr>
        <w:t>, 201</w:t>
      </w:r>
      <w:r w:rsidR="00E92044">
        <w:rPr>
          <w:rFonts w:cs="Times New Roman"/>
          <w:sz w:val="20"/>
          <w:szCs w:val="20"/>
          <w:lang w:val="fr-CA"/>
        </w:rPr>
        <w:t>2</w:t>
      </w:r>
      <w:r w:rsidRPr="003B3977">
        <w:rPr>
          <w:rFonts w:cs="Times New Roman"/>
          <w:sz w:val="20"/>
          <w:szCs w:val="20"/>
          <w:lang w:val="fr-CA"/>
        </w:rPr>
        <w:t xml:space="preserve"> / Judgment:  </w:t>
      </w:r>
      <w:r w:rsidR="00D2233E">
        <w:rPr>
          <w:rFonts w:cs="Times New Roman"/>
          <w:sz w:val="20"/>
          <w:szCs w:val="20"/>
          <w:lang w:val="fr-CA"/>
        </w:rPr>
        <w:t xml:space="preserve">March </w:t>
      </w:r>
      <w:r w:rsidRPr="003B3977">
        <w:rPr>
          <w:rFonts w:cs="Times New Roman"/>
          <w:sz w:val="20"/>
          <w:szCs w:val="20"/>
          <w:lang w:val="fr-CA"/>
        </w:rPr>
        <w:t>7, 201</w:t>
      </w:r>
      <w:r w:rsidR="00D2233E">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E92044">
        <w:rPr>
          <w:rFonts w:cs="Times New Roman"/>
          <w:sz w:val="20"/>
          <w:szCs w:val="20"/>
          <w:lang w:val="fr-CA"/>
        </w:rPr>
        <w:t>1</w:t>
      </w:r>
      <w:r w:rsidR="003533C2">
        <w:rPr>
          <w:rFonts w:cs="Times New Roman"/>
          <w:sz w:val="20"/>
          <w:szCs w:val="20"/>
          <w:lang w:val="fr-CA"/>
        </w:rPr>
        <w:t>4</w:t>
      </w:r>
      <w:r w:rsidR="00E92044">
        <w:rPr>
          <w:rFonts w:cs="Times New Roman"/>
          <w:sz w:val="20"/>
          <w:szCs w:val="20"/>
          <w:lang w:val="fr-CA"/>
        </w:rPr>
        <w:t xml:space="preserve"> novem</w:t>
      </w:r>
      <w:r w:rsidRPr="003B3977">
        <w:rPr>
          <w:rFonts w:cs="Times New Roman"/>
          <w:sz w:val="20"/>
          <w:szCs w:val="20"/>
          <w:lang w:val="fr-CA"/>
        </w:rPr>
        <w:t>bre 201</w:t>
      </w:r>
      <w:r w:rsidR="00E92044">
        <w:rPr>
          <w:rFonts w:cs="Times New Roman"/>
          <w:sz w:val="20"/>
          <w:szCs w:val="20"/>
          <w:lang w:val="fr-CA"/>
        </w:rPr>
        <w:t>2</w:t>
      </w:r>
      <w:r w:rsidRPr="003B3977">
        <w:rPr>
          <w:rFonts w:cs="Times New Roman"/>
          <w:sz w:val="20"/>
          <w:szCs w:val="20"/>
          <w:lang w:val="fr-CA"/>
        </w:rPr>
        <w:t xml:space="preserve"> / Jugement : Le 7 </w:t>
      </w:r>
      <w:r w:rsidR="00D2233E">
        <w:rPr>
          <w:rFonts w:cs="Times New Roman"/>
          <w:sz w:val="20"/>
          <w:szCs w:val="20"/>
          <w:lang w:val="fr-CA"/>
        </w:rPr>
        <w:t>mars</w:t>
      </w:r>
      <w:r w:rsidRPr="003B3977">
        <w:rPr>
          <w:rFonts w:cs="Times New Roman"/>
          <w:sz w:val="20"/>
          <w:szCs w:val="20"/>
          <w:lang w:val="fr-CA"/>
        </w:rPr>
        <w:t xml:space="preserve"> 201</w:t>
      </w:r>
      <w:r w:rsidR="00D2233E">
        <w:rPr>
          <w:rFonts w:cs="Times New Roman"/>
          <w:sz w:val="20"/>
          <w:szCs w:val="20"/>
          <w:lang w:val="fr-CA"/>
        </w:rPr>
        <w:t>3</w:t>
      </w:r>
    </w:p>
    <w:p w:rsidR="005C6840" w:rsidRPr="003B3977" w:rsidRDefault="003F21C7" w:rsidP="005C6840">
      <w:pPr>
        <w:rPr>
          <w:rFonts w:cs="Times New Roman"/>
          <w:sz w:val="20"/>
          <w:szCs w:val="20"/>
          <w:lang w:val="fr-CA"/>
        </w:rPr>
      </w:pPr>
      <w:r w:rsidRPr="003F21C7">
        <w:rPr>
          <w:rFonts w:cs="Times New Roman"/>
          <w:i/>
          <w:sz w:val="20"/>
          <w:szCs w:val="20"/>
        </w:rPr>
        <w:pict>
          <v:rect id="_x0000_i1088"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E92044" w:rsidRPr="00BA5ECB" w:rsidRDefault="00E92044" w:rsidP="00E92044">
      <w:pPr>
        <w:jc w:val="both"/>
        <w:rPr>
          <w:sz w:val="20"/>
          <w:szCs w:val="20"/>
        </w:rPr>
      </w:pPr>
      <w:r w:rsidRPr="00BA5ECB">
        <w:rPr>
          <w:sz w:val="20"/>
          <w:szCs w:val="20"/>
        </w:rPr>
        <w:t>Present:  McLachlin C.J. and LeBel, Fish, Abella, Rothstein, Cromwell, Moldaver, Karakatsanis and Wagner JJ.</w:t>
      </w:r>
    </w:p>
    <w:p w:rsidR="00E92044" w:rsidRDefault="00E92044" w:rsidP="00E92044">
      <w:pPr>
        <w:pStyle w:val="SCCLowerCourtNameLowercase"/>
        <w:spacing w:line="240" w:lineRule="auto"/>
        <w:rPr>
          <w:sz w:val="20"/>
        </w:rPr>
      </w:pPr>
    </w:p>
    <w:p w:rsidR="00E92044" w:rsidRPr="00BA5ECB" w:rsidRDefault="00E92044" w:rsidP="00E92044">
      <w:pPr>
        <w:pStyle w:val="SCCNormalDoubleSpacing"/>
        <w:spacing w:line="240" w:lineRule="auto"/>
        <w:rPr>
          <w:i/>
          <w:sz w:val="20"/>
        </w:rPr>
      </w:pPr>
      <w:r w:rsidRPr="00BA5ECB">
        <w:rPr>
          <w:i/>
          <w:sz w:val="20"/>
        </w:rPr>
        <w:tab/>
        <w:t>Expropriation — Injurious affection — Nuisance — Compensation — Construction of new highway diverting traffic away from appellant’s truck stop business — Ontario Municipal Board awarding appellant compensation for injurious affection for business loss and loss of market value of property — Court of Appeal dismissing claim on basis that Board failed to balance competing rights adequately — Whether interference with private enjoyment of land was unreasonable when resulting from construction serving important public purpose — Whether Court of Appeal erred in finding that Board’s application of law of nuisance was unreasonable — Expropriation Act, R.S.O. 1990, c. E.26.</w:t>
      </w:r>
    </w:p>
    <w:p w:rsidR="00E92044" w:rsidRDefault="00E92044" w:rsidP="00E92044">
      <w:pPr>
        <w:pStyle w:val="SCCNormalDoubleSpacing"/>
        <w:spacing w:line="240" w:lineRule="auto"/>
        <w:rPr>
          <w:sz w:val="20"/>
        </w:rPr>
      </w:pPr>
    </w:p>
    <w:p w:rsidR="00E92044" w:rsidRPr="00BA5ECB" w:rsidRDefault="00E92044" w:rsidP="00E92044">
      <w:pPr>
        <w:pStyle w:val="SCCNormalDoubleSpacing"/>
        <w:spacing w:line="240" w:lineRule="auto"/>
        <w:rPr>
          <w:sz w:val="20"/>
        </w:rPr>
      </w:pPr>
      <w:r w:rsidRPr="00BA5ECB">
        <w:rPr>
          <w:sz w:val="20"/>
        </w:rPr>
        <w:tab/>
        <w:t xml:space="preserve">From 1978 until 2004, the appellant owned property on Highway 17 near the hamlet of Antrim where it operated a truck stop complex that included a restaurant and gas bar and enjoyed the patronage of drivers travelling along the highway.  In September 2004, the respondent opened a new section of Highway 417 running parallel to Highway 17 near the appellant’s property.  Highway 17 was significantly altered by the construction of Highway 417 and access to the appellant’s land was severely restricted.  Motorists travelling on the new highway did not have direct access to the appellant’s truck stop and so it was effectively put out of business at that location.  The appellant brought a claim for damages for injurious affection before the Ontario Municipal Board under the </w:t>
      </w:r>
      <w:r w:rsidRPr="00BA5ECB">
        <w:rPr>
          <w:i/>
          <w:sz w:val="20"/>
        </w:rPr>
        <w:t>Expropriations Act</w:t>
      </w:r>
      <w:r w:rsidRPr="00BA5ECB">
        <w:rPr>
          <w:sz w:val="20"/>
        </w:rPr>
        <w:t xml:space="preserve"> and was awarded $58,000 for business loss and $335,000 for loss in market value of the land.  This decision was upheld on appeal to the Divisional Court.  The Court of Appeal set aside the Board’s decision, however, finding that its application of the law of private nuisance to the facts was unreasonable because it had failed to consider two factors in its reasonableness analysis and because it had failed to recognize the elevated importance of the utility of the respondent’s conduct where the interference was the product of an essential public service. </w:t>
      </w:r>
    </w:p>
    <w:p w:rsidR="00E92044" w:rsidRDefault="00E92044" w:rsidP="00E92044">
      <w:pPr>
        <w:pStyle w:val="SCCNormalDoubleSpacing"/>
        <w:spacing w:line="240" w:lineRule="auto"/>
        <w:rPr>
          <w:sz w:val="20"/>
        </w:rPr>
      </w:pPr>
    </w:p>
    <w:p w:rsidR="00E92044" w:rsidRPr="00BA5ECB" w:rsidRDefault="00E92044" w:rsidP="00E92044">
      <w:pPr>
        <w:pStyle w:val="SCCNormalDoubleSpacing"/>
        <w:spacing w:line="240" w:lineRule="auto"/>
        <w:rPr>
          <w:sz w:val="20"/>
        </w:rPr>
      </w:pPr>
      <w:r w:rsidRPr="00BA5ECB">
        <w:rPr>
          <w:sz w:val="20"/>
        </w:rPr>
        <w:tab/>
      </w:r>
      <w:r w:rsidRPr="00BA5ECB">
        <w:rPr>
          <w:i/>
          <w:sz w:val="20"/>
        </w:rPr>
        <w:t>Held</w:t>
      </w:r>
      <w:r w:rsidRPr="00BA5ECB">
        <w:rPr>
          <w:sz w:val="20"/>
        </w:rPr>
        <w:t>:  The appeal should be allowed.</w:t>
      </w:r>
    </w:p>
    <w:p w:rsidR="00E92044" w:rsidRDefault="00E92044" w:rsidP="00E92044">
      <w:pPr>
        <w:pStyle w:val="SCCNormalDoubleSpacing"/>
        <w:spacing w:line="240" w:lineRule="auto"/>
        <w:rPr>
          <w:sz w:val="20"/>
        </w:rPr>
      </w:pPr>
    </w:p>
    <w:p w:rsidR="00E92044" w:rsidRPr="00BA5ECB" w:rsidRDefault="00E92044" w:rsidP="00E92044">
      <w:pPr>
        <w:pStyle w:val="SCCNormalDoubleSpacing"/>
        <w:spacing w:line="240" w:lineRule="auto"/>
        <w:rPr>
          <w:sz w:val="20"/>
        </w:rPr>
      </w:pPr>
      <w:r w:rsidRPr="00BA5ECB">
        <w:rPr>
          <w:sz w:val="20"/>
        </w:rPr>
        <w:tab/>
        <w:t>The main question is how to decide whether an interference with the private use and enjoyment of land is unreasonable when it results from construction which serves an important public purpose.  The reasonableness of the interference must be determined by balancing the competing interests, as it is in all other cases of private nuisance.  The balance is appropriately struck by answering the question of whether, in all of the circumstances, the individual claimant has shouldered a greater share of the burden of construction than it would be reasonable to expect individuals to bear without compensation.  Here, the interference with the appellant’s land caused by the construction of the new highway inflicted significant and permanent loss.</w:t>
      </w:r>
    </w:p>
    <w:p w:rsidR="00E92044" w:rsidRDefault="00E92044" w:rsidP="00E92044">
      <w:pPr>
        <w:pStyle w:val="SCCNormalDoubleSpacing"/>
        <w:spacing w:line="240" w:lineRule="auto"/>
        <w:rPr>
          <w:sz w:val="20"/>
        </w:rPr>
      </w:pPr>
    </w:p>
    <w:p w:rsidR="00E92044" w:rsidRPr="00BA5ECB" w:rsidRDefault="00E92044" w:rsidP="00E92044">
      <w:pPr>
        <w:pStyle w:val="SCCNormalDoubleSpacing"/>
        <w:spacing w:line="240" w:lineRule="auto"/>
        <w:rPr>
          <w:sz w:val="20"/>
        </w:rPr>
      </w:pPr>
      <w:r w:rsidRPr="00BA5ECB">
        <w:rPr>
          <w:sz w:val="20"/>
        </w:rPr>
        <w:tab/>
        <w:t xml:space="preserve">The </w:t>
      </w:r>
      <w:r w:rsidRPr="00BA5ECB">
        <w:rPr>
          <w:i/>
          <w:sz w:val="20"/>
        </w:rPr>
        <w:t>Expropriations Act</w:t>
      </w:r>
      <w:r w:rsidRPr="00BA5ECB">
        <w:rPr>
          <w:sz w:val="20"/>
        </w:rPr>
        <w:t xml:space="preserve"> provides a right to compensation for injurious affection, which occurs when the defendant’s activities interfere with the claimant’s occupation or enjoyment of land, if the claimant can meet three requirements:  (i) the damage must result from action taken under statutory authority; (ii) the action would give rise to liability but for that statutory authority; and (iii) the damage must result from the construction and not the use of the works.  In this case, the only unresolved question is whether, if the highway construction had not been done under statutory authority, the appellant could have successfully sued for damages caused by the construction under the law of private nuisance.  </w:t>
      </w:r>
    </w:p>
    <w:p w:rsidR="00E92044" w:rsidRDefault="00E92044" w:rsidP="00E92044">
      <w:pPr>
        <w:pStyle w:val="SCCNormalDoubleSpacing"/>
        <w:spacing w:line="240" w:lineRule="auto"/>
        <w:rPr>
          <w:sz w:val="20"/>
        </w:rPr>
      </w:pPr>
    </w:p>
    <w:p w:rsidR="00E92044" w:rsidRPr="00BA5ECB" w:rsidRDefault="00E92044" w:rsidP="00E92044">
      <w:pPr>
        <w:pStyle w:val="SCCNormalDoubleSpacing"/>
        <w:spacing w:line="240" w:lineRule="auto"/>
        <w:rPr>
          <w:sz w:val="20"/>
        </w:rPr>
      </w:pPr>
      <w:r w:rsidRPr="00BA5ECB">
        <w:rPr>
          <w:sz w:val="20"/>
        </w:rPr>
        <w:tab/>
        <w:t>Nuisance consists of an interference with the claimant’s occupation or enjoyment of land that is both substantial and unreasonable.  A substantial interference is one that is non</w:t>
      </w:r>
      <w:r w:rsidRPr="00BA5ECB">
        <w:rPr>
          <w:sz w:val="20"/>
        </w:rPr>
        <w:noBreakHyphen/>
        <w:t>trivial, amounting to more than a slight annoyance or trifling interference.  This threshold screens out weak claims and once met, the next inquiry is whether the non</w:t>
      </w:r>
      <w:r w:rsidRPr="00BA5ECB">
        <w:rPr>
          <w:sz w:val="20"/>
        </w:rPr>
        <w:noBreakHyphen/>
        <w:t xml:space="preserve">trivial interference was also unreasonable in all of the circumstances to justify compensation.  </w:t>
      </w:r>
    </w:p>
    <w:p w:rsidR="00E92044" w:rsidRDefault="00E92044" w:rsidP="00E92044">
      <w:pPr>
        <w:pStyle w:val="SCCNormalDoubleSpacing"/>
        <w:spacing w:line="240" w:lineRule="auto"/>
        <w:rPr>
          <w:sz w:val="20"/>
        </w:rPr>
      </w:pPr>
    </w:p>
    <w:p w:rsidR="00E92044" w:rsidRPr="00BA5ECB" w:rsidRDefault="00E92044" w:rsidP="00E92044">
      <w:pPr>
        <w:pStyle w:val="SCCNormalDoubleSpacing"/>
        <w:spacing w:line="240" w:lineRule="auto"/>
        <w:rPr>
          <w:sz w:val="20"/>
        </w:rPr>
      </w:pPr>
      <w:r w:rsidRPr="00BA5ECB">
        <w:rPr>
          <w:sz w:val="20"/>
        </w:rPr>
        <w:tab/>
        <w:t>When assessing unreasonableness where the activity causing the interference is carried out by a public authority for the greater public good, courts and tribunals are not limited by any specific list of factors.  Rather, the focus of the balancing exercise is on whether the interference is such that it would be unreasonable in all of the circumstances to require the claimant to suffer it without compensation.  Generally, the focus in nuisance is on whether the</w:t>
      </w:r>
      <w:r w:rsidRPr="00BA5ECB">
        <w:rPr>
          <w:i/>
          <w:sz w:val="20"/>
        </w:rPr>
        <w:t xml:space="preserve"> interference suffered by the claimant</w:t>
      </w:r>
      <w:r w:rsidRPr="00BA5ECB">
        <w:rPr>
          <w:sz w:val="20"/>
        </w:rPr>
        <w:t xml:space="preserve"> is unreasonable, not on whether</w:t>
      </w:r>
      <w:r w:rsidRPr="00BA5ECB">
        <w:rPr>
          <w:i/>
          <w:sz w:val="20"/>
        </w:rPr>
        <w:t xml:space="preserve"> the nature of the defendant’s conduct</w:t>
      </w:r>
      <w:r w:rsidRPr="00BA5ECB">
        <w:rPr>
          <w:sz w:val="20"/>
        </w:rPr>
        <w:t xml:space="preserve"> is unreasonable.  The nature of the defendant’s conduct is not, however, an irrelevant consideration.  Generally speaking, the acts of a public authority will be of significant utility.  If simply put in the balance with the private interest, public utility will generally outweigh even very significant interferences with the claimant’s land, undercutting the purpose of providing compensation for injurious affection.  The distinction is thus between interferences that constitute the “give and take” expected of everyone and interferences that impose a disproportionate burden on individuals.  The reasonableness analysis should favour the public authority where the harm to property interests, considered in light of its severity, the nature of the neighbourhood, its duration, the sensitivity of the plaintiff and other relevant factors, is such that the harm cannot reasonably be viewed as more than the claimant’s fair share of the costs associated with providing a public benefit. </w:t>
      </w:r>
    </w:p>
    <w:p w:rsidR="00E92044" w:rsidRDefault="00E92044" w:rsidP="00E92044">
      <w:pPr>
        <w:pStyle w:val="SCCNormalDoubleSpacing"/>
        <w:spacing w:line="240" w:lineRule="auto"/>
        <w:rPr>
          <w:sz w:val="20"/>
        </w:rPr>
      </w:pPr>
    </w:p>
    <w:p w:rsidR="00E92044" w:rsidRPr="00BA5ECB" w:rsidRDefault="00E92044" w:rsidP="00E92044">
      <w:pPr>
        <w:pStyle w:val="SCCNormalDoubleSpacing"/>
        <w:spacing w:line="240" w:lineRule="auto"/>
        <w:rPr>
          <w:sz w:val="20"/>
        </w:rPr>
      </w:pPr>
      <w:r w:rsidRPr="00BA5ECB">
        <w:rPr>
          <w:sz w:val="20"/>
        </w:rPr>
        <w:tab/>
        <w:t>Further, the reasonableness inquiry should not be short</w:t>
      </w:r>
      <w:r w:rsidRPr="00BA5ECB">
        <w:rPr>
          <w:sz w:val="20"/>
        </w:rPr>
        <w:noBreakHyphen/>
        <w:t>circuited on the basis that the interference is physical or material as opposed to a loss of amenities or is self</w:t>
      </w:r>
      <w:r w:rsidRPr="00BA5ECB">
        <w:rPr>
          <w:sz w:val="20"/>
        </w:rPr>
        <w:noBreakHyphen/>
        <w:t>evidently unreasonable.  Once a claimant passes the threshold test of showing harm that is substantial in the sense that it is non</w:t>
      </w:r>
      <w:r w:rsidRPr="00BA5ECB">
        <w:rPr>
          <w:sz w:val="20"/>
        </w:rPr>
        <w:noBreakHyphen/>
        <w:t>trivial, there ought to be an inquiry into whether the interference is unreasonable, regardless of the type of harm involved.</w:t>
      </w:r>
    </w:p>
    <w:p w:rsidR="00E92044" w:rsidRDefault="00E92044" w:rsidP="00E92044">
      <w:pPr>
        <w:pStyle w:val="SCCNormalDoubleSpacing"/>
        <w:spacing w:line="240" w:lineRule="auto"/>
        <w:rPr>
          <w:sz w:val="20"/>
        </w:rPr>
      </w:pPr>
    </w:p>
    <w:p w:rsidR="00E92044" w:rsidRDefault="00E92044" w:rsidP="00E92044">
      <w:pPr>
        <w:pStyle w:val="SCCNormalDoubleSpacing"/>
        <w:spacing w:line="240" w:lineRule="auto"/>
        <w:rPr>
          <w:sz w:val="20"/>
        </w:rPr>
      </w:pPr>
      <w:r w:rsidRPr="00BA5ECB">
        <w:rPr>
          <w:sz w:val="20"/>
        </w:rPr>
        <w:tab/>
        <w:t>The Court of Appeal erred in finding that the Board’s application of the law of nuisance to the facts was unreasonable.  Provided that the Board reasonably carried out the analysis in substance, it was not required to specifically enumerate and refer by name to every factor mentioned in the case law.  It did not fail to take account of the utility of the respondent’s activity or fail to engage in the required balancing as the Court of Appeal concluded it had.  It was reasonable for the Board to conclude that in all of the circumstances, the appellant should not be expected to endure permanent interference with the use of its land that caused a significant diminution of its market value in order to serve the greater public good.</w:t>
      </w:r>
    </w:p>
    <w:p w:rsidR="00E92044" w:rsidRDefault="00E92044" w:rsidP="00E92044">
      <w:pPr>
        <w:pStyle w:val="SCCNormalDoubleSpacing"/>
        <w:spacing w:line="240" w:lineRule="auto"/>
        <w:rPr>
          <w:sz w:val="20"/>
        </w:rPr>
      </w:pPr>
    </w:p>
    <w:p w:rsidR="00E92044" w:rsidRPr="00BA5ECB" w:rsidRDefault="00E92044" w:rsidP="00E92044">
      <w:pPr>
        <w:pStyle w:val="SCCNormalDoubleSpacing"/>
        <w:spacing w:line="240" w:lineRule="auto"/>
        <w:rPr>
          <w:sz w:val="20"/>
        </w:rPr>
      </w:pPr>
      <w:r w:rsidRPr="00BA5ECB">
        <w:rPr>
          <w:sz w:val="20"/>
        </w:rPr>
        <w:tab/>
        <w:t>APPEAL from a judgment of the Ontario Court of Appeal (Doherty, Watt and Epstein JJ.A.), 2011 ONCA 419, 106 O.R. (3d) 81, 281 O.A.C. 150, 332 D.L.R. (4th) 641, 6 R.P.R. (5th) 1, 104 L.C.R. 1, 85 C.C.L.T. (3d) 51, [2011] O.J. No. 2451 (QL), 2011 CarswellOnt 4064, setting aside a decision of Wilson, Hill and Lax JJ., 2010 ONSC 304, 100 O.R. (3d) 425, 258 O.A.C. 1, 318 D.L.R. (4th) 229, 91 R.P.R. (4th) 41, 100 L.C.R. 32, [2010] O.J. No. 156 (QL), 2010 CarswellOnt 162, affirming a decision of the Ontario Municipal Board (2009), 96 L.C.R. 100, [2009] O.M.B.D. No. 1 (QL), 2009 CarswellOnt 290.  Appeal allowed.</w:t>
      </w:r>
    </w:p>
    <w:p w:rsidR="00E92044" w:rsidRDefault="00E92044" w:rsidP="00E92044">
      <w:pPr>
        <w:pStyle w:val="SCCNormalDoubleSpacing"/>
        <w:spacing w:line="240" w:lineRule="auto"/>
        <w:rPr>
          <w:i/>
          <w:sz w:val="20"/>
        </w:rPr>
      </w:pPr>
    </w:p>
    <w:p w:rsidR="00E92044" w:rsidRPr="00BA5ECB" w:rsidRDefault="00E92044" w:rsidP="00E92044">
      <w:pPr>
        <w:pStyle w:val="SCCNormalDoubleSpacing"/>
        <w:spacing w:line="240" w:lineRule="auto"/>
        <w:rPr>
          <w:sz w:val="20"/>
        </w:rPr>
      </w:pPr>
      <w:r w:rsidRPr="00BA5ECB">
        <w:rPr>
          <w:i/>
          <w:sz w:val="20"/>
        </w:rPr>
        <w:tab/>
        <w:t>Shane Rayman</w:t>
      </w:r>
      <w:r w:rsidRPr="00BA5ECB">
        <w:rPr>
          <w:sz w:val="20"/>
        </w:rPr>
        <w:t xml:space="preserve"> and </w:t>
      </w:r>
      <w:r w:rsidRPr="00BA5ECB">
        <w:rPr>
          <w:i/>
          <w:sz w:val="20"/>
        </w:rPr>
        <w:t>Greg Temelini</w:t>
      </w:r>
      <w:r w:rsidRPr="00BA5ECB">
        <w:rPr>
          <w:sz w:val="20"/>
        </w:rPr>
        <w:t>, for the appellant.</w:t>
      </w:r>
    </w:p>
    <w:p w:rsidR="00E92044" w:rsidRDefault="00E92044" w:rsidP="00E92044">
      <w:pPr>
        <w:pStyle w:val="SCCNormalDoubleSpacing"/>
        <w:spacing w:line="240" w:lineRule="auto"/>
        <w:rPr>
          <w:i/>
          <w:sz w:val="20"/>
        </w:rPr>
      </w:pPr>
    </w:p>
    <w:p w:rsidR="00E92044" w:rsidRPr="00BA5ECB" w:rsidRDefault="00E92044" w:rsidP="00E92044">
      <w:pPr>
        <w:pStyle w:val="SCCNormalDoubleSpacing"/>
        <w:spacing w:line="240" w:lineRule="auto"/>
        <w:rPr>
          <w:sz w:val="20"/>
        </w:rPr>
      </w:pPr>
      <w:r w:rsidRPr="00BA5ECB">
        <w:rPr>
          <w:i/>
          <w:sz w:val="20"/>
        </w:rPr>
        <w:tab/>
        <w:t>Leonard F. Marsello</w:t>
      </w:r>
      <w:r w:rsidRPr="00BA5ECB">
        <w:rPr>
          <w:sz w:val="20"/>
        </w:rPr>
        <w:t xml:space="preserve">, </w:t>
      </w:r>
      <w:r w:rsidRPr="00BA5ECB">
        <w:rPr>
          <w:i/>
          <w:sz w:val="20"/>
        </w:rPr>
        <w:t>Malliha Wilson</w:t>
      </w:r>
      <w:r w:rsidRPr="00BA5ECB">
        <w:rPr>
          <w:sz w:val="20"/>
        </w:rPr>
        <w:t xml:space="preserve">, </w:t>
      </w:r>
      <w:r w:rsidRPr="00BA5ECB">
        <w:rPr>
          <w:i/>
          <w:sz w:val="20"/>
        </w:rPr>
        <w:t>Shona L. Compton</w:t>
      </w:r>
      <w:r w:rsidRPr="00BA5ECB">
        <w:rPr>
          <w:sz w:val="20"/>
        </w:rPr>
        <w:t xml:space="preserve"> and </w:t>
      </w:r>
      <w:r w:rsidRPr="00BA5ECB">
        <w:rPr>
          <w:i/>
          <w:sz w:val="20"/>
        </w:rPr>
        <w:t>William R. MacLarkey</w:t>
      </w:r>
      <w:r w:rsidRPr="00BA5ECB">
        <w:rPr>
          <w:sz w:val="20"/>
        </w:rPr>
        <w:t>, for the respondent.</w:t>
      </w:r>
    </w:p>
    <w:p w:rsidR="00E92044" w:rsidRDefault="00E92044" w:rsidP="00E92044">
      <w:pPr>
        <w:pStyle w:val="SCCNormalDoubleSpacing"/>
        <w:spacing w:line="240" w:lineRule="auto"/>
        <w:rPr>
          <w:i/>
          <w:sz w:val="20"/>
        </w:rPr>
      </w:pPr>
    </w:p>
    <w:p w:rsidR="00E92044" w:rsidRPr="00BA5ECB" w:rsidRDefault="00E92044" w:rsidP="00E92044">
      <w:pPr>
        <w:pStyle w:val="SCCNormalDoubleSpacing"/>
        <w:spacing w:line="240" w:lineRule="auto"/>
        <w:rPr>
          <w:sz w:val="20"/>
        </w:rPr>
      </w:pPr>
      <w:r w:rsidRPr="00BA5ECB">
        <w:rPr>
          <w:i/>
          <w:sz w:val="20"/>
        </w:rPr>
        <w:tab/>
        <w:t>Matthew Taylor</w:t>
      </w:r>
      <w:r w:rsidRPr="00BA5ECB">
        <w:rPr>
          <w:sz w:val="20"/>
        </w:rPr>
        <w:t xml:space="preserve"> and </w:t>
      </w:r>
      <w:r w:rsidRPr="00BA5ECB">
        <w:rPr>
          <w:i/>
          <w:sz w:val="20"/>
        </w:rPr>
        <w:t>Jonathan Eades</w:t>
      </w:r>
      <w:r w:rsidRPr="00BA5ECB">
        <w:rPr>
          <w:sz w:val="20"/>
        </w:rPr>
        <w:t>, for the intervener the Attorney General of British Columbia.</w:t>
      </w:r>
    </w:p>
    <w:p w:rsidR="00E92044" w:rsidRDefault="00E92044" w:rsidP="00E92044">
      <w:pPr>
        <w:pStyle w:val="SCCNormalDoubleSpacing"/>
        <w:spacing w:line="240" w:lineRule="auto"/>
        <w:rPr>
          <w:i/>
          <w:sz w:val="20"/>
        </w:rPr>
      </w:pPr>
    </w:p>
    <w:p w:rsidR="00E92044" w:rsidRPr="00BA5ECB" w:rsidRDefault="00E92044" w:rsidP="00E92044">
      <w:pPr>
        <w:pStyle w:val="SCCNormalDoubleSpacing"/>
        <w:spacing w:line="240" w:lineRule="auto"/>
        <w:rPr>
          <w:sz w:val="20"/>
        </w:rPr>
      </w:pPr>
      <w:r w:rsidRPr="00BA5ECB">
        <w:rPr>
          <w:i/>
          <w:sz w:val="20"/>
        </w:rPr>
        <w:tab/>
        <w:t>Graham J. Rempe</w:t>
      </w:r>
      <w:r w:rsidRPr="00BA5ECB">
        <w:rPr>
          <w:sz w:val="20"/>
        </w:rPr>
        <w:t xml:space="preserve"> and </w:t>
      </w:r>
      <w:r w:rsidRPr="00BA5ECB">
        <w:rPr>
          <w:i/>
          <w:sz w:val="20"/>
        </w:rPr>
        <w:t>Matthew G. Longo</w:t>
      </w:r>
      <w:r w:rsidRPr="00BA5ECB">
        <w:rPr>
          <w:sz w:val="20"/>
        </w:rPr>
        <w:t>, for the intervener the City of Toronto.</w:t>
      </w:r>
    </w:p>
    <w:p w:rsidR="00E92044" w:rsidRDefault="00E92044" w:rsidP="00E92044">
      <w:pPr>
        <w:pStyle w:val="SCCNormalDoubleSpacing"/>
        <w:spacing w:line="240" w:lineRule="auto"/>
        <w:rPr>
          <w:i/>
          <w:sz w:val="20"/>
        </w:rPr>
      </w:pPr>
    </w:p>
    <w:p w:rsidR="00E92044" w:rsidRPr="00BA5ECB" w:rsidRDefault="00E92044" w:rsidP="00E92044">
      <w:pPr>
        <w:pStyle w:val="SCCNormalDoubleSpacing"/>
        <w:spacing w:line="240" w:lineRule="auto"/>
        <w:rPr>
          <w:sz w:val="20"/>
        </w:rPr>
      </w:pPr>
      <w:r w:rsidRPr="00BA5ECB">
        <w:rPr>
          <w:i/>
          <w:sz w:val="20"/>
        </w:rPr>
        <w:tab/>
        <w:t>Kathryn I. Chalmers</w:t>
      </w:r>
      <w:r w:rsidRPr="00BA5ECB">
        <w:rPr>
          <w:sz w:val="20"/>
        </w:rPr>
        <w:t xml:space="preserve"> and </w:t>
      </w:r>
      <w:r w:rsidRPr="00BA5ECB">
        <w:rPr>
          <w:i/>
          <w:sz w:val="20"/>
        </w:rPr>
        <w:t>Patrick G. Duffy</w:t>
      </w:r>
      <w:r w:rsidRPr="00BA5ECB">
        <w:rPr>
          <w:sz w:val="20"/>
        </w:rPr>
        <w:t>, for the intervener Metrolinx.</w:t>
      </w:r>
    </w:p>
    <w:p w:rsidR="00E92044" w:rsidRDefault="00E92044" w:rsidP="00E92044">
      <w:pPr>
        <w:pStyle w:val="SCCLawFirm"/>
        <w:spacing w:line="240" w:lineRule="auto"/>
        <w:rPr>
          <w:sz w:val="20"/>
        </w:rPr>
      </w:pPr>
    </w:p>
    <w:p w:rsidR="00E92044" w:rsidRPr="00BA5ECB" w:rsidRDefault="00E92044" w:rsidP="00E92044">
      <w:pPr>
        <w:pStyle w:val="SCCLawFirm"/>
        <w:spacing w:line="240" w:lineRule="auto"/>
        <w:rPr>
          <w:sz w:val="20"/>
        </w:rPr>
      </w:pPr>
      <w:r w:rsidRPr="00BA5ECB">
        <w:rPr>
          <w:sz w:val="20"/>
        </w:rPr>
        <w:tab/>
        <w:t>Solicitors for the appellant:  Rueter Scargall Bennett, Toronto.</w:t>
      </w:r>
    </w:p>
    <w:p w:rsidR="00E92044" w:rsidRDefault="00E92044" w:rsidP="00E92044">
      <w:pPr>
        <w:pStyle w:val="SCCLawFirm"/>
        <w:spacing w:line="240" w:lineRule="auto"/>
        <w:rPr>
          <w:sz w:val="20"/>
        </w:rPr>
      </w:pPr>
    </w:p>
    <w:p w:rsidR="00E92044" w:rsidRPr="00BA5ECB" w:rsidRDefault="00E92044" w:rsidP="00E92044">
      <w:pPr>
        <w:pStyle w:val="SCCLawFirm"/>
        <w:spacing w:line="240" w:lineRule="auto"/>
        <w:rPr>
          <w:sz w:val="20"/>
        </w:rPr>
      </w:pPr>
      <w:r w:rsidRPr="00BA5ECB">
        <w:rPr>
          <w:sz w:val="20"/>
        </w:rPr>
        <w:tab/>
        <w:t>Solicitor for the respondent:  Attorney General of Ontario, Toronto.</w:t>
      </w:r>
    </w:p>
    <w:p w:rsidR="00E92044" w:rsidRDefault="00E92044" w:rsidP="00E92044">
      <w:pPr>
        <w:pStyle w:val="SCCLawFirm"/>
        <w:spacing w:line="240" w:lineRule="auto"/>
        <w:rPr>
          <w:sz w:val="20"/>
        </w:rPr>
      </w:pPr>
    </w:p>
    <w:p w:rsidR="00E92044" w:rsidRPr="00BA5ECB" w:rsidRDefault="00E92044" w:rsidP="00E92044">
      <w:pPr>
        <w:pStyle w:val="SCCLawFirm"/>
        <w:spacing w:line="240" w:lineRule="auto"/>
        <w:rPr>
          <w:sz w:val="20"/>
        </w:rPr>
      </w:pPr>
      <w:r w:rsidRPr="00BA5ECB">
        <w:rPr>
          <w:sz w:val="20"/>
        </w:rPr>
        <w:tab/>
        <w:t>Solicitor for the intervener the Attorney General of British Columbia:  Attorney General of British Columbia, Vancouver.</w:t>
      </w:r>
    </w:p>
    <w:p w:rsidR="00E92044" w:rsidRDefault="00E92044" w:rsidP="00E92044">
      <w:pPr>
        <w:pStyle w:val="SCCLawFirm"/>
        <w:spacing w:line="240" w:lineRule="auto"/>
        <w:rPr>
          <w:sz w:val="20"/>
        </w:rPr>
      </w:pPr>
    </w:p>
    <w:p w:rsidR="00E92044" w:rsidRPr="00BA5ECB" w:rsidRDefault="00E92044" w:rsidP="00E92044">
      <w:pPr>
        <w:pStyle w:val="SCCLawFirm"/>
        <w:spacing w:line="240" w:lineRule="auto"/>
        <w:rPr>
          <w:sz w:val="20"/>
        </w:rPr>
      </w:pPr>
      <w:r w:rsidRPr="00BA5ECB">
        <w:rPr>
          <w:sz w:val="20"/>
        </w:rPr>
        <w:tab/>
        <w:t>Solicitor for the intervener the City of Toronto:  City of Toronto, Toronto.</w:t>
      </w:r>
    </w:p>
    <w:p w:rsidR="00E92044" w:rsidRDefault="00E92044" w:rsidP="00E92044">
      <w:pPr>
        <w:pStyle w:val="SCCLawFirm"/>
        <w:spacing w:line="240" w:lineRule="auto"/>
        <w:rPr>
          <w:sz w:val="20"/>
        </w:rPr>
      </w:pPr>
    </w:p>
    <w:p w:rsidR="00E92044" w:rsidRDefault="00E92044" w:rsidP="00E92044">
      <w:pPr>
        <w:pStyle w:val="SCCLawFirm"/>
        <w:spacing w:line="240" w:lineRule="auto"/>
        <w:rPr>
          <w:sz w:val="20"/>
        </w:rPr>
      </w:pPr>
      <w:r w:rsidRPr="00BA5ECB">
        <w:rPr>
          <w:sz w:val="20"/>
        </w:rPr>
        <w:lastRenderedPageBreak/>
        <w:tab/>
        <w:t>Solicitors for the intervener Metrolinx:  Stikeman Elliott,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E92044" w:rsidRPr="00DE3F16" w:rsidRDefault="00E92044" w:rsidP="00E92044">
      <w:pPr>
        <w:jc w:val="both"/>
        <w:rPr>
          <w:sz w:val="20"/>
          <w:szCs w:val="20"/>
          <w:lang w:val="fr-CA"/>
        </w:rPr>
      </w:pPr>
      <w:r w:rsidRPr="00DE3F16">
        <w:rPr>
          <w:sz w:val="20"/>
          <w:szCs w:val="20"/>
          <w:lang w:val="fr-CA"/>
        </w:rPr>
        <w:t>Présents : La juge en chef McLachlin et les juges LeBel, Fish, Abella, Rothstein, Cromwell, Moldaver, Karakatsanis et Wagner.</w:t>
      </w:r>
    </w:p>
    <w:p w:rsidR="00E92044" w:rsidRDefault="00E92044" w:rsidP="00E92044">
      <w:pPr>
        <w:jc w:val="both"/>
        <w:rPr>
          <w:smallCaps/>
          <w:sz w:val="20"/>
          <w:lang w:val="fr-CA"/>
        </w:rPr>
      </w:pPr>
    </w:p>
    <w:p w:rsidR="00E92044" w:rsidRPr="00DE3F16" w:rsidRDefault="00E92044" w:rsidP="00E92044">
      <w:pPr>
        <w:pStyle w:val="SCCNormalDoubleSpacing"/>
        <w:spacing w:line="240" w:lineRule="auto"/>
        <w:rPr>
          <w:sz w:val="20"/>
          <w:lang w:val="fr-CA"/>
        </w:rPr>
      </w:pPr>
      <w:r w:rsidRPr="00DE3F16">
        <w:rPr>
          <w:sz w:val="20"/>
          <w:lang w:val="fr-CA"/>
        </w:rPr>
        <w:tab/>
      </w:r>
      <w:r w:rsidRPr="00DE3F16">
        <w:rPr>
          <w:i/>
          <w:sz w:val="20"/>
          <w:lang w:val="fr-CA"/>
        </w:rPr>
        <w:t>Expropriation — Effet préjudiciable — Nuisance — Indemnisation — Indemnisation — Achalandage du relais routier de l’appelante détourné par la construction d’une autoroute — Commission des affaires municipales de l’Ontario accordant à l’appelante une indemnisation pour effet préjudiciable pour perte commerciale et diminution de la valeur marchande du bien</w:t>
      </w:r>
      <w:r w:rsidRPr="00DE3F16">
        <w:rPr>
          <w:i/>
          <w:sz w:val="20"/>
          <w:lang w:val="fr-CA"/>
        </w:rPr>
        <w:noBreakHyphen/>
        <w:t>fonds — Demande rejetée par la Cour d’appel parce que la Commission n’a pas mis correctement en balance les droits opposés — L’atteinte à la jouissance privée du bien</w:t>
      </w:r>
      <w:r w:rsidRPr="00DE3F16">
        <w:rPr>
          <w:i/>
          <w:sz w:val="20"/>
          <w:lang w:val="fr-CA"/>
        </w:rPr>
        <w:noBreakHyphen/>
        <w:t>fonds est</w:t>
      </w:r>
      <w:r w:rsidRPr="00DE3F16">
        <w:rPr>
          <w:i/>
          <w:sz w:val="20"/>
          <w:lang w:val="fr-CA"/>
        </w:rPr>
        <w:noBreakHyphen/>
        <w:t>elle déraisonnable si elle résulte de la construction d’un ouvrage répondant à un objectif public important? — La Cour d’appel a</w:t>
      </w:r>
      <w:r w:rsidRPr="00DE3F16">
        <w:rPr>
          <w:i/>
          <w:sz w:val="20"/>
          <w:lang w:val="fr-CA"/>
        </w:rPr>
        <w:noBreakHyphen/>
        <w:t>t</w:t>
      </w:r>
      <w:r w:rsidRPr="00DE3F16">
        <w:rPr>
          <w:i/>
          <w:sz w:val="20"/>
          <w:lang w:val="fr-CA"/>
        </w:rPr>
        <w:noBreakHyphen/>
        <w:t>elle commis une erreur en concluant que l’application, par la Commission, du droit relatif à la nuisance était déraisonnable? — Loi sur l’expropriation, L.R.O. 1990, ch. E.26.</w:t>
      </w:r>
    </w:p>
    <w:p w:rsidR="00E92044" w:rsidRDefault="00E92044" w:rsidP="00E92044">
      <w:pPr>
        <w:pStyle w:val="SCCNormalDoubleSpacing"/>
        <w:spacing w:line="240" w:lineRule="auto"/>
        <w:rPr>
          <w:sz w:val="20"/>
          <w:lang w:val="fr-CA"/>
        </w:rPr>
      </w:pPr>
    </w:p>
    <w:p w:rsidR="00E92044" w:rsidRPr="00DE3F16" w:rsidRDefault="00E92044" w:rsidP="00E92044">
      <w:pPr>
        <w:pStyle w:val="SCCNormalDoubleSpacing"/>
        <w:spacing w:line="240" w:lineRule="auto"/>
        <w:rPr>
          <w:sz w:val="20"/>
          <w:lang w:val="fr-CA"/>
        </w:rPr>
      </w:pPr>
      <w:r w:rsidRPr="00DE3F16">
        <w:rPr>
          <w:sz w:val="20"/>
          <w:lang w:val="fr-CA"/>
        </w:rPr>
        <w:tab/>
        <w:t>De 1978 à 2004, l’appelante était propriétaire d’un bien</w:t>
      </w:r>
      <w:r w:rsidRPr="00DE3F16">
        <w:rPr>
          <w:sz w:val="20"/>
          <w:lang w:val="fr-CA"/>
        </w:rPr>
        <w:noBreakHyphen/>
        <w:t>fonds sur la route 17 près du hameau d’Antrim où elle exploitait un relais routier qui comprenait notamment un restaurant et un poste d’essence et bénéficiait d’une clientèle de conducteurs circulant sur cette route.  En septembre 2004, l’intimée a ouvert un nouveau tronçon de l’autoroute 417 parallèle à la route 17 à proximité de la propriété de l’appelante.  La construction de l’autoroute 417 a modifié de façon importante la route 17 et l’accès au bien</w:t>
      </w:r>
      <w:r w:rsidRPr="00DE3F16">
        <w:rPr>
          <w:sz w:val="20"/>
          <w:lang w:val="fr-CA"/>
        </w:rPr>
        <w:noBreakHyphen/>
        <w:t xml:space="preserve">fonds de l’appelante a été considérablement restreint.  Les automobilistes circulant sur le nouveau tronçon de l’autoroute n’ont plus directement accès au relais routier de l’appelante, ce qui a obligé cette dernière à fermer son relais routier à cet endroit.  L’appelante a présenté à la Commission des affaires municipales de l’Ontario une demande d’indemnité pour effet préjudiciable sous le régime de la </w:t>
      </w:r>
      <w:r w:rsidRPr="00DE3F16">
        <w:rPr>
          <w:i/>
          <w:sz w:val="20"/>
          <w:lang w:val="fr-CA"/>
        </w:rPr>
        <w:t>Loi sur l’expropriation</w:t>
      </w:r>
      <w:r w:rsidRPr="00DE3F16">
        <w:rPr>
          <w:sz w:val="20"/>
          <w:lang w:val="fr-CA"/>
        </w:rPr>
        <w:t xml:space="preserve"> et s’est vue accorder 58 000 $ pour perte commerciale et 335 000 $ pour perte de la valeur marchande du bien</w:t>
      </w:r>
      <w:r w:rsidRPr="00DE3F16">
        <w:rPr>
          <w:sz w:val="20"/>
          <w:lang w:val="fr-CA"/>
        </w:rPr>
        <w:noBreakHyphen/>
        <w:t>fonds.  Cette décision a été confirmée en appel devant la Cour divisionnaire.  La Cour d’appel a cependant annulé la décision de la Commission et a conclu que celle</w:t>
      </w:r>
      <w:r w:rsidRPr="00DE3F16">
        <w:rPr>
          <w:sz w:val="20"/>
          <w:lang w:val="fr-CA"/>
        </w:rPr>
        <w:noBreakHyphen/>
        <w:t>ci avait appliqué de façon déraisonnable aux faits le droit relatif à la nuisance privée parce qu’elle n’avait pas examiné deux facteurs dans son analyse du caractère raisonnable de l’atteinte et parce qu’elle n’avait n’a pas reconnu l’importance accrue de l’utilité de la conduite de la défenderesse alors que l’atteinte était le produit d’un service public essentiel.</w:t>
      </w:r>
    </w:p>
    <w:p w:rsidR="00E92044" w:rsidRDefault="00E92044" w:rsidP="00E92044">
      <w:pPr>
        <w:pStyle w:val="SCCNormalDoubleSpacing"/>
        <w:spacing w:line="240" w:lineRule="auto"/>
        <w:rPr>
          <w:sz w:val="20"/>
          <w:lang w:val="fr-CA"/>
        </w:rPr>
      </w:pPr>
    </w:p>
    <w:p w:rsidR="00E92044" w:rsidRPr="00DE3F16" w:rsidRDefault="00E92044" w:rsidP="00E92044">
      <w:pPr>
        <w:pStyle w:val="SCCNormalDoubleSpacing"/>
        <w:spacing w:line="240" w:lineRule="auto"/>
        <w:rPr>
          <w:sz w:val="20"/>
          <w:lang w:val="fr-CA"/>
        </w:rPr>
      </w:pPr>
      <w:r w:rsidRPr="00DE3F16">
        <w:rPr>
          <w:sz w:val="20"/>
          <w:lang w:val="fr-CA"/>
        </w:rPr>
        <w:tab/>
      </w:r>
      <w:r w:rsidRPr="00DE3F16">
        <w:rPr>
          <w:i/>
          <w:sz w:val="20"/>
          <w:lang w:val="fr-CA"/>
        </w:rPr>
        <w:t>Arrêt</w:t>
      </w:r>
      <w:r w:rsidRPr="00DE3F16">
        <w:rPr>
          <w:sz w:val="20"/>
          <w:lang w:val="fr-CA"/>
        </w:rPr>
        <w:t> : Le pourvoi est accueilli</w:t>
      </w:r>
    </w:p>
    <w:p w:rsidR="00E92044" w:rsidRDefault="00E92044" w:rsidP="00E92044">
      <w:pPr>
        <w:pStyle w:val="SCCNormalDoubleSpacing"/>
        <w:spacing w:line="240" w:lineRule="auto"/>
        <w:rPr>
          <w:sz w:val="20"/>
          <w:lang w:val="fr-CA"/>
        </w:rPr>
      </w:pPr>
    </w:p>
    <w:p w:rsidR="00E92044" w:rsidRPr="00DE3F16" w:rsidRDefault="00E92044" w:rsidP="00E92044">
      <w:pPr>
        <w:pStyle w:val="SCCNormalDoubleSpacing"/>
        <w:spacing w:line="240" w:lineRule="auto"/>
        <w:rPr>
          <w:sz w:val="20"/>
          <w:lang w:val="fr-CA"/>
        </w:rPr>
      </w:pPr>
      <w:r w:rsidRPr="00DE3F16">
        <w:rPr>
          <w:sz w:val="20"/>
          <w:lang w:val="fr-CA"/>
        </w:rPr>
        <w:tab/>
        <w:t>La question principale est de savoir comment décider si une atteinte à l’utilisation et à la jouissance privées d’un bien</w:t>
      </w:r>
      <w:r w:rsidRPr="00DE3F16">
        <w:rPr>
          <w:sz w:val="20"/>
          <w:lang w:val="fr-CA"/>
        </w:rPr>
        <w:noBreakHyphen/>
        <w:t>fonds est déraisonnable lorsqu’elle découle d’une construction qui répond à un objectif public important.  Le caractère raisonnable de l’atteinte doit être déterminé par la mise en balance des intérêts opposés, comme il convient de le faire dans tous les autres cas de nuisance privée.  Un juste équilibre est établi par la réponse à la question de savoir si, au vu de l’ensemble des circonstances, le demandeur a assumé une plus lourde part du fardeau de la construction que ce qu’un individu pourrait raisonnablement s’attendre à supporter sans indemnité.  En l’espèce, l’entrave au bien</w:t>
      </w:r>
      <w:r w:rsidRPr="00DE3F16">
        <w:rPr>
          <w:sz w:val="20"/>
          <w:lang w:val="fr-CA"/>
        </w:rPr>
        <w:noBreakHyphen/>
        <w:t xml:space="preserve">fonds de l’appelante causée par la construction de la nouvelle autoroute lui a fait subir une perte importante et permanente.  </w:t>
      </w:r>
    </w:p>
    <w:p w:rsidR="00E92044" w:rsidRDefault="00E92044" w:rsidP="00E92044">
      <w:pPr>
        <w:pStyle w:val="SCCNormalDoubleSpacing"/>
        <w:spacing w:line="240" w:lineRule="auto"/>
        <w:rPr>
          <w:sz w:val="20"/>
          <w:lang w:val="fr-CA"/>
        </w:rPr>
      </w:pPr>
    </w:p>
    <w:p w:rsidR="00E92044" w:rsidRPr="00DE3F16" w:rsidRDefault="00E92044" w:rsidP="00E92044">
      <w:pPr>
        <w:pStyle w:val="SCCNormalDoubleSpacing"/>
        <w:spacing w:line="240" w:lineRule="auto"/>
        <w:rPr>
          <w:sz w:val="20"/>
          <w:lang w:val="fr-CA"/>
        </w:rPr>
      </w:pPr>
      <w:r w:rsidRPr="00DE3F16">
        <w:rPr>
          <w:sz w:val="20"/>
          <w:lang w:val="fr-CA"/>
        </w:rPr>
        <w:tab/>
        <w:t xml:space="preserve">La </w:t>
      </w:r>
      <w:r w:rsidRPr="00DE3F16">
        <w:rPr>
          <w:i/>
          <w:sz w:val="20"/>
          <w:lang w:val="fr-CA"/>
        </w:rPr>
        <w:t>Loi sur l’expropriation</w:t>
      </w:r>
      <w:r w:rsidRPr="00DE3F16">
        <w:rPr>
          <w:sz w:val="20"/>
          <w:lang w:val="fr-CA"/>
        </w:rPr>
        <w:t xml:space="preserve"> prévoit le droit à une indemnité pour l’effet préjudiciable qui survient lorsque les activités du défendeur portent atteinte à l’occupation ou à la jouissance du bien</w:t>
      </w:r>
      <w:r w:rsidRPr="00DE3F16">
        <w:rPr>
          <w:sz w:val="20"/>
          <w:lang w:val="fr-CA"/>
        </w:rPr>
        <w:noBreakHyphen/>
        <w:t>fonds par le demandeur, si ce dernier satisfait à trois exigences : (i) les dommages doivent résulter d’une mesure autorisée aux termes d’une loi; (ii) la mesure engagerait la responsabilité si elle n’était pas autorisée aux termes de cette loi; et (iii) les dommages doivent résulter de la construction et non de l’utilisation des ouvrages.  En l’espèce, la seule question non résolue est de savoir si l’appelante aurait pu, en vertu du droit relatif à la nuisance privée, obtenir des dommages</w:t>
      </w:r>
      <w:r w:rsidRPr="00DE3F16">
        <w:rPr>
          <w:sz w:val="20"/>
          <w:lang w:val="fr-CA"/>
        </w:rPr>
        <w:noBreakHyphen/>
        <w:t>intérêts si la construction de l’autoroute n’avait pas été effectuée aux termes d’une loi.</w:t>
      </w:r>
    </w:p>
    <w:p w:rsidR="00E92044" w:rsidRDefault="00E92044" w:rsidP="00E92044">
      <w:pPr>
        <w:pStyle w:val="SCCNormalDoubleSpacing"/>
        <w:spacing w:line="240" w:lineRule="auto"/>
        <w:rPr>
          <w:sz w:val="20"/>
          <w:lang w:val="fr-CA"/>
        </w:rPr>
      </w:pPr>
    </w:p>
    <w:p w:rsidR="00E92044" w:rsidRPr="00DE3F16" w:rsidRDefault="00E92044" w:rsidP="00E92044">
      <w:pPr>
        <w:pStyle w:val="SCCNormalDoubleSpacing"/>
        <w:spacing w:line="240" w:lineRule="auto"/>
        <w:rPr>
          <w:sz w:val="20"/>
          <w:lang w:val="fr-CA"/>
        </w:rPr>
      </w:pPr>
      <w:r w:rsidRPr="00DE3F16">
        <w:rPr>
          <w:sz w:val="20"/>
          <w:lang w:val="fr-CA"/>
        </w:rPr>
        <w:tab/>
        <w:t>La nuisance consiste en une atteinte à la fois substantielle et déraisonnable à l’occupation ou à la jouissance, par le demandeur, de son bien</w:t>
      </w:r>
      <w:r w:rsidRPr="00DE3F16">
        <w:rPr>
          <w:sz w:val="20"/>
          <w:lang w:val="fr-CA"/>
        </w:rPr>
        <w:noBreakHyphen/>
        <w:t xml:space="preserve">fonds.  Une atteinte substantielle est celle qui n’est pas négligeable et qui correspond à plus qu’une légère indisposition ou une entrave insignifiante.  Cette condition préliminaire permet d’écarter les demandes peu justifiées, et si elle est satisfaite, l’examen porte ensuite sur la question de savoir si l’atteinte non négligeable était également déraisonnable, compte tenu de l’ensemble des circonstances, pour justifier l’indemnisation.  </w:t>
      </w:r>
    </w:p>
    <w:p w:rsidR="00E92044" w:rsidRDefault="00E92044" w:rsidP="00E92044">
      <w:pPr>
        <w:pStyle w:val="SCCNormalDoubleSpacing"/>
        <w:spacing w:line="240" w:lineRule="auto"/>
        <w:rPr>
          <w:sz w:val="20"/>
          <w:lang w:val="fr-CA"/>
        </w:rPr>
      </w:pPr>
    </w:p>
    <w:p w:rsidR="00E92044" w:rsidRPr="00DE3F16" w:rsidRDefault="00E92044" w:rsidP="00E92044">
      <w:pPr>
        <w:pStyle w:val="SCCNormalDoubleSpacing"/>
        <w:spacing w:line="240" w:lineRule="auto"/>
        <w:rPr>
          <w:sz w:val="20"/>
          <w:lang w:val="fr-CA"/>
        </w:rPr>
      </w:pPr>
      <w:r w:rsidRPr="00DE3F16">
        <w:rPr>
          <w:sz w:val="20"/>
          <w:lang w:val="fr-CA"/>
        </w:rPr>
        <w:lastRenderedPageBreak/>
        <w:tab/>
        <w:t>Au moment d’examiner le caractère déraisonnable de l’atteinte lorsque l’activité qui la cause est exercée par une autorité publique en vue de servir l’intérêt supérieur du public, les cours de justice et les tribunaux administratifs ne sont pas tenus d’utiliser une liste précise de facteurs.  L’exercice de mise en balance est plutôt axé sur la question de savoir si l’atteinte est d’une telle gravité qu’il serait déraisonnable, compte tenu de l’ensemble des circonstances, d’exiger que le demandeur la subisse sans être indemnisé.  En général, il s’agit de déterminer, en matière de nuisance, si l’</w:t>
      </w:r>
      <w:r w:rsidRPr="00DE3F16">
        <w:rPr>
          <w:i/>
          <w:sz w:val="20"/>
          <w:lang w:val="fr-CA"/>
        </w:rPr>
        <w:t>atteinte subie par le demandeur</w:t>
      </w:r>
      <w:r w:rsidRPr="00DE3F16">
        <w:rPr>
          <w:sz w:val="20"/>
          <w:lang w:val="fr-CA"/>
        </w:rPr>
        <w:t xml:space="preserve"> est déraisonnable, et non si </w:t>
      </w:r>
      <w:r w:rsidRPr="00DE3F16">
        <w:rPr>
          <w:i/>
          <w:sz w:val="20"/>
          <w:lang w:val="fr-CA"/>
        </w:rPr>
        <w:t>la nature de la conduite du défendeur</w:t>
      </w:r>
      <w:r w:rsidRPr="00DE3F16">
        <w:rPr>
          <w:sz w:val="20"/>
          <w:lang w:val="fr-CA"/>
        </w:rPr>
        <w:t xml:space="preserve"> est déraisonnable.  La nature de la conduite du défendeur n’est toutefois pas dénuée de pertinence.  En règle générale, les actes d’une autorité publique sont très utiles.  Si l’utilité publique est simplement mise en balance avec l’intérêt privé, elle l’emportera généralement, même sur des atteintes très importantes au bien</w:t>
      </w:r>
      <w:r w:rsidRPr="00DE3F16">
        <w:rPr>
          <w:sz w:val="20"/>
          <w:lang w:val="fr-CA"/>
        </w:rPr>
        <w:noBreakHyphen/>
        <w:t xml:space="preserve">fonds du demandeur, contrecarrant l’objectif d’accorder une indemnité pour effet préjudiciable.  Il s’agit donc de distinguer entre les atteintes qui constituent les « concessions mutuelles » auxquelles on s’attend de tous et les atteintes qui imposent aux particuliers un fardeau disproportionné.  L’analyse du caractère raisonnable de l’atteinte devrait favoriser l’autorité publique si le préjudice causé à des droits de propriété — examiné en fonction de sa gravité, des particularités du voisinage, de sa durée, de la sensibilité du demandeur et d’autres facteurs pertinents — est tel qu’il ne peut être raisonnablement considéré comme étant plus grand que la juste part du demandeur dans les coûts associés à l’offre d’un bien public.  </w:t>
      </w:r>
    </w:p>
    <w:p w:rsidR="00E92044" w:rsidRDefault="00E92044" w:rsidP="00E92044">
      <w:pPr>
        <w:pStyle w:val="SCCNormalDoubleSpacing"/>
        <w:spacing w:line="240" w:lineRule="auto"/>
        <w:rPr>
          <w:sz w:val="20"/>
          <w:lang w:val="fr-CA"/>
        </w:rPr>
      </w:pPr>
    </w:p>
    <w:p w:rsidR="00E92044" w:rsidRPr="00DE3F16" w:rsidRDefault="00E92044" w:rsidP="00E92044">
      <w:pPr>
        <w:pStyle w:val="SCCNormalDoubleSpacing"/>
        <w:spacing w:line="240" w:lineRule="auto"/>
        <w:rPr>
          <w:sz w:val="20"/>
          <w:lang w:val="fr-CA"/>
        </w:rPr>
      </w:pPr>
      <w:r w:rsidRPr="00DE3F16">
        <w:rPr>
          <w:sz w:val="20"/>
          <w:lang w:val="fr-CA"/>
        </w:rPr>
        <w:tab/>
        <w:t>De plus, l’appréciation du caractère raisonnable de l’atteinte ne devrait pas être laissée de côté au motif qu’il s’agit d’une atteinte physique ou matérielle et non d’une perte d’agrément ou d’une atteinte considérée de toute évidence comme déraisonnable.  Dès lors que le demandeur a satisfait au critère suivant lequel il doit démontrer que le préjudice subi est substantiel, c’est</w:t>
      </w:r>
      <w:r w:rsidRPr="00DE3F16">
        <w:rPr>
          <w:sz w:val="20"/>
          <w:lang w:val="fr-CA"/>
        </w:rPr>
        <w:noBreakHyphen/>
        <w:t>à</w:t>
      </w:r>
      <w:r w:rsidRPr="00DE3F16">
        <w:rPr>
          <w:sz w:val="20"/>
          <w:lang w:val="fr-CA"/>
        </w:rPr>
        <w:noBreakHyphen/>
        <w:t>dire non négligeable, il faut déterminer si l’atteinte est déraisonnable, peu importe le type de préjudice en cause.</w:t>
      </w:r>
    </w:p>
    <w:p w:rsidR="00E92044" w:rsidRDefault="00E92044" w:rsidP="00E92044">
      <w:pPr>
        <w:pStyle w:val="SCCNormalDoubleSpacing"/>
        <w:spacing w:line="240" w:lineRule="auto"/>
        <w:rPr>
          <w:sz w:val="20"/>
          <w:lang w:val="fr-CA"/>
        </w:rPr>
      </w:pPr>
    </w:p>
    <w:p w:rsidR="00E92044" w:rsidRDefault="00E92044" w:rsidP="00E92044">
      <w:pPr>
        <w:pStyle w:val="SCCNormalDoubleSpacing"/>
        <w:spacing w:line="240" w:lineRule="auto"/>
        <w:rPr>
          <w:sz w:val="20"/>
          <w:lang w:val="fr-CA"/>
        </w:rPr>
      </w:pPr>
      <w:r w:rsidRPr="00DE3F16">
        <w:rPr>
          <w:sz w:val="20"/>
          <w:lang w:val="fr-CA"/>
        </w:rPr>
        <w:tab/>
        <w:t>La Cour d’appel a commis une erreur en concluant que la Commission avait appliqué de façon déraisonnable aux faits le droit relatif à la nuisance.  La Commission n’était pas tenue d’énumérer explicitement tous les facteurs énoncés dans la jurisprudence et d’y faire référence nommément, pourvu qu’elle ait, en substance, effectué l’analyse de façon raisonnable.  Elle n’a pas omis de prendre en compte l’utilité de l’activité de l’intimée ni d’effectuer l’exercice de mise en balance requis, comme l’a pourtant conclu la Cour d’appel.  La Commission pouvait raisonnablement conclure que, compte tenu de l’ensemble des circonstances, il ne fallait pas s’attendre à ce que l’appelante subisse en permanence une entrave à l’utilisation de son bien</w:t>
      </w:r>
      <w:r w:rsidRPr="00DE3F16">
        <w:rPr>
          <w:sz w:val="20"/>
          <w:lang w:val="fr-CA"/>
        </w:rPr>
        <w:noBreakHyphen/>
        <w:t>fonds qui en avait considérablement diminué la valeur marchande et ce, afin de servir l’intérêt supérieur du public.</w:t>
      </w:r>
    </w:p>
    <w:p w:rsidR="00E92044" w:rsidRDefault="00E92044" w:rsidP="00E92044">
      <w:pPr>
        <w:pStyle w:val="SCCNormalDoubleSpacing"/>
        <w:spacing w:line="240" w:lineRule="auto"/>
        <w:rPr>
          <w:sz w:val="20"/>
          <w:lang w:val="fr-CA"/>
        </w:rPr>
      </w:pPr>
    </w:p>
    <w:p w:rsidR="00E92044" w:rsidRPr="00DE3F16" w:rsidRDefault="00E92044" w:rsidP="00E92044">
      <w:pPr>
        <w:pStyle w:val="SCCNormalDoubleSpacing"/>
        <w:spacing w:line="240" w:lineRule="auto"/>
        <w:rPr>
          <w:sz w:val="20"/>
          <w:lang w:val="fr-CA"/>
        </w:rPr>
      </w:pPr>
      <w:r w:rsidRPr="00E92044">
        <w:rPr>
          <w:sz w:val="20"/>
          <w:lang w:val="fr-CA"/>
        </w:rPr>
        <w:tab/>
        <w:t xml:space="preserve">POURVOI contre un arrêt de la Cour d’appel de l’Ontario (les juges Doherty, Watt et Epstein), 2011 ONCA 419, 106 O.R. (3d) 81, 281 O.A.C. 150, 332 D.L.R. (4th) 641, 6 R.P.R. (5th) 1, 104 L.C.R. 1, 85 C.C.L.T. (3d) 51, [2011] O.J. No. 2451 (QL), 2011 CarswellOnt 4064, qui a infirmé une décision des juges Wilson, Hill et Lax, 2010 ONSC 304, 100 O.R. (3d) 425, 258 O.A.C. 1, 318 D.L.R. (4th) 229, 91 R.P.R. (4th) 41, 100 L.C.R. 32, [2010] O.J. No. 156 (QL), 2010 CarswellOnt 162, qui a confirmé une décision de la Commission des affaires municipales de l’Ontario (2009), 96 L.C.R. 100, [2009] O.M.B.D. No. 1 (QL), 2009 CarswellOnt 290.  </w:t>
      </w:r>
      <w:r w:rsidRPr="00DE3F16">
        <w:rPr>
          <w:sz w:val="20"/>
          <w:lang w:val="fr-CA"/>
        </w:rPr>
        <w:t>Pourvoi accueilli.</w:t>
      </w:r>
    </w:p>
    <w:p w:rsidR="00E92044" w:rsidRDefault="00E92044" w:rsidP="00E92044">
      <w:pPr>
        <w:pStyle w:val="SCCNormalDoubleSpacing"/>
        <w:spacing w:line="240" w:lineRule="auto"/>
        <w:rPr>
          <w:i/>
          <w:sz w:val="20"/>
          <w:lang w:val="fr-CA"/>
        </w:rPr>
      </w:pPr>
    </w:p>
    <w:p w:rsidR="00E92044" w:rsidRPr="00DE3F16" w:rsidRDefault="00E92044" w:rsidP="00E92044">
      <w:pPr>
        <w:pStyle w:val="SCCNormalDoubleSpacing"/>
        <w:spacing w:line="240" w:lineRule="auto"/>
        <w:rPr>
          <w:sz w:val="20"/>
          <w:lang w:val="fr-CA"/>
        </w:rPr>
      </w:pPr>
      <w:r w:rsidRPr="00DE3F16">
        <w:rPr>
          <w:i/>
          <w:sz w:val="20"/>
          <w:lang w:val="fr-CA"/>
        </w:rPr>
        <w:tab/>
        <w:t>Shane Rayman</w:t>
      </w:r>
      <w:r w:rsidRPr="00DE3F16">
        <w:rPr>
          <w:sz w:val="20"/>
          <w:lang w:val="fr-CA"/>
        </w:rPr>
        <w:t xml:space="preserve"> et </w:t>
      </w:r>
      <w:r w:rsidRPr="00DE3F16">
        <w:rPr>
          <w:i/>
          <w:sz w:val="20"/>
          <w:lang w:val="fr-CA"/>
        </w:rPr>
        <w:t>Greg Temelini</w:t>
      </w:r>
      <w:r w:rsidRPr="00DE3F16">
        <w:rPr>
          <w:sz w:val="20"/>
          <w:lang w:val="fr-CA"/>
        </w:rPr>
        <w:t>, pour l’appelante.</w:t>
      </w:r>
    </w:p>
    <w:p w:rsidR="00E92044" w:rsidRDefault="00E92044" w:rsidP="00E92044">
      <w:pPr>
        <w:pStyle w:val="SCCNormalDoubleSpacing"/>
        <w:spacing w:line="240" w:lineRule="auto"/>
        <w:rPr>
          <w:i/>
          <w:sz w:val="20"/>
          <w:lang w:val="fr-CA"/>
        </w:rPr>
      </w:pPr>
    </w:p>
    <w:p w:rsidR="00E92044" w:rsidRPr="00DE3F16" w:rsidRDefault="00E92044" w:rsidP="00E92044">
      <w:pPr>
        <w:pStyle w:val="SCCNormalDoubleSpacing"/>
        <w:spacing w:line="240" w:lineRule="auto"/>
        <w:rPr>
          <w:sz w:val="20"/>
          <w:lang w:val="fr-CA"/>
        </w:rPr>
      </w:pPr>
      <w:r w:rsidRPr="00DE3F16">
        <w:rPr>
          <w:i/>
          <w:sz w:val="20"/>
          <w:lang w:val="fr-CA"/>
        </w:rPr>
        <w:tab/>
        <w:t>Leonard F. Marsello</w:t>
      </w:r>
      <w:r w:rsidRPr="00DE3F16">
        <w:rPr>
          <w:sz w:val="20"/>
          <w:lang w:val="fr-CA"/>
        </w:rPr>
        <w:t xml:space="preserve">, </w:t>
      </w:r>
      <w:r w:rsidRPr="00DE3F16">
        <w:rPr>
          <w:i/>
          <w:sz w:val="20"/>
          <w:lang w:val="fr-CA"/>
        </w:rPr>
        <w:t>Malliha Wilson,</w:t>
      </w:r>
      <w:r w:rsidRPr="00DE3F16">
        <w:rPr>
          <w:sz w:val="20"/>
          <w:lang w:val="fr-CA"/>
        </w:rPr>
        <w:t xml:space="preserve"> </w:t>
      </w:r>
      <w:r w:rsidRPr="00DE3F16">
        <w:rPr>
          <w:i/>
          <w:sz w:val="20"/>
          <w:lang w:val="fr-CA"/>
        </w:rPr>
        <w:t>Shona L. Compton</w:t>
      </w:r>
      <w:r w:rsidRPr="00DE3F16">
        <w:rPr>
          <w:sz w:val="20"/>
          <w:lang w:val="fr-CA"/>
        </w:rPr>
        <w:t xml:space="preserve"> et </w:t>
      </w:r>
      <w:r w:rsidRPr="00DE3F16">
        <w:rPr>
          <w:i/>
          <w:sz w:val="20"/>
          <w:lang w:val="fr-CA"/>
        </w:rPr>
        <w:t xml:space="preserve">William R. MacLarkey, </w:t>
      </w:r>
      <w:r w:rsidRPr="00DE3F16">
        <w:rPr>
          <w:sz w:val="20"/>
          <w:lang w:val="fr-CA"/>
        </w:rPr>
        <w:t>pour l’intimée.</w:t>
      </w:r>
    </w:p>
    <w:p w:rsidR="00E92044" w:rsidRDefault="00E92044" w:rsidP="00E92044">
      <w:pPr>
        <w:pStyle w:val="SCCNormalDoubleSpacing"/>
        <w:spacing w:line="240" w:lineRule="auto"/>
        <w:rPr>
          <w:i/>
          <w:sz w:val="20"/>
          <w:lang w:val="fr-CA"/>
        </w:rPr>
      </w:pPr>
    </w:p>
    <w:p w:rsidR="00E92044" w:rsidRPr="00DE3F16" w:rsidRDefault="00E92044" w:rsidP="00E92044">
      <w:pPr>
        <w:pStyle w:val="SCCNormalDoubleSpacing"/>
        <w:spacing w:line="240" w:lineRule="auto"/>
        <w:rPr>
          <w:sz w:val="20"/>
          <w:lang w:val="fr-CA"/>
        </w:rPr>
      </w:pPr>
      <w:r w:rsidRPr="00DE3F16">
        <w:rPr>
          <w:i/>
          <w:sz w:val="20"/>
          <w:lang w:val="fr-CA"/>
        </w:rPr>
        <w:tab/>
        <w:t>Matthew Taylor</w:t>
      </w:r>
      <w:r w:rsidRPr="00DE3F16">
        <w:rPr>
          <w:sz w:val="20"/>
          <w:lang w:val="fr-CA"/>
        </w:rPr>
        <w:t xml:space="preserve"> et </w:t>
      </w:r>
      <w:r w:rsidRPr="00DE3F16">
        <w:rPr>
          <w:i/>
          <w:sz w:val="20"/>
          <w:lang w:val="fr-CA"/>
        </w:rPr>
        <w:t>Jonathan Eades</w:t>
      </w:r>
      <w:r w:rsidRPr="00DE3F16">
        <w:rPr>
          <w:sz w:val="20"/>
          <w:lang w:val="fr-CA"/>
        </w:rPr>
        <w:t>, pour l’intervenant le procureur général de la Colombie</w:t>
      </w:r>
      <w:r w:rsidRPr="00DE3F16">
        <w:rPr>
          <w:sz w:val="20"/>
          <w:lang w:val="fr-CA"/>
        </w:rPr>
        <w:noBreakHyphen/>
        <w:t>Britannique.</w:t>
      </w:r>
    </w:p>
    <w:p w:rsidR="00E92044" w:rsidRDefault="00E92044" w:rsidP="00E92044">
      <w:pPr>
        <w:pStyle w:val="SCCNormalDoubleSpacing"/>
        <w:spacing w:line="240" w:lineRule="auto"/>
        <w:rPr>
          <w:i/>
          <w:sz w:val="20"/>
          <w:lang w:val="fr-CA"/>
        </w:rPr>
      </w:pPr>
    </w:p>
    <w:p w:rsidR="00E92044" w:rsidRPr="00DE3F16" w:rsidRDefault="00E92044" w:rsidP="00E92044">
      <w:pPr>
        <w:pStyle w:val="SCCNormalDoubleSpacing"/>
        <w:spacing w:line="240" w:lineRule="auto"/>
        <w:rPr>
          <w:sz w:val="20"/>
          <w:lang w:val="fr-CA"/>
        </w:rPr>
      </w:pPr>
      <w:r w:rsidRPr="00DE3F16">
        <w:rPr>
          <w:i/>
          <w:sz w:val="20"/>
          <w:lang w:val="fr-CA"/>
        </w:rPr>
        <w:tab/>
        <w:t>Graham J. Rempe</w:t>
      </w:r>
      <w:r w:rsidRPr="00DE3F16">
        <w:rPr>
          <w:sz w:val="20"/>
          <w:lang w:val="fr-CA"/>
        </w:rPr>
        <w:t xml:space="preserve"> et </w:t>
      </w:r>
      <w:r w:rsidRPr="00DE3F16">
        <w:rPr>
          <w:i/>
          <w:sz w:val="20"/>
          <w:lang w:val="fr-CA"/>
        </w:rPr>
        <w:t>Matthew G. Longo</w:t>
      </w:r>
      <w:r w:rsidRPr="00DE3F16">
        <w:rPr>
          <w:sz w:val="20"/>
          <w:lang w:val="fr-CA"/>
        </w:rPr>
        <w:t>, pour l’intervenante la Ville de Toronto.</w:t>
      </w:r>
    </w:p>
    <w:p w:rsidR="00E92044" w:rsidRDefault="00E92044" w:rsidP="00E92044">
      <w:pPr>
        <w:pStyle w:val="SCCNormalDoubleSpacing"/>
        <w:spacing w:line="240" w:lineRule="auto"/>
        <w:rPr>
          <w:i/>
          <w:sz w:val="20"/>
          <w:lang w:val="fr-CA"/>
        </w:rPr>
      </w:pPr>
    </w:p>
    <w:p w:rsidR="00E92044" w:rsidRPr="00DE3F16" w:rsidRDefault="00E92044" w:rsidP="00E92044">
      <w:pPr>
        <w:pStyle w:val="SCCNormalDoubleSpacing"/>
        <w:spacing w:line="240" w:lineRule="auto"/>
        <w:rPr>
          <w:sz w:val="20"/>
          <w:lang w:val="fr-CA"/>
        </w:rPr>
      </w:pPr>
      <w:r w:rsidRPr="00DE3F16">
        <w:rPr>
          <w:i/>
          <w:sz w:val="20"/>
          <w:lang w:val="fr-CA"/>
        </w:rPr>
        <w:tab/>
        <w:t>Kathryn I. Chalmers</w:t>
      </w:r>
      <w:r w:rsidRPr="00DE3F16">
        <w:rPr>
          <w:sz w:val="20"/>
          <w:lang w:val="fr-CA"/>
        </w:rPr>
        <w:t xml:space="preserve"> et </w:t>
      </w:r>
      <w:r w:rsidRPr="00DE3F16">
        <w:rPr>
          <w:i/>
          <w:sz w:val="20"/>
          <w:lang w:val="fr-CA"/>
        </w:rPr>
        <w:t>Patrick G. Duffy</w:t>
      </w:r>
      <w:r w:rsidRPr="00DE3F16">
        <w:rPr>
          <w:sz w:val="20"/>
          <w:lang w:val="fr-CA"/>
        </w:rPr>
        <w:t>, pour l’intervenante Metrolinx.</w:t>
      </w:r>
    </w:p>
    <w:p w:rsidR="00E92044" w:rsidRDefault="00E92044" w:rsidP="00E92044">
      <w:pPr>
        <w:pStyle w:val="SCCLawFirm"/>
        <w:spacing w:line="240" w:lineRule="auto"/>
        <w:rPr>
          <w:sz w:val="20"/>
          <w:lang w:val="fr-CA"/>
        </w:rPr>
      </w:pPr>
    </w:p>
    <w:p w:rsidR="00E92044" w:rsidRPr="00DE3F16" w:rsidRDefault="00E92044" w:rsidP="00E92044">
      <w:pPr>
        <w:pStyle w:val="SCCLawFirm"/>
        <w:spacing w:line="240" w:lineRule="auto"/>
        <w:rPr>
          <w:sz w:val="20"/>
          <w:lang w:val="fr-CA"/>
        </w:rPr>
      </w:pPr>
      <w:r w:rsidRPr="00DE3F16">
        <w:rPr>
          <w:sz w:val="20"/>
          <w:lang w:val="fr-CA"/>
        </w:rPr>
        <w:tab/>
        <w:t>Procureurs de l’appelante : Rueter Scargall Bennett, Toronto.</w:t>
      </w:r>
    </w:p>
    <w:p w:rsidR="00E92044" w:rsidRDefault="00E92044" w:rsidP="00E92044">
      <w:pPr>
        <w:pStyle w:val="SCCLawFirm"/>
        <w:spacing w:line="240" w:lineRule="auto"/>
        <w:rPr>
          <w:sz w:val="20"/>
          <w:lang w:val="fr-CA"/>
        </w:rPr>
      </w:pPr>
    </w:p>
    <w:p w:rsidR="00E92044" w:rsidRPr="00DE3F16" w:rsidRDefault="00E92044" w:rsidP="00E92044">
      <w:pPr>
        <w:pStyle w:val="SCCLawFirm"/>
        <w:spacing w:line="240" w:lineRule="auto"/>
        <w:rPr>
          <w:sz w:val="20"/>
          <w:lang w:val="fr-CA"/>
        </w:rPr>
      </w:pPr>
      <w:r w:rsidRPr="00DE3F16">
        <w:rPr>
          <w:sz w:val="20"/>
          <w:lang w:val="fr-CA"/>
        </w:rPr>
        <w:tab/>
        <w:t>Procureur de l’intimée : Procureur général de l’Ontario, Toronto.</w:t>
      </w:r>
    </w:p>
    <w:p w:rsidR="00E92044" w:rsidRDefault="00E92044" w:rsidP="00E92044">
      <w:pPr>
        <w:pStyle w:val="SCCLawFirm"/>
        <w:spacing w:line="240" w:lineRule="auto"/>
        <w:rPr>
          <w:sz w:val="20"/>
          <w:lang w:val="fr-CA"/>
        </w:rPr>
      </w:pPr>
    </w:p>
    <w:p w:rsidR="00E92044" w:rsidRPr="00DE3F16" w:rsidRDefault="00E92044" w:rsidP="00E92044">
      <w:pPr>
        <w:pStyle w:val="SCCLawFirm"/>
        <w:spacing w:line="240" w:lineRule="auto"/>
        <w:rPr>
          <w:sz w:val="20"/>
          <w:lang w:val="fr-CA"/>
        </w:rPr>
      </w:pPr>
      <w:r w:rsidRPr="00DE3F16">
        <w:rPr>
          <w:sz w:val="20"/>
          <w:lang w:val="fr-CA"/>
        </w:rPr>
        <w:tab/>
        <w:t>Procureur de l’intervenant le procureur général de la Colombie</w:t>
      </w:r>
      <w:r w:rsidRPr="00DE3F16">
        <w:rPr>
          <w:sz w:val="20"/>
          <w:lang w:val="fr-CA"/>
        </w:rPr>
        <w:noBreakHyphen/>
        <w:t>Britannique : Procureur général de la Colombie</w:t>
      </w:r>
      <w:r w:rsidRPr="00DE3F16">
        <w:rPr>
          <w:sz w:val="20"/>
          <w:lang w:val="fr-CA"/>
        </w:rPr>
        <w:noBreakHyphen/>
        <w:t>Britannique, Vancouver.</w:t>
      </w:r>
    </w:p>
    <w:p w:rsidR="00E92044" w:rsidRDefault="00E92044" w:rsidP="00E92044">
      <w:pPr>
        <w:pStyle w:val="SCCLawFirm"/>
        <w:spacing w:line="240" w:lineRule="auto"/>
        <w:rPr>
          <w:sz w:val="20"/>
          <w:lang w:val="fr-CA"/>
        </w:rPr>
      </w:pPr>
    </w:p>
    <w:p w:rsidR="00E92044" w:rsidRPr="00DE3F16" w:rsidRDefault="00E92044" w:rsidP="00E92044">
      <w:pPr>
        <w:pStyle w:val="SCCLawFirm"/>
        <w:spacing w:line="240" w:lineRule="auto"/>
        <w:rPr>
          <w:sz w:val="20"/>
          <w:lang w:val="fr-CA"/>
        </w:rPr>
      </w:pPr>
      <w:r w:rsidRPr="00DE3F16">
        <w:rPr>
          <w:sz w:val="20"/>
          <w:lang w:val="fr-CA"/>
        </w:rPr>
        <w:lastRenderedPageBreak/>
        <w:tab/>
        <w:t>Procureur de l’intervenante la Ville de Toronto : Ville de Toronto, Toronto.</w:t>
      </w:r>
    </w:p>
    <w:p w:rsidR="00E92044" w:rsidRDefault="00E92044" w:rsidP="00E92044">
      <w:pPr>
        <w:pStyle w:val="SCCLawFirm"/>
        <w:spacing w:line="240" w:lineRule="auto"/>
        <w:rPr>
          <w:sz w:val="20"/>
          <w:lang w:val="fr-CA"/>
        </w:rPr>
      </w:pPr>
    </w:p>
    <w:p w:rsidR="00E92044" w:rsidRDefault="00E92044" w:rsidP="00E92044">
      <w:pPr>
        <w:pStyle w:val="SCCLawFirm"/>
        <w:spacing w:line="240" w:lineRule="auto"/>
        <w:rPr>
          <w:sz w:val="20"/>
          <w:lang w:val="fr-CA"/>
        </w:rPr>
      </w:pPr>
      <w:r w:rsidRPr="00DE3F16">
        <w:rPr>
          <w:sz w:val="20"/>
          <w:lang w:val="fr-CA"/>
        </w:rPr>
        <w:tab/>
        <w:t>Procureurs de l’intervenante Metrolinx : Stikeman Elliott, Toronto.</w:t>
      </w:r>
    </w:p>
    <w:p w:rsidR="003B3977" w:rsidRDefault="003B3977" w:rsidP="005C6840">
      <w:pPr>
        <w:rPr>
          <w:rFonts w:cs="Times New Roman"/>
          <w:sz w:val="20"/>
          <w:szCs w:val="20"/>
          <w:lang w:val="fr-CA"/>
        </w:rPr>
      </w:pPr>
    </w:p>
    <w:p w:rsidR="005C6840" w:rsidRDefault="003F21C7" w:rsidP="005C6840">
      <w:pPr>
        <w:rPr>
          <w:lang w:val="fr-CA"/>
        </w:rPr>
      </w:pPr>
      <w:r w:rsidRPr="003F21C7">
        <w:rPr>
          <w:rFonts w:cs="Times New Roman"/>
          <w:sz w:val="20"/>
          <w:szCs w:val="20"/>
          <w:lang w:val="fr-CA"/>
        </w:rPr>
        <w:pict>
          <v:rect id="_x0000_i1089" style="width:144.3pt;height:1pt" o:hrpct="300" o:hralign="center" o:hrstd="t" o:hrnoshade="t" o:hr="t" fillcolor="black [3213]" stroked="f"/>
        </w:pict>
      </w:r>
      <w:r w:rsidR="005C6840">
        <w:rPr>
          <w:lang w:val="fr-CA"/>
        </w:rPr>
        <w:br w:type="page"/>
      </w:r>
    </w:p>
    <w:p w:rsidR="00D2233E" w:rsidRPr="00E708A7" w:rsidRDefault="00D2233E" w:rsidP="00D2233E">
      <w:pPr>
        <w:jc w:val="both"/>
        <w:rPr>
          <w:rFonts w:eastAsia="Calibri" w:cs="Times New Roman"/>
          <w:sz w:val="20"/>
          <w:szCs w:val="20"/>
        </w:rPr>
      </w:pPr>
      <w:r w:rsidRPr="00E708A7">
        <w:rPr>
          <w:rFonts w:eastAsia="Calibri" w:cs="Times New Roman"/>
          <w:i/>
          <w:sz w:val="20"/>
          <w:szCs w:val="20"/>
        </w:rPr>
        <w:lastRenderedPageBreak/>
        <w:t xml:space="preserve">Manitoba Métis Federation Inc. et al. v. Attorney General of Canada et al. </w:t>
      </w:r>
      <w:r w:rsidRPr="00E708A7">
        <w:rPr>
          <w:rFonts w:eastAsia="Calibri" w:cs="Times New Roman"/>
          <w:sz w:val="20"/>
          <w:szCs w:val="20"/>
        </w:rPr>
        <w:t>(Man.) (33880)</w:t>
      </w:r>
    </w:p>
    <w:p w:rsidR="000826FC" w:rsidRPr="00A62457" w:rsidRDefault="000826FC" w:rsidP="000826FC">
      <w:pPr>
        <w:jc w:val="both"/>
        <w:rPr>
          <w:b/>
          <w:sz w:val="20"/>
          <w:szCs w:val="20"/>
        </w:rPr>
      </w:pPr>
      <w:r w:rsidRPr="00A62457">
        <w:rPr>
          <w:b/>
          <w:sz w:val="20"/>
          <w:szCs w:val="20"/>
        </w:rPr>
        <w:t xml:space="preserve">Indexed as:  </w:t>
      </w:r>
      <w:r w:rsidRPr="000826FC">
        <w:rPr>
          <w:rStyle w:val="SCCAppellantForIndexChar"/>
          <w:rFonts w:eastAsia="Calibri"/>
          <w:sz w:val="20"/>
          <w:lang w:val="en-CA"/>
        </w:rPr>
        <w:t>Manitoba Metis Federation Inc.</w:t>
      </w:r>
      <w:r w:rsidRPr="00A62457">
        <w:rPr>
          <w:b/>
          <w:sz w:val="20"/>
          <w:szCs w:val="20"/>
        </w:rPr>
        <w:t xml:space="preserve"> </w:t>
      </w:r>
      <w:r w:rsidRPr="00A62457">
        <w:rPr>
          <w:b/>
          <w:i/>
          <w:sz w:val="20"/>
          <w:szCs w:val="20"/>
        </w:rPr>
        <w:t>v.</w:t>
      </w:r>
      <w:r w:rsidRPr="00A62457">
        <w:rPr>
          <w:b/>
          <w:sz w:val="20"/>
          <w:szCs w:val="20"/>
        </w:rPr>
        <w:t xml:space="preserve"> Canada (Attorney General)</w:t>
      </w:r>
      <w:r>
        <w:rPr>
          <w:b/>
          <w:sz w:val="20"/>
          <w:szCs w:val="20"/>
        </w:rPr>
        <w:t xml:space="preserve"> /</w:t>
      </w:r>
    </w:p>
    <w:p w:rsidR="000826FC" w:rsidRPr="000826FC" w:rsidRDefault="000826FC" w:rsidP="000826FC">
      <w:pPr>
        <w:jc w:val="both"/>
        <w:rPr>
          <w:b/>
          <w:sz w:val="20"/>
          <w:szCs w:val="20"/>
          <w:lang w:val="fr-CA"/>
        </w:rPr>
      </w:pPr>
      <w:r w:rsidRPr="000826FC">
        <w:rPr>
          <w:b/>
          <w:sz w:val="20"/>
          <w:szCs w:val="20"/>
          <w:lang w:val="fr-CA"/>
        </w:rPr>
        <w:t>Répertorié : </w:t>
      </w:r>
      <w:r w:rsidRPr="009960F5">
        <w:rPr>
          <w:rStyle w:val="SCCAppellantForIndexChar"/>
          <w:rFonts w:eastAsia="Calibri"/>
          <w:sz w:val="20"/>
        </w:rPr>
        <w:t>Manitoba Metis Federation Inc.</w:t>
      </w:r>
      <w:r w:rsidRPr="000826FC">
        <w:rPr>
          <w:b/>
          <w:sz w:val="20"/>
          <w:szCs w:val="20"/>
          <w:lang w:val="fr-CA"/>
        </w:rPr>
        <w:t xml:space="preserve"> </w:t>
      </w:r>
      <w:r w:rsidRPr="000826FC">
        <w:rPr>
          <w:b/>
          <w:i/>
          <w:sz w:val="20"/>
          <w:szCs w:val="20"/>
          <w:lang w:val="fr-CA"/>
        </w:rPr>
        <w:t>c.</w:t>
      </w:r>
      <w:r w:rsidRPr="000826FC">
        <w:rPr>
          <w:b/>
          <w:sz w:val="20"/>
          <w:szCs w:val="20"/>
          <w:lang w:val="fr-CA"/>
        </w:rPr>
        <w:t xml:space="preserve"> Canada (</w:t>
      </w:r>
      <w:r w:rsidRPr="000826FC">
        <w:rPr>
          <w:rStyle w:val="SCCRespondentForIndexChar"/>
          <w:rFonts w:eastAsiaTheme="minorHAnsi"/>
          <w:sz w:val="20"/>
          <w:lang w:val="fr-CA"/>
        </w:rPr>
        <w:t>Procureur général)</w:t>
      </w:r>
    </w:p>
    <w:p w:rsidR="005C6840" w:rsidRPr="000826FC" w:rsidRDefault="005C6840" w:rsidP="005C6840">
      <w:pPr>
        <w:pStyle w:val="SCCSystemYear"/>
        <w:jc w:val="both"/>
        <w:rPr>
          <w:sz w:val="20"/>
        </w:rPr>
      </w:pPr>
      <w:r w:rsidRPr="000826FC">
        <w:rPr>
          <w:sz w:val="20"/>
        </w:rPr>
        <w:t>Neutral citation:  201</w:t>
      </w:r>
      <w:r w:rsidR="00F761A3" w:rsidRPr="000826FC">
        <w:rPr>
          <w:sz w:val="20"/>
        </w:rPr>
        <w:t>3</w:t>
      </w:r>
      <w:r w:rsidRPr="000826FC">
        <w:rPr>
          <w:sz w:val="20"/>
        </w:rPr>
        <w:t xml:space="preserve"> SCC </w:t>
      </w:r>
      <w:r w:rsidR="00D2233E" w:rsidRPr="000826FC">
        <w:rPr>
          <w:sz w:val="20"/>
        </w:rPr>
        <w:t>14</w:t>
      </w:r>
      <w:r w:rsidRPr="000826FC">
        <w:rPr>
          <w:sz w:val="20"/>
        </w:rPr>
        <w:t xml:space="preserve"> / Référence neutre : 201</w:t>
      </w:r>
      <w:r w:rsidR="00F761A3" w:rsidRPr="000826FC">
        <w:rPr>
          <w:sz w:val="20"/>
        </w:rPr>
        <w:t>3</w:t>
      </w:r>
      <w:r w:rsidRPr="000826FC">
        <w:rPr>
          <w:sz w:val="20"/>
        </w:rPr>
        <w:t xml:space="preserve"> CSC </w:t>
      </w:r>
      <w:r w:rsidR="00D2233E" w:rsidRPr="000826FC">
        <w:rPr>
          <w:sz w:val="20"/>
        </w:rPr>
        <w:t>14</w:t>
      </w:r>
    </w:p>
    <w:p w:rsidR="005C6840" w:rsidRPr="000826FC" w:rsidRDefault="005C6840" w:rsidP="005C6840">
      <w:pPr>
        <w:rPr>
          <w:sz w:val="20"/>
          <w:szCs w:val="20"/>
          <w:lang w:val="fr-CA"/>
        </w:rPr>
      </w:pPr>
      <w:r w:rsidRPr="000826FC">
        <w:rPr>
          <w:sz w:val="20"/>
          <w:szCs w:val="20"/>
          <w:lang w:val="fr-CA"/>
        </w:rPr>
        <w:t xml:space="preserve">Hearing:  </w:t>
      </w:r>
      <w:r w:rsidR="000826FC" w:rsidRPr="000826FC">
        <w:rPr>
          <w:sz w:val="20"/>
          <w:szCs w:val="20"/>
          <w:lang w:val="fr-CA"/>
        </w:rPr>
        <w:t>December</w:t>
      </w:r>
      <w:r w:rsidRPr="000826FC">
        <w:rPr>
          <w:sz w:val="20"/>
          <w:szCs w:val="20"/>
          <w:lang w:val="fr-CA"/>
        </w:rPr>
        <w:t xml:space="preserve"> 1</w:t>
      </w:r>
      <w:r w:rsidR="000826FC" w:rsidRPr="000826FC">
        <w:rPr>
          <w:sz w:val="20"/>
          <w:szCs w:val="20"/>
          <w:lang w:val="fr-CA"/>
        </w:rPr>
        <w:t>3</w:t>
      </w:r>
      <w:r w:rsidRPr="000826FC">
        <w:rPr>
          <w:sz w:val="20"/>
          <w:szCs w:val="20"/>
          <w:lang w:val="fr-CA"/>
        </w:rPr>
        <w:t>, 201</w:t>
      </w:r>
      <w:r w:rsidR="000826FC" w:rsidRPr="000826FC">
        <w:rPr>
          <w:sz w:val="20"/>
          <w:szCs w:val="20"/>
          <w:lang w:val="fr-CA"/>
        </w:rPr>
        <w:t>1</w:t>
      </w:r>
      <w:r w:rsidRPr="000826FC">
        <w:rPr>
          <w:sz w:val="20"/>
          <w:szCs w:val="20"/>
          <w:lang w:val="fr-CA"/>
        </w:rPr>
        <w:t xml:space="preserve"> / Judgment:  </w:t>
      </w:r>
      <w:r w:rsidR="00D2233E" w:rsidRPr="000826FC">
        <w:rPr>
          <w:sz w:val="20"/>
          <w:szCs w:val="20"/>
          <w:lang w:val="fr-CA"/>
        </w:rPr>
        <w:t>March</w:t>
      </w:r>
      <w:r w:rsidRPr="000826FC">
        <w:rPr>
          <w:sz w:val="20"/>
          <w:szCs w:val="20"/>
          <w:lang w:val="fr-CA"/>
        </w:rPr>
        <w:t xml:space="preserve"> 8, 201</w:t>
      </w:r>
      <w:r w:rsidR="00D2233E" w:rsidRPr="000826FC">
        <w:rPr>
          <w:sz w:val="20"/>
          <w:szCs w:val="20"/>
          <w:lang w:val="fr-CA"/>
        </w:rPr>
        <w:t>3</w:t>
      </w:r>
    </w:p>
    <w:p w:rsidR="005C6840" w:rsidRPr="003B3977" w:rsidRDefault="005C6840" w:rsidP="005C6840">
      <w:pPr>
        <w:rPr>
          <w:sz w:val="20"/>
          <w:szCs w:val="20"/>
          <w:lang w:val="fr-CA"/>
        </w:rPr>
      </w:pPr>
      <w:r w:rsidRPr="003B3977">
        <w:rPr>
          <w:sz w:val="20"/>
          <w:szCs w:val="20"/>
          <w:lang w:val="fr-CA"/>
        </w:rPr>
        <w:t>Audition : Le 1</w:t>
      </w:r>
      <w:r w:rsidR="000826FC">
        <w:rPr>
          <w:sz w:val="20"/>
          <w:szCs w:val="20"/>
          <w:lang w:val="fr-CA"/>
        </w:rPr>
        <w:t>3</w:t>
      </w:r>
      <w:r w:rsidRPr="003B3977">
        <w:rPr>
          <w:sz w:val="20"/>
          <w:szCs w:val="20"/>
          <w:lang w:val="fr-CA"/>
        </w:rPr>
        <w:t xml:space="preserve"> </w:t>
      </w:r>
      <w:r w:rsidR="000826FC">
        <w:rPr>
          <w:sz w:val="20"/>
          <w:szCs w:val="20"/>
          <w:lang w:val="fr-CA"/>
        </w:rPr>
        <w:t>déce</w:t>
      </w:r>
      <w:r w:rsidRPr="003B3977">
        <w:rPr>
          <w:sz w:val="20"/>
          <w:szCs w:val="20"/>
          <w:lang w:val="fr-CA"/>
        </w:rPr>
        <w:t>m</w:t>
      </w:r>
      <w:r w:rsidR="000826FC">
        <w:rPr>
          <w:sz w:val="20"/>
          <w:szCs w:val="20"/>
          <w:lang w:val="fr-CA"/>
        </w:rPr>
        <w:t>bre</w:t>
      </w:r>
      <w:r w:rsidRPr="003B3977">
        <w:rPr>
          <w:sz w:val="20"/>
          <w:szCs w:val="20"/>
          <w:lang w:val="fr-CA"/>
        </w:rPr>
        <w:t xml:space="preserve"> 201 / Jugement : Le 8 </w:t>
      </w:r>
      <w:r w:rsidR="00D2233E">
        <w:rPr>
          <w:sz w:val="20"/>
          <w:szCs w:val="20"/>
          <w:lang w:val="fr-CA"/>
        </w:rPr>
        <w:t>ma</w:t>
      </w:r>
      <w:r w:rsidRPr="003B3977">
        <w:rPr>
          <w:sz w:val="20"/>
          <w:szCs w:val="20"/>
          <w:lang w:val="fr-CA"/>
        </w:rPr>
        <w:t>r</w:t>
      </w:r>
      <w:r w:rsidR="00D2233E">
        <w:rPr>
          <w:sz w:val="20"/>
          <w:szCs w:val="20"/>
          <w:lang w:val="fr-CA"/>
        </w:rPr>
        <w:t>s</w:t>
      </w:r>
      <w:r w:rsidRPr="003B3977">
        <w:rPr>
          <w:sz w:val="20"/>
          <w:szCs w:val="20"/>
          <w:lang w:val="fr-CA"/>
        </w:rPr>
        <w:t xml:space="preserve"> 201</w:t>
      </w:r>
      <w:r w:rsidR="00D2233E">
        <w:rPr>
          <w:sz w:val="20"/>
          <w:szCs w:val="20"/>
          <w:lang w:val="fr-CA"/>
        </w:rPr>
        <w:t>3</w:t>
      </w:r>
    </w:p>
    <w:p w:rsidR="005C6840" w:rsidRPr="003B3977" w:rsidRDefault="003F21C7" w:rsidP="005C6840">
      <w:pPr>
        <w:rPr>
          <w:sz w:val="20"/>
          <w:szCs w:val="20"/>
          <w:lang w:val="fr-CA"/>
        </w:rPr>
      </w:pPr>
      <w:r w:rsidRPr="003F21C7">
        <w:rPr>
          <w:i/>
          <w:sz w:val="20"/>
          <w:szCs w:val="20"/>
        </w:rPr>
        <w:pict>
          <v:rect id="_x0000_i1090" style="width:480.95pt;height:1pt" o:hralign="center" o:hrstd="t" o:hrnoshade="t" o:hr="t" fillcolor="black [3213]" stroked="f"/>
        </w:pict>
      </w:r>
    </w:p>
    <w:p w:rsidR="00F53A48" w:rsidRDefault="00F53A48" w:rsidP="00F53A48">
      <w:pPr>
        <w:rPr>
          <w:rFonts w:cs="Times New Roman"/>
          <w:sz w:val="20"/>
          <w:szCs w:val="20"/>
        </w:rPr>
      </w:pPr>
    </w:p>
    <w:p w:rsidR="00F53A48" w:rsidRPr="00A12997" w:rsidRDefault="00F53A48" w:rsidP="00F53A48">
      <w:pPr>
        <w:rPr>
          <w:rFonts w:cs="Times New Roman"/>
          <w:sz w:val="20"/>
          <w:szCs w:val="20"/>
        </w:rPr>
      </w:pPr>
      <w:r w:rsidRPr="00A12997">
        <w:rPr>
          <w:rFonts w:cs="Times New Roman"/>
          <w:sz w:val="20"/>
          <w:szCs w:val="20"/>
        </w:rPr>
        <w:t>Present:  McLachlin C.J. and LeBel, Deschamps*, Fish, Abella, Rothstein, Cromwell, Moldaver and Karakatsanis JJ.</w:t>
      </w:r>
    </w:p>
    <w:p w:rsidR="00F53A48" w:rsidRPr="00A12997" w:rsidRDefault="00F53A48" w:rsidP="00F53A48">
      <w:pPr>
        <w:rPr>
          <w:rFonts w:cs="Times New Roman"/>
          <w:sz w:val="20"/>
          <w:szCs w:val="20"/>
        </w:rPr>
      </w:pPr>
    </w:p>
    <w:p w:rsidR="00F53A48" w:rsidRPr="0059781B" w:rsidRDefault="00F53A48" w:rsidP="00F53A48">
      <w:pPr>
        <w:rPr>
          <w:rFonts w:cs="Times New Roman"/>
          <w:sz w:val="20"/>
          <w:szCs w:val="20"/>
        </w:rPr>
      </w:pPr>
      <w:r w:rsidRPr="0059781B">
        <w:rPr>
          <w:rFonts w:cs="Times New Roman"/>
          <w:sz w:val="20"/>
          <w:szCs w:val="20"/>
        </w:rPr>
        <w:t>(*Deschamps J. took no part in the judgment.)</w:t>
      </w:r>
    </w:p>
    <w:p w:rsidR="00F53A48" w:rsidRDefault="00F53A48" w:rsidP="000826FC">
      <w:pPr>
        <w:pStyle w:val="SCCNormalDoubleSpacing"/>
        <w:spacing w:line="240" w:lineRule="auto"/>
        <w:rPr>
          <w:sz w:val="20"/>
        </w:rPr>
      </w:pPr>
    </w:p>
    <w:p w:rsidR="000826FC" w:rsidRPr="00A62457" w:rsidRDefault="000826FC" w:rsidP="000826FC">
      <w:pPr>
        <w:pStyle w:val="SCCNormalDoubleSpacing"/>
        <w:spacing w:line="240" w:lineRule="auto"/>
        <w:rPr>
          <w:i/>
          <w:sz w:val="20"/>
        </w:rPr>
      </w:pPr>
      <w:r w:rsidRPr="00A62457">
        <w:rPr>
          <w:sz w:val="20"/>
        </w:rPr>
        <w:tab/>
      </w:r>
      <w:r w:rsidRPr="00A62457">
        <w:rPr>
          <w:i/>
          <w:sz w:val="20"/>
        </w:rPr>
        <w:t>Aboriginal law — Métis — Crown law — Honour of the Crown — Canadian government agreeing in 1870 to grant Métis children shares of 1.4 million acres of land and to recognize existing Métis landholdings — Promises set out in ss. 31 and 32 of the Manitoba Act, 1870, a constitutional document — Errors and delays interfering with division and granting of land among eligible recipients — Whether Canada failing to comply with the honour of the Crown in the implementation of ss. 31 and 32 of the Manitoba Act, 1870.</w:t>
      </w:r>
    </w:p>
    <w:p w:rsidR="000826FC" w:rsidRDefault="000826FC" w:rsidP="000826FC">
      <w:pPr>
        <w:pStyle w:val="SCCNormalDoubleSpacing"/>
        <w:spacing w:line="240" w:lineRule="auto"/>
        <w:rPr>
          <w:i/>
          <w:sz w:val="20"/>
        </w:rPr>
      </w:pPr>
    </w:p>
    <w:p w:rsidR="000826FC" w:rsidRPr="00A62457" w:rsidRDefault="000826FC" w:rsidP="000826FC">
      <w:pPr>
        <w:pStyle w:val="SCCNormalDoubleSpacing"/>
        <w:spacing w:line="240" w:lineRule="auto"/>
        <w:rPr>
          <w:i/>
          <w:sz w:val="20"/>
        </w:rPr>
      </w:pPr>
      <w:r w:rsidRPr="00A62457">
        <w:rPr>
          <w:i/>
          <w:sz w:val="20"/>
        </w:rPr>
        <w:tab/>
        <w:t>Aboriginal law — Métis — Fiduciary duty — Canadian government agreeing in 1870 to grant Métis children shares of 1.4 million acres of land and to recognize existing Métis landholdings — Promises set out in ss. 31 and 32 of the Manitoba Act, 1870, a constitutional document — Errors and delays interfering with division and granting of land among eligible recipients — Whether Canada in breach of fiduciary duty to Métis.</w:t>
      </w:r>
    </w:p>
    <w:p w:rsidR="000826FC" w:rsidRDefault="000826FC" w:rsidP="000826FC">
      <w:pPr>
        <w:pStyle w:val="SCCNormalDoubleSpacing"/>
        <w:spacing w:line="240" w:lineRule="auto"/>
        <w:rPr>
          <w:i/>
          <w:sz w:val="20"/>
        </w:rPr>
      </w:pPr>
    </w:p>
    <w:p w:rsidR="000826FC" w:rsidRPr="00A62457" w:rsidRDefault="000826FC" w:rsidP="000826FC">
      <w:pPr>
        <w:pStyle w:val="SCCNormalDoubleSpacing"/>
        <w:spacing w:line="240" w:lineRule="auto"/>
        <w:rPr>
          <w:i/>
          <w:sz w:val="20"/>
        </w:rPr>
      </w:pPr>
      <w:r w:rsidRPr="00A62457">
        <w:rPr>
          <w:i/>
          <w:sz w:val="20"/>
        </w:rPr>
        <w:tab/>
        <w:t>Limitation of actions — Declaration — Appellants seeking declaration in the courts that Canada breached obligations to implement promises made to the Métis people in the Manitoba Act, 1870 — Whether statute of limitations can prevent courts from issuing declarations on the constitutionality of Crown conduct — Whether claim for declaration barred by laches.</w:t>
      </w:r>
    </w:p>
    <w:p w:rsidR="008912DA" w:rsidRDefault="008912DA" w:rsidP="000826FC">
      <w:pPr>
        <w:pStyle w:val="SCCNormalDoubleSpacing"/>
        <w:spacing w:line="240" w:lineRule="auto"/>
        <w:rPr>
          <w:i/>
          <w:sz w:val="20"/>
        </w:rPr>
      </w:pPr>
    </w:p>
    <w:p w:rsidR="000826FC" w:rsidRPr="00A62457" w:rsidRDefault="000826FC" w:rsidP="000826FC">
      <w:pPr>
        <w:pStyle w:val="SCCNormalDoubleSpacing"/>
        <w:spacing w:line="240" w:lineRule="auto"/>
        <w:rPr>
          <w:sz w:val="20"/>
        </w:rPr>
      </w:pPr>
      <w:r w:rsidRPr="00A62457">
        <w:rPr>
          <w:i/>
          <w:sz w:val="20"/>
        </w:rPr>
        <w:tab/>
        <w:t>Civil procedure — Parties — Standing — Public interest standing — Manitoba Act, 1870, providing for individual land entitlements — Whether federation advancing collective claim on behalf of Métis people should be granted public interest standing.</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After Confederation, the first government of Canada embarked on a policy aimed at bringing the western territories within the boundaries of Canada, and opening them up to settlement.  Canada became the titular owner of Rupert’s Land and the Red River Settlement; however, the French</w:t>
      </w:r>
      <w:r w:rsidRPr="00A62457">
        <w:rPr>
          <w:sz w:val="20"/>
        </w:rPr>
        <w:noBreakHyphen/>
        <w:t>speaking Roman Catholic Métis, the dominant demographic group in the Red River Settlement, viewed with alarm the prospect of Canadian control leading to a wave of English</w:t>
      </w:r>
      <w:r w:rsidRPr="00A62457">
        <w:rPr>
          <w:sz w:val="20"/>
        </w:rPr>
        <w:noBreakHyphen/>
        <w:t>speaking Protestant settlers that would threaten their traditional way of life.  In the face of armed resistance, Canada had little choice but to adopt a diplomatic approach.</w:t>
      </w:r>
      <w:bookmarkStart w:id="2" w:name="OLE_LINK5"/>
      <w:r w:rsidRPr="00A62457">
        <w:rPr>
          <w:sz w:val="20"/>
        </w:rPr>
        <w:t xml:space="preserve">  The Red River settlers agreed to become part of Canada, and Canada agreed to grant 1.4 million acres of land to the Métis children (subsequently set out in s. 31 of the </w:t>
      </w:r>
      <w:r w:rsidRPr="00A62457">
        <w:rPr>
          <w:i/>
          <w:sz w:val="20"/>
        </w:rPr>
        <w:t>Manitoba Act</w:t>
      </w:r>
      <w:r w:rsidRPr="00A62457">
        <w:rPr>
          <w:sz w:val="20"/>
        </w:rPr>
        <w:t xml:space="preserve">) and to recognize existing landholdings (subsequently set out in s. 32 of the </w:t>
      </w:r>
      <w:r w:rsidRPr="00A62457">
        <w:rPr>
          <w:i/>
          <w:sz w:val="20"/>
        </w:rPr>
        <w:t>Manitoba Act</w:t>
      </w:r>
      <w:r w:rsidRPr="00A62457">
        <w:rPr>
          <w:sz w:val="20"/>
        </w:rPr>
        <w:t xml:space="preserve">). </w:t>
      </w:r>
      <w:bookmarkEnd w:id="2"/>
      <w:r w:rsidRPr="00A62457">
        <w:rPr>
          <w:sz w:val="20"/>
        </w:rPr>
        <w:t xml:space="preserve"> The Canadian government began the process of implementing s. 31 in early 1871.  The land was set aside, but a series of errors and delays interfered with dividing the land among the eligible recipients.  Initially, problems arose from errors in determining who had a right to a share of the land promised.  As a result, two successive allotments were abandoned; the third and final allotment was not completed until 1880.  The lands were distributed randomly to the eligible Métis children living within each parish.</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While the allotment process lagged, speculators began acquiring the Métis children’s yet</w:t>
      </w:r>
      <w:r w:rsidRPr="00A62457">
        <w:rPr>
          <w:sz w:val="20"/>
        </w:rPr>
        <w:noBreakHyphen/>
        <w:t>to</w:t>
      </w:r>
      <w:r w:rsidRPr="00A62457">
        <w:rPr>
          <w:sz w:val="20"/>
        </w:rPr>
        <w:noBreakHyphen/>
        <w:t>be granted interests in the s. 31 lands, aided by a range of legal devices.  During the 1870s and 1880s, Manitoba passed five statutes, now long spent and repealed, dealing with the technical requirements to transfer interests in s. 31 lands.  Initially, Manitoba moved to curb speculation and improvident sales of the children’s interests, but in 1877, it changed course, allowing sales of s. 31 entitlements.</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 xml:space="preserve">Eventually, it became apparent that the number of eligible Métis children had been underestimated.  Rather than starting a fourth allotment, the Canadian government provided that remaining eligible children would be issued with scrip redeemable for land.  The scrip was based on 1879 land prices; however, when the scrip was delivered in </w:t>
      </w:r>
      <w:r w:rsidRPr="00A62457">
        <w:rPr>
          <w:sz w:val="20"/>
        </w:rPr>
        <w:lastRenderedPageBreak/>
        <w:t>1885, land prices had increased so that the excluded children could not acquire the same amount of land granted to other children.  In the decades that followed, the position of the Métis in the Red River Settlement deteriorated.  White settlers soon constituted a majority in the territory and the Métis community began to unravel.</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 xml:space="preserve">The Métis sought a declaration that (1) in implementing the </w:t>
      </w:r>
      <w:r w:rsidRPr="00A62457">
        <w:rPr>
          <w:i/>
          <w:sz w:val="20"/>
        </w:rPr>
        <w:t>Manitoba Act</w:t>
      </w:r>
      <w:r w:rsidRPr="00A62457">
        <w:rPr>
          <w:sz w:val="20"/>
        </w:rPr>
        <w:t xml:space="preserve">, the federal Crown breached fiduciary obligations owed to the Métis; (2) the federal Crown failed to implement the </w:t>
      </w:r>
      <w:r w:rsidRPr="00A62457">
        <w:rPr>
          <w:i/>
          <w:sz w:val="20"/>
        </w:rPr>
        <w:t xml:space="preserve">Manitoba Act </w:t>
      </w:r>
      <w:r w:rsidRPr="00A62457">
        <w:rPr>
          <w:sz w:val="20"/>
        </w:rPr>
        <w:t xml:space="preserve">in a manner consistent with the honour of the Crown; and (3) certain legislation passed by Manitoba affecting the implementation of the </w:t>
      </w:r>
      <w:r w:rsidRPr="00A62457">
        <w:rPr>
          <w:i/>
          <w:sz w:val="20"/>
        </w:rPr>
        <w:t xml:space="preserve">Manitoba Act </w:t>
      </w:r>
      <w:r w:rsidRPr="00A62457">
        <w:rPr>
          <w:sz w:val="20"/>
        </w:rPr>
        <w:t xml:space="preserve">was </w:t>
      </w:r>
      <w:r w:rsidRPr="00A62457">
        <w:rPr>
          <w:i/>
          <w:sz w:val="20"/>
        </w:rPr>
        <w:t>ultra vires</w:t>
      </w:r>
      <w:r w:rsidRPr="00A62457">
        <w:rPr>
          <w:sz w:val="20"/>
        </w:rPr>
        <w:t xml:space="preserve">.  The trial judge dismissed the claim for a declaration on the ground that ss. 31 and 32 of the </w:t>
      </w:r>
      <w:r w:rsidRPr="00A62457">
        <w:rPr>
          <w:i/>
          <w:sz w:val="20"/>
        </w:rPr>
        <w:t xml:space="preserve">Manitoba Act </w:t>
      </w:r>
      <w:r w:rsidRPr="00A62457">
        <w:rPr>
          <w:sz w:val="20"/>
        </w:rPr>
        <w:t>gave rise to neither a fiduciary duty nor a duty based on the honour of the Crown.  He also found that the challenged Manitoba statutes were constitutional, and, in any event, the claim was barred by limitations and the doctrine of laches.  Finally, he found that the Manitoba Metis Federation (“MMF”) should not be granted standing in the action, since the individual plaintiffs were capable of bringing the claims forward.  A five</w:t>
      </w:r>
      <w:r w:rsidRPr="00A62457">
        <w:rPr>
          <w:sz w:val="20"/>
        </w:rPr>
        <w:noBreakHyphen/>
        <w:t>member panel of the Manitoba Court of Appeal dismissed the appeal.</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r>
      <w:r w:rsidRPr="00A62457">
        <w:rPr>
          <w:i/>
          <w:sz w:val="20"/>
        </w:rPr>
        <w:t>Held</w:t>
      </w:r>
      <w:r w:rsidRPr="00A62457">
        <w:rPr>
          <w:sz w:val="20"/>
        </w:rPr>
        <w:t xml:space="preserve"> (Rothstein and Moldaver JJ. dissenting):  The appeal should be allowed in part.  The federal Crown failed to implement the land grant provision set out in s. 31 of the </w:t>
      </w:r>
      <w:r w:rsidRPr="00A62457">
        <w:rPr>
          <w:i/>
          <w:sz w:val="20"/>
        </w:rPr>
        <w:t xml:space="preserve">Manitoba Act, 1870 </w:t>
      </w:r>
      <w:r w:rsidRPr="00A62457">
        <w:rPr>
          <w:sz w:val="20"/>
        </w:rPr>
        <w:t>in accordance with the honour of the Crown.</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r>
      <w:r w:rsidRPr="00A62457">
        <w:rPr>
          <w:i/>
          <w:sz w:val="20"/>
        </w:rPr>
        <w:t>Per</w:t>
      </w:r>
      <w:r w:rsidRPr="00A62457">
        <w:rPr>
          <w:sz w:val="20"/>
        </w:rPr>
        <w:t xml:space="preserve"> </w:t>
      </w:r>
      <w:r w:rsidRPr="00A62457">
        <w:rPr>
          <w:b/>
          <w:sz w:val="20"/>
        </w:rPr>
        <w:t>McLachlin C.J.</w:t>
      </w:r>
      <w:r w:rsidRPr="00A62457">
        <w:rPr>
          <w:sz w:val="20"/>
        </w:rPr>
        <w:t xml:space="preserve"> and LeBel, Fish, Abella, Cromwell and </w:t>
      </w:r>
      <w:r w:rsidRPr="00A62457">
        <w:rPr>
          <w:b/>
          <w:sz w:val="20"/>
        </w:rPr>
        <w:t>Karatkatsanis</w:t>
      </w:r>
      <w:r w:rsidRPr="00A62457">
        <w:rPr>
          <w:sz w:val="20"/>
        </w:rPr>
        <w:t> JJ:  The MMF should be granted standing.  The action advanced is a collective claim for declaratory relief for the purposes of reconciling the descendants of the Métis people of the Red River Valley and Canada.  It merits allowing the body representing the collective Métis interest to come before the court.</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 xml:space="preserve">The obligations enshrined in ss. 31 and 32 of the </w:t>
      </w:r>
      <w:r w:rsidRPr="00A62457">
        <w:rPr>
          <w:i/>
          <w:sz w:val="20"/>
        </w:rPr>
        <w:t>Manitoba Act</w:t>
      </w:r>
      <w:r w:rsidRPr="00A62457">
        <w:rPr>
          <w:sz w:val="20"/>
        </w:rPr>
        <w:t xml:space="preserve"> did not impose a fiduciary duty on the government.  In the Aboriginal context, a fiduciary duty may arise in two ways.  First, it may arise as a result of the Crown assuming discretionary control over specific Aboriginal interests.  Where the Crown administers lands or property in which Aboriginal peoples have an interest, such a duty may arise if there is (1) a specific or cognizable Aboriginal interest, and (2) a Crown undertaking of discretionary control over that interest.  The interest must be a communal Aboriginal interest in land that is integral to the nature of the Métis distinctive community and their relationship to the land.  It must be predicated on historic use and occupation, and cannot be established by treaty or by legislation.  Second, and more generally, a fiduciary duty may arise if there is (1) an undertaking by the alleged fiduciary to act in the best interests of the alleged beneficiary; (2)  a defined person or class of persons vulnerable to a fiduciary’s control; and (3) a legal or substantial practical interest of the beneficiary that stands to be adversely affected by the alleged fiduciary’s exercise of discretion or control.</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 xml:space="preserve">Although the Crown undertook discretionary control of the administration of the land grants under ss. 31 and 32 of the </w:t>
      </w:r>
      <w:r w:rsidRPr="00A62457">
        <w:rPr>
          <w:i/>
          <w:sz w:val="20"/>
        </w:rPr>
        <w:t>Manitoba Act</w:t>
      </w:r>
      <w:r w:rsidRPr="00A62457">
        <w:rPr>
          <w:sz w:val="20"/>
        </w:rPr>
        <w:t>, the Métis are Aboriginal, and they had an interest in the land, the first test for fiduciary duty is not made out because neither the words of s. 31 nor the evidence establish a pre</w:t>
      </w:r>
      <w:r w:rsidRPr="00A62457">
        <w:rPr>
          <w:sz w:val="20"/>
        </w:rPr>
        <w:noBreakHyphen/>
        <w:t>existing communal Aboriginal interest held by the Métis.  Their interests in land arose from their personal history, not their shared distinct Métis identity.  Nor was a fiduciary duty established on the basis of an undertaking by the Crown.  While s. 31 shows an intention to benefit the Métis children, it does not demonstrate an undertaking to act in their best interests, in priority to other legitimate concerns.  Indeed, the discretion conferred by s. 31 to determine “such mode and on such conditions as to settlement and otherwise” belies a duty of loyalty and an intention to act in the best interests of the beneficiary, forsaking all other interests.  Section 32 simply confirmed the continuance of different categories of landholdings in existence shortly before or at the creation of the new province. It did not constitute an undertaking on the part of the Crown to act as a fiduciary in settling the titles of the Métis landholders.</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 xml:space="preserve">However, the Métis are entitled to a declaration that the federal Crown failed to act with diligence in implementing the land grant provision set out in s. 31 of the </w:t>
      </w:r>
      <w:r w:rsidRPr="00A62457">
        <w:rPr>
          <w:i/>
          <w:sz w:val="20"/>
        </w:rPr>
        <w:t>Manitoba Act</w:t>
      </w:r>
      <w:r w:rsidRPr="00A62457">
        <w:rPr>
          <w:sz w:val="20"/>
        </w:rPr>
        <w:t>, in accordance with the honour of the Crown.  The ultimate purpose of the honour of the Crown is the reconciliation of pre</w:t>
      </w:r>
      <w:r w:rsidRPr="00A62457">
        <w:rPr>
          <w:sz w:val="20"/>
        </w:rPr>
        <w:noBreakHyphen/>
        <w:t xml:space="preserve">existing Aboriginal societies with the assertion of Canadian sovereignty.  Where this is at stake, it requires the Crown to act honourably in its dealings with the Aboriginal peoples in question.  This flows from the guarantee of Aboriginal rights in s. 35(1) of the </w:t>
      </w:r>
      <w:r w:rsidRPr="00A62457">
        <w:rPr>
          <w:i/>
          <w:sz w:val="20"/>
        </w:rPr>
        <w:t>Constitution Act</w:t>
      </w:r>
      <w:r w:rsidRPr="00A62457">
        <w:rPr>
          <w:sz w:val="20"/>
        </w:rPr>
        <w:t xml:space="preserve">.  The honour of the Crown is engaged by an explicit obligation to an Aboriginal group enshrined in the Constitution.  The Constitution is not a mere statute; it is the very document by which the Crown asserted its </w:t>
      </w:r>
      <w:r w:rsidRPr="00A62457">
        <w:rPr>
          <w:sz w:val="20"/>
        </w:rPr>
        <w:lastRenderedPageBreak/>
        <w:t>sovereignty in the face of prior Aboriginal occupation.  An explicit obligation to an Aboriginal group in the Constitution engages the honour of the Crown.</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 xml:space="preserve">The honour of the Crown speaks to </w:t>
      </w:r>
      <w:r w:rsidRPr="00A62457">
        <w:rPr>
          <w:i/>
          <w:sz w:val="20"/>
        </w:rPr>
        <w:t>how</w:t>
      </w:r>
      <w:r w:rsidRPr="00A62457">
        <w:rPr>
          <w:sz w:val="20"/>
        </w:rPr>
        <w:t xml:space="preserve"> obligations that attract it must be fulfilled, so the duties that flow from it vary with the situation.  In the context of the implementation of a constitutional obligation to an Aboriginal people, the honour of the Crown requires that the Crown:  (1) take a broad purposive approach to the interpretation of the promise; and (2) act diligently to fulfill it.  The question is whether, viewing the Crown’s conduct as a whole in the context of the case, it acted with diligence to pursue the fulfillment of the purposes of the obligation.  The duty to act diligently is a narrow and circumscribed duty.  Not every mistake or negligent act in implementing a constitutional obligation to an Aboriginal people brings dishonour to the Crown, and there is no guarantee that the purposes of the promise will be achieved.  However, a persistent pattern of errors and indifference that substantially frustrates the purposes of a solemn promise may amount to a betrayal of the Crown’s duty to act honourably in fulfilling its promise.</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 xml:space="preserve">Section 31 of the </w:t>
      </w:r>
      <w:r w:rsidRPr="00A62457">
        <w:rPr>
          <w:i/>
          <w:sz w:val="20"/>
        </w:rPr>
        <w:t>Manitoba Act</w:t>
      </w:r>
      <w:r w:rsidRPr="00A62457">
        <w:rPr>
          <w:sz w:val="20"/>
        </w:rPr>
        <w:t xml:space="preserve"> is a solemn constitutional obligation to the Métis people of Manitoba, an Aboriginal people, and it engaged the honour of the Crown.  Its immediate purpose was to give the Métis children a head start over the expected influx of settlers from the east.  Its broader purpose was to reconcile the Métis’ Aboriginal interests in the Manitoba territory with the assertion of Crown sovereignty over the area that was to become the province of Manitoba.  By contrast, s. 32 was a benefit made generally available to all settlers and did not engage the honour of the Crown.</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Although the honour of the Crown obliged the government to act with diligence to fulfill s. 31, it acted with persistent inattention and failed to act diligently to achieve the purposes of the s. 31 grant.  This was not a matter of occasional negligence, but of repeated mistakes and inaction that persisted for more than a decade, substantially defeating a purpose of s. 31.  This was inconsistent with the behaviour demanded by the honour of the Crown:  a government sincerely intent on fulfilling the duty that its honour demanded could and should have done better.</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None of the government’s other failures — failing to prevent Métis from selling their land to speculators, issuing scrip in place of land, and failing to cluster family allotments — were in themselves inconsistent with the honour of the Crown.  That said, the impact of these measures was exacerbated by the delay inconsistent with the honour of the Crown:  it increased improvident sales to speculators; it meant that when the children received scrip, they obtained significantly less than the 240 acres provided to those who took part in the initial distribution, because the price of land had increased in the interim; and it made it more difficult for Métis to trade grants amongst themselves to achieve contiguous parcels.</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It is unnecessary to consider the constitutionality of the implementing statutes because they are moot.</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The Métis claim based on the honour of the Crown is not barred by the law of limitations.  Although claims for personal remedies flowing from unconstitutional statutes may be time</w:t>
      </w:r>
      <w:r w:rsidRPr="00A62457">
        <w:rPr>
          <w:sz w:val="20"/>
        </w:rPr>
        <w:noBreakHyphen/>
        <w:t>barred, the Métis seek no personal relief and make no claim for damages or for land.  Just as limitations acts cannot prevent the courts from issuing declarations on the constitutionality of legislation, limitations acts cannot prevent the courts from issuing a declaration on the constitutionality of the Crown’s conduct.  So long as the constitutional grievance at issue here remains outstanding, the goals of reconciliation and constitutional harmony remain unachieved.  In addition, many of the policy rationales underlying limitations statutes do not apply in an Aboriginal context.  A declaration is a narrow remedy and, in some cases, may be the only way to give effect to the honour of the Crown.</w:t>
      </w:r>
    </w:p>
    <w:p w:rsidR="000826FC" w:rsidRDefault="000826FC" w:rsidP="000826FC">
      <w:pPr>
        <w:pStyle w:val="SCCNormalDoubleSpacing"/>
        <w:spacing w:line="240" w:lineRule="auto"/>
        <w:rPr>
          <w:sz w:val="20"/>
          <w:lang w:val="en-US"/>
        </w:rPr>
      </w:pPr>
    </w:p>
    <w:p w:rsidR="000826FC" w:rsidRPr="00A62457" w:rsidRDefault="000826FC" w:rsidP="000826FC">
      <w:pPr>
        <w:pStyle w:val="SCCNormalDoubleSpacing"/>
        <w:spacing w:line="240" w:lineRule="auto"/>
        <w:rPr>
          <w:sz w:val="20"/>
          <w:lang w:val="en-US"/>
        </w:rPr>
      </w:pPr>
      <w:r w:rsidRPr="00A62457">
        <w:rPr>
          <w:sz w:val="20"/>
          <w:lang w:val="en-US"/>
        </w:rPr>
        <w:tab/>
        <w:t>Nor is the claim barred by the equitable doctrine of laches.  Given the context of this case, including the historical injustices suffered by the Métis, the imbalance in power that followed Crown sovereignty, and the negative consequences following delays in allocating the land grants, delay on the part of the appellants cannot, by itself, be interpreted as some clear act which amounts to acquiescence or waiver.  It is rather unrealistic to suggest that the Métis sat on their rights before the courts were prepared to recognize those rights.  Furthermore, Canada has not changed its position as a result of the delay.  This suffices to find that the claim is not barred by laches.  However, it is difficult to see how a court, in its role as guardian of the Constitution, could apply an equitable doctrine to defeat a claim for a declaration that a Constitutional provision has not been fulfilled as required by the honour of the Crown.</w:t>
      </w:r>
    </w:p>
    <w:p w:rsidR="000826FC" w:rsidRDefault="000826FC" w:rsidP="000826FC">
      <w:pPr>
        <w:pStyle w:val="SCCNormalDoubleSpacing"/>
        <w:spacing w:line="240" w:lineRule="auto"/>
        <w:rPr>
          <w:b/>
          <w:sz w:val="20"/>
        </w:rPr>
      </w:pPr>
    </w:p>
    <w:p w:rsidR="000826FC" w:rsidRPr="00A62457" w:rsidRDefault="000826FC" w:rsidP="000826FC">
      <w:pPr>
        <w:pStyle w:val="SCCNormalDoubleSpacing"/>
        <w:spacing w:line="240" w:lineRule="auto"/>
        <w:rPr>
          <w:sz w:val="20"/>
        </w:rPr>
      </w:pPr>
      <w:r w:rsidRPr="00A62457">
        <w:rPr>
          <w:b/>
          <w:sz w:val="20"/>
        </w:rPr>
        <w:lastRenderedPageBreak/>
        <w:tab/>
      </w:r>
      <w:r w:rsidRPr="00A62457">
        <w:rPr>
          <w:i/>
          <w:sz w:val="20"/>
        </w:rPr>
        <w:t>Per</w:t>
      </w:r>
      <w:r w:rsidRPr="00A62457">
        <w:rPr>
          <w:sz w:val="20"/>
        </w:rPr>
        <w:t xml:space="preserve"> </w:t>
      </w:r>
      <w:r w:rsidRPr="00A62457">
        <w:rPr>
          <w:b/>
          <w:sz w:val="20"/>
        </w:rPr>
        <w:t>Rothstein</w:t>
      </w:r>
      <w:r w:rsidRPr="00A62457">
        <w:rPr>
          <w:sz w:val="20"/>
        </w:rPr>
        <w:t xml:space="preserve"> and Moldaver JJ. (dissenting): </w:t>
      </w:r>
      <w:r w:rsidRPr="00A62457">
        <w:rPr>
          <w:sz w:val="20"/>
          <w:lang w:val="en-US"/>
        </w:rPr>
        <w:t xml:space="preserve"> </w:t>
      </w:r>
      <w:r w:rsidRPr="00A62457">
        <w:rPr>
          <w:sz w:val="20"/>
        </w:rPr>
        <w:t xml:space="preserve">There is agreement with the majority that there was no fiduciary duty here, that no valid claims arise from s. 32 of the </w:t>
      </w:r>
      <w:r w:rsidRPr="00A62457">
        <w:rPr>
          <w:i/>
          <w:sz w:val="20"/>
        </w:rPr>
        <w:t>Manitoba Act</w:t>
      </w:r>
      <w:r w:rsidRPr="00A62457">
        <w:rPr>
          <w:sz w:val="20"/>
        </w:rPr>
        <w:t>, that any claims that might have arisen from the now repealed Manitoba legislation on the land grants are moot, that the random allocation of land grants was an acceptable means for Canada to implement the s. 31 land grants, and that the MMF has standing to bring these claims.  However, the majority proposes a new common law constitutional obligation derived from the honour of the Crown.  The courts below did not consider this issue and the parties did not argue it before this Court.  This is an unpredictable expansion of the scope of the duties engaged under the honour of the Crown.  The claim based on the honour of the Crown is also barred by both limitations periods and laches.</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While a duty of diligent fulfillment may well prove to be an appropriate expansion of Crown obligations, and while a faster process would most certainly have been better, the duty crafted by the majority creates an unclear rule that is unconstrained by laches or limitation periods and immune from legislative redress, making the extent and consequences of the Crown’s new obligations impossible to predict.  It is not clear when an obligation rises to the “solemn” level that triggers the duty, what types of legal documents will give rise to solemn obligations, whether an obligation with a treaty</w:t>
      </w:r>
      <w:r w:rsidRPr="00A62457">
        <w:rPr>
          <w:sz w:val="20"/>
        </w:rPr>
        <w:noBreakHyphen/>
        <w:t>like character imposes higher obligations than other constitutional provisions, and whether it is sufficient for the obligation to be owed to an Aboriginal group.  The idea that how the government is obliged to perform a constitutional obligation depends on how closely it resembles a treaty should be rejected.  It would be a significant expansion of Crown liability to permit a claimant to seek relief so long as the promise was made to an Aboriginal group, without proof of an Aboriginal interest sufficient to ground a fiduciary duty, and based on actions that would not constitute a breach of fiduciary duty.</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Even if the honour of the Crown was engaged and required the diligent implementation of s. 31, and even if this duty was not fulfilled, any claims arising from such a cause of action have long been barred by statutes of limitations and the equitable doctrine of laches.  Limitations and laches cannot fulfill their purposes if they are not universally applicable.  Limitations periods apply to the government as they do to all other litigants both generally and in the area of Aboriginal claims.  This benefits the legal system by creating certainty and predictability, and serves to protect society at large by ensuring that claims against the Crown are made in a timely fashion so that the Crown is able to defend itself adequately.</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Limitations periods have existed in Manitoba continuously since 1870, and, since 1931, Manitoba limitations legislation has provided a six</w:t>
      </w:r>
      <w:r w:rsidRPr="00A62457">
        <w:rPr>
          <w:sz w:val="20"/>
        </w:rPr>
        <w:noBreakHyphen/>
        <w:t>year limitation period for all causes of action, whether the cause of action arose before or after the legislation came into force.  Manitoba has a 30</w:t>
      </w:r>
      <w:r w:rsidRPr="00A62457">
        <w:rPr>
          <w:sz w:val="20"/>
        </w:rPr>
        <w:noBreakHyphen/>
        <w:t>year ultimate limitation period.  The Crown is entitled to the benefit of those limitations periods.  The policy rationales underlying limitations periods do not support the creation of an exemption from those periods in this case.  Manitoba legislation does not contain an exception from limitations periods for declaratory judgments and no such exception should be judicially created.  In this case, the risk that a declaratory judgment will lead to additional remedies is fully realized: the Métis plan to use the declaration in extra</w:t>
      </w:r>
      <w:r w:rsidRPr="00A62457">
        <w:rPr>
          <w:sz w:val="20"/>
        </w:rPr>
        <w:noBreakHyphen/>
        <w:t>judicial negotiations with the Crown, so the declaration exposes the Crown to an obligation long after the time when the limitations period expired.</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trike/>
          <w:sz w:val="20"/>
        </w:rPr>
      </w:pPr>
      <w:r w:rsidRPr="00A62457">
        <w:rPr>
          <w:sz w:val="20"/>
        </w:rPr>
        <w:tab/>
        <w:t>Moreover, this Court has never recognized a general exception from limitations for constitutionally derived claims. Rather, it has consistently held that limitations periods apply to factual claims with constitutional elements.  While limitations periods do not apply to prevent a court from declaring a statute unconstitutional, the Métis’ claim about unconstitutional statutes is moot.  The remaining declaration sought concerns factual issues and alleged breaches of obligations which have always been subject to limitation periods.  In suggesting that the goal of reconciliation must be given priority in the Aboriginal context, it appears that the majority has departed from the principle that the same policy rationales that support limitations generally should apply to Aboriginal claims.</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 xml:space="preserve">These claims are also subject to laches.  Laches can be used to defend against equitable claims that have not been brought in a sufficiently timely manner, and as breaches of fiduciary duty can be subject to laches, it would be fundamentally inconsistent to permit certain claims based on the honour of the Crown to escape the imputation of laches.  Both branches of laches are satisfied:  the Métis have knowingly delayed their claim by over a hundred years and in so doing have acquiesced to the circumstances and invited the government to rely on that, rendering the prosecution of this action unreasonable.  As to acquiescence, the trial judge found that the Métis had the required knowledge in the 1870s, and that finding has not been shown to be an error.  The suggestion that it is “unrealistic” to expect someone to have enforced their claim before the courts were prepared to recognize those rights is fundamentally </w:t>
      </w:r>
      <w:r w:rsidRPr="00A62457">
        <w:rPr>
          <w:sz w:val="20"/>
        </w:rPr>
        <w:lastRenderedPageBreak/>
        <w:t>at odds with the common law approach to changes in the law.  Delay in making the grants cannot be both the wrong alleged and the reason the Crown cannot access the defence of laches: laches are always invoked as a defence by a party alleged to have wronged the plaintiff.  If assessing conscionability is reduced to determining if the plaintiff has proven the allegations, the defence of laches is rendered illusory.  The imbalance in power between the Métis and the government did not undermine their knowledge, capacity or freedom to the extent required to prevent a finding of acquiescence.  The inference that delays in the land grants caused the vulnerability of the Métis was neither made by the trial judge nor supported by the record.  In any event, laches are imputed against vulnerable people just as limitations periods are applied against them.</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As to reliance, had the claim been brought promptly, the unexplained delays referred to as evidence for the Crown acting dishonourably may well have been accounted for, or the government might have been able to take steps to satisfy the Métis community.</w:t>
      </w:r>
    </w:p>
    <w:p w:rsidR="000826FC" w:rsidRDefault="000826FC" w:rsidP="000826FC">
      <w:pPr>
        <w:pStyle w:val="SCCNormalDoubleSpacing"/>
        <w:spacing w:line="240" w:lineRule="auto"/>
        <w:rPr>
          <w:sz w:val="20"/>
        </w:rPr>
      </w:pPr>
    </w:p>
    <w:p w:rsidR="000826FC" w:rsidRDefault="000826FC" w:rsidP="000826FC">
      <w:pPr>
        <w:pStyle w:val="SCCNormalDoubleSpacing"/>
        <w:spacing w:line="240" w:lineRule="auto"/>
        <w:rPr>
          <w:sz w:val="20"/>
        </w:rPr>
      </w:pPr>
      <w:r w:rsidRPr="00A62457">
        <w:rPr>
          <w:sz w:val="20"/>
        </w:rPr>
        <w:tab/>
        <w:t>Finally, while not doing so explicitly, the majority departs from the factual findings of the trial judge, absent a finding of palpable and overriding error, in two main areas:  (1) the extent of the delay in distributing the land, and (2) the effect of that delay on the Métis.  Manifestly, the trial judge made findings of delay.  Nonetheless these findings and the evidence do not reveal a pattern of inattention, a lack of diligence, or that the purposes of the land grant were frustrated.  That alone would nullify any claim the Métis might have based on a breach of duty derived from the honour of the Crown, assuming that any such duty exists.</w:t>
      </w:r>
    </w:p>
    <w:p w:rsidR="000826FC" w:rsidRDefault="000826FC" w:rsidP="000826FC">
      <w:pPr>
        <w:pStyle w:val="SCCNormalDoubleSpacing"/>
        <w:spacing w:line="240" w:lineRule="auto"/>
        <w:rPr>
          <w:sz w:val="20"/>
        </w:rPr>
      </w:pPr>
    </w:p>
    <w:p w:rsidR="000826FC" w:rsidRPr="00A62457" w:rsidRDefault="000826FC" w:rsidP="000826FC">
      <w:pPr>
        <w:pStyle w:val="SCCNormalDoubleSpacing"/>
        <w:spacing w:line="240" w:lineRule="auto"/>
        <w:rPr>
          <w:sz w:val="20"/>
        </w:rPr>
      </w:pPr>
      <w:r w:rsidRPr="00A62457">
        <w:rPr>
          <w:sz w:val="20"/>
        </w:rPr>
        <w:tab/>
        <w:t xml:space="preserve">APPEAL from a judgment of the Manitoba Court of Appeal (Scott C.J.M. and Monnin, Steel, Hamilton and Freedman JJ.A.), </w:t>
      </w:r>
      <w:bookmarkStart w:id="3" w:name="OLE_LINK3"/>
      <w:bookmarkStart w:id="4" w:name="OLE_LINK4"/>
      <w:r w:rsidRPr="00A62457">
        <w:rPr>
          <w:sz w:val="20"/>
        </w:rPr>
        <w:t>2010 MBCA 71</w:t>
      </w:r>
      <w:bookmarkEnd w:id="3"/>
      <w:bookmarkEnd w:id="4"/>
      <w:r w:rsidRPr="00A62457">
        <w:rPr>
          <w:sz w:val="20"/>
        </w:rPr>
        <w:t>, 255 Man. R. (2d) 167, 486 W.A.C. 167, [2010] 12 W.W.R. 599, [2010] 3 C.N.L.R. 233, 216 C.R.R. (2d) 144, 94 R.P.R. (4th) 161, [2010] M.J. No. 219 (QL), 2010 CarswellMan 322, affirming a decision of MacInnes J., 2007 MBQB 293, 223 Man. R. (2d) 42, [2008] 4 W.W.R. 402, [2008] 2 C.N.L.R. 52, [2007] M.J. No. 448 (QL), 2007 CarswellMan 500.  Appeal allowed in part, Rothstein and Moldaver JJ. dissenting.</w:t>
      </w:r>
    </w:p>
    <w:p w:rsidR="000826FC" w:rsidRDefault="000826FC" w:rsidP="000826FC">
      <w:pPr>
        <w:pStyle w:val="SCCNormalDoubleSpacing"/>
        <w:spacing w:line="240" w:lineRule="auto"/>
        <w:rPr>
          <w:rStyle w:val="SCCCounselNameChar"/>
          <w:sz w:val="20"/>
        </w:rPr>
      </w:pPr>
    </w:p>
    <w:p w:rsidR="000826FC" w:rsidRPr="00A62457" w:rsidRDefault="000826FC" w:rsidP="000826FC">
      <w:pPr>
        <w:pStyle w:val="SCCNormalDoubleSpacing"/>
        <w:spacing w:line="240" w:lineRule="auto"/>
        <w:rPr>
          <w:sz w:val="20"/>
        </w:rPr>
      </w:pPr>
      <w:r w:rsidRPr="00A62457">
        <w:rPr>
          <w:rStyle w:val="SCCCounselNameChar"/>
          <w:sz w:val="20"/>
        </w:rPr>
        <w:tab/>
        <w:t>Thomas R. Berger, Q.C.</w:t>
      </w:r>
      <w:r w:rsidRPr="000826FC">
        <w:rPr>
          <w:rStyle w:val="SCCCounselSeparatorChar"/>
          <w:sz w:val="20"/>
          <w:lang w:val="en-CA"/>
        </w:rPr>
        <w:t xml:space="preserve">, </w:t>
      </w:r>
      <w:r w:rsidRPr="00A62457">
        <w:rPr>
          <w:rStyle w:val="SCCCounselNameChar"/>
          <w:sz w:val="20"/>
        </w:rPr>
        <w:t>James Aldridge, Q.C.,</w:t>
      </w:r>
      <w:r w:rsidRPr="000826FC">
        <w:rPr>
          <w:rStyle w:val="SCCCounselSeparatorChar"/>
          <w:sz w:val="20"/>
          <w:lang w:val="en-CA"/>
        </w:rPr>
        <w:t xml:space="preserve"> </w:t>
      </w:r>
      <w:r w:rsidRPr="00A62457">
        <w:rPr>
          <w:rStyle w:val="SCCCounselNameChar"/>
          <w:sz w:val="20"/>
        </w:rPr>
        <w:t>Harley Schachter and Guylaine Grenier</w:t>
      </w:r>
      <w:r w:rsidRPr="00A62457">
        <w:rPr>
          <w:rStyle w:val="SCCCounselPartyRoleChar"/>
          <w:sz w:val="20"/>
        </w:rPr>
        <w:t>, for the appellants.</w:t>
      </w:r>
    </w:p>
    <w:p w:rsidR="000826FC" w:rsidRDefault="000826FC" w:rsidP="000826FC">
      <w:pPr>
        <w:pStyle w:val="SCCNormalDoubleSpacing"/>
        <w:spacing w:line="240" w:lineRule="auto"/>
        <w:rPr>
          <w:rStyle w:val="SCCCounselNameChar"/>
          <w:sz w:val="20"/>
        </w:rPr>
      </w:pPr>
    </w:p>
    <w:p w:rsidR="000826FC" w:rsidRPr="00A62457" w:rsidRDefault="000826FC" w:rsidP="000826FC">
      <w:pPr>
        <w:pStyle w:val="SCCNormalDoubleSpacing"/>
        <w:spacing w:line="240" w:lineRule="auto"/>
        <w:rPr>
          <w:sz w:val="20"/>
        </w:rPr>
      </w:pPr>
      <w:r w:rsidRPr="00A62457">
        <w:rPr>
          <w:rStyle w:val="SCCCounselNameChar"/>
          <w:sz w:val="20"/>
        </w:rPr>
        <w:tab/>
        <w:t>Mark Kindrachuk, Q.C.</w:t>
      </w:r>
      <w:r w:rsidRPr="000826FC">
        <w:rPr>
          <w:rStyle w:val="SCCCounselSeparatorChar"/>
          <w:sz w:val="20"/>
          <w:lang w:val="en-CA"/>
        </w:rPr>
        <w:t xml:space="preserve">, </w:t>
      </w:r>
      <w:r w:rsidRPr="00A62457">
        <w:rPr>
          <w:rStyle w:val="SCCCounselNameChar"/>
          <w:sz w:val="20"/>
        </w:rPr>
        <w:t>Mitchell R. Taylor, Q.C.</w:t>
      </w:r>
      <w:r w:rsidRPr="00A62457">
        <w:rPr>
          <w:rStyle w:val="SCCCounselPartyRoleChar"/>
          <w:sz w:val="20"/>
        </w:rPr>
        <w:t xml:space="preserve">, and </w:t>
      </w:r>
      <w:r w:rsidRPr="00A62457">
        <w:rPr>
          <w:rStyle w:val="SCCCounselNameChar"/>
          <w:sz w:val="20"/>
        </w:rPr>
        <w:t>Sharlene Telles</w:t>
      </w:r>
      <w:r w:rsidRPr="00A62457">
        <w:rPr>
          <w:rStyle w:val="SCCCounselNameChar"/>
          <w:sz w:val="20"/>
        </w:rPr>
        <w:noBreakHyphen/>
        <w:t xml:space="preserve">Langdon, </w:t>
      </w:r>
      <w:r w:rsidRPr="00A62457">
        <w:rPr>
          <w:rStyle w:val="SCCCounselPartyRoleChar"/>
          <w:sz w:val="20"/>
        </w:rPr>
        <w:t>for the respondent the Attorney General of Canada.</w:t>
      </w:r>
    </w:p>
    <w:p w:rsidR="000826FC" w:rsidRDefault="000826FC" w:rsidP="000826FC">
      <w:pPr>
        <w:pStyle w:val="SCCNormalDoubleSpacing"/>
        <w:spacing w:line="240" w:lineRule="auto"/>
        <w:rPr>
          <w:rStyle w:val="SCCCounselNameChar"/>
          <w:sz w:val="20"/>
        </w:rPr>
      </w:pPr>
    </w:p>
    <w:p w:rsidR="000826FC" w:rsidRPr="00A62457" w:rsidRDefault="000826FC" w:rsidP="000826FC">
      <w:pPr>
        <w:pStyle w:val="SCCNormalDoubleSpacing"/>
        <w:spacing w:line="240" w:lineRule="auto"/>
        <w:rPr>
          <w:sz w:val="20"/>
        </w:rPr>
      </w:pPr>
      <w:r w:rsidRPr="00A62457">
        <w:rPr>
          <w:rStyle w:val="SCCCounselNameChar"/>
          <w:sz w:val="20"/>
        </w:rPr>
        <w:tab/>
        <w:t>Heather Leonoff, Q.C.</w:t>
      </w:r>
      <w:r w:rsidRPr="000826FC">
        <w:rPr>
          <w:rStyle w:val="SCCCounselSeparatorChar"/>
          <w:sz w:val="20"/>
          <w:lang w:val="en-CA"/>
        </w:rPr>
        <w:t xml:space="preserve">, and </w:t>
      </w:r>
      <w:r w:rsidRPr="00A62457">
        <w:rPr>
          <w:rStyle w:val="SCCCounselNameChar"/>
          <w:sz w:val="20"/>
        </w:rPr>
        <w:t>Michael Conner</w:t>
      </w:r>
      <w:r w:rsidRPr="00A62457">
        <w:rPr>
          <w:rStyle w:val="SCCCounselPartyRoleChar"/>
          <w:sz w:val="20"/>
        </w:rPr>
        <w:t>, for the respondent the Attorney General of Manitoba.</w:t>
      </w:r>
    </w:p>
    <w:p w:rsidR="000826FC" w:rsidRDefault="000826FC" w:rsidP="000826FC">
      <w:pPr>
        <w:pStyle w:val="SCCNormalDoubleSpacing"/>
        <w:spacing w:line="240" w:lineRule="auto"/>
        <w:rPr>
          <w:rStyle w:val="SCCCounselNameChar"/>
          <w:sz w:val="20"/>
        </w:rPr>
      </w:pPr>
    </w:p>
    <w:p w:rsidR="000826FC" w:rsidRPr="00A62457" w:rsidRDefault="000826FC" w:rsidP="000826FC">
      <w:pPr>
        <w:pStyle w:val="SCCNormalDoubleSpacing"/>
        <w:spacing w:line="240" w:lineRule="auto"/>
        <w:rPr>
          <w:sz w:val="20"/>
        </w:rPr>
      </w:pPr>
      <w:r w:rsidRPr="00A62457">
        <w:rPr>
          <w:rStyle w:val="SCCCounselNameChar"/>
          <w:sz w:val="20"/>
        </w:rPr>
        <w:tab/>
        <w:t>P. Mitch McAdam</w:t>
      </w:r>
      <w:r w:rsidRPr="00A62457">
        <w:rPr>
          <w:rStyle w:val="SCCCounselPartyRoleChar"/>
          <w:sz w:val="20"/>
        </w:rPr>
        <w:t>, for the intervener the Attorney General for Saskatchewan.</w:t>
      </w:r>
    </w:p>
    <w:p w:rsidR="000826FC" w:rsidRDefault="000826FC" w:rsidP="000826FC">
      <w:pPr>
        <w:pStyle w:val="SCCNormalDoubleSpacing"/>
        <w:spacing w:line="240" w:lineRule="auto"/>
        <w:rPr>
          <w:rStyle w:val="SCCCounselNameChar"/>
          <w:sz w:val="20"/>
        </w:rPr>
      </w:pPr>
    </w:p>
    <w:p w:rsidR="000826FC" w:rsidRPr="00A62457" w:rsidRDefault="000826FC" w:rsidP="000826FC">
      <w:pPr>
        <w:pStyle w:val="SCCNormalDoubleSpacing"/>
        <w:spacing w:line="240" w:lineRule="auto"/>
        <w:rPr>
          <w:sz w:val="20"/>
        </w:rPr>
      </w:pPr>
      <w:r w:rsidRPr="00A62457">
        <w:rPr>
          <w:rStyle w:val="SCCCounselNameChar"/>
          <w:sz w:val="20"/>
        </w:rPr>
        <w:tab/>
      </w:r>
      <w:r w:rsidRPr="00DB4074">
        <w:rPr>
          <w:rStyle w:val="SCCCounselNameChar"/>
          <w:i w:val="0"/>
          <w:sz w:val="20"/>
        </w:rPr>
        <w:t>Written submissions only by</w:t>
      </w:r>
      <w:r w:rsidRPr="00A62457">
        <w:rPr>
          <w:rStyle w:val="SCCCounselNameChar"/>
          <w:sz w:val="20"/>
        </w:rPr>
        <w:t xml:space="preserve"> Douglas B. Titosky</w:t>
      </w:r>
      <w:r w:rsidRPr="00A62457">
        <w:rPr>
          <w:rStyle w:val="SCCCounselPartyRoleChar"/>
          <w:sz w:val="20"/>
        </w:rPr>
        <w:t>, for the intervener the Attorney General of Alberta.</w:t>
      </w:r>
    </w:p>
    <w:p w:rsidR="000826FC" w:rsidRDefault="000826FC" w:rsidP="000826FC">
      <w:pPr>
        <w:pStyle w:val="SCCNormalDoubleSpacing"/>
        <w:spacing w:line="240" w:lineRule="auto"/>
        <w:rPr>
          <w:rStyle w:val="SCCCounselNameChar"/>
          <w:sz w:val="20"/>
        </w:rPr>
      </w:pPr>
    </w:p>
    <w:p w:rsidR="000826FC" w:rsidRPr="00A62457" w:rsidRDefault="000826FC" w:rsidP="000826FC">
      <w:pPr>
        <w:pStyle w:val="SCCNormalDoubleSpacing"/>
        <w:spacing w:line="240" w:lineRule="auto"/>
        <w:rPr>
          <w:sz w:val="20"/>
        </w:rPr>
      </w:pPr>
      <w:r w:rsidRPr="00A62457">
        <w:rPr>
          <w:rStyle w:val="SCCCounselNameChar"/>
          <w:sz w:val="20"/>
        </w:rPr>
        <w:tab/>
        <w:t>Clement Chartier</w:t>
      </w:r>
      <w:r w:rsidRPr="000826FC">
        <w:rPr>
          <w:rStyle w:val="SCCCounselSeparatorChar"/>
          <w:sz w:val="20"/>
          <w:lang w:val="en-CA"/>
        </w:rPr>
        <w:t xml:space="preserve">, </w:t>
      </w:r>
      <w:r w:rsidRPr="000826FC">
        <w:rPr>
          <w:rStyle w:val="SCCCounselSeparatorChar"/>
          <w:i/>
          <w:sz w:val="20"/>
          <w:lang w:val="en-CA"/>
        </w:rPr>
        <w:t>Q.C.</w:t>
      </w:r>
      <w:r w:rsidRPr="000826FC">
        <w:rPr>
          <w:rStyle w:val="SCCCounselSeparatorChar"/>
          <w:sz w:val="20"/>
          <w:lang w:val="en-CA"/>
        </w:rPr>
        <w:t xml:space="preserve">, and </w:t>
      </w:r>
      <w:r w:rsidRPr="00A62457">
        <w:rPr>
          <w:rStyle w:val="SCCCounselNameChar"/>
          <w:sz w:val="20"/>
        </w:rPr>
        <w:t>Marc LeClair</w:t>
      </w:r>
      <w:r w:rsidRPr="00A62457">
        <w:rPr>
          <w:rStyle w:val="SCCCounselPartyRoleChar"/>
          <w:sz w:val="20"/>
        </w:rPr>
        <w:t>, for the intervener the Métis National Council.</w:t>
      </w:r>
    </w:p>
    <w:p w:rsidR="000826FC" w:rsidRDefault="000826FC" w:rsidP="000826FC">
      <w:pPr>
        <w:pStyle w:val="SCCNormalDoubleSpacing"/>
        <w:spacing w:line="240" w:lineRule="auto"/>
        <w:rPr>
          <w:rStyle w:val="SCCCounselNameChar"/>
          <w:sz w:val="20"/>
        </w:rPr>
      </w:pPr>
    </w:p>
    <w:p w:rsidR="000826FC" w:rsidRPr="00A62457" w:rsidRDefault="000826FC" w:rsidP="000826FC">
      <w:pPr>
        <w:pStyle w:val="SCCNormalDoubleSpacing"/>
        <w:spacing w:line="240" w:lineRule="auto"/>
        <w:rPr>
          <w:sz w:val="20"/>
        </w:rPr>
      </w:pPr>
      <w:r w:rsidRPr="00A62457">
        <w:rPr>
          <w:rStyle w:val="SCCCounselNameChar"/>
          <w:sz w:val="20"/>
        </w:rPr>
        <w:tab/>
        <w:t>Jason Taylor Madden</w:t>
      </w:r>
      <w:r w:rsidRPr="00A62457">
        <w:rPr>
          <w:rStyle w:val="SCCCounselPartyRoleChar"/>
          <w:sz w:val="20"/>
        </w:rPr>
        <w:t>, for the intervener the Métis Nation of Alberta.</w:t>
      </w:r>
    </w:p>
    <w:p w:rsidR="000826FC" w:rsidRDefault="000826FC" w:rsidP="000826FC">
      <w:pPr>
        <w:pStyle w:val="SCCNormalDoubleSpacing"/>
        <w:spacing w:line="240" w:lineRule="auto"/>
        <w:rPr>
          <w:rStyle w:val="SCCCounselNameChar"/>
          <w:sz w:val="20"/>
        </w:rPr>
      </w:pPr>
    </w:p>
    <w:p w:rsidR="000826FC" w:rsidRPr="00A62457" w:rsidRDefault="000826FC" w:rsidP="000826FC">
      <w:pPr>
        <w:pStyle w:val="SCCNormalDoubleSpacing"/>
        <w:spacing w:line="240" w:lineRule="auto"/>
        <w:rPr>
          <w:sz w:val="20"/>
        </w:rPr>
      </w:pPr>
      <w:r w:rsidRPr="00A62457">
        <w:rPr>
          <w:rStyle w:val="SCCCounselNameChar"/>
          <w:sz w:val="20"/>
        </w:rPr>
        <w:tab/>
        <w:t>Jean M. Teillet and Arthur Pape</w:t>
      </w:r>
      <w:r w:rsidRPr="00A62457">
        <w:rPr>
          <w:rStyle w:val="SCCCounselPartyRoleChar"/>
          <w:sz w:val="20"/>
        </w:rPr>
        <w:t>, for the intervener the Métis Nation of Ontario.</w:t>
      </w:r>
    </w:p>
    <w:p w:rsidR="000826FC" w:rsidRDefault="000826FC" w:rsidP="000826FC">
      <w:pPr>
        <w:pStyle w:val="SCCNormalDoubleSpacing"/>
        <w:spacing w:line="240" w:lineRule="auto"/>
        <w:rPr>
          <w:rStyle w:val="SCCCounselNameChar"/>
          <w:sz w:val="20"/>
        </w:rPr>
      </w:pPr>
    </w:p>
    <w:p w:rsidR="000826FC" w:rsidRPr="00A62457" w:rsidRDefault="000826FC" w:rsidP="000826FC">
      <w:pPr>
        <w:pStyle w:val="SCCNormalDoubleSpacing"/>
        <w:spacing w:line="240" w:lineRule="auto"/>
        <w:rPr>
          <w:sz w:val="20"/>
        </w:rPr>
      </w:pPr>
      <w:r w:rsidRPr="00A62457">
        <w:rPr>
          <w:rStyle w:val="SCCCounselNameChar"/>
          <w:sz w:val="20"/>
        </w:rPr>
        <w:tab/>
        <w:t>Jeffrey R. W. Rath</w:t>
      </w:r>
      <w:r w:rsidRPr="00A62457">
        <w:rPr>
          <w:rStyle w:val="SCCCounselPartyRoleChar"/>
          <w:sz w:val="20"/>
        </w:rPr>
        <w:t>, for the intervener the Treaty One First Nations.</w:t>
      </w:r>
    </w:p>
    <w:p w:rsidR="000826FC" w:rsidRDefault="000826FC" w:rsidP="000826FC">
      <w:pPr>
        <w:pStyle w:val="SCCNormalDoubleSpacing"/>
        <w:spacing w:line="240" w:lineRule="auto"/>
        <w:rPr>
          <w:rStyle w:val="SCCCounselNameChar"/>
          <w:sz w:val="20"/>
        </w:rPr>
      </w:pPr>
    </w:p>
    <w:p w:rsidR="000826FC" w:rsidRPr="00A62457" w:rsidRDefault="000826FC" w:rsidP="000826FC">
      <w:pPr>
        <w:pStyle w:val="SCCNormalDoubleSpacing"/>
        <w:spacing w:line="240" w:lineRule="auto"/>
        <w:rPr>
          <w:sz w:val="20"/>
        </w:rPr>
      </w:pPr>
      <w:r w:rsidRPr="00A62457">
        <w:rPr>
          <w:rStyle w:val="SCCCounselNameChar"/>
          <w:sz w:val="20"/>
        </w:rPr>
        <w:tab/>
      </w:r>
      <w:r w:rsidRPr="00DB4074">
        <w:rPr>
          <w:rStyle w:val="SCCCounselNameChar"/>
          <w:i w:val="0"/>
          <w:sz w:val="20"/>
        </w:rPr>
        <w:t>Written submissions only by</w:t>
      </w:r>
      <w:r w:rsidRPr="00A62457">
        <w:rPr>
          <w:rStyle w:val="SCCCounselNameChar"/>
          <w:sz w:val="20"/>
        </w:rPr>
        <w:t xml:space="preserve"> Joseph J. Arvay, Q.C.</w:t>
      </w:r>
      <w:r w:rsidRPr="00A62457">
        <w:rPr>
          <w:rStyle w:val="SCCCounselPartyRoleChar"/>
          <w:sz w:val="20"/>
        </w:rPr>
        <w:t xml:space="preserve">, </w:t>
      </w:r>
      <w:r w:rsidRPr="00A62457">
        <w:rPr>
          <w:rStyle w:val="SCCCounselPartyRoleChar"/>
          <w:i/>
          <w:sz w:val="20"/>
        </w:rPr>
        <w:t>David C. Nahwegahbow</w:t>
      </w:r>
      <w:r w:rsidRPr="00A62457">
        <w:rPr>
          <w:rStyle w:val="SCCCounselPartyRoleChar"/>
          <w:sz w:val="20"/>
        </w:rPr>
        <w:t xml:space="preserve"> and </w:t>
      </w:r>
      <w:r w:rsidRPr="00A62457">
        <w:rPr>
          <w:rStyle w:val="SCCCounselPartyRoleChar"/>
          <w:i/>
          <w:sz w:val="20"/>
        </w:rPr>
        <w:t>Bruce Elwood</w:t>
      </w:r>
      <w:r w:rsidRPr="00A62457">
        <w:rPr>
          <w:rStyle w:val="SCCCounselPartyRoleChar"/>
          <w:sz w:val="20"/>
        </w:rPr>
        <w:t>, for the intervener the Assembly of First Nations.</w:t>
      </w:r>
    </w:p>
    <w:p w:rsidR="000826FC" w:rsidRDefault="000826FC" w:rsidP="000826FC">
      <w:pPr>
        <w:pStyle w:val="SCCLawFirm"/>
        <w:spacing w:line="240" w:lineRule="auto"/>
        <w:rPr>
          <w:sz w:val="20"/>
        </w:rPr>
      </w:pPr>
    </w:p>
    <w:p w:rsidR="000826FC" w:rsidRPr="00A62457" w:rsidRDefault="000826FC" w:rsidP="000826FC">
      <w:pPr>
        <w:pStyle w:val="SCCLawFirm"/>
        <w:spacing w:line="240" w:lineRule="auto"/>
        <w:rPr>
          <w:sz w:val="20"/>
        </w:rPr>
      </w:pPr>
      <w:r w:rsidRPr="00A62457">
        <w:rPr>
          <w:sz w:val="20"/>
        </w:rPr>
        <w:tab/>
        <w:t>Solicitors for the appellants:  Rosenbloom Aldridge Bartley &amp; Rosling, Vancouver.</w:t>
      </w:r>
    </w:p>
    <w:p w:rsidR="000826FC" w:rsidRDefault="000826FC" w:rsidP="000826FC">
      <w:pPr>
        <w:pStyle w:val="SCCLawFirm"/>
        <w:spacing w:line="240" w:lineRule="auto"/>
        <w:rPr>
          <w:sz w:val="20"/>
        </w:rPr>
      </w:pPr>
    </w:p>
    <w:p w:rsidR="000826FC" w:rsidRPr="00A62457" w:rsidRDefault="000826FC" w:rsidP="000826FC">
      <w:pPr>
        <w:pStyle w:val="SCCLawFirm"/>
        <w:spacing w:line="240" w:lineRule="auto"/>
        <w:rPr>
          <w:sz w:val="20"/>
        </w:rPr>
      </w:pPr>
      <w:r w:rsidRPr="00A62457">
        <w:rPr>
          <w:sz w:val="20"/>
        </w:rPr>
        <w:tab/>
        <w:t>Solicitor for the respondent the Attorney General of Canada:  Attorney General of Canada, Saskatoon.</w:t>
      </w:r>
    </w:p>
    <w:p w:rsidR="000826FC" w:rsidRDefault="000826FC" w:rsidP="000826FC">
      <w:pPr>
        <w:pStyle w:val="SCCLawFirm"/>
        <w:spacing w:line="240" w:lineRule="auto"/>
        <w:rPr>
          <w:sz w:val="20"/>
        </w:rPr>
      </w:pPr>
    </w:p>
    <w:p w:rsidR="000826FC" w:rsidRPr="00A62457" w:rsidRDefault="000826FC" w:rsidP="000826FC">
      <w:pPr>
        <w:pStyle w:val="SCCLawFirm"/>
        <w:spacing w:line="240" w:lineRule="auto"/>
        <w:rPr>
          <w:sz w:val="20"/>
        </w:rPr>
      </w:pPr>
      <w:r w:rsidRPr="00A62457">
        <w:rPr>
          <w:sz w:val="20"/>
        </w:rPr>
        <w:tab/>
        <w:t>Solicitor for the respondent the Attorney General of Manitoba:  Attorney General of Manitoba, Winnipeg.</w:t>
      </w:r>
    </w:p>
    <w:p w:rsidR="000826FC" w:rsidRDefault="000826FC" w:rsidP="000826FC">
      <w:pPr>
        <w:pStyle w:val="SCCLawFirm"/>
        <w:spacing w:line="240" w:lineRule="auto"/>
        <w:rPr>
          <w:sz w:val="20"/>
        </w:rPr>
      </w:pPr>
    </w:p>
    <w:p w:rsidR="000826FC" w:rsidRPr="00A62457" w:rsidRDefault="000826FC" w:rsidP="000826FC">
      <w:pPr>
        <w:pStyle w:val="SCCLawFirm"/>
        <w:spacing w:line="240" w:lineRule="auto"/>
        <w:rPr>
          <w:sz w:val="20"/>
        </w:rPr>
      </w:pPr>
      <w:r w:rsidRPr="00A62457">
        <w:rPr>
          <w:sz w:val="20"/>
        </w:rPr>
        <w:lastRenderedPageBreak/>
        <w:tab/>
        <w:t>Solicitor for the intervener the Attorney General for Saskatchewan:  Attorney General for Saskatchewan, Regina.</w:t>
      </w:r>
    </w:p>
    <w:p w:rsidR="000826FC" w:rsidRDefault="000826FC" w:rsidP="000826FC">
      <w:pPr>
        <w:pStyle w:val="SCCLawFirm"/>
        <w:spacing w:line="240" w:lineRule="auto"/>
        <w:rPr>
          <w:sz w:val="20"/>
        </w:rPr>
      </w:pPr>
    </w:p>
    <w:p w:rsidR="000826FC" w:rsidRPr="00A62457" w:rsidRDefault="000826FC" w:rsidP="000826FC">
      <w:pPr>
        <w:pStyle w:val="SCCLawFirm"/>
        <w:spacing w:line="240" w:lineRule="auto"/>
        <w:rPr>
          <w:sz w:val="20"/>
        </w:rPr>
      </w:pPr>
      <w:r w:rsidRPr="00A62457">
        <w:rPr>
          <w:sz w:val="20"/>
        </w:rPr>
        <w:tab/>
        <w:t>Solicitor for the intervener the Attorney General of Alberta:  Attorney General of Alberta, Edmonton.</w:t>
      </w:r>
    </w:p>
    <w:p w:rsidR="000826FC" w:rsidRDefault="000826FC" w:rsidP="000826FC">
      <w:pPr>
        <w:pStyle w:val="SCCLawFirm"/>
        <w:spacing w:line="240" w:lineRule="auto"/>
        <w:rPr>
          <w:sz w:val="20"/>
        </w:rPr>
      </w:pPr>
    </w:p>
    <w:p w:rsidR="000826FC" w:rsidRPr="00A62457" w:rsidRDefault="000826FC" w:rsidP="000826FC">
      <w:pPr>
        <w:pStyle w:val="SCCLawFirm"/>
        <w:spacing w:line="240" w:lineRule="auto"/>
        <w:rPr>
          <w:sz w:val="20"/>
        </w:rPr>
      </w:pPr>
      <w:r w:rsidRPr="00A62457">
        <w:rPr>
          <w:sz w:val="20"/>
        </w:rPr>
        <w:tab/>
        <w:t>Solicitor for the intervener the Métis National Council:  Métis National Council, Ottawa.</w:t>
      </w:r>
    </w:p>
    <w:p w:rsidR="000826FC" w:rsidRDefault="000826FC" w:rsidP="000826FC">
      <w:pPr>
        <w:pStyle w:val="SCCLawFirm"/>
        <w:spacing w:line="240" w:lineRule="auto"/>
        <w:rPr>
          <w:sz w:val="20"/>
        </w:rPr>
      </w:pPr>
    </w:p>
    <w:p w:rsidR="000826FC" w:rsidRPr="00A62457" w:rsidRDefault="000826FC" w:rsidP="000826FC">
      <w:pPr>
        <w:pStyle w:val="SCCLawFirm"/>
        <w:spacing w:line="240" w:lineRule="auto"/>
        <w:rPr>
          <w:sz w:val="20"/>
        </w:rPr>
      </w:pPr>
      <w:r w:rsidRPr="00A62457">
        <w:rPr>
          <w:sz w:val="20"/>
        </w:rPr>
        <w:tab/>
        <w:t>Solicitors for the intervener the Métis Nation of Alberta:  JTM Law, Toronto.</w:t>
      </w:r>
    </w:p>
    <w:p w:rsidR="000826FC" w:rsidRDefault="000826FC" w:rsidP="000826FC">
      <w:pPr>
        <w:pStyle w:val="SCCLawFirm"/>
        <w:spacing w:line="240" w:lineRule="auto"/>
        <w:rPr>
          <w:sz w:val="20"/>
        </w:rPr>
      </w:pPr>
    </w:p>
    <w:p w:rsidR="000826FC" w:rsidRPr="00A62457" w:rsidRDefault="000826FC" w:rsidP="000826FC">
      <w:pPr>
        <w:pStyle w:val="SCCLawFirm"/>
        <w:spacing w:line="240" w:lineRule="auto"/>
        <w:rPr>
          <w:sz w:val="20"/>
        </w:rPr>
      </w:pPr>
      <w:r w:rsidRPr="00A62457">
        <w:rPr>
          <w:sz w:val="20"/>
        </w:rPr>
        <w:tab/>
        <w:t>Solicitors for the intervener the Métis Nation of Ontario:  Pape Salter Teillet, Vancouver.</w:t>
      </w:r>
    </w:p>
    <w:p w:rsidR="000826FC" w:rsidRDefault="000826FC" w:rsidP="000826FC">
      <w:pPr>
        <w:pStyle w:val="SCCLawFirm"/>
        <w:spacing w:line="240" w:lineRule="auto"/>
        <w:rPr>
          <w:sz w:val="20"/>
        </w:rPr>
      </w:pPr>
    </w:p>
    <w:p w:rsidR="000826FC" w:rsidRPr="00A62457" w:rsidRDefault="000826FC" w:rsidP="000826FC">
      <w:pPr>
        <w:pStyle w:val="SCCLawFirm"/>
        <w:spacing w:line="240" w:lineRule="auto"/>
        <w:rPr>
          <w:sz w:val="20"/>
        </w:rPr>
      </w:pPr>
      <w:r w:rsidRPr="00A62457">
        <w:rPr>
          <w:sz w:val="20"/>
        </w:rPr>
        <w:tab/>
        <w:t>Solicitors for the intervener the Treaty One First Nations:  Rath &amp; Company, Priddis, Alberta.</w:t>
      </w:r>
    </w:p>
    <w:p w:rsidR="000826FC" w:rsidRDefault="000826FC" w:rsidP="000826FC">
      <w:pPr>
        <w:pStyle w:val="SCCLawFirm"/>
        <w:spacing w:line="240" w:lineRule="auto"/>
        <w:rPr>
          <w:sz w:val="20"/>
        </w:rPr>
      </w:pPr>
    </w:p>
    <w:p w:rsidR="000826FC" w:rsidRDefault="000826FC" w:rsidP="000826FC">
      <w:pPr>
        <w:pStyle w:val="SCCLawFirm"/>
        <w:spacing w:line="240" w:lineRule="auto"/>
        <w:rPr>
          <w:sz w:val="20"/>
        </w:rPr>
      </w:pPr>
      <w:r w:rsidRPr="00A62457">
        <w:rPr>
          <w:sz w:val="20"/>
        </w:rPr>
        <w:tab/>
        <w:t>Solicitors for the intervener the Assembly of First Nations:  Arvay Finlay, Vancouver; Nahwegahbow, Corbiere, Rama, Ontario.</w:t>
      </w:r>
    </w:p>
    <w:p w:rsidR="003B3977" w:rsidRPr="00CB72E7" w:rsidRDefault="003B3977" w:rsidP="003B3977">
      <w:pPr>
        <w:rPr>
          <w:sz w:val="20"/>
          <w:szCs w:val="20"/>
          <w:lang w:val="fr-CA"/>
        </w:rPr>
      </w:pPr>
      <w:r w:rsidRPr="00CB72E7">
        <w:rPr>
          <w:sz w:val="20"/>
          <w:szCs w:val="20"/>
          <w:lang w:val="fr-CA"/>
        </w:rPr>
        <w:t>________________________</w:t>
      </w:r>
    </w:p>
    <w:p w:rsidR="003B3977" w:rsidRPr="00CB72E7" w:rsidRDefault="003B3977" w:rsidP="003B3977">
      <w:pPr>
        <w:rPr>
          <w:sz w:val="20"/>
          <w:szCs w:val="20"/>
          <w:lang w:val="fr-CA"/>
        </w:rPr>
      </w:pPr>
    </w:p>
    <w:p w:rsidR="00F53A48" w:rsidRPr="0059781B" w:rsidRDefault="00F53A48" w:rsidP="00F53A48">
      <w:pPr>
        <w:jc w:val="both"/>
        <w:rPr>
          <w:rFonts w:cs="Times New Roman"/>
          <w:sz w:val="20"/>
          <w:szCs w:val="20"/>
          <w:lang w:val="fr-CA"/>
        </w:rPr>
      </w:pPr>
      <w:r w:rsidRPr="0059781B">
        <w:rPr>
          <w:rFonts w:cs="Times New Roman"/>
          <w:sz w:val="20"/>
          <w:szCs w:val="20"/>
          <w:lang w:val="fr-CA"/>
        </w:rPr>
        <w:t>Présents : La juge en chef McLachlin et les juges LeBel, Deschamps*, Fish, Abella, Rothstein, Cromwell, Moldaver et Karakatsanis</w:t>
      </w:r>
    </w:p>
    <w:p w:rsidR="00F53A48" w:rsidRPr="0059781B" w:rsidRDefault="00F53A48" w:rsidP="00F53A48">
      <w:pPr>
        <w:jc w:val="both"/>
        <w:rPr>
          <w:rFonts w:cs="Times New Roman"/>
          <w:sz w:val="20"/>
          <w:szCs w:val="20"/>
          <w:lang w:val="fr-CA"/>
        </w:rPr>
      </w:pPr>
    </w:p>
    <w:p w:rsidR="00F53A48" w:rsidRDefault="00F53A48" w:rsidP="00F53A48">
      <w:pPr>
        <w:jc w:val="both"/>
        <w:rPr>
          <w:rFonts w:cs="Times New Roman"/>
          <w:sz w:val="20"/>
          <w:szCs w:val="20"/>
          <w:lang w:val="fr-CA"/>
        </w:rPr>
      </w:pPr>
      <w:r w:rsidRPr="0059781B">
        <w:rPr>
          <w:rFonts w:cs="Times New Roman"/>
          <w:sz w:val="20"/>
          <w:szCs w:val="20"/>
          <w:lang w:val="fr-CA"/>
        </w:rPr>
        <w:t>(*La juge Deschamps n’a pas participé au jugement.)</w:t>
      </w:r>
    </w:p>
    <w:p w:rsidR="008912DA" w:rsidRPr="008912DA" w:rsidRDefault="008912DA" w:rsidP="008912DA">
      <w:pPr>
        <w:pStyle w:val="SCCLowerCourtNameLowercase"/>
        <w:spacing w:line="240" w:lineRule="auto"/>
        <w:rPr>
          <w:sz w:val="20"/>
          <w:lang w:val="fr-CA"/>
        </w:rPr>
      </w:pPr>
    </w:p>
    <w:p w:rsidR="008912DA" w:rsidRPr="008912DA" w:rsidRDefault="008912DA" w:rsidP="008912DA">
      <w:pPr>
        <w:pStyle w:val="SCCNormalDoubleSpacing"/>
        <w:spacing w:line="240" w:lineRule="auto"/>
        <w:rPr>
          <w:i/>
          <w:sz w:val="20"/>
          <w:lang w:val="fr-CA"/>
        </w:rPr>
      </w:pPr>
      <w:r w:rsidRPr="008912DA">
        <w:rPr>
          <w:sz w:val="20"/>
          <w:lang w:val="fr-CA"/>
        </w:rPr>
        <w:tab/>
      </w:r>
      <w:r w:rsidRPr="008912DA">
        <w:rPr>
          <w:i/>
          <w:sz w:val="20"/>
          <w:lang w:val="fr-CA"/>
        </w:rPr>
        <w:t>Droit des Autochtones — Métis — Droit de la Couronne — Honneur de la Couronne — Gouvernement canadien ayant convenu en 1870 de concéder aux enfants des Métis 1,4 million d’acres de terre et de reconnaître la propriété foncière existante des Métis — Promesses figurant aux art. 31 et 32 de la Loi de 1870 sur le Manitoba, un document constitutionnel — Division des terres et concession aux bénéficiaires admissibles entravées par des erreurs et des retards — Le Canada a</w:t>
      </w:r>
      <w:r w:rsidRPr="008912DA">
        <w:rPr>
          <w:i/>
          <w:sz w:val="20"/>
          <w:lang w:val="fr-CA"/>
        </w:rPr>
        <w:noBreakHyphen/>
        <w:t>t</w:t>
      </w:r>
      <w:r w:rsidRPr="008912DA">
        <w:rPr>
          <w:i/>
          <w:sz w:val="20"/>
          <w:lang w:val="fr-CA"/>
        </w:rPr>
        <w:noBreakHyphen/>
        <w:t xml:space="preserve">il omis de respecter le principe de l’honneur de la Couronne dans la mise en œuvre des art. 31 et 32 de la </w:t>
      </w:r>
      <w:r w:rsidRPr="008912DA">
        <w:rPr>
          <w:i/>
          <w:iCs/>
          <w:sz w:val="20"/>
          <w:lang w:val="fr-CA"/>
        </w:rPr>
        <w:t>Loi de 1870 sur le Manitoba</w:t>
      </w:r>
      <w:r w:rsidRPr="008912DA">
        <w:rPr>
          <w:i/>
          <w:sz w:val="20"/>
          <w:lang w:val="fr-CA"/>
        </w:rPr>
        <w:t>?</w:t>
      </w:r>
    </w:p>
    <w:p w:rsidR="008912DA" w:rsidRPr="008912DA" w:rsidRDefault="008912DA" w:rsidP="008912DA">
      <w:pPr>
        <w:pStyle w:val="SCCNormalDoubleSpacing"/>
        <w:spacing w:line="240" w:lineRule="auto"/>
        <w:rPr>
          <w:i/>
          <w:sz w:val="20"/>
          <w:lang w:val="fr-CA"/>
        </w:rPr>
      </w:pPr>
    </w:p>
    <w:p w:rsidR="008912DA" w:rsidRPr="008912DA" w:rsidRDefault="008912DA" w:rsidP="008912DA">
      <w:pPr>
        <w:pStyle w:val="SCCNormalDoubleSpacing"/>
        <w:spacing w:line="240" w:lineRule="auto"/>
        <w:rPr>
          <w:i/>
          <w:sz w:val="20"/>
          <w:lang w:val="fr-CA"/>
        </w:rPr>
      </w:pPr>
      <w:r w:rsidRPr="008912DA">
        <w:rPr>
          <w:i/>
          <w:sz w:val="20"/>
          <w:lang w:val="fr-CA"/>
        </w:rPr>
        <w:tab/>
        <w:t>Droit des Autochtones — Métis — Obligation fiduciaire — Gouvernement canadien ayant convenu en 1870 de concéder aux enfants des Métis 1,4 million d’acres de terre et de reconnaître la propriété foncière existante des Métis — Promesses figurant aux art. 31 et 32 de la Loi de 1870 sur le Manitoba, un document constitutionnel — Division des terres et concession aux bénéficiaires admissibles entravées par des erreurs et des retards — Le Canada a</w:t>
      </w:r>
      <w:r w:rsidRPr="008912DA">
        <w:rPr>
          <w:i/>
          <w:sz w:val="20"/>
          <w:lang w:val="fr-CA"/>
        </w:rPr>
        <w:noBreakHyphen/>
        <w:t>t</w:t>
      </w:r>
      <w:r w:rsidRPr="008912DA">
        <w:rPr>
          <w:i/>
          <w:sz w:val="20"/>
          <w:lang w:val="fr-CA"/>
        </w:rPr>
        <w:noBreakHyphen/>
        <w:t>il manqué à une obligation fiduciaire envers les Métis?</w:t>
      </w:r>
    </w:p>
    <w:p w:rsidR="008912DA" w:rsidRPr="008912DA" w:rsidRDefault="008912DA" w:rsidP="008912DA">
      <w:pPr>
        <w:pStyle w:val="SCCNormalDoubleSpacing"/>
        <w:spacing w:line="240" w:lineRule="auto"/>
        <w:rPr>
          <w:i/>
          <w:sz w:val="20"/>
          <w:lang w:val="fr-CA"/>
        </w:rPr>
      </w:pPr>
    </w:p>
    <w:p w:rsidR="008912DA" w:rsidRPr="008912DA" w:rsidRDefault="008912DA" w:rsidP="008912DA">
      <w:pPr>
        <w:pStyle w:val="SCCNormalDoubleSpacing"/>
        <w:spacing w:line="240" w:lineRule="auto"/>
        <w:rPr>
          <w:i/>
          <w:sz w:val="20"/>
          <w:lang w:val="fr-CA"/>
        </w:rPr>
      </w:pPr>
      <w:r w:rsidRPr="008912DA">
        <w:rPr>
          <w:i/>
          <w:sz w:val="20"/>
          <w:lang w:val="fr-CA"/>
        </w:rPr>
        <w:tab/>
        <w:t xml:space="preserve">Prescription — Jugement déclaratoire — Pourvoi visant l’obtention d’un jugement qui déclare que le Canada a manqué à son obligation de mettre en oeuvre les promesses faites au peuple métis contenues dans la </w:t>
      </w:r>
      <w:r w:rsidRPr="008912DA">
        <w:rPr>
          <w:i/>
          <w:iCs/>
          <w:sz w:val="20"/>
          <w:lang w:val="fr-CA"/>
        </w:rPr>
        <w:t xml:space="preserve">Loi de 1870 sur le Manitoba </w:t>
      </w:r>
      <w:r w:rsidRPr="008912DA">
        <w:rPr>
          <w:i/>
          <w:sz w:val="20"/>
          <w:lang w:val="fr-CA"/>
        </w:rPr>
        <w:t>— Les lois sur la prescription peuvent</w:t>
      </w:r>
      <w:r w:rsidRPr="008912DA">
        <w:rPr>
          <w:i/>
          <w:sz w:val="20"/>
          <w:lang w:val="fr-CA"/>
        </w:rPr>
        <w:noBreakHyphen/>
        <w:t>elles faire obstacle au prononcé d’un jugement déclaratoire sur la constitutionnalité de la conduite de la Couronne? — La doctrine des « laches » (un principe d’equity souvent appelé « doctrine du manque de diligence ») rend</w:t>
      </w:r>
      <w:r w:rsidRPr="008912DA">
        <w:rPr>
          <w:i/>
          <w:sz w:val="20"/>
          <w:lang w:val="fr-CA"/>
        </w:rPr>
        <w:noBreakHyphen/>
        <w:t>elle irrecevable la demande de jugement déclaratoire?</w:t>
      </w:r>
    </w:p>
    <w:p w:rsidR="008912DA" w:rsidRPr="008912DA" w:rsidRDefault="008912DA" w:rsidP="008912DA">
      <w:pPr>
        <w:pStyle w:val="SCCNormalDoubleSpacing"/>
        <w:spacing w:line="240" w:lineRule="auto"/>
        <w:rPr>
          <w:i/>
          <w:sz w:val="20"/>
          <w:lang w:val="fr-CA"/>
        </w:rPr>
      </w:pPr>
    </w:p>
    <w:p w:rsidR="008912DA" w:rsidRPr="008912DA" w:rsidRDefault="008912DA" w:rsidP="008912DA">
      <w:pPr>
        <w:pStyle w:val="SCCNormalDoubleSpacing"/>
        <w:spacing w:line="240" w:lineRule="auto"/>
        <w:rPr>
          <w:sz w:val="20"/>
          <w:lang w:val="fr-CA"/>
        </w:rPr>
      </w:pPr>
      <w:r w:rsidRPr="008912DA">
        <w:rPr>
          <w:i/>
          <w:sz w:val="20"/>
          <w:lang w:val="fr-CA"/>
        </w:rPr>
        <w:tab/>
        <w:t>Procédure civile</w:t>
      </w:r>
      <w:r w:rsidRPr="008912DA">
        <w:rPr>
          <w:i/>
          <w:iCs/>
          <w:sz w:val="20"/>
          <w:lang w:val="fr-CA"/>
        </w:rPr>
        <w:t xml:space="preserve"> </w:t>
      </w:r>
      <w:r w:rsidRPr="008912DA">
        <w:rPr>
          <w:i/>
          <w:sz w:val="20"/>
          <w:lang w:val="fr-CA"/>
        </w:rPr>
        <w:t xml:space="preserve">— Parties — Qualité pour agir — Qualité pour agir dans l’intérêt public — </w:t>
      </w:r>
      <w:r w:rsidRPr="008912DA">
        <w:rPr>
          <w:i/>
          <w:iCs/>
          <w:sz w:val="20"/>
          <w:lang w:val="fr-CA"/>
        </w:rPr>
        <w:t xml:space="preserve">Loi de 1870 sur le Manitoba autorisant l’octroi de droits fonciers individuels </w:t>
      </w:r>
      <w:r w:rsidRPr="008912DA">
        <w:rPr>
          <w:i/>
          <w:sz w:val="20"/>
          <w:lang w:val="fr-CA"/>
        </w:rPr>
        <w:t>— La fédération qui présente la demande collective au nom du peuple métis devrait</w:t>
      </w:r>
      <w:r w:rsidRPr="008912DA">
        <w:rPr>
          <w:i/>
          <w:sz w:val="20"/>
          <w:lang w:val="fr-CA"/>
        </w:rPr>
        <w:noBreakHyphen/>
        <w:t>elle se voir reconnaître la qualité pour agir dans l’intérêt public?</w:t>
      </w:r>
    </w:p>
    <w:p w:rsidR="008912DA" w:rsidRPr="008912DA" w:rsidRDefault="008912DA" w:rsidP="008912DA">
      <w:pPr>
        <w:pStyle w:val="SCCNormalDoubleSpacing"/>
        <w:spacing w:line="240" w:lineRule="auto"/>
        <w:rPr>
          <w:i/>
          <w:sz w:val="20"/>
          <w:lang w:val="fr-CA"/>
        </w:rPr>
      </w:pPr>
    </w:p>
    <w:p w:rsidR="008912DA" w:rsidRPr="008912DA" w:rsidRDefault="008912DA" w:rsidP="008912DA">
      <w:pPr>
        <w:pStyle w:val="SCCNormalDoubleSpacing"/>
        <w:spacing w:line="240" w:lineRule="auto"/>
        <w:rPr>
          <w:sz w:val="20"/>
          <w:lang w:val="fr-CA"/>
        </w:rPr>
      </w:pPr>
      <w:r w:rsidRPr="008912DA">
        <w:rPr>
          <w:i/>
          <w:sz w:val="20"/>
          <w:lang w:val="fr-CA"/>
        </w:rPr>
        <w:tab/>
      </w:r>
      <w:r w:rsidRPr="008912DA">
        <w:rPr>
          <w:sz w:val="20"/>
          <w:lang w:val="fr-CA"/>
        </w:rPr>
        <w:t>Après la Confédération, le premier gouvernement du Canada a instauré une politique visant à intégrer les territoires de l’Ouest dans le Canada et à les ouvrir à la colonisation.  Le Canada a acquis le titre de la Terre de Rupert et de la colonie de la Rivière Rouge.  Cependant, les Métis francophones de foi catholique romaine, le groupe démographique prédominant de la colonie de la Rivière Rouge, craignaient que la prise de contrôle par le Canada se traduise par l’arrivée massive de colons protestants anglophones qui menaceraient leur style de vie traditionnel.  Aux prises avec une résistance armée, le Canada n’avait guère d’autre choix que d’adopter une approche diplomatique.  Les colons de la Rivière Rouge ont accepté de faire partie du Canada, et celui</w:t>
      </w:r>
      <w:r w:rsidRPr="008912DA">
        <w:rPr>
          <w:sz w:val="20"/>
          <w:lang w:val="fr-CA"/>
        </w:rPr>
        <w:noBreakHyphen/>
        <w:t xml:space="preserve">ci a convenu de concéder aux enfants des Métis 1,4 million d’acres de terres (ce qui a subséquemment été confirmé par l’art. 31 de la </w:t>
      </w:r>
      <w:r w:rsidRPr="008912DA">
        <w:rPr>
          <w:i/>
          <w:sz w:val="20"/>
          <w:lang w:val="fr-CA"/>
        </w:rPr>
        <w:t>Loi sur le Manitoba</w:t>
      </w:r>
      <w:r w:rsidRPr="008912DA">
        <w:rPr>
          <w:sz w:val="20"/>
          <w:lang w:val="fr-CA"/>
        </w:rPr>
        <w:t xml:space="preserve">) et de reconnaître leur propriété foncière existante (ce qui a subséquemment été confirmé par l’art. 32 de la </w:t>
      </w:r>
      <w:r w:rsidRPr="008912DA">
        <w:rPr>
          <w:i/>
          <w:sz w:val="20"/>
          <w:lang w:val="fr-CA"/>
        </w:rPr>
        <w:t>Loi sur le Manitoba</w:t>
      </w:r>
      <w:r w:rsidRPr="008912DA">
        <w:rPr>
          <w:sz w:val="20"/>
          <w:lang w:val="fr-CA"/>
        </w:rPr>
        <w:t xml:space="preserve">).  Le gouvernement canadien a entrepris la mise en oeuvre de l’art. 31 au début de 1871.  Les terres ont été </w:t>
      </w:r>
      <w:r w:rsidRPr="008912DA">
        <w:rPr>
          <w:sz w:val="20"/>
          <w:lang w:val="fr-CA"/>
        </w:rPr>
        <w:lastRenderedPageBreak/>
        <w:t>mises de côté, mais une série d’erreurs et de retards en ont entravé la répartition entre les bénéficiaires admissibles.  Ces problèmes ont initialement découlé d’erreurs dans la détermination des personnes qui avaient le droit de participer au partage des terres promises, de sorte que deux répartitions successives ont été abandonnées, et que la troisième et dernière n’a pris fin qu’en 1880.  Les terres ont été attribuées par tirage au sort aux enfants des Métis de chaque paroisse.</w:t>
      </w:r>
    </w:p>
    <w:p w:rsidR="008912DA" w:rsidRPr="008912DA" w:rsidRDefault="008912DA" w:rsidP="008912DA">
      <w:pPr>
        <w:pStyle w:val="SCCNormalDoubleSpacing"/>
        <w:spacing w:line="240" w:lineRule="auto"/>
        <w:rPr>
          <w:sz w:val="20"/>
          <w:lang w:val="fr-CA"/>
        </w:rPr>
      </w:pPr>
    </w:p>
    <w:p w:rsidR="008912DA" w:rsidRPr="008912DA" w:rsidRDefault="008912DA" w:rsidP="008912DA">
      <w:pPr>
        <w:pStyle w:val="SCCNormalDoubleSpacing"/>
        <w:spacing w:line="240" w:lineRule="auto"/>
        <w:rPr>
          <w:sz w:val="20"/>
          <w:lang w:val="fr-CA"/>
        </w:rPr>
      </w:pPr>
      <w:r w:rsidRPr="008912DA">
        <w:rPr>
          <w:sz w:val="20"/>
          <w:lang w:val="fr-CA"/>
        </w:rPr>
        <w:tab/>
        <w:t>Alors que le processus de répartition traînait en longueur, des spéculateurs ont commencé à acquérir les intérêts sur les terres visées à l’art. 31 non encore concédés aux enfants des Métis, recourant à cette fin à différents mécanismes juridiques.  Au cours des décennies 1880 et 1890, le Manitoba a adopté cinq lois, aujourd’hui périmées et abrogées depuis longtemps, portant sur les modalités de transfert des intérêts sur les terres visées à l’art. 31.  Au début, le Manitoba a pris des mesures pour freiner la spéculation et la vente inconsidérée des intérêts des enfants, mais en 1877, il a modifié sa position en permettant la vente d’intérêts sur les terres dont la concession était prévue à l’art. 31.</w:t>
      </w:r>
    </w:p>
    <w:p w:rsidR="008912DA" w:rsidRPr="008912DA" w:rsidRDefault="008912DA" w:rsidP="008912DA">
      <w:pPr>
        <w:pStyle w:val="SCCNormalDoubleSpacing"/>
        <w:spacing w:line="240" w:lineRule="auto"/>
        <w:rPr>
          <w:sz w:val="20"/>
          <w:lang w:val="fr-CA"/>
        </w:rPr>
      </w:pPr>
    </w:p>
    <w:p w:rsidR="008912DA" w:rsidRPr="008912DA" w:rsidRDefault="008912DA" w:rsidP="008912DA">
      <w:pPr>
        <w:pStyle w:val="SCCNormalDoubleSpacing"/>
        <w:spacing w:line="240" w:lineRule="auto"/>
        <w:rPr>
          <w:sz w:val="20"/>
          <w:lang w:val="fr-CA"/>
        </w:rPr>
      </w:pPr>
      <w:r w:rsidRPr="008912DA">
        <w:rPr>
          <w:sz w:val="20"/>
          <w:lang w:val="fr-CA"/>
        </w:rPr>
        <w:tab/>
        <w:t>Il est finalement devenu évident que le nombre d’enfants des Métis admissibles avait été sous</w:t>
      </w:r>
      <w:r w:rsidRPr="008912DA">
        <w:rPr>
          <w:sz w:val="20"/>
          <w:lang w:val="fr-CA"/>
        </w:rPr>
        <w:noBreakHyphen/>
        <w:t>estimé.  Plutôt que de procéder à une quatrième répartition, le gouvernement canadien a décidé de remettre aux enfants admissibles restants des certificats échangeables contre une terre.  La valeur des certificats se fondait sur le prix des terres en 1879.  Or, lorsque les certificats ont été délivrés en 1885, le prix avait augmenté, de sorte que les enfants exclus n’ont pu acquérir la même superficie de terre que les autres enfants.  Au cours des décennies qui ont suivi, la situation des Métis au sein de la colonie de la Rivière Rouge s’est détériorée.  Rapidement, les colons de race blanche ont constitué la majorité des habitants du territoire, et la communauté métisse a commencé à s’effriter.</w:t>
      </w:r>
    </w:p>
    <w:p w:rsidR="008912DA" w:rsidRPr="008912DA" w:rsidRDefault="008912DA" w:rsidP="008912DA">
      <w:pPr>
        <w:pStyle w:val="SCCNormalDoubleSpacing"/>
        <w:spacing w:line="240" w:lineRule="auto"/>
        <w:rPr>
          <w:sz w:val="20"/>
          <w:lang w:val="fr-CA"/>
        </w:rPr>
      </w:pPr>
    </w:p>
    <w:p w:rsidR="008912DA" w:rsidRPr="008912DA" w:rsidRDefault="008912DA" w:rsidP="008912DA">
      <w:pPr>
        <w:pStyle w:val="SCCNormalDoubleSpacing"/>
        <w:spacing w:line="240" w:lineRule="auto"/>
        <w:rPr>
          <w:sz w:val="20"/>
          <w:lang w:val="fr-CA"/>
        </w:rPr>
      </w:pPr>
      <w:r w:rsidRPr="008912DA">
        <w:rPr>
          <w:sz w:val="20"/>
          <w:lang w:val="fr-CA"/>
        </w:rPr>
        <w:tab/>
        <w:t xml:space="preserve">Les Métis ont sollicité un jugement déclarant (1) que dans sa mise en œuvre de la </w:t>
      </w:r>
      <w:r w:rsidRPr="008912DA">
        <w:rPr>
          <w:i/>
          <w:iCs/>
          <w:sz w:val="20"/>
          <w:lang w:val="fr-CA"/>
        </w:rPr>
        <w:t>Loi sur le Manitoba</w:t>
      </w:r>
      <w:r w:rsidRPr="008912DA">
        <w:rPr>
          <w:sz w:val="20"/>
          <w:lang w:val="fr-CA"/>
        </w:rPr>
        <w:t xml:space="preserve">, la Couronne fédérale a manqué à ses obligations fiduciaires envers les Métis, (2) que dans sa mise en œuvre de la </w:t>
      </w:r>
      <w:r w:rsidRPr="008912DA">
        <w:rPr>
          <w:i/>
          <w:iCs/>
          <w:sz w:val="20"/>
          <w:lang w:val="fr-CA"/>
        </w:rPr>
        <w:t>Loi sur le Manitoba</w:t>
      </w:r>
      <w:r w:rsidRPr="008912DA">
        <w:rPr>
          <w:sz w:val="20"/>
          <w:lang w:val="fr-CA"/>
        </w:rPr>
        <w:t>, la Couronne fédérale n’a pas agi en conformité</w:t>
      </w:r>
      <w:r w:rsidRPr="008912DA">
        <w:rPr>
          <w:iCs/>
          <w:sz w:val="20"/>
          <w:lang w:val="fr-CA"/>
        </w:rPr>
        <w:t xml:space="preserve"> avec le principe de l’honneur de la Couronne et </w:t>
      </w:r>
      <w:r w:rsidRPr="008912DA">
        <w:rPr>
          <w:sz w:val="20"/>
          <w:lang w:val="fr-CA"/>
        </w:rPr>
        <w:t>(3) </w:t>
      </w:r>
      <w:r w:rsidRPr="008912DA">
        <w:rPr>
          <w:iCs/>
          <w:sz w:val="20"/>
          <w:lang w:val="fr-CA"/>
        </w:rPr>
        <w:t>que</w:t>
      </w:r>
      <w:r w:rsidRPr="008912DA">
        <w:rPr>
          <w:sz w:val="20"/>
          <w:lang w:val="fr-CA"/>
        </w:rPr>
        <w:t xml:space="preserve"> certaines lois manitobaines relatives à la mise en œuvre de la </w:t>
      </w:r>
      <w:r w:rsidRPr="008912DA">
        <w:rPr>
          <w:i/>
          <w:iCs/>
          <w:sz w:val="20"/>
          <w:lang w:val="fr-CA"/>
        </w:rPr>
        <w:t>Loi sur le Manitoba</w:t>
      </w:r>
      <w:r w:rsidRPr="008912DA">
        <w:rPr>
          <w:sz w:val="20"/>
          <w:lang w:val="fr-CA"/>
        </w:rPr>
        <w:t xml:space="preserve"> étaient </w:t>
      </w:r>
      <w:r w:rsidRPr="008912DA">
        <w:rPr>
          <w:i/>
          <w:iCs/>
          <w:sz w:val="20"/>
          <w:lang w:val="fr-CA"/>
        </w:rPr>
        <w:t>ultra vires</w:t>
      </w:r>
      <w:r w:rsidRPr="008912DA">
        <w:rPr>
          <w:iCs/>
          <w:sz w:val="20"/>
          <w:lang w:val="fr-CA"/>
        </w:rPr>
        <w:t xml:space="preserve">.  Le juge de première instance a </w:t>
      </w:r>
      <w:r w:rsidRPr="008912DA">
        <w:rPr>
          <w:sz w:val="20"/>
          <w:lang w:val="fr-CA"/>
        </w:rPr>
        <w:t xml:space="preserve">rejeté leur demande au motif que les art. 31 et 32 de la </w:t>
      </w:r>
      <w:r w:rsidRPr="008912DA">
        <w:rPr>
          <w:i/>
          <w:iCs/>
          <w:sz w:val="20"/>
          <w:lang w:val="fr-CA"/>
        </w:rPr>
        <w:t xml:space="preserve">Loi sur le Manitoba </w:t>
      </w:r>
      <w:r w:rsidRPr="008912DA">
        <w:rPr>
          <w:sz w:val="20"/>
          <w:lang w:val="fr-CA"/>
        </w:rPr>
        <w:t xml:space="preserve">ne donnaient naissance ni à une obligation fiduciaire, ni à une obligation fondée sur le principe de l’honneur de la Couronne.  Il a également conclu que les lois manitobaines contestées étaient constitutionnelles et que, de toute façon, </w:t>
      </w:r>
      <w:r w:rsidRPr="008912DA">
        <w:rPr>
          <w:iCs/>
          <w:sz w:val="20"/>
          <w:lang w:val="fr-CA"/>
        </w:rPr>
        <w:t>la prescription et</w:t>
      </w:r>
      <w:r w:rsidRPr="008912DA">
        <w:rPr>
          <w:sz w:val="20"/>
          <w:lang w:val="fr-CA"/>
        </w:rPr>
        <w:t xml:space="preserve"> la doctrine des </w:t>
      </w:r>
      <w:r w:rsidRPr="008912DA">
        <w:rPr>
          <w:i/>
          <w:sz w:val="20"/>
          <w:lang w:val="fr-CA"/>
        </w:rPr>
        <w:t>laches</w:t>
      </w:r>
      <w:r w:rsidRPr="008912DA">
        <w:rPr>
          <w:sz w:val="20"/>
          <w:lang w:val="fr-CA"/>
        </w:rPr>
        <w:t xml:space="preserve"> faisaient obstacle à la demande.  Enfin, il a refusé de reconnaître à la Manitoba Metis Federation (« </w:t>
      </w:r>
      <w:r w:rsidRPr="008912DA">
        <w:rPr>
          <w:iCs/>
          <w:sz w:val="20"/>
          <w:lang w:val="fr-CA"/>
        </w:rPr>
        <w:t>MMF ») la</w:t>
      </w:r>
      <w:r w:rsidRPr="008912DA">
        <w:rPr>
          <w:i/>
          <w:iCs/>
          <w:sz w:val="20"/>
          <w:lang w:val="fr-CA"/>
        </w:rPr>
        <w:t xml:space="preserve"> </w:t>
      </w:r>
      <w:r w:rsidRPr="008912DA">
        <w:rPr>
          <w:iCs/>
          <w:sz w:val="20"/>
          <w:lang w:val="fr-CA"/>
        </w:rPr>
        <w:t>qualité pour agir en l’instance</w:t>
      </w:r>
      <w:r w:rsidRPr="008912DA">
        <w:rPr>
          <w:sz w:val="20"/>
          <w:lang w:val="fr-CA"/>
        </w:rPr>
        <w:t>, puisque les demandeurs pouvaient faire valoir leurs demandes individuellement. Une formation de cinq juges de la Cour d’appel du Manitoba a rejeté l’appel.</w:t>
      </w:r>
    </w:p>
    <w:p w:rsidR="008912DA" w:rsidRPr="008912DA" w:rsidRDefault="008912DA" w:rsidP="008912DA">
      <w:pPr>
        <w:pStyle w:val="SCCNormalDoubleSpacing"/>
        <w:spacing w:line="240" w:lineRule="auto"/>
        <w:rPr>
          <w:i/>
          <w:sz w:val="20"/>
          <w:lang w:val="fr-CA"/>
        </w:rPr>
      </w:pPr>
    </w:p>
    <w:p w:rsidR="008912DA" w:rsidRPr="008912DA" w:rsidRDefault="008912DA" w:rsidP="008912DA">
      <w:pPr>
        <w:pStyle w:val="SCCNormalDoubleSpacing"/>
        <w:spacing w:line="240" w:lineRule="auto"/>
        <w:rPr>
          <w:sz w:val="20"/>
          <w:lang w:val="fr-CA"/>
        </w:rPr>
      </w:pPr>
      <w:r w:rsidRPr="008912DA">
        <w:rPr>
          <w:i/>
          <w:sz w:val="20"/>
          <w:lang w:val="fr-CA"/>
        </w:rPr>
        <w:tab/>
        <w:t>Arrêt</w:t>
      </w:r>
      <w:r w:rsidRPr="008912DA">
        <w:rPr>
          <w:sz w:val="20"/>
          <w:lang w:val="fr-CA"/>
        </w:rPr>
        <w:t xml:space="preserve"> (les juges Rothstein et Moldaver sont dissidents) : Le pourvoi est accueilli en partie.  La Couronne fédérale n’a pas mis en œuvre de façon honorable la disposition prévoyant la concession de terres énoncée à l’art. 31 de la </w:t>
      </w:r>
      <w:r w:rsidRPr="008912DA">
        <w:rPr>
          <w:i/>
          <w:iCs/>
          <w:sz w:val="20"/>
          <w:lang w:val="fr-CA"/>
        </w:rPr>
        <w:t>Loi de 1870 sur le Manitoba</w:t>
      </w:r>
      <w:r w:rsidRPr="008912DA">
        <w:rPr>
          <w:sz w:val="20"/>
          <w:lang w:val="fr-CA"/>
        </w:rPr>
        <w:t>.</w:t>
      </w:r>
    </w:p>
    <w:p w:rsidR="008912DA" w:rsidRPr="008912DA" w:rsidRDefault="008912DA" w:rsidP="008912DA">
      <w:pPr>
        <w:pStyle w:val="SCCNormalDoubleSpacing"/>
        <w:spacing w:line="240" w:lineRule="auto"/>
        <w:rPr>
          <w:i/>
          <w:sz w:val="20"/>
          <w:lang w:val="fr-CA"/>
        </w:rPr>
      </w:pPr>
    </w:p>
    <w:p w:rsidR="008912DA" w:rsidRPr="008912DA" w:rsidRDefault="008912DA" w:rsidP="008912DA">
      <w:pPr>
        <w:pStyle w:val="SCCNormalDoubleSpacing"/>
        <w:spacing w:line="240" w:lineRule="auto"/>
        <w:rPr>
          <w:sz w:val="20"/>
          <w:lang w:val="fr-CA"/>
        </w:rPr>
      </w:pPr>
      <w:r w:rsidRPr="008912DA">
        <w:rPr>
          <w:i/>
          <w:sz w:val="20"/>
          <w:lang w:val="fr-CA"/>
        </w:rPr>
        <w:tab/>
        <w:t xml:space="preserve">La </w:t>
      </w:r>
      <w:r w:rsidRPr="008912DA">
        <w:rPr>
          <w:b/>
          <w:sz w:val="20"/>
          <w:lang w:val="fr-CA"/>
        </w:rPr>
        <w:t xml:space="preserve">juge en chef McLachlin </w:t>
      </w:r>
      <w:r w:rsidRPr="008912DA">
        <w:rPr>
          <w:sz w:val="20"/>
          <w:lang w:val="fr-CA"/>
        </w:rPr>
        <w:t xml:space="preserve">et les juges LeBel, Fish, Abella, Cromwell et </w:t>
      </w:r>
      <w:r w:rsidRPr="008912DA">
        <w:rPr>
          <w:b/>
          <w:sz w:val="20"/>
          <w:lang w:val="fr-CA"/>
        </w:rPr>
        <w:t>Karakatsanis</w:t>
      </w:r>
      <w:r w:rsidRPr="008912DA">
        <w:rPr>
          <w:sz w:val="20"/>
          <w:lang w:val="fr-CA"/>
        </w:rPr>
        <w:t> : Il y a lieu de reconnaître que la MMF a qualité pour agir.  L’action constitue une demande collective visant à obtenir un jugement déclaratoire à des fins de réconciliation entre les descendants des Métis de la vallée de la Rivière Rouge et le Canada.  Cette demande justifie que l’organisme représentant les droits collectifs des Métis soit autorisé à ester devant la Cour.</w:t>
      </w:r>
    </w:p>
    <w:p w:rsidR="008912DA" w:rsidRDefault="008912DA" w:rsidP="008912DA">
      <w:pPr>
        <w:pStyle w:val="SCCNormalDoubleSpacing"/>
        <w:spacing w:line="240" w:lineRule="auto"/>
        <w:rPr>
          <w:rFonts w:eastAsiaTheme="minorHAnsi"/>
          <w:sz w:val="20"/>
          <w:lang w:val="fr-FR"/>
        </w:rPr>
      </w:pPr>
    </w:p>
    <w:p w:rsidR="008912DA" w:rsidRPr="009960F5" w:rsidRDefault="008912DA" w:rsidP="008912DA">
      <w:pPr>
        <w:pStyle w:val="SCCNormalDoubleSpacing"/>
        <w:spacing w:line="240" w:lineRule="auto"/>
        <w:rPr>
          <w:sz w:val="20"/>
          <w:lang w:val="fr-FR"/>
        </w:rPr>
      </w:pPr>
      <w:r w:rsidRPr="009960F5">
        <w:rPr>
          <w:rFonts w:eastAsiaTheme="minorHAnsi"/>
          <w:sz w:val="20"/>
          <w:lang w:val="fr-FR"/>
        </w:rPr>
        <w:tab/>
        <w:t xml:space="preserve">Les obligations consacrées aux art. 31 et 32 de la </w:t>
      </w:r>
      <w:r w:rsidRPr="009960F5">
        <w:rPr>
          <w:rFonts w:eastAsiaTheme="minorHAnsi"/>
          <w:i/>
          <w:sz w:val="20"/>
          <w:lang w:val="fr-FR"/>
        </w:rPr>
        <w:t xml:space="preserve">Loi sur le Manitoba </w:t>
      </w:r>
      <w:r w:rsidRPr="009960F5">
        <w:rPr>
          <w:rFonts w:eastAsiaTheme="minorHAnsi"/>
          <w:sz w:val="20"/>
          <w:lang w:val="fr-FR"/>
        </w:rPr>
        <w:t xml:space="preserve">n’imposaient aucune obligation fiduciaire au gouvernement.  </w:t>
      </w:r>
      <w:r w:rsidRPr="008912DA">
        <w:rPr>
          <w:sz w:val="20"/>
          <w:lang w:val="fr-CA"/>
        </w:rPr>
        <w:t xml:space="preserve">Dans le contexte autochtone, une obligation fiduciaire peut naître de deux façons.  </w:t>
      </w:r>
      <w:r w:rsidRPr="009960F5">
        <w:rPr>
          <w:sz w:val="20"/>
          <w:lang w:val="fr-FR"/>
        </w:rPr>
        <w:t xml:space="preserve">Premièrement, elle peut découler </w:t>
      </w:r>
      <w:r w:rsidRPr="008912DA">
        <w:rPr>
          <w:sz w:val="20"/>
          <w:lang w:val="fr-CA"/>
        </w:rPr>
        <w:t xml:space="preserve">du fait que la Couronne assume des pouvoirs discrétionnaires à l’égard d’intérêts autochtones particuliers.  </w:t>
      </w:r>
      <w:r w:rsidRPr="009960F5">
        <w:rPr>
          <w:sz w:val="20"/>
          <w:lang w:val="fr-FR"/>
        </w:rPr>
        <w:t>Lorsque la</w:t>
      </w:r>
      <w:r w:rsidRPr="008912DA">
        <w:rPr>
          <w:sz w:val="20"/>
          <w:lang w:val="fr-CA"/>
        </w:rPr>
        <w:t xml:space="preserve"> Couronne administre des terres ou des biens sur lesquels un peuple autochtone a un intérêt, une obligation fiduciaire peut prendre naissance (1) s’il existe un intérêt autochtone particulier ou identifiable, et (2) si la Couronne exerce un pouvoir discrétionnaire à l’égard de cet intérêt.  Il doit s’agir d’un intérêt autochtone collectif sur les terres qui fait partie intégrante du mode de vie distinctif des Métis et de leur rapport au territoire</w:t>
      </w:r>
      <w:r w:rsidRPr="009960F5">
        <w:rPr>
          <w:sz w:val="20"/>
          <w:lang w:val="fr-FR"/>
        </w:rPr>
        <w:t>.  Il doit reposer sur l’usage et l’occupation historiques et ne peut être établi par un traité ou par une loi.  Deuxièmement, et plus généralement, une obligation fiduciaire peut également prendre naissance s’il existe (1) </w:t>
      </w:r>
      <w:r w:rsidRPr="008912DA">
        <w:rPr>
          <w:sz w:val="20"/>
          <w:lang w:val="fr-CA"/>
        </w:rPr>
        <w:t>un engagement de la part du prétendu fiduciaire à agir au mieux des intérêts du prétendu bénéficiaire, (2) une personne ou un groupe de personnes définies qui sont vulnérables au contrôle d’un fiduciaire et (3) un intérêt juridique ou un intérêt pratique important du bénéficiaire sur lequel l’exercice, par le prétendu fiduciaire, de son pouvoir discrétionnaire ou de son contrôle pourrait avoir une incidence défavorable</w:t>
      </w:r>
      <w:r w:rsidRPr="009960F5">
        <w:rPr>
          <w:sz w:val="20"/>
          <w:lang w:val="fr-FR"/>
        </w:rPr>
        <w:t>.</w:t>
      </w:r>
    </w:p>
    <w:p w:rsidR="008912DA" w:rsidRDefault="008912DA" w:rsidP="008912DA">
      <w:pPr>
        <w:pStyle w:val="SCCNormalDoubleSpacing"/>
        <w:spacing w:line="240" w:lineRule="auto"/>
        <w:rPr>
          <w:sz w:val="20"/>
          <w:lang w:val="fr-FR"/>
        </w:rPr>
      </w:pPr>
    </w:p>
    <w:p w:rsidR="008912DA" w:rsidRPr="009960F5" w:rsidRDefault="008912DA" w:rsidP="008912DA">
      <w:pPr>
        <w:pStyle w:val="SCCNormalDoubleSpacing"/>
        <w:spacing w:line="240" w:lineRule="auto"/>
        <w:rPr>
          <w:sz w:val="20"/>
          <w:lang w:val="fr-FR"/>
        </w:rPr>
      </w:pPr>
      <w:r w:rsidRPr="009960F5">
        <w:rPr>
          <w:sz w:val="20"/>
          <w:lang w:val="fr-FR"/>
        </w:rPr>
        <w:lastRenderedPageBreak/>
        <w:tab/>
        <w:t xml:space="preserve">Même si la Couronne a assumé le contrôle discrétionnaire de l’administration des concessions de terres conformément aux art. 31 et 32 de la </w:t>
      </w:r>
      <w:r w:rsidRPr="009960F5">
        <w:rPr>
          <w:i/>
          <w:iCs/>
          <w:sz w:val="20"/>
          <w:lang w:val="fr-FR"/>
        </w:rPr>
        <w:t>Loi sur le Manitoba</w:t>
      </w:r>
      <w:r w:rsidRPr="009960F5">
        <w:rPr>
          <w:sz w:val="20"/>
          <w:lang w:val="fr-FR"/>
        </w:rPr>
        <w:t xml:space="preserve">, les </w:t>
      </w:r>
      <w:r w:rsidRPr="008912DA">
        <w:rPr>
          <w:sz w:val="20"/>
          <w:lang w:val="fr-CA"/>
        </w:rPr>
        <w:t>Métis sont des Autochtones et ceux</w:t>
      </w:r>
      <w:r w:rsidRPr="008912DA">
        <w:rPr>
          <w:sz w:val="20"/>
          <w:lang w:val="fr-CA"/>
        </w:rPr>
        <w:noBreakHyphen/>
        <w:t>ci avaient un intérêt sur les terres, la première condition pour qu’il y ait obligation fiduciaire n’est pas établie, car l’existence d’un titre ancestral collectif préexistant ne ressort ni du libellé de l’art. 31, ni de la preuve offerte.  Les intérêts des Métis sur les terres étaient liés à leur histoire personnelle, et non à leur identité métisse distinctive commune</w:t>
      </w:r>
      <w:r w:rsidRPr="009960F5">
        <w:rPr>
          <w:sz w:val="20"/>
          <w:lang w:val="fr-FR"/>
        </w:rPr>
        <w:t>.  Il n’existait pas non plus d’</w:t>
      </w:r>
      <w:r w:rsidRPr="008912DA">
        <w:rPr>
          <w:sz w:val="20"/>
          <w:lang w:val="fr-CA"/>
        </w:rPr>
        <w:t>obligation fiduciaire fondée sur un engagement pris par la Couronne.  Bien que l’art. 31 révèle une intention de procurer un avantage aux enfants des Métis, il ne démontre l’existence d’aucun engagement à agir au mieux de leurs intérêts qui aurait préséance sur toute autre préoccupation légitime</w:t>
      </w:r>
      <w:r w:rsidRPr="009960F5">
        <w:rPr>
          <w:sz w:val="20"/>
          <w:lang w:val="fr-FR"/>
        </w:rPr>
        <w:t xml:space="preserve">.  </w:t>
      </w:r>
      <w:r w:rsidRPr="008912DA">
        <w:rPr>
          <w:sz w:val="20"/>
          <w:lang w:val="fr-CA"/>
        </w:rPr>
        <w:t>De fait, le pouvoir discrétionnaire de déterminer « le mode et [les] conditions d’établissement et autres conditions » conféré par l’art. 31 est incompatible avec l’obligation de loyauté et l’intention d’agir au mieux des intérêts du bénéficiaire en renonçant à tous les autres intérêts</w:t>
      </w:r>
      <w:r w:rsidRPr="009960F5">
        <w:rPr>
          <w:sz w:val="20"/>
          <w:lang w:val="fr-FR"/>
        </w:rPr>
        <w:t xml:space="preserve">.  L’article 32 </w:t>
      </w:r>
      <w:r w:rsidRPr="008912DA">
        <w:rPr>
          <w:sz w:val="20"/>
          <w:lang w:val="fr-CA"/>
        </w:rPr>
        <w:t>confirmait simplement le maintien des divers modes de tenure qui existaient au moment de la création de la nouvelle province, ou peu avant</w:t>
      </w:r>
      <w:r w:rsidRPr="009960F5">
        <w:rPr>
          <w:sz w:val="20"/>
          <w:lang w:val="fr-FR"/>
        </w:rPr>
        <w:t xml:space="preserve">.  Il </w:t>
      </w:r>
      <w:r w:rsidRPr="008912DA">
        <w:rPr>
          <w:sz w:val="20"/>
          <w:lang w:val="fr-CA"/>
        </w:rPr>
        <w:t>ne constituait pas un engagement de la Couronne à agir en qualité de fiduciaire en établissant les titres des propriétaires fonciers métis.</w:t>
      </w:r>
      <w:r w:rsidRPr="009960F5">
        <w:rPr>
          <w:sz w:val="20"/>
          <w:lang w:val="fr-FR"/>
        </w:rPr>
        <w:t xml:space="preserve"> </w:t>
      </w:r>
    </w:p>
    <w:p w:rsidR="008912DA" w:rsidRPr="008912DA" w:rsidRDefault="008912DA" w:rsidP="008912DA">
      <w:pPr>
        <w:pStyle w:val="SCCNormalDoubleSpacing"/>
        <w:spacing w:line="240" w:lineRule="auto"/>
        <w:rPr>
          <w:sz w:val="20"/>
          <w:lang w:val="fr-CA"/>
        </w:rPr>
      </w:pPr>
    </w:p>
    <w:p w:rsidR="008912DA" w:rsidRPr="008912DA" w:rsidRDefault="008912DA" w:rsidP="008912DA">
      <w:pPr>
        <w:pStyle w:val="SCCNormalDoubleSpacing"/>
        <w:spacing w:line="240" w:lineRule="auto"/>
        <w:rPr>
          <w:sz w:val="20"/>
          <w:lang w:val="fr-CA"/>
        </w:rPr>
      </w:pPr>
      <w:r w:rsidRPr="008912DA">
        <w:rPr>
          <w:sz w:val="20"/>
          <w:lang w:val="fr-CA"/>
        </w:rPr>
        <w:tab/>
        <w:t xml:space="preserve">Les Métis ont cependant droit à un jugement qui déclare que la Couronne fédérale n’a pas honorablement mis en œuvre la disposition prévoyant la concession de terres énoncée à l’art. 31 de la </w:t>
      </w:r>
      <w:r w:rsidRPr="008912DA">
        <w:rPr>
          <w:i/>
          <w:iCs/>
          <w:sz w:val="20"/>
          <w:lang w:val="fr-CA"/>
        </w:rPr>
        <w:t>Loi sur le Manitoba</w:t>
      </w:r>
      <w:r w:rsidRPr="008912DA">
        <w:rPr>
          <w:iCs/>
          <w:sz w:val="20"/>
          <w:lang w:val="fr-CA"/>
        </w:rPr>
        <w:t xml:space="preserve">.  </w:t>
      </w:r>
      <w:r w:rsidRPr="008912DA">
        <w:rPr>
          <w:sz w:val="20"/>
          <w:lang w:val="fr-CA"/>
        </w:rPr>
        <w:t>L’objectif fondamental du principe de l’honneur de la Couronne est la réconciliation des sociétés autochtones préexistantes avec l’affirmation de la souveraineté de la Couronne.  Lorsque cet objectif est en jeu, la Couronne doit agir honorablement dans ses négociations avec le peuple Autochtone en cause.  La garantie des droits ancestraux prévue à l’art. 35 de la Constitution l’exige.  L’honneur de la Couronne est engagé par une obligation explicite envers un groupe autochtone consacrée par la Constitution.  Celle</w:t>
      </w:r>
      <w:r w:rsidRPr="008912DA">
        <w:rPr>
          <w:sz w:val="20"/>
          <w:lang w:val="fr-CA"/>
        </w:rPr>
        <w:noBreakHyphen/>
        <w:t>ci n’est pas une simple loi; c’est le document même par lequel la Couronne a affirmé sa souveraineté face à l’occupation antérieure des terres par les peuples autochtones.  Une obligation envers un groupe autochtone que prévoit expressément la Constitution engage l’honneur de la Couronne.</w:t>
      </w:r>
    </w:p>
    <w:p w:rsidR="008912DA" w:rsidRPr="008912DA" w:rsidRDefault="008912DA" w:rsidP="008912DA">
      <w:pPr>
        <w:pStyle w:val="SCCNormalDoubleSpacing"/>
        <w:spacing w:line="240" w:lineRule="auto"/>
        <w:rPr>
          <w:sz w:val="20"/>
          <w:lang w:val="fr-CA"/>
        </w:rPr>
      </w:pPr>
    </w:p>
    <w:p w:rsidR="008912DA" w:rsidRPr="008912DA" w:rsidRDefault="008912DA" w:rsidP="008912DA">
      <w:pPr>
        <w:pStyle w:val="SCCNormalDoubleSpacing"/>
        <w:spacing w:line="240" w:lineRule="auto"/>
        <w:rPr>
          <w:sz w:val="20"/>
          <w:lang w:val="fr-CA"/>
        </w:rPr>
      </w:pPr>
      <w:r w:rsidRPr="008912DA">
        <w:rPr>
          <w:sz w:val="20"/>
          <w:lang w:val="fr-CA"/>
        </w:rPr>
        <w:tab/>
        <w:t xml:space="preserve">L’honneur de la Couronne a trait aux </w:t>
      </w:r>
      <w:r w:rsidRPr="008912DA">
        <w:rPr>
          <w:i/>
          <w:sz w:val="20"/>
          <w:lang w:val="fr-CA"/>
        </w:rPr>
        <w:t>modalités</w:t>
      </w:r>
      <w:r w:rsidRPr="008912DA">
        <w:rPr>
          <w:sz w:val="20"/>
          <w:lang w:val="fr-CA"/>
        </w:rPr>
        <w:t xml:space="preserve"> d’exécution des obligations dont il emporte l’application, de sorte que les obligations qui en découlent varient en fonction de la situation.  Dans le contexte de la mise en œuvre d’une obligation constitutionnelle envers un peuple autochtone, le principe de l’honneur de la Couronne oblige la Couronne (1) à adopter une approche libérale et téléologique dans l’interprétation de la promesse et (2) à agir avec diligence dans l’exécution de celle</w:t>
      </w:r>
      <w:r w:rsidRPr="008912DA">
        <w:rPr>
          <w:sz w:val="20"/>
          <w:lang w:val="fr-CA"/>
        </w:rPr>
        <w:noBreakHyphen/>
        <w:t>ci.  La question est de savoir si, compte tenu de sa conduite considérée globalement, la Couronne a agi avec diligence pour atteindre les objectifs de l’obligation.  L’obligation d’agir avec diligence ayant une portée restreinte et bien circonscrite, ce ne sont pas toutes les erreurs ni tous les actes de négligence dans la mise en œuvre d’une obligation constitutionnelle envers un peuple autochtone qui emportent le manquement à l’honneur de la Couronne et il n’est pas garanti que les objectifs de la promesse se concrétiseront.  Toutefois, une tendance persistante aux erreurs et à l’indifférence nuisant substantiellement à l’atteinte des objectifs d’une promesse solennelle peut emporter le manquement à l’obligation de la Couronne d’agir honorablement dans la mise en œuvre de sa promesse.</w:t>
      </w:r>
    </w:p>
    <w:p w:rsidR="008912DA" w:rsidRPr="008912DA" w:rsidRDefault="008912DA" w:rsidP="008912DA">
      <w:pPr>
        <w:pStyle w:val="SCCNormalDoubleSpacing"/>
        <w:spacing w:line="240" w:lineRule="auto"/>
        <w:rPr>
          <w:sz w:val="20"/>
          <w:lang w:val="fr-CA"/>
        </w:rPr>
      </w:pPr>
    </w:p>
    <w:p w:rsidR="008912DA" w:rsidRPr="008912DA" w:rsidRDefault="008912DA" w:rsidP="008912DA">
      <w:pPr>
        <w:pStyle w:val="SCCNormalDoubleSpacing"/>
        <w:spacing w:line="240" w:lineRule="auto"/>
        <w:rPr>
          <w:sz w:val="20"/>
          <w:lang w:val="fr-CA"/>
        </w:rPr>
      </w:pPr>
      <w:r w:rsidRPr="008912DA">
        <w:rPr>
          <w:sz w:val="20"/>
          <w:lang w:val="fr-CA"/>
        </w:rPr>
        <w:tab/>
        <w:t xml:space="preserve">L’article 31 de la </w:t>
      </w:r>
      <w:r w:rsidRPr="008912DA">
        <w:rPr>
          <w:i/>
          <w:sz w:val="20"/>
          <w:lang w:val="fr-CA"/>
        </w:rPr>
        <w:t>Loi sur le Manitoba</w:t>
      </w:r>
      <w:r w:rsidRPr="008912DA">
        <w:rPr>
          <w:sz w:val="20"/>
          <w:lang w:val="fr-CA"/>
        </w:rPr>
        <w:t xml:space="preserve"> constitue une obligation constitutionnelle solennelle envers le peuple autochtone que forment les Métis du Manitoba et il engageait l’honneur de la Couronne.  Son objet immédiat était de donner aux enfants des Métis une longueur d’avance sur les colons de l’Est que l’on attendait en grand nombre.  Plus généralement, il s’agissait de concilier les intérêts autochtones des Métis sur le territoire du Manitoba avec l’affirmation de la souveraineté de la Couronne sur la région qui allait devenir la province du Manitoba.  Par contre, l’art. 32 conférait de façon générale un avantage à tous les colons et n’engageait pas l’honneur de la Couronne.</w:t>
      </w:r>
    </w:p>
    <w:p w:rsidR="008912DA" w:rsidRDefault="008912DA" w:rsidP="008912DA">
      <w:pPr>
        <w:pStyle w:val="SCCNormalDoubleSpacing"/>
        <w:spacing w:line="240" w:lineRule="auto"/>
        <w:rPr>
          <w:sz w:val="20"/>
          <w:lang w:val="fr-FR"/>
        </w:rPr>
      </w:pPr>
    </w:p>
    <w:p w:rsidR="008912DA" w:rsidRPr="008912DA" w:rsidRDefault="008912DA" w:rsidP="008912DA">
      <w:pPr>
        <w:pStyle w:val="SCCNormalDoubleSpacing"/>
        <w:spacing w:line="240" w:lineRule="auto"/>
        <w:rPr>
          <w:sz w:val="20"/>
          <w:lang w:val="fr-CA"/>
        </w:rPr>
      </w:pPr>
      <w:r w:rsidRPr="009960F5">
        <w:rPr>
          <w:sz w:val="20"/>
          <w:lang w:val="fr-FR"/>
        </w:rPr>
        <w:tab/>
        <w:t xml:space="preserve">Bien que l’honneur de la Couronne lui ait imposé l’obligation d’agir avec diligence pour mettre en œuvre l’art. 31, le gouvernement </w:t>
      </w:r>
      <w:r w:rsidRPr="008912DA">
        <w:rPr>
          <w:sz w:val="20"/>
          <w:lang w:val="fr-CA"/>
        </w:rPr>
        <w:t>a fait preuve d’un manque persistant d’attention et n’a pas agi avec diligence pour réaliser les objectifs des concessions prévues par cet article</w:t>
      </w:r>
      <w:r w:rsidRPr="009960F5">
        <w:rPr>
          <w:sz w:val="20"/>
          <w:lang w:val="fr-FR"/>
        </w:rPr>
        <w:t>.  Il ne s’agissait pas d’</w:t>
      </w:r>
      <w:r w:rsidRPr="008912DA">
        <w:rPr>
          <w:sz w:val="20"/>
          <w:lang w:val="fr-CA"/>
        </w:rPr>
        <w:t>une négligence passagère, mais plutôt d’une série d’erreurs et d’inactions qui ont persisté pendant plus d’une décennie</w:t>
      </w:r>
      <w:r w:rsidRPr="009960F5">
        <w:rPr>
          <w:sz w:val="20"/>
          <w:lang w:val="fr-FR"/>
        </w:rPr>
        <w:t xml:space="preserve">, ce qui contrecarrait nettement un objectif de l’art. 31.  Ce comportement ne correspondait pas à celui qu’exigeait l’honneur de la Couronne : un </w:t>
      </w:r>
      <w:r w:rsidRPr="008912DA">
        <w:rPr>
          <w:sz w:val="20"/>
          <w:lang w:val="fr-CA"/>
        </w:rPr>
        <w:t xml:space="preserve">gouvernement sincèrement désireux de respecter l’obligation que lui commandait son honneur pouvait et aurait dû faire mieux. </w:t>
      </w:r>
    </w:p>
    <w:p w:rsidR="008912DA" w:rsidRDefault="008912DA" w:rsidP="008912DA">
      <w:pPr>
        <w:pStyle w:val="SCCNormalDoubleSpacing"/>
        <w:spacing w:line="240" w:lineRule="auto"/>
        <w:rPr>
          <w:sz w:val="20"/>
          <w:lang w:val="fr-FR"/>
        </w:rPr>
      </w:pPr>
    </w:p>
    <w:p w:rsidR="008912DA" w:rsidRPr="009960F5" w:rsidRDefault="008912DA" w:rsidP="008912DA">
      <w:pPr>
        <w:pStyle w:val="SCCNormalDoubleSpacing"/>
        <w:spacing w:line="240" w:lineRule="auto"/>
        <w:rPr>
          <w:sz w:val="20"/>
          <w:lang w:val="fr-FR"/>
        </w:rPr>
      </w:pPr>
      <w:r w:rsidRPr="009960F5">
        <w:rPr>
          <w:sz w:val="20"/>
          <w:lang w:val="fr-FR"/>
        </w:rPr>
        <w:tab/>
        <w:t>Aucun autre manquement allégué — l’omission d’empêcher les enfants des Métis de vendre leurs terres à des spéculateurs, la remise de certificats au lieu de terres et l’omission de regrouper les terres par famille — n’était en soi incompatible avec l’honneur de la Couronne.  Cela dit, les répercussions de ces mesures ont été exacerbées par le retard contraire à l’honneur de la Couronne :</w:t>
      </w:r>
      <w:r w:rsidRPr="008912DA">
        <w:rPr>
          <w:sz w:val="20"/>
          <w:lang w:val="fr-CA"/>
        </w:rPr>
        <w:t xml:space="preserve"> les ventes inconsidérées à des spéculateurs se sont accrues, de sorte que les enfants qui avaient reçu un certificat ont obtenu beaucoup moins que les 240 acres accordés à ceux qui avaient participé </w:t>
      </w:r>
      <w:r w:rsidRPr="008912DA">
        <w:rPr>
          <w:sz w:val="20"/>
          <w:lang w:val="fr-CA"/>
        </w:rPr>
        <w:lastRenderedPageBreak/>
        <w:t>à la distribution initiale</w:t>
      </w:r>
      <w:r w:rsidRPr="009960F5">
        <w:rPr>
          <w:sz w:val="20"/>
          <w:lang w:val="fr-FR"/>
        </w:rPr>
        <w:t>, le prix des terres ayant augmenté entre</w:t>
      </w:r>
      <w:r w:rsidRPr="009960F5">
        <w:rPr>
          <w:sz w:val="20"/>
          <w:lang w:val="fr-FR"/>
        </w:rPr>
        <w:noBreakHyphen/>
        <w:t>temps, et l’</w:t>
      </w:r>
      <w:r w:rsidRPr="008912DA">
        <w:rPr>
          <w:sz w:val="20"/>
          <w:lang w:val="fr-CA"/>
        </w:rPr>
        <w:t>échange de concessions entre Métis qui souhaitaient obtenir des parcelles contigües</w:t>
      </w:r>
      <w:r w:rsidRPr="009960F5">
        <w:rPr>
          <w:sz w:val="20"/>
          <w:lang w:val="fr-FR"/>
        </w:rPr>
        <w:t xml:space="preserve"> a été rendu plus difficile.</w:t>
      </w:r>
    </w:p>
    <w:p w:rsidR="008912DA" w:rsidRDefault="008912DA" w:rsidP="008912DA">
      <w:pPr>
        <w:pStyle w:val="SCCNormalDoubleSpacing"/>
        <w:spacing w:line="240" w:lineRule="auto"/>
        <w:rPr>
          <w:sz w:val="20"/>
          <w:lang w:val="fr-FR"/>
        </w:rPr>
      </w:pPr>
    </w:p>
    <w:p w:rsidR="008912DA" w:rsidRPr="009960F5" w:rsidRDefault="008912DA" w:rsidP="008912DA">
      <w:pPr>
        <w:pStyle w:val="SCCNormalDoubleSpacing"/>
        <w:spacing w:line="240" w:lineRule="auto"/>
        <w:rPr>
          <w:sz w:val="20"/>
          <w:lang w:val="fr-FR"/>
        </w:rPr>
      </w:pPr>
      <w:r w:rsidRPr="009960F5">
        <w:rPr>
          <w:sz w:val="20"/>
          <w:lang w:val="fr-FR"/>
        </w:rPr>
        <w:tab/>
        <w:t>I</w:t>
      </w:r>
      <w:r w:rsidRPr="008912DA">
        <w:rPr>
          <w:sz w:val="20"/>
          <w:lang w:val="fr-CA"/>
        </w:rPr>
        <w:t>l n’est pas nécessaire d’examiner la constitutionnalité des lois de mise en œuvre</w:t>
      </w:r>
      <w:r w:rsidRPr="009960F5">
        <w:rPr>
          <w:sz w:val="20"/>
          <w:lang w:val="fr-FR"/>
        </w:rPr>
        <w:t>, car la question est</w:t>
      </w:r>
      <w:r w:rsidRPr="008912DA">
        <w:rPr>
          <w:sz w:val="20"/>
          <w:lang w:val="fr-CA"/>
        </w:rPr>
        <w:t xml:space="preserve"> devenue théorique</w:t>
      </w:r>
      <w:r w:rsidRPr="009960F5">
        <w:rPr>
          <w:sz w:val="20"/>
          <w:lang w:val="fr-FR"/>
        </w:rPr>
        <w:t>.</w:t>
      </w:r>
    </w:p>
    <w:p w:rsidR="008912DA" w:rsidRPr="008912DA" w:rsidRDefault="008912DA" w:rsidP="008912DA">
      <w:pPr>
        <w:pStyle w:val="SCCNormalDoubleSpacing"/>
        <w:spacing w:line="240" w:lineRule="auto"/>
        <w:rPr>
          <w:sz w:val="20"/>
          <w:lang w:val="fr-CA"/>
        </w:rPr>
      </w:pPr>
    </w:p>
    <w:p w:rsidR="008912DA" w:rsidRPr="009960F5" w:rsidRDefault="008912DA" w:rsidP="008912DA">
      <w:pPr>
        <w:pStyle w:val="SCCNormalDoubleSpacing"/>
        <w:spacing w:line="240" w:lineRule="auto"/>
        <w:rPr>
          <w:sz w:val="20"/>
          <w:lang w:val="fr-FR"/>
        </w:rPr>
      </w:pPr>
      <w:r w:rsidRPr="008912DA">
        <w:rPr>
          <w:sz w:val="20"/>
          <w:lang w:val="fr-CA"/>
        </w:rPr>
        <w:tab/>
        <w:t>La demande des Métis fondée sur le principe de l’honneur de la Couronne n’est pas irrecevable par application des lois sur la</w:t>
      </w:r>
      <w:r w:rsidRPr="008912DA">
        <w:rPr>
          <w:iCs/>
          <w:sz w:val="20"/>
          <w:lang w:val="fr-CA"/>
        </w:rPr>
        <w:t xml:space="preserve"> prescription</w:t>
      </w:r>
      <w:r w:rsidRPr="009960F5">
        <w:rPr>
          <w:sz w:val="20"/>
          <w:lang w:val="fr-FR"/>
        </w:rPr>
        <w:t>.  Les délais de prescription s’appliquent à la demande de réparation personnelle fondée sur l’inconstitutionnalité d’une loi, mais les Métis ne sollicitent pas de réparation personnelle et ne réclament ni dommages</w:t>
      </w:r>
      <w:r w:rsidRPr="009960F5">
        <w:rPr>
          <w:sz w:val="20"/>
          <w:lang w:val="fr-FR"/>
        </w:rPr>
        <w:noBreakHyphen/>
        <w:t xml:space="preserve">intérêts, ni terres.  Puisque les lois sur la prescription ne peuvent empêcher un tribunal de rendre un jugement déclaratoire sur la constitutionnalité d’une loi, elles ne peuvent l’empêcher de rendre un jugement déclaratoire sur la constitutionnalité de la conduite de la Couronne.  </w:t>
      </w:r>
      <w:r w:rsidRPr="008912DA">
        <w:rPr>
          <w:sz w:val="20"/>
          <w:lang w:val="fr-CA"/>
        </w:rPr>
        <w:t>Aussi longtemps que le grief constitutionnel ne sera pas tranché, l’objectif de réconciliation et d’harmonie constitutionnelle</w:t>
      </w:r>
      <w:r w:rsidRPr="009960F5">
        <w:rPr>
          <w:sz w:val="20"/>
          <w:lang w:val="fr-FR"/>
        </w:rPr>
        <w:t xml:space="preserve"> </w:t>
      </w:r>
      <w:r w:rsidRPr="008912DA">
        <w:rPr>
          <w:sz w:val="20"/>
          <w:lang w:val="fr-CA"/>
        </w:rPr>
        <w:t xml:space="preserve">n’aura pas été atteint.  </w:t>
      </w:r>
      <w:r w:rsidRPr="009960F5">
        <w:rPr>
          <w:sz w:val="20"/>
          <w:lang w:val="fr-FR"/>
        </w:rPr>
        <w:t>De plus, bon nombre des considérations de politique générale qui sous</w:t>
      </w:r>
      <w:r w:rsidRPr="009960F5">
        <w:rPr>
          <w:sz w:val="20"/>
          <w:lang w:val="fr-FR"/>
        </w:rPr>
        <w:noBreakHyphen/>
        <w:t>tendent les lois sur la prescription ne s’appliquent pas dans un contexte autochtone.  Le</w:t>
      </w:r>
      <w:r w:rsidRPr="008912DA">
        <w:rPr>
          <w:sz w:val="20"/>
          <w:lang w:val="fr-CA"/>
        </w:rPr>
        <w:t xml:space="preserve"> jugement déclaratoire est une réparation de portée restreinte qui, dans certains cas, peut être le seul moyen de donner effet au principe de l’honneur de la Couronne</w:t>
      </w:r>
      <w:r w:rsidRPr="009960F5">
        <w:rPr>
          <w:sz w:val="20"/>
          <w:lang w:val="fr-FR"/>
        </w:rPr>
        <w:t>.</w:t>
      </w:r>
    </w:p>
    <w:p w:rsidR="008912DA" w:rsidRDefault="008912DA" w:rsidP="008912DA">
      <w:pPr>
        <w:pStyle w:val="SCCNormalDoubleSpacing"/>
        <w:spacing w:line="240" w:lineRule="auto"/>
        <w:rPr>
          <w:sz w:val="20"/>
          <w:lang w:val="fr-FR"/>
        </w:rPr>
      </w:pPr>
    </w:p>
    <w:p w:rsidR="008912DA" w:rsidRPr="009960F5" w:rsidRDefault="008912DA" w:rsidP="008912DA">
      <w:pPr>
        <w:pStyle w:val="SCCNormalDoubleSpacing"/>
        <w:spacing w:line="240" w:lineRule="auto"/>
        <w:rPr>
          <w:sz w:val="20"/>
          <w:lang w:val="fr-FR"/>
        </w:rPr>
      </w:pPr>
      <w:r w:rsidRPr="009960F5">
        <w:rPr>
          <w:sz w:val="20"/>
          <w:lang w:val="fr-FR"/>
        </w:rPr>
        <w:tab/>
        <w:t xml:space="preserve">La demande n’est pas non plus irrecevable par application de la doctrine des </w:t>
      </w:r>
      <w:r w:rsidRPr="009960F5">
        <w:rPr>
          <w:i/>
          <w:sz w:val="20"/>
          <w:lang w:val="fr-FR"/>
        </w:rPr>
        <w:t>laches</w:t>
      </w:r>
      <w:r w:rsidRPr="009960F5">
        <w:rPr>
          <w:sz w:val="20"/>
          <w:lang w:val="fr-FR"/>
        </w:rPr>
        <w:t xml:space="preserve">.  Vu le contexte considéré en l’espèce, y compris </w:t>
      </w:r>
      <w:r w:rsidRPr="008912DA">
        <w:rPr>
          <w:sz w:val="20"/>
          <w:lang w:val="fr-CA"/>
        </w:rPr>
        <w:t>les injustices subies par les Métis dans le passé, l’inégalité du rapport de force qui a suivi la proclamation de la souveraineté de la Couronne et les conséquences négatives ayant découlé des retards dans la concession des terres</w:t>
      </w:r>
      <w:r w:rsidRPr="009960F5">
        <w:rPr>
          <w:sz w:val="20"/>
          <w:lang w:val="fr-FR"/>
        </w:rPr>
        <w:t xml:space="preserve">, </w:t>
      </w:r>
      <w:r w:rsidRPr="008912DA">
        <w:rPr>
          <w:sz w:val="20"/>
          <w:lang w:val="fr-CA"/>
        </w:rPr>
        <w:t>le retard des appelants ne peut en soi être interprété comme un acte manifeste d’acquiescement ou de renonciation</w:t>
      </w:r>
      <w:r w:rsidRPr="009960F5">
        <w:rPr>
          <w:sz w:val="20"/>
          <w:lang w:val="fr-FR"/>
        </w:rPr>
        <w:t>.  Il est</w:t>
      </w:r>
      <w:r w:rsidRPr="008912DA">
        <w:rPr>
          <w:sz w:val="20"/>
          <w:lang w:val="fr-CA"/>
        </w:rPr>
        <w:t xml:space="preserve"> irréaliste d’avancer que les Métis ont négligé de faire valoir leurs droits avant que les tribunaux ne soient prêts à les reconnaître.  De plus,</w:t>
      </w:r>
      <w:r w:rsidRPr="009960F5">
        <w:rPr>
          <w:sz w:val="20"/>
          <w:lang w:val="fr-FR"/>
        </w:rPr>
        <w:t xml:space="preserve"> </w:t>
      </w:r>
      <w:r w:rsidRPr="008912DA">
        <w:rPr>
          <w:sz w:val="20"/>
          <w:lang w:val="fr-CA"/>
        </w:rPr>
        <w:t xml:space="preserve">le Canada n’a pas changé sa position à cause du retard.  Dès lors, la doctrine des </w:t>
      </w:r>
      <w:r w:rsidRPr="008912DA">
        <w:rPr>
          <w:i/>
          <w:sz w:val="20"/>
          <w:lang w:val="fr-CA"/>
        </w:rPr>
        <w:t>laches</w:t>
      </w:r>
      <w:r w:rsidRPr="008912DA">
        <w:rPr>
          <w:sz w:val="20"/>
          <w:lang w:val="fr-CA"/>
        </w:rPr>
        <w:t xml:space="preserve"> ne fait pas obstacle à la demande.  </w:t>
      </w:r>
      <w:r w:rsidRPr="009960F5">
        <w:rPr>
          <w:sz w:val="20"/>
          <w:lang w:val="fr-FR"/>
        </w:rPr>
        <w:t xml:space="preserve">Qui plus est, il est difficile de voir </w:t>
      </w:r>
      <w:r w:rsidRPr="008912DA">
        <w:rPr>
          <w:sz w:val="20"/>
          <w:lang w:val="fr-CA"/>
        </w:rPr>
        <w:t>comment un tribunal, dans son rôle de gardien de la Constitution, pourrait appliquer une doctrine d’equity pour refuser de rendre un jugement déclarant qu’une disposition de la Constitution n’a pas été respectée comme l’exigeait l’honneur de la Couronne</w:t>
      </w:r>
      <w:r w:rsidRPr="009960F5">
        <w:rPr>
          <w:sz w:val="20"/>
          <w:lang w:val="fr-FR"/>
        </w:rPr>
        <w:t>.</w:t>
      </w:r>
    </w:p>
    <w:p w:rsidR="008912DA" w:rsidRDefault="008912DA" w:rsidP="008912DA">
      <w:pPr>
        <w:pStyle w:val="SCCNormalDoubleSpacing"/>
        <w:spacing w:line="240" w:lineRule="auto"/>
        <w:rPr>
          <w:i/>
          <w:sz w:val="20"/>
          <w:lang w:val="fr-FR"/>
        </w:rPr>
      </w:pPr>
    </w:p>
    <w:p w:rsidR="008912DA" w:rsidRPr="008912DA" w:rsidRDefault="008912DA" w:rsidP="008912DA">
      <w:pPr>
        <w:pStyle w:val="SCCNormalDoubleSpacing"/>
        <w:spacing w:line="240" w:lineRule="auto"/>
        <w:rPr>
          <w:sz w:val="20"/>
          <w:lang w:val="fr-CA"/>
        </w:rPr>
      </w:pPr>
      <w:r w:rsidRPr="009960F5">
        <w:rPr>
          <w:i/>
          <w:sz w:val="20"/>
          <w:lang w:val="fr-FR"/>
        </w:rPr>
        <w:tab/>
        <w:t>Les</w:t>
      </w:r>
      <w:r w:rsidRPr="009960F5">
        <w:rPr>
          <w:sz w:val="20"/>
          <w:lang w:val="fr-FR"/>
        </w:rPr>
        <w:t xml:space="preserve"> juges </w:t>
      </w:r>
      <w:r w:rsidRPr="009960F5">
        <w:rPr>
          <w:b/>
          <w:sz w:val="20"/>
          <w:lang w:val="fr-FR"/>
        </w:rPr>
        <w:t>Rothstein</w:t>
      </w:r>
      <w:r w:rsidRPr="009960F5">
        <w:rPr>
          <w:sz w:val="20"/>
          <w:lang w:val="fr-FR"/>
        </w:rPr>
        <w:t xml:space="preserve"> et Moldaver (dissidents) : Il y a accord avec les juges majoritaires pour dire que nulle obligation fiduciaire n’existait en l’espèce, </w:t>
      </w:r>
      <w:r w:rsidRPr="008912DA">
        <w:rPr>
          <w:sz w:val="20"/>
          <w:lang w:val="fr-CA"/>
        </w:rPr>
        <w:t xml:space="preserve">qu’il n’y a pas de prétention valable découlant de l’art. 32 de la </w:t>
      </w:r>
      <w:r w:rsidRPr="008912DA">
        <w:rPr>
          <w:i/>
          <w:sz w:val="20"/>
          <w:lang w:val="fr-CA"/>
        </w:rPr>
        <w:t>Loi sur le Manitoba</w:t>
      </w:r>
      <w:r w:rsidRPr="008912DA">
        <w:rPr>
          <w:sz w:val="20"/>
          <w:lang w:val="fr-CA"/>
        </w:rPr>
        <w:t xml:space="preserve">, que toute prétention qui aurait pu se fonder sur les dispositions manitobaines aujourd’hui abrogées sur la concession de terres est théorique, que la concession au hasard des terres constituait pour le Canada un moyen acceptable de mettre l’art. 31 en œuvre et que la MMF a qualité pour agir en l’espèce.  Cependant, les juges majoritaires proposent une nouvelle obligation de common law découlant de l’honneur de la Couronne.  Les juridictions inférieures n’ont pas examiné la question, et les parties n’ont pas présenté d’argumentation sur le sujet dans le cadre du présent pourvoi.  La nouvelle obligation reconnue accroît de manière imprévisible la portée des obligations qui découlent de l’honneur de la Couronne.  Tant la prescription que la doctrine des </w:t>
      </w:r>
      <w:r w:rsidRPr="008912DA">
        <w:rPr>
          <w:i/>
          <w:sz w:val="20"/>
          <w:lang w:val="fr-CA"/>
        </w:rPr>
        <w:t>laches</w:t>
      </w:r>
      <w:r w:rsidRPr="008912DA">
        <w:rPr>
          <w:sz w:val="20"/>
          <w:lang w:val="fr-CA"/>
        </w:rPr>
        <w:t xml:space="preserve"> font obstacle à la demande fondée sur l’honneur de la Couronne.</w:t>
      </w:r>
    </w:p>
    <w:p w:rsidR="008912DA" w:rsidRPr="008912DA" w:rsidRDefault="008912DA" w:rsidP="008912DA">
      <w:pPr>
        <w:pStyle w:val="SCCNormalDoubleSpacing"/>
        <w:spacing w:line="240" w:lineRule="auto"/>
        <w:rPr>
          <w:sz w:val="20"/>
          <w:lang w:val="fr-CA"/>
        </w:rPr>
      </w:pPr>
    </w:p>
    <w:p w:rsidR="008912DA" w:rsidRPr="008912DA" w:rsidRDefault="008912DA" w:rsidP="008912DA">
      <w:pPr>
        <w:pStyle w:val="SCCNormalDoubleSpacing"/>
        <w:spacing w:line="240" w:lineRule="auto"/>
        <w:rPr>
          <w:sz w:val="20"/>
          <w:lang w:val="fr-CA"/>
        </w:rPr>
      </w:pPr>
      <w:r w:rsidRPr="008912DA">
        <w:rPr>
          <w:sz w:val="20"/>
          <w:lang w:val="fr-CA"/>
        </w:rPr>
        <w:tab/>
        <w:t xml:space="preserve">Une obligation d’exécution diligente pourrait fort bien emporter un accroissement opportun des obligations de la Couronne et il aurait certes été préférable que les choses se déroulent plus rapidement, mais l’obligation que créent les juges majoritaires débouche sur une règle vague qui écarte la doctrine des </w:t>
      </w:r>
      <w:r w:rsidRPr="008912DA">
        <w:rPr>
          <w:i/>
          <w:sz w:val="20"/>
          <w:lang w:val="fr-CA"/>
        </w:rPr>
        <w:t>laches</w:t>
      </w:r>
      <w:r w:rsidRPr="008912DA">
        <w:rPr>
          <w:sz w:val="20"/>
          <w:lang w:val="fr-CA"/>
        </w:rPr>
        <w:t xml:space="preserve"> et la prescription, et qui est insusceptible de correction par le législateur, de sorte que la portée et les conséquences des nouvelles obligations de la Couronne deviennent imprévisibles.  Des zones d’ombre demeurent quant à savoir si un engagement est « solennel » et emporte l’application de l’obligation, quel type de document juridique peut renfermer un engagement solennel, si la portée d’une obligation issue d’un document apparenté à un traité est plus grande que celle découlant d’un autre document constitutionnel et s’il suffit que le créancier de l’obligation soit un groupe autochtone.  L’idée que les modalités de mise en application d’une obligation constitutionnelle par le gouvernement dépendent du degré de ressemblance de celle</w:t>
      </w:r>
      <w:r w:rsidRPr="008912DA">
        <w:rPr>
          <w:sz w:val="20"/>
          <w:lang w:val="fr-CA"/>
        </w:rPr>
        <w:noBreakHyphen/>
        <w:t>ci avec une obligation issue d’un traité devait être rejetée. Ce serait accroître sensiblement la responsabilité de la Couronne que de permettre qu’une demande de réparation suive son cours du moment que la promesse a été faite à un groupe autochtone, sans qu’un intérêt autochtone suffisant pour fonder une obligation fiduciaire n’ait été prouvé et sans que des actes n’emportent le manquement à une obligation fiduciaire.</w:t>
      </w:r>
    </w:p>
    <w:p w:rsidR="008912DA" w:rsidRPr="008912DA" w:rsidRDefault="008912DA" w:rsidP="008912DA">
      <w:pPr>
        <w:pStyle w:val="SCCNormalDoubleSpacing"/>
        <w:spacing w:line="240" w:lineRule="auto"/>
        <w:rPr>
          <w:sz w:val="20"/>
          <w:lang w:val="fr-CA"/>
        </w:rPr>
      </w:pPr>
    </w:p>
    <w:p w:rsidR="008912DA" w:rsidRPr="008912DA" w:rsidRDefault="008912DA" w:rsidP="008912DA">
      <w:pPr>
        <w:pStyle w:val="SCCNormalDoubleSpacing"/>
        <w:spacing w:line="240" w:lineRule="auto"/>
        <w:rPr>
          <w:sz w:val="20"/>
          <w:lang w:val="fr-CA"/>
        </w:rPr>
      </w:pPr>
      <w:r w:rsidRPr="008912DA">
        <w:rPr>
          <w:sz w:val="20"/>
          <w:lang w:val="fr-CA"/>
        </w:rPr>
        <w:tab/>
        <w:t xml:space="preserve">À supposer même que l’honneur de la Couronne ait été engagé et qu’il ait exigé la mise en œuvre diligente de l’art. 31, et même, qu’il y ait eu manquement à cette obligation, les lois sur la prescription et la doctrine des </w:t>
      </w:r>
      <w:r w:rsidRPr="008912DA">
        <w:rPr>
          <w:i/>
          <w:sz w:val="20"/>
          <w:lang w:val="fr-CA"/>
        </w:rPr>
        <w:t>laches</w:t>
      </w:r>
      <w:r w:rsidRPr="008912DA">
        <w:rPr>
          <w:sz w:val="20"/>
          <w:lang w:val="fr-CA"/>
        </w:rPr>
        <w:t xml:space="preserve"> reconnue en equity faisaient depuis longtemps obstacle à toute demande découlant d’une telle cause d’action.  La </w:t>
      </w:r>
      <w:r w:rsidRPr="008912DA">
        <w:rPr>
          <w:rFonts w:eastAsiaTheme="minorHAnsi"/>
          <w:sz w:val="20"/>
          <w:lang w:val="fr-CA"/>
        </w:rPr>
        <w:lastRenderedPageBreak/>
        <w:t xml:space="preserve">prescription et la doctrine des </w:t>
      </w:r>
      <w:r w:rsidRPr="008912DA">
        <w:rPr>
          <w:rFonts w:eastAsiaTheme="minorHAnsi"/>
          <w:i/>
          <w:sz w:val="20"/>
          <w:lang w:val="fr-CA"/>
        </w:rPr>
        <w:t>laches</w:t>
      </w:r>
      <w:r w:rsidRPr="008912DA">
        <w:rPr>
          <w:rFonts w:eastAsiaTheme="minorHAnsi"/>
          <w:sz w:val="20"/>
          <w:lang w:val="fr-CA"/>
        </w:rPr>
        <w:t xml:space="preserve"> ne peuvent remplir leur fonction que si elles ont une application universelle.  </w:t>
      </w:r>
      <w:r w:rsidRPr="008912DA">
        <w:rPr>
          <w:sz w:val="20"/>
          <w:lang w:val="fr-CA"/>
        </w:rPr>
        <w:t>Les délais de prescription s’appliquent à l’État comme à toute autre partie à un litige, tant en général qu’en matière de droits des Autochtones.  Leur application est bénéfique au système judiciaire car il en résulte certitude et prévisibilité.  Elle protège également la société en général en faisant en sorte qu’un recours contre la Couronne soit exercé en temps utile de façon que cette dernière puisse se défendre convenablement.</w:t>
      </w:r>
    </w:p>
    <w:p w:rsidR="008912DA" w:rsidRPr="008912DA" w:rsidRDefault="008912DA" w:rsidP="008912DA">
      <w:pPr>
        <w:pStyle w:val="SCCNormalDoubleSpacing"/>
        <w:spacing w:line="240" w:lineRule="auto"/>
        <w:rPr>
          <w:sz w:val="20"/>
          <w:lang w:val="fr-CA"/>
        </w:rPr>
      </w:pPr>
    </w:p>
    <w:p w:rsidR="008912DA" w:rsidRPr="008912DA" w:rsidRDefault="008912DA" w:rsidP="008912DA">
      <w:pPr>
        <w:pStyle w:val="SCCNormalDoubleSpacing"/>
        <w:spacing w:line="240" w:lineRule="auto"/>
        <w:rPr>
          <w:sz w:val="20"/>
          <w:lang w:val="fr-CA"/>
        </w:rPr>
      </w:pPr>
      <w:r w:rsidRPr="008912DA">
        <w:rPr>
          <w:sz w:val="20"/>
          <w:lang w:val="fr-CA"/>
        </w:rPr>
        <w:tab/>
        <w:t xml:space="preserve">Au Manitoba, des délais de prescription s’appliquent sans interruption depuis 1870 et, dès 1931, un délai de six ans s’est appliqué à toutes les causes d’action, qu’elles aient pris naissance avant ou après l’entrée en vigueur des dispositions sur la prescription.  Un délai ultime de prescription de 30 ans s’applique également dans la province.  Les délais de prescription s’appliquent au bénéfice de la Couronne.  La raison d’être des délais de prescription ne milite pas en faveur de la création d’une exception à leur application en l’espèce.  Les dispositions manitobaines ne soustraient pas la demande de jugement déclaratoire à l’application de la prescription, et il n’y a pas lieu que les tribunaux le fassent.  Le risque qu’un jugement déclaratoire entraîne d’autres réparations se concrétise bel et bien en l’espèce.  Les Métis entendent en effet se servir du jugement déclaratoire pour négocier avec la Couronne et obtenir une réparation extrajudiciaire, ce qui expose la Couronne à se voir reprocher l’inexécution d’une obligation bien après l’expiration du délai de prescription applicable. </w:t>
      </w:r>
    </w:p>
    <w:p w:rsidR="008912DA" w:rsidRPr="008912DA" w:rsidRDefault="008912DA" w:rsidP="008912DA">
      <w:pPr>
        <w:pStyle w:val="SCCNormalDoubleSpacing"/>
        <w:spacing w:line="240" w:lineRule="auto"/>
        <w:rPr>
          <w:sz w:val="20"/>
          <w:lang w:val="fr-CA"/>
        </w:rPr>
      </w:pPr>
    </w:p>
    <w:p w:rsidR="008912DA" w:rsidRPr="008912DA" w:rsidRDefault="008912DA" w:rsidP="008912DA">
      <w:pPr>
        <w:pStyle w:val="SCCNormalDoubleSpacing"/>
        <w:spacing w:line="240" w:lineRule="auto"/>
        <w:rPr>
          <w:sz w:val="20"/>
          <w:lang w:val="fr-CA"/>
        </w:rPr>
      </w:pPr>
      <w:r w:rsidRPr="008912DA">
        <w:rPr>
          <w:sz w:val="20"/>
          <w:lang w:val="fr-CA"/>
        </w:rPr>
        <w:tab/>
        <w:t>En outre, la Cour n’a jamais reconnu l’existence d’une exception générale à l’application de la prescription dans le cas d’une demande prenant appui sur la Constitution.  En fait, elle a conclu invariablement que la prescription vaut pour les allégations de nature factuelle comportant des éléments constitutionnels.  La prescription ne saurait empêcher un tribunal de déclarer une loi inconstitutionnelle, mais les prétentions d’inconstitutionnalité formulées par les Métis sont théoriques.  Le jugement déclaratoire demandé vise par ailleurs des questions d’ordre factuel et des manquements allégués à des obligations qui ont toujours été soumis à la prescription.  En affirmant que l’objectif de la réconciliation doit être prioritaire dans le contexte autochtone, les juges majoritaires semblent rompre avec le principe selon lequel la raison d’être générale des délais de prescription doit aussi valoir pour les demandes des Autochtones.</w:t>
      </w:r>
    </w:p>
    <w:p w:rsidR="008912DA" w:rsidRPr="008912DA" w:rsidRDefault="008912DA" w:rsidP="008912DA">
      <w:pPr>
        <w:pStyle w:val="SCCNormalDoubleSpacing"/>
        <w:spacing w:line="240" w:lineRule="auto"/>
        <w:rPr>
          <w:sz w:val="20"/>
          <w:lang w:val="fr-CA"/>
        </w:rPr>
      </w:pPr>
    </w:p>
    <w:p w:rsidR="008912DA" w:rsidRPr="008912DA" w:rsidRDefault="008912DA" w:rsidP="008912DA">
      <w:pPr>
        <w:pStyle w:val="SCCNormalDoubleSpacing"/>
        <w:spacing w:line="240" w:lineRule="auto"/>
        <w:rPr>
          <w:rFonts w:eastAsiaTheme="minorHAnsi"/>
          <w:sz w:val="20"/>
          <w:lang w:val="fr-CA"/>
        </w:rPr>
      </w:pPr>
      <w:r w:rsidRPr="008912DA">
        <w:rPr>
          <w:sz w:val="20"/>
          <w:lang w:val="fr-CA"/>
        </w:rPr>
        <w:tab/>
        <w:t xml:space="preserve">La </w:t>
      </w:r>
      <w:r w:rsidRPr="008912DA">
        <w:rPr>
          <w:rFonts w:eastAsiaTheme="minorHAnsi"/>
          <w:sz w:val="20"/>
          <w:lang w:val="fr-CA"/>
        </w:rPr>
        <w:t xml:space="preserve">doctrine des </w:t>
      </w:r>
      <w:r w:rsidRPr="008912DA">
        <w:rPr>
          <w:rFonts w:eastAsiaTheme="minorHAnsi"/>
          <w:i/>
          <w:sz w:val="20"/>
          <w:lang w:val="fr-CA"/>
        </w:rPr>
        <w:t>laches</w:t>
      </w:r>
      <w:r w:rsidRPr="008912DA">
        <w:rPr>
          <w:rFonts w:eastAsiaTheme="minorHAnsi"/>
          <w:sz w:val="20"/>
          <w:lang w:val="fr-CA"/>
        </w:rPr>
        <w:t xml:space="preserve"> fait également obstacle au recours.  L</w:t>
      </w:r>
      <w:r w:rsidRPr="008912DA">
        <w:rPr>
          <w:sz w:val="20"/>
          <w:lang w:val="fr-CA"/>
        </w:rPr>
        <w:t>a Couronne peut l’invoquer à l’encontre d’une demande en equity qui n’est pas présentée à temps. Puisque la doctrine peut être opposée à une allégation de manquement à l’obligation fiduciaire, il serait foncièrement illogique de permettre que certaines demandes prenant appui sur l’honneur de la Couronne échappent à son application.  L</w:t>
      </w:r>
      <w:r w:rsidRPr="008912DA">
        <w:rPr>
          <w:rFonts w:eastAsiaTheme="minorHAnsi"/>
          <w:sz w:val="20"/>
          <w:lang w:val="fr-CA"/>
        </w:rPr>
        <w:t xml:space="preserve">a doctrine peut être invoquée pour les deux motifs reconnus : les Métis ont, en connaissance de cause, attendu plus d’un siècle pour présenter leur demande et ils ont de ce fait acquiescé à la situation et incité le gouvernement à tenir cet acquiescement pour acquis, rendant ainsi l’actuel recours déraisonnable.  Au sujet de l’acquiescement, le juge de première instance a conclu que les Métis avaient la connaissance requise dans les années 1870, et le caractère erroné de sa conclusion n’a pas été établi.  L’affirmation selon laquelle il serait « irréaliste » d’exiger d’une personne qu’elle ait fait valoir ses droits avant que les tribunaux n’aient été disposés à les reconnaître va foncièrement à l’encontre de l’approche de common law en matière d’évolution du droit.  Le retard à concéder les terres ne peut constituer à la fois le tort allégué et le motif pour lequel la Couronne ne peut invoquer la doctrine des </w:t>
      </w:r>
      <w:r w:rsidRPr="008912DA">
        <w:rPr>
          <w:rFonts w:eastAsiaTheme="minorHAnsi"/>
          <w:i/>
          <w:sz w:val="20"/>
          <w:lang w:val="fr-CA"/>
        </w:rPr>
        <w:t>laches</w:t>
      </w:r>
      <w:r w:rsidRPr="008912DA">
        <w:rPr>
          <w:rFonts w:eastAsiaTheme="minorHAnsi"/>
          <w:sz w:val="20"/>
          <w:lang w:val="fr-CA"/>
        </w:rPr>
        <w:t xml:space="preserve">, car celle-ci est toujours invoquée en défense par la partie qui aurait lésé l’autre.  Si se prononcer sur le caractère équitable des actes du défendeur revient seulement à se demander si le demandeur a prouvé ses allégations, le moyen de défense offert par la doctrine devient illusoire.  L’inégalité du rapport de force entre les Métis et le gouvernement n’était pas de nature à saper la connaissance, la capacité et la liberté des Métis de telle sorte qu’on ne puisse conclure à l’acquiescement.  L’inférence selon laquelle les retards accusés dans la distribution des terres ont rendu les Métis vulnérables n’est pas tirée par le juge de première instance, ni étayée par la preuve.  Quoi qu’il en soit, tout comme la prescription, la doctrine des </w:t>
      </w:r>
      <w:r w:rsidRPr="008912DA">
        <w:rPr>
          <w:rFonts w:eastAsiaTheme="minorHAnsi"/>
          <w:i/>
          <w:sz w:val="20"/>
          <w:lang w:val="fr-CA"/>
        </w:rPr>
        <w:t>laches</w:t>
      </w:r>
      <w:r w:rsidRPr="008912DA">
        <w:rPr>
          <w:rFonts w:eastAsiaTheme="minorHAnsi"/>
          <w:sz w:val="20"/>
          <w:lang w:val="fr-CA"/>
        </w:rPr>
        <w:t xml:space="preserve"> est opposable aux personnes vulnérables.</w:t>
      </w:r>
    </w:p>
    <w:p w:rsidR="008912DA" w:rsidRPr="008912DA" w:rsidRDefault="008912DA" w:rsidP="008912DA">
      <w:pPr>
        <w:pStyle w:val="SCCNormalDoubleSpacing"/>
        <w:spacing w:line="240" w:lineRule="auto"/>
        <w:rPr>
          <w:rFonts w:eastAsiaTheme="minorHAnsi"/>
          <w:sz w:val="20"/>
          <w:lang w:val="fr-CA"/>
        </w:rPr>
      </w:pPr>
    </w:p>
    <w:p w:rsidR="008912DA" w:rsidRPr="008912DA" w:rsidRDefault="008912DA" w:rsidP="008912DA">
      <w:pPr>
        <w:pStyle w:val="SCCNormalDoubleSpacing"/>
        <w:spacing w:line="240" w:lineRule="auto"/>
        <w:rPr>
          <w:rFonts w:eastAsiaTheme="minorHAnsi"/>
          <w:sz w:val="20"/>
          <w:lang w:val="fr-CA"/>
        </w:rPr>
      </w:pPr>
      <w:r w:rsidRPr="008912DA">
        <w:rPr>
          <w:rFonts w:eastAsiaTheme="minorHAnsi"/>
          <w:sz w:val="20"/>
          <w:lang w:val="fr-CA"/>
        </w:rPr>
        <w:tab/>
        <w:t>En ce qui concerne la croyance, si le recours avait été exercé en temps utile, les retards inexpliqués qui sont censés attester le caractère déshonorable des actes de la Couronne auraient fort bien pu être expliqués ou le gouvernement aurait pu prendre des mesures pour donner satisfaction à la collectivité métisse.</w:t>
      </w:r>
    </w:p>
    <w:p w:rsidR="008912DA" w:rsidRPr="008912DA" w:rsidRDefault="008912DA" w:rsidP="008912DA">
      <w:pPr>
        <w:pStyle w:val="SCCNormalDoubleSpacing"/>
        <w:spacing w:line="240" w:lineRule="auto"/>
        <w:rPr>
          <w:rFonts w:eastAsiaTheme="minorHAnsi"/>
          <w:sz w:val="20"/>
          <w:lang w:val="fr-CA"/>
        </w:rPr>
      </w:pPr>
    </w:p>
    <w:p w:rsidR="008912DA" w:rsidRPr="008912DA" w:rsidRDefault="008912DA" w:rsidP="008912DA">
      <w:pPr>
        <w:pStyle w:val="SCCNormalDoubleSpacing"/>
        <w:spacing w:line="240" w:lineRule="auto"/>
        <w:rPr>
          <w:sz w:val="20"/>
          <w:lang w:val="fr-CA"/>
        </w:rPr>
      </w:pPr>
      <w:r w:rsidRPr="008912DA">
        <w:rPr>
          <w:rFonts w:eastAsiaTheme="minorHAnsi"/>
          <w:sz w:val="20"/>
          <w:lang w:val="fr-CA"/>
        </w:rPr>
        <w:tab/>
        <w:t>Enfin, b</w:t>
      </w:r>
      <w:r w:rsidRPr="008912DA">
        <w:rPr>
          <w:sz w:val="20"/>
          <w:lang w:val="fr-CA"/>
        </w:rPr>
        <w:t xml:space="preserve">ien que ce ne soit pas fait expressément, les juges majoritaires s’écartent des conclusions de fait tirées en première instance sur deux points principaux, et ce, même s’ils n’y relèvent pas d’erreur manifeste et dominante : (1) l’ampleur du retard dans la distribution des terres et (2) les répercussions de ce retard sur les Métis.  Le juge de première instance conclut clairement qu’il y a eu retard.  Or, ni ses conclusions ni la preuve ne révèlent une tendance au manque d’attention ou un manquement à l’obligation de diligence, pas plus qu’elles n’indiquent que les objectifs de la </w:t>
      </w:r>
      <w:r w:rsidRPr="008912DA">
        <w:rPr>
          <w:sz w:val="20"/>
          <w:lang w:val="fr-CA"/>
        </w:rPr>
        <w:lastRenderedPageBreak/>
        <w:t>concession des terres ont été contrecarrés.  Ce seul élément prive de fondement toute prétention des Métis prenant appui sur le manquement à une obligation découlant de l’honneur de la Couronne, à supposer qu’une telle obligation existe.</w:t>
      </w:r>
    </w:p>
    <w:p w:rsidR="008912DA" w:rsidRPr="008912DA" w:rsidRDefault="008912DA" w:rsidP="008912DA">
      <w:pPr>
        <w:pStyle w:val="SCCNormalDoubleSpacing"/>
        <w:spacing w:line="240" w:lineRule="auto"/>
        <w:rPr>
          <w:sz w:val="20"/>
          <w:lang w:val="fr-CA"/>
        </w:rPr>
      </w:pPr>
    </w:p>
    <w:p w:rsidR="008912DA" w:rsidRPr="008912DA" w:rsidRDefault="008912DA" w:rsidP="008912DA">
      <w:pPr>
        <w:pStyle w:val="SCCNormalDoubleSpacing"/>
        <w:spacing w:line="240" w:lineRule="auto"/>
        <w:rPr>
          <w:sz w:val="20"/>
          <w:lang w:val="fr-CA"/>
        </w:rPr>
      </w:pPr>
      <w:r w:rsidRPr="008912DA">
        <w:rPr>
          <w:sz w:val="20"/>
          <w:lang w:val="fr-CA"/>
        </w:rPr>
        <w:tab/>
        <w:t>POURVOI contre un arrêt de la Cour d’appel du Manitoba (le juge en chef Scott et les juges Monnin, Steel, Hamilton et Freedman), 2010 MBCA 71, 255 Man. R. (2d) 167, 486 W.A.C. 167, [2010] 12 W.W.R. 599, [2010] 3 C.N.L.R. 233, 216 C.R.R. (2d) 144, 94 R.P.R. (4th) 161, [2010] M.J. No. 219 (QL), 2010 CarswellMan 322, qui a confirmé une décision du juge MacInnes, 2007 MBQB 293, 223 Man. R. (2d) 42, [2008] 4 W.W.R. 402, [2008] 2 C.N.L.R. 52, [2007] M.J. No. 448 (QL), 2007 CarswellMan 500.  Pourvoi accueilli en partie, les juges Rothstein et Moldaver sont dissidents.</w:t>
      </w:r>
    </w:p>
    <w:p w:rsidR="008912DA" w:rsidRPr="008912DA" w:rsidRDefault="008912DA" w:rsidP="008912DA">
      <w:pPr>
        <w:pStyle w:val="SCCNormalDoubleSpacing"/>
        <w:spacing w:line="240" w:lineRule="auto"/>
        <w:rPr>
          <w:rStyle w:val="SCCCounselNameChar"/>
          <w:sz w:val="20"/>
          <w:lang w:val="fr-CA"/>
        </w:rPr>
      </w:pPr>
    </w:p>
    <w:p w:rsidR="008912DA" w:rsidRPr="008912DA" w:rsidRDefault="008912DA" w:rsidP="008912DA">
      <w:pPr>
        <w:pStyle w:val="SCCNormalDoubleSpacing"/>
        <w:spacing w:line="240" w:lineRule="auto"/>
        <w:rPr>
          <w:sz w:val="20"/>
          <w:lang w:val="fr-CA"/>
        </w:rPr>
      </w:pPr>
      <w:r w:rsidRPr="008912DA">
        <w:rPr>
          <w:rStyle w:val="SCCCounselNameChar"/>
          <w:sz w:val="20"/>
          <w:lang w:val="fr-CA"/>
        </w:rPr>
        <w:tab/>
        <w:t>Thomas R. Berger, c.r.</w:t>
      </w:r>
      <w:r w:rsidRPr="009960F5">
        <w:rPr>
          <w:rStyle w:val="SCCCounselSeparatorChar"/>
          <w:rFonts w:eastAsiaTheme="majorEastAsia"/>
          <w:sz w:val="20"/>
        </w:rPr>
        <w:t xml:space="preserve">, </w:t>
      </w:r>
      <w:r w:rsidRPr="008912DA">
        <w:rPr>
          <w:rStyle w:val="SCCCounselNameChar"/>
          <w:sz w:val="20"/>
          <w:lang w:val="fr-CA"/>
        </w:rPr>
        <w:t>James Aldridge, c.r.,</w:t>
      </w:r>
      <w:r w:rsidRPr="009960F5">
        <w:rPr>
          <w:rStyle w:val="SCCCounselSeparatorChar"/>
          <w:rFonts w:eastAsiaTheme="majorEastAsia"/>
          <w:sz w:val="20"/>
        </w:rPr>
        <w:t xml:space="preserve"> </w:t>
      </w:r>
      <w:r w:rsidRPr="008912DA">
        <w:rPr>
          <w:rStyle w:val="SCCCounselNameChar"/>
          <w:sz w:val="20"/>
          <w:lang w:val="fr-CA"/>
        </w:rPr>
        <w:t>Harley Schachter</w:t>
      </w:r>
      <w:r w:rsidRPr="008912DA">
        <w:rPr>
          <w:rStyle w:val="SCCCounselPartyRoleChar"/>
          <w:sz w:val="20"/>
          <w:lang w:val="fr-CA"/>
        </w:rPr>
        <w:t xml:space="preserve"> et </w:t>
      </w:r>
      <w:r w:rsidRPr="008912DA">
        <w:rPr>
          <w:rStyle w:val="SCCCounselPartyRoleChar"/>
          <w:i/>
          <w:sz w:val="20"/>
          <w:lang w:val="fr-CA"/>
        </w:rPr>
        <w:t>Guylaine Grenier</w:t>
      </w:r>
      <w:r w:rsidRPr="008912DA">
        <w:rPr>
          <w:rStyle w:val="SCCCounselPartyRoleChar"/>
          <w:sz w:val="20"/>
          <w:lang w:val="fr-CA"/>
        </w:rPr>
        <w:t>, pour les appelants.</w:t>
      </w:r>
    </w:p>
    <w:p w:rsidR="008912DA" w:rsidRPr="008912DA" w:rsidRDefault="008912DA" w:rsidP="008912DA">
      <w:pPr>
        <w:pStyle w:val="SCCNormalDoubleSpacing"/>
        <w:spacing w:line="240" w:lineRule="auto"/>
        <w:rPr>
          <w:rStyle w:val="SCCCounselNameChar"/>
          <w:sz w:val="20"/>
          <w:lang w:val="fr-CA"/>
        </w:rPr>
      </w:pPr>
    </w:p>
    <w:p w:rsidR="008912DA" w:rsidRPr="008912DA" w:rsidRDefault="008912DA" w:rsidP="008912DA">
      <w:pPr>
        <w:pStyle w:val="SCCNormalDoubleSpacing"/>
        <w:spacing w:line="240" w:lineRule="auto"/>
        <w:rPr>
          <w:sz w:val="20"/>
          <w:lang w:val="fr-CA"/>
        </w:rPr>
      </w:pPr>
      <w:r w:rsidRPr="008912DA">
        <w:rPr>
          <w:rStyle w:val="SCCCounselNameChar"/>
          <w:sz w:val="20"/>
          <w:lang w:val="fr-CA"/>
        </w:rPr>
        <w:tab/>
        <w:t>Mark Kindrachuk, c.r.</w:t>
      </w:r>
      <w:r w:rsidRPr="009960F5">
        <w:rPr>
          <w:rStyle w:val="SCCCounselSeparatorChar"/>
          <w:rFonts w:eastAsiaTheme="majorEastAsia"/>
          <w:sz w:val="20"/>
        </w:rPr>
        <w:t xml:space="preserve">, </w:t>
      </w:r>
      <w:r w:rsidRPr="008912DA">
        <w:rPr>
          <w:rStyle w:val="SCCCounselNameChar"/>
          <w:sz w:val="20"/>
          <w:lang w:val="fr-CA"/>
        </w:rPr>
        <w:t>Mitchell R. Taylor, c.r.</w:t>
      </w:r>
      <w:r w:rsidRPr="008912DA">
        <w:rPr>
          <w:rStyle w:val="SCCCounselPartyRoleChar"/>
          <w:sz w:val="20"/>
          <w:lang w:val="fr-CA"/>
        </w:rPr>
        <w:t xml:space="preserve">, et </w:t>
      </w:r>
      <w:r w:rsidRPr="008912DA">
        <w:rPr>
          <w:rStyle w:val="SCCCounselNameChar"/>
          <w:sz w:val="20"/>
          <w:lang w:val="fr-CA"/>
        </w:rPr>
        <w:t>Sharlene Telles</w:t>
      </w:r>
      <w:r w:rsidRPr="008912DA">
        <w:rPr>
          <w:rStyle w:val="SCCCounselNameChar"/>
          <w:sz w:val="20"/>
          <w:lang w:val="fr-CA"/>
        </w:rPr>
        <w:noBreakHyphen/>
        <w:t>Langdon</w:t>
      </w:r>
      <w:r w:rsidRPr="009960F5">
        <w:rPr>
          <w:rStyle w:val="SCCCounselSeparatorChar"/>
          <w:rFonts w:eastAsiaTheme="majorEastAsia"/>
          <w:sz w:val="20"/>
        </w:rPr>
        <w:t xml:space="preserve">, </w:t>
      </w:r>
      <w:r w:rsidRPr="008912DA">
        <w:rPr>
          <w:rStyle w:val="SCCCounselPartyRoleChar"/>
          <w:sz w:val="20"/>
          <w:lang w:val="fr-CA"/>
        </w:rPr>
        <w:t>pour l’intimé le procureur général du Canada.</w:t>
      </w:r>
    </w:p>
    <w:p w:rsidR="008912DA" w:rsidRPr="008912DA" w:rsidRDefault="008912DA" w:rsidP="008912DA">
      <w:pPr>
        <w:pStyle w:val="SCCNormalDoubleSpacing"/>
        <w:spacing w:line="240" w:lineRule="auto"/>
        <w:rPr>
          <w:rStyle w:val="SCCCounselNameChar"/>
          <w:sz w:val="20"/>
          <w:lang w:val="fr-CA"/>
        </w:rPr>
      </w:pPr>
    </w:p>
    <w:p w:rsidR="008912DA" w:rsidRPr="008912DA" w:rsidRDefault="008912DA" w:rsidP="008912DA">
      <w:pPr>
        <w:pStyle w:val="SCCNormalDoubleSpacing"/>
        <w:spacing w:line="240" w:lineRule="auto"/>
        <w:rPr>
          <w:sz w:val="20"/>
          <w:lang w:val="fr-CA"/>
        </w:rPr>
      </w:pPr>
      <w:r w:rsidRPr="008912DA">
        <w:rPr>
          <w:rStyle w:val="SCCCounselNameChar"/>
          <w:sz w:val="20"/>
          <w:lang w:val="fr-CA"/>
        </w:rPr>
        <w:tab/>
        <w:t>Heather Leonoff, c.r.</w:t>
      </w:r>
      <w:r w:rsidRPr="009960F5">
        <w:rPr>
          <w:rStyle w:val="SCCCounselSeparatorChar"/>
          <w:rFonts w:eastAsiaTheme="majorEastAsia"/>
          <w:sz w:val="20"/>
        </w:rPr>
        <w:t xml:space="preserve">, et </w:t>
      </w:r>
      <w:r w:rsidRPr="008912DA">
        <w:rPr>
          <w:rStyle w:val="SCCCounselNameChar"/>
          <w:sz w:val="20"/>
          <w:lang w:val="fr-CA"/>
        </w:rPr>
        <w:t>Michael Conner</w:t>
      </w:r>
      <w:r w:rsidRPr="008912DA">
        <w:rPr>
          <w:rStyle w:val="SCCCounselPartyRoleChar"/>
          <w:sz w:val="20"/>
          <w:lang w:val="fr-CA"/>
        </w:rPr>
        <w:t>, pour l’intimé le procureur général du Manitoba.</w:t>
      </w:r>
    </w:p>
    <w:p w:rsidR="008912DA" w:rsidRPr="008912DA" w:rsidRDefault="008912DA" w:rsidP="008912DA">
      <w:pPr>
        <w:pStyle w:val="SCCNormalDoubleSpacing"/>
        <w:spacing w:line="240" w:lineRule="auto"/>
        <w:rPr>
          <w:rStyle w:val="SCCCounselNameChar"/>
          <w:sz w:val="20"/>
          <w:lang w:val="fr-CA"/>
        </w:rPr>
      </w:pPr>
    </w:p>
    <w:p w:rsidR="008912DA" w:rsidRPr="008912DA" w:rsidRDefault="008912DA" w:rsidP="008912DA">
      <w:pPr>
        <w:pStyle w:val="SCCNormalDoubleSpacing"/>
        <w:spacing w:line="240" w:lineRule="auto"/>
        <w:rPr>
          <w:sz w:val="20"/>
          <w:lang w:val="fr-CA"/>
        </w:rPr>
      </w:pPr>
      <w:r w:rsidRPr="008912DA">
        <w:rPr>
          <w:rStyle w:val="SCCCounselNameChar"/>
          <w:sz w:val="20"/>
          <w:lang w:val="fr-CA"/>
        </w:rPr>
        <w:tab/>
        <w:t>P. Mitch McAdam</w:t>
      </w:r>
      <w:r w:rsidRPr="008912DA">
        <w:rPr>
          <w:rStyle w:val="SCCCounselPartyRoleChar"/>
          <w:sz w:val="20"/>
          <w:lang w:val="fr-CA"/>
        </w:rPr>
        <w:t>, pour l’intervenant le procureur général de la Saskatchewan.</w:t>
      </w:r>
    </w:p>
    <w:p w:rsidR="008912DA" w:rsidRPr="008912DA" w:rsidRDefault="008912DA" w:rsidP="008912DA">
      <w:pPr>
        <w:pStyle w:val="SCCNormalDoubleSpacing"/>
        <w:spacing w:line="240" w:lineRule="auto"/>
        <w:rPr>
          <w:rStyle w:val="SCCCounselNameChar"/>
          <w:sz w:val="20"/>
          <w:lang w:val="fr-CA"/>
        </w:rPr>
      </w:pPr>
    </w:p>
    <w:p w:rsidR="008912DA" w:rsidRPr="008912DA" w:rsidRDefault="008912DA" w:rsidP="008912DA">
      <w:pPr>
        <w:pStyle w:val="SCCNormalDoubleSpacing"/>
        <w:spacing w:line="240" w:lineRule="auto"/>
        <w:rPr>
          <w:sz w:val="20"/>
          <w:lang w:val="fr-CA"/>
        </w:rPr>
      </w:pPr>
      <w:r w:rsidRPr="008912DA">
        <w:rPr>
          <w:rStyle w:val="SCCCounselNameChar"/>
          <w:sz w:val="20"/>
          <w:lang w:val="fr-CA"/>
        </w:rPr>
        <w:tab/>
      </w:r>
      <w:r w:rsidRPr="00DB4074">
        <w:rPr>
          <w:rStyle w:val="SCCCounselNameChar"/>
          <w:i w:val="0"/>
          <w:sz w:val="20"/>
          <w:lang w:val="fr-CA"/>
        </w:rPr>
        <w:t>Argumentation écrite seulement par</w:t>
      </w:r>
      <w:r w:rsidRPr="008912DA">
        <w:rPr>
          <w:rStyle w:val="SCCCounselNameChar"/>
          <w:sz w:val="20"/>
          <w:lang w:val="fr-CA"/>
        </w:rPr>
        <w:t xml:space="preserve"> Douglas B. Titosky</w:t>
      </w:r>
      <w:r w:rsidRPr="008912DA">
        <w:rPr>
          <w:rStyle w:val="SCCCounselPartyRoleChar"/>
          <w:sz w:val="20"/>
          <w:lang w:val="fr-CA"/>
        </w:rPr>
        <w:t>, pour l’intervenant le procureur général de l’Alberta.</w:t>
      </w:r>
    </w:p>
    <w:p w:rsidR="008912DA" w:rsidRPr="008912DA" w:rsidRDefault="008912DA" w:rsidP="008912DA">
      <w:pPr>
        <w:pStyle w:val="SCCNormalDoubleSpacing"/>
        <w:spacing w:line="240" w:lineRule="auto"/>
        <w:rPr>
          <w:rStyle w:val="SCCCounselNameChar"/>
          <w:sz w:val="20"/>
          <w:lang w:val="fr-CA"/>
        </w:rPr>
      </w:pPr>
    </w:p>
    <w:p w:rsidR="008912DA" w:rsidRPr="008912DA" w:rsidRDefault="008912DA" w:rsidP="008912DA">
      <w:pPr>
        <w:pStyle w:val="SCCNormalDoubleSpacing"/>
        <w:spacing w:line="240" w:lineRule="auto"/>
        <w:rPr>
          <w:sz w:val="20"/>
          <w:lang w:val="fr-CA"/>
        </w:rPr>
      </w:pPr>
      <w:r w:rsidRPr="008912DA">
        <w:rPr>
          <w:rStyle w:val="SCCCounselNameChar"/>
          <w:sz w:val="20"/>
          <w:lang w:val="fr-CA"/>
        </w:rPr>
        <w:tab/>
        <w:t>Clement Chartier</w:t>
      </w:r>
      <w:r w:rsidRPr="009960F5">
        <w:rPr>
          <w:rStyle w:val="SCCCounselSeparatorChar"/>
          <w:rFonts w:eastAsiaTheme="majorEastAsia"/>
          <w:sz w:val="20"/>
        </w:rPr>
        <w:t xml:space="preserve">, </w:t>
      </w:r>
      <w:r w:rsidRPr="009960F5">
        <w:rPr>
          <w:rStyle w:val="SCCCounselSeparatorChar"/>
          <w:rFonts w:eastAsiaTheme="majorEastAsia"/>
          <w:i/>
          <w:sz w:val="20"/>
        </w:rPr>
        <w:t>c.r.</w:t>
      </w:r>
      <w:r w:rsidRPr="009960F5">
        <w:rPr>
          <w:rStyle w:val="SCCCounselSeparatorChar"/>
          <w:rFonts w:eastAsiaTheme="majorEastAsia"/>
          <w:sz w:val="20"/>
        </w:rPr>
        <w:t xml:space="preserve">, et </w:t>
      </w:r>
      <w:r w:rsidRPr="008912DA">
        <w:rPr>
          <w:rStyle w:val="SCCCounselNameChar"/>
          <w:sz w:val="20"/>
          <w:lang w:val="fr-CA"/>
        </w:rPr>
        <w:t>Marc LeClair</w:t>
      </w:r>
      <w:r w:rsidRPr="008912DA">
        <w:rPr>
          <w:rStyle w:val="SCCCounselPartyRoleChar"/>
          <w:sz w:val="20"/>
          <w:lang w:val="fr-CA"/>
        </w:rPr>
        <w:t>, pour l’intervenant le Ralliement national des Métis.</w:t>
      </w:r>
    </w:p>
    <w:p w:rsidR="008912DA" w:rsidRPr="008912DA" w:rsidRDefault="008912DA" w:rsidP="008912DA">
      <w:pPr>
        <w:pStyle w:val="SCCNormalDoubleSpacing"/>
        <w:spacing w:line="240" w:lineRule="auto"/>
        <w:rPr>
          <w:rStyle w:val="SCCCounselNameChar"/>
          <w:sz w:val="20"/>
          <w:lang w:val="fr-CA"/>
        </w:rPr>
      </w:pPr>
    </w:p>
    <w:p w:rsidR="008912DA" w:rsidRPr="008912DA" w:rsidRDefault="008912DA" w:rsidP="008912DA">
      <w:pPr>
        <w:pStyle w:val="SCCNormalDoubleSpacing"/>
        <w:spacing w:line="240" w:lineRule="auto"/>
        <w:rPr>
          <w:sz w:val="20"/>
          <w:lang w:val="fr-CA"/>
        </w:rPr>
      </w:pPr>
      <w:r w:rsidRPr="008912DA">
        <w:rPr>
          <w:rStyle w:val="SCCCounselNameChar"/>
          <w:sz w:val="20"/>
          <w:lang w:val="fr-CA"/>
        </w:rPr>
        <w:tab/>
        <w:t>Jason Taylor Madden</w:t>
      </w:r>
      <w:r w:rsidRPr="008912DA">
        <w:rPr>
          <w:rStyle w:val="SCCCounselPartyRoleChar"/>
          <w:sz w:val="20"/>
          <w:lang w:val="fr-CA"/>
        </w:rPr>
        <w:t>, pour l’intervenante Métis Nation of Alberta.</w:t>
      </w:r>
    </w:p>
    <w:p w:rsidR="008912DA" w:rsidRPr="008912DA" w:rsidRDefault="008912DA" w:rsidP="008912DA">
      <w:pPr>
        <w:pStyle w:val="SCCNormalDoubleSpacing"/>
        <w:spacing w:line="240" w:lineRule="auto"/>
        <w:rPr>
          <w:rStyle w:val="SCCCounselNameChar"/>
          <w:sz w:val="20"/>
          <w:lang w:val="fr-CA"/>
        </w:rPr>
      </w:pPr>
    </w:p>
    <w:p w:rsidR="008912DA" w:rsidRPr="008912DA" w:rsidRDefault="008912DA" w:rsidP="008912DA">
      <w:pPr>
        <w:pStyle w:val="SCCNormalDoubleSpacing"/>
        <w:spacing w:line="240" w:lineRule="auto"/>
        <w:rPr>
          <w:sz w:val="20"/>
          <w:lang w:val="fr-CA"/>
        </w:rPr>
      </w:pPr>
      <w:r w:rsidRPr="008912DA">
        <w:rPr>
          <w:rStyle w:val="SCCCounselNameChar"/>
          <w:sz w:val="20"/>
          <w:lang w:val="fr-CA"/>
        </w:rPr>
        <w:tab/>
        <w:t>Jean M. Teillet et Arthur Pape</w:t>
      </w:r>
      <w:r w:rsidRPr="008912DA">
        <w:rPr>
          <w:rStyle w:val="SCCCounselPartyRoleChar"/>
          <w:sz w:val="20"/>
          <w:lang w:val="fr-CA"/>
        </w:rPr>
        <w:t>, pour l’intervenante Métis Nation of Ontario.</w:t>
      </w:r>
    </w:p>
    <w:p w:rsidR="008912DA" w:rsidRPr="008912DA" w:rsidRDefault="008912DA" w:rsidP="008912DA">
      <w:pPr>
        <w:pStyle w:val="SCCNormalDoubleSpacing"/>
        <w:spacing w:line="240" w:lineRule="auto"/>
        <w:rPr>
          <w:rStyle w:val="SCCCounselNameChar"/>
          <w:sz w:val="20"/>
          <w:lang w:val="fr-CA"/>
        </w:rPr>
      </w:pPr>
    </w:p>
    <w:p w:rsidR="008912DA" w:rsidRPr="008912DA" w:rsidRDefault="008912DA" w:rsidP="008912DA">
      <w:pPr>
        <w:pStyle w:val="SCCNormalDoubleSpacing"/>
        <w:spacing w:line="240" w:lineRule="auto"/>
        <w:rPr>
          <w:sz w:val="20"/>
          <w:lang w:val="fr-CA"/>
        </w:rPr>
      </w:pPr>
      <w:r w:rsidRPr="008912DA">
        <w:rPr>
          <w:rStyle w:val="SCCCounselNameChar"/>
          <w:sz w:val="20"/>
          <w:lang w:val="fr-CA"/>
        </w:rPr>
        <w:tab/>
        <w:t>Jeffrey R. W. Rath</w:t>
      </w:r>
      <w:r w:rsidRPr="008912DA">
        <w:rPr>
          <w:rStyle w:val="SCCCounselPartyRoleChar"/>
          <w:sz w:val="20"/>
          <w:lang w:val="fr-CA"/>
        </w:rPr>
        <w:t xml:space="preserve">, pour l’intervenante les </w:t>
      </w:r>
      <w:r w:rsidRPr="008912DA">
        <w:rPr>
          <w:sz w:val="20"/>
          <w:lang w:val="fr-CA"/>
        </w:rPr>
        <w:t>Premières nations du traité n</w:t>
      </w:r>
      <w:r w:rsidRPr="008912DA">
        <w:rPr>
          <w:sz w:val="20"/>
          <w:vertAlign w:val="superscript"/>
          <w:lang w:val="fr-CA"/>
        </w:rPr>
        <w:t>o</w:t>
      </w:r>
      <w:r w:rsidRPr="008912DA">
        <w:rPr>
          <w:sz w:val="20"/>
          <w:lang w:val="fr-CA"/>
        </w:rPr>
        <w:t> 1</w:t>
      </w:r>
      <w:r w:rsidRPr="008912DA">
        <w:rPr>
          <w:rStyle w:val="SCCCounselPartyRoleChar"/>
          <w:sz w:val="20"/>
          <w:lang w:val="fr-CA"/>
        </w:rPr>
        <w:t>.</w:t>
      </w:r>
    </w:p>
    <w:p w:rsidR="008912DA" w:rsidRPr="008912DA" w:rsidRDefault="008912DA" w:rsidP="008912DA">
      <w:pPr>
        <w:pStyle w:val="SCCNormalDoubleSpacing"/>
        <w:spacing w:line="240" w:lineRule="auto"/>
        <w:rPr>
          <w:rStyle w:val="SCCCounselNameChar"/>
          <w:sz w:val="20"/>
          <w:lang w:val="fr-CA"/>
        </w:rPr>
      </w:pPr>
    </w:p>
    <w:p w:rsidR="008912DA" w:rsidRPr="008912DA" w:rsidRDefault="008912DA" w:rsidP="008912DA">
      <w:pPr>
        <w:pStyle w:val="SCCNormalDoubleSpacing"/>
        <w:spacing w:line="240" w:lineRule="auto"/>
        <w:rPr>
          <w:sz w:val="20"/>
          <w:lang w:val="fr-CA"/>
        </w:rPr>
      </w:pPr>
      <w:r w:rsidRPr="008912DA">
        <w:rPr>
          <w:rStyle w:val="SCCCounselNameChar"/>
          <w:sz w:val="20"/>
          <w:lang w:val="fr-CA"/>
        </w:rPr>
        <w:tab/>
      </w:r>
      <w:r w:rsidRPr="00DB4074">
        <w:rPr>
          <w:rStyle w:val="SCCCounselNameChar"/>
          <w:i w:val="0"/>
          <w:sz w:val="20"/>
          <w:lang w:val="fr-CA"/>
        </w:rPr>
        <w:t>Argumentation écrite seulement par</w:t>
      </w:r>
      <w:r w:rsidRPr="008912DA">
        <w:rPr>
          <w:rStyle w:val="SCCCounselNameChar"/>
          <w:sz w:val="20"/>
          <w:lang w:val="fr-CA"/>
        </w:rPr>
        <w:t xml:space="preserve"> Joseph J. Arvay, c.r.</w:t>
      </w:r>
      <w:r w:rsidRPr="008912DA">
        <w:rPr>
          <w:rStyle w:val="SCCCounselPartyRoleChar"/>
          <w:sz w:val="20"/>
          <w:lang w:val="fr-CA"/>
        </w:rPr>
        <w:t xml:space="preserve">, </w:t>
      </w:r>
      <w:r w:rsidRPr="008912DA">
        <w:rPr>
          <w:rStyle w:val="SCCCounselPartyRoleChar"/>
          <w:i/>
          <w:sz w:val="20"/>
          <w:lang w:val="fr-CA"/>
        </w:rPr>
        <w:t>David C. Nahwegahbow</w:t>
      </w:r>
      <w:r w:rsidRPr="008912DA">
        <w:rPr>
          <w:rStyle w:val="SCCCounselPartyRoleChar"/>
          <w:sz w:val="20"/>
          <w:lang w:val="fr-CA"/>
        </w:rPr>
        <w:t xml:space="preserve"> et </w:t>
      </w:r>
      <w:r w:rsidRPr="008912DA">
        <w:rPr>
          <w:rStyle w:val="SCCCounselPartyRoleChar"/>
          <w:i/>
          <w:sz w:val="20"/>
          <w:lang w:val="fr-CA"/>
        </w:rPr>
        <w:t>Bruce Elwood</w:t>
      </w:r>
      <w:r w:rsidRPr="008912DA">
        <w:rPr>
          <w:rStyle w:val="SCCCounselPartyRoleChar"/>
          <w:sz w:val="20"/>
          <w:lang w:val="fr-CA"/>
        </w:rPr>
        <w:t>, pour l’intervenante l’Assemblée des premières nations.</w:t>
      </w:r>
    </w:p>
    <w:p w:rsidR="008912DA" w:rsidRPr="008912DA" w:rsidRDefault="008912DA" w:rsidP="008912DA">
      <w:pPr>
        <w:pStyle w:val="SCCLawFirm"/>
        <w:spacing w:line="240" w:lineRule="auto"/>
        <w:rPr>
          <w:sz w:val="20"/>
          <w:lang w:val="fr-CA"/>
        </w:rPr>
      </w:pPr>
    </w:p>
    <w:p w:rsidR="008912DA" w:rsidRPr="008912DA" w:rsidRDefault="008912DA" w:rsidP="008912DA">
      <w:pPr>
        <w:pStyle w:val="SCCLawFirm"/>
        <w:spacing w:line="240" w:lineRule="auto"/>
        <w:rPr>
          <w:sz w:val="20"/>
          <w:lang w:val="fr-CA"/>
        </w:rPr>
      </w:pPr>
      <w:r w:rsidRPr="008912DA">
        <w:rPr>
          <w:sz w:val="20"/>
          <w:lang w:val="fr-CA"/>
        </w:rPr>
        <w:tab/>
        <w:t>Procureurs des appelants : Rosenbloom Aldridge Bartley &amp; Rosling, Vancouver.</w:t>
      </w:r>
    </w:p>
    <w:p w:rsidR="008912DA" w:rsidRPr="008912DA" w:rsidRDefault="008912DA" w:rsidP="008912DA">
      <w:pPr>
        <w:pStyle w:val="SCCLawFirm"/>
        <w:spacing w:line="240" w:lineRule="auto"/>
        <w:rPr>
          <w:sz w:val="20"/>
          <w:lang w:val="fr-CA"/>
        </w:rPr>
      </w:pPr>
    </w:p>
    <w:p w:rsidR="008912DA" w:rsidRPr="008912DA" w:rsidRDefault="008912DA" w:rsidP="008912DA">
      <w:pPr>
        <w:pStyle w:val="SCCLawFirm"/>
        <w:spacing w:line="240" w:lineRule="auto"/>
        <w:rPr>
          <w:sz w:val="20"/>
          <w:lang w:val="fr-CA"/>
        </w:rPr>
      </w:pPr>
      <w:r w:rsidRPr="008912DA">
        <w:rPr>
          <w:sz w:val="20"/>
          <w:lang w:val="fr-CA"/>
        </w:rPr>
        <w:tab/>
        <w:t>Procureur de l’intimé le procureur général du Canada : Procureur général du Canada, Saskatoon.</w:t>
      </w:r>
    </w:p>
    <w:p w:rsidR="008912DA" w:rsidRPr="008912DA" w:rsidRDefault="008912DA" w:rsidP="008912DA">
      <w:pPr>
        <w:pStyle w:val="SCCLawFirm"/>
        <w:spacing w:line="240" w:lineRule="auto"/>
        <w:rPr>
          <w:sz w:val="20"/>
          <w:lang w:val="fr-CA"/>
        </w:rPr>
      </w:pPr>
    </w:p>
    <w:p w:rsidR="008912DA" w:rsidRPr="008912DA" w:rsidRDefault="008912DA" w:rsidP="008912DA">
      <w:pPr>
        <w:pStyle w:val="SCCLawFirm"/>
        <w:spacing w:line="240" w:lineRule="auto"/>
        <w:rPr>
          <w:sz w:val="20"/>
          <w:lang w:val="fr-CA"/>
        </w:rPr>
      </w:pPr>
      <w:r w:rsidRPr="008912DA">
        <w:rPr>
          <w:sz w:val="20"/>
          <w:lang w:val="fr-CA"/>
        </w:rPr>
        <w:tab/>
        <w:t>Procureur de l’intimé le procureur général du Manitoba : Procureur général du Manitoba, Winnipeg.</w:t>
      </w:r>
    </w:p>
    <w:p w:rsidR="008912DA" w:rsidRPr="008912DA" w:rsidRDefault="008912DA" w:rsidP="008912DA">
      <w:pPr>
        <w:pStyle w:val="SCCLawFirm"/>
        <w:spacing w:line="240" w:lineRule="auto"/>
        <w:rPr>
          <w:sz w:val="20"/>
          <w:lang w:val="fr-CA"/>
        </w:rPr>
      </w:pPr>
    </w:p>
    <w:p w:rsidR="008912DA" w:rsidRPr="008912DA" w:rsidRDefault="008912DA" w:rsidP="008912DA">
      <w:pPr>
        <w:pStyle w:val="SCCLawFirm"/>
        <w:spacing w:line="240" w:lineRule="auto"/>
        <w:rPr>
          <w:sz w:val="20"/>
          <w:lang w:val="fr-CA"/>
        </w:rPr>
      </w:pPr>
      <w:r w:rsidRPr="008912DA">
        <w:rPr>
          <w:sz w:val="20"/>
          <w:lang w:val="fr-CA"/>
        </w:rPr>
        <w:tab/>
        <w:t>Procureur de l’intervenant le procureur général de la Saskatchewan : Procureur général de la Saskatchewan, Regina.</w:t>
      </w:r>
    </w:p>
    <w:p w:rsidR="008912DA" w:rsidRPr="008912DA" w:rsidRDefault="008912DA" w:rsidP="008912DA">
      <w:pPr>
        <w:pStyle w:val="SCCLawFirm"/>
        <w:spacing w:line="240" w:lineRule="auto"/>
        <w:rPr>
          <w:sz w:val="20"/>
          <w:lang w:val="fr-CA"/>
        </w:rPr>
      </w:pPr>
    </w:p>
    <w:p w:rsidR="008912DA" w:rsidRPr="008912DA" w:rsidRDefault="008912DA" w:rsidP="008912DA">
      <w:pPr>
        <w:pStyle w:val="SCCLawFirm"/>
        <w:spacing w:line="240" w:lineRule="auto"/>
        <w:rPr>
          <w:sz w:val="20"/>
          <w:lang w:val="fr-CA"/>
        </w:rPr>
      </w:pPr>
      <w:r w:rsidRPr="008912DA">
        <w:rPr>
          <w:sz w:val="20"/>
          <w:lang w:val="fr-CA"/>
        </w:rPr>
        <w:tab/>
        <w:t>Procureur de l’intervenant le procureur général de l’Alberta : Procureur général de l’Alberta, Edmonton.</w:t>
      </w:r>
    </w:p>
    <w:p w:rsidR="008912DA" w:rsidRPr="008912DA" w:rsidRDefault="008912DA" w:rsidP="008912DA">
      <w:pPr>
        <w:pStyle w:val="SCCLawFirm"/>
        <w:spacing w:line="240" w:lineRule="auto"/>
        <w:rPr>
          <w:sz w:val="20"/>
          <w:lang w:val="fr-CA"/>
        </w:rPr>
      </w:pPr>
    </w:p>
    <w:p w:rsidR="008912DA" w:rsidRPr="008912DA" w:rsidRDefault="008912DA" w:rsidP="008912DA">
      <w:pPr>
        <w:pStyle w:val="SCCLawFirm"/>
        <w:spacing w:line="240" w:lineRule="auto"/>
        <w:rPr>
          <w:sz w:val="20"/>
          <w:lang w:val="fr-CA"/>
        </w:rPr>
      </w:pPr>
      <w:r w:rsidRPr="008912DA">
        <w:rPr>
          <w:sz w:val="20"/>
          <w:lang w:val="fr-CA"/>
        </w:rPr>
        <w:tab/>
        <w:t>Procureur de l’intervenant le Ralliement national des Métis : Ralliement national des Métis, Ottawa.</w:t>
      </w:r>
    </w:p>
    <w:p w:rsidR="008912DA" w:rsidRPr="008912DA" w:rsidRDefault="008912DA" w:rsidP="008912DA">
      <w:pPr>
        <w:pStyle w:val="SCCLawFirm"/>
        <w:spacing w:line="240" w:lineRule="auto"/>
        <w:rPr>
          <w:sz w:val="20"/>
          <w:lang w:val="fr-CA"/>
        </w:rPr>
      </w:pPr>
    </w:p>
    <w:p w:rsidR="008912DA" w:rsidRPr="008912DA" w:rsidRDefault="008912DA" w:rsidP="008912DA">
      <w:pPr>
        <w:pStyle w:val="SCCLawFirm"/>
        <w:spacing w:line="240" w:lineRule="auto"/>
        <w:rPr>
          <w:sz w:val="20"/>
          <w:lang w:val="fr-CA"/>
        </w:rPr>
      </w:pPr>
      <w:r w:rsidRPr="008912DA">
        <w:rPr>
          <w:sz w:val="20"/>
          <w:lang w:val="fr-CA"/>
        </w:rPr>
        <w:tab/>
        <w:t>Procureurs de l’intervenante Métis Nation of Alberta : JTM Law, Toronto.</w:t>
      </w:r>
    </w:p>
    <w:p w:rsidR="008912DA" w:rsidRPr="008912DA" w:rsidRDefault="008912DA" w:rsidP="008912DA">
      <w:pPr>
        <w:pStyle w:val="SCCLawFirm"/>
        <w:spacing w:line="240" w:lineRule="auto"/>
        <w:rPr>
          <w:sz w:val="20"/>
          <w:lang w:val="fr-CA"/>
        </w:rPr>
      </w:pPr>
    </w:p>
    <w:p w:rsidR="008912DA" w:rsidRPr="008912DA" w:rsidRDefault="008912DA" w:rsidP="008912DA">
      <w:pPr>
        <w:pStyle w:val="SCCLawFirm"/>
        <w:spacing w:line="240" w:lineRule="auto"/>
        <w:rPr>
          <w:sz w:val="20"/>
          <w:lang w:val="fr-CA"/>
        </w:rPr>
      </w:pPr>
      <w:r w:rsidRPr="008912DA">
        <w:rPr>
          <w:sz w:val="20"/>
          <w:lang w:val="fr-CA"/>
        </w:rPr>
        <w:tab/>
        <w:t>Procureurs de l’intervenante Métis Nation of Ontario : Pape Salter Teillet, Vancouver.</w:t>
      </w:r>
    </w:p>
    <w:p w:rsidR="008912DA" w:rsidRPr="008912DA" w:rsidRDefault="008912DA" w:rsidP="008912DA">
      <w:pPr>
        <w:pStyle w:val="SCCLawFirm"/>
        <w:spacing w:line="240" w:lineRule="auto"/>
        <w:rPr>
          <w:sz w:val="20"/>
          <w:lang w:val="fr-CA"/>
        </w:rPr>
      </w:pPr>
    </w:p>
    <w:p w:rsidR="008912DA" w:rsidRPr="008912DA" w:rsidRDefault="008912DA" w:rsidP="008912DA">
      <w:pPr>
        <w:pStyle w:val="SCCLawFirm"/>
        <w:spacing w:line="240" w:lineRule="auto"/>
        <w:rPr>
          <w:sz w:val="20"/>
          <w:lang w:val="fr-CA"/>
        </w:rPr>
      </w:pPr>
      <w:r w:rsidRPr="008912DA">
        <w:rPr>
          <w:sz w:val="20"/>
          <w:lang w:val="fr-CA"/>
        </w:rPr>
        <w:tab/>
        <w:t xml:space="preserve">Procureurs de l’intervenante </w:t>
      </w:r>
      <w:r w:rsidRPr="008912DA">
        <w:rPr>
          <w:rStyle w:val="SCCCounselPartyRoleChar"/>
          <w:sz w:val="20"/>
          <w:lang w:val="fr-CA"/>
        </w:rPr>
        <w:t xml:space="preserve">les </w:t>
      </w:r>
      <w:r w:rsidRPr="008912DA">
        <w:rPr>
          <w:sz w:val="20"/>
          <w:lang w:val="fr-CA"/>
        </w:rPr>
        <w:t>Premières nations du traité n</w:t>
      </w:r>
      <w:r w:rsidRPr="008912DA">
        <w:rPr>
          <w:sz w:val="20"/>
          <w:vertAlign w:val="superscript"/>
          <w:lang w:val="fr-CA"/>
        </w:rPr>
        <w:t>o</w:t>
      </w:r>
      <w:r w:rsidRPr="008912DA">
        <w:rPr>
          <w:sz w:val="20"/>
          <w:lang w:val="fr-CA"/>
        </w:rPr>
        <w:t> 1 : Rath &amp; Company, Priddis, Alberta.</w:t>
      </w:r>
    </w:p>
    <w:p w:rsidR="008912DA" w:rsidRPr="008912DA" w:rsidRDefault="008912DA" w:rsidP="008912DA">
      <w:pPr>
        <w:pStyle w:val="SCCLawFirm"/>
        <w:spacing w:line="240" w:lineRule="auto"/>
        <w:rPr>
          <w:sz w:val="20"/>
          <w:lang w:val="fr-CA"/>
        </w:rPr>
      </w:pPr>
    </w:p>
    <w:p w:rsidR="008912DA" w:rsidRPr="008912DA" w:rsidRDefault="008912DA" w:rsidP="008912DA">
      <w:pPr>
        <w:pStyle w:val="SCCLawFirm"/>
        <w:spacing w:line="240" w:lineRule="auto"/>
        <w:rPr>
          <w:sz w:val="20"/>
          <w:lang w:val="fr-CA"/>
        </w:rPr>
      </w:pPr>
      <w:r w:rsidRPr="008912DA">
        <w:rPr>
          <w:sz w:val="20"/>
          <w:lang w:val="fr-CA"/>
        </w:rPr>
        <w:tab/>
        <w:t>Procureurs de l’intervenante l’Assemblée des premières nations : Arvay Finlay, Vancouver; Nahwegahbow, Corbiere, Rama, Ontario.</w:t>
      </w:r>
    </w:p>
    <w:p w:rsidR="008912DA" w:rsidRDefault="008912DA" w:rsidP="003B3977">
      <w:pPr>
        <w:rPr>
          <w:sz w:val="20"/>
          <w:szCs w:val="20"/>
          <w:lang w:val="fr-CA"/>
        </w:rPr>
      </w:pPr>
    </w:p>
    <w:p w:rsidR="005C6840" w:rsidRPr="008912DA" w:rsidRDefault="003F21C7" w:rsidP="008912DA">
      <w:pPr>
        <w:rPr>
          <w:sz w:val="20"/>
          <w:szCs w:val="20"/>
          <w:lang w:val="fr-CA"/>
        </w:rPr>
      </w:pPr>
      <w:r w:rsidRPr="003F21C7">
        <w:rPr>
          <w:rFonts w:cs="Times New Roman"/>
          <w:sz w:val="20"/>
          <w:szCs w:val="20"/>
          <w:lang w:val="fr-CA"/>
        </w:rPr>
        <w:pict>
          <v:rect id="_x0000_i1091" style="width:144.3pt;height:1pt" o:hrpct="300" o:hralign="center" o:hrstd="t" o:hrnoshade="t" o:hr="t" fillcolor="black [3213]" stroked="f"/>
        </w:pict>
      </w:r>
    </w:p>
    <w:p w:rsidR="00102926" w:rsidRPr="008912DA" w:rsidRDefault="00102926" w:rsidP="00782AE4">
      <w:pPr>
        <w:jc w:val="both"/>
        <w:rPr>
          <w:sz w:val="20"/>
          <w:szCs w:val="20"/>
          <w:lang w:val="fr-CA"/>
        </w:rPr>
        <w:sectPr w:rsidR="00102926" w:rsidRPr="008912DA"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C07D68">
            <w:pPr>
              <w:keepNext/>
              <w:keepLines/>
              <w:rPr>
                <w:b/>
                <w:szCs w:val="24"/>
              </w:rPr>
            </w:pPr>
            <w:r w:rsidRPr="00C50A5C">
              <w:rPr>
                <w:b/>
                <w:szCs w:val="24"/>
              </w:rPr>
              <w:lastRenderedPageBreak/>
              <w:t xml:space="preserve">AGENDA FOR </w:t>
            </w:r>
            <w:r w:rsidR="00C07D68">
              <w:rPr>
                <w:b/>
                <w:szCs w:val="24"/>
              </w:rPr>
              <w:t>MARCH 2013</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C07D68">
            <w:pPr>
              <w:keepNext/>
              <w:keepLines/>
              <w:rPr>
                <w:b/>
                <w:szCs w:val="24"/>
                <w:lang w:val="fr-CA"/>
              </w:rPr>
            </w:pPr>
            <w:r w:rsidRPr="00C50A5C">
              <w:rPr>
                <w:b/>
                <w:szCs w:val="24"/>
                <w:lang w:val="fr-CA"/>
              </w:rPr>
              <w:t xml:space="preserve">CALENDRIER DE </w:t>
            </w:r>
            <w:r w:rsidR="00C07D68">
              <w:rPr>
                <w:b/>
                <w:szCs w:val="24"/>
                <w:lang w:val="fr-CA"/>
              </w:rPr>
              <w:t>MA</w:t>
            </w:r>
            <w:r w:rsidRPr="00C50A5C">
              <w:rPr>
                <w:b/>
                <w:szCs w:val="24"/>
                <w:lang w:val="fr-CA"/>
              </w:rPr>
              <w:t>R</w:t>
            </w:r>
            <w:r w:rsidR="00C07D68">
              <w:rPr>
                <w:b/>
                <w:szCs w:val="24"/>
                <w:lang w:val="fr-CA"/>
              </w:rPr>
              <w:t>S 2013</w:t>
            </w:r>
          </w:p>
        </w:tc>
      </w:tr>
    </w:tbl>
    <w:p w:rsidR="004B66B4" w:rsidRPr="00DD0B49" w:rsidRDefault="004B66B4" w:rsidP="004B66B4">
      <w:pPr>
        <w:rPr>
          <w:b/>
          <w:sz w:val="20"/>
          <w:szCs w:val="20"/>
        </w:rPr>
      </w:pPr>
    </w:p>
    <w:p w:rsidR="004B66B4" w:rsidRPr="00DD0B49" w:rsidRDefault="004B66B4" w:rsidP="004B66B4">
      <w:pPr>
        <w:rPr>
          <w:b/>
          <w:sz w:val="20"/>
          <w:szCs w:val="20"/>
        </w:rPr>
      </w:pPr>
      <w:r w:rsidRPr="00DD0B49">
        <w:rPr>
          <w:b/>
          <w:sz w:val="20"/>
          <w:szCs w:val="20"/>
        </w:rPr>
        <w:t xml:space="preserve">AGENDA for the weeks of </w:t>
      </w:r>
      <w:r w:rsidR="00C07D68">
        <w:rPr>
          <w:b/>
          <w:sz w:val="20"/>
          <w:szCs w:val="20"/>
        </w:rPr>
        <w:t xml:space="preserve">March 18 </w:t>
      </w:r>
      <w:r w:rsidRPr="00DD0B49">
        <w:rPr>
          <w:b/>
          <w:sz w:val="20"/>
          <w:szCs w:val="20"/>
        </w:rPr>
        <w:t xml:space="preserve">and </w:t>
      </w:r>
      <w:r w:rsidR="00C07D68">
        <w:rPr>
          <w:b/>
          <w:sz w:val="20"/>
          <w:szCs w:val="20"/>
        </w:rPr>
        <w:t>25</w:t>
      </w:r>
      <w:r w:rsidRPr="00DD0B49">
        <w:rPr>
          <w:b/>
          <w:sz w:val="20"/>
          <w:szCs w:val="20"/>
        </w:rPr>
        <w:t>, 201</w:t>
      </w:r>
      <w:r w:rsidR="00C07D68">
        <w:rPr>
          <w:b/>
          <w:sz w:val="20"/>
          <w:szCs w:val="20"/>
        </w:rPr>
        <w:t>3</w:t>
      </w:r>
      <w:r w:rsidRPr="00DD0B49">
        <w:rPr>
          <w:b/>
          <w:sz w:val="20"/>
          <w:szCs w:val="20"/>
        </w:rPr>
        <w:t>.</w:t>
      </w:r>
    </w:p>
    <w:p w:rsidR="004B66B4" w:rsidRPr="00DD0B49" w:rsidRDefault="004B66B4" w:rsidP="004B66B4">
      <w:pPr>
        <w:rPr>
          <w:sz w:val="20"/>
          <w:szCs w:val="20"/>
          <w:lang w:val="fr-CA"/>
        </w:rPr>
      </w:pPr>
      <w:r w:rsidRPr="00DD0B49">
        <w:rPr>
          <w:b/>
          <w:sz w:val="20"/>
          <w:szCs w:val="20"/>
          <w:lang w:val="fr-CA"/>
        </w:rPr>
        <w:t>CALENDRIER de la semaine du 1</w:t>
      </w:r>
      <w:r w:rsidR="00C07D68">
        <w:rPr>
          <w:b/>
          <w:sz w:val="20"/>
          <w:szCs w:val="20"/>
          <w:lang w:val="fr-CA"/>
        </w:rPr>
        <w:t xml:space="preserve">8 </w:t>
      </w:r>
      <w:r w:rsidRPr="00DD0B49">
        <w:rPr>
          <w:b/>
          <w:sz w:val="20"/>
          <w:szCs w:val="20"/>
          <w:lang w:val="fr-CA"/>
        </w:rPr>
        <w:t>m</w:t>
      </w:r>
      <w:r w:rsidR="00C07D68">
        <w:rPr>
          <w:b/>
          <w:sz w:val="20"/>
          <w:szCs w:val="20"/>
          <w:lang w:val="fr-CA"/>
        </w:rPr>
        <w:t>a</w:t>
      </w:r>
      <w:r w:rsidRPr="00DD0B49">
        <w:rPr>
          <w:b/>
          <w:sz w:val="20"/>
          <w:szCs w:val="20"/>
          <w:lang w:val="fr-CA"/>
        </w:rPr>
        <w:t>r</w:t>
      </w:r>
      <w:r w:rsidR="00C07D68">
        <w:rPr>
          <w:b/>
          <w:sz w:val="20"/>
          <w:szCs w:val="20"/>
          <w:lang w:val="fr-CA"/>
        </w:rPr>
        <w:t>s</w:t>
      </w:r>
      <w:r w:rsidRPr="00DD0B49">
        <w:rPr>
          <w:b/>
          <w:sz w:val="20"/>
          <w:szCs w:val="20"/>
          <w:lang w:val="fr-CA"/>
        </w:rPr>
        <w:t xml:space="preserve"> et celle du </w:t>
      </w:r>
      <w:r w:rsidR="00C07D68">
        <w:rPr>
          <w:b/>
          <w:sz w:val="20"/>
          <w:szCs w:val="20"/>
          <w:lang w:val="fr-CA"/>
        </w:rPr>
        <w:t xml:space="preserve">25 </w:t>
      </w:r>
      <w:r w:rsidRPr="00DD0B49">
        <w:rPr>
          <w:b/>
          <w:sz w:val="20"/>
          <w:szCs w:val="20"/>
          <w:lang w:val="fr-CA"/>
        </w:rPr>
        <w:t>m</w:t>
      </w:r>
      <w:r w:rsidR="00C07D68">
        <w:rPr>
          <w:b/>
          <w:sz w:val="20"/>
          <w:szCs w:val="20"/>
          <w:lang w:val="fr-CA"/>
        </w:rPr>
        <w:t>a</w:t>
      </w:r>
      <w:r w:rsidRPr="00DD0B49">
        <w:rPr>
          <w:b/>
          <w:sz w:val="20"/>
          <w:szCs w:val="20"/>
          <w:lang w:val="fr-CA"/>
        </w:rPr>
        <w:t>r</w:t>
      </w:r>
      <w:r w:rsidR="00C07D68">
        <w:rPr>
          <w:b/>
          <w:sz w:val="20"/>
          <w:szCs w:val="20"/>
          <w:lang w:val="fr-CA"/>
        </w:rPr>
        <w:t>s</w:t>
      </w:r>
      <w:r w:rsidRPr="00DD0B49">
        <w:rPr>
          <w:b/>
          <w:sz w:val="20"/>
          <w:szCs w:val="20"/>
          <w:lang w:val="fr-CA"/>
        </w:rPr>
        <w:t xml:space="preserve"> 201</w:t>
      </w:r>
      <w:r w:rsidR="00C07D68">
        <w:rPr>
          <w:b/>
          <w:sz w:val="20"/>
          <w:szCs w:val="20"/>
          <w:lang w:val="fr-CA"/>
        </w:rPr>
        <w:t>3</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C07D68">
        <w:rPr>
          <w:sz w:val="20"/>
          <w:szCs w:val="20"/>
        </w:rPr>
        <w:t>March 4</w:t>
      </w:r>
      <w:r w:rsidRPr="00DD0B49">
        <w:rPr>
          <w:sz w:val="20"/>
          <w:szCs w:val="20"/>
        </w:rPr>
        <w:t xml:space="preserve"> and </w:t>
      </w:r>
      <w:r w:rsidR="00C07D68">
        <w:rPr>
          <w:sz w:val="20"/>
          <w:szCs w:val="20"/>
        </w:rPr>
        <w:t>11</w:t>
      </w:r>
      <w:r w:rsidRPr="00DD0B49">
        <w:rPr>
          <w:sz w:val="20"/>
          <w:szCs w:val="20"/>
        </w:rPr>
        <w:t>, 201</w:t>
      </w:r>
      <w:r w:rsidR="00C07D68">
        <w:rPr>
          <w:sz w:val="20"/>
          <w:szCs w:val="20"/>
        </w:rPr>
        <w:t>3</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C07D68">
        <w:rPr>
          <w:sz w:val="20"/>
          <w:szCs w:val="20"/>
          <w:lang w:val="fr-CA"/>
        </w:rPr>
        <w:t>4</w:t>
      </w:r>
      <w:r w:rsidRPr="00DD0B49">
        <w:rPr>
          <w:sz w:val="20"/>
          <w:szCs w:val="20"/>
          <w:lang w:val="fr-CA"/>
        </w:rPr>
        <w:t xml:space="preserve"> et du </w:t>
      </w:r>
      <w:r w:rsidR="00C07D68">
        <w:rPr>
          <w:sz w:val="20"/>
          <w:szCs w:val="20"/>
          <w:lang w:val="fr-CA"/>
        </w:rPr>
        <w:t xml:space="preserve">11 </w:t>
      </w:r>
      <w:r w:rsidRPr="00DD0B49">
        <w:rPr>
          <w:sz w:val="20"/>
          <w:szCs w:val="20"/>
          <w:lang w:val="fr-CA"/>
        </w:rPr>
        <w:t>m</w:t>
      </w:r>
      <w:r w:rsidR="00C07D68">
        <w:rPr>
          <w:sz w:val="20"/>
          <w:szCs w:val="20"/>
          <w:lang w:val="fr-CA"/>
        </w:rPr>
        <w:t>a</w:t>
      </w:r>
      <w:r w:rsidRPr="00DD0B49">
        <w:rPr>
          <w:sz w:val="20"/>
          <w:szCs w:val="20"/>
          <w:lang w:val="fr-CA"/>
        </w:rPr>
        <w:t>r</w:t>
      </w:r>
      <w:r w:rsidR="00C07D68">
        <w:rPr>
          <w:sz w:val="20"/>
          <w:szCs w:val="20"/>
          <w:lang w:val="fr-CA"/>
        </w:rPr>
        <w:t>s</w:t>
      </w:r>
      <w:r w:rsidRPr="00DD0B49">
        <w:rPr>
          <w:sz w:val="20"/>
          <w:szCs w:val="20"/>
          <w:lang w:val="fr-CA"/>
        </w:rPr>
        <w:t xml:space="preserve"> 201</w:t>
      </w:r>
      <w:r w:rsidR="00C07D68">
        <w:rPr>
          <w:sz w:val="20"/>
          <w:szCs w:val="20"/>
          <w:lang w:val="fr-CA"/>
        </w:rPr>
        <w:t>3</w:t>
      </w:r>
      <w:r w:rsidRPr="00DD0B49">
        <w:rPr>
          <w:sz w:val="20"/>
          <w:szCs w:val="20"/>
          <w:lang w:val="fr-CA"/>
        </w:rPr>
        <w:t>.</w:t>
      </w:r>
    </w:p>
    <w:p w:rsidR="004B66B4" w:rsidRPr="00DD0B49" w:rsidRDefault="003F21C7" w:rsidP="004B66B4">
      <w:pPr>
        <w:rPr>
          <w:sz w:val="20"/>
          <w:szCs w:val="20"/>
        </w:rPr>
      </w:pPr>
      <w:r w:rsidRPr="003F21C7">
        <w:rPr>
          <w:sz w:val="20"/>
          <w:szCs w:val="20"/>
        </w:rPr>
        <w:pict>
          <v:rect id="_x0000_i1094"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4E1E0A" w:rsidRPr="00CB72E7" w:rsidTr="005F5E4E">
        <w:trPr>
          <w:cantSplit/>
        </w:trPr>
        <w:tc>
          <w:tcPr>
            <w:tcW w:w="2398" w:type="dxa"/>
          </w:tcPr>
          <w:p w:rsidR="004E1E0A" w:rsidRPr="003A74F5" w:rsidRDefault="004E1E0A" w:rsidP="005F5E4E">
            <w:pPr>
              <w:rPr>
                <w:rFonts w:eastAsia="Calibri" w:cs="Times New Roman"/>
                <w:sz w:val="20"/>
                <w:szCs w:val="20"/>
              </w:rPr>
            </w:pPr>
            <w:r w:rsidRPr="003A74F5">
              <w:rPr>
                <w:rFonts w:eastAsia="Calibri" w:cs="Times New Roman"/>
                <w:sz w:val="20"/>
                <w:szCs w:val="20"/>
              </w:rPr>
              <w:t>DATE OF HEARING /</w:t>
            </w:r>
          </w:p>
          <w:p w:rsidR="004E1E0A" w:rsidRPr="003A74F5" w:rsidRDefault="004E1E0A" w:rsidP="005F5E4E">
            <w:pPr>
              <w:rPr>
                <w:rFonts w:eastAsia="Calibri" w:cs="Times New Roman"/>
                <w:sz w:val="20"/>
                <w:szCs w:val="20"/>
              </w:rPr>
            </w:pPr>
            <w:r w:rsidRPr="003A74F5">
              <w:rPr>
                <w:rFonts w:eastAsia="Calibri" w:cs="Times New Roman"/>
                <w:sz w:val="20"/>
                <w:szCs w:val="20"/>
              </w:rPr>
              <w:t>DATE D’AUDITION</w:t>
            </w:r>
          </w:p>
        </w:tc>
        <w:tc>
          <w:tcPr>
            <w:tcW w:w="7178" w:type="dxa"/>
          </w:tcPr>
          <w:p w:rsidR="004E1E0A" w:rsidRPr="003A74F5" w:rsidRDefault="004E1E0A" w:rsidP="005F5E4E">
            <w:pPr>
              <w:rPr>
                <w:rFonts w:eastAsia="Calibri" w:cs="Times New Roman"/>
                <w:sz w:val="20"/>
                <w:szCs w:val="20"/>
                <w:lang w:val="fr-CA"/>
              </w:rPr>
            </w:pPr>
            <w:r w:rsidRPr="003A74F5">
              <w:rPr>
                <w:rFonts w:eastAsia="Calibri" w:cs="Times New Roman"/>
                <w:sz w:val="20"/>
                <w:szCs w:val="20"/>
                <w:lang w:val="fr-CA"/>
              </w:rPr>
              <w:t>NAME AND CASE NUMBER /</w:t>
            </w:r>
          </w:p>
          <w:p w:rsidR="004E1E0A" w:rsidRDefault="004E1E0A" w:rsidP="005F5E4E">
            <w:pPr>
              <w:rPr>
                <w:sz w:val="20"/>
                <w:szCs w:val="20"/>
                <w:lang w:val="fr-CA"/>
              </w:rPr>
            </w:pPr>
            <w:r w:rsidRPr="003A74F5">
              <w:rPr>
                <w:rFonts w:eastAsia="Calibri" w:cs="Times New Roman"/>
                <w:sz w:val="20"/>
                <w:szCs w:val="20"/>
                <w:lang w:val="fr-CA"/>
              </w:rPr>
              <w:t>NOM DE LA CAUSE ET NUMÉRO</w:t>
            </w:r>
          </w:p>
          <w:p w:rsidR="004E1E0A" w:rsidRPr="003A74F5" w:rsidRDefault="004E1E0A" w:rsidP="005F5E4E">
            <w:pPr>
              <w:rPr>
                <w:rFonts w:eastAsia="Calibri" w:cs="Times New Roman"/>
                <w:sz w:val="20"/>
                <w:szCs w:val="20"/>
                <w:lang w:val="fr-CA"/>
              </w:rPr>
            </w:pPr>
          </w:p>
        </w:tc>
      </w:tr>
      <w:tr w:rsidR="004E1E0A" w:rsidRPr="003A74F5" w:rsidTr="005F5E4E">
        <w:trPr>
          <w:cantSplit/>
          <w:trHeight w:val="288"/>
        </w:trPr>
        <w:tc>
          <w:tcPr>
            <w:tcW w:w="2398" w:type="dxa"/>
          </w:tcPr>
          <w:p w:rsidR="004E1E0A" w:rsidRPr="003A74F5" w:rsidRDefault="004E1E0A" w:rsidP="00934572">
            <w:pPr>
              <w:rPr>
                <w:rFonts w:eastAsia="Calibri" w:cs="Times New Roman"/>
                <w:sz w:val="20"/>
                <w:szCs w:val="20"/>
              </w:rPr>
            </w:pPr>
            <w:r w:rsidRPr="003A74F5">
              <w:rPr>
                <w:rFonts w:eastAsia="Calibri" w:cs="Times New Roman"/>
                <w:sz w:val="20"/>
                <w:szCs w:val="20"/>
              </w:rPr>
              <w:t>201</w:t>
            </w:r>
            <w:r w:rsidR="00934572">
              <w:rPr>
                <w:rFonts w:eastAsia="Calibri" w:cs="Times New Roman"/>
                <w:sz w:val="20"/>
                <w:szCs w:val="20"/>
              </w:rPr>
              <w:t>3</w:t>
            </w:r>
            <w:r w:rsidRPr="003A74F5">
              <w:rPr>
                <w:rFonts w:eastAsia="Calibri" w:cs="Times New Roman"/>
                <w:sz w:val="20"/>
                <w:szCs w:val="20"/>
              </w:rPr>
              <w:t>-</w:t>
            </w:r>
            <w:r w:rsidR="00934572">
              <w:rPr>
                <w:rFonts w:eastAsia="Calibri" w:cs="Times New Roman"/>
                <w:sz w:val="20"/>
                <w:szCs w:val="20"/>
              </w:rPr>
              <w:t>03</w:t>
            </w:r>
            <w:r w:rsidRPr="003A74F5">
              <w:rPr>
                <w:rFonts w:eastAsia="Calibri" w:cs="Times New Roman"/>
                <w:sz w:val="20"/>
                <w:szCs w:val="20"/>
              </w:rPr>
              <w:t>-</w:t>
            </w:r>
            <w:r w:rsidR="00934572">
              <w:rPr>
                <w:rFonts w:eastAsia="Calibri" w:cs="Times New Roman"/>
                <w:sz w:val="20"/>
                <w:szCs w:val="20"/>
              </w:rPr>
              <w:t>18</w:t>
            </w:r>
          </w:p>
        </w:tc>
        <w:tc>
          <w:tcPr>
            <w:tcW w:w="7178" w:type="dxa"/>
          </w:tcPr>
          <w:p w:rsidR="004E1E0A" w:rsidRDefault="00934572" w:rsidP="005F5E4E">
            <w:pPr>
              <w:jc w:val="both"/>
              <w:rPr>
                <w:rFonts w:eastAsia="Calibri" w:cs="Times New Roman"/>
                <w:sz w:val="20"/>
                <w:szCs w:val="20"/>
              </w:rPr>
            </w:pPr>
            <w:r w:rsidRPr="00934572">
              <w:rPr>
                <w:rFonts w:eastAsia="Calibri" w:cs="Times New Roman"/>
                <w:i/>
                <w:sz w:val="20"/>
                <w:szCs w:val="20"/>
              </w:rPr>
              <w:t>Jennifer Nicole Nagle</w:t>
            </w:r>
            <w:r w:rsidR="004E1E0A" w:rsidRPr="00934572">
              <w:rPr>
                <w:rFonts w:eastAsia="Calibri" w:cs="Times New Roman"/>
                <w:i/>
                <w:sz w:val="20"/>
                <w:szCs w:val="20"/>
              </w:rPr>
              <w:t xml:space="preserve"> v. </w:t>
            </w:r>
            <w:r w:rsidRPr="0085047E">
              <w:rPr>
                <w:rFonts w:eastAsia="Calibri" w:cs="Times New Roman"/>
                <w:i/>
                <w:sz w:val="20"/>
                <w:szCs w:val="20"/>
              </w:rPr>
              <w:t>Her Majesty the Queen</w:t>
            </w:r>
            <w:r w:rsidRPr="0085047E">
              <w:rPr>
                <w:rFonts w:eastAsia="Calibri" w:cs="Times New Roman"/>
                <w:sz w:val="20"/>
                <w:szCs w:val="20"/>
              </w:rPr>
              <w:t xml:space="preserve"> </w:t>
            </w:r>
            <w:r w:rsidR="004E1E0A" w:rsidRPr="00934572">
              <w:rPr>
                <w:rFonts w:eastAsia="Calibri" w:cs="Times New Roman"/>
                <w:sz w:val="20"/>
                <w:szCs w:val="20"/>
              </w:rPr>
              <w:t>(</w:t>
            </w:r>
            <w:r w:rsidRPr="00934572">
              <w:rPr>
                <w:rFonts w:eastAsia="Calibri" w:cs="Times New Roman"/>
                <w:sz w:val="20"/>
                <w:szCs w:val="20"/>
              </w:rPr>
              <w:t>B</w:t>
            </w:r>
            <w:r w:rsidR="004E1E0A" w:rsidRPr="00934572">
              <w:rPr>
                <w:rFonts w:eastAsia="Calibri" w:cs="Times New Roman"/>
                <w:sz w:val="20"/>
                <w:szCs w:val="20"/>
              </w:rPr>
              <w:t xml:space="preserve">.C.) </w:t>
            </w:r>
            <w:r w:rsidR="004E1E0A" w:rsidRPr="003A74F5">
              <w:rPr>
                <w:rFonts w:eastAsia="Calibri" w:cs="Times New Roman"/>
                <w:sz w:val="20"/>
                <w:szCs w:val="20"/>
              </w:rPr>
              <w:t>(C</w:t>
            </w:r>
            <w:r>
              <w:rPr>
                <w:rFonts w:eastAsia="Calibri" w:cs="Times New Roman"/>
                <w:sz w:val="20"/>
                <w:szCs w:val="20"/>
              </w:rPr>
              <w:t>r</w:t>
            </w:r>
            <w:r w:rsidR="004E1E0A" w:rsidRPr="003A74F5">
              <w:rPr>
                <w:rFonts w:eastAsia="Calibri" w:cs="Times New Roman"/>
                <w:sz w:val="20"/>
                <w:szCs w:val="20"/>
              </w:rPr>
              <w:t>i</w:t>
            </w:r>
            <w:r>
              <w:rPr>
                <w:rFonts w:eastAsia="Calibri" w:cs="Times New Roman"/>
                <w:sz w:val="20"/>
                <w:szCs w:val="20"/>
              </w:rPr>
              <w:t>m</w:t>
            </w:r>
            <w:r w:rsidR="004E1E0A" w:rsidRPr="003A74F5">
              <w:rPr>
                <w:rFonts w:eastAsia="Calibri" w:cs="Times New Roman"/>
                <w:sz w:val="20"/>
                <w:szCs w:val="20"/>
              </w:rPr>
              <w:t>i</w:t>
            </w:r>
            <w:r>
              <w:rPr>
                <w:rFonts w:eastAsia="Calibri" w:cs="Times New Roman"/>
                <w:sz w:val="20"/>
                <w:szCs w:val="20"/>
              </w:rPr>
              <w:t>na</w:t>
            </w:r>
            <w:r w:rsidR="004E1E0A" w:rsidRPr="003A74F5">
              <w:rPr>
                <w:rFonts w:eastAsia="Calibri" w:cs="Times New Roman"/>
                <w:sz w:val="20"/>
                <w:szCs w:val="20"/>
              </w:rPr>
              <w:t>l) (By Leave) (3</w:t>
            </w:r>
            <w:r>
              <w:rPr>
                <w:rFonts w:eastAsia="Calibri" w:cs="Times New Roman"/>
                <w:sz w:val="20"/>
                <w:szCs w:val="20"/>
              </w:rPr>
              <w:t>5088</w:t>
            </w:r>
            <w:r w:rsidR="004E1E0A" w:rsidRPr="003A74F5">
              <w:rPr>
                <w:rFonts w:eastAsia="Calibri" w:cs="Times New Roman"/>
                <w:sz w:val="20"/>
                <w:szCs w:val="20"/>
              </w:rPr>
              <w:t>)</w:t>
            </w:r>
          </w:p>
          <w:p w:rsidR="004E1E0A" w:rsidRDefault="004E1E0A" w:rsidP="00A63766">
            <w:pPr>
              <w:jc w:val="both"/>
              <w:rPr>
                <w:rFonts w:eastAsia="Calibri" w:cs="Times New Roman"/>
                <w:sz w:val="20"/>
                <w:szCs w:val="20"/>
                <w:lang w:val="en-US"/>
              </w:rPr>
            </w:pPr>
            <w:r w:rsidRPr="00E4453F">
              <w:rPr>
                <w:rFonts w:eastAsia="Calibri" w:cs="Times New Roman"/>
                <w:sz w:val="20"/>
                <w:szCs w:val="20"/>
              </w:rPr>
              <w:t>(</w:t>
            </w:r>
            <w:r w:rsidR="00934572">
              <w:rPr>
                <w:rFonts w:eastAsia="Calibri" w:cs="Times New Roman"/>
                <w:sz w:val="20"/>
                <w:szCs w:val="20"/>
              </w:rPr>
              <w:t xml:space="preserve">Oral hearing on leave application </w:t>
            </w:r>
            <w:r w:rsidRPr="00E4453F">
              <w:rPr>
                <w:rFonts w:eastAsia="Calibri" w:cs="Times New Roman"/>
                <w:sz w:val="20"/>
                <w:szCs w:val="20"/>
                <w:lang w:val="en-US"/>
              </w:rPr>
              <w:t xml:space="preserve">/ </w:t>
            </w:r>
            <w:r w:rsidR="00934572">
              <w:rPr>
                <w:rFonts w:eastAsia="Calibri" w:cs="Times New Roman"/>
                <w:sz w:val="20"/>
                <w:szCs w:val="20"/>
                <w:lang w:val="en-US"/>
              </w:rPr>
              <w:t>Audition de la de</w:t>
            </w:r>
            <w:r w:rsidRPr="00E4453F">
              <w:rPr>
                <w:rFonts w:eastAsia="Calibri" w:cs="Times New Roman"/>
                <w:sz w:val="20"/>
                <w:szCs w:val="20"/>
                <w:lang w:val="en-US"/>
              </w:rPr>
              <w:t>m</w:t>
            </w:r>
            <w:r w:rsidR="00934572">
              <w:rPr>
                <w:rFonts w:eastAsia="Calibri" w:cs="Times New Roman"/>
                <w:sz w:val="20"/>
                <w:szCs w:val="20"/>
                <w:lang w:val="en-US"/>
              </w:rPr>
              <w:t>an</w:t>
            </w:r>
            <w:r w:rsidRPr="00E4453F">
              <w:rPr>
                <w:rFonts w:eastAsia="Calibri" w:cs="Times New Roman"/>
                <w:sz w:val="20"/>
                <w:szCs w:val="20"/>
                <w:lang w:val="en-US"/>
              </w:rPr>
              <w:t>de</w:t>
            </w:r>
            <w:r w:rsidR="00934572">
              <w:rPr>
                <w:rFonts w:eastAsia="Calibri" w:cs="Times New Roman"/>
                <w:sz w:val="20"/>
                <w:szCs w:val="20"/>
                <w:lang w:val="en-US"/>
              </w:rPr>
              <w:t xml:space="preserve"> </w:t>
            </w:r>
            <w:r w:rsidRPr="00E4453F">
              <w:rPr>
                <w:rFonts w:eastAsia="Calibri" w:cs="Times New Roman"/>
                <w:sz w:val="20"/>
                <w:szCs w:val="20"/>
                <w:lang w:val="en-US"/>
              </w:rPr>
              <w:t>d</w:t>
            </w:r>
            <w:r w:rsidR="00934572">
              <w:rPr>
                <w:rFonts w:eastAsia="Calibri" w:cs="Times New Roman"/>
                <w:sz w:val="20"/>
                <w:szCs w:val="20"/>
                <w:lang w:val="en-US"/>
              </w:rPr>
              <w:t>’autorisation d’appel</w:t>
            </w:r>
            <w:r w:rsidRPr="00E4453F">
              <w:rPr>
                <w:rFonts w:eastAsia="Calibri" w:cs="Times New Roman"/>
                <w:sz w:val="20"/>
                <w:szCs w:val="20"/>
                <w:lang w:val="en-US"/>
              </w:rPr>
              <w:t>)</w:t>
            </w:r>
          </w:p>
          <w:p w:rsidR="00055545" w:rsidRPr="003A74F5" w:rsidRDefault="00055545" w:rsidP="00055545">
            <w:pPr>
              <w:jc w:val="both"/>
              <w:rPr>
                <w:rFonts w:eastAsia="Calibri" w:cs="Times New Roman"/>
                <w:sz w:val="20"/>
                <w:szCs w:val="20"/>
              </w:rPr>
            </w:pPr>
            <w:r w:rsidRPr="00F91034">
              <w:rPr>
                <w:sz w:val="20"/>
                <w:szCs w:val="20"/>
              </w:rPr>
              <w:t xml:space="preserve">(Start time: </w:t>
            </w:r>
            <w:r>
              <w:rPr>
                <w:sz w:val="20"/>
                <w:szCs w:val="20"/>
              </w:rPr>
              <w:t>1</w:t>
            </w:r>
            <w:r w:rsidRPr="00F91034">
              <w:rPr>
                <w:sz w:val="20"/>
                <w:szCs w:val="20"/>
              </w:rPr>
              <w:t>2:00 p.m. / Audience débutant à 1</w:t>
            </w:r>
            <w:r>
              <w:rPr>
                <w:sz w:val="20"/>
                <w:szCs w:val="20"/>
              </w:rPr>
              <w:t>2</w:t>
            </w:r>
            <w:r w:rsidRPr="00F91034">
              <w:rPr>
                <w:sz w:val="20"/>
                <w:szCs w:val="20"/>
              </w:rPr>
              <w:t xml:space="preserve"> h)</w:t>
            </w:r>
          </w:p>
        </w:tc>
      </w:tr>
      <w:tr w:rsidR="004E1E0A" w:rsidRPr="00934572" w:rsidTr="00A63766">
        <w:trPr>
          <w:cantSplit/>
          <w:trHeight w:val="288"/>
        </w:trPr>
        <w:tc>
          <w:tcPr>
            <w:tcW w:w="2398" w:type="dxa"/>
          </w:tcPr>
          <w:p w:rsidR="004E1E0A" w:rsidRPr="003A74F5" w:rsidRDefault="004E1E0A" w:rsidP="00934572">
            <w:pPr>
              <w:rPr>
                <w:rFonts w:eastAsia="Calibri" w:cs="Times New Roman"/>
                <w:sz w:val="20"/>
                <w:szCs w:val="20"/>
              </w:rPr>
            </w:pPr>
            <w:r w:rsidRPr="003A74F5">
              <w:rPr>
                <w:rFonts w:eastAsia="Calibri" w:cs="Times New Roman"/>
                <w:sz w:val="20"/>
                <w:szCs w:val="20"/>
              </w:rPr>
              <w:t>201</w:t>
            </w:r>
            <w:r w:rsidR="00934572">
              <w:rPr>
                <w:rFonts w:eastAsia="Calibri" w:cs="Times New Roman"/>
                <w:sz w:val="20"/>
                <w:szCs w:val="20"/>
              </w:rPr>
              <w:t>3</w:t>
            </w:r>
            <w:r w:rsidRPr="003A74F5">
              <w:rPr>
                <w:rFonts w:eastAsia="Calibri" w:cs="Times New Roman"/>
                <w:sz w:val="20"/>
                <w:szCs w:val="20"/>
              </w:rPr>
              <w:t>-</w:t>
            </w:r>
            <w:r w:rsidR="00934572">
              <w:rPr>
                <w:rFonts w:eastAsia="Calibri" w:cs="Times New Roman"/>
                <w:sz w:val="20"/>
                <w:szCs w:val="20"/>
              </w:rPr>
              <w:t>03</w:t>
            </w:r>
            <w:r w:rsidRPr="003A74F5">
              <w:rPr>
                <w:rFonts w:eastAsia="Calibri" w:cs="Times New Roman"/>
                <w:sz w:val="20"/>
                <w:szCs w:val="20"/>
              </w:rPr>
              <w:t>-</w:t>
            </w:r>
            <w:r w:rsidR="00934572">
              <w:rPr>
                <w:rFonts w:eastAsia="Calibri" w:cs="Times New Roman"/>
                <w:sz w:val="20"/>
                <w:szCs w:val="20"/>
              </w:rPr>
              <w:t>19</w:t>
            </w:r>
          </w:p>
        </w:tc>
        <w:tc>
          <w:tcPr>
            <w:tcW w:w="7178" w:type="dxa"/>
          </w:tcPr>
          <w:p w:rsidR="004E1E0A" w:rsidRPr="00934572" w:rsidRDefault="00934572" w:rsidP="00A63766">
            <w:pPr>
              <w:jc w:val="both"/>
              <w:rPr>
                <w:rFonts w:eastAsia="Calibri" w:cs="Times New Roman"/>
                <w:sz w:val="20"/>
                <w:szCs w:val="20"/>
                <w:lang w:val="fr-CA"/>
              </w:rPr>
            </w:pPr>
            <w:r w:rsidRPr="00934572">
              <w:rPr>
                <w:rFonts w:eastAsia="Calibri" w:cs="Times New Roman"/>
                <w:i/>
                <w:sz w:val="20"/>
                <w:szCs w:val="20"/>
              </w:rPr>
              <w:t>Envision Credit Union v. H</w:t>
            </w:r>
            <w:r w:rsidR="004E1E0A" w:rsidRPr="00934572">
              <w:rPr>
                <w:rFonts w:eastAsia="Calibri" w:cs="Times New Roman"/>
                <w:i/>
                <w:sz w:val="20"/>
                <w:szCs w:val="20"/>
              </w:rPr>
              <w:t xml:space="preserve">er Majesty the Queen </w:t>
            </w:r>
            <w:r w:rsidR="004E1E0A" w:rsidRPr="00934572">
              <w:rPr>
                <w:rFonts w:eastAsia="Calibri" w:cs="Times New Roman"/>
                <w:sz w:val="20"/>
                <w:szCs w:val="20"/>
              </w:rPr>
              <w:t>(</w:t>
            </w:r>
            <w:r w:rsidRPr="00934572">
              <w:rPr>
                <w:rFonts w:eastAsia="Calibri" w:cs="Times New Roman"/>
                <w:sz w:val="20"/>
                <w:szCs w:val="20"/>
              </w:rPr>
              <w:t>F.C</w:t>
            </w:r>
            <w:r w:rsidR="004E1E0A" w:rsidRPr="00934572">
              <w:rPr>
                <w:rFonts w:eastAsia="Calibri" w:cs="Times New Roman"/>
                <w:sz w:val="20"/>
                <w:szCs w:val="20"/>
              </w:rPr>
              <w:t xml:space="preserve">.) </w:t>
            </w:r>
            <w:r w:rsidR="004E1E0A" w:rsidRPr="00934572">
              <w:rPr>
                <w:rFonts w:eastAsia="Calibri" w:cs="Times New Roman"/>
                <w:sz w:val="20"/>
                <w:szCs w:val="20"/>
                <w:lang w:val="fr-CA"/>
              </w:rPr>
              <w:t>(Ci</w:t>
            </w:r>
            <w:r>
              <w:rPr>
                <w:rFonts w:eastAsia="Calibri" w:cs="Times New Roman"/>
                <w:sz w:val="20"/>
                <w:szCs w:val="20"/>
                <w:lang w:val="fr-CA"/>
              </w:rPr>
              <w:t>v</w:t>
            </w:r>
            <w:r w:rsidR="004E1E0A" w:rsidRPr="00934572">
              <w:rPr>
                <w:rFonts w:eastAsia="Calibri" w:cs="Times New Roman"/>
                <w:sz w:val="20"/>
                <w:szCs w:val="20"/>
                <w:lang w:val="fr-CA"/>
              </w:rPr>
              <w:t>il) (</w:t>
            </w:r>
            <w:r>
              <w:rPr>
                <w:rFonts w:eastAsia="Calibri" w:cs="Times New Roman"/>
                <w:sz w:val="20"/>
                <w:szCs w:val="20"/>
                <w:lang w:val="fr-CA"/>
              </w:rPr>
              <w:t>By Leave</w:t>
            </w:r>
            <w:r w:rsidR="004E1E0A" w:rsidRPr="00934572">
              <w:rPr>
                <w:rFonts w:eastAsia="Calibri" w:cs="Times New Roman"/>
                <w:sz w:val="20"/>
                <w:szCs w:val="20"/>
                <w:lang w:val="fr-CA"/>
              </w:rPr>
              <w:t>) (34</w:t>
            </w:r>
            <w:r>
              <w:rPr>
                <w:rFonts w:eastAsia="Calibri" w:cs="Times New Roman"/>
                <w:sz w:val="20"/>
                <w:szCs w:val="20"/>
                <w:lang w:val="fr-CA"/>
              </w:rPr>
              <w:t>619</w:t>
            </w:r>
            <w:r w:rsidR="004E1E0A" w:rsidRPr="00934572">
              <w:rPr>
                <w:rFonts w:eastAsia="Calibri" w:cs="Times New Roman"/>
                <w:sz w:val="20"/>
                <w:szCs w:val="20"/>
                <w:lang w:val="fr-CA"/>
              </w:rPr>
              <w:t>)</w:t>
            </w:r>
          </w:p>
        </w:tc>
      </w:tr>
      <w:tr w:rsidR="004E1E0A" w:rsidRPr="00CB72E7" w:rsidTr="005F5E4E">
        <w:trPr>
          <w:cantSplit/>
          <w:trHeight w:val="288"/>
        </w:trPr>
        <w:tc>
          <w:tcPr>
            <w:tcW w:w="2398" w:type="dxa"/>
          </w:tcPr>
          <w:p w:rsidR="004E1E0A" w:rsidRPr="00934572" w:rsidRDefault="004E1E0A" w:rsidP="00934572">
            <w:pPr>
              <w:rPr>
                <w:rFonts w:eastAsia="Calibri" w:cs="Times New Roman"/>
                <w:sz w:val="20"/>
                <w:szCs w:val="20"/>
                <w:lang w:val="fr-CA"/>
              </w:rPr>
            </w:pPr>
            <w:r w:rsidRPr="00934572">
              <w:rPr>
                <w:rFonts w:eastAsia="Calibri" w:cs="Times New Roman"/>
                <w:sz w:val="20"/>
                <w:szCs w:val="20"/>
                <w:lang w:val="fr-CA"/>
              </w:rPr>
              <w:t>201</w:t>
            </w:r>
            <w:r w:rsidR="00934572">
              <w:rPr>
                <w:rFonts w:eastAsia="Calibri" w:cs="Times New Roman"/>
                <w:sz w:val="20"/>
                <w:szCs w:val="20"/>
                <w:lang w:val="fr-CA"/>
              </w:rPr>
              <w:t>3</w:t>
            </w:r>
            <w:r w:rsidRPr="00934572">
              <w:rPr>
                <w:rFonts w:eastAsia="Calibri" w:cs="Times New Roman"/>
                <w:sz w:val="20"/>
                <w:szCs w:val="20"/>
                <w:lang w:val="fr-CA"/>
              </w:rPr>
              <w:t>-</w:t>
            </w:r>
            <w:r w:rsidR="00934572">
              <w:rPr>
                <w:rFonts w:eastAsia="Calibri" w:cs="Times New Roman"/>
                <w:sz w:val="20"/>
                <w:szCs w:val="20"/>
                <w:lang w:val="fr-CA"/>
              </w:rPr>
              <w:t>03</w:t>
            </w:r>
            <w:r w:rsidRPr="00934572">
              <w:rPr>
                <w:rFonts w:eastAsia="Calibri" w:cs="Times New Roman"/>
                <w:sz w:val="20"/>
                <w:szCs w:val="20"/>
                <w:lang w:val="fr-CA"/>
              </w:rPr>
              <w:t>-</w:t>
            </w:r>
            <w:r w:rsidR="00934572">
              <w:rPr>
                <w:rFonts w:eastAsia="Calibri" w:cs="Times New Roman"/>
                <w:sz w:val="20"/>
                <w:szCs w:val="20"/>
                <w:lang w:val="fr-CA"/>
              </w:rPr>
              <w:t>19</w:t>
            </w:r>
          </w:p>
        </w:tc>
        <w:tc>
          <w:tcPr>
            <w:tcW w:w="7178" w:type="dxa"/>
          </w:tcPr>
          <w:p w:rsidR="004E1E0A" w:rsidRPr="00216AEB" w:rsidRDefault="00934572" w:rsidP="00A63766">
            <w:pPr>
              <w:jc w:val="both"/>
              <w:rPr>
                <w:rFonts w:eastAsia="Calibri" w:cs="Times New Roman"/>
                <w:sz w:val="20"/>
                <w:szCs w:val="20"/>
                <w:lang w:val="fr-CA"/>
              </w:rPr>
            </w:pPr>
            <w:r>
              <w:rPr>
                <w:rFonts w:eastAsia="Calibri" w:cs="Times New Roman"/>
                <w:i/>
                <w:sz w:val="20"/>
                <w:szCs w:val="20"/>
                <w:lang w:val="fr-CA"/>
              </w:rPr>
              <w:t>J</w:t>
            </w:r>
            <w:r w:rsidR="004E1E0A" w:rsidRPr="00216AEB">
              <w:rPr>
                <w:rFonts w:eastAsia="Calibri" w:cs="Times New Roman"/>
                <w:i/>
                <w:sz w:val="20"/>
                <w:szCs w:val="20"/>
                <w:lang w:val="fr-CA"/>
              </w:rPr>
              <w:t>e</w:t>
            </w:r>
            <w:r>
              <w:rPr>
                <w:rFonts w:eastAsia="Calibri" w:cs="Times New Roman"/>
                <w:i/>
                <w:sz w:val="20"/>
                <w:szCs w:val="20"/>
                <w:lang w:val="fr-CA"/>
              </w:rPr>
              <w:t>a</w:t>
            </w:r>
            <w:r w:rsidR="004E1E0A" w:rsidRPr="00216AEB">
              <w:rPr>
                <w:rFonts w:eastAsia="Calibri" w:cs="Times New Roman"/>
                <w:i/>
                <w:sz w:val="20"/>
                <w:szCs w:val="20"/>
                <w:lang w:val="fr-CA"/>
              </w:rPr>
              <w:t>n</w:t>
            </w:r>
            <w:r>
              <w:rPr>
                <w:rFonts w:eastAsia="Calibri" w:cs="Times New Roman"/>
                <w:i/>
                <w:sz w:val="20"/>
                <w:szCs w:val="20"/>
                <w:lang w:val="fr-CA"/>
              </w:rPr>
              <w:t xml:space="preserve">-Philippe Mailhot </w:t>
            </w:r>
            <w:r w:rsidR="004E1E0A">
              <w:rPr>
                <w:rFonts w:eastAsia="Calibri" w:cs="Times New Roman"/>
                <w:i/>
                <w:sz w:val="20"/>
                <w:szCs w:val="20"/>
                <w:lang w:val="fr-CA"/>
              </w:rPr>
              <w:t>c</w:t>
            </w:r>
            <w:r w:rsidR="004E1E0A" w:rsidRPr="00216AEB">
              <w:rPr>
                <w:rFonts w:eastAsia="Calibri" w:cs="Times New Roman"/>
                <w:i/>
                <w:sz w:val="20"/>
                <w:szCs w:val="20"/>
                <w:lang w:val="fr-CA"/>
              </w:rPr>
              <w:t xml:space="preserve">. </w:t>
            </w:r>
            <w:r w:rsidR="004E1E0A">
              <w:rPr>
                <w:rFonts w:eastAsia="Calibri" w:cs="Times New Roman"/>
                <w:i/>
                <w:sz w:val="20"/>
                <w:szCs w:val="20"/>
                <w:lang w:val="fr-CA"/>
              </w:rPr>
              <w:t>S</w:t>
            </w:r>
            <w:r>
              <w:rPr>
                <w:rFonts w:eastAsia="Calibri" w:cs="Times New Roman"/>
                <w:i/>
                <w:sz w:val="20"/>
                <w:szCs w:val="20"/>
                <w:lang w:val="fr-CA"/>
              </w:rPr>
              <w:t>a Maj</w:t>
            </w:r>
            <w:r w:rsidR="004E1E0A" w:rsidRPr="00216AEB">
              <w:rPr>
                <w:rFonts w:eastAsia="Calibri" w:cs="Times New Roman"/>
                <w:i/>
                <w:sz w:val="20"/>
                <w:szCs w:val="20"/>
                <w:lang w:val="fr-CA"/>
              </w:rPr>
              <w:t>e</w:t>
            </w:r>
            <w:r w:rsidR="004E1E0A">
              <w:rPr>
                <w:rFonts w:eastAsia="Calibri" w:cs="Times New Roman"/>
                <w:i/>
                <w:sz w:val="20"/>
                <w:szCs w:val="20"/>
                <w:lang w:val="fr-CA"/>
              </w:rPr>
              <w:t>s</w:t>
            </w:r>
            <w:r>
              <w:rPr>
                <w:rFonts w:eastAsia="Calibri" w:cs="Times New Roman"/>
                <w:i/>
                <w:sz w:val="20"/>
                <w:szCs w:val="20"/>
                <w:lang w:val="fr-CA"/>
              </w:rPr>
              <w:t>té la Re</w:t>
            </w:r>
            <w:r w:rsidR="004E1E0A">
              <w:rPr>
                <w:rFonts w:eastAsia="Calibri" w:cs="Times New Roman"/>
                <w:i/>
                <w:sz w:val="20"/>
                <w:szCs w:val="20"/>
                <w:lang w:val="fr-CA"/>
              </w:rPr>
              <w:t>ine</w:t>
            </w:r>
            <w:r>
              <w:rPr>
                <w:rFonts w:eastAsia="Calibri" w:cs="Times New Roman"/>
                <w:i/>
                <w:sz w:val="20"/>
                <w:szCs w:val="20"/>
                <w:lang w:val="fr-CA"/>
              </w:rPr>
              <w:t xml:space="preserve"> </w:t>
            </w:r>
            <w:r w:rsidR="004E1E0A" w:rsidRPr="00216AEB">
              <w:rPr>
                <w:rFonts w:eastAsia="Calibri" w:cs="Times New Roman"/>
                <w:sz w:val="20"/>
                <w:szCs w:val="20"/>
                <w:lang w:val="fr-CA"/>
              </w:rPr>
              <w:t>(</w:t>
            </w:r>
            <w:r w:rsidR="004E1E0A">
              <w:rPr>
                <w:rFonts w:eastAsia="Calibri" w:cs="Times New Roman"/>
                <w:sz w:val="20"/>
                <w:szCs w:val="20"/>
                <w:lang w:val="fr-CA"/>
              </w:rPr>
              <w:t>Qc</w:t>
            </w:r>
            <w:r w:rsidR="004E1E0A" w:rsidRPr="00216AEB">
              <w:rPr>
                <w:rFonts w:eastAsia="Calibri" w:cs="Times New Roman"/>
                <w:sz w:val="20"/>
                <w:szCs w:val="20"/>
                <w:lang w:val="fr-CA"/>
              </w:rPr>
              <w:t>) (C</w:t>
            </w:r>
            <w:r>
              <w:rPr>
                <w:rFonts w:eastAsia="Calibri" w:cs="Times New Roman"/>
                <w:sz w:val="20"/>
                <w:szCs w:val="20"/>
                <w:lang w:val="fr-CA"/>
              </w:rPr>
              <w:t>r</w:t>
            </w:r>
            <w:r w:rsidR="004E1E0A" w:rsidRPr="00216AEB">
              <w:rPr>
                <w:rFonts w:eastAsia="Calibri" w:cs="Times New Roman"/>
                <w:sz w:val="20"/>
                <w:szCs w:val="20"/>
                <w:lang w:val="fr-CA"/>
              </w:rPr>
              <w:t>i</w:t>
            </w:r>
            <w:r>
              <w:rPr>
                <w:rFonts w:eastAsia="Calibri" w:cs="Times New Roman"/>
                <w:sz w:val="20"/>
                <w:szCs w:val="20"/>
                <w:lang w:val="fr-CA"/>
              </w:rPr>
              <w:t>m</w:t>
            </w:r>
            <w:r w:rsidR="004E1E0A" w:rsidRPr="00216AEB">
              <w:rPr>
                <w:rFonts w:eastAsia="Calibri" w:cs="Times New Roman"/>
                <w:sz w:val="20"/>
                <w:szCs w:val="20"/>
                <w:lang w:val="fr-CA"/>
              </w:rPr>
              <w:t>i</w:t>
            </w:r>
            <w:r>
              <w:rPr>
                <w:rFonts w:eastAsia="Calibri" w:cs="Times New Roman"/>
                <w:sz w:val="20"/>
                <w:szCs w:val="20"/>
                <w:lang w:val="fr-CA"/>
              </w:rPr>
              <w:t>nel</w:t>
            </w:r>
            <w:r w:rsidR="004E1E0A" w:rsidRPr="00216AEB">
              <w:rPr>
                <w:rFonts w:eastAsia="Calibri" w:cs="Times New Roman"/>
                <w:sz w:val="20"/>
                <w:szCs w:val="20"/>
                <w:lang w:val="fr-CA"/>
              </w:rPr>
              <w:t>l</w:t>
            </w:r>
            <w:r w:rsidR="004E1E0A">
              <w:rPr>
                <w:rFonts w:eastAsia="Calibri" w:cs="Times New Roman"/>
                <w:sz w:val="20"/>
                <w:szCs w:val="20"/>
                <w:lang w:val="fr-CA"/>
              </w:rPr>
              <w:t>e</w:t>
            </w:r>
            <w:r>
              <w:rPr>
                <w:rFonts w:eastAsia="Calibri" w:cs="Times New Roman"/>
                <w:sz w:val="20"/>
                <w:szCs w:val="20"/>
                <w:lang w:val="fr-CA"/>
              </w:rPr>
              <w:t>) (</w:t>
            </w:r>
            <w:r w:rsidR="00B843D4">
              <w:rPr>
                <w:rFonts w:eastAsia="Calibri" w:cs="Times New Roman"/>
                <w:sz w:val="20"/>
                <w:szCs w:val="20"/>
                <w:lang w:val="fr-CA"/>
              </w:rPr>
              <w:t xml:space="preserve">De plein droit / </w:t>
            </w:r>
            <w:r>
              <w:rPr>
                <w:rFonts w:eastAsia="Calibri" w:cs="Times New Roman"/>
                <w:sz w:val="20"/>
                <w:szCs w:val="20"/>
                <w:lang w:val="fr-CA"/>
              </w:rPr>
              <w:t>Autoris</w:t>
            </w:r>
            <w:r w:rsidRPr="00216AEB">
              <w:rPr>
                <w:rFonts w:eastAsia="Calibri" w:cs="Times New Roman"/>
                <w:sz w:val="20"/>
                <w:szCs w:val="20"/>
                <w:lang w:val="fr-CA"/>
              </w:rPr>
              <w:t>a</w:t>
            </w:r>
            <w:r>
              <w:rPr>
                <w:rFonts w:eastAsia="Calibri" w:cs="Times New Roman"/>
                <w:sz w:val="20"/>
                <w:szCs w:val="20"/>
                <w:lang w:val="fr-CA"/>
              </w:rPr>
              <w:t>tion</w:t>
            </w:r>
            <w:r w:rsidR="004E1E0A" w:rsidRPr="00216AEB">
              <w:rPr>
                <w:rFonts w:eastAsia="Calibri" w:cs="Times New Roman"/>
                <w:sz w:val="20"/>
                <w:szCs w:val="20"/>
                <w:lang w:val="fr-CA"/>
              </w:rPr>
              <w:t>) (34</w:t>
            </w:r>
            <w:r>
              <w:rPr>
                <w:rFonts w:eastAsia="Calibri" w:cs="Times New Roman"/>
                <w:sz w:val="20"/>
                <w:szCs w:val="20"/>
                <w:lang w:val="fr-CA"/>
              </w:rPr>
              <w:t>881</w:t>
            </w:r>
            <w:r w:rsidR="004E1E0A" w:rsidRPr="00216AEB">
              <w:rPr>
                <w:rFonts w:eastAsia="Calibri" w:cs="Times New Roman"/>
                <w:sz w:val="20"/>
                <w:szCs w:val="20"/>
                <w:lang w:val="fr-CA"/>
              </w:rPr>
              <w:t>)</w:t>
            </w:r>
          </w:p>
        </w:tc>
      </w:tr>
      <w:tr w:rsidR="004E1E0A" w:rsidRPr="00CB72E7" w:rsidTr="005F5E4E">
        <w:trPr>
          <w:cantSplit/>
          <w:trHeight w:val="288"/>
        </w:trPr>
        <w:tc>
          <w:tcPr>
            <w:tcW w:w="2398" w:type="dxa"/>
          </w:tcPr>
          <w:p w:rsidR="004E1E0A" w:rsidRPr="00216AEB" w:rsidRDefault="004E1E0A" w:rsidP="00934572">
            <w:pPr>
              <w:rPr>
                <w:rFonts w:eastAsia="Calibri" w:cs="Times New Roman"/>
                <w:sz w:val="20"/>
                <w:szCs w:val="20"/>
                <w:lang w:val="fr-CA"/>
              </w:rPr>
            </w:pPr>
            <w:r w:rsidRPr="00216AEB">
              <w:rPr>
                <w:rFonts w:eastAsia="Calibri" w:cs="Times New Roman"/>
                <w:sz w:val="20"/>
                <w:szCs w:val="20"/>
                <w:lang w:val="fr-CA"/>
              </w:rPr>
              <w:t>201</w:t>
            </w:r>
            <w:r w:rsidR="00934572">
              <w:rPr>
                <w:rFonts w:eastAsia="Calibri" w:cs="Times New Roman"/>
                <w:sz w:val="20"/>
                <w:szCs w:val="20"/>
                <w:lang w:val="fr-CA"/>
              </w:rPr>
              <w:t>3</w:t>
            </w:r>
            <w:r w:rsidRPr="00216AEB">
              <w:rPr>
                <w:rFonts w:eastAsia="Calibri" w:cs="Times New Roman"/>
                <w:sz w:val="20"/>
                <w:szCs w:val="20"/>
                <w:lang w:val="fr-CA"/>
              </w:rPr>
              <w:t>-</w:t>
            </w:r>
            <w:r w:rsidR="00934572">
              <w:rPr>
                <w:rFonts w:eastAsia="Calibri" w:cs="Times New Roman"/>
                <w:sz w:val="20"/>
                <w:szCs w:val="20"/>
                <w:lang w:val="fr-CA"/>
              </w:rPr>
              <w:t>03</w:t>
            </w:r>
            <w:r w:rsidRPr="00216AEB">
              <w:rPr>
                <w:rFonts w:eastAsia="Calibri" w:cs="Times New Roman"/>
                <w:sz w:val="20"/>
                <w:szCs w:val="20"/>
                <w:lang w:val="fr-CA"/>
              </w:rPr>
              <w:t>-</w:t>
            </w:r>
            <w:r w:rsidR="00934572">
              <w:rPr>
                <w:rFonts w:eastAsia="Calibri" w:cs="Times New Roman"/>
                <w:sz w:val="20"/>
                <w:szCs w:val="20"/>
                <w:lang w:val="fr-CA"/>
              </w:rPr>
              <w:t>2</w:t>
            </w:r>
            <w:r w:rsidRPr="00216AEB">
              <w:rPr>
                <w:rFonts w:eastAsia="Calibri" w:cs="Times New Roman"/>
                <w:sz w:val="20"/>
                <w:szCs w:val="20"/>
                <w:lang w:val="fr-CA"/>
              </w:rPr>
              <w:t>0</w:t>
            </w:r>
          </w:p>
        </w:tc>
        <w:tc>
          <w:tcPr>
            <w:tcW w:w="7178" w:type="dxa"/>
          </w:tcPr>
          <w:p w:rsidR="004E1E0A" w:rsidRPr="00216AEB" w:rsidRDefault="00934572" w:rsidP="00A63766">
            <w:pPr>
              <w:jc w:val="both"/>
              <w:rPr>
                <w:rFonts w:eastAsia="Calibri" w:cs="Times New Roman"/>
                <w:sz w:val="20"/>
                <w:szCs w:val="20"/>
                <w:lang w:val="fr-CA"/>
              </w:rPr>
            </w:pPr>
            <w:r>
              <w:rPr>
                <w:rFonts w:eastAsia="Calibri" w:cs="Times New Roman"/>
                <w:i/>
                <w:sz w:val="20"/>
                <w:szCs w:val="20"/>
                <w:lang w:val="fr-CA"/>
              </w:rPr>
              <w:t xml:space="preserve">La Souveraine, Compagnie d’assurance générale </w:t>
            </w:r>
            <w:r w:rsidR="004E1E0A">
              <w:rPr>
                <w:rFonts w:eastAsia="Calibri" w:cs="Times New Roman"/>
                <w:i/>
                <w:sz w:val="20"/>
                <w:szCs w:val="20"/>
                <w:lang w:val="fr-CA"/>
              </w:rPr>
              <w:t>c</w:t>
            </w:r>
            <w:r w:rsidR="004E1E0A" w:rsidRPr="00216AEB">
              <w:rPr>
                <w:rFonts w:eastAsia="Calibri" w:cs="Times New Roman"/>
                <w:i/>
                <w:sz w:val="20"/>
                <w:szCs w:val="20"/>
                <w:lang w:val="fr-CA"/>
              </w:rPr>
              <w:t xml:space="preserve">. </w:t>
            </w:r>
            <w:r>
              <w:rPr>
                <w:rFonts w:eastAsia="Calibri" w:cs="Times New Roman"/>
                <w:i/>
                <w:sz w:val="20"/>
                <w:szCs w:val="20"/>
                <w:lang w:val="fr-CA"/>
              </w:rPr>
              <w:t xml:space="preserve">Autorité des marchés financiers </w:t>
            </w:r>
            <w:r w:rsidR="004E1E0A" w:rsidRPr="00216AEB">
              <w:rPr>
                <w:rFonts w:eastAsia="Calibri" w:cs="Times New Roman"/>
                <w:sz w:val="20"/>
                <w:szCs w:val="20"/>
                <w:lang w:val="fr-CA"/>
              </w:rPr>
              <w:t xml:space="preserve"> (</w:t>
            </w:r>
            <w:r w:rsidR="004E1E0A">
              <w:rPr>
                <w:rFonts w:eastAsia="Calibri" w:cs="Times New Roman"/>
                <w:sz w:val="20"/>
                <w:szCs w:val="20"/>
                <w:lang w:val="fr-CA"/>
              </w:rPr>
              <w:t>Qc</w:t>
            </w:r>
            <w:r w:rsidR="004E1E0A" w:rsidRPr="00216AEB">
              <w:rPr>
                <w:rFonts w:eastAsia="Calibri" w:cs="Times New Roman"/>
                <w:sz w:val="20"/>
                <w:szCs w:val="20"/>
                <w:lang w:val="fr-CA"/>
              </w:rPr>
              <w:t>) (Ci</w:t>
            </w:r>
            <w:r w:rsidR="004E1E0A">
              <w:rPr>
                <w:rFonts w:eastAsia="Calibri" w:cs="Times New Roman"/>
                <w:sz w:val="20"/>
                <w:szCs w:val="20"/>
                <w:lang w:val="fr-CA"/>
              </w:rPr>
              <w:t>v</w:t>
            </w:r>
            <w:r w:rsidR="004E1E0A" w:rsidRPr="00216AEB">
              <w:rPr>
                <w:rFonts w:eastAsia="Calibri" w:cs="Times New Roman"/>
                <w:sz w:val="20"/>
                <w:szCs w:val="20"/>
                <w:lang w:val="fr-CA"/>
              </w:rPr>
              <w:t>il</w:t>
            </w:r>
            <w:r w:rsidR="004E1E0A">
              <w:rPr>
                <w:rFonts w:eastAsia="Calibri" w:cs="Times New Roman"/>
                <w:sz w:val="20"/>
                <w:szCs w:val="20"/>
                <w:lang w:val="fr-CA"/>
              </w:rPr>
              <w:t>e</w:t>
            </w:r>
            <w:r w:rsidR="004E1E0A" w:rsidRPr="00216AEB">
              <w:rPr>
                <w:rFonts w:eastAsia="Calibri" w:cs="Times New Roman"/>
                <w:sz w:val="20"/>
                <w:szCs w:val="20"/>
                <w:lang w:val="fr-CA"/>
              </w:rPr>
              <w:t>) (</w:t>
            </w:r>
            <w:r w:rsidR="004E1E0A">
              <w:rPr>
                <w:rFonts w:eastAsia="Calibri" w:cs="Times New Roman"/>
                <w:sz w:val="20"/>
                <w:szCs w:val="20"/>
                <w:lang w:val="fr-CA"/>
              </w:rPr>
              <w:t>Autoris</w:t>
            </w:r>
            <w:r w:rsidR="004E1E0A" w:rsidRPr="00216AEB">
              <w:rPr>
                <w:rFonts w:eastAsia="Calibri" w:cs="Times New Roman"/>
                <w:sz w:val="20"/>
                <w:szCs w:val="20"/>
                <w:lang w:val="fr-CA"/>
              </w:rPr>
              <w:t>a</w:t>
            </w:r>
            <w:r w:rsidR="004E1E0A">
              <w:rPr>
                <w:rFonts w:eastAsia="Calibri" w:cs="Times New Roman"/>
                <w:sz w:val="20"/>
                <w:szCs w:val="20"/>
                <w:lang w:val="fr-CA"/>
              </w:rPr>
              <w:t>tion</w:t>
            </w:r>
            <w:r w:rsidR="004E1E0A" w:rsidRPr="00216AEB">
              <w:rPr>
                <w:rFonts w:eastAsia="Calibri" w:cs="Times New Roman"/>
                <w:sz w:val="20"/>
                <w:szCs w:val="20"/>
                <w:lang w:val="fr-CA"/>
              </w:rPr>
              <w:t>) (34</w:t>
            </w:r>
            <w:r>
              <w:rPr>
                <w:rFonts w:eastAsia="Calibri" w:cs="Times New Roman"/>
                <w:sz w:val="20"/>
                <w:szCs w:val="20"/>
                <w:lang w:val="fr-CA"/>
              </w:rPr>
              <w:t>6</w:t>
            </w:r>
            <w:r w:rsidR="004E1E0A">
              <w:rPr>
                <w:rFonts w:eastAsia="Calibri" w:cs="Times New Roman"/>
                <w:sz w:val="20"/>
                <w:szCs w:val="20"/>
                <w:lang w:val="fr-CA"/>
              </w:rPr>
              <w:t>9</w:t>
            </w:r>
            <w:r>
              <w:rPr>
                <w:rFonts w:eastAsia="Calibri" w:cs="Times New Roman"/>
                <w:sz w:val="20"/>
                <w:szCs w:val="20"/>
                <w:lang w:val="fr-CA"/>
              </w:rPr>
              <w:t>9</w:t>
            </w:r>
            <w:r w:rsidR="004E1E0A" w:rsidRPr="00216AEB">
              <w:rPr>
                <w:rFonts w:eastAsia="Calibri" w:cs="Times New Roman"/>
                <w:sz w:val="20"/>
                <w:szCs w:val="20"/>
                <w:lang w:val="fr-CA"/>
              </w:rPr>
              <w:t>)</w:t>
            </w:r>
          </w:p>
        </w:tc>
      </w:tr>
      <w:tr w:rsidR="004E1E0A" w:rsidRPr="00216AEB" w:rsidTr="005F5E4E">
        <w:trPr>
          <w:cantSplit/>
          <w:trHeight w:val="288"/>
        </w:trPr>
        <w:tc>
          <w:tcPr>
            <w:tcW w:w="2398" w:type="dxa"/>
          </w:tcPr>
          <w:p w:rsidR="004E1E0A" w:rsidRPr="00216AEB" w:rsidRDefault="004E1E0A" w:rsidP="00934572">
            <w:pPr>
              <w:rPr>
                <w:rFonts w:eastAsia="Calibri" w:cs="Times New Roman"/>
                <w:sz w:val="20"/>
                <w:szCs w:val="20"/>
                <w:lang w:val="fr-CA"/>
              </w:rPr>
            </w:pPr>
            <w:r w:rsidRPr="00216AEB">
              <w:rPr>
                <w:rFonts w:eastAsia="Calibri" w:cs="Times New Roman"/>
                <w:sz w:val="20"/>
                <w:szCs w:val="20"/>
                <w:lang w:val="fr-CA"/>
              </w:rPr>
              <w:t>201</w:t>
            </w:r>
            <w:r w:rsidR="00934572">
              <w:rPr>
                <w:rFonts w:eastAsia="Calibri" w:cs="Times New Roman"/>
                <w:sz w:val="20"/>
                <w:szCs w:val="20"/>
                <w:lang w:val="fr-CA"/>
              </w:rPr>
              <w:t>3</w:t>
            </w:r>
            <w:r w:rsidRPr="00216AEB">
              <w:rPr>
                <w:rFonts w:eastAsia="Calibri" w:cs="Times New Roman"/>
                <w:sz w:val="20"/>
                <w:szCs w:val="20"/>
                <w:lang w:val="fr-CA"/>
              </w:rPr>
              <w:t>-</w:t>
            </w:r>
            <w:r w:rsidR="00934572">
              <w:rPr>
                <w:rFonts w:eastAsia="Calibri" w:cs="Times New Roman"/>
                <w:sz w:val="20"/>
                <w:szCs w:val="20"/>
                <w:lang w:val="fr-CA"/>
              </w:rPr>
              <w:t>03</w:t>
            </w:r>
            <w:r w:rsidRPr="00216AEB">
              <w:rPr>
                <w:rFonts w:eastAsia="Calibri" w:cs="Times New Roman"/>
                <w:sz w:val="20"/>
                <w:szCs w:val="20"/>
                <w:lang w:val="fr-CA"/>
              </w:rPr>
              <w:t>-</w:t>
            </w:r>
            <w:r w:rsidR="00934572">
              <w:rPr>
                <w:rFonts w:eastAsia="Calibri" w:cs="Times New Roman"/>
                <w:sz w:val="20"/>
                <w:szCs w:val="20"/>
                <w:lang w:val="fr-CA"/>
              </w:rPr>
              <w:t>21</w:t>
            </w:r>
          </w:p>
        </w:tc>
        <w:tc>
          <w:tcPr>
            <w:tcW w:w="7178" w:type="dxa"/>
          </w:tcPr>
          <w:p w:rsidR="004E1E0A" w:rsidRPr="00934572" w:rsidRDefault="004E1E0A" w:rsidP="005F5E4E">
            <w:pPr>
              <w:jc w:val="both"/>
              <w:rPr>
                <w:rFonts w:eastAsia="Calibri" w:cs="Times New Roman"/>
                <w:sz w:val="20"/>
                <w:szCs w:val="20"/>
              </w:rPr>
            </w:pPr>
            <w:r w:rsidRPr="0085047E">
              <w:rPr>
                <w:rFonts w:eastAsia="Calibri" w:cs="Times New Roman"/>
                <w:i/>
                <w:sz w:val="20"/>
                <w:szCs w:val="20"/>
              </w:rPr>
              <w:t>P</w:t>
            </w:r>
            <w:r w:rsidR="00934572">
              <w:rPr>
                <w:rFonts w:eastAsia="Calibri" w:cs="Times New Roman"/>
                <w:i/>
                <w:sz w:val="20"/>
                <w:szCs w:val="20"/>
              </w:rPr>
              <w:t xml:space="preserve">atricia McLean </w:t>
            </w:r>
            <w:r w:rsidRPr="0085047E">
              <w:rPr>
                <w:rFonts w:eastAsia="Calibri" w:cs="Times New Roman"/>
                <w:i/>
                <w:sz w:val="20"/>
                <w:szCs w:val="20"/>
              </w:rPr>
              <w:t xml:space="preserve">v. </w:t>
            </w:r>
            <w:r w:rsidR="00934572">
              <w:rPr>
                <w:rFonts w:eastAsia="Calibri" w:cs="Times New Roman"/>
                <w:i/>
                <w:sz w:val="20"/>
                <w:szCs w:val="20"/>
              </w:rPr>
              <w:t>Ex</w:t>
            </w:r>
            <w:r w:rsidRPr="0085047E">
              <w:rPr>
                <w:rFonts w:eastAsia="Calibri" w:cs="Times New Roman"/>
                <w:i/>
                <w:sz w:val="20"/>
                <w:szCs w:val="20"/>
              </w:rPr>
              <w:t>e</w:t>
            </w:r>
            <w:r w:rsidR="00934572">
              <w:rPr>
                <w:rFonts w:eastAsia="Calibri" w:cs="Times New Roman"/>
                <w:i/>
                <w:sz w:val="20"/>
                <w:szCs w:val="20"/>
              </w:rPr>
              <w:t>cutive Director of the B</w:t>
            </w:r>
            <w:r w:rsidRPr="0085047E">
              <w:rPr>
                <w:rFonts w:eastAsia="Calibri" w:cs="Times New Roman"/>
                <w:i/>
                <w:sz w:val="20"/>
                <w:szCs w:val="20"/>
              </w:rPr>
              <w:t>r</w:t>
            </w:r>
            <w:r w:rsidR="00934572">
              <w:rPr>
                <w:rFonts w:eastAsia="Calibri" w:cs="Times New Roman"/>
                <w:i/>
                <w:sz w:val="20"/>
                <w:szCs w:val="20"/>
              </w:rPr>
              <w:t>i</w:t>
            </w:r>
            <w:r w:rsidRPr="0085047E">
              <w:rPr>
                <w:rFonts w:eastAsia="Calibri" w:cs="Times New Roman"/>
                <w:i/>
                <w:sz w:val="20"/>
                <w:szCs w:val="20"/>
              </w:rPr>
              <w:t>t</w:t>
            </w:r>
            <w:r w:rsidR="00934572">
              <w:rPr>
                <w:rFonts w:eastAsia="Calibri" w:cs="Times New Roman"/>
                <w:i/>
                <w:sz w:val="20"/>
                <w:szCs w:val="20"/>
              </w:rPr>
              <w:t>ish Columbia Securi</w:t>
            </w:r>
            <w:r w:rsidRPr="0085047E">
              <w:rPr>
                <w:rFonts w:eastAsia="Calibri" w:cs="Times New Roman"/>
                <w:i/>
                <w:sz w:val="20"/>
                <w:szCs w:val="20"/>
              </w:rPr>
              <w:t>t</w:t>
            </w:r>
            <w:r w:rsidR="00934572">
              <w:rPr>
                <w:rFonts w:eastAsia="Calibri" w:cs="Times New Roman"/>
                <w:i/>
                <w:sz w:val="20"/>
                <w:szCs w:val="20"/>
              </w:rPr>
              <w:t>i</w:t>
            </w:r>
            <w:r w:rsidRPr="0085047E">
              <w:rPr>
                <w:rFonts w:eastAsia="Calibri" w:cs="Times New Roman"/>
                <w:i/>
                <w:sz w:val="20"/>
                <w:szCs w:val="20"/>
              </w:rPr>
              <w:t>e</w:t>
            </w:r>
            <w:r w:rsidR="00934572">
              <w:rPr>
                <w:rFonts w:eastAsia="Calibri" w:cs="Times New Roman"/>
                <w:i/>
                <w:sz w:val="20"/>
                <w:szCs w:val="20"/>
              </w:rPr>
              <w:t>s</w:t>
            </w:r>
            <w:r w:rsidRPr="0085047E">
              <w:rPr>
                <w:rFonts w:eastAsia="Calibri" w:cs="Times New Roman"/>
                <w:i/>
                <w:sz w:val="20"/>
                <w:szCs w:val="20"/>
              </w:rPr>
              <w:t xml:space="preserve"> </w:t>
            </w:r>
            <w:r w:rsidR="00934572">
              <w:rPr>
                <w:rFonts w:eastAsia="Calibri" w:cs="Times New Roman"/>
                <w:i/>
                <w:sz w:val="20"/>
                <w:szCs w:val="20"/>
              </w:rPr>
              <w:t>Commissio</w:t>
            </w:r>
            <w:r w:rsidRPr="0085047E">
              <w:rPr>
                <w:rFonts w:eastAsia="Calibri" w:cs="Times New Roman"/>
                <w:i/>
                <w:sz w:val="20"/>
                <w:szCs w:val="20"/>
              </w:rPr>
              <w:t>n</w:t>
            </w:r>
            <w:r w:rsidRPr="0085047E">
              <w:rPr>
                <w:rFonts w:eastAsia="Calibri" w:cs="Times New Roman"/>
                <w:sz w:val="20"/>
                <w:szCs w:val="20"/>
              </w:rPr>
              <w:t xml:space="preserve"> (</w:t>
            </w:r>
            <w:r w:rsidR="00B843D4">
              <w:rPr>
                <w:rFonts w:eastAsia="Calibri" w:cs="Times New Roman"/>
                <w:sz w:val="20"/>
                <w:szCs w:val="20"/>
              </w:rPr>
              <w:t>B.C</w:t>
            </w:r>
            <w:r w:rsidRPr="0085047E">
              <w:rPr>
                <w:rFonts w:eastAsia="Calibri" w:cs="Times New Roman"/>
                <w:sz w:val="20"/>
                <w:szCs w:val="20"/>
              </w:rPr>
              <w:t xml:space="preserve">.) </w:t>
            </w:r>
            <w:r w:rsidRPr="00934572">
              <w:rPr>
                <w:rFonts w:eastAsia="Calibri" w:cs="Times New Roman"/>
                <w:sz w:val="20"/>
                <w:szCs w:val="20"/>
              </w:rPr>
              <w:t>(Ci</w:t>
            </w:r>
            <w:r w:rsidR="00B843D4">
              <w:rPr>
                <w:rFonts w:eastAsia="Calibri" w:cs="Times New Roman"/>
                <w:sz w:val="20"/>
                <w:szCs w:val="20"/>
              </w:rPr>
              <w:t>vi</w:t>
            </w:r>
            <w:r w:rsidRPr="00934572">
              <w:rPr>
                <w:rFonts w:eastAsia="Calibri" w:cs="Times New Roman"/>
                <w:sz w:val="20"/>
                <w:szCs w:val="20"/>
              </w:rPr>
              <w:t>l) (</w:t>
            </w:r>
            <w:r w:rsidR="00B843D4">
              <w:rPr>
                <w:rFonts w:eastAsia="Calibri" w:cs="Times New Roman"/>
                <w:sz w:val="20"/>
                <w:szCs w:val="20"/>
              </w:rPr>
              <w:t>By Leave</w:t>
            </w:r>
            <w:r w:rsidRPr="00934572">
              <w:rPr>
                <w:rFonts w:eastAsia="Calibri" w:cs="Times New Roman"/>
                <w:sz w:val="20"/>
                <w:szCs w:val="20"/>
              </w:rPr>
              <w:t>) (34</w:t>
            </w:r>
            <w:r w:rsidR="00B843D4">
              <w:rPr>
                <w:rFonts w:eastAsia="Calibri" w:cs="Times New Roman"/>
                <w:sz w:val="20"/>
                <w:szCs w:val="20"/>
              </w:rPr>
              <w:t>593</w:t>
            </w:r>
            <w:r w:rsidRPr="00934572">
              <w:rPr>
                <w:rFonts w:eastAsia="Calibri" w:cs="Times New Roman"/>
                <w:sz w:val="20"/>
                <w:szCs w:val="20"/>
              </w:rPr>
              <w:t>)</w:t>
            </w:r>
          </w:p>
          <w:p w:rsidR="004E1E0A" w:rsidRPr="00934572" w:rsidRDefault="00B843D4" w:rsidP="00A63766">
            <w:pPr>
              <w:jc w:val="both"/>
              <w:rPr>
                <w:rFonts w:eastAsia="Calibri" w:cs="Times New Roman"/>
                <w:sz w:val="20"/>
                <w:szCs w:val="20"/>
              </w:rPr>
            </w:pPr>
            <w:r w:rsidRPr="00934572">
              <w:rPr>
                <w:rFonts w:eastAsia="Calibri" w:cs="Times New Roman"/>
                <w:sz w:val="20"/>
                <w:szCs w:val="20"/>
              </w:rPr>
              <w:t>(Early start time: 9:00 a.m. / Horaire modifié : audience débutant à 9 h)</w:t>
            </w:r>
          </w:p>
        </w:tc>
      </w:tr>
      <w:tr w:rsidR="004E1E0A" w:rsidRPr="003A74F5" w:rsidTr="005F5E4E">
        <w:trPr>
          <w:cantSplit/>
          <w:trHeight w:val="288"/>
        </w:trPr>
        <w:tc>
          <w:tcPr>
            <w:tcW w:w="2398" w:type="dxa"/>
          </w:tcPr>
          <w:p w:rsidR="004E1E0A" w:rsidRPr="003A74F5" w:rsidRDefault="00B843D4" w:rsidP="005F5E4E">
            <w:pPr>
              <w:rPr>
                <w:rFonts w:eastAsia="Calibri" w:cs="Times New Roman"/>
                <w:sz w:val="20"/>
                <w:szCs w:val="20"/>
              </w:rPr>
            </w:pPr>
            <w:r w:rsidRPr="00216AEB">
              <w:rPr>
                <w:rFonts w:eastAsia="Calibri" w:cs="Times New Roman"/>
                <w:sz w:val="20"/>
                <w:szCs w:val="20"/>
                <w:lang w:val="fr-CA"/>
              </w:rPr>
              <w:t>201</w:t>
            </w:r>
            <w:r>
              <w:rPr>
                <w:rFonts w:eastAsia="Calibri" w:cs="Times New Roman"/>
                <w:sz w:val="20"/>
                <w:szCs w:val="20"/>
                <w:lang w:val="fr-CA"/>
              </w:rPr>
              <w:t>3</w:t>
            </w:r>
            <w:r w:rsidRPr="00216AEB">
              <w:rPr>
                <w:rFonts w:eastAsia="Calibri" w:cs="Times New Roman"/>
                <w:sz w:val="20"/>
                <w:szCs w:val="20"/>
                <w:lang w:val="fr-CA"/>
              </w:rPr>
              <w:t>-</w:t>
            </w:r>
            <w:r>
              <w:rPr>
                <w:rFonts w:eastAsia="Calibri" w:cs="Times New Roman"/>
                <w:sz w:val="20"/>
                <w:szCs w:val="20"/>
                <w:lang w:val="fr-CA"/>
              </w:rPr>
              <w:t>03</w:t>
            </w:r>
            <w:r w:rsidRPr="00216AEB">
              <w:rPr>
                <w:rFonts w:eastAsia="Calibri" w:cs="Times New Roman"/>
                <w:sz w:val="20"/>
                <w:szCs w:val="20"/>
                <w:lang w:val="fr-CA"/>
              </w:rPr>
              <w:t>-</w:t>
            </w:r>
            <w:r>
              <w:rPr>
                <w:rFonts w:eastAsia="Calibri" w:cs="Times New Roman"/>
                <w:sz w:val="20"/>
                <w:szCs w:val="20"/>
                <w:lang w:val="fr-CA"/>
              </w:rPr>
              <w:t>21</w:t>
            </w:r>
          </w:p>
        </w:tc>
        <w:tc>
          <w:tcPr>
            <w:tcW w:w="7178" w:type="dxa"/>
          </w:tcPr>
          <w:p w:rsidR="004E1E0A" w:rsidRPr="003A74F5" w:rsidRDefault="00B843D4" w:rsidP="00A63766">
            <w:pPr>
              <w:jc w:val="both"/>
              <w:rPr>
                <w:rFonts w:eastAsia="Calibri" w:cs="Times New Roman"/>
                <w:sz w:val="20"/>
                <w:szCs w:val="20"/>
              </w:rPr>
            </w:pP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Pr>
                <w:rFonts w:eastAsia="Calibri" w:cs="Times New Roman"/>
                <w:i/>
                <w:sz w:val="20"/>
                <w:szCs w:val="20"/>
              </w:rPr>
              <w:t xml:space="preserve"> in Right of th</w:t>
            </w:r>
            <w:r w:rsidRPr="00202908">
              <w:rPr>
                <w:rFonts w:eastAsia="Calibri" w:cs="Times New Roman"/>
                <w:i/>
                <w:sz w:val="20"/>
                <w:szCs w:val="20"/>
              </w:rPr>
              <w:t>e</w:t>
            </w:r>
            <w:r>
              <w:rPr>
                <w:rFonts w:eastAsia="Calibri" w:cs="Times New Roman"/>
                <w:i/>
                <w:sz w:val="20"/>
                <w:szCs w:val="20"/>
              </w:rPr>
              <w:t xml:space="preserve"> Province of British Columbia as represented by the Ministry of Forests</w:t>
            </w:r>
            <w:r w:rsidR="004E1E0A" w:rsidRPr="0085047E">
              <w:rPr>
                <w:rFonts w:eastAsia="Calibri" w:cs="Times New Roman"/>
                <w:i/>
                <w:sz w:val="20"/>
                <w:szCs w:val="20"/>
              </w:rPr>
              <w:t xml:space="preserve"> v. </w:t>
            </w:r>
            <w:r>
              <w:rPr>
                <w:rFonts w:eastAsia="Calibri" w:cs="Times New Roman"/>
                <w:i/>
                <w:sz w:val="20"/>
                <w:szCs w:val="20"/>
              </w:rPr>
              <w:t xml:space="preserve">Teal </w:t>
            </w:r>
            <w:r w:rsidR="004E1E0A">
              <w:rPr>
                <w:rFonts w:eastAsia="Calibri" w:cs="Times New Roman"/>
                <w:i/>
                <w:sz w:val="20"/>
                <w:szCs w:val="20"/>
              </w:rPr>
              <w:t>Ce</w:t>
            </w:r>
            <w:r>
              <w:rPr>
                <w:rFonts w:eastAsia="Calibri" w:cs="Times New Roman"/>
                <w:i/>
                <w:sz w:val="20"/>
                <w:szCs w:val="20"/>
              </w:rPr>
              <w:t>d</w:t>
            </w:r>
            <w:r w:rsidR="004E1E0A">
              <w:rPr>
                <w:rFonts w:eastAsia="Calibri" w:cs="Times New Roman"/>
                <w:i/>
                <w:sz w:val="20"/>
                <w:szCs w:val="20"/>
              </w:rPr>
              <w:t>ar</w:t>
            </w:r>
            <w:r w:rsidR="004E1E0A" w:rsidRPr="0085047E">
              <w:rPr>
                <w:rFonts w:eastAsia="Calibri" w:cs="Times New Roman"/>
                <w:i/>
                <w:sz w:val="20"/>
                <w:szCs w:val="20"/>
              </w:rPr>
              <w:t xml:space="preserve"> </w:t>
            </w:r>
            <w:r>
              <w:rPr>
                <w:rFonts w:eastAsia="Calibri" w:cs="Times New Roman"/>
                <w:i/>
                <w:sz w:val="20"/>
                <w:szCs w:val="20"/>
              </w:rPr>
              <w:t>Products L</w:t>
            </w:r>
            <w:r w:rsidR="004E1E0A" w:rsidRPr="0085047E">
              <w:rPr>
                <w:rFonts w:eastAsia="Calibri" w:cs="Times New Roman"/>
                <w:i/>
                <w:sz w:val="20"/>
                <w:szCs w:val="20"/>
              </w:rPr>
              <w:t>t</w:t>
            </w:r>
            <w:r>
              <w:rPr>
                <w:rFonts w:eastAsia="Calibri" w:cs="Times New Roman"/>
                <w:i/>
                <w:sz w:val="20"/>
                <w:szCs w:val="20"/>
              </w:rPr>
              <w:t>d</w:t>
            </w:r>
            <w:r w:rsidR="004E1E0A" w:rsidRPr="0085047E">
              <w:rPr>
                <w:rFonts w:eastAsia="Calibri" w:cs="Times New Roman"/>
                <w:i/>
                <w:sz w:val="20"/>
                <w:szCs w:val="20"/>
              </w:rPr>
              <w:t>.</w:t>
            </w:r>
            <w:r w:rsidR="004E1E0A" w:rsidRPr="0085047E">
              <w:rPr>
                <w:rFonts w:eastAsia="Calibri" w:cs="Times New Roman"/>
                <w:sz w:val="20"/>
                <w:szCs w:val="20"/>
              </w:rPr>
              <w:t xml:space="preserve"> </w:t>
            </w:r>
            <w:r w:rsidR="004E1E0A" w:rsidRPr="003A74F5">
              <w:rPr>
                <w:rFonts w:eastAsia="Calibri" w:cs="Times New Roman"/>
                <w:sz w:val="20"/>
                <w:szCs w:val="20"/>
              </w:rPr>
              <w:t>(B.C.) (Civil) (By Leave) (34</w:t>
            </w:r>
            <w:r>
              <w:rPr>
                <w:rFonts w:eastAsia="Calibri" w:cs="Times New Roman"/>
                <w:sz w:val="20"/>
                <w:szCs w:val="20"/>
              </w:rPr>
              <w:t>769</w:t>
            </w:r>
            <w:r w:rsidR="004E1E0A" w:rsidRPr="003A74F5">
              <w:rPr>
                <w:rFonts w:eastAsia="Calibri" w:cs="Times New Roman"/>
                <w:sz w:val="20"/>
                <w:szCs w:val="20"/>
              </w:rPr>
              <w:t>)</w:t>
            </w:r>
          </w:p>
        </w:tc>
      </w:tr>
      <w:tr w:rsidR="004E1E0A" w:rsidRPr="003A74F5" w:rsidTr="005F5E4E">
        <w:trPr>
          <w:cantSplit/>
          <w:trHeight w:val="288"/>
        </w:trPr>
        <w:tc>
          <w:tcPr>
            <w:tcW w:w="2398" w:type="dxa"/>
          </w:tcPr>
          <w:p w:rsidR="004E1E0A" w:rsidRPr="003A74F5" w:rsidRDefault="00B843D4" w:rsidP="005F5E4E">
            <w:pPr>
              <w:rPr>
                <w:rFonts w:eastAsia="Calibri" w:cs="Times New Roman"/>
                <w:sz w:val="20"/>
                <w:szCs w:val="20"/>
              </w:rPr>
            </w:pPr>
            <w:r w:rsidRPr="00216AEB">
              <w:rPr>
                <w:rFonts w:eastAsia="Calibri" w:cs="Times New Roman"/>
                <w:sz w:val="20"/>
                <w:szCs w:val="20"/>
                <w:lang w:val="fr-CA"/>
              </w:rPr>
              <w:t>201</w:t>
            </w:r>
            <w:r>
              <w:rPr>
                <w:rFonts w:eastAsia="Calibri" w:cs="Times New Roman"/>
                <w:sz w:val="20"/>
                <w:szCs w:val="20"/>
                <w:lang w:val="fr-CA"/>
              </w:rPr>
              <w:t>3</w:t>
            </w:r>
            <w:r w:rsidRPr="00216AEB">
              <w:rPr>
                <w:rFonts w:eastAsia="Calibri" w:cs="Times New Roman"/>
                <w:sz w:val="20"/>
                <w:szCs w:val="20"/>
                <w:lang w:val="fr-CA"/>
              </w:rPr>
              <w:t>-</w:t>
            </w:r>
            <w:r>
              <w:rPr>
                <w:rFonts w:eastAsia="Calibri" w:cs="Times New Roman"/>
                <w:sz w:val="20"/>
                <w:szCs w:val="20"/>
                <w:lang w:val="fr-CA"/>
              </w:rPr>
              <w:t>03</w:t>
            </w:r>
            <w:r w:rsidRPr="00216AEB">
              <w:rPr>
                <w:rFonts w:eastAsia="Calibri" w:cs="Times New Roman"/>
                <w:sz w:val="20"/>
                <w:szCs w:val="20"/>
                <w:lang w:val="fr-CA"/>
              </w:rPr>
              <w:t>-</w:t>
            </w:r>
            <w:r>
              <w:rPr>
                <w:rFonts w:eastAsia="Calibri" w:cs="Times New Roman"/>
                <w:sz w:val="20"/>
                <w:szCs w:val="20"/>
                <w:lang w:val="fr-CA"/>
              </w:rPr>
              <w:t>25</w:t>
            </w:r>
          </w:p>
        </w:tc>
        <w:tc>
          <w:tcPr>
            <w:tcW w:w="7178" w:type="dxa"/>
          </w:tcPr>
          <w:p w:rsidR="004E1E0A" w:rsidRPr="003A74F5" w:rsidRDefault="00B843D4" w:rsidP="00A63766">
            <w:pPr>
              <w:jc w:val="both"/>
              <w:rPr>
                <w:rFonts w:eastAsia="Calibri" w:cs="Times New Roman"/>
                <w:sz w:val="20"/>
                <w:szCs w:val="20"/>
              </w:rPr>
            </w:pPr>
            <w:r>
              <w:rPr>
                <w:rFonts w:eastAsia="Calibri" w:cs="Times New Roman"/>
                <w:i/>
                <w:sz w:val="20"/>
                <w:szCs w:val="20"/>
              </w:rPr>
              <w:t>Sable Offshore Energy Inc., as agent for and on behalf</w:t>
            </w:r>
            <w:r w:rsidR="004E1E0A" w:rsidRPr="00202908">
              <w:rPr>
                <w:rFonts w:eastAsia="Calibri" w:cs="Times New Roman"/>
                <w:i/>
                <w:sz w:val="20"/>
                <w:szCs w:val="20"/>
              </w:rPr>
              <w:t xml:space="preserve"> </w:t>
            </w:r>
            <w:r>
              <w:rPr>
                <w:rFonts w:eastAsia="Calibri" w:cs="Times New Roman"/>
                <w:i/>
                <w:sz w:val="20"/>
                <w:szCs w:val="20"/>
              </w:rPr>
              <w:t xml:space="preserve">of the Working Interest Owners of the Sable Offshore Energy Project et al. </w:t>
            </w:r>
            <w:r w:rsidR="004E1E0A" w:rsidRPr="00202908">
              <w:rPr>
                <w:rFonts w:eastAsia="Calibri" w:cs="Times New Roman"/>
                <w:i/>
                <w:sz w:val="20"/>
                <w:szCs w:val="20"/>
              </w:rPr>
              <w:t xml:space="preserve">v. </w:t>
            </w:r>
            <w:r>
              <w:rPr>
                <w:rFonts w:eastAsia="Calibri" w:cs="Times New Roman"/>
                <w:i/>
                <w:sz w:val="20"/>
                <w:szCs w:val="20"/>
              </w:rPr>
              <w:t>Am</w:t>
            </w:r>
            <w:r w:rsidR="004E1E0A" w:rsidRPr="00202908">
              <w:rPr>
                <w:rFonts w:eastAsia="Calibri" w:cs="Times New Roman"/>
                <w:i/>
                <w:sz w:val="20"/>
                <w:szCs w:val="20"/>
              </w:rPr>
              <w:t>e</w:t>
            </w:r>
            <w:r>
              <w:rPr>
                <w:rFonts w:eastAsia="Calibri" w:cs="Times New Roman"/>
                <w:i/>
                <w:sz w:val="20"/>
                <w:szCs w:val="20"/>
              </w:rPr>
              <w:t>ro</w:t>
            </w:r>
            <w:r w:rsidR="004E1E0A" w:rsidRPr="00202908">
              <w:rPr>
                <w:rFonts w:eastAsia="Calibri" w:cs="Times New Roman"/>
                <w:i/>
                <w:sz w:val="20"/>
                <w:szCs w:val="20"/>
              </w:rPr>
              <w:t>n</w:t>
            </w:r>
            <w:r w:rsidR="004E1E0A">
              <w:rPr>
                <w:rFonts w:eastAsia="Calibri" w:cs="Times New Roman"/>
                <w:i/>
                <w:sz w:val="20"/>
                <w:szCs w:val="20"/>
              </w:rPr>
              <w:t xml:space="preserve"> </w:t>
            </w:r>
            <w:r>
              <w:rPr>
                <w:rFonts w:eastAsia="Calibri" w:cs="Times New Roman"/>
                <w:i/>
                <w:sz w:val="20"/>
                <w:szCs w:val="20"/>
              </w:rPr>
              <w:t>I</w:t>
            </w:r>
            <w:r w:rsidR="004E1E0A">
              <w:rPr>
                <w:rFonts w:eastAsia="Calibri" w:cs="Times New Roman"/>
                <w:i/>
                <w:sz w:val="20"/>
                <w:szCs w:val="20"/>
              </w:rPr>
              <w:t>n</w:t>
            </w:r>
            <w:r>
              <w:rPr>
                <w:rFonts w:eastAsia="Calibri" w:cs="Times New Roman"/>
                <w:i/>
                <w:sz w:val="20"/>
                <w:szCs w:val="20"/>
              </w:rPr>
              <w:t>terna</w:t>
            </w:r>
            <w:r w:rsidR="004E1E0A">
              <w:rPr>
                <w:rFonts w:eastAsia="Calibri" w:cs="Times New Roman"/>
                <w:i/>
                <w:sz w:val="20"/>
                <w:szCs w:val="20"/>
              </w:rPr>
              <w:t>t</w:t>
            </w:r>
            <w:r>
              <w:rPr>
                <w:rFonts w:eastAsia="Calibri" w:cs="Times New Roman"/>
                <w:i/>
                <w:sz w:val="20"/>
                <w:szCs w:val="20"/>
              </w:rPr>
              <w:t>i</w:t>
            </w:r>
            <w:r w:rsidR="004E1E0A">
              <w:rPr>
                <w:rFonts w:eastAsia="Calibri" w:cs="Times New Roman"/>
                <w:i/>
                <w:sz w:val="20"/>
                <w:szCs w:val="20"/>
              </w:rPr>
              <w:t>ona</w:t>
            </w:r>
            <w:r>
              <w:rPr>
                <w:rFonts w:eastAsia="Calibri" w:cs="Times New Roman"/>
                <w:i/>
                <w:sz w:val="20"/>
                <w:szCs w:val="20"/>
              </w:rPr>
              <w:t>l</w:t>
            </w:r>
            <w:r w:rsidR="00E25482">
              <w:rPr>
                <w:rFonts w:eastAsia="Calibri" w:cs="Times New Roman"/>
                <w:i/>
                <w:sz w:val="20"/>
                <w:szCs w:val="20"/>
              </w:rPr>
              <w:t xml:space="preserve"> Corporation</w:t>
            </w:r>
            <w:r>
              <w:rPr>
                <w:rFonts w:eastAsia="Calibri" w:cs="Times New Roman"/>
                <w:i/>
                <w:sz w:val="20"/>
                <w:szCs w:val="20"/>
              </w:rPr>
              <w:t xml:space="preserve"> </w:t>
            </w:r>
            <w:r w:rsidR="004E1E0A">
              <w:rPr>
                <w:rFonts w:eastAsia="Calibri" w:cs="Times New Roman"/>
                <w:i/>
                <w:sz w:val="20"/>
                <w:szCs w:val="20"/>
              </w:rPr>
              <w:t>et</w:t>
            </w:r>
            <w:r>
              <w:rPr>
                <w:rFonts w:eastAsia="Calibri" w:cs="Times New Roman"/>
                <w:i/>
                <w:sz w:val="20"/>
                <w:szCs w:val="20"/>
              </w:rPr>
              <w:t xml:space="preserve"> </w:t>
            </w:r>
            <w:r w:rsidR="004E1E0A">
              <w:rPr>
                <w:rFonts w:eastAsia="Calibri" w:cs="Times New Roman"/>
                <w:i/>
                <w:sz w:val="20"/>
                <w:szCs w:val="20"/>
              </w:rPr>
              <w:t>a</w:t>
            </w:r>
            <w:r>
              <w:rPr>
                <w:rFonts w:eastAsia="Calibri" w:cs="Times New Roman"/>
                <w:i/>
                <w:sz w:val="20"/>
                <w:szCs w:val="20"/>
              </w:rPr>
              <w:t xml:space="preserve">l. </w:t>
            </w:r>
            <w:r w:rsidR="004E1E0A" w:rsidRPr="00202908">
              <w:rPr>
                <w:rFonts w:eastAsia="Calibri" w:cs="Times New Roman"/>
                <w:sz w:val="20"/>
                <w:szCs w:val="20"/>
              </w:rPr>
              <w:t>(</w:t>
            </w:r>
            <w:r>
              <w:rPr>
                <w:rFonts w:eastAsia="Calibri" w:cs="Times New Roman"/>
                <w:sz w:val="20"/>
                <w:szCs w:val="20"/>
              </w:rPr>
              <w:t>N.S</w:t>
            </w:r>
            <w:r w:rsidR="004E1E0A" w:rsidRPr="00202908">
              <w:rPr>
                <w:rFonts w:eastAsia="Calibri" w:cs="Times New Roman"/>
                <w:sz w:val="20"/>
                <w:szCs w:val="20"/>
              </w:rPr>
              <w:t xml:space="preserve">.) </w:t>
            </w:r>
            <w:r w:rsidR="004E1E0A" w:rsidRPr="00B843D4">
              <w:rPr>
                <w:rFonts w:eastAsia="Calibri" w:cs="Times New Roman"/>
                <w:sz w:val="20"/>
                <w:szCs w:val="20"/>
              </w:rPr>
              <w:t>(Civil) (By Leave) (34</w:t>
            </w:r>
            <w:r>
              <w:rPr>
                <w:rFonts w:eastAsia="Calibri" w:cs="Times New Roman"/>
                <w:sz w:val="20"/>
                <w:szCs w:val="20"/>
              </w:rPr>
              <w:t>678</w:t>
            </w:r>
            <w:r w:rsidR="004E1E0A" w:rsidRPr="00B843D4">
              <w:rPr>
                <w:rFonts w:eastAsia="Calibri" w:cs="Times New Roman"/>
                <w:sz w:val="20"/>
                <w:szCs w:val="20"/>
              </w:rPr>
              <w:t>)</w:t>
            </w:r>
          </w:p>
        </w:tc>
      </w:tr>
      <w:tr w:rsidR="004E1E0A" w:rsidRPr="0085047E" w:rsidTr="005F5E4E">
        <w:trPr>
          <w:cantSplit/>
          <w:trHeight w:val="288"/>
        </w:trPr>
        <w:tc>
          <w:tcPr>
            <w:tcW w:w="2398" w:type="dxa"/>
          </w:tcPr>
          <w:p w:rsidR="004E1E0A" w:rsidRPr="003A74F5" w:rsidRDefault="009824A6" w:rsidP="005F5E4E">
            <w:pPr>
              <w:rPr>
                <w:rFonts w:eastAsia="Calibri" w:cs="Times New Roman"/>
                <w:sz w:val="20"/>
                <w:szCs w:val="20"/>
              </w:rPr>
            </w:pPr>
            <w:r w:rsidRPr="00216AEB">
              <w:rPr>
                <w:rFonts w:eastAsia="Calibri" w:cs="Times New Roman"/>
                <w:sz w:val="20"/>
                <w:szCs w:val="20"/>
                <w:lang w:val="fr-CA"/>
              </w:rPr>
              <w:t>201</w:t>
            </w:r>
            <w:r>
              <w:rPr>
                <w:rFonts w:eastAsia="Calibri" w:cs="Times New Roman"/>
                <w:sz w:val="20"/>
                <w:szCs w:val="20"/>
                <w:lang w:val="fr-CA"/>
              </w:rPr>
              <w:t>3</w:t>
            </w:r>
            <w:r w:rsidRPr="00216AEB">
              <w:rPr>
                <w:rFonts w:eastAsia="Calibri" w:cs="Times New Roman"/>
                <w:sz w:val="20"/>
                <w:szCs w:val="20"/>
                <w:lang w:val="fr-CA"/>
              </w:rPr>
              <w:t>-</w:t>
            </w:r>
            <w:r>
              <w:rPr>
                <w:rFonts w:eastAsia="Calibri" w:cs="Times New Roman"/>
                <w:sz w:val="20"/>
                <w:szCs w:val="20"/>
                <w:lang w:val="fr-CA"/>
              </w:rPr>
              <w:t>03</w:t>
            </w:r>
            <w:r w:rsidRPr="00216AEB">
              <w:rPr>
                <w:rFonts w:eastAsia="Calibri" w:cs="Times New Roman"/>
                <w:sz w:val="20"/>
                <w:szCs w:val="20"/>
                <w:lang w:val="fr-CA"/>
              </w:rPr>
              <w:t>-</w:t>
            </w:r>
            <w:r>
              <w:rPr>
                <w:rFonts w:eastAsia="Calibri" w:cs="Times New Roman"/>
                <w:sz w:val="20"/>
                <w:szCs w:val="20"/>
                <w:lang w:val="fr-CA"/>
              </w:rPr>
              <w:t>26</w:t>
            </w:r>
          </w:p>
        </w:tc>
        <w:tc>
          <w:tcPr>
            <w:tcW w:w="7178" w:type="dxa"/>
          </w:tcPr>
          <w:p w:rsidR="004E1E0A" w:rsidRPr="009824A6" w:rsidRDefault="00B843D4" w:rsidP="00A63766">
            <w:pPr>
              <w:jc w:val="both"/>
              <w:rPr>
                <w:rFonts w:eastAsia="Calibri" w:cs="Times New Roman"/>
                <w:sz w:val="20"/>
                <w:szCs w:val="20"/>
              </w:rPr>
            </w:pPr>
            <w:r>
              <w:rPr>
                <w:rFonts w:eastAsia="Calibri" w:cs="Times New Roman"/>
                <w:i/>
                <w:sz w:val="20"/>
                <w:szCs w:val="20"/>
              </w:rPr>
              <w:t xml:space="preserve">Robert Hryniak </w:t>
            </w:r>
            <w:r w:rsidR="004E1E0A" w:rsidRPr="00B843D4">
              <w:rPr>
                <w:rFonts w:eastAsia="Calibri" w:cs="Times New Roman"/>
                <w:i/>
                <w:sz w:val="20"/>
                <w:szCs w:val="20"/>
              </w:rPr>
              <w:t xml:space="preserve">v. </w:t>
            </w:r>
            <w:r w:rsidR="009824A6">
              <w:rPr>
                <w:rFonts w:eastAsia="Calibri" w:cs="Times New Roman"/>
                <w:i/>
                <w:sz w:val="20"/>
                <w:szCs w:val="20"/>
              </w:rPr>
              <w:t>F</w:t>
            </w:r>
            <w:r w:rsidR="004E1E0A" w:rsidRPr="00B843D4">
              <w:rPr>
                <w:rFonts w:eastAsia="Calibri" w:cs="Times New Roman"/>
                <w:i/>
                <w:sz w:val="20"/>
                <w:szCs w:val="20"/>
              </w:rPr>
              <w:t>re</w:t>
            </w:r>
            <w:r w:rsidR="009824A6">
              <w:rPr>
                <w:rFonts w:eastAsia="Calibri" w:cs="Times New Roman"/>
                <w:i/>
                <w:sz w:val="20"/>
                <w:szCs w:val="20"/>
              </w:rPr>
              <w:t xml:space="preserve">d Mauldin </w:t>
            </w:r>
            <w:r w:rsidR="004E1E0A" w:rsidRPr="00B843D4">
              <w:rPr>
                <w:rFonts w:eastAsia="Calibri" w:cs="Times New Roman"/>
                <w:i/>
                <w:sz w:val="20"/>
                <w:szCs w:val="20"/>
              </w:rPr>
              <w:t>et al.</w:t>
            </w:r>
            <w:r w:rsidR="004E1E0A" w:rsidRPr="00B843D4">
              <w:rPr>
                <w:rFonts w:eastAsia="Calibri" w:cs="Times New Roman"/>
                <w:sz w:val="20"/>
                <w:szCs w:val="20"/>
              </w:rPr>
              <w:t xml:space="preserve"> (</w:t>
            </w:r>
            <w:r w:rsidR="009824A6">
              <w:rPr>
                <w:rFonts w:eastAsia="Calibri" w:cs="Times New Roman"/>
                <w:sz w:val="20"/>
                <w:szCs w:val="20"/>
              </w:rPr>
              <w:t>On</w:t>
            </w:r>
            <w:r w:rsidR="004E1E0A" w:rsidRPr="00B843D4">
              <w:rPr>
                <w:rFonts w:eastAsia="Calibri" w:cs="Times New Roman"/>
                <w:sz w:val="20"/>
                <w:szCs w:val="20"/>
              </w:rPr>
              <w:t xml:space="preserve">t.) (Civil) (By </w:t>
            </w:r>
            <w:r w:rsidR="004E1E0A" w:rsidRPr="009824A6">
              <w:rPr>
                <w:rFonts w:eastAsia="Calibri" w:cs="Times New Roman"/>
                <w:sz w:val="20"/>
                <w:szCs w:val="20"/>
              </w:rPr>
              <w:t>Leave) (34</w:t>
            </w:r>
            <w:r w:rsidR="009824A6">
              <w:rPr>
                <w:rFonts w:eastAsia="Calibri" w:cs="Times New Roman"/>
                <w:sz w:val="20"/>
                <w:szCs w:val="20"/>
              </w:rPr>
              <w:t>641</w:t>
            </w:r>
            <w:r w:rsidR="004E1E0A" w:rsidRPr="009824A6">
              <w:rPr>
                <w:rFonts w:eastAsia="Calibri" w:cs="Times New Roman"/>
                <w:sz w:val="20"/>
                <w:szCs w:val="20"/>
              </w:rPr>
              <w:t>)</w:t>
            </w:r>
          </w:p>
        </w:tc>
      </w:tr>
      <w:tr w:rsidR="004E1E0A" w:rsidRPr="0085047E" w:rsidTr="005F5E4E">
        <w:trPr>
          <w:cantSplit/>
          <w:trHeight w:val="288"/>
        </w:trPr>
        <w:tc>
          <w:tcPr>
            <w:tcW w:w="2398" w:type="dxa"/>
          </w:tcPr>
          <w:p w:rsidR="004E1E0A" w:rsidRPr="009824A6" w:rsidRDefault="009824A6" w:rsidP="005F5E4E">
            <w:pPr>
              <w:rPr>
                <w:rFonts w:eastAsia="Calibri" w:cs="Times New Roman"/>
                <w:sz w:val="20"/>
                <w:szCs w:val="20"/>
              </w:rPr>
            </w:pPr>
            <w:r w:rsidRPr="00216AEB">
              <w:rPr>
                <w:rFonts w:eastAsia="Calibri" w:cs="Times New Roman"/>
                <w:sz w:val="20"/>
                <w:szCs w:val="20"/>
                <w:lang w:val="fr-CA"/>
              </w:rPr>
              <w:t>201</w:t>
            </w:r>
            <w:r>
              <w:rPr>
                <w:rFonts w:eastAsia="Calibri" w:cs="Times New Roman"/>
                <w:sz w:val="20"/>
                <w:szCs w:val="20"/>
                <w:lang w:val="fr-CA"/>
              </w:rPr>
              <w:t>3</w:t>
            </w:r>
            <w:r w:rsidRPr="00216AEB">
              <w:rPr>
                <w:rFonts w:eastAsia="Calibri" w:cs="Times New Roman"/>
                <w:sz w:val="20"/>
                <w:szCs w:val="20"/>
                <w:lang w:val="fr-CA"/>
              </w:rPr>
              <w:t>-</w:t>
            </w:r>
            <w:r>
              <w:rPr>
                <w:rFonts w:eastAsia="Calibri" w:cs="Times New Roman"/>
                <w:sz w:val="20"/>
                <w:szCs w:val="20"/>
                <w:lang w:val="fr-CA"/>
              </w:rPr>
              <w:t>03</w:t>
            </w:r>
            <w:r w:rsidRPr="00216AEB">
              <w:rPr>
                <w:rFonts w:eastAsia="Calibri" w:cs="Times New Roman"/>
                <w:sz w:val="20"/>
                <w:szCs w:val="20"/>
                <w:lang w:val="fr-CA"/>
              </w:rPr>
              <w:t>-</w:t>
            </w:r>
            <w:r>
              <w:rPr>
                <w:rFonts w:eastAsia="Calibri" w:cs="Times New Roman"/>
                <w:sz w:val="20"/>
                <w:szCs w:val="20"/>
                <w:lang w:val="fr-CA"/>
              </w:rPr>
              <w:t>26</w:t>
            </w:r>
          </w:p>
        </w:tc>
        <w:tc>
          <w:tcPr>
            <w:tcW w:w="7178" w:type="dxa"/>
          </w:tcPr>
          <w:p w:rsidR="009824A6" w:rsidRPr="001C0139" w:rsidRDefault="009824A6" w:rsidP="00A63766">
            <w:pPr>
              <w:jc w:val="both"/>
              <w:rPr>
                <w:rFonts w:eastAsia="Calibri" w:cs="Times New Roman"/>
                <w:sz w:val="20"/>
                <w:szCs w:val="20"/>
              </w:rPr>
            </w:pPr>
            <w:r>
              <w:rPr>
                <w:rFonts w:eastAsia="Calibri" w:cs="Times New Roman"/>
                <w:i/>
                <w:sz w:val="20"/>
                <w:szCs w:val="20"/>
              </w:rPr>
              <w:t>Bruno Appliance and Furniture, Inc.</w:t>
            </w:r>
            <w:r w:rsidR="004E1E0A" w:rsidRPr="003A74F5">
              <w:rPr>
                <w:rFonts w:eastAsia="Calibri" w:cs="Times New Roman"/>
                <w:i/>
                <w:sz w:val="20"/>
                <w:szCs w:val="20"/>
              </w:rPr>
              <w:t xml:space="preserve"> v. </w:t>
            </w:r>
            <w:r>
              <w:rPr>
                <w:rFonts w:eastAsia="Calibri" w:cs="Times New Roman"/>
                <w:i/>
                <w:sz w:val="20"/>
                <w:szCs w:val="20"/>
              </w:rPr>
              <w:t xml:space="preserve">Robert Hryniak </w:t>
            </w:r>
            <w:r w:rsidR="004E1E0A" w:rsidRPr="003A74F5">
              <w:rPr>
                <w:rFonts w:eastAsia="Calibri" w:cs="Times New Roman"/>
                <w:sz w:val="20"/>
                <w:szCs w:val="20"/>
              </w:rPr>
              <w:t>(</w:t>
            </w:r>
            <w:r>
              <w:rPr>
                <w:rFonts w:eastAsia="Calibri" w:cs="Times New Roman"/>
                <w:sz w:val="20"/>
                <w:szCs w:val="20"/>
              </w:rPr>
              <w:t>Ont</w:t>
            </w:r>
            <w:r w:rsidR="004E1E0A" w:rsidRPr="003A74F5">
              <w:rPr>
                <w:rFonts w:eastAsia="Calibri" w:cs="Times New Roman"/>
                <w:sz w:val="20"/>
                <w:szCs w:val="20"/>
              </w:rPr>
              <w:t>.) (Ci</w:t>
            </w:r>
            <w:r>
              <w:rPr>
                <w:rFonts w:eastAsia="Calibri" w:cs="Times New Roman"/>
                <w:sz w:val="20"/>
                <w:szCs w:val="20"/>
              </w:rPr>
              <w:t>v</w:t>
            </w:r>
            <w:r w:rsidR="004E1E0A" w:rsidRPr="003A74F5">
              <w:rPr>
                <w:rFonts w:eastAsia="Calibri" w:cs="Times New Roman"/>
                <w:sz w:val="20"/>
                <w:szCs w:val="20"/>
              </w:rPr>
              <w:t>il) (By Leave) (34</w:t>
            </w:r>
            <w:r w:rsidR="004E1E0A">
              <w:rPr>
                <w:rFonts w:eastAsia="Calibri" w:cs="Times New Roman"/>
                <w:sz w:val="20"/>
                <w:szCs w:val="20"/>
              </w:rPr>
              <w:t>6</w:t>
            </w:r>
            <w:r>
              <w:rPr>
                <w:rFonts w:eastAsia="Calibri" w:cs="Times New Roman"/>
                <w:sz w:val="20"/>
                <w:szCs w:val="20"/>
              </w:rPr>
              <w:t>45</w:t>
            </w:r>
            <w:r w:rsidR="004E1E0A">
              <w:rPr>
                <w:rFonts w:eastAsia="Calibri" w:cs="Times New Roman"/>
                <w:sz w:val="20"/>
                <w:szCs w:val="20"/>
              </w:rPr>
              <w:t>)</w:t>
            </w:r>
          </w:p>
        </w:tc>
      </w:tr>
      <w:tr w:rsidR="009824A6" w:rsidRPr="0085047E" w:rsidTr="005F5E4E">
        <w:trPr>
          <w:cantSplit/>
          <w:trHeight w:val="288"/>
        </w:trPr>
        <w:tc>
          <w:tcPr>
            <w:tcW w:w="2398" w:type="dxa"/>
          </w:tcPr>
          <w:p w:rsidR="009824A6" w:rsidRPr="00216AEB" w:rsidRDefault="009824A6" w:rsidP="005F5E4E">
            <w:pPr>
              <w:rPr>
                <w:rFonts w:eastAsia="Calibri" w:cs="Times New Roman"/>
                <w:sz w:val="20"/>
                <w:szCs w:val="20"/>
                <w:lang w:val="fr-CA"/>
              </w:rPr>
            </w:pPr>
            <w:r w:rsidRPr="00216AEB">
              <w:rPr>
                <w:rFonts w:eastAsia="Calibri" w:cs="Times New Roman"/>
                <w:sz w:val="20"/>
                <w:szCs w:val="20"/>
                <w:lang w:val="fr-CA"/>
              </w:rPr>
              <w:t>201</w:t>
            </w:r>
            <w:r>
              <w:rPr>
                <w:rFonts w:eastAsia="Calibri" w:cs="Times New Roman"/>
                <w:sz w:val="20"/>
                <w:szCs w:val="20"/>
                <w:lang w:val="fr-CA"/>
              </w:rPr>
              <w:t>3</w:t>
            </w:r>
            <w:r w:rsidRPr="00216AEB">
              <w:rPr>
                <w:rFonts w:eastAsia="Calibri" w:cs="Times New Roman"/>
                <w:sz w:val="20"/>
                <w:szCs w:val="20"/>
                <w:lang w:val="fr-CA"/>
              </w:rPr>
              <w:t>-</w:t>
            </w:r>
            <w:r>
              <w:rPr>
                <w:rFonts w:eastAsia="Calibri" w:cs="Times New Roman"/>
                <w:sz w:val="20"/>
                <w:szCs w:val="20"/>
                <w:lang w:val="fr-CA"/>
              </w:rPr>
              <w:t>03</w:t>
            </w:r>
            <w:r w:rsidRPr="00216AEB">
              <w:rPr>
                <w:rFonts w:eastAsia="Calibri" w:cs="Times New Roman"/>
                <w:sz w:val="20"/>
                <w:szCs w:val="20"/>
                <w:lang w:val="fr-CA"/>
              </w:rPr>
              <w:t>-</w:t>
            </w:r>
            <w:r>
              <w:rPr>
                <w:rFonts w:eastAsia="Calibri" w:cs="Times New Roman"/>
                <w:sz w:val="20"/>
                <w:szCs w:val="20"/>
                <w:lang w:val="fr-CA"/>
              </w:rPr>
              <w:t>27</w:t>
            </w:r>
          </w:p>
        </w:tc>
        <w:tc>
          <w:tcPr>
            <w:tcW w:w="7178" w:type="dxa"/>
          </w:tcPr>
          <w:p w:rsidR="009824A6" w:rsidRDefault="009824A6" w:rsidP="00A63766">
            <w:pPr>
              <w:jc w:val="both"/>
              <w:rPr>
                <w:rFonts w:eastAsia="Calibri" w:cs="Times New Roman"/>
                <w:i/>
                <w:sz w:val="20"/>
                <w:szCs w:val="20"/>
              </w:rPr>
            </w:pPr>
            <w:r>
              <w:rPr>
                <w:rFonts w:eastAsia="Calibri" w:cs="Times New Roman"/>
                <w:i/>
                <w:sz w:val="20"/>
                <w:szCs w:val="20"/>
              </w:rPr>
              <w:t xml:space="preserve">Thanh Long Vu </w:t>
            </w:r>
            <w:r w:rsidRPr="003A74F5">
              <w:rPr>
                <w:rFonts w:eastAsia="Calibri" w:cs="Times New Roman"/>
                <w:i/>
                <w:sz w:val="20"/>
                <w:szCs w:val="20"/>
              </w:rPr>
              <w:t xml:space="preserve">v. </w:t>
            </w:r>
            <w:r w:rsidRPr="00934572">
              <w:rPr>
                <w:rFonts w:eastAsia="Calibri" w:cs="Times New Roman"/>
                <w:i/>
                <w:sz w:val="20"/>
                <w:szCs w:val="20"/>
              </w:rPr>
              <w:t xml:space="preserve">Her Majesty the Queen </w:t>
            </w:r>
            <w:r w:rsidRPr="003A74F5">
              <w:rPr>
                <w:rFonts w:eastAsia="Calibri" w:cs="Times New Roman"/>
                <w:sz w:val="20"/>
                <w:szCs w:val="20"/>
              </w:rPr>
              <w:t>(</w:t>
            </w:r>
            <w:r>
              <w:rPr>
                <w:rFonts w:eastAsia="Calibri" w:cs="Times New Roman"/>
                <w:sz w:val="20"/>
                <w:szCs w:val="20"/>
              </w:rPr>
              <w:t>B.C</w:t>
            </w:r>
            <w:r w:rsidRPr="003A74F5">
              <w:rPr>
                <w:rFonts w:eastAsia="Calibri" w:cs="Times New Roman"/>
                <w:sz w:val="20"/>
                <w:szCs w:val="20"/>
              </w:rPr>
              <w:t>.) (C</w:t>
            </w:r>
            <w:r>
              <w:rPr>
                <w:rFonts w:eastAsia="Calibri" w:cs="Times New Roman"/>
                <w:sz w:val="20"/>
                <w:szCs w:val="20"/>
              </w:rPr>
              <w:t>r</w:t>
            </w:r>
            <w:r w:rsidRPr="003A74F5">
              <w:rPr>
                <w:rFonts w:eastAsia="Calibri" w:cs="Times New Roman"/>
                <w:sz w:val="20"/>
                <w:szCs w:val="20"/>
              </w:rPr>
              <w:t>i</w:t>
            </w:r>
            <w:r>
              <w:rPr>
                <w:rFonts w:eastAsia="Calibri" w:cs="Times New Roman"/>
                <w:sz w:val="20"/>
                <w:szCs w:val="20"/>
              </w:rPr>
              <w:t>min</w:t>
            </w:r>
            <w:r w:rsidR="00320E86">
              <w:rPr>
                <w:rFonts w:eastAsia="Calibri" w:cs="Times New Roman"/>
                <w:sz w:val="20"/>
                <w:szCs w:val="20"/>
              </w:rPr>
              <w:t>a</w:t>
            </w:r>
            <w:r w:rsidRPr="003A74F5">
              <w:rPr>
                <w:rFonts w:eastAsia="Calibri" w:cs="Times New Roman"/>
                <w:sz w:val="20"/>
                <w:szCs w:val="20"/>
              </w:rPr>
              <w:t>l) (By Leave) (34</w:t>
            </w:r>
            <w:r>
              <w:rPr>
                <w:rFonts w:eastAsia="Calibri" w:cs="Times New Roman"/>
                <w:sz w:val="20"/>
                <w:szCs w:val="20"/>
              </w:rPr>
              <w:t>687)</w:t>
            </w:r>
          </w:p>
        </w:tc>
      </w:tr>
      <w:tr w:rsidR="009824A6" w:rsidRPr="00462F49" w:rsidTr="005F5E4E">
        <w:trPr>
          <w:cantSplit/>
          <w:trHeight w:val="288"/>
        </w:trPr>
        <w:tc>
          <w:tcPr>
            <w:tcW w:w="2398" w:type="dxa"/>
          </w:tcPr>
          <w:p w:rsidR="009824A6" w:rsidRPr="009824A6" w:rsidRDefault="0062580B" w:rsidP="005F5E4E">
            <w:pPr>
              <w:rPr>
                <w:rFonts w:eastAsia="Calibri" w:cs="Times New Roman"/>
                <w:sz w:val="20"/>
                <w:szCs w:val="20"/>
              </w:rPr>
            </w:pPr>
            <w:r w:rsidRPr="00216AEB">
              <w:rPr>
                <w:rFonts w:eastAsia="Calibri" w:cs="Times New Roman"/>
                <w:sz w:val="20"/>
                <w:szCs w:val="20"/>
                <w:lang w:val="fr-CA"/>
              </w:rPr>
              <w:t>201</w:t>
            </w:r>
            <w:r>
              <w:rPr>
                <w:rFonts w:eastAsia="Calibri" w:cs="Times New Roman"/>
                <w:sz w:val="20"/>
                <w:szCs w:val="20"/>
                <w:lang w:val="fr-CA"/>
              </w:rPr>
              <w:t>3</w:t>
            </w:r>
            <w:r w:rsidRPr="00216AEB">
              <w:rPr>
                <w:rFonts w:eastAsia="Calibri" w:cs="Times New Roman"/>
                <w:sz w:val="20"/>
                <w:szCs w:val="20"/>
                <w:lang w:val="fr-CA"/>
              </w:rPr>
              <w:t>-</w:t>
            </w:r>
            <w:r>
              <w:rPr>
                <w:rFonts w:eastAsia="Calibri" w:cs="Times New Roman"/>
                <w:sz w:val="20"/>
                <w:szCs w:val="20"/>
                <w:lang w:val="fr-CA"/>
              </w:rPr>
              <w:t>03</w:t>
            </w:r>
            <w:r w:rsidRPr="00216AEB">
              <w:rPr>
                <w:rFonts w:eastAsia="Calibri" w:cs="Times New Roman"/>
                <w:sz w:val="20"/>
                <w:szCs w:val="20"/>
                <w:lang w:val="fr-CA"/>
              </w:rPr>
              <w:t>-</w:t>
            </w:r>
            <w:r>
              <w:rPr>
                <w:rFonts w:eastAsia="Calibri" w:cs="Times New Roman"/>
                <w:sz w:val="20"/>
                <w:szCs w:val="20"/>
                <w:lang w:val="fr-CA"/>
              </w:rPr>
              <w:t>27</w:t>
            </w:r>
          </w:p>
        </w:tc>
        <w:tc>
          <w:tcPr>
            <w:tcW w:w="7178" w:type="dxa"/>
          </w:tcPr>
          <w:p w:rsidR="009824A6" w:rsidRPr="0062580B" w:rsidRDefault="009824A6" w:rsidP="00A63766">
            <w:pPr>
              <w:jc w:val="both"/>
              <w:rPr>
                <w:rFonts w:eastAsia="Calibri" w:cs="Times New Roman"/>
                <w:i/>
                <w:sz w:val="20"/>
                <w:szCs w:val="20"/>
                <w:lang w:val="fr-CA"/>
              </w:rPr>
            </w:pPr>
            <w:r w:rsidRPr="0062580B">
              <w:rPr>
                <w:rFonts w:eastAsia="Calibri" w:cs="Times New Roman"/>
                <w:i/>
                <w:sz w:val="20"/>
                <w:szCs w:val="20"/>
                <w:lang w:val="fr-CA"/>
              </w:rPr>
              <w:t>Didier</w:t>
            </w:r>
            <w:r w:rsidR="00462F49">
              <w:rPr>
                <w:rFonts w:eastAsia="Calibri" w:cs="Times New Roman"/>
                <w:i/>
                <w:sz w:val="20"/>
                <w:szCs w:val="20"/>
                <w:lang w:val="fr-CA"/>
              </w:rPr>
              <w:t xml:space="preserve"> </w:t>
            </w:r>
            <w:r w:rsidR="0062580B" w:rsidRPr="0062580B">
              <w:rPr>
                <w:rFonts w:eastAsia="Calibri" w:cs="Times New Roman"/>
                <w:i/>
                <w:sz w:val="20"/>
                <w:szCs w:val="20"/>
                <w:lang w:val="fr-CA"/>
              </w:rPr>
              <w:t>Buzizi c</w:t>
            </w:r>
            <w:r w:rsidRPr="0062580B">
              <w:rPr>
                <w:rFonts w:eastAsia="Calibri" w:cs="Times New Roman"/>
                <w:i/>
                <w:sz w:val="20"/>
                <w:szCs w:val="20"/>
                <w:lang w:val="fr-CA"/>
              </w:rPr>
              <w:t xml:space="preserve">. </w:t>
            </w:r>
            <w:r w:rsidR="0062580B">
              <w:rPr>
                <w:rFonts w:eastAsia="Calibri" w:cs="Times New Roman"/>
                <w:i/>
                <w:sz w:val="20"/>
                <w:szCs w:val="20"/>
                <w:lang w:val="fr-CA"/>
              </w:rPr>
              <w:t>Sa Maj</w:t>
            </w:r>
            <w:r w:rsidR="0062580B" w:rsidRPr="00216AEB">
              <w:rPr>
                <w:rFonts w:eastAsia="Calibri" w:cs="Times New Roman"/>
                <w:i/>
                <w:sz w:val="20"/>
                <w:szCs w:val="20"/>
                <w:lang w:val="fr-CA"/>
              </w:rPr>
              <w:t>e</w:t>
            </w:r>
            <w:r w:rsidR="0062580B">
              <w:rPr>
                <w:rFonts w:eastAsia="Calibri" w:cs="Times New Roman"/>
                <w:i/>
                <w:sz w:val="20"/>
                <w:szCs w:val="20"/>
                <w:lang w:val="fr-CA"/>
              </w:rPr>
              <w:t xml:space="preserve">sté la Reine </w:t>
            </w:r>
            <w:r w:rsidR="0062580B" w:rsidRPr="00216AEB">
              <w:rPr>
                <w:rFonts w:eastAsia="Calibri" w:cs="Times New Roman"/>
                <w:sz w:val="20"/>
                <w:szCs w:val="20"/>
                <w:lang w:val="fr-CA"/>
              </w:rPr>
              <w:t>(</w:t>
            </w:r>
            <w:r w:rsidR="0062580B">
              <w:rPr>
                <w:rFonts w:eastAsia="Calibri" w:cs="Times New Roman"/>
                <w:sz w:val="20"/>
                <w:szCs w:val="20"/>
                <w:lang w:val="fr-CA"/>
              </w:rPr>
              <w:t>Qc</w:t>
            </w:r>
            <w:r w:rsidR="0062580B" w:rsidRPr="00216AEB">
              <w:rPr>
                <w:rFonts w:eastAsia="Calibri" w:cs="Times New Roman"/>
                <w:sz w:val="20"/>
                <w:szCs w:val="20"/>
                <w:lang w:val="fr-CA"/>
              </w:rPr>
              <w:t>) (C</w:t>
            </w:r>
            <w:r w:rsidR="0062580B">
              <w:rPr>
                <w:rFonts w:eastAsia="Calibri" w:cs="Times New Roman"/>
                <w:sz w:val="20"/>
                <w:szCs w:val="20"/>
                <w:lang w:val="fr-CA"/>
              </w:rPr>
              <w:t>r</w:t>
            </w:r>
            <w:r w:rsidR="0062580B" w:rsidRPr="00216AEB">
              <w:rPr>
                <w:rFonts w:eastAsia="Calibri" w:cs="Times New Roman"/>
                <w:sz w:val="20"/>
                <w:szCs w:val="20"/>
                <w:lang w:val="fr-CA"/>
              </w:rPr>
              <w:t>i</w:t>
            </w:r>
            <w:r w:rsidR="0062580B">
              <w:rPr>
                <w:rFonts w:eastAsia="Calibri" w:cs="Times New Roman"/>
                <w:sz w:val="20"/>
                <w:szCs w:val="20"/>
                <w:lang w:val="fr-CA"/>
              </w:rPr>
              <w:t>m</w:t>
            </w:r>
            <w:r w:rsidR="0062580B" w:rsidRPr="00216AEB">
              <w:rPr>
                <w:rFonts w:eastAsia="Calibri" w:cs="Times New Roman"/>
                <w:sz w:val="20"/>
                <w:szCs w:val="20"/>
                <w:lang w:val="fr-CA"/>
              </w:rPr>
              <w:t>i</w:t>
            </w:r>
            <w:r w:rsidR="0062580B">
              <w:rPr>
                <w:rFonts w:eastAsia="Calibri" w:cs="Times New Roman"/>
                <w:sz w:val="20"/>
                <w:szCs w:val="20"/>
                <w:lang w:val="fr-CA"/>
              </w:rPr>
              <w:t>nel</w:t>
            </w:r>
            <w:r w:rsidR="0062580B" w:rsidRPr="00216AEB">
              <w:rPr>
                <w:rFonts w:eastAsia="Calibri" w:cs="Times New Roman"/>
                <w:sz w:val="20"/>
                <w:szCs w:val="20"/>
                <w:lang w:val="fr-CA"/>
              </w:rPr>
              <w:t>l</w:t>
            </w:r>
            <w:r w:rsidR="0062580B">
              <w:rPr>
                <w:rFonts w:eastAsia="Calibri" w:cs="Times New Roman"/>
                <w:sz w:val="20"/>
                <w:szCs w:val="20"/>
                <w:lang w:val="fr-CA"/>
              </w:rPr>
              <w:t>e) (De plein droit)</w:t>
            </w:r>
            <w:r w:rsidR="0062580B" w:rsidRPr="00216AEB">
              <w:rPr>
                <w:rFonts w:eastAsia="Calibri" w:cs="Times New Roman"/>
                <w:sz w:val="20"/>
                <w:szCs w:val="20"/>
                <w:lang w:val="fr-CA"/>
              </w:rPr>
              <w:t xml:space="preserve"> </w:t>
            </w:r>
            <w:r w:rsidRPr="0062580B">
              <w:rPr>
                <w:rFonts w:eastAsia="Calibri" w:cs="Times New Roman"/>
                <w:sz w:val="20"/>
                <w:szCs w:val="20"/>
                <w:lang w:val="fr-CA"/>
              </w:rPr>
              <w:t>(348</w:t>
            </w:r>
            <w:r w:rsidR="0062580B">
              <w:rPr>
                <w:rFonts w:eastAsia="Calibri" w:cs="Times New Roman"/>
                <w:sz w:val="20"/>
                <w:szCs w:val="20"/>
                <w:lang w:val="fr-CA"/>
              </w:rPr>
              <w:t>99</w:t>
            </w:r>
            <w:r w:rsidRPr="0062580B">
              <w:rPr>
                <w:rFonts w:eastAsia="Calibri" w:cs="Times New Roman"/>
                <w:sz w:val="20"/>
                <w:szCs w:val="20"/>
                <w:lang w:val="fr-CA"/>
              </w:rPr>
              <w:t>)</w:t>
            </w:r>
          </w:p>
        </w:tc>
      </w:tr>
      <w:tr w:rsidR="0062580B" w:rsidRPr="0062580B" w:rsidTr="005F5E4E">
        <w:trPr>
          <w:cantSplit/>
          <w:trHeight w:val="288"/>
        </w:trPr>
        <w:tc>
          <w:tcPr>
            <w:tcW w:w="2398" w:type="dxa"/>
          </w:tcPr>
          <w:p w:rsidR="0062580B" w:rsidRPr="0062580B" w:rsidRDefault="0062580B" w:rsidP="005F5E4E">
            <w:pPr>
              <w:rPr>
                <w:rFonts w:eastAsia="Calibri" w:cs="Times New Roman"/>
                <w:sz w:val="20"/>
                <w:szCs w:val="20"/>
                <w:lang w:val="fr-CA"/>
              </w:rPr>
            </w:pPr>
            <w:r w:rsidRPr="00216AEB">
              <w:rPr>
                <w:rFonts w:eastAsia="Calibri" w:cs="Times New Roman"/>
                <w:sz w:val="20"/>
                <w:szCs w:val="20"/>
                <w:lang w:val="fr-CA"/>
              </w:rPr>
              <w:t>201</w:t>
            </w:r>
            <w:r>
              <w:rPr>
                <w:rFonts w:eastAsia="Calibri" w:cs="Times New Roman"/>
                <w:sz w:val="20"/>
                <w:szCs w:val="20"/>
                <w:lang w:val="fr-CA"/>
              </w:rPr>
              <w:t>3</w:t>
            </w:r>
            <w:r w:rsidRPr="00216AEB">
              <w:rPr>
                <w:rFonts w:eastAsia="Calibri" w:cs="Times New Roman"/>
                <w:sz w:val="20"/>
                <w:szCs w:val="20"/>
                <w:lang w:val="fr-CA"/>
              </w:rPr>
              <w:t>-</w:t>
            </w:r>
            <w:r>
              <w:rPr>
                <w:rFonts w:eastAsia="Calibri" w:cs="Times New Roman"/>
                <w:sz w:val="20"/>
                <w:szCs w:val="20"/>
                <w:lang w:val="fr-CA"/>
              </w:rPr>
              <w:t>03</w:t>
            </w:r>
            <w:r w:rsidRPr="00216AEB">
              <w:rPr>
                <w:rFonts w:eastAsia="Calibri" w:cs="Times New Roman"/>
                <w:sz w:val="20"/>
                <w:szCs w:val="20"/>
                <w:lang w:val="fr-CA"/>
              </w:rPr>
              <w:t>-</w:t>
            </w:r>
            <w:r>
              <w:rPr>
                <w:rFonts w:eastAsia="Calibri" w:cs="Times New Roman"/>
                <w:sz w:val="20"/>
                <w:szCs w:val="20"/>
                <w:lang w:val="fr-CA"/>
              </w:rPr>
              <w:t>28</w:t>
            </w:r>
          </w:p>
        </w:tc>
        <w:tc>
          <w:tcPr>
            <w:tcW w:w="7178" w:type="dxa"/>
          </w:tcPr>
          <w:p w:rsidR="0062580B" w:rsidRDefault="0062580B" w:rsidP="00A63766">
            <w:pPr>
              <w:jc w:val="both"/>
              <w:rPr>
                <w:rFonts w:eastAsia="Calibri" w:cs="Times New Roman"/>
                <w:i/>
                <w:sz w:val="20"/>
                <w:szCs w:val="20"/>
              </w:rPr>
            </w:pPr>
            <w:r>
              <w:rPr>
                <w:rFonts w:eastAsia="Calibri" w:cs="Times New Roman"/>
                <w:i/>
                <w:sz w:val="20"/>
                <w:szCs w:val="20"/>
              </w:rPr>
              <w:t xml:space="preserve">Tissa Amaratunga </w:t>
            </w:r>
            <w:r w:rsidRPr="003A74F5">
              <w:rPr>
                <w:rFonts w:eastAsia="Calibri" w:cs="Times New Roman"/>
                <w:i/>
                <w:sz w:val="20"/>
                <w:szCs w:val="20"/>
              </w:rPr>
              <w:t xml:space="preserve">v. </w:t>
            </w:r>
            <w:r>
              <w:rPr>
                <w:rFonts w:eastAsia="Calibri" w:cs="Times New Roman"/>
                <w:i/>
                <w:sz w:val="20"/>
                <w:szCs w:val="20"/>
              </w:rPr>
              <w:t>Northw</w:t>
            </w:r>
            <w:r w:rsidRPr="00934572">
              <w:rPr>
                <w:rFonts w:eastAsia="Calibri" w:cs="Times New Roman"/>
                <w:i/>
                <w:sz w:val="20"/>
                <w:szCs w:val="20"/>
              </w:rPr>
              <w:t>est</w:t>
            </w:r>
            <w:r>
              <w:rPr>
                <w:rFonts w:eastAsia="Calibri" w:cs="Times New Roman"/>
                <w:i/>
                <w:sz w:val="20"/>
                <w:szCs w:val="20"/>
              </w:rPr>
              <w:t xml:space="preserve"> A</w:t>
            </w:r>
            <w:r w:rsidRPr="00934572">
              <w:rPr>
                <w:rFonts w:eastAsia="Calibri" w:cs="Times New Roman"/>
                <w:i/>
                <w:sz w:val="20"/>
                <w:szCs w:val="20"/>
              </w:rPr>
              <w:t>t</w:t>
            </w:r>
            <w:r>
              <w:rPr>
                <w:rFonts w:eastAsia="Calibri" w:cs="Times New Roman"/>
                <w:i/>
                <w:sz w:val="20"/>
                <w:szCs w:val="20"/>
              </w:rPr>
              <w:t>la</w:t>
            </w:r>
            <w:r w:rsidRPr="00934572">
              <w:rPr>
                <w:rFonts w:eastAsia="Calibri" w:cs="Times New Roman"/>
                <w:i/>
                <w:sz w:val="20"/>
                <w:szCs w:val="20"/>
              </w:rPr>
              <w:t>n</w:t>
            </w:r>
            <w:r>
              <w:rPr>
                <w:rFonts w:eastAsia="Calibri" w:cs="Times New Roman"/>
                <w:i/>
                <w:sz w:val="20"/>
                <w:szCs w:val="20"/>
              </w:rPr>
              <w:t>tic Fisheries Organization, a body corporate</w:t>
            </w:r>
            <w:r w:rsidRPr="00934572">
              <w:rPr>
                <w:rFonts w:eastAsia="Calibri" w:cs="Times New Roman"/>
                <w:i/>
                <w:sz w:val="20"/>
                <w:szCs w:val="20"/>
              </w:rPr>
              <w:t xml:space="preserve"> </w:t>
            </w:r>
            <w:r w:rsidRPr="003A74F5">
              <w:rPr>
                <w:rFonts w:eastAsia="Calibri" w:cs="Times New Roman"/>
                <w:sz w:val="20"/>
                <w:szCs w:val="20"/>
              </w:rPr>
              <w:t>(</w:t>
            </w:r>
            <w:r>
              <w:rPr>
                <w:rFonts w:eastAsia="Calibri" w:cs="Times New Roman"/>
                <w:sz w:val="20"/>
                <w:szCs w:val="20"/>
              </w:rPr>
              <w:t>N.S</w:t>
            </w:r>
            <w:r w:rsidRPr="003A74F5">
              <w:rPr>
                <w:rFonts w:eastAsia="Calibri" w:cs="Times New Roman"/>
                <w:sz w:val="20"/>
                <w:szCs w:val="20"/>
              </w:rPr>
              <w:t>.) (Ci</w:t>
            </w:r>
            <w:r>
              <w:rPr>
                <w:rFonts w:eastAsia="Calibri" w:cs="Times New Roman"/>
                <w:sz w:val="20"/>
                <w:szCs w:val="20"/>
              </w:rPr>
              <w:t>vi</w:t>
            </w:r>
            <w:r w:rsidRPr="003A74F5">
              <w:rPr>
                <w:rFonts w:eastAsia="Calibri" w:cs="Times New Roman"/>
                <w:sz w:val="20"/>
                <w:szCs w:val="20"/>
              </w:rPr>
              <w:t>l) (By Leave) (34</w:t>
            </w:r>
            <w:r>
              <w:rPr>
                <w:rFonts w:eastAsia="Calibri" w:cs="Times New Roman"/>
                <w:sz w:val="20"/>
                <w:szCs w:val="20"/>
              </w:rPr>
              <w:t>501)</w:t>
            </w:r>
          </w:p>
        </w:tc>
      </w:tr>
    </w:tbl>
    <w:p w:rsidR="004B66B4" w:rsidRPr="0062580B" w:rsidRDefault="004B66B4" w:rsidP="004B66B4">
      <w:pPr>
        <w:ind w:left="1890" w:hanging="1890"/>
        <w:jc w:val="both"/>
        <w:rPr>
          <w:sz w:val="20"/>
          <w:szCs w:val="20"/>
        </w:rPr>
      </w:pPr>
    </w:p>
    <w:p w:rsidR="004B66B4" w:rsidRPr="00DD0B49" w:rsidRDefault="003F21C7" w:rsidP="002868D0">
      <w:pPr>
        <w:jc w:val="both"/>
        <w:rPr>
          <w:sz w:val="20"/>
          <w:szCs w:val="20"/>
        </w:rPr>
      </w:pPr>
      <w:r w:rsidRPr="003F21C7">
        <w:rPr>
          <w:sz w:val="20"/>
          <w:szCs w:val="20"/>
          <w:lang w:val="fr-CA"/>
        </w:rPr>
        <w:pict>
          <v:rect id="_x0000_i1095"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Default="005F263E" w:rsidP="005F263E">
      <w:pPr>
        <w:tabs>
          <w:tab w:val="left" w:pos="-1440"/>
          <w:tab w:val="left" w:pos="-720"/>
        </w:tabs>
        <w:ind w:left="720" w:hanging="720"/>
        <w:jc w:val="both"/>
        <w:rPr>
          <w:b/>
          <w:sz w:val="20"/>
          <w:szCs w:val="20"/>
        </w:rPr>
      </w:pPr>
    </w:p>
    <w:p w:rsidR="00FA6F4D" w:rsidRPr="00FA6F4D" w:rsidRDefault="00FA6F4D" w:rsidP="005F263E">
      <w:pPr>
        <w:tabs>
          <w:tab w:val="left" w:pos="-1440"/>
          <w:tab w:val="left" w:pos="-720"/>
        </w:tabs>
        <w:ind w:left="720" w:hanging="720"/>
        <w:jc w:val="both"/>
        <w:rPr>
          <w:sz w:val="20"/>
          <w:szCs w:val="20"/>
        </w:rPr>
      </w:pPr>
      <w:r w:rsidRPr="00FA6F4D">
        <w:rPr>
          <w:rStyle w:val="SCCFileNumberChar"/>
          <w:sz w:val="20"/>
          <w:szCs w:val="20"/>
        </w:rPr>
        <w:t>35088</w:t>
      </w:r>
      <w:r w:rsidRPr="00FA6F4D">
        <w:rPr>
          <w:rStyle w:val="SCCFileNumberChar"/>
          <w:sz w:val="20"/>
          <w:szCs w:val="20"/>
        </w:rPr>
        <w:tab/>
      </w:r>
      <w:r w:rsidRPr="00FA6F4D">
        <w:rPr>
          <w:b/>
          <w:i/>
          <w:sz w:val="20"/>
          <w:szCs w:val="20"/>
        </w:rPr>
        <w:t>Jennifer Nicole Nagle v. Her Majesty the Queen</w:t>
      </w:r>
      <w:r w:rsidRPr="00FA6F4D">
        <w:rPr>
          <w:sz w:val="20"/>
          <w:szCs w:val="20"/>
        </w:rPr>
        <w:t xml:space="preserve"> (B.C.) (Criminal) (By Leave)</w:t>
      </w:r>
    </w:p>
    <w:p w:rsidR="00FA6F4D" w:rsidRPr="00FA6F4D" w:rsidRDefault="00FA6F4D" w:rsidP="005F263E">
      <w:pPr>
        <w:tabs>
          <w:tab w:val="left" w:pos="-1440"/>
          <w:tab w:val="left" w:pos="-720"/>
        </w:tabs>
        <w:ind w:left="720" w:hanging="720"/>
        <w:jc w:val="both"/>
        <w:rPr>
          <w:sz w:val="20"/>
          <w:szCs w:val="20"/>
        </w:rPr>
      </w:pPr>
    </w:p>
    <w:p w:rsidR="000B3C9A" w:rsidRDefault="003E5587" w:rsidP="003E5587">
      <w:pPr>
        <w:tabs>
          <w:tab w:val="left" w:pos="-1440"/>
          <w:tab w:val="left" w:pos="-720"/>
        </w:tabs>
        <w:jc w:val="both"/>
        <w:rPr>
          <w:sz w:val="20"/>
          <w:szCs w:val="20"/>
        </w:rPr>
      </w:pPr>
      <w:r w:rsidRPr="00401BBA">
        <w:rPr>
          <w:i/>
          <w:sz w:val="20"/>
          <w:szCs w:val="20"/>
        </w:rPr>
        <w:t xml:space="preserve">Canadian Charter of Rights and Freedoms </w:t>
      </w:r>
      <w:r w:rsidRPr="00401BBA">
        <w:rPr>
          <w:sz w:val="20"/>
          <w:szCs w:val="20"/>
        </w:rPr>
        <w:noBreakHyphen/>
        <w:t xml:space="preserve"> Arbitrary detention </w:t>
      </w:r>
      <w:r>
        <w:rPr>
          <w:sz w:val="20"/>
          <w:szCs w:val="20"/>
        </w:rPr>
        <w:t>-</w:t>
      </w:r>
      <w:r w:rsidRPr="00401BBA">
        <w:rPr>
          <w:sz w:val="20"/>
          <w:szCs w:val="20"/>
        </w:rPr>
        <w:t xml:space="preserve"> Search and seizure </w:t>
      </w:r>
      <w:r w:rsidRPr="00D875A3">
        <w:rPr>
          <w:sz w:val="20"/>
          <w:szCs w:val="20"/>
        </w:rPr>
        <w:t>-</w:t>
      </w:r>
      <w:r w:rsidRPr="00401BBA">
        <w:rPr>
          <w:sz w:val="20"/>
          <w:szCs w:val="20"/>
        </w:rPr>
        <w:t xml:space="preserve"> Right to be informed of reasons for arrest </w:t>
      </w:r>
      <w:r w:rsidRPr="00401BBA">
        <w:rPr>
          <w:sz w:val="20"/>
          <w:szCs w:val="20"/>
        </w:rPr>
        <w:noBreakHyphen/>
        <w:t xml:space="preserve"> Right to counsel </w:t>
      </w:r>
      <w:r w:rsidRPr="00401BBA">
        <w:rPr>
          <w:sz w:val="20"/>
          <w:szCs w:val="20"/>
        </w:rPr>
        <w:noBreakHyphen/>
        <w:t xml:space="preserve"> Prior to boarding international flight, accused randomly selected for questioning by Border Services Officer </w:t>
      </w:r>
      <w:r w:rsidRPr="00401BBA">
        <w:rPr>
          <w:sz w:val="20"/>
          <w:szCs w:val="20"/>
        </w:rPr>
        <w:noBreakHyphen/>
        <w:t xml:space="preserve"> Officer questioning accused and searching purse </w:t>
      </w:r>
      <w:r w:rsidRPr="00401BBA">
        <w:rPr>
          <w:sz w:val="20"/>
          <w:szCs w:val="20"/>
        </w:rPr>
        <w:noBreakHyphen/>
        <w:t xml:space="preserve"> Officer subsequently detaining accused on suspicion of involvement in drug smuggling </w:t>
      </w:r>
      <w:r w:rsidRPr="00401BBA">
        <w:rPr>
          <w:sz w:val="20"/>
          <w:szCs w:val="20"/>
        </w:rPr>
        <w:noBreakHyphen/>
        <w:t xml:space="preserve"> Accused later found to have drugs in her possession </w:t>
      </w:r>
      <w:r w:rsidRPr="00401BBA">
        <w:rPr>
          <w:sz w:val="20"/>
          <w:szCs w:val="20"/>
        </w:rPr>
        <w:noBreakHyphen/>
        <w:t xml:space="preserve"> Whether Court of Appeal erred in holding that accused’s </w:t>
      </w:r>
      <w:r w:rsidRPr="00401BBA">
        <w:rPr>
          <w:i/>
          <w:sz w:val="20"/>
          <w:szCs w:val="20"/>
        </w:rPr>
        <w:t>Charter</w:t>
      </w:r>
      <w:r w:rsidRPr="00401BBA">
        <w:rPr>
          <w:sz w:val="20"/>
          <w:szCs w:val="20"/>
        </w:rPr>
        <w:t xml:space="preserve"> rights not violated </w:t>
      </w:r>
      <w:r w:rsidRPr="00401BBA">
        <w:rPr>
          <w:sz w:val="20"/>
          <w:szCs w:val="20"/>
        </w:rPr>
        <w:noBreakHyphen/>
        <w:t xml:space="preserve"> Whether constitutional rights of persons leaving Canada are same as those entering Canada </w:t>
      </w:r>
      <w:r w:rsidRPr="00401BBA">
        <w:rPr>
          <w:sz w:val="20"/>
          <w:szCs w:val="20"/>
        </w:rPr>
        <w:noBreakHyphen/>
        <w:t xml:space="preserve"> Whether Court of Appeal failed to properly consider state of law at time of incident </w:t>
      </w:r>
      <w:r w:rsidRPr="00401BBA">
        <w:rPr>
          <w:sz w:val="20"/>
          <w:szCs w:val="20"/>
        </w:rPr>
        <w:noBreakHyphen/>
        <w:t xml:space="preserve"> Whether Court of Appeal failed to properly consider effect of s. 11.4 of </w:t>
      </w:r>
      <w:r w:rsidRPr="00401BBA">
        <w:rPr>
          <w:i/>
          <w:sz w:val="20"/>
          <w:szCs w:val="20"/>
        </w:rPr>
        <w:t>Customs Act</w:t>
      </w:r>
      <w:r w:rsidRPr="00401BBA">
        <w:rPr>
          <w:sz w:val="20"/>
          <w:szCs w:val="20"/>
        </w:rPr>
        <w:t xml:space="preserve"> </w:t>
      </w:r>
      <w:r w:rsidRPr="00401BBA">
        <w:rPr>
          <w:sz w:val="20"/>
          <w:szCs w:val="20"/>
        </w:rPr>
        <w:noBreakHyphen/>
        <w:t xml:space="preserve"> Whether Court of Appeal erred in substituting its findings for those of trial judge </w:t>
      </w:r>
      <w:r w:rsidRPr="00401BBA">
        <w:rPr>
          <w:sz w:val="20"/>
          <w:szCs w:val="20"/>
        </w:rPr>
        <w:noBreakHyphen/>
        <w:t xml:space="preserve"> </w:t>
      </w:r>
      <w:r w:rsidRPr="00401BBA">
        <w:rPr>
          <w:i/>
          <w:sz w:val="20"/>
          <w:szCs w:val="20"/>
        </w:rPr>
        <w:t>Charter</w:t>
      </w:r>
      <w:r w:rsidRPr="00401BBA">
        <w:rPr>
          <w:sz w:val="20"/>
          <w:szCs w:val="20"/>
        </w:rPr>
        <w:t>, ss. 8, 9, 10(a)</w:t>
      </w:r>
      <w:r w:rsidRPr="00401BBA">
        <w:rPr>
          <w:i/>
          <w:sz w:val="20"/>
          <w:szCs w:val="20"/>
        </w:rPr>
        <w:t xml:space="preserve"> </w:t>
      </w:r>
      <w:r w:rsidRPr="00401BBA">
        <w:rPr>
          <w:sz w:val="20"/>
          <w:szCs w:val="20"/>
        </w:rPr>
        <w:t>and 10(b)</w:t>
      </w:r>
      <w:r>
        <w:rPr>
          <w:sz w:val="20"/>
          <w:szCs w:val="20"/>
        </w:rPr>
        <w:t>.</w:t>
      </w:r>
    </w:p>
    <w:p w:rsidR="003E5587" w:rsidRPr="00DD0B49" w:rsidRDefault="003E5587" w:rsidP="003E5587">
      <w:pPr>
        <w:tabs>
          <w:tab w:val="left" w:pos="-1440"/>
          <w:tab w:val="left" w:pos="-720"/>
        </w:tabs>
        <w:jc w:val="both"/>
        <w:rPr>
          <w:sz w:val="20"/>
          <w:szCs w:val="20"/>
        </w:rPr>
      </w:pPr>
    </w:p>
    <w:p w:rsidR="000B3C9A" w:rsidRPr="00DD0B49" w:rsidRDefault="003F21C7" w:rsidP="000B3C9A">
      <w:pPr>
        <w:tabs>
          <w:tab w:val="left" w:pos="-1440"/>
          <w:tab w:val="left" w:pos="-720"/>
        </w:tabs>
        <w:ind w:left="720" w:hanging="720"/>
        <w:jc w:val="both"/>
        <w:rPr>
          <w:sz w:val="20"/>
          <w:szCs w:val="20"/>
        </w:rPr>
      </w:pPr>
      <w:r w:rsidRPr="003F21C7">
        <w:rPr>
          <w:sz w:val="20"/>
          <w:szCs w:val="20"/>
          <w:lang w:val="fr-CA"/>
        </w:rPr>
        <w:pict>
          <v:rect id="_x0000_i1098" style="width:2in;height:1pt" o:hrpct="0" o:hralign="center" o:hrstd="t" o:hrnoshade="t" o:hr="t" fillcolor="black [3213]" stroked="f"/>
        </w:pict>
      </w:r>
    </w:p>
    <w:p w:rsidR="000B3C9A" w:rsidRPr="00FA6F4D" w:rsidRDefault="000B3C9A" w:rsidP="000B3C9A">
      <w:pPr>
        <w:tabs>
          <w:tab w:val="left" w:pos="-1440"/>
          <w:tab w:val="left" w:pos="-720"/>
        </w:tabs>
        <w:ind w:left="720" w:hanging="720"/>
        <w:jc w:val="both"/>
        <w:rPr>
          <w:sz w:val="20"/>
          <w:szCs w:val="20"/>
        </w:rPr>
      </w:pPr>
    </w:p>
    <w:p w:rsidR="00FA6F4D" w:rsidRPr="00FA6F4D" w:rsidRDefault="00FA6F4D" w:rsidP="000B3C9A">
      <w:pPr>
        <w:tabs>
          <w:tab w:val="left" w:pos="-1440"/>
          <w:tab w:val="left" w:pos="-720"/>
        </w:tabs>
        <w:ind w:left="720" w:hanging="720"/>
        <w:jc w:val="both"/>
        <w:rPr>
          <w:sz w:val="20"/>
          <w:szCs w:val="20"/>
          <w:lang w:val="fr-CA"/>
        </w:rPr>
      </w:pPr>
      <w:r w:rsidRPr="00FA6F4D">
        <w:rPr>
          <w:rStyle w:val="SCCFileNumberChar"/>
          <w:sz w:val="20"/>
          <w:szCs w:val="20"/>
          <w:lang w:val="fr-CA"/>
        </w:rPr>
        <w:t>35088</w:t>
      </w:r>
      <w:r w:rsidRPr="00FA6F4D">
        <w:rPr>
          <w:rStyle w:val="SCCFileNumberChar"/>
          <w:sz w:val="20"/>
          <w:szCs w:val="20"/>
          <w:lang w:val="fr-CA"/>
        </w:rPr>
        <w:tab/>
      </w:r>
      <w:r w:rsidRPr="00FA6F4D">
        <w:rPr>
          <w:b/>
          <w:i/>
          <w:sz w:val="20"/>
          <w:szCs w:val="20"/>
          <w:lang w:val="fr-CA"/>
        </w:rPr>
        <w:t>Jennifer Nicole Nagle c. Sa Majesté la Reine</w:t>
      </w:r>
      <w:r w:rsidRPr="00FA6F4D">
        <w:rPr>
          <w:sz w:val="20"/>
          <w:szCs w:val="20"/>
          <w:lang w:val="fr-CA"/>
        </w:rPr>
        <w:t xml:space="preserve"> (C.</w:t>
      </w:r>
      <w:r w:rsidRPr="00FA6F4D">
        <w:rPr>
          <w:sz w:val="20"/>
          <w:szCs w:val="20"/>
          <w:lang w:val="fr-CA"/>
        </w:rPr>
        <w:noBreakHyphen/>
        <w:t>B.) (Criminelle) (Sur autorisation)</w:t>
      </w:r>
    </w:p>
    <w:p w:rsidR="00FA6F4D" w:rsidRPr="00FA6F4D" w:rsidRDefault="00FA6F4D" w:rsidP="000B3C9A">
      <w:pPr>
        <w:tabs>
          <w:tab w:val="left" w:pos="-1440"/>
          <w:tab w:val="left" w:pos="-720"/>
        </w:tabs>
        <w:ind w:left="720" w:hanging="720"/>
        <w:jc w:val="both"/>
        <w:rPr>
          <w:sz w:val="20"/>
          <w:szCs w:val="20"/>
          <w:lang w:val="fr-CA"/>
        </w:rPr>
      </w:pPr>
    </w:p>
    <w:p w:rsidR="00FA6F4D" w:rsidRDefault="003E5587" w:rsidP="00FA6F4D">
      <w:pPr>
        <w:tabs>
          <w:tab w:val="left" w:pos="-1440"/>
          <w:tab w:val="left" w:pos="-720"/>
        </w:tabs>
        <w:jc w:val="both"/>
        <w:rPr>
          <w:sz w:val="20"/>
          <w:szCs w:val="20"/>
          <w:lang w:val="fr-CA"/>
        </w:rPr>
      </w:pPr>
      <w:r w:rsidRPr="002D47EF">
        <w:rPr>
          <w:i/>
          <w:sz w:val="20"/>
          <w:szCs w:val="20"/>
          <w:lang w:val="fr-CA"/>
        </w:rPr>
        <w:t xml:space="preserve">Charte canadienne des droits et libertés </w:t>
      </w:r>
      <w:r w:rsidRPr="002D47EF">
        <w:rPr>
          <w:sz w:val="20"/>
          <w:szCs w:val="20"/>
          <w:lang w:val="fr-CA"/>
        </w:rPr>
        <w:t>- Détention arbitraire - Fouilles et perquisitions - Droit d’être informé des motifs de son arrestation - Droit à l’assistance d’un avocat - Avant l’embarquement à bord d’un vol international, l’accusée a été choisie au hasard pour être interrogée par un agent des services frontaliers - L’agent a interrogé l’accusée et a fouillé son sac à main - L’agent a ensuite détenu l’accusée qu’il soupçonnait d’être impliquée dans la contrebande de drogues - On a trouvé par la suite que l’accusée avait de la drogue en sa possession - La Cour d’appel a</w:t>
      </w:r>
      <w:r w:rsidRPr="002D47EF">
        <w:rPr>
          <w:sz w:val="20"/>
          <w:szCs w:val="20"/>
          <w:lang w:val="fr-CA"/>
        </w:rPr>
        <w:noBreakHyphen/>
        <w:t>t</w:t>
      </w:r>
      <w:r w:rsidRPr="002D47EF">
        <w:rPr>
          <w:sz w:val="20"/>
          <w:szCs w:val="20"/>
          <w:lang w:val="fr-CA"/>
        </w:rPr>
        <w:noBreakHyphen/>
        <w:t xml:space="preserve">elle eu tort de statuer que les droits de l’accusée garantis par la </w:t>
      </w:r>
      <w:r w:rsidRPr="002D47EF">
        <w:rPr>
          <w:i/>
          <w:sz w:val="20"/>
          <w:szCs w:val="20"/>
          <w:lang w:val="fr-CA"/>
        </w:rPr>
        <w:t>Charte</w:t>
      </w:r>
      <w:r w:rsidRPr="002D47EF">
        <w:rPr>
          <w:sz w:val="20"/>
          <w:szCs w:val="20"/>
          <w:lang w:val="fr-CA"/>
        </w:rPr>
        <w:t xml:space="preserve"> n’avaient pas été violés? - Les droits constitutionnels des personnes qui quittent le Canada sont</w:t>
      </w:r>
      <w:r w:rsidRPr="002D47EF">
        <w:rPr>
          <w:sz w:val="20"/>
          <w:szCs w:val="20"/>
          <w:lang w:val="fr-CA"/>
        </w:rPr>
        <w:noBreakHyphen/>
        <w:t>ils les mêmes que des droits de celles qui entrent au Canada? - La Cour d’appel a</w:t>
      </w:r>
      <w:r w:rsidRPr="002D47EF">
        <w:rPr>
          <w:sz w:val="20"/>
          <w:szCs w:val="20"/>
          <w:lang w:val="fr-CA"/>
        </w:rPr>
        <w:noBreakHyphen/>
        <w:t>t</w:t>
      </w:r>
      <w:r w:rsidRPr="002D47EF">
        <w:rPr>
          <w:sz w:val="20"/>
          <w:szCs w:val="20"/>
          <w:lang w:val="fr-CA"/>
        </w:rPr>
        <w:noBreakHyphen/>
        <w:t>elle omis de tenir adéquatement compte de l’état du droit à l’époque de l’incident? - La Cour d’appel a</w:t>
      </w:r>
      <w:r w:rsidRPr="002D47EF">
        <w:rPr>
          <w:sz w:val="20"/>
          <w:szCs w:val="20"/>
          <w:lang w:val="fr-CA"/>
        </w:rPr>
        <w:noBreakHyphen/>
        <w:t>t</w:t>
      </w:r>
      <w:r w:rsidRPr="002D47EF">
        <w:rPr>
          <w:sz w:val="20"/>
          <w:szCs w:val="20"/>
          <w:lang w:val="fr-CA"/>
        </w:rPr>
        <w:noBreakHyphen/>
        <w:t>elle omis de tenir adéquatement compte de l’effet de l’art. 11.4 de la</w:t>
      </w:r>
      <w:r w:rsidRPr="002D47EF">
        <w:rPr>
          <w:i/>
          <w:sz w:val="20"/>
          <w:szCs w:val="20"/>
          <w:lang w:val="fr-CA"/>
        </w:rPr>
        <w:t xml:space="preserve"> Loi sur les douanes</w:t>
      </w:r>
      <w:r w:rsidRPr="002D47EF">
        <w:rPr>
          <w:sz w:val="20"/>
          <w:szCs w:val="20"/>
          <w:lang w:val="fr-CA"/>
        </w:rPr>
        <w:t>?</w:t>
      </w:r>
      <w:r w:rsidRPr="002D47EF">
        <w:rPr>
          <w:i/>
          <w:sz w:val="20"/>
          <w:szCs w:val="20"/>
          <w:lang w:val="fr-CA"/>
        </w:rPr>
        <w:t xml:space="preserve"> </w:t>
      </w:r>
      <w:r w:rsidRPr="002D47EF">
        <w:rPr>
          <w:sz w:val="20"/>
          <w:szCs w:val="20"/>
          <w:lang w:val="fr-CA"/>
        </w:rPr>
        <w:t>- La Cour d’appel a</w:t>
      </w:r>
      <w:r w:rsidRPr="002D47EF">
        <w:rPr>
          <w:sz w:val="20"/>
          <w:szCs w:val="20"/>
          <w:lang w:val="fr-CA"/>
        </w:rPr>
        <w:noBreakHyphen/>
        <w:t>t</w:t>
      </w:r>
      <w:r w:rsidRPr="002D47EF">
        <w:rPr>
          <w:sz w:val="20"/>
          <w:szCs w:val="20"/>
          <w:lang w:val="fr-CA"/>
        </w:rPr>
        <w:noBreakHyphen/>
        <w:t xml:space="preserve">elle eu tort de substituer ses conclusions à celles du juge de première instance? - </w:t>
      </w:r>
      <w:r w:rsidRPr="002D47EF">
        <w:rPr>
          <w:i/>
          <w:sz w:val="20"/>
          <w:szCs w:val="20"/>
          <w:lang w:val="fr-CA"/>
        </w:rPr>
        <w:t>Charte</w:t>
      </w:r>
      <w:r w:rsidRPr="002D47EF">
        <w:rPr>
          <w:sz w:val="20"/>
          <w:szCs w:val="20"/>
          <w:lang w:val="fr-CA"/>
        </w:rPr>
        <w:t>, art. 8, 9, 10</w:t>
      </w:r>
      <w:r w:rsidRPr="002D47EF">
        <w:rPr>
          <w:i/>
          <w:sz w:val="20"/>
          <w:szCs w:val="20"/>
          <w:lang w:val="fr-CA"/>
        </w:rPr>
        <w:t xml:space="preserve">a) </w:t>
      </w:r>
      <w:r w:rsidRPr="002D47EF">
        <w:rPr>
          <w:sz w:val="20"/>
          <w:szCs w:val="20"/>
          <w:lang w:val="fr-CA"/>
        </w:rPr>
        <w:t>et 10</w:t>
      </w:r>
      <w:r w:rsidRPr="002D47EF">
        <w:rPr>
          <w:i/>
          <w:sz w:val="20"/>
          <w:szCs w:val="20"/>
          <w:lang w:val="fr-CA"/>
        </w:rPr>
        <w:t>b)</w:t>
      </w:r>
      <w:r w:rsidRPr="002D47EF">
        <w:rPr>
          <w:sz w:val="20"/>
          <w:szCs w:val="20"/>
          <w:lang w:val="fr-CA"/>
        </w:rPr>
        <w:t>.</w:t>
      </w:r>
    </w:p>
    <w:p w:rsidR="003E5587" w:rsidRDefault="003E5587" w:rsidP="00FA6F4D">
      <w:pPr>
        <w:tabs>
          <w:tab w:val="left" w:pos="-1440"/>
          <w:tab w:val="left" w:pos="-720"/>
        </w:tabs>
        <w:jc w:val="both"/>
        <w:rPr>
          <w:sz w:val="20"/>
          <w:szCs w:val="20"/>
          <w:lang w:val="fr-CA"/>
        </w:rPr>
      </w:pPr>
    </w:p>
    <w:p w:rsidR="000B3C9A" w:rsidRPr="00DD0B49" w:rsidRDefault="003F21C7" w:rsidP="000B3C9A">
      <w:pPr>
        <w:tabs>
          <w:tab w:val="left" w:pos="-1440"/>
          <w:tab w:val="left" w:pos="-720"/>
        </w:tabs>
        <w:ind w:left="720" w:hanging="720"/>
        <w:jc w:val="both"/>
        <w:rPr>
          <w:sz w:val="20"/>
          <w:szCs w:val="20"/>
          <w:lang w:val="fr-CA"/>
        </w:rPr>
      </w:pPr>
      <w:r w:rsidRPr="003F21C7">
        <w:rPr>
          <w:sz w:val="20"/>
          <w:szCs w:val="20"/>
          <w:lang w:val="fr-CA"/>
        </w:rPr>
        <w:pict>
          <v:rect id="_x0000_i1099" style="width:2in;height:1pt" o:hrpct="0" o:hralign="center" o:hrstd="t" o:hrnoshade="t" o:hr="t" fillcolor="black [3213]" stroked="f"/>
        </w:pict>
      </w:r>
    </w:p>
    <w:p w:rsidR="000B3C9A" w:rsidRPr="00DD0B49" w:rsidRDefault="000B3C9A" w:rsidP="000B3C9A">
      <w:pPr>
        <w:tabs>
          <w:tab w:val="left" w:pos="-1440"/>
          <w:tab w:val="left" w:pos="-720"/>
        </w:tabs>
        <w:ind w:left="720" w:hanging="720"/>
        <w:jc w:val="both"/>
        <w:rPr>
          <w:sz w:val="20"/>
          <w:szCs w:val="20"/>
          <w:lang w:val="fr-CA"/>
        </w:rPr>
      </w:pPr>
    </w:p>
    <w:p w:rsidR="000B3C9A" w:rsidRPr="00DD0B49" w:rsidRDefault="000B3C9A" w:rsidP="000B3C9A">
      <w:pPr>
        <w:tabs>
          <w:tab w:val="left" w:pos="-1440"/>
          <w:tab w:val="left" w:pos="-720"/>
        </w:tabs>
        <w:ind w:left="720" w:hanging="720"/>
        <w:jc w:val="both"/>
        <w:rPr>
          <w:sz w:val="20"/>
          <w:szCs w:val="20"/>
          <w:lang w:val="fr-CA"/>
        </w:rPr>
      </w:pPr>
    </w:p>
    <w:p w:rsidR="000B3C9A" w:rsidRDefault="000B3C9A" w:rsidP="000B3C9A">
      <w:pPr>
        <w:tabs>
          <w:tab w:val="left" w:pos="-1440"/>
          <w:tab w:val="left" w:pos="-720"/>
        </w:tabs>
        <w:ind w:left="720" w:hanging="720"/>
        <w:jc w:val="both"/>
        <w:rPr>
          <w:lang w:val="fr-CA"/>
        </w:rPr>
      </w:pPr>
      <w:r>
        <w:rPr>
          <w:lang w:val="fr-CA"/>
        </w:rPr>
        <w:br w:type="page"/>
      </w:r>
    </w:p>
    <w:bookmarkStart w:id="5" w:name="1"/>
    <w:bookmarkEnd w:id="5"/>
    <w:p w:rsidR="005F1FCE" w:rsidRPr="005F1FCE" w:rsidRDefault="003F21C7" w:rsidP="005F1FCE">
      <w:pPr>
        <w:widowControl w:val="0"/>
        <w:ind w:left="720" w:hanging="720"/>
        <w:jc w:val="both"/>
        <w:rPr>
          <w:rFonts w:eastAsia="Times New Roman" w:cs="Times New Roman"/>
          <w:sz w:val="20"/>
          <w:szCs w:val="20"/>
          <w:lang w:eastAsia="en-CA"/>
        </w:rPr>
      </w:pPr>
      <w:r w:rsidRPr="003F21C7">
        <w:rPr>
          <w:rFonts w:eastAsia="Times New Roman" w:cs="Times New Roman"/>
          <w:b/>
          <w:sz w:val="20"/>
          <w:szCs w:val="20"/>
          <w:lang w:eastAsia="en-CA"/>
        </w:rPr>
        <w:lastRenderedPageBreak/>
        <w:fldChar w:fldCharType="begin"/>
      </w:r>
      <w:r w:rsidR="005F1FCE" w:rsidRPr="005F1FCE">
        <w:rPr>
          <w:rFonts w:eastAsia="Times New Roman" w:cs="Times New Roman"/>
          <w:b/>
          <w:sz w:val="20"/>
          <w:szCs w:val="20"/>
          <w:lang w:val="en-US" w:eastAsia="en-CA"/>
        </w:rPr>
        <w:instrText xml:space="preserve"> SEQ CHAPTER \h \r 1</w:instrText>
      </w:r>
      <w:r w:rsidRPr="005F1FCE">
        <w:rPr>
          <w:rFonts w:eastAsia="Times New Roman" w:cs="Times New Roman"/>
          <w:b/>
          <w:sz w:val="20"/>
          <w:szCs w:val="20"/>
          <w:lang w:val="en-US" w:eastAsia="en-CA"/>
        </w:rPr>
        <w:fldChar w:fldCharType="end"/>
      </w:r>
      <w:r w:rsidR="005F1FCE" w:rsidRPr="005F1FCE">
        <w:rPr>
          <w:rFonts w:eastAsia="Times New Roman" w:cs="Times New Roman"/>
          <w:b/>
          <w:sz w:val="20"/>
          <w:szCs w:val="20"/>
          <w:lang w:eastAsia="en-CA"/>
        </w:rPr>
        <w:t>34619</w:t>
      </w:r>
      <w:r w:rsidR="005F1FCE" w:rsidRPr="005F1FCE">
        <w:rPr>
          <w:rFonts w:eastAsia="Times New Roman" w:cs="Times New Roman"/>
          <w:sz w:val="20"/>
          <w:szCs w:val="20"/>
          <w:lang w:eastAsia="en-CA"/>
        </w:rPr>
        <w:tab/>
      </w:r>
      <w:bookmarkStart w:id="6" w:name="3"/>
      <w:bookmarkEnd w:id="6"/>
      <w:r w:rsidR="005F1FCE" w:rsidRPr="005F1FCE">
        <w:rPr>
          <w:rFonts w:eastAsia="Times New Roman" w:cs="Times New Roman"/>
          <w:b/>
          <w:i/>
          <w:sz w:val="20"/>
          <w:szCs w:val="20"/>
          <w:lang w:eastAsia="en-CA"/>
        </w:rPr>
        <w:t>Envision Credit Union v. Her Majesty the Queen</w:t>
      </w:r>
    </w:p>
    <w:p w:rsidR="005F1FCE" w:rsidRPr="005F1FCE" w:rsidRDefault="005F1FCE" w:rsidP="005F1FCE">
      <w:pPr>
        <w:widowControl w:val="0"/>
        <w:jc w:val="both"/>
        <w:rPr>
          <w:rFonts w:eastAsia="Times New Roman" w:cs="Times New Roman"/>
          <w:sz w:val="20"/>
          <w:szCs w:val="20"/>
          <w:lang w:eastAsia="en-CA"/>
        </w:rPr>
      </w:pPr>
    </w:p>
    <w:p w:rsidR="005F1FCE" w:rsidRPr="005F1FCE" w:rsidRDefault="005F1FCE" w:rsidP="005F1FCE">
      <w:pPr>
        <w:widowControl w:val="0"/>
        <w:jc w:val="both"/>
        <w:rPr>
          <w:rFonts w:eastAsia="Times New Roman" w:cs="Times New Roman"/>
          <w:sz w:val="20"/>
          <w:szCs w:val="20"/>
          <w:lang w:eastAsia="en-CA"/>
        </w:rPr>
      </w:pPr>
      <w:r w:rsidRPr="005F1FCE">
        <w:rPr>
          <w:rFonts w:eastAsia="Times New Roman" w:cs="Times New Roman"/>
          <w:sz w:val="20"/>
          <w:szCs w:val="20"/>
          <w:lang w:eastAsia="en-CA"/>
        </w:rPr>
        <w:t xml:space="preserve">Taxation </w:t>
      </w:r>
      <w:r w:rsidRPr="005F1FCE">
        <w:rPr>
          <w:rFonts w:eastAsia="Times New Roman" w:cs="Times New Roman"/>
          <w:sz w:val="20"/>
          <w:szCs w:val="20"/>
          <w:lang w:eastAsia="en-CA"/>
        </w:rPr>
        <w:noBreakHyphen/>
        <w:t xml:space="preserve"> Income tax </w:t>
      </w:r>
      <w:r w:rsidRPr="005F1FCE">
        <w:rPr>
          <w:rFonts w:eastAsia="Times New Roman" w:cs="Times New Roman"/>
          <w:sz w:val="20"/>
          <w:szCs w:val="20"/>
          <w:lang w:eastAsia="en-CA"/>
        </w:rPr>
        <w:noBreakHyphen/>
        <w:t xml:space="preserve"> Corporations </w:t>
      </w:r>
      <w:r w:rsidRPr="005F1FCE">
        <w:rPr>
          <w:rFonts w:eastAsia="Times New Roman" w:cs="Times New Roman"/>
          <w:sz w:val="20"/>
          <w:szCs w:val="20"/>
          <w:lang w:eastAsia="en-CA"/>
        </w:rPr>
        <w:noBreakHyphen/>
        <w:t xml:space="preserve"> Amalgamations </w:t>
      </w:r>
      <w:r w:rsidRPr="005F1FCE">
        <w:rPr>
          <w:rFonts w:eastAsia="Times New Roman" w:cs="Times New Roman"/>
          <w:sz w:val="20"/>
          <w:szCs w:val="20"/>
          <w:lang w:eastAsia="en-CA"/>
        </w:rPr>
        <w:noBreakHyphen/>
        <w:t xml:space="preserve"> Undepreciated capital cost of depreciable assets owned by appellant by virtue of amalgamation </w:t>
      </w:r>
      <w:r w:rsidRPr="005F1FCE">
        <w:rPr>
          <w:rFonts w:eastAsia="Times New Roman" w:cs="Times New Roman"/>
          <w:sz w:val="20"/>
          <w:szCs w:val="20"/>
          <w:lang w:eastAsia="en-CA"/>
        </w:rPr>
        <w:noBreakHyphen/>
        <w:t xml:space="preserve"> Whether the amalgamation came within para. 87(1)(</w:t>
      </w:r>
      <w:r w:rsidRPr="005F1FCE">
        <w:rPr>
          <w:rFonts w:eastAsia="Times New Roman" w:cs="Times New Roman"/>
          <w:i/>
          <w:sz w:val="20"/>
          <w:szCs w:val="20"/>
          <w:lang w:eastAsia="en-CA"/>
        </w:rPr>
        <w:t>a</w:t>
      </w:r>
      <w:r w:rsidRPr="005F1FCE">
        <w:rPr>
          <w:rFonts w:eastAsia="Times New Roman" w:cs="Times New Roman"/>
          <w:sz w:val="20"/>
          <w:szCs w:val="20"/>
          <w:lang w:eastAsia="en-CA"/>
        </w:rPr>
        <w:t>) of the</w:t>
      </w:r>
      <w:r w:rsidRPr="005F1FCE">
        <w:rPr>
          <w:rFonts w:eastAsia="Times New Roman" w:cs="Times New Roman"/>
          <w:i/>
          <w:sz w:val="20"/>
          <w:szCs w:val="20"/>
          <w:lang w:eastAsia="en-CA"/>
        </w:rPr>
        <w:t xml:space="preserve"> Income Tax Act</w:t>
      </w:r>
      <w:r w:rsidRPr="005F1FCE">
        <w:rPr>
          <w:rFonts w:eastAsia="Times New Roman" w:cs="Times New Roman"/>
          <w:sz w:val="20"/>
          <w:szCs w:val="20"/>
          <w:lang w:eastAsia="en-CA"/>
        </w:rPr>
        <w:t>, R.S.C. 1985, c. 1 (5th Supp.), so that the predecessors’ undepreciated capital costs flowed through to the appellant under subpara. 87(2)(</w:t>
      </w:r>
      <w:r w:rsidRPr="005F1FCE">
        <w:rPr>
          <w:rFonts w:eastAsia="Times New Roman" w:cs="Times New Roman"/>
          <w:i/>
          <w:sz w:val="20"/>
          <w:szCs w:val="20"/>
          <w:lang w:eastAsia="en-CA"/>
        </w:rPr>
        <w:t>d</w:t>
      </w:r>
      <w:r w:rsidRPr="005F1FCE">
        <w:rPr>
          <w:rFonts w:eastAsia="Times New Roman" w:cs="Times New Roman"/>
          <w:sz w:val="20"/>
          <w:szCs w:val="20"/>
          <w:lang w:eastAsia="en-CA"/>
        </w:rPr>
        <w:t>)(ii), or whether the predecessors’ sale of the surplus to a subsidiary at the moment of the amalgamation meant that para. 87(1)(</w:t>
      </w:r>
      <w:r w:rsidRPr="005F1FCE">
        <w:rPr>
          <w:rFonts w:eastAsia="Times New Roman" w:cs="Times New Roman"/>
          <w:i/>
          <w:sz w:val="20"/>
          <w:szCs w:val="20"/>
          <w:lang w:eastAsia="en-CA"/>
        </w:rPr>
        <w:t>a</w:t>
      </w:r>
      <w:r w:rsidRPr="005F1FCE">
        <w:rPr>
          <w:rFonts w:eastAsia="Times New Roman" w:cs="Times New Roman"/>
          <w:sz w:val="20"/>
          <w:szCs w:val="20"/>
          <w:lang w:eastAsia="en-CA"/>
        </w:rPr>
        <w:t xml:space="preserve">) was not engaged </w:t>
      </w:r>
      <w:r w:rsidRPr="005F1FCE">
        <w:rPr>
          <w:rFonts w:eastAsia="Times New Roman" w:cs="Times New Roman"/>
          <w:sz w:val="20"/>
          <w:szCs w:val="20"/>
          <w:lang w:eastAsia="en-CA"/>
        </w:rPr>
        <w:noBreakHyphen/>
        <w:t xml:space="preserve"> If the amalgamation was a non</w:t>
      </w:r>
      <w:r w:rsidRPr="005F1FCE">
        <w:rPr>
          <w:rFonts w:eastAsia="Times New Roman" w:cs="Times New Roman"/>
          <w:sz w:val="20"/>
          <w:szCs w:val="20"/>
          <w:lang w:eastAsia="en-CA"/>
        </w:rPr>
        <w:noBreakHyphen/>
        <w:t xml:space="preserve">qualifying merger, whether the “continuation” rule in para. 23(a) of the </w:t>
      </w:r>
      <w:r w:rsidRPr="005F1FCE">
        <w:rPr>
          <w:rFonts w:eastAsia="Times New Roman" w:cs="Times New Roman"/>
          <w:i/>
          <w:sz w:val="20"/>
          <w:szCs w:val="20"/>
          <w:lang w:eastAsia="en-CA"/>
        </w:rPr>
        <w:t>Credit Union Incorporation Act</w:t>
      </w:r>
      <w:r w:rsidRPr="005F1FCE">
        <w:rPr>
          <w:rFonts w:eastAsia="Times New Roman" w:cs="Times New Roman"/>
          <w:sz w:val="20"/>
          <w:szCs w:val="20"/>
          <w:lang w:eastAsia="en-CA"/>
        </w:rPr>
        <w:t>, R.S.B.C. 1996, c. 82, meant that the predecessors’ undepreciated capital costs flowed through to the appellant anyway.</w:t>
      </w:r>
    </w:p>
    <w:p w:rsidR="005F1FCE" w:rsidRPr="005F1FCE" w:rsidRDefault="005F1FCE" w:rsidP="005F1FCE">
      <w:pPr>
        <w:widowControl w:val="0"/>
        <w:jc w:val="both"/>
        <w:rPr>
          <w:rFonts w:eastAsia="Times New Roman" w:cs="Times New Roman"/>
          <w:sz w:val="20"/>
          <w:szCs w:val="20"/>
          <w:lang w:eastAsia="en-CA"/>
        </w:rPr>
      </w:pPr>
    </w:p>
    <w:p w:rsidR="005F1FCE" w:rsidRPr="005F1FCE" w:rsidRDefault="005F1FCE" w:rsidP="005F1FCE">
      <w:pPr>
        <w:widowControl w:val="0"/>
        <w:jc w:val="both"/>
        <w:rPr>
          <w:rFonts w:eastAsia="Times New Roman" w:cs="Times New Roman"/>
          <w:sz w:val="20"/>
          <w:szCs w:val="20"/>
          <w:lang w:eastAsia="en-CA"/>
        </w:rPr>
      </w:pPr>
      <w:r w:rsidRPr="005F1FCE">
        <w:rPr>
          <w:rFonts w:eastAsia="Times New Roman" w:cs="Times New Roman"/>
          <w:sz w:val="20"/>
          <w:szCs w:val="20"/>
          <w:lang w:eastAsia="en-CA"/>
        </w:rPr>
        <w:t xml:space="preserve">Two British Columbia credit unions (collectively the predecessors) amalgamated under the </w:t>
      </w:r>
      <w:r w:rsidRPr="005F1FCE">
        <w:rPr>
          <w:rFonts w:eastAsia="Times New Roman" w:cs="Times New Roman"/>
          <w:i/>
          <w:sz w:val="20"/>
          <w:szCs w:val="20"/>
          <w:lang w:eastAsia="en-CA"/>
        </w:rPr>
        <w:t>Credit Union Incorporation Act</w:t>
      </w:r>
      <w:r w:rsidRPr="005F1FCE">
        <w:rPr>
          <w:rFonts w:eastAsia="Times New Roman" w:cs="Times New Roman"/>
          <w:sz w:val="20"/>
          <w:szCs w:val="20"/>
          <w:lang w:eastAsia="en-CA"/>
        </w:rPr>
        <w:t>, R.S.B.C. 1996, c. 82.  The amalgamation took effect on January 1, 2001.  The amalgamated company is the appellant.  In its returns for the taxation years 2001</w:t>
      </w:r>
      <w:r w:rsidRPr="005F1FCE">
        <w:rPr>
          <w:rFonts w:eastAsia="Times New Roman" w:cs="Times New Roman"/>
          <w:sz w:val="20"/>
          <w:szCs w:val="20"/>
          <w:lang w:eastAsia="en-CA"/>
        </w:rPr>
        <w:noBreakHyphen/>
        <w:t>2004, the appellant claimed capital cost allowance (CCA) on the depreciable assets it owned by virtue of the amalgamation based on a starting undepreciated capital cost (UCC) of the capital cost of the depreciable assets when the predecessors acquired them.  On reassessment, the Minister reduced the CCA to reflect a starting UCC of the amount of the predecessors’ UCC balances immediately before the merger.  The Minister reached the UCC figure by taking the original purchase price and subtracting the amount claimed by the predecessors as CCA in the years after they acquired the assets.  The appellant appealed the reassessments to the Tax Court of Canada.  The Tax Court judge allowed the appeal in respect of the 2001 taxation year, on the ground that the reassessment was statute</w:t>
      </w:r>
      <w:r w:rsidRPr="005F1FCE">
        <w:rPr>
          <w:rFonts w:eastAsia="Times New Roman" w:cs="Times New Roman"/>
          <w:sz w:val="20"/>
          <w:szCs w:val="20"/>
          <w:lang w:eastAsia="en-CA"/>
        </w:rPr>
        <w:noBreakHyphen/>
        <w:t>barred.  However, the judge dismissed the appeal of the Minister’s reassessments for its 2002, 2003, and 2004 taxation years.  The Federal Court of Appeal dismissed the appellant’s appeal.</w:t>
      </w:r>
    </w:p>
    <w:p w:rsidR="005F1FCE" w:rsidRPr="005F1FCE" w:rsidRDefault="005F1FCE" w:rsidP="005F1FCE">
      <w:pPr>
        <w:widowControl w:val="0"/>
        <w:jc w:val="both"/>
        <w:rPr>
          <w:rFonts w:eastAsia="Times New Roman" w:cs="Times New Roman"/>
          <w:sz w:val="20"/>
          <w:szCs w:val="20"/>
          <w:lang w:eastAsia="en-CA"/>
        </w:rPr>
      </w:pPr>
    </w:p>
    <w:p w:rsidR="005F1FCE" w:rsidRPr="005F1FCE" w:rsidRDefault="005F1FCE" w:rsidP="005F1FCE">
      <w:pPr>
        <w:widowControl w:val="0"/>
        <w:jc w:val="both"/>
        <w:rPr>
          <w:rFonts w:eastAsia="Times New Roman" w:cs="Times New Roman"/>
          <w:sz w:val="20"/>
          <w:szCs w:val="20"/>
          <w:lang w:eastAsia="en-CA"/>
        </w:rPr>
      </w:pPr>
    </w:p>
    <w:p w:rsidR="005F1FCE" w:rsidRPr="005F1FCE" w:rsidRDefault="005F1FCE" w:rsidP="005F1FCE">
      <w:pPr>
        <w:widowControl w:val="0"/>
        <w:ind w:left="2880" w:hanging="2880"/>
        <w:jc w:val="both"/>
        <w:rPr>
          <w:rFonts w:eastAsia="Times New Roman" w:cs="Times New Roman"/>
          <w:sz w:val="20"/>
          <w:szCs w:val="20"/>
          <w:lang w:eastAsia="en-CA"/>
        </w:rPr>
      </w:pPr>
      <w:r w:rsidRPr="005F1FCE">
        <w:rPr>
          <w:rFonts w:eastAsia="Times New Roman" w:cs="Times New Roman"/>
          <w:sz w:val="20"/>
          <w:szCs w:val="20"/>
          <w:lang w:eastAsia="en-CA"/>
        </w:rPr>
        <w:t>Origin of the case:</w:t>
      </w:r>
      <w:r w:rsidRPr="005F1FCE">
        <w:rPr>
          <w:rFonts w:eastAsia="Times New Roman" w:cs="Times New Roman"/>
          <w:sz w:val="20"/>
          <w:szCs w:val="20"/>
          <w:lang w:eastAsia="en-CA"/>
        </w:rPr>
        <w:tab/>
      </w:r>
      <w:bookmarkStart w:id="7" w:name="4"/>
      <w:bookmarkEnd w:id="7"/>
      <w:r w:rsidRPr="005F1FCE">
        <w:rPr>
          <w:rFonts w:eastAsia="Times New Roman" w:cs="Times New Roman"/>
          <w:sz w:val="20"/>
          <w:szCs w:val="20"/>
          <w:lang w:eastAsia="en-CA"/>
        </w:rPr>
        <w:t>Federal Court of Appeal</w:t>
      </w:r>
    </w:p>
    <w:p w:rsidR="005F1FCE" w:rsidRPr="005F1FCE" w:rsidRDefault="005F1FCE" w:rsidP="005F1FCE">
      <w:pPr>
        <w:widowControl w:val="0"/>
        <w:ind w:left="2880" w:hanging="2880"/>
        <w:jc w:val="both"/>
        <w:rPr>
          <w:rFonts w:eastAsia="Times New Roman" w:cs="Times New Roman"/>
          <w:sz w:val="20"/>
          <w:szCs w:val="20"/>
          <w:lang w:eastAsia="en-CA"/>
        </w:rPr>
      </w:pPr>
    </w:p>
    <w:p w:rsidR="005F1FCE" w:rsidRPr="005F1FCE" w:rsidRDefault="005F1FCE" w:rsidP="005F1FCE">
      <w:pPr>
        <w:widowControl w:val="0"/>
        <w:ind w:left="2880" w:hanging="2880"/>
        <w:jc w:val="both"/>
        <w:rPr>
          <w:rFonts w:eastAsia="Times New Roman" w:cs="Times New Roman"/>
          <w:sz w:val="20"/>
          <w:szCs w:val="20"/>
          <w:lang w:eastAsia="en-CA"/>
        </w:rPr>
      </w:pPr>
      <w:r w:rsidRPr="005F1FCE">
        <w:rPr>
          <w:rFonts w:eastAsia="Times New Roman" w:cs="Times New Roman"/>
          <w:sz w:val="20"/>
          <w:szCs w:val="20"/>
          <w:lang w:eastAsia="en-CA"/>
        </w:rPr>
        <w:t>File No.:</w:t>
      </w:r>
      <w:r w:rsidRPr="005F1FCE">
        <w:rPr>
          <w:rFonts w:eastAsia="Times New Roman" w:cs="Times New Roman"/>
          <w:sz w:val="20"/>
          <w:szCs w:val="20"/>
          <w:lang w:eastAsia="en-CA"/>
        </w:rPr>
        <w:tab/>
      </w:r>
      <w:bookmarkStart w:id="8" w:name="2"/>
      <w:bookmarkEnd w:id="8"/>
      <w:r w:rsidRPr="005F1FCE">
        <w:rPr>
          <w:rFonts w:eastAsia="Times New Roman" w:cs="Times New Roman"/>
          <w:sz w:val="20"/>
          <w:szCs w:val="20"/>
          <w:lang w:eastAsia="en-CA"/>
        </w:rPr>
        <w:t>34619</w:t>
      </w:r>
    </w:p>
    <w:p w:rsidR="005F1FCE" w:rsidRPr="005F1FCE" w:rsidRDefault="005F1FCE" w:rsidP="005F1FCE">
      <w:pPr>
        <w:widowControl w:val="0"/>
        <w:ind w:left="2880" w:hanging="2880"/>
        <w:jc w:val="both"/>
        <w:rPr>
          <w:rFonts w:eastAsia="Times New Roman" w:cs="Times New Roman"/>
          <w:sz w:val="20"/>
          <w:szCs w:val="20"/>
          <w:lang w:eastAsia="en-CA"/>
        </w:rPr>
      </w:pPr>
    </w:p>
    <w:p w:rsidR="005F1FCE" w:rsidRPr="005F1FCE" w:rsidRDefault="005F1FCE" w:rsidP="005F1FCE">
      <w:pPr>
        <w:widowControl w:val="0"/>
        <w:ind w:left="2880" w:hanging="2880"/>
        <w:jc w:val="both"/>
        <w:rPr>
          <w:rFonts w:eastAsia="Times New Roman" w:cs="Times New Roman"/>
          <w:sz w:val="20"/>
          <w:szCs w:val="20"/>
          <w:lang w:eastAsia="en-CA"/>
        </w:rPr>
      </w:pPr>
      <w:r w:rsidRPr="005F1FCE">
        <w:rPr>
          <w:rFonts w:eastAsia="Times New Roman" w:cs="Times New Roman"/>
          <w:sz w:val="20"/>
          <w:szCs w:val="20"/>
          <w:lang w:eastAsia="en-CA"/>
        </w:rPr>
        <w:t>Judgment of the Court of Appeal:</w:t>
      </w:r>
      <w:r w:rsidRPr="005F1FCE">
        <w:rPr>
          <w:rFonts w:eastAsia="Times New Roman" w:cs="Times New Roman"/>
          <w:sz w:val="20"/>
          <w:szCs w:val="20"/>
          <w:lang w:eastAsia="en-CA"/>
        </w:rPr>
        <w:tab/>
      </w:r>
      <w:bookmarkStart w:id="9" w:name="5"/>
      <w:bookmarkEnd w:id="9"/>
      <w:r w:rsidRPr="005F1FCE">
        <w:rPr>
          <w:rFonts w:eastAsia="Times New Roman" w:cs="Times New Roman"/>
          <w:sz w:val="20"/>
          <w:szCs w:val="20"/>
          <w:lang w:eastAsia="en-CA"/>
        </w:rPr>
        <w:t>November 21, 2011</w:t>
      </w:r>
    </w:p>
    <w:p w:rsidR="005F1FCE" w:rsidRPr="005F1FCE" w:rsidRDefault="005F1FCE" w:rsidP="005F1FCE">
      <w:pPr>
        <w:widowControl w:val="0"/>
        <w:ind w:left="2880" w:hanging="2880"/>
        <w:jc w:val="both"/>
        <w:rPr>
          <w:rFonts w:eastAsia="Times New Roman" w:cs="Times New Roman"/>
          <w:sz w:val="20"/>
          <w:szCs w:val="20"/>
          <w:lang w:eastAsia="en-CA"/>
        </w:rPr>
      </w:pPr>
    </w:p>
    <w:p w:rsidR="005F1FCE" w:rsidRPr="005F1FCE" w:rsidRDefault="005F1FCE" w:rsidP="005F1FCE">
      <w:pPr>
        <w:widowControl w:val="0"/>
        <w:ind w:left="2880" w:hanging="2880"/>
        <w:jc w:val="both"/>
        <w:rPr>
          <w:rFonts w:eastAsia="Times New Roman" w:cs="Times New Roman"/>
          <w:sz w:val="20"/>
          <w:szCs w:val="20"/>
          <w:lang w:eastAsia="en-CA"/>
        </w:rPr>
      </w:pPr>
      <w:r w:rsidRPr="005F1FCE">
        <w:rPr>
          <w:rFonts w:eastAsia="Times New Roman" w:cs="Times New Roman"/>
          <w:sz w:val="20"/>
          <w:szCs w:val="20"/>
          <w:lang w:eastAsia="en-CA"/>
        </w:rPr>
        <w:t>Counsel:</w:t>
      </w:r>
      <w:r w:rsidRPr="005F1FCE">
        <w:rPr>
          <w:rFonts w:eastAsia="Times New Roman" w:cs="Times New Roman"/>
          <w:sz w:val="20"/>
          <w:szCs w:val="20"/>
          <w:lang w:eastAsia="en-CA"/>
        </w:rPr>
        <w:tab/>
      </w:r>
      <w:bookmarkStart w:id="10" w:name="6"/>
      <w:bookmarkEnd w:id="10"/>
      <w:r w:rsidRPr="005F1FCE">
        <w:rPr>
          <w:rFonts w:eastAsia="Times New Roman" w:cs="Times New Roman"/>
          <w:sz w:val="20"/>
          <w:szCs w:val="20"/>
          <w:lang w:eastAsia="en-CA"/>
        </w:rPr>
        <w:t>Joel Nitikman and Jessica Fabbro for the appellant</w:t>
      </w:r>
    </w:p>
    <w:p w:rsidR="005F1FCE" w:rsidRPr="005F1FCE" w:rsidRDefault="005F1FCE" w:rsidP="005F1FCE">
      <w:pPr>
        <w:widowControl w:val="0"/>
        <w:ind w:left="2880" w:hanging="2880"/>
        <w:jc w:val="both"/>
        <w:rPr>
          <w:rFonts w:eastAsia="Times New Roman" w:cs="Times New Roman"/>
          <w:sz w:val="20"/>
          <w:szCs w:val="20"/>
          <w:lang w:eastAsia="en-CA"/>
        </w:rPr>
      </w:pPr>
      <w:r w:rsidRPr="005F1FCE">
        <w:rPr>
          <w:rFonts w:eastAsia="Times New Roman" w:cs="Times New Roman"/>
          <w:sz w:val="20"/>
          <w:szCs w:val="20"/>
          <w:lang w:eastAsia="en-CA"/>
        </w:rPr>
        <w:tab/>
      </w:r>
      <w:bookmarkStart w:id="11" w:name="7"/>
      <w:bookmarkEnd w:id="11"/>
      <w:r w:rsidRPr="005F1FCE">
        <w:rPr>
          <w:rFonts w:eastAsia="Times New Roman" w:cs="Times New Roman"/>
          <w:sz w:val="20"/>
          <w:szCs w:val="20"/>
          <w:lang w:eastAsia="en-CA"/>
        </w:rPr>
        <w:t>Daniel Bourgeois, Eric Noble and Lynn Burch for the respondent</w:t>
      </w:r>
    </w:p>
    <w:p w:rsidR="000B3C9A" w:rsidRPr="005F1FCE" w:rsidRDefault="000B3C9A" w:rsidP="000B3C9A">
      <w:pPr>
        <w:tabs>
          <w:tab w:val="left" w:pos="-1440"/>
          <w:tab w:val="left" w:pos="-720"/>
        </w:tabs>
        <w:jc w:val="both"/>
        <w:rPr>
          <w:sz w:val="20"/>
          <w:szCs w:val="20"/>
        </w:rPr>
      </w:pPr>
    </w:p>
    <w:p w:rsidR="000B3C9A" w:rsidRDefault="003F21C7" w:rsidP="000B3C9A">
      <w:pPr>
        <w:tabs>
          <w:tab w:val="left" w:pos="-1440"/>
          <w:tab w:val="left" w:pos="-720"/>
        </w:tabs>
        <w:jc w:val="both"/>
        <w:rPr>
          <w:sz w:val="20"/>
          <w:szCs w:val="20"/>
          <w:lang w:val="fr-CA"/>
        </w:rPr>
      </w:pPr>
      <w:r w:rsidRPr="003F21C7">
        <w:rPr>
          <w:sz w:val="20"/>
          <w:szCs w:val="20"/>
          <w:lang w:val="fr-CA"/>
        </w:rPr>
        <w:pict>
          <v:rect id="_x0000_i1100" style="width:2in;height:1pt" o:hrpct="0" o:hralign="center" o:hrstd="t" o:hrnoshade="t" o:hr="t" fillcolor="black [3213]" stroked="f"/>
        </w:pict>
      </w:r>
    </w:p>
    <w:p w:rsidR="002935F1" w:rsidRDefault="002935F1" w:rsidP="000B3C9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802817" w:rsidRPr="00AF609A" w:rsidRDefault="003F21C7" w:rsidP="00802817">
      <w:pPr>
        <w:widowControl w:val="0"/>
        <w:ind w:left="720" w:hanging="720"/>
        <w:jc w:val="both"/>
        <w:rPr>
          <w:sz w:val="20"/>
          <w:szCs w:val="20"/>
          <w:lang w:val="fr-CA"/>
        </w:rPr>
      </w:pPr>
      <w:r w:rsidRPr="00AF609A">
        <w:rPr>
          <w:b/>
          <w:sz w:val="20"/>
          <w:szCs w:val="20"/>
          <w:lang w:val="fr-CA"/>
        </w:rPr>
        <w:lastRenderedPageBreak/>
        <w:fldChar w:fldCharType="begin"/>
      </w:r>
      <w:r w:rsidR="00802817" w:rsidRPr="00AF609A">
        <w:rPr>
          <w:b/>
          <w:sz w:val="20"/>
          <w:szCs w:val="20"/>
          <w:lang w:val="fr-CA"/>
        </w:rPr>
        <w:instrText xml:space="preserve"> SEQ CHAPTER \h \r 1</w:instrText>
      </w:r>
      <w:r w:rsidRPr="00AF609A">
        <w:rPr>
          <w:b/>
          <w:sz w:val="20"/>
          <w:szCs w:val="20"/>
          <w:lang w:val="fr-CA"/>
        </w:rPr>
        <w:fldChar w:fldCharType="end"/>
      </w:r>
      <w:r w:rsidR="00802817" w:rsidRPr="00AF609A">
        <w:rPr>
          <w:b/>
          <w:sz w:val="20"/>
          <w:szCs w:val="20"/>
          <w:lang w:val="fr-CA"/>
        </w:rPr>
        <w:t>34619</w:t>
      </w:r>
      <w:r w:rsidR="00802817" w:rsidRPr="00AF609A">
        <w:rPr>
          <w:sz w:val="20"/>
          <w:szCs w:val="20"/>
          <w:lang w:val="fr-CA"/>
        </w:rPr>
        <w:tab/>
      </w:r>
      <w:r w:rsidR="00802817" w:rsidRPr="00AF609A">
        <w:rPr>
          <w:b/>
          <w:i/>
          <w:sz w:val="20"/>
          <w:szCs w:val="20"/>
          <w:lang w:val="fr-CA"/>
        </w:rPr>
        <w:t>Envision Credit Union c. Sa Majesté la Reine</w:t>
      </w:r>
    </w:p>
    <w:p w:rsidR="00802817" w:rsidRPr="00AF609A" w:rsidRDefault="00802817" w:rsidP="00802817">
      <w:pPr>
        <w:widowControl w:val="0"/>
        <w:jc w:val="both"/>
        <w:rPr>
          <w:sz w:val="20"/>
          <w:szCs w:val="20"/>
          <w:lang w:val="fr-CA"/>
        </w:rPr>
      </w:pPr>
    </w:p>
    <w:p w:rsidR="00802817" w:rsidRPr="00AF609A" w:rsidRDefault="00802817" w:rsidP="00802817">
      <w:pPr>
        <w:widowControl w:val="0"/>
        <w:jc w:val="both"/>
        <w:rPr>
          <w:sz w:val="20"/>
          <w:szCs w:val="20"/>
          <w:lang w:val="fr-CA"/>
        </w:rPr>
      </w:pPr>
      <w:r w:rsidRPr="00AF609A">
        <w:rPr>
          <w:sz w:val="20"/>
          <w:szCs w:val="20"/>
          <w:lang w:val="fr-CA"/>
        </w:rPr>
        <w:t xml:space="preserve">Droit fiscal </w:t>
      </w:r>
      <w:r w:rsidRPr="00AF609A">
        <w:rPr>
          <w:sz w:val="20"/>
          <w:szCs w:val="20"/>
          <w:lang w:val="fr-CA"/>
        </w:rPr>
        <w:noBreakHyphen/>
        <w:t xml:space="preserve"> Impôt sur le revenu </w:t>
      </w:r>
      <w:r w:rsidRPr="00AF609A">
        <w:rPr>
          <w:sz w:val="20"/>
          <w:szCs w:val="20"/>
          <w:lang w:val="fr-CA"/>
        </w:rPr>
        <w:noBreakHyphen/>
        <w:t xml:space="preserve"> Sociétés par actions </w:t>
      </w:r>
      <w:r w:rsidRPr="00AF609A">
        <w:rPr>
          <w:sz w:val="20"/>
          <w:szCs w:val="20"/>
          <w:lang w:val="fr-CA"/>
        </w:rPr>
        <w:noBreakHyphen/>
        <w:t xml:space="preserve"> Fusions </w:t>
      </w:r>
      <w:r w:rsidRPr="00AF609A">
        <w:rPr>
          <w:sz w:val="20"/>
          <w:szCs w:val="20"/>
          <w:lang w:val="fr-CA"/>
        </w:rPr>
        <w:noBreakHyphen/>
        <w:t xml:space="preserve"> Fraction non amortie du coût en capital de biens amortissables appartenant à l’appelante à la suite de la fusion </w:t>
      </w:r>
      <w:r w:rsidRPr="00AF609A">
        <w:rPr>
          <w:sz w:val="20"/>
          <w:szCs w:val="20"/>
          <w:lang w:val="fr-CA"/>
        </w:rPr>
        <w:noBreakHyphen/>
        <w:t xml:space="preserve"> La fusion était</w:t>
      </w:r>
      <w:r w:rsidRPr="00AF609A">
        <w:rPr>
          <w:sz w:val="20"/>
          <w:szCs w:val="20"/>
          <w:lang w:val="fr-CA"/>
        </w:rPr>
        <w:noBreakHyphen/>
        <w:t>elle visée par l’al. 87(1)</w:t>
      </w:r>
      <w:r w:rsidRPr="00AF609A">
        <w:rPr>
          <w:i/>
          <w:sz w:val="20"/>
          <w:szCs w:val="20"/>
          <w:lang w:val="fr-CA"/>
        </w:rPr>
        <w:t>a</w:t>
      </w:r>
      <w:r w:rsidRPr="00AF609A">
        <w:rPr>
          <w:sz w:val="20"/>
          <w:szCs w:val="20"/>
          <w:lang w:val="fr-CA"/>
        </w:rPr>
        <w:t>) de la</w:t>
      </w:r>
      <w:r w:rsidRPr="00AF609A">
        <w:rPr>
          <w:i/>
          <w:sz w:val="20"/>
          <w:szCs w:val="20"/>
          <w:lang w:val="fr-CA"/>
        </w:rPr>
        <w:t xml:space="preserve"> Loi de l’impôt sur le revenu</w:t>
      </w:r>
      <w:r w:rsidRPr="00AF609A">
        <w:rPr>
          <w:sz w:val="20"/>
          <w:szCs w:val="20"/>
          <w:lang w:val="fr-CA"/>
        </w:rPr>
        <w:t>, L.R.C. 1985 (5</w:t>
      </w:r>
      <w:r w:rsidRPr="00AF609A">
        <w:rPr>
          <w:sz w:val="20"/>
          <w:szCs w:val="20"/>
          <w:vertAlign w:val="superscript"/>
          <w:lang w:val="fr-CA"/>
        </w:rPr>
        <w:t>e</w:t>
      </w:r>
      <w:r w:rsidRPr="00AF609A">
        <w:rPr>
          <w:sz w:val="20"/>
          <w:szCs w:val="20"/>
          <w:lang w:val="fr-CA"/>
        </w:rPr>
        <w:t xml:space="preserve"> suppl.), si bien que les fractions non amorties du coût en capital des caisses remplacées ont été transmises à l’appelante en vertu du sous</w:t>
      </w:r>
      <w:r w:rsidRPr="00AF609A">
        <w:rPr>
          <w:sz w:val="20"/>
          <w:szCs w:val="20"/>
          <w:lang w:val="fr-CA"/>
        </w:rPr>
        <w:noBreakHyphen/>
        <w:t>al. 87(2)</w:t>
      </w:r>
      <w:r w:rsidRPr="00AF609A">
        <w:rPr>
          <w:i/>
          <w:sz w:val="20"/>
          <w:szCs w:val="20"/>
          <w:lang w:val="fr-CA"/>
        </w:rPr>
        <w:t>d)</w:t>
      </w:r>
      <w:r w:rsidRPr="00AF609A">
        <w:rPr>
          <w:sz w:val="20"/>
          <w:szCs w:val="20"/>
          <w:lang w:val="fr-CA"/>
        </w:rPr>
        <w:t>(ii), ou bien est</w:t>
      </w:r>
      <w:r w:rsidRPr="00AF609A">
        <w:rPr>
          <w:sz w:val="20"/>
          <w:szCs w:val="20"/>
          <w:lang w:val="fr-CA"/>
        </w:rPr>
        <w:noBreakHyphen/>
        <w:t xml:space="preserve">ce que la vente du surplus à une filiale au moment de la fusion a eu pour effet d’exclure l’application de l’al. 87(1)a)? </w:t>
      </w:r>
      <w:r w:rsidRPr="00AF609A">
        <w:rPr>
          <w:sz w:val="20"/>
          <w:szCs w:val="20"/>
          <w:lang w:val="fr-CA"/>
        </w:rPr>
        <w:noBreakHyphen/>
        <w:t xml:space="preserve"> Si la fusion était une fusion non admissible, la règle de la « continuation » prévue à l’al. 23</w:t>
      </w:r>
      <w:r w:rsidRPr="00AF609A">
        <w:rPr>
          <w:i/>
          <w:sz w:val="20"/>
          <w:szCs w:val="20"/>
          <w:lang w:val="fr-CA"/>
        </w:rPr>
        <w:t>a)</w:t>
      </w:r>
      <w:r w:rsidRPr="00AF609A">
        <w:rPr>
          <w:sz w:val="20"/>
          <w:szCs w:val="20"/>
          <w:lang w:val="fr-CA"/>
        </w:rPr>
        <w:t xml:space="preserve"> de la </w:t>
      </w:r>
      <w:r w:rsidRPr="00AF609A">
        <w:rPr>
          <w:i/>
          <w:sz w:val="20"/>
          <w:szCs w:val="20"/>
          <w:lang w:val="fr-CA"/>
        </w:rPr>
        <w:t>Credit Union Incorporation Act</w:t>
      </w:r>
      <w:r w:rsidRPr="00AF609A">
        <w:rPr>
          <w:sz w:val="20"/>
          <w:szCs w:val="20"/>
          <w:lang w:val="fr-CA"/>
        </w:rPr>
        <w:t>, R.S.B.C. 1996, ch. 82 faisait</w:t>
      </w:r>
      <w:r w:rsidRPr="00AF609A">
        <w:rPr>
          <w:sz w:val="20"/>
          <w:szCs w:val="20"/>
          <w:lang w:val="fr-CA"/>
        </w:rPr>
        <w:noBreakHyphen/>
        <w:t>elle en sorte que les fractions non amorties du coût en capital des caisses remplacées avaient été transmises à l’appelante quand</w:t>
      </w:r>
      <w:r w:rsidRPr="00AF609A">
        <w:rPr>
          <w:sz w:val="20"/>
          <w:szCs w:val="20"/>
          <w:lang w:val="fr-CA"/>
        </w:rPr>
        <w:noBreakHyphen/>
        <w:t>même?</w:t>
      </w:r>
    </w:p>
    <w:p w:rsidR="00802817" w:rsidRPr="00AF609A" w:rsidRDefault="00802817" w:rsidP="00802817">
      <w:pPr>
        <w:widowControl w:val="0"/>
        <w:jc w:val="both"/>
        <w:rPr>
          <w:sz w:val="20"/>
          <w:szCs w:val="20"/>
          <w:lang w:val="fr-CA"/>
        </w:rPr>
      </w:pPr>
    </w:p>
    <w:p w:rsidR="00802817" w:rsidRPr="00AF609A" w:rsidRDefault="00802817" w:rsidP="00802817">
      <w:pPr>
        <w:widowControl w:val="0"/>
        <w:jc w:val="both"/>
        <w:rPr>
          <w:sz w:val="20"/>
          <w:szCs w:val="20"/>
          <w:lang w:val="fr-CA"/>
        </w:rPr>
      </w:pPr>
      <w:r w:rsidRPr="00AF609A">
        <w:rPr>
          <w:sz w:val="20"/>
          <w:szCs w:val="20"/>
          <w:lang w:val="fr-CA"/>
        </w:rPr>
        <w:t>Deux caisses de crédit de la Colombie</w:t>
      </w:r>
      <w:r w:rsidRPr="00AF609A">
        <w:rPr>
          <w:sz w:val="20"/>
          <w:szCs w:val="20"/>
          <w:lang w:val="fr-CA"/>
        </w:rPr>
        <w:noBreakHyphen/>
        <w:t xml:space="preserve">Britannique (collectivement appelées « les caisses remplacées ») se sont fusionnées sous le régime de la </w:t>
      </w:r>
      <w:r w:rsidRPr="00AF609A">
        <w:rPr>
          <w:i/>
          <w:sz w:val="20"/>
          <w:szCs w:val="20"/>
          <w:lang w:val="fr-CA"/>
        </w:rPr>
        <w:t>Credit Union Incorporation Act</w:t>
      </w:r>
      <w:r w:rsidRPr="00AF609A">
        <w:rPr>
          <w:sz w:val="20"/>
          <w:szCs w:val="20"/>
          <w:lang w:val="fr-CA"/>
        </w:rPr>
        <w:t>, R.S.B.C. 1996, ch. 82.  La fusion a eu lieu le 1</w:t>
      </w:r>
      <w:r w:rsidRPr="00AF609A">
        <w:rPr>
          <w:sz w:val="20"/>
          <w:szCs w:val="20"/>
          <w:vertAlign w:val="superscript"/>
          <w:lang w:val="fr-CA"/>
        </w:rPr>
        <w:t>er</w:t>
      </w:r>
      <w:r w:rsidRPr="00AF609A">
        <w:rPr>
          <w:sz w:val="20"/>
          <w:szCs w:val="20"/>
          <w:lang w:val="fr-CA"/>
        </w:rPr>
        <w:t> janvier 2001.  La société issue de la fusion se trouve à être l’appelante.  Dans ses déclarations de revenus pour les années d’imposition 2001</w:t>
      </w:r>
      <w:r w:rsidRPr="00AF609A">
        <w:rPr>
          <w:sz w:val="20"/>
          <w:szCs w:val="20"/>
          <w:lang w:val="fr-CA"/>
        </w:rPr>
        <w:noBreakHyphen/>
        <w:t>2004, l’appelante a demandé une déduction pour amortissement (DPA) sur les biens amortissables dont elle était propriétaire à la suite de la fusion en fonction d’une fraction non amortie du coût en capital (FNACC) d’origine du coût en capital des biens amortissables lorsque que les caisses remplacées les ont acquis.  En établissant une nouvelle cotisation, le ministre a réduit la DPA pour qu’elle corresponde à une FNACC d’origine égale au montant des soldes de FNACC des caisses remplacées et établis immédiatement avant la fusion.  Le ministre a déterminé le montant de la FNACC en prenant le prix d’achat initial et en soustrayant le montant demandé par les caisses remplacées à titre de DPA dans les années qui ont suivi leur acquisition des biens.  L’appelante a interjeté appel des nouvelles cotisations à la Cour canadienne de l’impôt.  Le juge de la Cour de l’impôt a accueilli l’appel relativement à l’année d’imposition 2001, statuant que la nouvelle cotisation était frappée de prescription.  Toutefois, le juge a rejeté l’appel des nouvelles cotisations du ministre établies pour les années d’imposition 2002, 2003 et 2004.  La Cour d’appel fédérale a rejeté l’appel de l’appelante.</w:t>
      </w:r>
    </w:p>
    <w:p w:rsidR="00802817" w:rsidRPr="00AF609A" w:rsidRDefault="00802817" w:rsidP="00802817">
      <w:pPr>
        <w:widowControl w:val="0"/>
        <w:jc w:val="both"/>
        <w:rPr>
          <w:sz w:val="20"/>
          <w:szCs w:val="20"/>
          <w:lang w:val="fr-CA"/>
        </w:rPr>
      </w:pPr>
    </w:p>
    <w:p w:rsidR="00802817" w:rsidRPr="00AF609A" w:rsidRDefault="00802817" w:rsidP="00802817">
      <w:pPr>
        <w:widowControl w:val="0"/>
        <w:jc w:val="both"/>
        <w:rPr>
          <w:sz w:val="20"/>
          <w:szCs w:val="20"/>
          <w:lang w:val="fr-CA"/>
        </w:rPr>
      </w:pPr>
    </w:p>
    <w:p w:rsidR="00802817" w:rsidRPr="00AF609A" w:rsidRDefault="00802817" w:rsidP="00802817">
      <w:pPr>
        <w:widowControl w:val="0"/>
        <w:ind w:left="2880" w:hanging="2880"/>
        <w:jc w:val="both"/>
        <w:rPr>
          <w:sz w:val="20"/>
          <w:szCs w:val="20"/>
          <w:lang w:val="fr-CA"/>
        </w:rPr>
      </w:pPr>
      <w:r w:rsidRPr="00AF609A">
        <w:rPr>
          <w:sz w:val="20"/>
          <w:szCs w:val="20"/>
          <w:lang w:val="fr-CA"/>
        </w:rPr>
        <w:t>Origine :</w:t>
      </w:r>
      <w:r w:rsidRPr="00AF609A">
        <w:rPr>
          <w:sz w:val="20"/>
          <w:szCs w:val="20"/>
          <w:lang w:val="fr-CA"/>
        </w:rPr>
        <w:tab/>
        <w:t>Cour d’appel fédérale</w:t>
      </w:r>
    </w:p>
    <w:p w:rsidR="00802817" w:rsidRPr="00AF609A" w:rsidRDefault="00802817" w:rsidP="00802817">
      <w:pPr>
        <w:widowControl w:val="0"/>
        <w:ind w:left="2880" w:hanging="2880"/>
        <w:jc w:val="both"/>
        <w:rPr>
          <w:sz w:val="20"/>
          <w:szCs w:val="20"/>
          <w:lang w:val="fr-CA"/>
        </w:rPr>
      </w:pPr>
    </w:p>
    <w:p w:rsidR="00802817" w:rsidRPr="00AF609A" w:rsidRDefault="00802817" w:rsidP="00802817">
      <w:pPr>
        <w:widowControl w:val="0"/>
        <w:ind w:left="2880" w:hanging="2880"/>
        <w:jc w:val="both"/>
        <w:rPr>
          <w:sz w:val="20"/>
          <w:szCs w:val="20"/>
          <w:lang w:val="fr-CA"/>
        </w:rPr>
      </w:pPr>
      <w:r w:rsidRPr="00AF609A">
        <w:rPr>
          <w:sz w:val="20"/>
          <w:szCs w:val="20"/>
          <w:lang w:val="fr-CA"/>
        </w:rPr>
        <w:t>N</w:t>
      </w:r>
      <w:r w:rsidRPr="00AF609A">
        <w:rPr>
          <w:sz w:val="20"/>
          <w:szCs w:val="20"/>
          <w:vertAlign w:val="superscript"/>
          <w:lang w:val="fr-CA"/>
        </w:rPr>
        <w:t>o</w:t>
      </w:r>
      <w:r w:rsidRPr="00AF609A">
        <w:rPr>
          <w:sz w:val="20"/>
          <w:szCs w:val="20"/>
          <w:lang w:val="fr-CA"/>
        </w:rPr>
        <w:t xml:space="preserve"> du greffe :</w:t>
      </w:r>
      <w:r w:rsidRPr="00AF609A">
        <w:rPr>
          <w:sz w:val="20"/>
          <w:szCs w:val="20"/>
          <w:lang w:val="fr-CA"/>
        </w:rPr>
        <w:tab/>
        <w:t>34619</w:t>
      </w:r>
    </w:p>
    <w:p w:rsidR="00802817" w:rsidRPr="00AF609A" w:rsidRDefault="00802817" w:rsidP="00802817">
      <w:pPr>
        <w:widowControl w:val="0"/>
        <w:ind w:left="2880" w:hanging="2880"/>
        <w:jc w:val="both"/>
        <w:rPr>
          <w:sz w:val="20"/>
          <w:szCs w:val="20"/>
          <w:lang w:val="fr-CA"/>
        </w:rPr>
      </w:pPr>
    </w:p>
    <w:p w:rsidR="00802817" w:rsidRPr="00AF609A" w:rsidRDefault="00802817" w:rsidP="00802817">
      <w:pPr>
        <w:widowControl w:val="0"/>
        <w:ind w:left="2880" w:hanging="2880"/>
        <w:jc w:val="both"/>
        <w:rPr>
          <w:sz w:val="20"/>
          <w:szCs w:val="20"/>
          <w:lang w:val="fr-CA"/>
        </w:rPr>
      </w:pPr>
      <w:r w:rsidRPr="00AF609A">
        <w:rPr>
          <w:sz w:val="20"/>
          <w:szCs w:val="20"/>
          <w:lang w:val="fr-CA"/>
        </w:rPr>
        <w:t>Arrêt de la Cour d’appel :</w:t>
      </w:r>
      <w:r w:rsidRPr="00AF609A">
        <w:rPr>
          <w:sz w:val="20"/>
          <w:szCs w:val="20"/>
          <w:lang w:val="fr-CA"/>
        </w:rPr>
        <w:tab/>
        <w:t>le 21 novembre 2011</w:t>
      </w:r>
    </w:p>
    <w:p w:rsidR="00802817" w:rsidRPr="00AF609A" w:rsidRDefault="00802817" w:rsidP="00802817">
      <w:pPr>
        <w:widowControl w:val="0"/>
        <w:ind w:left="2880" w:hanging="2880"/>
        <w:jc w:val="both"/>
        <w:rPr>
          <w:sz w:val="20"/>
          <w:szCs w:val="20"/>
          <w:lang w:val="fr-CA"/>
        </w:rPr>
      </w:pPr>
    </w:p>
    <w:p w:rsidR="00802817" w:rsidRPr="00AF609A" w:rsidRDefault="00802817" w:rsidP="00802817">
      <w:pPr>
        <w:widowControl w:val="0"/>
        <w:ind w:left="2880" w:hanging="2880"/>
        <w:jc w:val="both"/>
        <w:rPr>
          <w:sz w:val="20"/>
          <w:szCs w:val="20"/>
          <w:lang w:val="fr-CA"/>
        </w:rPr>
      </w:pPr>
      <w:r w:rsidRPr="00AF609A">
        <w:rPr>
          <w:sz w:val="20"/>
          <w:szCs w:val="20"/>
          <w:lang w:val="fr-CA"/>
        </w:rPr>
        <w:t>Avocats :</w:t>
      </w:r>
      <w:r w:rsidRPr="00AF609A">
        <w:rPr>
          <w:sz w:val="20"/>
          <w:szCs w:val="20"/>
          <w:lang w:val="fr-CA"/>
        </w:rPr>
        <w:tab/>
        <w:t>Joel Nitikman et Jessica Fabbro pour l’appelante</w:t>
      </w:r>
    </w:p>
    <w:p w:rsidR="00802817" w:rsidRPr="00AF609A" w:rsidRDefault="00802817" w:rsidP="00802817">
      <w:pPr>
        <w:widowControl w:val="0"/>
        <w:ind w:left="2880" w:hanging="2880"/>
        <w:jc w:val="both"/>
        <w:rPr>
          <w:sz w:val="20"/>
          <w:szCs w:val="20"/>
          <w:lang w:val="fr-CA"/>
        </w:rPr>
      </w:pPr>
      <w:r w:rsidRPr="00AF609A">
        <w:rPr>
          <w:sz w:val="20"/>
          <w:szCs w:val="20"/>
          <w:lang w:val="fr-CA"/>
        </w:rPr>
        <w:tab/>
        <w:t>Daniel Bourgeois, Eric Noble et Lynn Burch pour l’intimée</w:t>
      </w:r>
    </w:p>
    <w:p w:rsidR="002935F1" w:rsidRDefault="002935F1" w:rsidP="000B3C9A">
      <w:pPr>
        <w:tabs>
          <w:tab w:val="left" w:pos="-1440"/>
          <w:tab w:val="left" w:pos="-720"/>
        </w:tabs>
        <w:jc w:val="both"/>
        <w:rPr>
          <w:sz w:val="20"/>
          <w:szCs w:val="20"/>
          <w:lang w:val="fr-CA"/>
        </w:rPr>
      </w:pPr>
    </w:p>
    <w:p w:rsidR="002935F1" w:rsidRDefault="003F21C7" w:rsidP="000B3C9A">
      <w:pPr>
        <w:tabs>
          <w:tab w:val="left" w:pos="-1440"/>
          <w:tab w:val="left" w:pos="-720"/>
        </w:tabs>
        <w:jc w:val="both"/>
        <w:rPr>
          <w:sz w:val="20"/>
          <w:szCs w:val="20"/>
          <w:lang w:val="fr-CA"/>
        </w:rPr>
      </w:pPr>
      <w:r w:rsidRPr="003F21C7">
        <w:rPr>
          <w:sz w:val="20"/>
          <w:szCs w:val="20"/>
          <w:lang w:val="fr-CA"/>
        </w:rPr>
        <w:pict>
          <v:rect id="_x0000_i1101" style="width:2in;height:1pt" o:hrpct="0" o:hralign="center" o:hrstd="t" o:hrnoshade="t" o:hr="t" fillcolor="black [3213]" stroked="f"/>
        </w:pict>
      </w:r>
    </w:p>
    <w:p w:rsidR="002935F1" w:rsidRDefault="002935F1" w:rsidP="000B3C9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295E45" w:rsidRPr="00AF3E7F" w:rsidRDefault="003F21C7" w:rsidP="00295E45">
      <w:pPr>
        <w:widowControl w:val="0"/>
        <w:ind w:left="720" w:hanging="720"/>
        <w:jc w:val="both"/>
        <w:rPr>
          <w:sz w:val="20"/>
          <w:szCs w:val="20"/>
        </w:rPr>
      </w:pPr>
      <w:r w:rsidRPr="00AF3E7F">
        <w:rPr>
          <w:b/>
          <w:sz w:val="20"/>
          <w:szCs w:val="20"/>
        </w:rPr>
        <w:lastRenderedPageBreak/>
        <w:fldChar w:fldCharType="begin"/>
      </w:r>
      <w:r w:rsidR="00295E45" w:rsidRPr="00AF3E7F">
        <w:rPr>
          <w:b/>
          <w:sz w:val="20"/>
          <w:szCs w:val="20"/>
        </w:rPr>
        <w:instrText xml:space="preserve"> SEQ CHAPTER \h \r 1</w:instrText>
      </w:r>
      <w:r w:rsidRPr="00AF3E7F">
        <w:rPr>
          <w:b/>
          <w:sz w:val="20"/>
          <w:szCs w:val="20"/>
        </w:rPr>
        <w:fldChar w:fldCharType="end"/>
      </w:r>
      <w:r w:rsidR="00295E45" w:rsidRPr="00AF3E7F">
        <w:rPr>
          <w:b/>
          <w:sz w:val="20"/>
          <w:szCs w:val="20"/>
        </w:rPr>
        <w:t>34881</w:t>
      </w:r>
      <w:r w:rsidR="00295E45" w:rsidRPr="00AF3E7F">
        <w:rPr>
          <w:sz w:val="20"/>
          <w:szCs w:val="20"/>
        </w:rPr>
        <w:tab/>
      </w:r>
      <w:r w:rsidR="00295E45" w:rsidRPr="00AF3E7F">
        <w:rPr>
          <w:b/>
          <w:i/>
          <w:sz w:val="20"/>
          <w:szCs w:val="20"/>
        </w:rPr>
        <w:t>Jean</w:t>
      </w:r>
      <w:r w:rsidR="00295E45" w:rsidRPr="00AF3E7F">
        <w:rPr>
          <w:b/>
          <w:i/>
          <w:sz w:val="20"/>
          <w:szCs w:val="20"/>
        </w:rPr>
        <w:noBreakHyphen/>
        <w:t>Philippe Mailhot v. Her Majesty the Queen</w:t>
      </w:r>
    </w:p>
    <w:p w:rsidR="00295E45" w:rsidRPr="00AF3E7F" w:rsidRDefault="00295E45" w:rsidP="00295E45">
      <w:pPr>
        <w:widowControl w:val="0"/>
        <w:jc w:val="both"/>
        <w:rPr>
          <w:sz w:val="20"/>
          <w:szCs w:val="20"/>
        </w:rPr>
      </w:pPr>
    </w:p>
    <w:p w:rsidR="00295E45" w:rsidRPr="00AF3E7F" w:rsidRDefault="00295E45" w:rsidP="00295E45">
      <w:pPr>
        <w:widowControl w:val="0"/>
        <w:jc w:val="both"/>
        <w:rPr>
          <w:sz w:val="20"/>
          <w:szCs w:val="20"/>
        </w:rPr>
      </w:pPr>
      <w:r w:rsidRPr="00AF3E7F">
        <w:rPr>
          <w:sz w:val="20"/>
          <w:szCs w:val="20"/>
        </w:rPr>
        <w:t xml:space="preserve">Criminal law </w:t>
      </w:r>
      <w:r w:rsidRPr="00AF3E7F">
        <w:rPr>
          <w:sz w:val="20"/>
          <w:szCs w:val="20"/>
        </w:rPr>
        <w:noBreakHyphen/>
        <w:t xml:space="preserve"> Charge to jury </w:t>
      </w:r>
      <w:r w:rsidRPr="00AF3E7F">
        <w:rPr>
          <w:sz w:val="20"/>
          <w:szCs w:val="20"/>
        </w:rPr>
        <w:noBreakHyphen/>
        <w:t xml:space="preserve"> Mental disorder </w:t>
      </w:r>
      <w:r w:rsidRPr="00AF3E7F">
        <w:rPr>
          <w:sz w:val="20"/>
          <w:szCs w:val="20"/>
        </w:rPr>
        <w:noBreakHyphen/>
        <w:t xml:space="preserve"> Defence position </w:t>
      </w:r>
      <w:r w:rsidRPr="00AF3E7F">
        <w:rPr>
          <w:sz w:val="20"/>
          <w:szCs w:val="20"/>
        </w:rPr>
        <w:noBreakHyphen/>
        <w:t xml:space="preserve"> Whether trial judge altered essence of appellant’s defence in his summary of defence theory and mistakenly led jury to reject defence by giving his opinion on appellant’s guilt. </w:t>
      </w:r>
    </w:p>
    <w:p w:rsidR="00295E45" w:rsidRPr="00AF3E7F" w:rsidRDefault="00295E45" w:rsidP="00295E45">
      <w:pPr>
        <w:widowControl w:val="0"/>
        <w:jc w:val="both"/>
        <w:rPr>
          <w:sz w:val="20"/>
          <w:szCs w:val="20"/>
        </w:rPr>
      </w:pPr>
    </w:p>
    <w:p w:rsidR="00295E45" w:rsidRPr="00AF3E7F" w:rsidRDefault="00295E45" w:rsidP="00295E45">
      <w:pPr>
        <w:widowControl w:val="0"/>
        <w:jc w:val="both"/>
        <w:rPr>
          <w:sz w:val="20"/>
          <w:szCs w:val="20"/>
        </w:rPr>
      </w:pPr>
      <w:r w:rsidRPr="00AF3E7F">
        <w:rPr>
          <w:sz w:val="20"/>
          <w:szCs w:val="20"/>
        </w:rPr>
        <w:t xml:space="preserve">The appellant was convicted of second degree murder.  At trial, he had testified that his wife, who had been suicidal, had slit her own throat in his presence and that, in response and while in a dissociative state, he had stabbed her 33 more times to ease her suffering.  On appeal, the appellant argued, </w:t>
      </w:r>
      <w:r w:rsidRPr="00AF3E7F">
        <w:rPr>
          <w:i/>
          <w:sz w:val="20"/>
          <w:szCs w:val="20"/>
        </w:rPr>
        <w:t>inter alia</w:t>
      </w:r>
      <w:r w:rsidRPr="00AF3E7F">
        <w:rPr>
          <w:sz w:val="20"/>
          <w:szCs w:val="20"/>
        </w:rPr>
        <w:t xml:space="preserve">, that the instructions to the jury concerning the defence position had been neither complete nor balanced and had had the effect of discrediting his defence based on mental disorder.  A majority of the Court of Appeal dismissed the appeal.  Doyon J.A., dissenting, would have allowed the appeal and ordered a new trial on the ground that, in summarizing the defence, the trial judge had altered its essence and implicitly and mistakenly led the jury to reject it by, in a sense, giving his own opinion on the verdict. </w:t>
      </w:r>
    </w:p>
    <w:p w:rsidR="00295E45" w:rsidRPr="00AF3E7F" w:rsidRDefault="00295E45" w:rsidP="00295E45">
      <w:pPr>
        <w:widowControl w:val="0"/>
        <w:jc w:val="both"/>
        <w:rPr>
          <w:sz w:val="20"/>
          <w:szCs w:val="20"/>
        </w:rPr>
      </w:pPr>
    </w:p>
    <w:p w:rsidR="00295E45" w:rsidRPr="00AF3E7F" w:rsidRDefault="00295E45" w:rsidP="00295E45">
      <w:pPr>
        <w:widowControl w:val="0"/>
        <w:jc w:val="both"/>
        <w:rPr>
          <w:sz w:val="20"/>
          <w:szCs w:val="20"/>
        </w:rPr>
      </w:pPr>
    </w:p>
    <w:p w:rsidR="00295E45" w:rsidRPr="00AF3E7F" w:rsidRDefault="00295E45" w:rsidP="00295E45">
      <w:pPr>
        <w:widowControl w:val="0"/>
        <w:ind w:left="2880" w:hanging="2880"/>
        <w:jc w:val="both"/>
        <w:rPr>
          <w:sz w:val="20"/>
          <w:szCs w:val="20"/>
        </w:rPr>
      </w:pPr>
      <w:r w:rsidRPr="00AF3E7F">
        <w:rPr>
          <w:sz w:val="20"/>
          <w:szCs w:val="20"/>
        </w:rPr>
        <w:t>Origin of the case:</w:t>
      </w:r>
      <w:r w:rsidRPr="00AF3E7F">
        <w:rPr>
          <w:sz w:val="20"/>
          <w:szCs w:val="20"/>
        </w:rPr>
        <w:tab/>
        <w:t>Quebec</w:t>
      </w:r>
    </w:p>
    <w:p w:rsidR="00295E45" w:rsidRPr="00AF3E7F" w:rsidRDefault="00295E45" w:rsidP="00295E45">
      <w:pPr>
        <w:widowControl w:val="0"/>
        <w:ind w:left="2880" w:hanging="2880"/>
        <w:jc w:val="both"/>
        <w:rPr>
          <w:sz w:val="20"/>
          <w:szCs w:val="20"/>
        </w:rPr>
      </w:pPr>
    </w:p>
    <w:p w:rsidR="00295E45" w:rsidRPr="00AF3E7F" w:rsidRDefault="00295E45" w:rsidP="00295E45">
      <w:pPr>
        <w:widowControl w:val="0"/>
        <w:ind w:left="2880" w:hanging="2880"/>
        <w:jc w:val="both"/>
        <w:rPr>
          <w:sz w:val="20"/>
          <w:szCs w:val="20"/>
        </w:rPr>
      </w:pPr>
      <w:r w:rsidRPr="00AF3E7F">
        <w:rPr>
          <w:sz w:val="20"/>
          <w:szCs w:val="20"/>
        </w:rPr>
        <w:t>File No.:</w:t>
      </w:r>
      <w:r w:rsidRPr="00AF3E7F">
        <w:rPr>
          <w:sz w:val="20"/>
          <w:szCs w:val="20"/>
        </w:rPr>
        <w:tab/>
        <w:t>34881</w:t>
      </w:r>
    </w:p>
    <w:p w:rsidR="00295E45" w:rsidRPr="00AF3E7F" w:rsidRDefault="00295E45" w:rsidP="00295E45">
      <w:pPr>
        <w:widowControl w:val="0"/>
        <w:ind w:left="2880" w:hanging="2880"/>
        <w:jc w:val="both"/>
        <w:rPr>
          <w:sz w:val="20"/>
          <w:szCs w:val="20"/>
        </w:rPr>
      </w:pPr>
    </w:p>
    <w:p w:rsidR="00295E45" w:rsidRPr="00AF3E7F" w:rsidRDefault="00295E45" w:rsidP="00295E45">
      <w:pPr>
        <w:widowControl w:val="0"/>
        <w:ind w:left="2880" w:hanging="2880"/>
        <w:jc w:val="both"/>
        <w:rPr>
          <w:sz w:val="20"/>
          <w:szCs w:val="20"/>
        </w:rPr>
      </w:pPr>
      <w:r w:rsidRPr="00AF3E7F">
        <w:rPr>
          <w:sz w:val="20"/>
          <w:szCs w:val="20"/>
        </w:rPr>
        <w:t>Judgment of the Court of Appeal:</w:t>
      </w:r>
      <w:r w:rsidRPr="00AF3E7F">
        <w:rPr>
          <w:sz w:val="20"/>
          <w:szCs w:val="20"/>
        </w:rPr>
        <w:tab/>
        <w:t>May 23, 2012</w:t>
      </w:r>
    </w:p>
    <w:p w:rsidR="00295E45" w:rsidRPr="00AF3E7F" w:rsidRDefault="00295E45" w:rsidP="00295E45">
      <w:pPr>
        <w:widowControl w:val="0"/>
        <w:ind w:left="2880" w:hanging="2880"/>
        <w:jc w:val="both"/>
        <w:rPr>
          <w:sz w:val="20"/>
          <w:szCs w:val="20"/>
        </w:rPr>
      </w:pPr>
    </w:p>
    <w:p w:rsidR="00295E45" w:rsidRPr="00AF3E7F" w:rsidRDefault="00295E45" w:rsidP="00295E45">
      <w:pPr>
        <w:widowControl w:val="0"/>
        <w:ind w:left="2880" w:hanging="2880"/>
        <w:jc w:val="both"/>
        <w:rPr>
          <w:sz w:val="20"/>
          <w:szCs w:val="20"/>
        </w:rPr>
      </w:pPr>
      <w:r w:rsidRPr="00AF3E7F">
        <w:rPr>
          <w:sz w:val="20"/>
          <w:szCs w:val="20"/>
        </w:rPr>
        <w:t>Counsel:</w:t>
      </w:r>
      <w:r w:rsidRPr="00AF3E7F">
        <w:rPr>
          <w:sz w:val="20"/>
          <w:szCs w:val="20"/>
        </w:rPr>
        <w:tab/>
        <w:t>Christian Desrosiers for the appellant</w:t>
      </w:r>
    </w:p>
    <w:p w:rsidR="00295E45" w:rsidRPr="00AF3E7F" w:rsidRDefault="00295E45" w:rsidP="00295E45">
      <w:pPr>
        <w:widowControl w:val="0"/>
        <w:ind w:left="2880" w:hanging="2880"/>
        <w:jc w:val="both"/>
        <w:rPr>
          <w:sz w:val="20"/>
          <w:szCs w:val="20"/>
        </w:rPr>
      </w:pPr>
      <w:r w:rsidRPr="00AF3E7F">
        <w:rPr>
          <w:sz w:val="20"/>
          <w:szCs w:val="20"/>
        </w:rPr>
        <w:tab/>
        <w:t>Carole Lebeuf for the respondent</w:t>
      </w:r>
    </w:p>
    <w:p w:rsidR="006F66CA" w:rsidRPr="000A3EA8" w:rsidRDefault="006F66CA" w:rsidP="006F66CA">
      <w:pPr>
        <w:tabs>
          <w:tab w:val="left" w:pos="-1440"/>
          <w:tab w:val="left" w:pos="-720"/>
        </w:tabs>
        <w:jc w:val="both"/>
        <w:rPr>
          <w:sz w:val="20"/>
          <w:szCs w:val="20"/>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02"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6F66CA" w:rsidRDefault="006F66CA">
      <w:pPr>
        <w:rPr>
          <w:sz w:val="20"/>
          <w:szCs w:val="20"/>
          <w:lang w:val="fr-CA"/>
        </w:rPr>
      </w:pPr>
    </w:p>
    <w:p w:rsidR="002935F1" w:rsidRDefault="002935F1">
      <w:pPr>
        <w:rPr>
          <w:sz w:val="20"/>
          <w:szCs w:val="20"/>
          <w:lang w:val="fr-CA"/>
        </w:rPr>
      </w:pPr>
      <w:r>
        <w:rPr>
          <w:sz w:val="20"/>
          <w:szCs w:val="20"/>
          <w:lang w:val="fr-CA"/>
        </w:rPr>
        <w:br w:type="page"/>
      </w:r>
    </w:p>
    <w:p w:rsidR="000A3EA8" w:rsidRPr="00DF1B3D" w:rsidRDefault="003F21C7" w:rsidP="000A3EA8">
      <w:pPr>
        <w:widowControl w:val="0"/>
        <w:ind w:left="720" w:hanging="720"/>
        <w:jc w:val="both"/>
        <w:rPr>
          <w:sz w:val="20"/>
          <w:szCs w:val="20"/>
          <w:lang w:val="fr-CA"/>
        </w:rPr>
      </w:pPr>
      <w:r w:rsidRPr="003F21C7">
        <w:rPr>
          <w:b/>
          <w:sz w:val="20"/>
          <w:szCs w:val="20"/>
          <w:lang w:val="fr-CA"/>
        </w:rPr>
        <w:lastRenderedPageBreak/>
        <w:fldChar w:fldCharType="begin"/>
      </w:r>
      <w:r w:rsidR="000A3EA8" w:rsidRPr="00DF1B3D">
        <w:rPr>
          <w:b/>
          <w:sz w:val="20"/>
          <w:szCs w:val="20"/>
          <w:lang w:val="fr-CA"/>
        </w:rPr>
        <w:instrText xml:space="preserve"> SEQ CHAPTER \h \r 1</w:instrText>
      </w:r>
      <w:r w:rsidRPr="00DF1B3D">
        <w:rPr>
          <w:b/>
          <w:sz w:val="20"/>
          <w:szCs w:val="20"/>
        </w:rPr>
        <w:fldChar w:fldCharType="end"/>
      </w:r>
      <w:r w:rsidR="000A3EA8" w:rsidRPr="00DF1B3D">
        <w:rPr>
          <w:b/>
          <w:sz w:val="20"/>
          <w:szCs w:val="20"/>
          <w:lang w:val="fr-CA"/>
        </w:rPr>
        <w:t>34881</w:t>
      </w:r>
      <w:r w:rsidR="000A3EA8" w:rsidRPr="00DF1B3D">
        <w:rPr>
          <w:sz w:val="20"/>
          <w:szCs w:val="20"/>
          <w:lang w:val="fr-CA"/>
        </w:rPr>
        <w:tab/>
      </w:r>
      <w:r w:rsidR="000A3EA8" w:rsidRPr="00DF1B3D">
        <w:rPr>
          <w:b/>
          <w:i/>
          <w:sz w:val="20"/>
          <w:szCs w:val="20"/>
          <w:lang w:val="fr-CA"/>
        </w:rPr>
        <w:t>Jean</w:t>
      </w:r>
      <w:r w:rsidR="000A3EA8" w:rsidRPr="00DF1B3D">
        <w:rPr>
          <w:b/>
          <w:i/>
          <w:sz w:val="20"/>
          <w:szCs w:val="20"/>
          <w:lang w:val="fr-CA"/>
        </w:rPr>
        <w:noBreakHyphen/>
        <w:t>Philippe Mailhot c. Sa Majesté la Reine</w:t>
      </w:r>
    </w:p>
    <w:p w:rsidR="000A3EA8" w:rsidRPr="00DF1B3D" w:rsidRDefault="000A3EA8" w:rsidP="000A3EA8">
      <w:pPr>
        <w:widowControl w:val="0"/>
        <w:jc w:val="both"/>
        <w:rPr>
          <w:sz w:val="20"/>
          <w:szCs w:val="20"/>
          <w:lang w:val="fr-CA"/>
        </w:rPr>
      </w:pPr>
    </w:p>
    <w:p w:rsidR="000A3EA8" w:rsidRPr="00DF1B3D" w:rsidRDefault="000A3EA8" w:rsidP="000A3EA8">
      <w:pPr>
        <w:widowControl w:val="0"/>
        <w:jc w:val="both"/>
        <w:rPr>
          <w:sz w:val="20"/>
          <w:szCs w:val="20"/>
          <w:lang w:val="fr-CA"/>
        </w:rPr>
      </w:pPr>
      <w:r w:rsidRPr="00DF1B3D">
        <w:rPr>
          <w:sz w:val="20"/>
          <w:szCs w:val="20"/>
          <w:lang w:val="fr-CA"/>
        </w:rPr>
        <w:t xml:space="preserve">Droit criminel </w:t>
      </w:r>
      <w:r w:rsidRPr="00DF1B3D">
        <w:rPr>
          <w:sz w:val="20"/>
          <w:szCs w:val="20"/>
          <w:lang w:val="fr-CA"/>
        </w:rPr>
        <w:noBreakHyphen/>
        <w:t xml:space="preserve"> Exposé au jury </w:t>
      </w:r>
      <w:r w:rsidRPr="00DF1B3D">
        <w:rPr>
          <w:sz w:val="20"/>
          <w:szCs w:val="20"/>
          <w:lang w:val="fr-CA"/>
        </w:rPr>
        <w:noBreakHyphen/>
        <w:t xml:space="preserve"> Troubles mentaux </w:t>
      </w:r>
      <w:r w:rsidRPr="00DF1B3D">
        <w:rPr>
          <w:sz w:val="20"/>
          <w:szCs w:val="20"/>
          <w:lang w:val="fr-CA"/>
        </w:rPr>
        <w:noBreakHyphen/>
        <w:t xml:space="preserve"> Position de la défense </w:t>
      </w:r>
      <w:r w:rsidRPr="00DF1B3D">
        <w:rPr>
          <w:sz w:val="20"/>
          <w:szCs w:val="20"/>
          <w:lang w:val="fr-CA"/>
        </w:rPr>
        <w:noBreakHyphen/>
        <w:t xml:space="preserve"> Le juge de première instance a</w:t>
      </w:r>
      <w:r w:rsidRPr="00DF1B3D">
        <w:rPr>
          <w:sz w:val="20"/>
          <w:szCs w:val="20"/>
          <w:lang w:val="fr-CA"/>
        </w:rPr>
        <w:noBreakHyphen/>
        <w:t>t</w:t>
      </w:r>
      <w:r w:rsidRPr="00DF1B3D">
        <w:rPr>
          <w:sz w:val="20"/>
          <w:szCs w:val="20"/>
          <w:lang w:val="fr-CA"/>
        </w:rPr>
        <w:noBreakHyphen/>
        <w:t>il altéré l’essence de la défense de l’appelant dans son résumé de la thèse de la défense et a</w:t>
      </w:r>
      <w:r w:rsidRPr="00DF1B3D">
        <w:rPr>
          <w:sz w:val="20"/>
          <w:szCs w:val="20"/>
          <w:lang w:val="fr-CA"/>
        </w:rPr>
        <w:noBreakHyphen/>
        <w:t>t</w:t>
      </w:r>
      <w:r w:rsidRPr="00DF1B3D">
        <w:rPr>
          <w:sz w:val="20"/>
          <w:szCs w:val="20"/>
          <w:lang w:val="fr-CA"/>
        </w:rPr>
        <w:noBreakHyphen/>
        <w:t xml:space="preserve">il erronément incité le jury à la rejeter en donnant son opinion sur la culpabilité de l’appelant? </w:t>
      </w:r>
    </w:p>
    <w:p w:rsidR="000A3EA8" w:rsidRPr="00DF1B3D" w:rsidRDefault="000A3EA8" w:rsidP="000A3EA8">
      <w:pPr>
        <w:widowControl w:val="0"/>
        <w:jc w:val="both"/>
        <w:rPr>
          <w:sz w:val="20"/>
          <w:szCs w:val="20"/>
          <w:lang w:val="fr-CA"/>
        </w:rPr>
      </w:pPr>
    </w:p>
    <w:p w:rsidR="000A3EA8" w:rsidRPr="00DF1B3D" w:rsidRDefault="000A3EA8" w:rsidP="000A3EA8">
      <w:pPr>
        <w:widowControl w:val="0"/>
        <w:jc w:val="both"/>
        <w:rPr>
          <w:sz w:val="20"/>
          <w:szCs w:val="20"/>
          <w:lang w:val="fr-CA"/>
        </w:rPr>
      </w:pPr>
      <w:r w:rsidRPr="00DF1B3D">
        <w:rPr>
          <w:sz w:val="20"/>
          <w:szCs w:val="20"/>
          <w:lang w:val="fr-CA"/>
        </w:rPr>
        <w:t>L’appelant a été déclaré coupable de meurtre au deuxième degré.  Au procès, il a témoigné que sa femme, qui était suicidaire, s’était elle</w:t>
      </w:r>
      <w:r w:rsidRPr="00DF1B3D">
        <w:rPr>
          <w:sz w:val="20"/>
          <w:szCs w:val="20"/>
          <w:lang w:val="fr-CA"/>
        </w:rPr>
        <w:noBreakHyphen/>
        <w:t>même tranché la gorge en sa présence, par suite de quoi, pour alléger les souffrances de celle</w:t>
      </w:r>
      <w:r w:rsidRPr="00DF1B3D">
        <w:rPr>
          <w:sz w:val="20"/>
          <w:szCs w:val="20"/>
          <w:lang w:val="fr-CA"/>
        </w:rPr>
        <w:noBreakHyphen/>
        <w:t xml:space="preserve">ci et alors qu’il était dans un état de dissociation, il lui avait porté 33 autres coups de couteau.  En appel, l’appelant a plaidé, entres autres, que les directives au jury concernant la position de la défense n’étaient ni complètes ni équilibrées et avaient eu pour effet de discréditer la défense de l’appelant fondée sur les troubles mentaux.  La majorité de la Cour d’appel a rejeté l’appel.  Le juge Doyon, dissident, aurait accueilli l’appel et ordonné un nouveau procès au motif qu’en résumant la défense, le premier juge en a altéré l’essence et a implicitement et erronément incité le jury à la rejeter, en donnant en quelque sorte son opinion sur le verdict. </w:t>
      </w:r>
    </w:p>
    <w:p w:rsidR="000A3EA8" w:rsidRPr="00DF1B3D" w:rsidRDefault="000A3EA8" w:rsidP="000A3EA8">
      <w:pPr>
        <w:widowControl w:val="0"/>
        <w:jc w:val="both"/>
        <w:rPr>
          <w:sz w:val="20"/>
          <w:szCs w:val="20"/>
          <w:lang w:val="fr-CA"/>
        </w:rPr>
      </w:pPr>
    </w:p>
    <w:p w:rsidR="000A3EA8" w:rsidRPr="00DF1B3D" w:rsidRDefault="000A3EA8" w:rsidP="000A3EA8">
      <w:pPr>
        <w:widowControl w:val="0"/>
        <w:jc w:val="both"/>
        <w:rPr>
          <w:sz w:val="20"/>
          <w:szCs w:val="20"/>
          <w:lang w:val="fr-CA"/>
        </w:rPr>
      </w:pPr>
    </w:p>
    <w:p w:rsidR="000A3EA8" w:rsidRPr="00DF1B3D" w:rsidRDefault="000A3EA8" w:rsidP="000A3EA8">
      <w:pPr>
        <w:widowControl w:val="0"/>
        <w:ind w:left="2880" w:hanging="2880"/>
        <w:jc w:val="both"/>
        <w:rPr>
          <w:sz w:val="20"/>
          <w:szCs w:val="20"/>
          <w:lang w:val="fr-CA"/>
        </w:rPr>
      </w:pPr>
      <w:r w:rsidRPr="00DF1B3D">
        <w:rPr>
          <w:sz w:val="20"/>
          <w:szCs w:val="20"/>
          <w:lang w:val="fr-CA"/>
        </w:rPr>
        <w:t>Origine :</w:t>
      </w:r>
      <w:r w:rsidRPr="00DF1B3D">
        <w:rPr>
          <w:sz w:val="20"/>
          <w:szCs w:val="20"/>
          <w:lang w:val="fr-CA"/>
        </w:rPr>
        <w:tab/>
        <w:t>Québec</w:t>
      </w:r>
    </w:p>
    <w:p w:rsidR="000A3EA8" w:rsidRPr="00DF1B3D" w:rsidRDefault="000A3EA8" w:rsidP="000A3EA8">
      <w:pPr>
        <w:widowControl w:val="0"/>
        <w:ind w:left="2880" w:hanging="2880"/>
        <w:jc w:val="both"/>
        <w:rPr>
          <w:sz w:val="20"/>
          <w:szCs w:val="20"/>
          <w:lang w:val="fr-CA"/>
        </w:rPr>
      </w:pPr>
    </w:p>
    <w:p w:rsidR="000A3EA8" w:rsidRPr="00DF1B3D" w:rsidRDefault="000A3EA8" w:rsidP="000A3EA8">
      <w:pPr>
        <w:widowControl w:val="0"/>
        <w:ind w:left="2880" w:hanging="2880"/>
        <w:jc w:val="both"/>
        <w:rPr>
          <w:sz w:val="20"/>
          <w:szCs w:val="20"/>
          <w:lang w:val="fr-CA"/>
        </w:rPr>
      </w:pPr>
      <w:r w:rsidRPr="00DF1B3D">
        <w:rPr>
          <w:sz w:val="20"/>
          <w:szCs w:val="20"/>
          <w:lang w:val="fr-CA"/>
        </w:rPr>
        <w:t>N</w:t>
      </w:r>
      <w:r w:rsidRPr="00DF1B3D">
        <w:rPr>
          <w:sz w:val="20"/>
          <w:szCs w:val="20"/>
          <w:vertAlign w:val="superscript"/>
          <w:lang w:val="fr-CA"/>
        </w:rPr>
        <w:t>o</w:t>
      </w:r>
      <w:r w:rsidRPr="00DF1B3D">
        <w:rPr>
          <w:sz w:val="20"/>
          <w:szCs w:val="20"/>
          <w:lang w:val="fr-CA"/>
        </w:rPr>
        <w:t xml:space="preserve"> du greffe :</w:t>
      </w:r>
      <w:r w:rsidRPr="00DF1B3D">
        <w:rPr>
          <w:sz w:val="20"/>
          <w:szCs w:val="20"/>
          <w:lang w:val="fr-CA"/>
        </w:rPr>
        <w:tab/>
        <w:t>34881</w:t>
      </w:r>
    </w:p>
    <w:p w:rsidR="000A3EA8" w:rsidRPr="00DF1B3D" w:rsidRDefault="000A3EA8" w:rsidP="000A3EA8">
      <w:pPr>
        <w:widowControl w:val="0"/>
        <w:ind w:left="2880" w:hanging="2880"/>
        <w:jc w:val="both"/>
        <w:rPr>
          <w:sz w:val="20"/>
          <w:szCs w:val="20"/>
          <w:lang w:val="fr-CA"/>
        </w:rPr>
      </w:pPr>
    </w:p>
    <w:p w:rsidR="000A3EA8" w:rsidRPr="00DF1B3D" w:rsidRDefault="000A3EA8" w:rsidP="000A3EA8">
      <w:pPr>
        <w:widowControl w:val="0"/>
        <w:ind w:left="2880" w:hanging="2880"/>
        <w:jc w:val="both"/>
        <w:rPr>
          <w:sz w:val="20"/>
          <w:szCs w:val="20"/>
          <w:lang w:val="fr-CA"/>
        </w:rPr>
      </w:pPr>
      <w:r w:rsidRPr="00DF1B3D">
        <w:rPr>
          <w:sz w:val="20"/>
          <w:szCs w:val="20"/>
          <w:lang w:val="fr-CA"/>
        </w:rPr>
        <w:t>Arrêt de la Cour d’appel :</w:t>
      </w:r>
      <w:r w:rsidRPr="00DF1B3D">
        <w:rPr>
          <w:sz w:val="20"/>
          <w:szCs w:val="20"/>
          <w:lang w:val="fr-CA"/>
        </w:rPr>
        <w:tab/>
        <w:t>Le 23 mai 2012</w:t>
      </w:r>
    </w:p>
    <w:p w:rsidR="000A3EA8" w:rsidRPr="00DF1B3D" w:rsidRDefault="000A3EA8" w:rsidP="000A3EA8">
      <w:pPr>
        <w:widowControl w:val="0"/>
        <w:ind w:left="2880" w:hanging="2880"/>
        <w:jc w:val="both"/>
        <w:rPr>
          <w:sz w:val="20"/>
          <w:szCs w:val="20"/>
          <w:lang w:val="fr-CA"/>
        </w:rPr>
      </w:pPr>
    </w:p>
    <w:p w:rsidR="000A3EA8" w:rsidRPr="00DF1B3D" w:rsidRDefault="000A3EA8" w:rsidP="000A3EA8">
      <w:pPr>
        <w:widowControl w:val="0"/>
        <w:ind w:left="2880" w:hanging="2880"/>
        <w:jc w:val="both"/>
        <w:rPr>
          <w:sz w:val="20"/>
          <w:szCs w:val="20"/>
          <w:lang w:val="fr-CA"/>
        </w:rPr>
      </w:pPr>
      <w:r w:rsidRPr="00DF1B3D">
        <w:rPr>
          <w:sz w:val="20"/>
          <w:szCs w:val="20"/>
          <w:lang w:val="fr-CA"/>
        </w:rPr>
        <w:t>Avocats :</w:t>
      </w:r>
      <w:r w:rsidRPr="00DF1B3D">
        <w:rPr>
          <w:sz w:val="20"/>
          <w:szCs w:val="20"/>
          <w:lang w:val="fr-CA"/>
        </w:rPr>
        <w:tab/>
        <w:t>Christian Desrosiers pour l’appelant</w:t>
      </w:r>
    </w:p>
    <w:p w:rsidR="000A3EA8" w:rsidRPr="00DF1B3D" w:rsidRDefault="000A3EA8" w:rsidP="000A3EA8">
      <w:pPr>
        <w:widowControl w:val="0"/>
        <w:ind w:left="2880" w:hanging="2880"/>
        <w:jc w:val="both"/>
        <w:rPr>
          <w:sz w:val="20"/>
          <w:szCs w:val="20"/>
          <w:lang w:val="fr-CA"/>
        </w:rPr>
      </w:pPr>
      <w:r w:rsidRPr="00DF1B3D">
        <w:rPr>
          <w:sz w:val="20"/>
          <w:szCs w:val="20"/>
          <w:lang w:val="fr-CA"/>
        </w:rPr>
        <w:tab/>
        <w:t>Carole Lebeuf pour l’intimée</w:t>
      </w:r>
    </w:p>
    <w:p w:rsidR="000A3EA8" w:rsidRPr="00DF1B3D" w:rsidRDefault="000A3EA8" w:rsidP="000A3EA8">
      <w:pPr>
        <w:widowControl w:val="0"/>
        <w:ind w:left="2880" w:hanging="2880"/>
        <w:jc w:val="both"/>
        <w:rPr>
          <w:sz w:val="20"/>
          <w:szCs w:val="20"/>
          <w:lang w:val="fr-CA"/>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03"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6F66CA" w:rsidRDefault="006F66CA">
      <w:pPr>
        <w:rPr>
          <w:sz w:val="20"/>
          <w:szCs w:val="20"/>
          <w:lang w:val="fr-CA"/>
        </w:rPr>
      </w:pPr>
    </w:p>
    <w:p w:rsidR="002935F1" w:rsidRDefault="002935F1">
      <w:pPr>
        <w:rPr>
          <w:sz w:val="20"/>
          <w:szCs w:val="20"/>
          <w:lang w:val="fr-CA"/>
        </w:rPr>
      </w:pPr>
      <w:r>
        <w:rPr>
          <w:sz w:val="20"/>
          <w:szCs w:val="20"/>
          <w:lang w:val="fr-CA"/>
        </w:rPr>
        <w:br w:type="page"/>
      </w:r>
    </w:p>
    <w:p w:rsidR="00970D18" w:rsidRPr="00C932FE" w:rsidRDefault="003F21C7" w:rsidP="00970D18">
      <w:pPr>
        <w:widowControl w:val="0"/>
        <w:ind w:left="720" w:hanging="720"/>
        <w:jc w:val="both"/>
        <w:rPr>
          <w:sz w:val="20"/>
          <w:szCs w:val="20"/>
          <w:lang w:val="fr-CA"/>
        </w:rPr>
      </w:pPr>
      <w:r w:rsidRPr="00C932FE">
        <w:rPr>
          <w:b/>
          <w:sz w:val="20"/>
          <w:szCs w:val="20"/>
        </w:rPr>
        <w:lastRenderedPageBreak/>
        <w:fldChar w:fldCharType="begin"/>
      </w:r>
      <w:r w:rsidR="00970D18" w:rsidRPr="00C932FE">
        <w:rPr>
          <w:b/>
          <w:sz w:val="20"/>
          <w:szCs w:val="20"/>
          <w:lang w:val="fr-CA"/>
        </w:rPr>
        <w:instrText xml:space="preserve"> SEQ CHAPTER \h \r 1</w:instrText>
      </w:r>
      <w:r w:rsidRPr="00C932FE">
        <w:rPr>
          <w:b/>
          <w:sz w:val="20"/>
          <w:szCs w:val="20"/>
        </w:rPr>
        <w:fldChar w:fldCharType="end"/>
      </w:r>
      <w:r w:rsidR="00970D18" w:rsidRPr="00C932FE">
        <w:rPr>
          <w:b/>
          <w:sz w:val="20"/>
          <w:szCs w:val="20"/>
          <w:lang w:val="fr-CA"/>
        </w:rPr>
        <w:t>34699</w:t>
      </w:r>
      <w:r w:rsidR="00970D18" w:rsidRPr="00C932FE">
        <w:rPr>
          <w:sz w:val="20"/>
          <w:szCs w:val="20"/>
          <w:lang w:val="fr-CA"/>
        </w:rPr>
        <w:tab/>
      </w:r>
      <w:r w:rsidR="00970D18" w:rsidRPr="00C932FE">
        <w:rPr>
          <w:b/>
          <w:i/>
          <w:sz w:val="20"/>
          <w:szCs w:val="20"/>
          <w:lang w:val="fr-CA"/>
        </w:rPr>
        <w:t>Sovereign General Insurance Company v. Autorité des marchés financiers</w:t>
      </w:r>
    </w:p>
    <w:p w:rsidR="00970D18" w:rsidRPr="00C932FE" w:rsidRDefault="00970D18" w:rsidP="00970D18">
      <w:pPr>
        <w:widowControl w:val="0"/>
        <w:jc w:val="both"/>
        <w:rPr>
          <w:sz w:val="20"/>
          <w:szCs w:val="20"/>
          <w:lang w:val="fr-CA"/>
        </w:rPr>
      </w:pPr>
    </w:p>
    <w:p w:rsidR="00970D18" w:rsidRPr="00C932FE" w:rsidRDefault="00970D18" w:rsidP="00970D18">
      <w:pPr>
        <w:widowControl w:val="0"/>
        <w:jc w:val="both"/>
        <w:rPr>
          <w:sz w:val="20"/>
          <w:szCs w:val="20"/>
        </w:rPr>
      </w:pPr>
      <w:r w:rsidRPr="00C932FE">
        <w:rPr>
          <w:sz w:val="20"/>
          <w:szCs w:val="20"/>
        </w:rPr>
        <w:t xml:space="preserve">Provincial offences </w:t>
      </w:r>
      <w:r w:rsidRPr="00C932FE">
        <w:rPr>
          <w:sz w:val="20"/>
          <w:szCs w:val="20"/>
        </w:rPr>
        <w:noBreakHyphen/>
        <w:t xml:space="preserve"> Financial products and services </w:t>
      </w:r>
      <w:r w:rsidRPr="00C932FE">
        <w:rPr>
          <w:sz w:val="20"/>
          <w:szCs w:val="20"/>
        </w:rPr>
        <w:noBreakHyphen/>
        <w:t xml:space="preserve"> Strict liability </w:t>
      </w:r>
      <w:r w:rsidRPr="00C932FE">
        <w:rPr>
          <w:sz w:val="20"/>
          <w:szCs w:val="20"/>
        </w:rPr>
        <w:noBreakHyphen/>
        <w:t xml:space="preserve"> Defences </w:t>
      </w:r>
      <w:r w:rsidRPr="00C932FE">
        <w:rPr>
          <w:sz w:val="20"/>
          <w:szCs w:val="20"/>
        </w:rPr>
        <w:noBreakHyphen/>
        <w:t xml:space="preserve"> Whether offence under s. 482 of </w:t>
      </w:r>
      <w:r w:rsidRPr="00C932FE">
        <w:rPr>
          <w:i/>
          <w:sz w:val="20"/>
          <w:szCs w:val="20"/>
        </w:rPr>
        <w:t>Act respecting the distribution of financial products and services</w:t>
      </w:r>
      <w:r w:rsidRPr="00C932FE">
        <w:rPr>
          <w:sz w:val="20"/>
          <w:szCs w:val="20"/>
        </w:rPr>
        <w:t>, R.S.Q., c. D</w:t>
      </w:r>
      <w:r w:rsidRPr="00C932FE">
        <w:rPr>
          <w:sz w:val="20"/>
          <w:szCs w:val="20"/>
        </w:rPr>
        <w:noBreakHyphen/>
        <w:t>9.2 (“</w:t>
      </w:r>
      <w:r w:rsidRPr="00C932FE">
        <w:rPr>
          <w:i/>
          <w:sz w:val="20"/>
          <w:szCs w:val="20"/>
        </w:rPr>
        <w:t>ADFPS</w:t>
      </w:r>
      <w:r w:rsidRPr="00C932FE">
        <w:rPr>
          <w:sz w:val="20"/>
          <w:szCs w:val="20"/>
        </w:rPr>
        <w:t xml:space="preserve">”), is strict liability offence or requires proof of specific intent </w:t>
      </w:r>
      <w:r w:rsidRPr="00C932FE">
        <w:rPr>
          <w:sz w:val="20"/>
          <w:szCs w:val="20"/>
        </w:rPr>
        <w:noBreakHyphen/>
        <w:t xml:space="preserve"> Whether </w:t>
      </w:r>
      <w:r w:rsidRPr="00C932FE">
        <w:rPr>
          <w:i/>
          <w:sz w:val="20"/>
          <w:szCs w:val="20"/>
        </w:rPr>
        <w:t>actus reus</w:t>
      </w:r>
      <w:r w:rsidRPr="00C932FE">
        <w:rPr>
          <w:sz w:val="20"/>
          <w:szCs w:val="20"/>
        </w:rPr>
        <w:t xml:space="preserve"> of offence under s. 482 was proved </w:t>
      </w:r>
      <w:r w:rsidRPr="00C932FE">
        <w:rPr>
          <w:sz w:val="20"/>
          <w:szCs w:val="20"/>
        </w:rPr>
        <w:noBreakHyphen/>
        <w:t xml:space="preserve"> Whether appellant could rely on due diligence as defence.</w:t>
      </w:r>
    </w:p>
    <w:p w:rsidR="00970D18" w:rsidRPr="00C932FE" w:rsidRDefault="00970D18" w:rsidP="00970D18">
      <w:pPr>
        <w:widowControl w:val="0"/>
        <w:jc w:val="both"/>
        <w:rPr>
          <w:sz w:val="20"/>
          <w:szCs w:val="20"/>
        </w:rPr>
      </w:pPr>
    </w:p>
    <w:p w:rsidR="00970D18" w:rsidRPr="00C932FE" w:rsidRDefault="00970D18" w:rsidP="00970D18">
      <w:pPr>
        <w:widowControl w:val="0"/>
        <w:jc w:val="both"/>
        <w:rPr>
          <w:sz w:val="20"/>
          <w:szCs w:val="20"/>
        </w:rPr>
      </w:pPr>
      <w:r w:rsidRPr="00C932FE">
        <w:rPr>
          <w:sz w:val="20"/>
          <w:szCs w:val="20"/>
        </w:rPr>
        <w:t xml:space="preserve">Section 71 of the </w:t>
      </w:r>
      <w:r w:rsidRPr="00C932FE">
        <w:rPr>
          <w:i/>
          <w:sz w:val="20"/>
          <w:szCs w:val="20"/>
        </w:rPr>
        <w:t xml:space="preserve">ADFPS </w:t>
      </w:r>
      <w:r w:rsidRPr="00C932FE">
        <w:rPr>
          <w:sz w:val="20"/>
          <w:szCs w:val="20"/>
        </w:rPr>
        <w:t>requires registration with the Autorité des marchés financiers in order to act as an insurance firm in Quebec.  Moreover, s. 482 provides that “[e</w:t>
      </w:r>
      <w:r w:rsidRPr="00C932FE">
        <w:rPr>
          <w:rFonts w:asciiTheme="minorBidi" w:hAnsiTheme="minorBidi"/>
          <w:sz w:val="20"/>
          <w:szCs w:val="20"/>
        </w:rPr>
        <w:t>]</w:t>
      </w:r>
      <w:r w:rsidRPr="00C932FE">
        <w:rPr>
          <w:sz w:val="20"/>
          <w:szCs w:val="20"/>
        </w:rPr>
        <w:t xml:space="preserve">very insurer that helps or, by encouragement, advice or consent or by an authorization or order, induces a firm . . . to contravene any provision” of the </w:t>
      </w:r>
      <w:r w:rsidRPr="00C932FE">
        <w:rPr>
          <w:i/>
          <w:sz w:val="20"/>
          <w:szCs w:val="20"/>
        </w:rPr>
        <w:t>ADFPS</w:t>
      </w:r>
      <w:r w:rsidRPr="00C932FE">
        <w:rPr>
          <w:sz w:val="20"/>
          <w:szCs w:val="20"/>
        </w:rPr>
        <w:t xml:space="preserve"> is guilty of an offence.  The appellant Sovereign was authorized to offer insurance in Quebec but instead issued policies through brokers, including Flanders Insurance Management and Administrative Services Ltd. of Winnipeg (“Flanders”).  GE Commercial Distribution Finance (“GE”), which was based in Toronto, financed the inventory of recreational vehicles on merchants’ premises.  In 2004, GE notified its clients that it had opted for a new master policy from Sovereign through Flanders.  At GE’s invitation, 56 Quebec merchants subscribed to the policy.  A rival of Flanders then filed complaints against Flanders and GE with, </w:t>
      </w:r>
      <w:r w:rsidRPr="00C932FE">
        <w:rPr>
          <w:i/>
          <w:sz w:val="20"/>
          <w:szCs w:val="20"/>
        </w:rPr>
        <w:t>inter alia</w:t>
      </w:r>
      <w:r w:rsidRPr="00C932FE">
        <w:rPr>
          <w:sz w:val="20"/>
          <w:szCs w:val="20"/>
        </w:rPr>
        <w:t xml:space="preserve">, the AMF, alleging that Flanders was acting as an insurance broker in Quebec without holding a licence.  Following an inquiry, the AMF issued 56 statements of offence against Sovereign for </w:t>
      </w:r>
      <w:r w:rsidRPr="00C932FE">
        <w:rPr>
          <w:rFonts w:asciiTheme="minorBidi" w:hAnsiTheme="minorBidi"/>
          <w:sz w:val="20"/>
          <w:szCs w:val="20"/>
        </w:rPr>
        <w:t xml:space="preserve">consenting to or authorizing the issue of an insurance policy by </w:t>
      </w:r>
      <w:r w:rsidRPr="00C932FE">
        <w:rPr>
          <w:sz w:val="20"/>
          <w:szCs w:val="20"/>
        </w:rPr>
        <w:t xml:space="preserve">Flanders, a firm not registered with the AMF, contrary to s. 71 of the </w:t>
      </w:r>
      <w:r w:rsidRPr="00C932FE">
        <w:rPr>
          <w:i/>
          <w:sz w:val="20"/>
          <w:szCs w:val="20"/>
        </w:rPr>
        <w:t>ADFPS</w:t>
      </w:r>
      <w:r w:rsidRPr="00C932FE">
        <w:rPr>
          <w:sz w:val="20"/>
          <w:szCs w:val="20"/>
        </w:rPr>
        <w:t>.</w:t>
      </w:r>
    </w:p>
    <w:p w:rsidR="00970D18" w:rsidRPr="00C932FE" w:rsidRDefault="00970D18" w:rsidP="00970D18">
      <w:pPr>
        <w:widowControl w:val="0"/>
        <w:jc w:val="both"/>
        <w:rPr>
          <w:sz w:val="20"/>
          <w:szCs w:val="20"/>
        </w:rPr>
      </w:pPr>
    </w:p>
    <w:p w:rsidR="00970D18" w:rsidRPr="00C932FE" w:rsidRDefault="00970D18" w:rsidP="00970D18">
      <w:pPr>
        <w:widowControl w:val="0"/>
        <w:jc w:val="both"/>
        <w:rPr>
          <w:sz w:val="20"/>
          <w:szCs w:val="20"/>
        </w:rPr>
      </w:pPr>
    </w:p>
    <w:p w:rsidR="00970D18" w:rsidRPr="00C932FE" w:rsidRDefault="00970D18" w:rsidP="00970D18">
      <w:pPr>
        <w:widowControl w:val="0"/>
        <w:ind w:left="2880" w:hanging="2880"/>
        <w:jc w:val="both"/>
        <w:rPr>
          <w:sz w:val="20"/>
          <w:szCs w:val="20"/>
        </w:rPr>
      </w:pPr>
      <w:r w:rsidRPr="00C932FE">
        <w:rPr>
          <w:sz w:val="20"/>
          <w:szCs w:val="20"/>
        </w:rPr>
        <w:t>Origin of the case:</w:t>
      </w:r>
      <w:r w:rsidRPr="00C932FE">
        <w:rPr>
          <w:sz w:val="20"/>
          <w:szCs w:val="20"/>
        </w:rPr>
        <w:tab/>
        <w:t>Quebec</w:t>
      </w:r>
    </w:p>
    <w:p w:rsidR="00970D18" w:rsidRPr="00C932FE" w:rsidRDefault="00970D18" w:rsidP="00970D18">
      <w:pPr>
        <w:widowControl w:val="0"/>
        <w:ind w:left="2880" w:hanging="2880"/>
        <w:jc w:val="both"/>
        <w:rPr>
          <w:sz w:val="20"/>
          <w:szCs w:val="20"/>
        </w:rPr>
      </w:pPr>
    </w:p>
    <w:p w:rsidR="00970D18" w:rsidRPr="00C932FE" w:rsidRDefault="00970D18" w:rsidP="00970D18">
      <w:pPr>
        <w:widowControl w:val="0"/>
        <w:ind w:left="2880" w:hanging="2880"/>
        <w:jc w:val="both"/>
        <w:rPr>
          <w:sz w:val="20"/>
          <w:szCs w:val="20"/>
        </w:rPr>
      </w:pPr>
      <w:r w:rsidRPr="00C932FE">
        <w:rPr>
          <w:sz w:val="20"/>
          <w:szCs w:val="20"/>
        </w:rPr>
        <w:t>File No.:</w:t>
      </w:r>
      <w:r w:rsidRPr="00C932FE">
        <w:rPr>
          <w:sz w:val="20"/>
          <w:szCs w:val="20"/>
        </w:rPr>
        <w:tab/>
        <w:t>34699</w:t>
      </w:r>
    </w:p>
    <w:p w:rsidR="00970D18" w:rsidRPr="00C932FE" w:rsidRDefault="00970D18" w:rsidP="00970D18">
      <w:pPr>
        <w:widowControl w:val="0"/>
        <w:ind w:left="2880" w:hanging="2880"/>
        <w:jc w:val="both"/>
        <w:rPr>
          <w:sz w:val="20"/>
          <w:szCs w:val="20"/>
        </w:rPr>
      </w:pPr>
    </w:p>
    <w:p w:rsidR="00970D18" w:rsidRPr="00C932FE" w:rsidRDefault="00970D18" w:rsidP="00970D18">
      <w:pPr>
        <w:widowControl w:val="0"/>
        <w:ind w:left="2880" w:hanging="2880"/>
        <w:jc w:val="both"/>
        <w:rPr>
          <w:sz w:val="20"/>
          <w:szCs w:val="20"/>
        </w:rPr>
      </w:pPr>
      <w:r w:rsidRPr="00C932FE">
        <w:rPr>
          <w:sz w:val="20"/>
          <w:szCs w:val="20"/>
        </w:rPr>
        <w:t>Judgment of the Court of Appeal:</w:t>
      </w:r>
      <w:r w:rsidRPr="00C932FE">
        <w:rPr>
          <w:sz w:val="20"/>
          <w:szCs w:val="20"/>
        </w:rPr>
        <w:tab/>
        <w:t>January 10, 2012</w:t>
      </w:r>
    </w:p>
    <w:p w:rsidR="00970D18" w:rsidRPr="00C932FE" w:rsidRDefault="00970D18" w:rsidP="00970D18">
      <w:pPr>
        <w:widowControl w:val="0"/>
        <w:ind w:left="2880" w:hanging="2880"/>
        <w:jc w:val="both"/>
        <w:rPr>
          <w:sz w:val="20"/>
          <w:szCs w:val="20"/>
        </w:rPr>
      </w:pPr>
    </w:p>
    <w:p w:rsidR="00970D18" w:rsidRPr="00C932FE" w:rsidRDefault="00970D18" w:rsidP="00970D18">
      <w:pPr>
        <w:widowControl w:val="0"/>
        <w:ind w:left="2880" w:hanging="2880"/>
        <w:jc w:val="both"/>
        <w:rPr>
          <w:sz w:val="20"/>
          <w:szCs w:val="20"/>
        </w:rPr>
      </w:pPr>
      <w:r w:rsidRPr="00C932FE">
        <w:rPr>
          <w:sz w:val="20"/>
          <w:szCs w:val="20"/>
        </w:rPr>
        <w:t>Counsel:</w:t>
      </w:r>
      <w:r w:rsidRPr="00C932FE">
        <w:rPr>
          <w:sz w:val="20"/>
          <w:szCs w:val="20"/>
        </w:rPr>
        <w:tab/>
        <w:t>Patrick Henry and Jean</w:t>
      </w:r>
      <w:r w:rsidRPr="00C932FE">
        <w:rPr>
          <w:sz w:val="20"/>
          <w:szCs w:val="20"/>
        </w:rPr>
        <w:noBreakHyphen/>
        <w:t>Claude Hébert for the appellant</w:t>
      </w:r>
    </w:p>
    <w:p w:rsidR="00970D18" w:rsidRPr="00C932FE" w:rsidRDefault="00970D18" w:rsidP="00970D18">
      <w:pPr>
        <w:widowControl w:val="0"/>
        <w:ind w:left="2880" w:hanging="2880"/>
        <w:jc w:val="both"/>
        <w:rPr>
          <w:sz w:val="20"/>
          <w:szCs w:val="20"/>
        </w:rPr>
      </w:pPr>
      <w:r w:rsidRPr="00C932FE">
        <w:rPr>
          <w:sz w:val="20"/>
          <w:szCs w:val="20"/>
        </w:rPr>
        <w:tab/>
        <w:t>Éric Blais and Tristan Desjardins for the respondent</w:t>
      </w:r>
    </w:p>
    <w:p w:rsidR="006F66CA" w:rsidRPr="00970D18" w:rsidRDefault="006F66CA" w:rsidP="006F66CA">
      <w:pPr>
        <w:tabs>
          <w:tab w:val="left" w:pos="-1440"/>
          <w:tab w:val="left" w:pos="-720"/>
        </w:tabs>
        <w:jc w:val="both"/>
        <w:rPr>
          <w:sz w:val="20"/>
          <w:szCs w:val="20"/>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04"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6F66CA" w:rsidRDefault="006F66CA">
      <w:pPr>
        <w:rPr>
          <w:sz w:val="20"/>
          <w:szCs w:val="20"/>
          <w:lang w:val="fr-CA"/>
        </w:rPr>
      </w:pPr>
    </w:p>
    <w:p w:rsidR="002935F1" w:rsidRDefault="002935F1">
      <w:pPr>
        <w:rPr>
          <w:sz w:val="20"/>
          <w:szCs w:val="20"/>
          <w:lang w:val="fr-CA"/>
        </w:rPr>
      </w:pPr>
      <w:r>
        <w:rPr>
          <w:sz w:val="20"/>
          <w:szCs w:val="20"/>
          <w:lang w:val="fr-CA"/>
        </w:rPr>
        <w:br w:type="page"/>
      </w:r>
    </w:p>
    <w:p w:rsidR="00970D18" w:rsidRPr="00E441CF" w:rsidRDefault="003F21C7" w:rsidP="00970D18">
      <w:pPr>
        <w:widowControl w:val="0"/>
        <w:ind w:left="720" w:hanging="720"/>
        <w:jc w:val="both"/>
        <w:rPr>
          <w:sz w:val="20"/>
          <w:szCs w:val="20"/>
          <w:lang w:val="fr-CA"/>
        </w:rPr>
      </w:pPr>
      <w:r w:rsidRPr="003F21C7">
        <w:rPr>
          <w:b/>
          <w:sz w:val="20"/>
          <w:szCs w:val="20"/>
          <w:lang w:val="fr-CA"/>
        </w:rPr>
        <w:lastRenderedPageBreak/>
        <w:fldChar w:fldCharType="begin"/>
      </w:r>
      <w:r w:rsidR="00970D18" w:rsidRPr="00E441CF">
        <w:rPr>
          <w:b/>
          <w:sz w:val="20"/>
          <w:szCs w:val="20"/>
          <w:lang w:val="fr-CA"/>
        </w:rPr>
        <w:instrText xml:space="preserve"> SEQ CHAPTER \h \r 1</w:instrText>
      </w:r>
      <w:r w:rsidRPr="00E441CF">
        <w:rPr>
          <w:b/>
          <w:sz w:val="20"/>
          <w:szCs w:val="20"/>
        </w:rPr>
        <w:fldChar w:fldCharType="end"/>
      </w:r>
      <w:r w:rsidR="00970D18" w:rsidRPr="00E441CF">
        <w:rPr>
          <w:b/>
          <w:sz w:val="20"/>
          <w:szCs w:val="20"/>
          <w:lang w:val="fr-CA"/>
        </w:rPr>
        <w:t>34699</w:t>
      </w:r>
      <w:r w:rsidR="00970D18" w:rsidRPr="00E441CF">
        <w:rPr>
          <w:sz w:val="20"/>
          <w:szCs w:val="20"/>
          <w:lang w:val="fr-CA"/>
        </w:rPr>
        <w:tab/>
      </w:r>
      <w:r w:rsidR="00970D18" w:rsidRPr="00E441CF">
        <w:rPr>
          <w:b/>
          <w:i/>
          <w:sz w:val="20"/>
          <w:szCs w:val="20"/>
          <w:lang w:val="fr-CA"/>
        </w:rPr>
        <w:t>La Souveraine, Compagnie d’assurance générale c. Autorité des marchés financiers</w:t>
      </w:r>
    </w:p>
    <w:p w:rsidR="00970D18" w:rsidRPr="00E441CF" w:rsidRDefault="00970D18" w:rsidP="00970D18">
      <w:pPr>
        <w:widowControl w:val="0"/>
        <w:jc w:val="both"/>
        <w:rPr>
          <w:sz w:val="20"/>
          <w:szCs w:val="20"/>
          <w:lang w:val="fr-CA"/>
        </w:rPr>
      </w:pPr>
    </w:p>
    <w:p w:rsidR="00970D18" w:rsidRPr="00E441CF" w:rsidRDefault="00970D18" w:rsidP="00970D18">
      <w:pPr>
        <w:widowControl w:val="0"/>
        <w:jc w:val="both"/>
        <w:rPr>
          <w:sz w:val="20"/>
          <w:szCs w:val="20"/>
          <w:lang w:val="fr-CA"/>
        </w:rPr>
      </w:pPr>
      <w:r w:rsidRPr="00E441CF">
        <w:rPr>
          <w:sz w:val="20"/>
          <w:szCs w:val="20"/>
          <w:lang w:val="fr-CA"/>
        </w:rPr>
        <w:t xml:space="preserve">Infractions provinciales </w:t>
      </w:r>
      <w:r w:rsidRPr="00E441CF">
        <w:rPr>
          <w:sz w:val="20"/>
          <w:szCs w:val="20"/>
          <w:lang w:val="fr-CA"/>
        </w:rPr>
        <w:noBreakHyphen/>
        <w:t xml:space="preserve"> Produits et services financiers </w:t>
      </w:r>
      <w:r w:rsidRPr="00E441CF">
        <w:rPr>
          <w:sz w:val="20"/>
          <w:szCs w:val="20"/>
          <w:lang w:val="fr-CA"/>
        </w:rPr>
        <w:noBreakHyphen/>
        <w:t xml:space="preserve"> Responsabilité stricte </w:t>
      </w:r>
      <w:r w:rsidRPr="00E441CF">
        <w:rPr>
          <w:sz w:val="20"/>
          <w:szCs w:val="20"/>
          <w:lang w:val="fr-CA"/>
        </w:rPr>
        <w:noBreakHyphen/>
        <w:t xml:space="preserve"> Moyens de défense </w:t>
      </w:r>
      <w:r w:rsidRPr="00E441CF">
        <w:rPr>
          <w:sz w:val="20"/>
          <w:szCs w:val="20"/>
          <w:lang w:val="fr-CA"/>
        </w:rPr>
        <w:noBreakHyphen/>
        <w:t xml:space="preserve"> L’infraction prévue par l’art. 482 de la </w:t>
      </w:r>
      <w:r w:rsidRPr="00E441CF">
        <w:rPr>
          <w:i/>
          <w:sz w:val="20"/>
          <w:szCs w:val="20"/>
          <w:lang w:val="fr-CA"/>
        </w:rPr>
        <w:t>Loi sur la distribution de produits et services financiers</w:t>
      </w:r>
      <w:r w:rsidRPr="00E441CF">
        <w:rPr>
          <w:sz w:val="20"/>
          <w:szCs w:val="20"/>
          <w:lang w:val="fr-CA"/>
        </w:rPr>
        <w:t>, L.R.Q., ch. D</w:t>
      </w:r>
      <w:r w:rsidRPr="00E441CF">
        <w:rPr>
          <w:sz w:val="20"/>
          <w:szCs w:val="20"/>
          <w:lang w:val="fr-CA"/>
        </w:rPr>
        <w:noBreakHyphen/>
        <w:t>9.2 (« </w:t>
      </w:r>
      <w:r w:rsidRPr="00E441CF">
        <w:rPr>
          <w:i/>
          <w:sz w:val="20"/>
          <w:szCs w:val="20"/>
          <w:lang w:val="fr-CA"/>
        </w:rPr>
        <w:t>LDPSF</w:t>
      </w:r>
      <w:r w:rsidRPr="00E441CF">
        <w:rPr>
          <w:sz w:val="20"/>
          <w:szCs w:val="20"/>
          <w:lang w:val="fr-CA"/>
        </w:rPr>
        <w:t> »), est</w:t>
      </w:r>
      <w:r w:rsidRPr="00E441CF">
        <w:rPr>
          <w:sz w:val="20"/>
          <w:szCs w:val="20"/>
          <w:lang w:val="fr-CA"/>
        </w:rPr>
        <w:noBreakHyphen/>
        <w:t>elle une infraction de responsabilité stricte ou exige</w:t>
      </w:r>
      <w:r w:rsidRPr="00E441CF">
        <w:rPr>
          <w:sz w:val="20"/>
          <w:szCs w:val="20"/>
          <w:lang w:val="fr-CA"/>
        </w:rPr>
        <w:noBreakHyphen/>
        <w:t>t</w:t>
      </w:r>
      <w:r w:rsidRPr="00E441CF">
        <w:rPr>
          <w:sz w:val="20"/>
          <w:szCs w:val="20"/>
          <w:lang w:val="fr-CA"/>
        </w:rPr>
        <w:noBreakHyphen/>
        <w:t xml:space="preserve">elle plutôt la preuve d’une intention spécifique? </w:t>
      </w:r>
      <w:r w:rsidRPr="00E441CF">
        <w:rPr>
          <w:sz w:val="20"/>
          <w:szCs w:val="20"/>
          <w:lang w:val="fr-CA"/>
        </w:rPr>
        <w:noBreakHyphen/>
        <w:t xml:space="preserve"> L’</w:t>
      </w:r>
      <w:r w:rsidRPr="00E441CF">
        <w:rPr>
          <w:i/>
          <w:sz w:val="20"/>
          <w:szCs w:val="20"/>
          <w:lang w:val="fr-CA"/>
        </w:rPr>
        <w:t>actus reus</w:t>
      </w:r>
      <w:r w:rsidRPr="00E441CF">
        <w:rPr>
          <w:sz w:val="20"/>
          <w:szCs w:val="20"/>
          <w:lang w:val="fr-CA"/>
        </w:rPr>
        <w:t xml:space="preserve"> de l’infraction prévue par l’art. 482 a</w:t>
      </w:r>
      <w:r w:rsidRPr="00E441CF">
        <w:rPr>
          <w:sz w:val="20"/>
          <w:szCs w:val="20"/>
          <w:lang w:val="fr-CA"/>
        </w:rPr>
        <w:noBreakHyphen/>
        <w:t>t</w:t>
      </w:r>
      <w:r w:rsidRPr="00E441CF">
        <w:rPr>
          <w:sz w:val="20"/>
          <w:szCs w:val="20"/>
          <w:lang w:val="fr-CA"/>
        </w:rPr>
        <w:noBreakHyphen/>
        <w:t xml:space="preserve">il été prouvé? </w:t>
      </w:r>
      <w:r w:rsidRPr="00E441CF">
        <w:rPr>
          <w:sz w:val="20"/>
          <w:szCs w:val="20"/>
          <w:lang w:val="fr-CA"/>
        </w:rPr>
        <w:noBreakHyphen/>
        <w:t xml:space="preserve"> L’appelante pouvait</w:t>
      </w:r>
      <w:r w:rsidRPr="00E441CF">
        <w:rPr>
          <w:sz w:val="20"/>
          <w:szCs w:val="20"/>
          <w:lang w:val="fr-CA"/>
        </w:rPr>
        <w:noBreakHyphen/>
        <w:t>elle invoquer la diligence raisonnable en défense?</w:t>
      </w:r>
    </w:p>
    <w:p w:rsidR="00970D18" w:rsidRPr="00E441CF" w:rsidRDefault="00970D18" w:rsidP="00970D18">
      <w:pPr>
        <w:widowControl w:val="0"/>
        <w:jc w:val="both"/>
        <w:rPr>
          <w:sz w:val="20"/>
          <w:szCs w:val="20"/>
          <w:lang w:val="fr-CA"/>
        </w:rPr>
      </w:pPr>
    </w:p>
    <w:p w:rsidR="00970D18" w:rsidRPr="00E441CF" w:rsidRDefault="00970D18" w:rsidP="00970D18">
      <w:pPr>
        <w:widowControl w:val="0"/>
        <w:jc w:val="both"/>
        <w:rPr>
          <w:sz w:val="20"/>
          <w:szCs w:val="20"/>
          <w:lang w:val="fr-CA"/>
        </w:rPr>
      </w:pPr>
      <w:r w:rsidRPr="00E441CF">
        <w:rPr>
          <w:sz w:val="20"/>
          <w:szCs w:val="20"/>
          <w:lang w:val="fr-CA"/>
        </w:rPr>
        <w:t xml:space="preserve">L’article 71 de la </w:t>
      </w:r>
      <w:r w:rsidRPr="00E441CF">
        <w:rPr>
          <w:i/>
          <w:sz w:val="20"/>
          <w:szCs w:val="20"/>
          <w:lang w:val="fr-CA"/>
        </w:rPr>
        <w:t>LDPSF</w:t>
      </w:r>
      <w:r w:rsidRPr="00E441CF">
        <w:rPr>
          <w:sz w:val="20"/>
          <w:szCs w:val="20"/>
          <w:lang w:val="fr-CA"/>
        </w:rPr>
        <w:t xml:space="preserve"> prévoit l’obligation d’être inscrit auprès de l’Autorité des marchés financiers afin d’agir comme cabinet d’assurance au Québec.  De plus, l’art. 482 prévoit que commet une infraction « [u]n assureur qui aide ou, par un encouragement, un conseil, un consentement, une autorisation ou un ordre, amène un cabinet [. . .] à enfreindre une disposition de la [</w:t>
      </w:r>
      <w:r w:rsidRPr="00E441CF">
        <w:rPr>
          <w:i/>
          <w:sz w:val="20"/>
          <w:szCs w:val="20"/>
          <w:lang w:val="fr-CA"/>
        </w:rPr>
        <w:t>LDPSF</w:t>
      </w:r>
      <w:r w:rsidRPr="00E441CF">
        <w:rPr>
          <w:sz w:val="20"/>
          <w:szCs w:val="20"/>
          <w:lang w:val="fr-CA"/>
        </w:rPr>
        <w:t>] ».  L’appelante, La Souveraine, est autorisée à offrir de l’assurance au Québec, mais délivre plutôt des polices par l’entremise de courtiers, dont Flanders Insurance Management and Administrative Services Ltd. de Winnipeg (« Flanders »).  L’entreprise GE financement commercial aux détaillants (« GE »), basée à Toronto, finance les stocks de véhicules récréatifs chez des commerçants.  En 2004, elle avise ses clients qu’elle a opté pour une nouvelle police</w:t>
      </w:r>
      <w:r w:rsidRPr="00E441CF">
        <w:rPr>
          <w:sz w:val="20"/>
          <w:szCs w:val="20"/>
          <w:lang w:val="fr-CA"/>
        </w:rPr>
        <w:noBreakHyphen/>
        <w:t xml:space="preserve">cadre de La Souveraine par l’entremise de Flanders.  À l’invitation de GE, 56 commerçants québécois adhèrent à la police.  Le rival de Flanders dépose alors des plaintes contre Flanders et GE auprès notamment de l’AMF, alléguant que Flanders exerce la fonction de courtier en assurance au Québec sans détenir de permis.  Après enquête, l’AMF donne 56 constats d’infractions à La Souveraine.  Elle lui reproche d’avoir « consenti et/ou autorisé Flanders [. . .], un cabinet non inscrit auprès de [l’AMF] », à délivrer une police d’assurance en contravention de l’art. 71 de la </w:t>
      </w:r>
      <w:r w:rsidRPr="00E441CF">
        <w:rPr>
          <w:i/>
          <w:sz w:val="20"/>
          <w:szCs w:val="20"/>
          <w:lang w:val="fr-CA"/>
        </w:rPr>
        <w:t>LDPSF</w:t>
      </w:r>
      <w:r w:rsidRPr="00E441CF">
        <w:rPr>
          <w:sz w:val="20"/>
          <w:szCs w:val="20"/>
          <w:lang w:val="fr-CA"/>
        </w:rPr>
        <w:t>.</w:t>
      </w:r>
    </w:p>
    <w:p w:rsidR="00970D18" w:rsidRPr="00E441CF" w:rsidRDefault="00970D18" w:rsidP="00970D18">
      <w:pPr>
        <w:widowControl w:val="0"/>
        <w:jc w:val="both"/>
        <w:rPr>
          <w:sz w:val="20"/>
          <w:szCs w:val="20"/>
          <w:lang w:val="fr-CA"/>
        </w:rPr>
      </w:pPr>
    </w:p>
    <w:p w:rsidR="00970D18" w:rsidRPr="00E441CF" w:rsidRDefault="00970D18" w:rsidP="00970D18">
      <w:pPr>
        <w:widowControl w:val="0"/>
        <w:jc w:val="both"/>
        <w:rPr>
          <w:sz w:val="20"/>
          <w:szCs w:val="20"/>
          <w:lang w:val="fr-CA"/>
        </w:rPr>
      </w:pPr>
    </w:p>
    <w:p w:rsidR="00970D18" w:rsidRPr="00E441CF" w:rsidRDefault="00970D18" w:rsidP="00970D18">
      <w:pPr>
        <w:widowControl w:val="0"/>
        <w:ind w:left="2880" w:hanging="2880"/>
        <w:jc w:val="both"/>
        <w:rPr>
          <w:sz w:val="20"/>
          <w:szCs w:val="20"/>
          <w:lang w:val="fr-CA"/>
        </w:rPr>
      </w:pPr>
      <w:r w:rsidRPr="00E441CF">
        <w:rPr>
          <w:sz w:val="20"/>
          <w:szCs w:val="20"/>
          <w:lang w:val="fr-CA"/>
        </w:rPr>
        <w:t>Origine :</w:t>
      </w:r>
      <w:r w:rsidRPr="00E441CF">
        <w:rPr>
          <w:sz w:val="20"/>
          <w:szCs w:val="20"/>
          <w:lang w:val="fr-CA"/>
        </w:rPr>
        <w:tab/>
        <w:t>Québec</w:t>
      </w:r>
    </w:p>
    <w:p w:rsidR="00970D18" w:rsidRPr="00E441CF" w:rsidRDefault="00970D18" w:rsidP="00970D18">
      <w:pPr>
        <w:widowControl w:val="0"/>
        <w:ind w:left="2880" w:hanging="2880"/>
        <w:jc w:val="both"/>
        <w:rPr>
          <w:sz w:val="20"/>
          <w:szCs w:val="20"/>
          <w:lang w:val="fr-CA"/>
        </w:rPr>
      </w:pPr>
    </w:p>
    <w:p w:rsidR="00970D18" w:rsidRPr="00E441CF" w:rsidRDefault="00970D18" w:rsidP="00970D18">
      <w:pPr>
        <w:widowControl w:val="0"/>
        <w:ind w:left="2880" w:hanging="2880"/>
        <w:jc w:val="both"/>
        <w:rPr>
          <w:sz w:val="20"/>
          <w:szCs w:val="20"/>
          <w:lang w:val="fr-CA"/>
        </w:rPr>
      </w:pPr>
      <w:r w:rsidRPr="00E441CF">
        <w:rPr>
          <w:sz w:val="20"/>
          <w:szCs w:val="20"/>
          <w:lang w:val="fr-CA"/>
        </w:rPr>
        <w:t>N</w:t>
      </w:r>
      <w:r w:rsidRPr="00E441CF">
        <w:rPr>
          <w:sz w:val="20"/>
          <w:szCs w:val="20"/>
          <w:vertAlign w:val="superscript"/>
          <w:lang w:val="fr-CA"/>
        </w:rPr>
        <w:t>o</w:t>
      </w:r>
      <w:r w:rsidRPr="00E441CF">
        <w:rPr>
          <w:sz w:val="20"/>
          <w:szCs w:val="20"/>
          <w:lang w:val="fr-CA"/>
        </w:rPr>
        <w:t xml:space="preserve"> du greffe :</w:t>
      </w:r>
      <w:r w:rsidRPr="00E441CF">
        <w:rPr>
          <w:sz w:val="20"/>
          <w:szCs w:val="20"/>
          <w:lang w:val="fr-CA"/>
        </w:rPr>
        <w:tab/>
        <w:t>34699</w:t>
      </w:r>
    </w:p>
    <w:p w:rsidR="00970D18" w:rsidRPr="00E441CF" w:rsidRDefault="00970D18" w:rsidP="00970D18">
      <w:pPr>
        <w:widowControl w:val="0"/>
        <w:ind w:left="2880" w:hanging="2880"/>
        <w:jc w:val="both"/>
        <w:rPr>
          <w:sz w:val="20"/>
          <w:szCs w:val="20"/>
          <w:lang w:val="fr-CA"/>
        </w:rPr>
      </w:pPr>
    </w:p>
    <w:p w:rsidR="00970D18" w:rsidRPr="00E441CF" w:rsidRDefault="00970D18" w:rsidP="00970D18">
      <w:pPr>
        <w:widowControl w:val="0"/>
        <w:ind w:left="2880" w:hanging="2880"/>
        <w:jc w:val="both"/>
        <w:rPr>
          <w:sz w:val="20"/>
          <w:szCs w:val="20"/>
          <w:lang w:val="fr-CA"/>
        </w:rPr>
      </w:pPr>
      <w:r w:rsidRPr="00E441CF">
        <w:rPr>
          <w:sz w:val="20"/>
          <w:szCs w:val="20"/>
          <w:lang w:val="fr-CA"/>
        </w:rPr>
        <w:t>Arrêt de la Cour d’appel :</w:t>
      </w:r>
      <w:r w:rsidRPr="00E441CF">
        <w:rPr>
          <w:sz w:val="20"/>
          <w:szCs w:val="20"/>
          <w:lang w:val="fr-CA"/>
        </w:rPr>
        <w:tab/>
        <w:t>Le 10 janvier 2012</w:t>
      </w:r>
    </w:p>
    <w:p w:rsidR="00970D18" w:rsidRPr="00E441CF" w:rsidRDefault="00970D18" w:rsidP="00970D18">
      <w:pPr>
        <w:widowControl w:val="0"/>
        <w:ind w:left="2880" w:hanging="2880"/>
        <w:jc w:val="both"/>
        <w:rPr>
          <w:sz w:val="20"/>
          <w:szCs w:val="20"/>
          <w:lang w:val="fr-CA"/>
        </w:rPr>
      </w:pPr>
    </w:p>
    <w:p w:rsidR="00970D18" w:rsidRPr="00E441CF" w:rsidRDefault="00970D18" w:rsidP="00970D18">
      <w:pPr>
        <w:widowControl w:val="0"/>
        <w:ind w:left="2880" w:hanging="2880"/>
        <w:jc w:val="both"/>
        <w:rPr>
          <w:sz w:val="20"/>
          <w:szCs w:val="20"/>
          <w:lang w:val="fr-CA"/>
        </w:rPr>
      </w:pPr>
      <w:r w:rsidRPr="00E441CF">
        <w:rPr>
          <w:sz w:val="20"/>
          <w:szCs w:val="20"/>
          <w:lang w:val="fr-CA"/>
        </w:rPr>
        <w:t>Avocats :</w:t>
      </w:r>
      <w:r w:rsidRPr="00E441CF">
        <w:rPr>
          <w:sz w:val="20"/>
          <w:szCs w:val="20"/>
          <w:lang w:val="fr-CA"/>
        </w:rPr>
        <w:tab/>
        <w:t>Patrick Henry et Jean</w:t>
      </w:r>
      <w:r w:rsidRPr="00E441CF">
        <w:rPr>
          <w:sz w:val="20"/>
          <w:szCs w:val="20"/>
          <w:lang w:val="fr-CA"/>
        </w:rPr>
        <w:noBreakHyphen/>
        <w:t>Claude Hébert pour l’appelante</w:t>
      </w:r>
    </w:p>
    <w:p w:rsidR="00970D18" w:rsidRPr="00E441CF" w:rsidRDefault="00970D18" w:rsidP="00970D18">
      <w:pPr>
        <w:widowControl w:val="0"/>
        <w:ind w:left="2880" w:hanging="2880"/>
        <w:jc w:val="both"/>
        <w:rPr>
          <w:sz w:val="20"/>
          <w:szCs w:val="20"/>
          <w:lang w:val="fr-CA"/>
        </w:rPr>
      </w:pPr>
      <w:r w:rsidRPr="00E441CF">
        <w:rPr>
          <w:sz w:val="20"/>
          <w:szCs w:val="20"/>
          <w:lang w:val="fr-CA"/>
        </w:rPr>
        <w:tab/>
        <w:t>Éric Blais et Tristan Desjardins pour l’intimée</w:t>
      </w:r>
    </w:p>
    <w:p w:rsidR="00970D18" w:rsidRPr="00E441CF" w:rsidRDefault="00970D18" w:rsidP="00970D18">
      <w:pPr>
        <w:widowControl w:val="0"/>
        <w:ind w:left="2880" w:hanging="2880"/>
        <w:jc w:val="both"/>
        <w:rPr>
          <w:sz w:val="20"/>
          <w:szCs w:val="20"/>
          <w:lang w:val="fr-CA"/>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05"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EE3B2B" w:rsidRPr="001F03F6" w:rsidRDefault="003F21C7" w:rsidP="00EE3B2B">
      <w:pPr>
        <w:widowControl w:val="0"/>
        <w:ind w:left="720" w:hanging="720"/>
        <w:jc w:val="both"/>
        <w:rPr>
          <w:sz w:val="20"/>
          <w:szCs w:val="20"/>
        </w:rPr>
      </w:pPr>
      <w:r w:rsidRPr="001F03F6">
        <w:rPr>
          <w:b/>
          <w:sz w:val="20"/>
          <w:szCs w:val="20"/>
        </w:rPr>
        <w:lastRenderedPageBreak/>
        <w:fldChar w:fldCharType="begin"/>
      </w:r>
      <w:r w:rsidR="00EE3B2B" w:rsidRPr="001F03F6">
        <w:rPr>
          <w:b/>
          <w:sz w:val="20"/>
          <w:szCs w:val="20"/>
        </w:rPr>
        <w:instrText xml:space="preserve"> SEQ CHAPTER \h \r 1</w:instrText>
      </w:r>
      <w:r w:rsidRPr="001F03F6">
        <w:rPr>
          <w:b/>
          <w:sz w:val="20"/>
          <w:szCs w:val="20"/>
        </w:rPr>
        <w:fldChar w:fldCharType="end"/>
      </w:r>
      <w:r w:rsidR="00EE3B2B" w:rsidRPr="001F03F6">
        <w:rPr>
          <w:b/>
          <w:sz w:val="20"/>
          <w:szCs w:val="20"/>
        </w:rPr>
        <w:t>34593</w:t>
      </w:r>
      <w:r w:rsidR="00EE3B2B" w:rsidRPr="001F03F6">
        <w:rPr>
          <w:sz w:val="20"/>
          <w:szCs w:val="20"/>
        </w:rPr>
        <w:tab/>
      </w:r>
      <w:r w:rsidR="00EE3B2B" w:rsidRPr="001F03F6">
        <w:rPr>
          <w:b/>
          <w:i/>
          <w:sz w:val="20"/>
          <w:szCs w:val="20"/>
        </w:rPr>
        <w:t>Patricia McLean v. Executive Director of the British Columbia Securities Commission</w:t>
      </w:r>
    </w:p>
    <w:p w:rsidR="00EE3B2B" w:rsidRPr="001F03F6" w:rsidRDefault="00EE3B2B" w:rsidP="00EE3B2B">
      <w:pPr>
        <w:widowControl w:val="0"/>
        <w:jc w:val="both"/>
        <w:rPr>
          <w:sz w:val="20"/>
          <w:szCs w:val="20"/>
        </w:rPr>
      </w:pPr>
    </w:p>
    <w:p w:rsidR="00EE3B2B" w:rsidRPr="001F03F6" w:rsidRDefault="00EE3B2B" w:rsidP="00EE3B2B">
      <w:pPr>
        <w:widowControl w:val="0"/>
        <w:jc w:val="both"/>
        <w:rPr>
          <w:sz w:val="20"/>
          <w:szCs w:val="20"/>
        </w:rPr>
      </w:pPr>
      <w:r w:rsidRPr="001F03F6">
        <w:rPr>
          <w:sz w:val="20"/>
          <w:szCs w:val="20"/>
        </w:rPr>
        <w:t xml:space="preserve">Legislation </w:t>
      </w:r>
      <w:r w:rsidRPr="001F03F6">
        <w:rPr>
          <w:sz w:val="20"/>
          <w:szCs w:val="20"/>
        </w:rPr>
        <w:noBreakHyphen/>
        <w:t xml:space="preserve"> Interpretation </w:t>
      </w:r>
      <w:r w:rsidRPr="001F03F6">
        <w:rPr>
          <w:sz w:val="20"/>
          <w:szCs w:val="20"/>
        </w:rPr>
        <w:noBreakHyphen/>
        <w:t xml:space="preserve"> Limitation of Actions </w:t>
      </w:r>
      <w:r w:rsidRPr="001F03F6">
        <w:rPr>
          <w:sz w:val="20"/>
          <w:szCs w:val="20"/>
        </w:rPr>
        <w:noBreakHyphen/>
        <w:t xml:space="preserve"> Interpretation of ss. 159, 161(6), and 161(6) of the </w:t>
      </w:r>
      <w:r w:rsidRPr="001F03F6">
        <w:rPr>
          <w:i/>
          <w:sz w:val="20"/>
          <w:szCs w:val="20"/>
        </w:rPr>
        <w:t>Securities Act</w:t>
      </w:r>
      <w:r w:rsidRPr="001F03F6">
        <w:rPr>
          <w:sz w:val="20"/>
          <w:szCs w:val="20"/>
        </w:rPr>
        <w:t xml:space="preserve">, R.S.B.C. 1996, c. 418 </w:t>
      </w:r>
      <w:r w:rsidRPr="001F03F6">
        <w:rPr>
          <w:sz w:val="20"/>
          <w:szCs w:val="20"/>
        </w:rPr>
        <w:noBreakHyphen/>
        <w:t xml:space="preserve"> Whether the event giving rise to proceedings for the purposes of s. 159 was entering into a settlement agreement in Ontario or the conduct in Ontario giving rise to the settlement agreement.</w:t>
      </w:r>
    </w:p>
    <w:p w:rsidR="00EE3B2B" w:rsidRPr="001F03F6" w:rsidRDefault="00EE3B2B" w:rsidP="00EE3B2B">
      <w:pPr>
        <w:widowControl w:val="0"/>
        <w:jc w:val="both"/>
        <w:rPr>
          <w:sz w:val="20"/>
          <w:szCs w:val="20"/>
        </w:rPr>
      </w:pPr>
    </w:p>
    <w:p w:rsidR="00EE3B2B" w:rsidRPr="001F03F6" w:rsidRDefault="00EE3B2B" w:rsidP="00EE3B2B">
      <w:pPr>
        <w:widowControl w:val="0"/>
        <w:jc w:val="both"/>
        <w:rPr>
          <w:b/>
          <w:sz w:val="20"/>
          <w:szCs w:val="20"/>
        </w:rPr>
      </w:pPr>
      <w:r w:rsidRPr="001F03F6">
        <w:rPr>
          <w:sz w:val="20"/>
          <w:szCs w:val="20"/>
        </w:rPr>
        <w:t xml:space="preserve">On September 8, 2008, the appellant entered into a settlement agreement with the Ontario Securities Commission in respect to allegations of acts contrary to the public interest between May 2000 and March 2011.  On January 14, 2010, the Executive Director of the British Columbia </w:t>
      </w:r>
      <w:bookmarkStart w:id="12" w:name="HIT_31"/>
      <w:bookmarkStart w:id="13" w:name="ORIGHIT_31"/>
      <w:bookmarkEnd w:id="12"/>
      <w:bookmarkEnd w:id="13"/>
      <w:r w:rsidRPr="001F03F6">
        <w:rPr>
          <w:sz w:val="20"/>
          <w:szCs w:val="20"/>
        </w:rPr>
        <w:t xml:space="preserve">Securities Commission gave notice to the appellant of an application for an order in the public interest under s. 161(6)(d) of the </w:t>
      </w:r>
      <w:bookmarkStart w:id="14" w:name="HIT_22"/>
      <w:bookmarkStart w:id="15" w:name="ORIGHIT_22"/>
      <w:bookmarkEnd w:id="14"/>
      <w:bookmarkEnd w:id="15"/>
      <w:r w:rsidRPr="001F03F6">
        <w:rPr>
          <w:i/>
          <w:sz w:val="20"/>
          <w:szCs w:val="20"/>
        </w:rPr>
        <w:t>Securities Act</w:t>
      </w:r>
      <w:r w:rsidRPr="001F03F6">
        <w:rPr>
          <w:sz w:val="20"/>
          <w:szCs w:val="20"/>
        </w:rPr>
        <w:t xml:space="preserve">, R.S.B.C. 1996, c. 418. Section 159 of the </w:t>
      </w:r>
      <w:r w:rsidRPr="001F03F6">
        <w:rPr>
          <w:i/>
          <w:sz w:val="20"/>
          <w:szCs w:val="20"/>
        </w:rPr>
        <w:t>Securities Act</w:t>
      </w:r>
      <w:r w:rsidRPr="001F03F6">
        <w:rPr>
          <w:sz w:val="20"/>
          <w:szCs w:val="20"/>
        </w:rPr>
        <w:t xml:space="preserve"> states that action “must not be commenced more than 6 years after the date of the events that give rise to the proceedings”.  The appellant provided a written submission in part challenging the application on the basis that the limitation period had expired.  No oral hearing was requested or held.  The British Columbia Securities Commission issued a public interest order placing restrictions on the appellant.</w:t>
      </w:r>
    </w:p>
    <w:p w:rsidR="00EE3B2B" w:rsidRPr="001F03F6" w:rsidRDefault="00EE3B2B" w:rsidP="00EE3B2B">
      <w:pPr>
        <w:widowControl w:val="0"/>
        <w:jc w:val="both"/>
        <w:rPr>
          <w:sz w:val="20"/>
          <w:szCs w:val="20"/>
        </w:rPr>
      </w:pPr>
    </w:p>
    <w:p w:rsidR="00EE3B2B" w:rsidRPr="001F03F6" w:rsidRDefault="00EE3B2B" w:rsidP="00EE3B2B">
      <w:pPr>
        <w:widowControl w:val="0"/>
        <w:jc w:val="both"/>
        <w:rPr>
          <w:sz w:val="20"/>
          <w:szCs w:val="20"/>
        </w:rPr>
      </w:pPr>
    </w:p>
    <w:p w:rsidR="00EE3B2B" w:rsidRPr="001F03F6" w:rsidRDefault="00EE3B2B" w:rsidP="00EE3B2B">
      <w:pPr>
        <w:widowControl w:val="0"/>
        <w:ind w:left="2880" w:hanging="2880"/>
        <w:jc w:val="both"/>
        <w:rPr>
          <w:sz w:val="20"/>
          <w:szCs w:val="20"/>
        </w:rPr>
      </w:pPr>
      <w:r w:rsidRPr="001F03F6">
        <w:rPr>
          <w:sz w:val="20"/>
          <w:szCs w:val="20"/>
        </w:rPr>
        <w:t>Origin of the case:</w:t>
      </w:r>
      <w:r w:rsidRPr="001F03F6">
        <w:rPr>
          <w:sz w:val="20"/>
          <w:szCs w:val="20"/>
        </w:rPr>
        <w:tab/>
        <w:t>British Columbia</w:t>
      </w:r>
    </w:p>
    <w:p w:rsidR="00EE3B2B" w:rsidRPr="001F03F6" w:rsidRDefault="00EE3B2B" w:rsidP="00EE3B2B">
      <w:pPr>
        <w:widowControl w:val="0"/>
        <w:ind w:left="2880" w:hanging="2880"/>
        <w:jc w:val="both"/>
        <w:rPr>
          <w:sz w:val="20"/>
          <w:szCs w:val="20"/>
        </w:rPr>
      </w:pPr>
    </w:p>
    <w:p w:rsidR="00EE3B2B" w:rsidRPr="001F03F6" w:rsidRDefault="00EE3B2B" w:rsidP="00EE3B2B">
      <w:pPr>
        <w:widowControl w:val="0"/>
        <w:ind w:left="2880" w:hanging="2880"/>
        <w:jc w:val="both"/>
        <w:rPr>
          <w:sz w:val="20"/>
          <w:szCs w:val="20"/>
        </w:rPr>
      </w:pPr>
      <w:r w:rsidRPr="001F03F6">
        <w:rPr>
          <w:sz w:val="20"/>
          <w:szCs w:val="20"/>
        </w:rPr>
        <w:t>File No.:</w:t>
      </w:r>
      <w:r w:rsidRPr="001F03F6">
        <w:rPr>
          <w:sz w:val="20"/>
          <w:szCs w:val="20"/>
        </w:rPr>
        <w:tab/>
        <w:t>34593</w:t>
      </w:r>
    </w:p>
    <w:p w:rsidR="00EE3B2B" w:rsidRPr="001F03F6" w:rsidRDefault="00EE3B2B" w:rsidP="00EE3B2B">
      <w:pPr>
        <w:widowControl w:val="0"/>
        <w:ind w:left="2880" w:hanging="2880"/>
        <w:jc w:val="both"/>
        <w:rPr>
          <w:sz w:val="20"/>
          <w:szCs w:val="20"/>
        </w:rPr>
      </w:pPr>
    </w:p>
    <w:p w:rsidR="00EE3B2B" w:rsidRPr="001F03F6" w:rsidRDefault="00EE3B2B" w:rsidP="00EE3B2B">
      <w:pPr>
        <w:widowControl w:val="0"/>
        <w:ind w:left="2880" w:hanging="2880"/>
        <w:jc w:val="both"/>
        <w:rPr>
          <w:sz w:val="20"/>
          <w:szCs w:val="20"/>
        </w:rPr>
      </w:pPr>
      <w:r w:rsidRPr="001F03F6">
        <w:rPr>
          <w:sz w:val="20"/>
          <w:szCs w:val="20"/>
        </w:rPr>
        <w:t>Judgment of the Court of Appeal:</w:t>
      </w:r>
      <w:r w:rsidRPr="001F03F6">
        <w:rPr>
          <w:sz w:val="20"/>
          <w:szCs w:val="20"/>
        </w:rPr>
        <w:tab/>
        <w:t>November 10, 2011</w:t>
      </w:r>
    </w:p>
    <w:p w:rsidR="00EE3B2B" w:rsidRPr="001F03F6" w:rsidRDefault="00EE3B2B" w:rsidP="00EE3B2B">
      <w:pPr>
        <w:widowControl w:val="0"/>
        <w:ind w:left="2880" w:hanging="2880"/>
        <w:jc w:val="both"/>
        <w:rPr>
          <w:sz w:val="20"/>
          <w:szCs w:val="20"/>
        </w:rPr>
      </w:pPr>
    </w:p>
    <w:p w:rsidR="00EE3B2B" w:rsidRPr="001F03F6" w:rsidRDefault="00EE3B2B" w:rsidP="00EE3B2B">
      <w:pPr>
        <w:widowControl w:val="0"/>
        <w:ind w:left="2880" w:hanging="2880"/>
        <w:jc w:val="both"/>
        <w:rPr>
          <w:sz w:val="20"/>
          <w:szCs w:val="20"/>
        </w:rPr>
      </w:pPr>
      <w:r w:rsidRPr="001F03F6">
        <w:rPr>
          <w:sz w:val="20"/>
          <w:szCs w:val="20"/>
        </w:rPr>
        <w:t>Counsel:</w:t>
      </w:r>
      <w:r w:rsidRPr="001F03F6">
        <w:rPr>
          <w:sz w:val="20"/>
          <w:szCs w:val="20"/>
        </w:rPr>
        <w:tab/>
        <w:t>Christopher Wirth and Fredrick Schumann for the appellant</w:t>
      </w:r>
    </w:p>
    <w:p w:rsidR="00EE3B2B" w:rsidRPr="001F03F6" w:rsidRDefault="00EE3B2B" w:rsidP="00EE3B2B">
      <w:pPr>
        <w:widowControl w:val="0"/>
        <w:ind w:left="2880" w:hanging="2880"/>
        <w:jc w:val="both"/>
        <w:rPr>
          <w:sz w:val="20"/>
          <w:szCs w:val="20"/>
        </w:rPr>
      </w:pPr>
      <w:r w:rsidRPr="001F03F6">
        <w:rPr>
          <w:sz w:val="20"/>
          <w:szCs w:val="20"/>
        </w:rPr>
        <w:tab/>
        <w:t>Stephen M. Zolnay and Bronwyn M. Turner for the respondent</w:t>
      </w:r>
    </w:p>
    <w:p w:rsidR="006F66CA" w:rsidRPr="00EE3B2B" w:rsidRDefault="006F66CA" w:rsidP="006F66CA">
      <w:pPr>
        <w:tabs>
          <w:tab w:val="left" w:pos="-1440"/>
          <w:tab w:val="left" w:pos="-720"/>
        </w:tabs>
        <w:jc w:val="both"/>
        <w:rPr>
          <w:sz w:val="20"/>
          <w:szCs w:val="20"/>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06"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EE3B2B" w:rsidRPr="00C50731" w:rsidRDefault="003F21C7" w:rsidP="00EE3B2B">
      <w:pPr>
        <w:widowControl w:val="0"/>
        <w:ind w:left="720" w:hanging="720"/>
        <w:jc w:val="both"/>
        <w:rPr>
          <w:sz w:val="20"/>
          <w:szCs w:val="20"/>
          <w:lang w:val="fr-CA"/>
        </w:rPr>
      </w:pPr>
      <w:r w:rsidRPr="00C50731">
        <w:rPr>
          <w:b/>
          <w:sz w:val="20"/>
          <w:szCs w:val="20"/>
          <w:lang w:val="fr-CA"/>
        </w:rPr>
        <w:lastRenderedPageBreak/>
        <w:fldChar w:fldCharType="begin"/>
      </w:r>
      <w:r w:rsidR="00EE3B2B" w:rsidRPr="00C50731">
        <w:rPr>
          <w:b/>
          <w:sz w:val="20"/>
          <w:szCs w:val="20"/>
          <w:lang w:val="fr-CA"/>
        </w:rPr>
        <w:instrText xml:space="preserve"> SEQ CHAPTER \h \r 1</w:instrText>
      </w:r>
      <w:r w:rsidRPr="00C50731">
        <w:rPr>
          <w:b/>
          <w:sz w:val="20"/>
          <w:szCs w:val="20"/>
          <w:lang w:val="fr-CA"/>
        </w:rPr>
        <w:fldChar w:fldCharType="end"/>
      </w:r>
      <w:r w:rsidR="00EE3B2B" w:rsidRPr="00C50731">
        <w:rPr>
          <w:b/>
          <w:sz w:val="20"/>
          <w:szCs w:val="20"/>
          <w:lang w:val="fr-CA"/>
        </w:rPr>
        <w:t>34593</w:t>
      </w:r>
      <w:r w:rsidR="00EE3B2B" w:rsidRPr="00C50731">
        <w:rPr>
          <w:sz w:val="20"/>
          <w:szCs w:val="20"/>
          <w:lang w:val="fr-CA"/>
        </w:rPr>
        <w:tab/>
      </w:r>
      <w:r w:rsidR="00EE3B2B" w:rsidRPr="00C50731">
        <w:rPr>
          <w:b/>
          <w:i/>
          <w:sz w:val="20"/>
          <w:szCs w:val="20"/>
          <w:lang w:val="fr-CA"/>
        </w:rPr>
        <w:t>Patricia McLean v. Directeur général de la British Columbia Securities Commission</w:t>
      </w:r>
    </w:p>
    <w:p w:rsidR="00EE3B2B" w:rsidRPr="00C50731" w:rsidRDefault="00EE3B2B" w:rsidP="00EE3B2B">
      <w:pPr>
        <w:widowControl w:val="0"/>
        <w:jc w:val="both"/>
        <w:rPr>
          <w:sz w:val="20"/>
          <w:szCs w:val="20"/>
          <w:lang w:val="fr-CA"/>
        </w:rPr>
      </w:pPr>
    </w:p>
    <w:p w:rsidR="00EE3B2B" w:rsidRPr="00C50731" w:rsidRDefault="00EE3B2B" w:rsidP="00EE3B2B">
      <w:pPr>
        <w:widowControl w:val="0"/>
        <w:jc w:val="both"/>
        <w:rPr>
          <w:sz w:val="20"/>
          <w:szCs w:val="20"/>
          <w:lang w:val="fr-CA"/>
        </w:rPr>
      </w:pPr>
      <w:r w:rsidRPr="00C50731">
        <w:rPr>
          <w:sz w:val="20"/>
          <w:szCs w:val="20"/>
          <w:lang w:val="fr-CA"/>
        </w:rPr>
        <w:t xml:space="preserve">Législation </w:t>
      </w:r>
      <w:r w:rsidRPr="00C50731">
        <w:rPr>
          <w:sz w:val="20"/>
          <w:szCs w:val="20"/>
          <w:lang w:val="fr-CA"/>
        </w:rPr>
        <w:noBreakHyphen/>
        <w:t xml:space="preserve"> Interprétation </w:t>
      </w:r>
      <w:r w:rsidRPr="00C50731">
        <w:rPr>
          <w:sz w:val="20"/>
          <w:szCs w:val="20"/>
          <w:lang w:val="fr-CA"/>
        </w:rPr>
        <w:noBreakHyphen/>
        <w:t xml:space="preserve"> Prescription </w:t>
      </w:r>
      <w:r w:rsidRPr="00C50731">
        <w:rPr>
          <w:sz w:val="20"/>
          <w:szCs w:val="20"/>
          <w:lang w:val="fr-CA"/>
        </w:rPr>
        <w:noBreakHyphen/>
        <w:t xml:space="preserve"> Interprétation des art. 159, 161(6) et 161(6) de la </w:t>
      </w:r>
      <w:r w:rsidRPr="00C50731">
        <w:rPr>
          <w:i/>
          <w:sz w:val="20"/>
          <w:szCs w:val="20"/>
          <w:lang w:val="fr-CA"/>
        </w:rPr>
        <w:t>Securities Act</w:t>
      </w:r>
      <w:r w:rsidRPr="00C50731">
        <w:rPr>
          <w:sz w:val="20"/>
          <w:szCs w:val="20"/>
          <w:lang w:val="fr-CA"/>
        </w:rPr>
        <w:t xml:space="preserve">, R.S.B.C. 1996, ch. 418 </w:t>
      </w:r>
      <w:r w:rsidRPr="00C50731">
        <w:rPr>
          <w:sz w:val="20"/>
          <w:szCs w:val="20"/>
          <w:lang w:val="fr-CA"/>
        </w:rPr>
        <w:noBreakHyphen/>
        <w:t xml:space="preserve"> L’événement qui a donné lieu à l’instance aux fins de l’art. 159 était</w:t>
      </w:r>
      <w:r w:rsidRPr="00C50731">
        <w:rPr>
          <w:sz w:val="20"/>
          <w:szCs w:val="20"/>
          <w:lang w:val="fr-CA"/>
        </w:rPr>
        <w:noBreakHyphen/>
        <w:t>il la conclusion d’un règlement à l’amiable en Ontario ou bien la conduite en Ontario qui a donné lieu au règlement à l’amiable?</w:t>
      </w:r>
    </w:p>
    <w:p w:rsidR="00EE3B2B" w:rsidRPr="00C50731" w:rsidRDefault="00EE3B2B" w:rsidP="00EE3B2B">
      <w:pPr>
        <w:widowControl w:val="0"/>
        <w:jc w:val="both"/>
        <w:rPr>
          <w:sz w:val="20"/>
          <w:szCs w:val="20"/>
          <w:lang w:val="fr-CA"/>
        </w:rPr>
      </w:pPr>
    </w:p>
    <w:p w:rsidR="00EE3B2B" w:rsidRPr="00C50731" w:rsidRDefault="00EE3B2B" w:rsidP="00EE3B2B">
      <w:pPr>
        <w:widowControl w:val="0"/>
        <w:jc w:val="both"/>
        <w:rPr>
          <w:b/>
          <w:sz w:val="20"/>
          <w:szCs w:val="20"/>
          <w:lang w:val="fr-CA"/>
        </w:rPr>
      </w:pPr>
      <w:r w:rsidRPr="00C50731">
        <w:rPr>
          <w:sz w:val="20"/>
          <w:szCs w:val="20"/>
          <w:lang w:val="fr-CA"/>
        </w:rPr>
        <w:t>Le 8 septembre 2008, l’appelante a conclu un règlement à l’amiable avec la Commission des valeurs mobilières de l’Ontario relativement à des allégations d’actes commis contrairement à l’intérêt public entre mai 2000 et mars 2011.  Le 14 janvier 2010, le directeur général de la British Columbia Securities Commission a donné avis à l’appelante d’une demande d’ordonnance dans l’intérêt public aux termes de l’al. 161(6)</w:t>
      </w:r>
      <w:r w:rsidRPr="00C50731">
        <w:rPr>
          <w:i/>
          <w:sz w:val="20"/>
          <w:szCs w:val="20"/>
          <w:lang w:val="fr-CA"/>
        </w:rPr>
        <w:t>d</w:t>
      </w:r>
      <w:r w:rsidRPr="00C50731">
        <w:rPr>
          <w:sz w:val="20"/>
          <w:szCs w:val="20"/>
          <w:lang w:val="fr-CA"/>
        </w:rPr>
        <w:t xml:space="preserve">) de la </w:t>
      </w:r>
      <w:r w:rsidRPr="00C50731">
        <w:rPr>
          <w:i/>
          <w:sz w:val="20"/>
          <w:szCs w:val="20"/>
          <w:lang w:val="fr-CA"/>
        </w:rPr>
        <w:t>Securities Act</w:t>
      </w:r>
      <w:r w:rsidRPr="00C50731">
        <w:rPr>
          <w:sz w:val="20"/>
          <w:szCs w:val="20"/>
          <w:lang w:val="fr-CA"/>
        </w:rPr>
        <w:t xml:space="preserve">, R.S.B.C. 1996, ch. 418.  L’article 159 de la </w:t>
      </w:r>
      <w:r w:rsidRPr="00C50731">
        <w:rPr>
          <w:i/>
          <w:sz w:val="20"/>
          <w:szCs w:val="20"/>
          <w:lang w:val="fr-CA"/>
        </w:rPr>
        <w:t>Securities Act</w:t>
      </w:r>
      <w:r w:rsidRPr="00C50731">
        <w:rPr>
          <w:sz w:val="20"/>
          <w:szCs w:val="20"/>
          <w:lang w:val="fr-CA"/>
        </w:rPr>
        <w:t xml:space="preserve"> prévoit qu’une action [traduction] « ne doit pas être intentée plus de six ans après la date des événements qui ont donné lieu à l’instance ».  L’appelante a présenté des observations écrites dans lesquelles elle contestait en partie la demande au motif que le délai de prescription avait expiré.  Aucune audience n’a été demandée ni tenue.  La British Columbia Securities Commission a délivré une ordonnance d’intérêt public imposant des restrictions à l’appelante.</w:t>
      </w:r>
    </w:p>
    <w:p w:rsidR="00EE3B2B" w:rsidRPr="00C50731" w:rsidRDefault="00EE3B2B" w:rsidP="00EE3B2B">
      <w:pPr>
        <w:widowControl w:val="0"/>
        <w:jc w:val="both"/>
        <w:rPr>
          <w:sz w:val="20"/>
          <w:szCs w:val="20"/>
          <w:lang w:val="fr-CA"/>
        </w:rPr>
      </w:pPr>
    </w:p>
    <w:p w:rsidR="00EE3B2B" w:rsidRPr="00C50731" w:rsidRDefault="00EE3B2B" w:rsidP="00EE3B2B">
      <w:pPr>
        <w:widowControl w:val="0"/>
        <w:jc w:val="both"/>
        <w:rPr>
          <w:sz w:val="20"/>
          <w:szCs w:val="20"/>
          <w:lang w:val="fr-CA"/>
        </w:rPr>
      </w:pPr>
    </w:p>
    <w:p w:rsidR="00EE3B2B" w:rsidRPr="00C50731" w:rsidRDefault="00EE3B2B" w:rsidP="00EE3B2B">
      <w:pPr>
        <w:widowControl w:val="0"/>
        <w:ind w:left="2880" w:hanging="2880"/>
        <w:jc w:val="both"/>
        <w:rPr>
          <w:sz w:val="20"/>
          <w:szCs w:val="20"/>
          <w:lang w:val="fr-CA"/>
        </w:rPr>
      </w:pPr>
      <w:r w:rsidRPr="00C50731">
        <w:rPr>
          <w:sz w:val="20"/>
          <w:szCs w:val="20"/>
          <w:lang w:val="fr-CA"/>
        </w:rPr>
        <w:t>Origine :</w:t>
      </w:r>
      <w:r w:rsidRPr="00C50731">
        <w:rPr>
          <w:sz w:val="20"/>
          <w:szCs w:val="20"/>
          <w:lang w:val="fr-CA"/>
        </w:rPr>
        <w:tab/>
        <w:t>Colombie</w:t>
      </w:r>
      <w:r w:rsidRPr="00C50731">
        <w:rPr>
          <w:sz w:val="20"/>
          <w:szCs w:val="20"/>
          <w:lang w:val="fr-CA"/>
        </w:rPr>
        <w:noBreakHyphen/>
        <w:t>Britannique</w:t>
      </w:r>
    </w:p>
    <w:p w:rsidR="00EE3B2B" w:rsidRPr="00C50731" w:rsidRDefault="00EE3B2B" w:rsidP="00EE3B2B">
      <w:pPr>
        <w:widowControl w:val="0"/>
        <w:ind w:left="2880" w:hanging="2880"/>
        <w:jc w:val="both"/>
        <w:rPr>
          <w:sz w:val="20"/>
          <w:szCs w:val="20"/>
          <w:lang w:val="fr-CA"/>
        </w:rPr>
      </w:pPr>
    </w:p>
    <w:p w:rsidR="00EE3B2B" w:rsidRPr="00C50731" w:rsidRDefault="00EE3B2B" w:rsidP="00EE3B2B">
      <w:pPr>
        <w:widowControl w:val="0"/>
        <w:ind w:left="2880" w:hanging="2880"/>
        <w:jc w:val="both"/>
        <w:rPr>
          <w:sz w:val="20"/>
          <w:szCs w:val="20"/>
          <w:lang w:val="fr-CA"/>
        </w:rPr>
      </w:pPr>
      <w:r w:rsidRPr="00C50731">
        <w:rPr>
          <w:sz w:val="20"/>
          <w:szCs w:val="20"/>
          <w:lang w:val="fr-CA"/>
        </w:rPr>
        <w:t>N</w:t>
      </w:r>
      <w:r w:rsidRPr="00C50731">
        <w:rPr>
          <w:sz w:val="20"/>
          <w:szCs w:val="20"/>
          <w:vertAlign w:val="superscript"/>
          <w:lang w:val="fr-CA"/>
        </w:rPr>
        <w:t>o</w:t>
      </w:r>
      <w:r w:rsidRPr="00C50731">
        <w:rPr>
          <w:sz w:val="20"/>
          <w:szCs w:val="20"/>
          <w:lang w:val="fr-CA"/>
        </w:rPr>
        <w:t xml:space="preserve"> du greffe :</w:t>
      </w:r>
      <w:r w:rsidRPr="00C50731">
        <w:rPr>
          <w:sz w:val="20"/>
          <w:szCs w:val="20"/>
          <w:lang w:val="fr-CA"/>
        </w:rPr>
        <w:tab/>
        <w:t>34593</w:t>
      </w:r>
    </w:p>
    <w:p w:rsidR="00EE3B2B" w:rsidRPr="00C50731" w:rsidRDefault="00EE3B2B" w:rsidP="00EE3B2B">
      <w:pPr>
        <w:widowControl w:val="0"/>
        <w:ind w:left="2880" w:hanging="2880"/>
        <w:jc w:val="both"/>
        <w:rPr>
          <w:sz w:val="20"/>
          <w:szCs w:val="20"/>
          <w:lang w:val="fr-CA"/>
        </w:rPr>
      </w:pPr>
    </w:p>
    <w:p w:rsidR="00EE3B2B" w:rsidRPr="00C50731" w:rsidRDefault="00EE3B2B" w:rsidP="00EE3B2B">
      <w:pPr>
        <w:widowControl w:val="0"/>
        <w:ind w:left="2880" w:hanging="2880"/>
        <w:jc w:val="both"/>
        <w:rPr>
          <w:sz w:val="20"/>
          <w:szCs w:val="20"/>
          <w:lang w:val="fr-CA"/>
        </w:rPr>
      </w:pPr>
      <w:r w:rsidRPr="00C50731">
        <w:rPr>
          <w:sz w:val="20"/>
          <w:szCs w:val="20"/>
          <w:lang w:val="fr-CA"/>
        </w:rPr>
        <w:t>Arrêt de la Cour d’appel :</w:t>
      </w:r>
      <w:r w:rsidRPr="00C50731">
        <w:rPr>
          <w:sz w:val="20"/>
          <w:szCs w:val="20"/>
          <w:lang w:val="fr-CA"/>
        </w:rPr>
        <w:tab/>
        <w:t>le 10 novembre 2011</w:t>
      </w:r>
    </w:p>
    <w:p w:rsidR="00EE3B2B" w:rsidRPr="00C50731" w:rsidRDefault="00EE3B2B" w:rsidP="00EE3B2B">
      <w:pPr>
        <w:widowControl w:val="0"/>
        <w:ind w:left="2880" w:hanging="2880"/>
        <w:jc w:val="both"/>
        <w:rPr>
          <w:sz w:val="20"/>
          <w:szCs w:val="20"/>
          <w:lang w:val="fr-CA"/>
        </w:rPr>
      </w:pPr>
    </w:p>
    <w:p w:rsidR="00EE3B2B" w:rsidRPr="00C50731" w:rsidRDefault="00EE3B2B" w:rsidP="00EE3B2B">
      <w:pPr>
        <w:widowControl w:val="0"/>
        <w:ind w:left="2880" w:hanging="2880"/>
        <w:jc w:val="both"/>
        <w:rPr>
          <w:sz w:val="20"/>
          <w:szCs w:val="20"/>
          <w:lang w:val="fr-CA"/>
        </w:rPr>
      </w:pPr>
      <w:r w:rsidRPr="00C50731">
        <w:rPr>
          <w:sz w:val="20"/>
          <w:szCs w:val="20"/>
          <w:lang w:val="fr-CA"/>
        </w:rPr>
        <w:t>Avocats :</w:t>
      </w:r>
      <w:r w:rsidRPr="00C50731">
        <w:rPr>
          <w:sz w:val="20"/>
          <w:szCs w:val="20"/>
          <w:lang w:val="fr-CA"/>
        </w:rPr>
        <w:tab/>
        <w:t>Christopher Wirth et Fredrick Schumann pour l’appelante</w:t>
      </w:r>
    </w:p>
    <w:p w:rsidR="00EE3B2B" w:rsidRPr="00C50731" w:rsidRDefault="00EE3B2B" w:rsidP="00EE3B2B">
      <w:pPr>
        <w:widowControl w:val="0"/>
        <w:ind w:left="2880" w:hanging="2880"/>
        <w:jc w:val="both"/>
        <w:rPr>
          <w:sz w:val="20"/>
          <w:szCs w:val="20"/>
          <w:lang w:val="fr-CA"/>
        </w:rPr>
      </w:pPr>
      <w:r w:rsidRPr="00C50731">
        <w:rPr>
          <w:sz w:val="20"/>
          <w:szCs w:val="20"/>
          <w:lang w:val="fr-CA"/>
        </w:rPr>
        <w:tab/>
        <w:t>Stephen M. Zolnay et Bronwyn M. Turner pour l’intimé</w:t>
      </w:r>
    </w:p>
    <w:p w:rsidR="006F66CA" w:rsidRDefault="006F66CA" w:rsidP="006F66CA">
      <w:pPr>
        <w:tabs>
          <w:tab w:val="left" w:pos="-1440"/>
          <w:tab w:val="left" w:pos="-720"/>
        </w:tabs>
        <w:jc w:val="both"/>
        <w:rPr>
          <w:sz w:val="20"/>
          <w:szCs w:val="20"/>
          <w:lang w:val="fr-CA"/>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07"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495D27" w:rsidRPr="00D341A8" w:rsidRDefault="003F21C7" w:rsidP="00495D27">
      <w:pPr>
        <w:widowControl w:val="0"/>
        <w:ind w:left="720" w:hanging="720"/>
        <w:jc w:val="both"/>
        <w:rPr>
          <w:sz w:val="20"/>
          <w:szCs w:val="20"/>
        </w:rPr>
      </w:pPr>
      <w:r w:rsidRPr="00D341A8">
        <w:rPr>
          <w:b/>
          <w:sz w:val="20"/>
          <w:szCs w:val="20"/>
        </w:rPr>
        <w:lastRenderedPageBreak/>
        <w:fldChar w:fldCharType="begin"/>
      </w:r>
      <w:r w:rsidR="00495D27" w:rsidRPr="00D341A8">
        <w:rPr>
          <w:b/>
          <w:sz w:val="20"/>
          <w:szCs w:val="20"/>
        </w:rPr>
        <w:instrText xml:space="preserve"> SEQ CHAPTER \h \r 1</w:instrText>
      </w:r>
      <w:r w:rsidRPr="00D341A8">
        <w:rPr>
          <w:b/>
          <w:sz w:val="20"/>
          <w:szCs w:val="20"/>
        </w:rPr>
        <w:fldChar w:fldCharType="end"/>
      </w:r>
      <w:r w:rsidR="00495D27" w:rsidRPr="00D341A8">
        <w:rPr>
          <w:b/>
          <w:sz w:val="20"/>
          <w:szCs w:val="20"/>
        </w:rPr>
        <w:t>34769</w:t>
      </w:r>
      <w:r w:rsidR="00495D27" w:rsidRPr="00D341A8">
        <w:rPr>
          <w:sz w:val="20"/>
          <w:szCs w:val="20"/>
        </w:rPr>
        <w:tab/>
      </w:r>
      <w:r w:rsidR="00495D27" w:rsidRPr="00D341A8">
        <w:rPr>
          <w:b/>
          <w:i/>
          <w:sz w:val="20"/>
          <w:szCs w:val="20"/>
        </w:rPr>
        <w:t>Her Majesty the Queen in Right of the Province of British Columbia as represented by the Ministry of Forests v. Teal Cedar Products Ltd.</w:t>
      </w:r>
    </w:p>
    <w:p w:rsidR="00495D27" w:rsidRPr="00D341A8" w:rsidRDefault="00495D27" w:rsidP="00495D27">
      <w:pPr>
        <w:widowControl w:val="0"/>
        <w:jc w:val="both"/>
        <w:rPr>
          <w:sz w:val="20"/>
          <w:szCs w:val="20"/>
        </w:rPr>
      </w:pPr>
    </w:p>
    <w:p w:rsidR="00495D27" w:rsidRPr="00D341A8" w:rsidRDefault="00495D27" w:rsidP="00495D27">
      <w:pPr>
        <w:widowControl w:val="0"/>
        <w:jc w:val="both"/>
        <w:rPr>
          <w:sz w:val="20"/>
          <w:szCs w:val="20"/>
        </w:rPr>
      </w:pPr>
      <w:r w:rsidRPr="00D341A8">
        <w:rPr>
          <w:sz w:val="20"/>
          <w:szCs w:val="20"/>
        </w:rPr>
        <w:t xml:space="preserve">Interest </w:t>
      </w:r>
      <w:r w:rsidRPr="00D341A8">
        <w:rPr>
          <w:sz w:val="20"/>
          <w:szCs w:val="20"/>
        </w:rPr>
        <w:noBreakHyphen/>
        <w:t xml:space="preserve"> Arbitrator awarding compound interest to holder of forest licence interest as part of compensation for expropriation </w:t>
      </w:r>
      <w:r w:rsidRPr="00D341A8">
        <w:rPr>
          <w:sz w:val="20"/>
          <w:szCs w:val="20"/>
        </w:rPr>
        <w:noBreakHyphen/>
        <w:t xml:space="preserve"> British Columbia Supreme Court confirming arbitrator’s order on compound interest </w:t>
      </w:r>
      <w:r w:rsidRPr="00D341A8">
        <w:rPr>
          <w:sz w:val="20"/>
          <w:szCs w:val="20"/>
        </w:rPr>
        <w:noBreakHyphen/>
        <w:t xml:space="preserve"> Court of Appeal finding no basis to intervene with lower court’s affirmation of arbitrator’s order on compound interest </w:t>
      </w:r>
      <w:r w:rsidRPr="00D341A8">
        <w:rPr>
          <w:sz w:val="20"/>
          <w:szCs w:val="20"/>
        </w:rPr>
        <w:noBreakHyphen/>
        <w:t xml:space="preserve"> </w:t>
      </w:r>
      <w:bookmarkStart w:id="16" w:name="OLE_LINK1"/>
      <w:bookmarkStart w:id="17" w:name="OLE_LINK2"/>
      <w:r w:rsidRPr="00D341A8">
        <w:rPr>
          <w:sz w:val="20"/>
          <w:szCs w:val="20"/>
        </w:rPr>
        <w:t>Whether the pre</w:t>
      </w:r>
      <w:r w:rsidRPr="00D341A8">
        <w:rPr>
          <w:sz w:val="20"/>
          <w:szCs w:val="20"/>
        </w:rPr>
        <w:noBreakHyphen/>
        <w:t xml:space="preserve">judgment interest provisions in the </w:t>
      </w:r>
      <w:r w:rsidRPr="00D341A8">
        <w:rPr>
          <w:i/>
          <w:iCs/>
          <w:sz w:val="20"/>
          <w:szCs w:val="20"/>
        </w:rPr>
        <w:t xml:space="preserve">Court Order Interest Act, </w:t>
      </w:r>
      <w:r w:rsidRPr="00D341A8">
        <w:rPr>
          <w:sz w:val="20"/>
          <w:szCs w:val="20"/>
        </w:rPr>
        <w:t xml:space="preserve">R.S.B.C. 1996, c. 79, apply to the appellant’s claim </w:t>
      </w:r>
      <w:r w:rsidRPr="00D341A8">
        <w:rPr>
          <w:sz w:val="20"/>
          <w:szCs w:val="20"/>
        </w:rPr>
        <w:noBreakHyphen/>
        <w:t xml:space="preserve"> Whether expropriation principles allow an award of compound interest to the appellant despite the statutory prohibition in the </w:t>
      </w:r>
      <w:r w:rsidRPr="00D341A8">
        <w:rPr>
          <w:i/>
          <w:iCs/>
          <w:sz w:val="20"/>
          <w:szCs w:val="20"/>
        </w:rPr>
        <w:t>Court Order Interest Act</w:t>
      </w:r>
      <w:r w:rsidRPr="00D341A8">
        <w:rPr>
          <w:iCs/>
          <w:sz w:val="20"/>
          <w:szCs w:val="20"/>
        </w:rPr>
        <w:t xml:space="preserve"> </w:t>
      </w:r>
      <w:r w:rsidRPr="00D341A8">
        <w:rPr>
          <w:iCs/>
          <w:sz w:val="20"/>
          <w:szCs w:val="20"/>
        </w:rPr>
        <w:noBreakHyphen/>
        <w:t xml:space="preserve"> Whether there is an equitable jurisdiction in British Columbia to award compound interest despite the statutory prohibition </w:t>
      </w:r>
      <w:r w:rsidRPr="00D341A8">
        <w:rPr>
          <w:i/>
          <w:iCs/>
          <w:sz w:val="20"/>
          <w:szCs w:val="20"/>
        </w:rPr>
        <w:t>Court Order Interest Act</w:t>
      </w:r>
      <w:r w:rsidRPr="00D341A8">
        <w:rPr>
          <w:iCs/>
          <w:sz w:val="20"/>
          <w:szCs w:val="20"/>
        </w:rPr>
        <w:t xml:space="preserve"> </w:t>
      </w:r>
      <w:r w:rsidRPr="00D341A8">
        <w:rPr>
          <w:iCs/>
          <w:sz w:val="20"/>
          <w:szCs w:val="20"/>
        </w:rPr>
        <w:noBreakHyphen/>
        <w:t xml:space="preserve"> If there is such an equitable jurisdiction, whether it should be exercised in the appellant’s favour. </w:t>
      </w:r>
    </w:p>
    <w:bookmarkEnd w:id="16"/>
    <w:bookmarkEnd w:id="17"/>
    <w:p w:rsidR="00495D27" w:rsidRPr="00D341A8" w:rsidRDefault="00495D27" w:rsidP="00495D27">
      <w:pPr>
        <w:widowControl w:val="0"/>
        <w:jc w:val="both"/>
        <w:rPr>
          <w:sz w:val="20"/>
          <w:szCs w:val="20"/>
        </w:rPr>
      </w:pPr>
    </w:p>
    <w:p w:rsidR="00495D27" w:rsidRPr="00D341A8" w:rsidRDefault="00495D27" w:rsidP="00495D27">
      <w:pPr>
        <w:widowControl w:val="0"/>
        <w:jc w:val="both"/>
        <w:rPr>
          <w:sz w:val="20"/>
          <w:szCs w:val="20"/>
        </w:rPr>
      </w:pPr>
      <w:r w:rsidRPr="00D341A8">
        <w:rPr>
          <w:sz w:val="20"/>
          <w:szCs w:val="20"/>
        </w:rPr>
        <w:t>Teal Cedar Products Ltd. held a forest licence entitling it to harvest annually a stipulated volume of timber from a specified area in British Columbia.  In 1993, Her Majesty the Queen in Right of the Province of British Columbia as represented by the Ministry of Forests imposed a moratorium on harvesting for the purpose of considering the creation of a new provincial park.  In 1995, part of the area at issue was used to create a new provincial park and logging became prohibited within the park boundaries.  The respondent’s allowable annual cut (the “AAC”) under its harvesting licence was ultimately reduced in 1999.  The respondent’s claim for compensation for partial expropriation as a result of the AAC reduction was thereafter submitted to arbitration, which resulted in the Award (i) dismissing the respondent’s claim for losses suffered prior to the reduction in its AAC and (ii) awarding compensation after that period totalling $6.35 million plus compound interest and actual reasonable legal costs agreed upon by the parties on an indemnity basis totalling $1.02 million.</w:t>
      </w:r>
    </w:p>
    <w:p w:rsidR="00495D27" w:rsidRPr="00D341A8" w:rsidRDefault="00495D27" w:rsidP="00495D27">
      <w:pPr>
        <w:widowControl w:val="0"/>
        <w:jc w:val="both"/>
        <w:rPr>
          <w:sz w:val="20"/>
          <w:szCs w:val="20"/>
        </w:rPr>
      </w:pPr>
    </w:p>
    <w:p w:rsidR="00495D27" w:rsidRPr="00D341A8" w:rsidRDefault="00495D27" w:rsidP="00495D27">
      <w:pPr>
        <w:widowControl w:val="0"/>
        <w:jc w:val="both"/>
        <w:rPr>
          <w:sz w:val="20"/>
          <w:szCs w:val="20"/>
        </w:rPr>
      </w:pPr>
    </w:p>
    <w:p w:rsidR="00495D27" w:rsidRPr="00D341A8" w:rsidRDefault="00495D27" w:rsidP="00495D27">
      <w:pPr>
        <w:widowControl w:val="0"/>
        <w:ind w:left="2880" w:hanging="2880"/>
        <w:jc w:val="both"/>
        <w:rPr>
          <w:sz w:val="20"/>
          <w:szCs w:val="20"/>
        </w:rPr>
      </w:pPr>
      <w:r w:rsidRPr="00D341A8">
        <w:rPr>
          <w:sz w:val="20"/>
          <w:szCs w:val="20"/>
        </w:rPr>
        <w:t>Origin of the case:</w:t>
      </w:r>
      <w:r w:rsidRPr="00D341A8">
        <w:rPr>
          <w:sz w:val="20"/>
          <w:szCs w:val="20"/>
        </w:rPr>
        <w:tab/>
        <w:t>British Columbia</w:t>
      </w:r>
    </w:p>
    <w:p w:rsidR="00495D27" w:rsidRPr="00D341A8" w:rsidRDefault="00495D27" w:rsidP="00495D27">
      <w:pPr>
        <w:widowControl w:val="0"/>
        <w:ind w:left="2880" w:hanging="2880"/>
        <w:jc w:val="both"/>
        <w:rPr>
          <w:sz w:val="20"/>
          <w:szCs w:val="20"/>
        </w:rPr>
      </w:pPr>
    </w:p>
    <w:p w:rsidR="00495D27" w:rsidRPr="00D341A8" w:rsidRDefault="00495D27" w:rsidP="00495D27">
      <w:pPr>
        <w:widowControl w:val="0"/>
        <w:ind w:left="2880" w:hanging="2880"/>
        <w:jc w:val="both"/>
        <w:rPr>
          <w:sz w:val="20"/>
          <w:szCs w:val="20"/>
        </w:rPr>
      </w:pPr>
      <w:r w:rsidRPr="00D341A8">
        <w:rPr>
          <w:sz w:val="20"/>
          <w:szCs w:val="20"/>
        </w:rPr>
        <w:t>File No.:</w:t>
      </w:r>
      <w:r w:rsidRPr="00D341A8">
        <w:rPr>
          <w:sz w:val="20"/>
          <w:szCs w:val="20"/>
        </w:rPr>
        <w:tab/>
        <w:t>34769</w:t>
      </w:r>
    </w:p>
    <w:p w:rsidR="00495D27" w:rsidRPr="00D341A8" w:rsidRDefault="00495D27" w:rsidP="00495D27">
      <w:pPr>
        <w:widowControl w:val="0"/>
        <w:ind w:left="2880" w:hanging="2880"/>
        <w:jc w:val="both"/>
        <w:rPr>
          <w:sz w:val="20"/>
          <w:szCs w:val="20"/>
        </w:rPr>
      </w:pPr>
    </w:p>
    <w:p w:rsidR="00495D27" w:rsidRPr="00D341A8" w:rsidRDefault="00495D27" w:rsidP="00495D27">
      <w:pPr>
        <w:widowControl w:val="0"/>
        <w:ind w:left="2880" w:hanging="2880"/>
        <w:jc w:val="both"/>
        <w:rPr>
          <w:sz w:val="20"/>
          <w:szCs w:val="20"/>
        </w:rPr>
      </w:pPr>
      <w:r w:rsidRPr="00D341A8">
        <w:rPr>
          <w:sz w:val="20"/>
          <w:szCs w:val="20"/>
        </w:rPr>
        <w:t>Judgment of the Court of Appeal:</w:t>
      </w:r>
      <w:r w:rsidRPr="00D341A8">
        <w:rPr>
          <w:sz w:val="20"/>
          <w:szCs w:val="20"/>
        </w:rPr>
        <w:tab/>
        <w:t>February 13, 2012</w:t>
      </w:r>
    </w:p>
    <w:p w:rsidR="00495D27" w:rsidRPr="00D341A8" w:rsidRDefault="00495D27" w:rsidP="00495D27">
      <w:pPr>
        <w:widowControl w:val="0"/>
        <w:ind w:left="2880" w:hanging="2880"/>
        <w:jc w:val="both"/>
        <w:rPr>
          <w:sz w:val="20"/>
          <w:szCs w:val="20"/>
        </w:rPr>
      </w:pPr>
    </w:p>
    <w:p w:rsidR="00495D27" w:rsidRPr="00D341A8" w:rsidRDefault="00495D27" w:rsidP="00495D27">
      <w:pPr>
        <w:widowControl w:val="0"/>
        <w:ind w:left="2880" w:hanging="2880"/>
        <w:jc w:val="both"/>
        <w:rPr>
          <w:sz w:val="20"/>
          <w:szCs w:val="20"/>
        </w:rPr>
      </w:pPr>
      <w:r w:rsidRPr="00D341A8">
        <w:rPr>
          <w:sz w:val="20"/>
          <w:szCs w:val="20"/>
        </w:rPr>
        <w:t>Counsel:</w:t>
      </w:r>
      <w:r w:rsidRPr="00D341A8">
        <w:rPr>
          <w:sz w:val="20"/>
          <w:szCs w:val="20"/>
        </w:rPr>
        <w:tab/>
        <w:t>Karen Horsman for the appellant</w:t>
      </w:r>
    </w:p>
    <w:p w:rsidR="00495D27" w:rsidRPr="00D341A8" w:rsidRDefault="00495D27" w:rsidP="00495D27">
      <w:pPr>
        <w:widowControl w:val="0"/>
        <w:ind w:left="2880" w:hanging="2880"/>
        <w:jc w:val="both"/>
        <w:rPr>
          <w:sz w:val="20"/>
          <w:szCs w:val="20"/>
        </w:rPr>
      </w:pPr>
      <w:r w:rsidRPr="00D341A8">
        <w:rPr>
          <w:sz w:val="20"/>
          <w:szCs w:val="20"/>
        </w:rPr>
        <w:tab/>
        <w:t>John J. L. Hunter, Q.C. for the respondent</w:t>
      </w:r>
    </w:p>
    <w:p w:rsidR="006F66CA" w:rsidRPr="00495D27" w:rsidRDefault="006F66CA" w:rsidP="006F66CA">
      <w:pPr>
        <w:tabs>
          <w:tab w:val="left" w:pos="-1440"/>
          <w:tab w:val="left" w:pos="-720"/>
        </w:tabs>
        <w:jc w:val="both"/>
        <w:rPr>
          <w:sz w:val="20"/>
          <w:szCs w:val="20"/>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08"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495D27" w:rsidRPr="00894662" w:rsidRDefault="003F21C7" w:rsidP="00495D27">
      <w:pPr>
        <w:widowControl w:val="0"/>
        <w:ind w:left="720" w:hanging="720"/>
        <w:jc w:val="both"/>
        <w:rPr>
          <w:sz w:val="20"/>
          <w:szCs w:val="20"/>
          <w:lang w:val="fr-CA"/>
        </w:rPr>
      </w:pPr>
      <w:r w:rsidRPr="00894662">
        <w:rPr>
          <w:b/>
          <w:sz w:val="20"/>
          <w:szCs w:val="20"/>
          <w:lang w:val="fr-CA"/>
        </w:rPr>
        <w:lastRenderedPageBreak/>
        <w:fldChar w:fldCharType="begin"/>
      </w:r>
      <w:r w:rsidR="00495D27" w:rsidRPr="00894662">
        <w:rPr>
          <w:b/>
          <w:sz w:val="20"/>
          <w:szCs w:val="20"/>
          <w:lang w:val="fr-CA"/>
        </w:rPr>
        <w:instrText xml:space="preserve"> SEQ CHAPTER \h \r 1</w:instrText>
      </w:r>
      <w:r w:rsidRPr="00894662">
        <w:rPr>
          <w:b/>
          <w:sz w:val="20"/>
          <w:szCs w:val="20"/>
          <w:lang w:val="fr-CA"/>
        </w:rPr>
        <w:fldChar w:fldCharType="end"/>
      </w:r>
      <w:r w:rsidR="00495D27" w:rsidRPr="00894662">
        <w:rPr>
          <w:b/>
          <w:sz w:val="20"/>
          <w:szCs w:val="20"/>
          <w:lang w:val="fr-CA"/>
        </w:rPr>
        <w:t>34769</w:t>
      </w:r>
      <w:r w:rsidR="00495D27" w:rsidRPr="00894662">
        <w:rPr>
          <w:sz w:val="20"/>
          <w:szCs w:val="20"/>
          <w:lang w:val="fr-CA"/>
        </w:rPr>
        <w:tab/>
      </w:r>
      <w:r w:rsidR="00495D27" w:rsidRPr="00894662">
        <w:rPr>
          <w:b/>
          <w:i/>
          <w:sz w:val="20"/>
          <w:szCs w:val="20"/>
          <w:lang w:val="fr-CA"/>
        </w:rPr>
        <w:t>Sa Majesté la Reine du chef de la Province de la Colombie</w:t>
      </w:r>
      <w:r w:rsidR="00495D27" w:rsidRPr="00894662">
        <w:rPr>
          <w:b/>
          <w:i/>
          <w:sz w:val="20"/>
          <w:szCs w:val="20"/>
          <w:lang w:val="fr-CA"/>
        </w:rPr>
        <w:noBreakHyphen/>
        <w:t>Britannique, représentée par le ministère des Forêts c. Teal Cedar Products Ltd.</w:t>
      </w:r>
    </w:p>
    <w:p w:rsidR="00495D27" w:rsidRPr="00894662" w:rsidRDefault="00495D27" w:rsidP="00495D27">
      <w:pPr>
        <w:widowControl w:val="0"/>
        <w:jc w:val="both"/>
        <w:rPr>
          <w:sz w:val="20"/>
          <w:szCs w:val="20"/>
          <w:lang w:val="fr-CA"/>
        </w:rPr>
      </w:pPr>
    </w:p>
    <w:p w:rsidR="00495D27" w:rsidRPr="00894662" w:rsidRDefault="00495D27" w:rsidP="00495D27">
      <w:pPr>
        <w:widowControl w:val="0"/>
        <w:jc w:val="both"/>
        <w:rPr>
          <w:sz w:val="20"/>
          <w:szCs w:val="20"/>
          <w:lang w:val="fr-CA"/>
        </w:rPr>
      </w:pPr>
      <w:r w:rsidRPr="00894662">
        <w:rPr>
          <w:sz w:val="20"/>
          <w:szCs w:val="20"/>
          <w:lang w:val="fr-CA"/>
        </w:rPr>
        <w:t xml:space="preserve">Intérêts </w:t>
      </w:r>
      <w:r w:rsidRPr="00894662">
        <w:rPr>
          <w:sz w:val="20"/>
          <w:szCs w:val="20"/>
          <w:lang w:val="fr-CA"/>
        </w:rPr>
        <w:noBreakHyphen/>
        <w:t xml:space="preserve"> Intérêts composés accordés par l’arbitre au titulaire d’un permis d’exploitation forestière comme partie de l’indemnité pour expropriation </w:t>
      </w:r>
      <w:r w:rsidRPr="00894662">
        <w:rPr>
          <w:sz w:val="20"/>
          <w:szCs w:val="20"/>
          <w:lang w:val="fr-CA"/>
        </w:rPr>
        <w:noBreakHyphen/>
        <w:t xml:space="preserve"> Ordonnance de l’arbitre sur les intérêts composés confirmée par la Cour suprême de la Colombie</w:t>
      </w:r>
      <w:r w:rsidRPr="00894662">
        <w:rPr>
          <w:sz w:val="20"/>
          <w:szCs w:val="20"/>
          <w:lang w:val="fr-CA"/>
        </w:rPr>
        <w:noBreakHyphen/>
        <w:t xml:space="preserve">Britannique </w:t>
      </w:r>
      <w:r w:rsidRPr="00894662">
        <w:rPr>
          <w:sz w:val="20"/>
          <w:szCs w:val="20"/>
          <w:lang w:val="fr-CA"/>
        </w:rPr>
        <w:noBreakHyphen/>
        <w:t xml:space="preserve"> Absence de raison, selon la Cour d’appel, d’intervenir à l’égard de la confirmation par le tribunal inférieur de l’ordonnance de l’arbitre sur les intérêts composés </w:t>
      </w:r>
      <w:r w:rsidRPr="00894662">
        <w:rPr>
          <w:sz w:val="20"/>
          <w:szCs w:val="20"/>
          <w:lang w:val="fr-CA"/>
        </w:rPr>
        <w:noBreakHyphen/>
        <w:t xml:space="preserve"> Les dispositions relatives à l’intérêt avant jugement dans la </w:t>
      </w:r>
      <w:r w:rsidRPr="00894662">
        <w:rPr>
          <w:i/>
          <w:sz w:val="20"/>
          <w:szCs w:val="20"/>
          <w:lang w:val="fr-CA"/>
        </w:rPr>
        <w:t>Court Order Interest Act</w:t>
      </w:r>
      <w:r w:rsidRPr="00894662">
        <w:rPr>
          <w:sz w:val="20"/>
          <w:szCs w:val="20"/>
          <w:lang w:val="fr-CA"/>
        </w:rPr>
        <w:t>, R.S.B.C. 1996, ch. 79 s’appliquent</w:t>
      </w:r>
      <w:r w:rsidRPr="00894662">
        <w:rPr>
          <w:sz w:val="20"/>
          <w:szCs w:val="20"/>
          <w:lang w:val="fr-CA"/>
        </w:rPr>
        <w:noBreakHyphen/>
        <w:t xml:space="preserve">elles à la demande de l’appelante? </w:t>
      </w:r>
      <w:r w:rsidRPr="00894662">
        <w:rPr>
          <w:sz w:val="20"/>
          <w:szCs w:val="20"/>
          <w:lang w:val="fr-CA"/>
        </w:rPr>
        <w:noBreakHyphen/>
        <w:t xml:space="preserve"> Les principes en matière d’expropriation permettent</w:t>
      </w:r>
      <w:r w:rsidRPr="00894662">
        <w:rPr>
          <w:sz w:val="20"/>
          <w:szCs w:val="20"/>
          <w:lang w:val="fr-CA"/>
        </w:rPr>
        <w:noBreakHyphen/>
        <w:t xml:space="preserve">ils au tribunal d’accorder des intérêts composés à l’appelante malgré l’interdiction prévue dans la </w:t>
      </w:r>
      <w:r w:rsidRPr="00894662">
        <w:rPr>
          <w:i/>
          <w:sz w:val="20"/>
          <w:szCs w:val="20"/>
          <w:lang w:val="fr-CA"/>
        </w:rPr>
        <w:t>Court Order Interest Act</w:t>
      </w:r>
      <w:r w:rsidRPr="00894662">
        <w:rPr>
          <w:sz w:val="20"/>
          <w:szCs w:val="20"/>
          <w:lang w:val="fr-CA"/>
        </w:rPr>
        <w:t xml:space="preserve">? </w:t>
      </w:r>
      <w:r w:rsidRPr="00894662">
        <w:rPr>
          <w:sz w:val="20"/>
          <w:szCs w:val="20"/>
          <w:lang w:val="fr-CA"/>
        </w:rPr>
        <w:noBreakHyphen/>
        <w:t xml:space="preserve"> Existe</w:t>
      </w:r>
      <w:r w:rsidRPr="00894662">
        <w:rPr>
          <w:sz w:val="20"/>
          <w:szCs w:val="20"/>
          <w:lang w:val="fr-CA"/>
        </w:rPr>
        <w:noBreakHyphen/>
        <w:t>t</w:t>
      </w:r>
      <w:r w:rsidRPr="00894662">
        <w:rPr>
          <w:sz w:val="20"/>
          <w:szCs w:val="20"/>
          <w:lang w:val="fr-CA"/>
        </w:rPr>
        <w:noBreakHyphen/>
        <w:t>il une compétence en equity en Colombie</w:t>
      </w:r>
      <w:r w:rsidRPr="00894662">
        <w:rPr>
          <w:sz w:val="20"/>
          <w:szCs w:val="20"/>
          <w:lang w:val="fr-CA"/>
        </w:rPr>
        <w:noBreakHyphen/>
        <w:t xml:space="preserve">Britannique pour accorder des intérêts composés malgré l’interdiction prévue dans la </w:t>
      </w:r>
      <w:r w:rsidRPr="00894662">
        <w:rPr>
          <w:i/>
          <w:sz w:val="20"/>
          <w:szCs w:val="20"/>
          <w:lang w:val="fr-CA"/>
        </w:rPr>
        <w:t>Court Order Interest Act</w:t>
      </w:r>
      <w:r w:rsidRPr="00894662">
        <w:rPr>
          <w:sz w:val="20"/>
          <w:szCs w:val="20"/>
          <w:lang w:val="fr-CA"/>
        </w:rPr>
        <w:t xml:space="preserve">? </w:t>
      </w:r>
      <w:r w:rsidRPr="00894662">
        <w:rPr>
          <w:sz w:val="20"/>
          <w:szCs w:val="20"/>
          <w:lang w:val="fr-CA"/>
        </w:rPr>
        <w:noBreakHyphen/>
        <w:t xml:space="preserve"> Si une telle compétence en equity existe, devrait</w:t>
      </w:r>
      <w:r w:rsidRPr="00894662">
        <w:rPr>
          <w:sz w:val="20"/>
          <w:szCs w:val="20"/>
          <w:lang w:val="fr-CA"/>
        </w:rPr>
        <w:noBreakHyphen/>
        <w:t>elle être exercée en faveur de l’appelante?</w:t>
      </w:r>
      <w:r w:rsidRPr="00894662">
        <w:rPr>
          <w:iCs/>
          <w:sz w:val="20"/>
          <w:szCs w:val="20"/>
          <w:lang w:val="fr-CA"/>
        </w:rPr>
        <w:t xml:space="preserve"> </w:t>
      </w:r>
    </w:p>
    <w:p w:rsidR="00495D27" w:rsidRPr="00894662" w:rsidRDefault="00495D27" w:rsidP="00495D27">
      <w:pPr>
        <w:widowControl w:val="0"/>
        <w:jc w:val="both"/>
        <w:rPr>
          <w:sz w:val="20"/>
          <w:szCs w:val="20"/>
          <w:lang w:val="fr-CA"/>
        </w:rPr>
      </w:pPr>
    </w:p>
    <w:p w:rsidR="00495D27" w:rsidRPr="00894662" w:rsidRDefault="00495D27" w:rsidP="00495D27">
      <w:pPr>
        <w:widowControl w:val="0"/>
        <w:jc w:val="both"/>
        <w:rPr>
          <w:sz w:val="20"/>
          <w:szCs w:val="20"/>
          <w:lang w:val="fr-CA"/>
        </w:rPr>
      </w:pPr>
      <w:r w:rsidRPr="00894662">
        <w:rPr>
          <w:sz w:val="20"/>
          <w:szCs w:val="20"/>
          <w:lang w:val="fr-CA"/>
        </w:rPr>
        <w:t>Teal Cedar Products Ltd. détenait un permis d’exploitation forestière l’autorisant à récolter chaque année un volume prévu de bois dans une région donnée de la Colombie</w:t>
      </w:r>
      <w:r w:rsidRPr="00894662">
        <w:rPr>
          <w:sz w:val="20"/>
          <w:szCs w:val="20"/>
          <w:lang w:val="fr-CA"/>
        </w:rPr>
        <w:noBreakHyphen/>
        <w:t>Britannique.  En 1993, Sa Majesté la Reine du chef de la province de la Colombie</w:t>
      </w:r>
      <w:r w:rsidRPr="00894662">
        <w:rPr>
          <w:sz w:val="20"/>
          <w:szCs w:val="20"/>
          <w:lang w:val="fr-CA"/>
        </w:rPr>
        <w:noBreakHyphen/>
        <w:t>Britannique, représentée par le ministère des Forêts a imposé un moratoire sur la récolte dans le but d’examiner la possibilité de créer un nouveau parc provincial.  En 1995, une partie de la région en cause est devenue un nouveau parc provincial et l’exploitation forestière y a été interdite.  La possibilité annuelle de coupe (la « PAC ») attribuée à l’intimée dans son permis de récolte a finalement été réduite en 1999.  La demande d’indemnisation présentée par l’intimée pour l’expropriation partielle en raison de la réduction de sa PAC a donc été soumise à l’arbitrage, qui a donné lieu à une décision (i) rejetant la demande de l’intimée visant à se faire indemniser des pertes subies avant la réduction de sa PAC et (ii) octroyant une indemnité totale de 6,35 millions de dollars pour les pertes subies après la réduction de sa PAC, plus les intérêts composés et les dépens raisonnables effectivement engagés dont ont convenu les parties sur une base d’indemnisation, dépens qui s’élèvent à 1,02 million de dollars.</w:t>
      </w:r>
    </w:p>
    <w:p w:rsidR="00495D27" w:rsidRPr="00894662" w:rsidRDefault="00495D27" w:rsidP="00495D27">
      <w:pPr>
        <w:widowControl w:val="0"/>
        <w:jc w:val="both"/>
        <w:rPr>
          <w:sz w:val="20"/>
          <w:szCs w:val="20"/>
          <w:lang w:val="fr-CA"/>
        </w:rPr>
      </w:pPr>
    </w:p>
    <w:p w:rsidR="00495D27" w:rsidRPr="00894662" w:rsidRDefault="00495D27" w:rsidP="00495D27">
      <w:pPr>
        <w:widowControl w:val="0"/>
        <w:jc w:val="both"/>
        <w:rPr>
          <w:sz w:val="20"/>
          <w:szCs w:val="20"/>
          <w:lang w:val="fr-CA"/>
        </w:rPr>
      </w:pPr>
    </w:p>
    <w:p w:rsidR="00495D27" w:rsidRPr="00894662" w:rsidRDefault="00495D27" w:rsidP="00495D27">
      <w:pPr>
        <w:widowControl w:val="0"/>
        <w:ind w:left="2880" w:hanging="2880"/>
        <w:jc w:val="both"/>
        <w:rPr>
          <w:sz w:val="20"/>
          <w:szCs w:val="20"/>
          <w:lang w:val="fr-CA"/>
        </w:rPr>
      </w:pPr>
      <w:r w:rsidRPr="00894662">
        <w:rPr>
          <w:sz w:val="20"/>
          <w:szCs w:val="20"/>
          <w:lang w:val="fr-CA"/>
        </w:rPr>
        <w:t>Origine :</w:t>
      </w:r>
      <w:r w:rsidRPr="00894662">
        <w:rPr>
          <w:sz w:val="20"/>
          <w:szCs w:val="20"/>
          <w:lang w:val="fr-CA"/>
        </w:rPr>
        <w:tab/>
        <w:t>Colombie</w:t>
      </w:r>
      <w:r w:rsidRPr="00894662">
        <w:rPr>
          <w:sz w:val="20"/>
          <w:szCs w:val="20"/>
          <w:lang w:val="fr-CA"/>
        </w:rPr>
        <w:noBreakHyphen/>
        <w:t>Britannique</w:t>
      </w:r>
    </w:p>
    <w:p w:rsidR="00495D27" w:rsidRPr="00894662" w:rsidRDefault="00495D27" w:rsidP="00495D27">
      <w:pPr>
        <w:widowControl w:val="0"/>
        <w:ind w:left="2880" w:hanging="2880"/>
        <w:jc w:val="both"/>
        <w:rPr>
          <w:sz w:val="20"/>
          <w:szCs w:val="20"/>
          <w:lang w:val="fr-CA"/>
        </w:rPr>
      </w:pPr>
    </w:p>
    <w:p w:rsidR="00495D27" w:rsidRPr="00894662" w:rsidRDefault="00495D27" w:rsidP="00495D27">
      <w:pPr>
        <w:widowControl w:val="0"/>
        <w:ind w:left="2880" w:hanging="2880"/>
        <w:jc w:val="both"/>
        <w:rPr>
          <w:sz w:val="20"/>
          <w:szCs w:val="20"/>
          <w:lang w:val="fr-CA"/>
        </w:rPr>
      </w:pPr>
      <w:r w:rsidRPr="00894662">
        <w:rPr>
          <w:sz w:val="20"/>
          <w:szCs w:val="20"/>
          <w:lang w:val="fr-CA"/>
        </w:rPr>
        <w:t>N</w:t>
      </w:r>
      <w:r w:rsidRPr="00894662">
        <w:rPr>
          <w:sz w:val="20"/>
          <w:szCs w:val="20"/>
          <w:vertAlign w:val="superscript"/>
          <w:lang w:val="fr-CA"/>
        </w:rPr>
        <w:t>o</w:t>
      </w:r>
      <w:r w:rsidRPr="00894662">
        <w:rPr>
          <w:sz w:val="20"/>
          <w:szCs w:val="20"/>
          <w:lang w:val="fr-CA"/>
        </w:rPr>
        <w:t xml:space="preserve"> du greffe :</w:t>
      </w:r>
      <w:r w:rsidRPr="00894662">
        <w:rPr>
          <w:sz w:val="20"/>
          <w:szCs w:val="20"/>
          <w:lang w:val="fr-CA"/>
        </w:rPr>
        <w:tab/>
        <w:t>34769</w:t>
      </w:r>
    </w:p>
    <w:p w:rsidR="00495D27" w:rsidRPr="00894662" w:rsidRDefault="00495D27" w:rsidP="00495D27">
      <w:pPr>
        <w:widowControl w:val="0"/>
        <w:ind w:left="2880" w:hanging="2880"/>
        <w:jc w:val="both"/>
        <w:rPr>
          <w:sz w:val="20"/>
          <w:szCs w:val="20"/>
          <w:lang w:val="fr-CA"/>
        </w:rPr>
      </w:pPr>
    </w:p>
    <w:p w:rsidR="00495D27" w:rsidRPr="00894662" w:rsidRDefault="00495D27" w:rsidP="00495D27">
      <w:pPr>
        <w:widowControl w:val="0"/>
        <w:ind w:left="2880" w:hanging="2880"/>
        <w:jc w:val="both"/>
        <w:rPr>
          <w:sz w:val="20"/>
          <w:szCs w:val="20"/>
          <w:lang w:val="fr-CA"/>
        </w:rPr>
      </w:pPr>
      <w:r w:rsidRPr="00894662">
        <w:rPr>
          <w:sz w:val="20"/>
          <w:szCs w:val="20"/>
          <w:lang w:val="fr-CA"/>
        </w:rPr>
        <w:t>Arrêt de la Cour d’appel :</w:t>
      </w:r>
      <w:r w:rsidRPr="00894662">
        <w:rPr>
          <w:sz w:val="20"/>
          <w:szCs w:val="20"/>
          <w:lang w:val="fr-CA"/>
        </w:rPr>
        <w:tab/>
        <w:t>le 13 février 2012</w:t>
      </w:r>
    </w:p>
    <w:p w:rsidR="00495D27" w:rsidRPr="00894662" w:rsidRDefault="00495D27" w:rsidP="00495D27">
      <w:pPr>
        <w:widowControl w:val="0"/>
        <w:ind w:left="2880" w:hanging="2880"/>
        <w:jc w:val="both"/>
        <w:rPr>
          <w:sz w:val="20"/>
          <w:szCs w:val="20"/>
          <w:lang w:val="fr-CA"/>
        </w:rPr>
      </w:pPr>
    </w:p>
    <w:p w:rsidR="00495D27" w:rsidRPr="00894662" w:rsidRDefault="00495D27" w:rsidP="00495D27">
      <w:pPr>
        <w:widowControl w:val="0"/>
        <w:ind w:left="2880" w:hanging="2880"/>
        <w:jc w:val="both"/>
        <w:rPr>
          <w:sz w:val="20"/>
          <w:szCs w:val="20"/>
          <w:lang w:val="fr-CA"/>
        </w:rPr>
      </w:pPr>
      <w:r w:rsidRPr="00894662">
        <w:rPr>
          <w:sz w:val="20"/>
          <w:szCs w:val="20"/>
          <w:lang w:val="fr-CA"/>
        </w:rPr>
        <w:t>Avocats :</w:t>
      </w:r>
      <w:r w:rsidRPr="00894662">
        <w:rPr>
          <w:sz w:val="20"/>
          <w:szCs w:val="20"/>
          <w:lang w:val="fr-CA"/>
        </w:rPr>
        <w:tab/>
        <w:t>Karen Horsman pour l’appelante</w:t>
      </w:r>
    </w:p>
    <w:p w:rsidR="00495D27" w:rsidRPr="00894662" w:rsidRDefault="00495D27" w:rsidP="00495D27">
      <w:pPr>
        <w:widowControl w:val="0"/>
        <w:ind w:left="2880" w:hanging="2880"/>
        <w:jc w:val="both"/>
        <w:rPr>
          <w:sz w:val="20"/>
          <w:szCs w:val="20"/>
          <w:lang w:val="fr-CA"/>
        </w:rPr>
      </w:pPr>
      <w:r w:rsidRPr="00894662">
        <w:rPr>
          <w:sz w:val="20"/>
          <w:szCs w:val="20"/>
          <w:lang w:val="fr-CA"/>
        </w:rPr>
        <w:tab/>
        <w:t>John J. L. Hunter, c.r. pour l’intimée</w:t>
      </w:r>
    </w:p>
    <w:p w:rsidR="006F66CA" w:rsidRDefault="006F66CA" w:rsidP="006F66CA">
      <w:pPr>
        <w:tabs>
          <w:tab w:val="left" w:pos="-1440"/>
          <w:tab w:val="left" w:pos="-720"/>
        </w:tabs>
        <w:jc w:val="both"/>
        <w:rPr>
          <w:sz w:val="20"/>
          <w:szCs w:val="20"/>
          <w:lang w:val="fr-CA"/>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09"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D84679" w:rsidRPr="003D0562" w:rsidRDefault="003F21C7" w:rsidP="00D84679">
      <w:pPr>
        <w:widowControl w:val="0"/>
        <w:ind w:left="720" w:hanging="720"/>
        <w:jc w:val="both"/>
        <w:rPr>
          <w:i/>
          <w:sz w:val="20"/>
          <w:szCs w:val="20"/>
        </w:rPr>
      </w:pPr>
      <w:r w:rsidRPr="003D0562">
        <w:rPr>
          <w:b/>
          <w:sz w:val="20"/>
          <w:szCs w:val="20"/>
        </w:rPr>
        <w:lastRenderedPageBreak/>
        <w:fldChar w:fldCharType="begin"/>
      </w:r>
      <w:r w:rsidR="00D84679" w:rsidRPr="003D0562">
        <w:rPr>
          <w:b/>
          <w:sz w:val="20"/>
          <w:szCs w:val="20"/>
        </w:rPr>
        <w:instrText xml:space="preserve"> SEQ CHAPTER \h \r 1</w:instrText>
      </w:r>
      <w:r w:rsidRPr="003D0562">
        <w:rPr>
          <w:b/>
          <w:sz w:val="20"/>
          <w:szCs w:val="20"/>
        </w:rPr>
        <w:fldChar w:fldCharType="end"/>
      </w:r>
      <w:r w:rsidR="00D84679" w:rsidRPr="003D0562">
        <w:rPr>
          <w:b/>
          <w:sz w:val="20"/>
          <w:szCs w:val="20"/>
        </w:rPr>
        <w:t>34678</w:t>
      </w:r>
      <w:r w:rsidR="00D84679" w:rsidRPr="003D0562">
        <w:rPr>
          <w:sz w:val="20"/>
          <w:szCs w:val="20"/>
        </w:rPr>
        <w:tab/>
      </w:r>
      <w:r w:rsidR="00D84679" w:rsidRPr="003D0562">
        <w:rPr>
          <w:b/>
          <w:i/>
          <w:sz w:val="20"/>
          <w:szCs w:val="20"/>
        </w:rPr>
        <w:t>Sable Offshore Energy Inc., as agent for and on behalf of the Working Interest Owners of the Sable Offshore Energy Project, Exxon Mobil Canada Properties, Shell Canada Limited, Imperial Oil Resources, Mosbacher Operating Ltd., Pengrowth Corporation, Exxon Mobil Canada Properties, as operator of the Sable Offshore Energy Project v. Ameron International Corporation, Ameron B.V., Allcolor Paint Limited, Amercoat Canada, Rubyco Ltd., Danroh Inc., and Serious Business Inc.</w:t>
      </w:r>
    </w:p>
    <w:p w:rsidR="00D84679" w:rsidRPr="003D0562" w:rsidRDefault="00D84679" w:rsidP="00D84679">
      <w:pPr>
        <w:widowControl w:val="0"/>
        <w:jc w:val="both"/>
        <w:rPr>
          <w:sz w:val="20"/>
          <w:szCs w:val="20"/>
        </w:rPr>
      </w:pPr>
    </w:p>
    <w:p w:rsidR="00D84679" w:rsidRPr="003D0562" w:rsidRDefault="00D84679" w:rsidP="00D84679">
      <w:pPr>
        <w:widowControl w:val="0"/>
        <w:jc w:val="both"/>
        <w:rPr>
          <w:sz w:val="20"/>
          <w:szCs w:val="20"/>
        </w:rPr>
      </w:pPr>
      <w:r w:rsidRPr="003D0562">
        <w:rPr>
          <w:sz w:val="20"/>
          <w:szCs w:val="20"/>
        </w:rPr>
        <w:t xml:space="preserve">Civil Procedure </w:t>
      </w:r>
      <w:r w:rsidRPr="003D0562">
        <w:rPr>
          <w:sz w:val="20"/>
          <w:szCs w:val="20"/>
        </w:rPr>
        <w:noBreakHyphen/>
        <w:t xml:space="preserve"> Disclosure </w:t>
      </w:r>
      <w:r w:rsidRPr="003D0562">
        <w:rPr>
          <w:sz w:val="20"/>
          <w:szCs w:val="20"/>
        </w:rPr>
        <w:noBreakHyphen/>
        <w:t xml:space="preserve"> Settlement amounts </w:t>
      </w:r>
      <w:r w:rsidRPr="003D0562">
        <w:rPr>
          <w:sz w:val="20"/>
          <w:szCs w:val="20"/>
        </w:rPr>
        <w:noBreakHyphen/>
        <w:t xml:space="preserve"> Multi</w:t>
      </w:r>
      <w:r w:rsidRPr="003D0562">
        <w:rPr>
          <w:sz w:val="20"/>
          <w:szCs w:val="20"/>
        </w:rPr>
        <w:noBreakHyphen/>
        <w:t xml:space="preserve">party claims </w:t>
      </w:r>
      <w:r w:rsidRPr="003D0562">
        <w:rPr>
          <w:sz w:val="20"/>
          <w:szCs w:val="20"/>
        </w:rPr>
        <w:noBreakHyphen/>
        <w:t xml:space="preserve"> Whether a party to a settlement agreement in multi</w:t>
      </w:r>
      <w:r w:rsidRPr="003D0562">
        <w:rPr>
          <w:sz w:val="20"/>
          <w:szCs w:val="20"/>
        </w:rPr>
        <w:noBreakHyphen/>
        <w:t xml:space="preserve">party litigation must disclose the financial terms of the settlement to the remaining opposing parties before trial </w:t>
      </w:r>
      <w:r w:rsidRPr="003D0562">
        <w:rPr>
          <w:sz w:val="20"/>
          <w:szCs w:val="20"/>
        </w:rPr>
        <w:noBreakHyphen/>
        <w:t xml:space="preserve"> Whether privilege extends to a concluded settlement agreement.</w:t>
      </w:r>
    </w:p>
    <w:p w:rsidR="00D84679" w:rsidRPr="003D0562" w:rsidRDefault="00D84679" w:rsidP="00D84679">
      <w:pPr>
        <w:widowControl w:val="0"/>
        <w:jc w:val="both"/>
        <w:rPr>
          <w:sz w:val="20"/>
          <w:szCs w:val="20"/>
        </w:rPr>
      </w:pPr>
    </w:p>
    <w:p w:rsidR="00D84679" w:rsidRPr="003D0562" w:rsidRDefault="00D84679" w:rsidP="00D84679">
      <w:pPr>
        <w:widowControl w:val="0"/>
        <w:jc w:val="both"/>
        <w:rPr>
          <w:sz w:val="20"/>
          <w:szCs w:val="20"/>
        </w:rPr>
      </w:pPr>
      <w:r w:rsidRPr="003D0562">
        <w:rPr>
          <w:sz w:val="20"/>
          <w:szCs w:val="20"/>
        </w:rPr>
        <w:t>The appellants commenced three actions against multiple defendants arising from paint failures on their offshore and onshore facilities.  The respondents were among the defendants.  Some of the defendants entered into proportionate share settlement agreements (“Pierrenger settlements”) with the appellants.  These agreements permitted the settling defendants to withdraw from the litigation, leaving the respondents as the remaining defendants responsible only for their proportionate share of the loss.  The respondents requested disclosure of the settlement amounts.  The motions judge denied disclosure.  The Court of Appeal allowed the appeal and ordered disclosure of the settlement amounts.</w:t>
      </w:r>
    </w:p>
    <w:p w:rsidR="00D84679" w:rsidRPr="003D0562" w:rsidRDefault="00D84679" w:rsidP="00D84679">
      <w:pPr>
        <w:widowControl w:val="0"/>
        <w:jc w:val="both"/>
        <w:rPr>
          <w:sz w:val="20"/>
          <w:szCs w:val="20"/>
        </w:rPr>
      </w:pPr>
    </w:p>
    <w:p w:rsidR="00D84679" w:rsidRPr="003D0562" w:rsidRDefault="00D84679" w:rsidP="00D84679">
      <w:pPr>
        <w:widowControl w:val="0"/>
        <w:jc w:val="both"/>
        <w:rPr>
          <w:sz w:val="20"/>
          <w:szCs w:val="20"/>
        </w:rPr>
      </w:pPr>
    </w:p>
    <w:p w:rsidR="00D84679" w:rsidRPr="003D0562" w:rsidRDefault="00D84679" w:rsidP="00D84679">
      <w:pPr>
        <w:widowControl w:val="0"/>
        <w:ind w:left="2880" w:hanging="2880"/>
        <w:jc w:val="both"/>
        <w:rPr>
          <w:sz w:val="20"/>
          <w:szCs w:val="20"/>
        </w:rPr>
      </w:pPr>
      <w:r w:rsidRPr="003D0562">
        <w:rPr>
          <w:sz w:val="20"/>
          <w:szCs w:val="20"/>
        </w:rPr>
        <w:t>Origin of the case:</w:t>
      </w:r>
      <w:r w:rsidRPr="003D0562">
        <w:rPr>
          <w:sz w:val="20"/>
          <w:szCs w:val="20"/>
        </w:rPr>
        <w:tab/>
        <w:t>Nova Scotia</w:t>
      </w:r>
    </w:p>
    <w:p w:rsidR="00D84679" w:rsidRPr="003D0562" w:rsidRDefault="00D84679" w:rsidP="00D84679">
      <w:pPr>
        <w:widowControl w:val="0"/>
        <w:ind w:left="2880" w:hanging="2880"/>
        <w:jc w:val="both"/>
        <w:rPr>
          <w:sz w:val="20"/>
          <w:szCs w:val="20"/>
        </w:rPr>
      </w:pPr>
    </w:p>
    <w:p w:rsidR="00D84679" w:rsidRPr="003D0562" w:rsidRDefault="00D84679" w:rsidP="00D84679">
      <w:pPr>
        <w:widowControl w:val="0"/>
        <w:ind w:left="2880" w:hanging="2880"/>
        <w:jc w:val="both"/>
        <w:rPr>
          <w:sz w:val="20"/>
          <w:szCs w:val="20"/>
        </w:rPr>
      </w:pPr>
      <w:r w:rsidRPr="003D0562">
        <w:rPr>
          <w:sz w:val="20"/>
          <w:szCs w:val="20"/>
        </w:rPr>
        <w:t>File No.:</w:t>
      </w:r>
      <w:r w:rsidRPr="003D0562">
        <w:rPr>
          <w:sz w:val="20"/>
          <w:szCs w:val="20"/>
        </w:rPr>
        <w:tab/>
        <w:t>34678</w:t>
      </w:r>
    </w:p>
    <w:p w:rsidR="00D84679" w:rsidRPr="003D0562" w:rsidRDefault="00D84679" w:rsidP="00D84679">
      <w:pPr>
        <w:widowControl w:val="0"/>
        <w:ind w:left="2880" w:hanging="2880"/>
        <w:jc w:val="both"/>
        <w:rPr>
          <w:sz w:val="20"/>
          <w:szCs w:val="20"/>
        </w:rPr>
      </w:pPr>
    </w:p>
    <w:p w:rsidR="00D84679" w:rsidRPr="003D0562" w:rsidRDefault="00D84679" w:rsidP="00D84679">
      <w:pPr>
        <w:widowControl w:val="0"/>
        <w:ind w:left="2880" w:hanging="2880"/>
        <w:jc w:val="both"/>
        <w:rPr>
          <w:sz w:val="20"/>
          <w:szCs w:val="20"/>
        </w:rPr>
      </w:pPr>
      <w:r w:rsidRPr="003D0562">
        <w:rPr>
          <w:sz w:val="20"/>
          <w:szCs w:val="20"/>
        </w:rPr>
        <w:t>Judgment of the Court of Appeal:</w:t>
      </w:r>
      <w:r w:rsidRPr="003D0562">
        <w:rPr>
          <w:sz w:val="20"/>
          <w:szCs w:val="20"/>
        </w:rPr>
        <w:tab/>
        <w:t>December 22, 2011</w:t>
      </w:r>
    </w:p>
    <w:p w:rsidR="00D84679" w:rsidRPr="003D0562" w:rsidRDefault="00D84679" w:rsidP="00D84679">
      <w:pPr>
        <w:widowControl w:val="0"/>
        <w:ind w:left="2880" w:hanging="2880"/>
        <w:jc w:val="both"/>
        <w:rPr>
          <w:sz w:val="20"/>
          <w:szCs w:val="20"/>
        </w:rPr>
      </w:pPr>
    </w:p>
    <w:p w:rsidR="00D84679" w:rsidRPr="003D0562" w:rsidRDefault="00D84679" w:rsidP="00D84679">
      <w:pPr>
        <w:widowControl w:val="0"/>
        <w:ind w:left="2880" w:hanging="2880"/>
        <w:jc w:val="both"/>
        <w:rPr>
          <w:sz w:val="20"/>
          <w:szCs w:val="20"/>
        </w:rPr>
      </w:pPr>
      <w:r w:rsidRPr="003D0562">
        <w:rPr>
          <w:sz w:val="20"/>
          <w:szCs w:val="20"/>
        </w:rPr>
        <w:t>Counsel:</w:t>
      </w:r>
      <w:r w:rsidRPr="003D0562">
        <w:rPr>
          <w:sz w:val="20"/>
          <w:szCs w:val="20"/>
        </w:rPr>
        <w:tab/>
        <w:t>Robert Belliveau, Q.C. and Kevin Gibson for the appellants</w:t>
      </w:r>
    </w:p>
    <w:p w:rsidR="00D84679" w:rsidRPr="003D0562" w:rsidRDefault="00D84679" w:rsidP="00D84679">
      <w:pPr>
        <w:widowControl w:val="0"/>
        <w:ind w:left="2880" w:hanging="2880"/>
        <w:jc w:val="both"/>
        <w:rPr>
          <w:sz w:val="20"/>
          <w:szCs w:val="20"/>
        </w:rPr>
      </w:pPr>
      <w:r w:rsidRPr="003D0562">
        <w:rPr>
          <w:sz w:val="20"/>
          <w:szCs w:val="20"/>
        </w:rPr>
        <w:tab/>
        <w:t>John P. Merrick, Q.C. for the respondents Ameron International Corporation and Ameron B.V.</w:t>
      </w:r>
    </w:p>
    <w:p w:rsidR="00D84679" w:rsidRPr="003D0562" w:rsidRDefault="00D84679" w:rsidP="00D84679">
      <w:pPr>
        <w:widowControl w:val="0"/>
        <w:ind w:left="2880" w:hanging="2880"/>
        <w:jc w:val="both"/>
        <w:rPr>
          <w:sz w:val="20"/>
          <w:szCs w:val="20"/>
        </w:rPr>
      </w:pPr>
      <w:r w:rsidRPr="003D0562">
        <w:rPr>
          <w:sz w:val="20"/>
          <w:szCs w:val="20"/>
        </w:rPr>
        <w:tab/>
        <w:t xml:space="preserve">Terrance L.S. Teed, Q.C. for the respondents Allcolour Paint Ltd., Amercoat Canada, Rubyco Ltd., Danroh Inc. and Serious Business Inc. </w:t>
      </w:r>
    </w:p>
    <w:p w:rsidR="006F66CA" w:rsidRPr="00D84679" w:rsidRDefault="006F66CA" w:rsidP="006F66CA">
      <w:pPr>
        <w:tabs>
          <w:tab w:val="left" w:pos="-1440"/>
          <w:tab w:val="left" w:pos="-720"/>
        </w:tabs>
        <w:jc w:val="both"/>
        <w:rPr>
          <w:sz w:val="20"/>
          <w:szCs w:val="20"/>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10"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D84679" w:rsidRPr="003871F6" w:rsidRDefault="003F21C7" w:rsidP="00D84679">
      <w:pPr>
        <w:widowControl w:val="0"/>
        <w:ind w:left="720" w:hanging="720"/>
        <w:jc w:val="both"/>
        <w:rPr>
          <w:i/>
          <w:sz w:val="20"/>
          <w:szCs w:val="20"/>
          <w:lang w:val="fr-CA"/>
        </w:rPr>
      </w:pPr>
      <w:r w:rsidRPr="003871F6">
        <w:rPr>
          <w:b/>
          <w:sz w:val="20"/>
          <w:szCs w:val="20"/>
          <w:lang w:val="fr-CA"/>
        </w:rPr>
        <w:lastRenderedPageBreak/>
        <w:fldChar w:fldCharType="begin"/>
      </w:r>
      <w:r w:rsidR="00D84679" w:rsidRPr="003871F6">
        <w:rPr>
          <w:b/>
          <w:sz w:val="20"/>
          <w:szCs w:val="20"/>
          <w:lang w:val="fr-CA"/>
        </w:rPr>
        <w:instrText xml:space="preserve"> SEQ CHAPTER \h \r 1</w:instrText>
      </w:r>
      <w:r w:rsidRPr="003871F6">
        <w:rPr>
          <w:b/>
          <w:sz w:val="20"/>
          <w:szCs w:val="20"/>
          <w:lang w:val="fr-CA"/>
        </w:rPr>
        <w:fldChar w:fldCharType="end"/>
      </w:r>
      <w:r w:rsidR="00D84679" w:rsidRPr="003871F6">
        <w:rPr>
          <w:b/>
          <w:sz w:val="20"/>
          <w:szCs w:val="20"/>
          <w:lang w:val="fr-CA"/>
        </w:rPr>
        <w:t>34678</w:t>
      </w:r>
      <w:r w:rsidR="00D84679" w:rsidRPr="003871F6">
        <w:rPr>
          <w:sz w:val="20"/>
          <w:szCs w:val="20"/>
          <w:lang w:val="fr-CA"/>
        </w:rPr>
        <w:tab/>
      </w:r>
      <w:r w:rsidR="00D84679" w:rsidRPr="003871F6">
        <w:rPr>
          <w:b/>
          <w:i/>
          <w:sz w:val="20"/>
          <w:szCs w:val="20"/>
          <w:lang w:val="fr-CA"/>
        </w:rPr>
        <w:t>Sable Offshore Energy Inc., en sa qualité de mandataire et représentante des détenteurs d’un intérêt économique direct du Projet énergétique extracôtier de l’île de Sable, Exxon Mobil Canada Properties, Shell Canada Limited, Imperial Oil Resources, Mosbacher Operating Ltd., Pengrowth Corporation, Exxon Mobil Canada Properties, en tant qu’exploitante du Projet énergétique extracôtier de l’île de Sable c. Ameron International Corporation, Ameron B.V., Allcolour Paint Limited, Amercoat Canada, Rubyco Ltd., Danroh Inc. et Serious Business Inc.</w:t>
      </w:r>
    </w:p>
    <w:p w:rsidR="00D84679" w:rsidRPr="003871F6" w:rsidRDefault="00D84679" w:rsidP="00D84679">
      <w:pPr>
        <w:widowControl w:val="0"/>
        <w:jc w:val="both"/>
        <w:rPr>
          <w:sz w:val="20"/>
          <w:szCs w:val="20"/>
          <w:lang w:val="fr-CA"/>
        </w:rPr>
      </w:pPr>
    </w:p>
    <w:p w:rsidR="00D84679" w:rsidRPr="003871F6" w:rsidRDefault="00D84679" w:rsidP="00D84679">
      <w:pPr>
        <w:widowControl w:val="0"/>
        <w:jc w:val="both"/>
        <w:rPr>
          <w:sz w:val="20"/>
          <w:szCs w:val="20"/>
          <w:lang w:val="fr-CA"/>
        </w:rPr>
      </w:pPr>
      <w:r w:rsidRPr="003871F6">
        <w:rPr>
          <w:sz w:val="20"/>
          <w:szCs w:val="20"/>
          <w:lang w:val="fr-CA"/>
        </w:rPr>
        <w:t xml:space="preserve">Procédure civile </w:t>
      </w:r>
      <w:r w:rsidRPr="003871F6">
        <w:rPr>
          <w:sz w:val="20"/>
          <w:szCs w:val="20"/>
          <w:lang w:val="fr-CA"/>
        </w:rPr>
        <w:noBreakHyphen/>
        <w:t xml:space="preserve"> Divulgation </w:t>
      </w:r>
      <w:r w:rsidRPr="003871F6">
        <w:rPr>
          <w:sz w:val="20"/>
          <w:szCs w:val="20"/>
          <w:lang w:val="fr-CA"/>
        </w:rPr>
        <w:noBreakHyphen/>
        <w:t xml:space="preserve"> Montants du règlement </w:t>
      </w:r>
      <w:r w:rsidRPr="003871F6">
        <w:rPr>
          <w:sz w:val="20"/>
          <w:szCs w:val="20"/>
          <w:lang w:val="fr-CA"/>
        </w:rPr>
        <w:noBreakHyphen/>
        <w:t xml:space="preserve"> Poursuites engagées par plusieurs parties </w:t>
      </w:r>
      <w:r w:rsidRPr="003871F6">
        <w:rPr>
          <w:sz w:val="20"/>
          <w:szCs w:val="20"/>
          <w:lang w:val="fr-CA"/>
        </w:rPr>
        <w:noBreakHyphen/>
        <w:t xml:space="preserve"> La partie à une entente portant règlement dans un litige qui met en cause plusieurs parties doit</w:t>
      </w:r>
      <w:r w:rsidRPr="003871F6">
        <w:rPr>
          <w:sz w:val="20"/>
          <w:szCs w:val="20"/>
          <w:lang w:val="fr-CA"/>
        </w:rPr>
        <w:noBreakHyphen/>
        <w:t xml:space="preserve">elle divulguer les modalités financières du règlement aux autres parties adverses avant le procès? </w:t>
      </w:r>
      <w:r w:rsidRPr="003871F6">
        <w:rPr>
          <w:sz w:val="20"/>
          <w:szCs w:val="20"/>
          <w:lang w:val="fr-CA"/>
        </w:rPr>
        <w:noBreakHyphen/>
        <w:t xml:space="preserve"> Le privilège s’étend</w:t>
      </w:r>
      <w:r w:rsidRPr="003871F6">
        <w:rPr>
          <w:sz w:val="20"/>
          <w:szCs w:val="20"/>
          <w:lang w:val="fr-CA"/>
        </w:rPr>
        <w:noBreakHyphen/>
        <w:t>il à une entente portant règlement?</w:t>
      </w:r>
    </w:p>
    <w:p w:rsidR="00D84679" w:rsidRPr="003871F6" w:rsidRDefault="00D84679" w:rsidP="00D84679">
      <w:pPr>
        <w:widowControl w:val="0"/>
        <w:jc w:val="both"/>
        <w:rPr>
          <w:sz w:val="20"/>
          <w:szCs w:val="20"/>
          <w:lang w:val="fr-CA"/>
        </w:rPr>
      </w:pPr>
    </w:p>
    <w:p w:rsidR="00D84679" w:rsidRPr="003871F6" w:rsidRDefault="00D84679" w:rsidP="00D84679">
      <w:pPr>
        <w:widowControl w:val="0"/>
        <w:jc w:val="both"/>
        <w:rPr>
          <w:sz w:val="20"/>
          <w:szCs w:val="20"/>
          <w:lang w:val="fr-CA"/>
        </w:rPr>
      </w:pPr>
      <w:r w:rsidRPr="003871F6">
        <w:rPr>
          <w:sz w:val="20"/>
          <w:szCs w:val="20"/>
          <w:lang w:val="fr-CA"/>
        </w:rPr>
        <w:t>Les appelantes ont intenté trois actions contre de nombreuses défenderesses à la suite de défectuosités de la peinture sur leurs installations extracôtières et terrestres.  Les intimées étaient au nombre des défenderesses.  Certaines des défenderesses ont conclu avec les appelantes des ententes portant règlement sur la part proportionnelle (« ententes de type Pierrenger »).  Ces ententes permettaient aux défenderesses parties au règlement de se retirer du litige et faisaient assumer par les intimées, en tant que défenderesses toujours parties au litige, uniquement la responsabilité de leur part proportionnelle de la perte.  Les intimées ont sollicité la divulgation des montants du règlement, divulgation qui a été refusée par le juge des requêtes.  La Cour d’appel a accueilli l’appel et ordonné la divulgation de ces montants.</w:t>
      </w:r>
    </w:p>
    <w:p w:rsidR="00D84679" w:rsidRPr="003871F6" w:rsidRDefault="00D84679" w:rsidP="00D84679">
      <w:pPr>
        <w:widowControl w:val="0"/>
        <w:jc w:val="both"/>
        <w:rPr>
          <w:sz w:val="20"/>
          <w:szCs w:val="20"/>
          <w:lang w:val="fr-CA"/>
        </w:rPr>
      </w:pPr>
    </w:p>
    <w:p w:rsidR="00D84679" w:rsidRPr="003871F6" w:rsidRDefault="00D84679" w:rsidP="00D84679">
      <w:pPr>
        <w:widowControl w:val="0"/>
        <w:jc w:val="both"/>
        <w:rPr>
          <w:sz w:val="20"/>
          <w:szCs w:val="20"/>
          <w:lang w:val="fr-CA"/>
        </w:rPr>
      </w:pPr>
    </w:p>
    <w:p w:rsidR="00D84679" w:rsidRPr="003871F6" w:rsidRDefault="00D84679" w:rsidP="00D84679">
      <w:pPr>
        <w:widowControl w:val="0"/>
        <w:ind w:left="2880" w:hanging="2880"/>
        <w:jc w:val="both"/>
        <w:rPr>
          <w:sz w:val="20"/>
          <w:szCs w:val="20"/>
          <w:lang w:val="fr-CA"/>
        </w:rPr>
      </w:pPr>
      <w:r w:rsidRPr="003871F6">
        <w:rPr>
          <w:sz w:val="20"/>
          <w:szCs w:val="20"/>
          <w:lang w:val="fr-CA"/>
        </w:rPr>
        <w:t>Origine :</w:t>
      </w:r>
      <w:r w:rsidRPr="003871F6">
        <w:rPr>
          <w:sz w:val="20"/>
          <w:szCs w:val="20"/>
          <w:lang w:val="fr-CA"/>
        </w:rPr>
        <w:tab/>
        <w:t>Nouvelle</w:t>
      </w:r>
      <w:r w:rsidRPr="003871F6">
        <w:rPr>
          <w:sz w:val="20"/>
          <w:szCs w:val="20"/>
          <w:lang w:val="fr-CA"/>
        </w:rPr>
        <w:noBreakHyphen/>
        <w:t>Écosse</w:t>
      </w:r>
    </w:p>
    <w:p w:rsidR="00D84679" w:rsidRPr="003871F6" w:rsidRDefault="00D84679" w:rsidP="00D84679">
      <w:pPr>
        <w:widowControl w:val="0"/>
        <w:ind w:left="2880" w:hanging="2880"/>
        <w:jc w:val="both"/>
        <w:rPr>
          <w:sz w:val="20"/>
          <w:szCs w:val="20"/>
          <w:lang w:val="fr-CA"/>
        </w:rPr>
      </w:pPr>
    </w:p>
    <w:p w:rsidR="00D84679" w:rsidRPr="003871F6" w:rsidRDefault="00D84679" w:rsidP="00D84679">
      <w:pPr>
        <w:widowControl w:val="0"/>
        <w:ind w:left="2880" w:hanging="2880"/>
        <w:jc w:val="both"/>
        <w:rPr>
          <w:sz w:val="20"/>
          <w:szCs w:val="20"/>
          <w:lang w:val="fr-CA"/>
        </w:rPr>
      </w:pPr>
      <w:r w:rsidRPr="003871F6">
        <w:rPr>
          <w:sz w:val="20"/>
          <w:szCs w:val="20"/>
          <w:lang w:val="fr-CA"/>
        </w:rPr>
        <w:t>N</w:t>
      </w:r>
      <w:r w:rsidRPr="003871F6">
        <w:rPr>
          <w:sz w:val="20"/>
          <w:szCs w:val="20"/>
          <w:vertAlign w:val="superscript"/>
          <w:lang w:val="fr-CA"/>
        </w:rPr>
        <w:t>o</w:t>
      </w:r>
      <w:r w:rsidRPr="003871F6">
        <w:rPr>
          <w:sz w:val="20"/>
          <w:szCs w:val="20"/>
          <w:lang w:val="fr-CA"/>
        </w:rPr>
        <w:t xml:space="preserve"> du greffe :</w:t>
      </w:r>
      <w:r w:rsidRPr="003871F6">
        <w:rPr>
          <w:sz w:val="20"/>
          <w:szCs w:val="20"/>
          <w:lang w:val="fr-CA"/>
        </w:rPr>
        <w:tab/>
        <w:t>34678</w:t>
      </w:r>
    </w:p>
    <w:p w:rsidR="00D84679" w:rsidRPr="003871F6" w:rsidRDefault="00D84679" w:rsidP="00D84679">
      <w:pPr>
        <w:widowControl w:val="0"/>
        <w:ind w:left="2880" w:hanging="2880"/>
        <w:jc w:val="both"/>
        <w:rPr>
          <w:sz w:val="20"/>
          <w:szCs w:val="20"/>
          <w:lang w:val="fr-CA"/>
        </w:rPr>
      </w:pPr>
    </w:p>
    <w:p w:rsidR="00D84679" w:rsidRPr="003871F6" w:rsidRDefault="00D84679" w:rsidP="00D84679">
      <w:pPr>
        <w:widowControl w:val="0"/>
        <w:ind w:left="2880" w:hanging="2880"/>
        <w:jc w:val="both"/>
        <w:rPr>
          <w:sz w:val="20"/>
          <w:szCs w:val="20"/>
          <w:lang w:val="fr-CA"/>
        </w:rPr>
      </w:pPr>
      <w:r w:rsidRPr="003871F6">
        <w:rPr>
          <w:sz w:val="20"/>
          <w:szCs w:val="20"/>
          <w:lang w:val="fr-CA"/>
        </w:rPr>
        <w:t>Arrêt de la Cour d’appel :</w:t>
      </w:r>
      <w:r w:rsidRPr="003871F6">
        <w:rPr>
          <w:sz w:val="20"/>
          <w:szCs w:val="20"/>
          <w:lang w:val="fr-CA"/>
        </w:rPr>
        <w:tab/>
        <w:t>le 22 décembre 2011</w:t>
      </w:r>
    </w:p>
    <w:p w:rsidR="00D84679" w:rsidRPr="003871F6" w:rsidRDefault="00D84679" w:rsidP="00D84679">
      <w:pPr>
        <w:widowControl w:val="0"/>
        <w:ind w:left="2880" w:hanging="2880"/>
        <w:jc w:val="both"/>
        <w:rPr>
          <w:sz w:val="20"/>
          <w:szCs w:val="20"/>
          <w:lang w:val="fr-CA"/>
        </w:rPr>
      </w:pPr>
    </w:p>
    <w:p w:rsidR="00D84679" w:rsidRPr="003871F6" w:rsidRDefault="00D84679" w:rsidP="00D84679">
      <w:pPr>
        <w:widowControl w:val="0"/>
        <w:ind w:left="2880" w:hanging="2880"/>
        <w:jc w:val="both"/>
        <w:rPr>
          <w:sz w:val="20"/>
          <w:szCs w:val="20"/>
          <w:lang w:val="fr-CA"/>
        </w:rPr>
      </w:pPr>
      <w:r w:rsidRPr="003871F6">
        <w:rPr>
          <w:sz w:val="20"/>
          <w:szCs w:val="20"/>
          <w:lang w:val="fr-CA"/>
        </w:rPr>
        <w:t>Avocats :</w:t>
      </w:r>
      <w:r w:rsidRPr="003871F6">
        <w:rPr>
          <w:sz w:val="20"/>
          <w:szCs w:val="20"/>
          <w:lang w:val="fr-CA"/>
        </w:rPr>
        <w:tab/>
        <w:t>Robert Belliveau, c.r. et Kevin Gibson pour les appelantes</w:t>
      </w:r>
    </w:p>
    <w:p w:rsidR="00D84679" w:rsidRPr="003871F6" w:rsidRDefault="00D84679" w:rsidP="00D84679">
      <w:pPr>
        <w:widowControl w:val="0"/>
        <w:ind w:left="2880" w:hanging="2880"/>
        <w:jc w:val="both"/>
        <w:rPr>
          <w:sz w:val="20"/>
          <w:szCs w:val="20"/>
          <w:lang w:val="fr-CA"/>
        </w:rPr>
      </w:pPr>
      <w:r w:rsidRPr="003871F6">
        <w:rPr>
          <w:sz w:val="20"/>
          <w:szCs w:val="20"/>
          <w:lang w:val="fr-CA"/>
        </w:rPr>
        <w:tab/>
        <w:t>John P. Merrick, c.r. pour les intimées Ameron International Corporation et Ameron B.V.</w:t>
      </w:r>
    </w:p>
    <w:p w:rsidR="00D84679" w:rsidRPr="003871F6" w:rsidRDefault="00D84679" w:rsidP="00D84679">
      <w:pPr>
        <w:widowControl w:val="0"/>
        <w:ind w:left="2880" w:hanging="2880"/>
        <w:jc w:val="both"/>
        <w:rPr>
          <w:sz w:val="20"/>
          <w:szCs w:val="20"/>
          <w:lang w:val="fr-CA"/>
        </w:rPr>
      </w:pPr>
      <w:r w:rsidRPr="003871F6">
        <w:rPr>
          <w:sz w:val="20"/>
          <w:szCs w:val="20"/>
          <w:lang w:val="fr-CA"/>
        </w:rPr>
        <w:tab/>
        <w:t xml:space="preserve">Terrance L.S. Teed, c.r. pour les intimées Allcolour Paint Ltd., Amercoat Canada, Rubyco Ltd., Danroh Inc. et Serious Business Inc. </w:t>
      </w:r>
    </w:p>
    <w:p w:rsidR="006F66CA" w:rsidRDefault="006F66CA" w:rsidP="006F66CA">
      <w:pPr>
        <w:tabs>
          <w:tab w:val="left" w:pos="-1440"/>
          <w:tab w:val="left" w:pos="-720"/>
        </w:tabs>
        <w:jc w:val="both"/>
        <w:rPr>
          <w:sz w:val="20"/>
          <w:szCs w:val="20"/>
          <w:lang w:val="fr-CA"/>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11"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802E6F" w:rsidRPr="002822D9" w:rsidRDefault="003F21C7" w:rsidP="00802E6F">
      <w:pPr>
        <w:widowControl w:val="0"/>
        <w:ind w:left="720" w:hanging="720"/>
        <w:jc w:val="both"/>
        <w:rPr>
          <w:sz w:val="20"/>
          <w:szCs w:val="20"/>
        </w:rPr>
      </w:pPr>
      <w:r w:rsidRPr="002822D9">
        <w:rPr>
          <w:b/>
          <w:sz w:val="20"/>
          <w:szCs w:val="20"/>
        </w:rPr>
        <w:lastRenderedPageBreak/>
        <w:fldChar w:fldCharType="begin"/>
      </w:r>
      <w:r w:rsidR="00802E6F" w:rsidRPr="002822D9">
        <w:rPr>
          <w:b/>
          <w:sz w:val="20"/>
          <w:szCs w:val="20"/>
        </w:rPr>
        <w:instrText xml:space="preserve"> SEQ CHAPTER \h \r 1</w:instrText>
      </w:r>
      <w:r w:rsidRPr="002822D9">
        <w:rPr>
          <w:b/>
          <w:sz w:val="20"/>
          <w:szCs w:val="20"/>
        </w:rPr>
        <w:fldChar w:fldCharType="end"/>
      </w:r>
      <w:r w:rsidR="00802E6F" w:rsidRPr="002822D9">
        <w:rPr>
          <w:b/>
          <w:sz w:val="20"/>
          <w:szCs w:val="20"/>
        </w:rPr>
        <w:t>34641</w:t>
      </w:r>
      <w:r w:rsidR="00802E6F" w:rsidRPr="002822D9">
        <w:rPr>
          <w:sz w:val="20"/>
          <w:szCs w:val="20"/>
        </w:rPr>
        <w:tab/>
      </w:r>
      <w:r w:rsidR="00802E6F" w:rsidRPr="002822D9">
        <w:rPr>
          <w:b/>
          <w:i/>
          <w:sz w:val="20"/>
          <w:szCs w:val="20"/>
        </w:rPr>
        <w:t>Robert Hryniak v. Fred Mauldin, Dan Myers, Robert Blomberg, Theodore Landkammer, Lloyd Chelli, Stephen Yee, Marvin Cleair, Carolyn Cleair, Richard Hanna, Douglas Laird, Charles Ivans, Lyn White and Athena Smith</w:t>
      </w:r>
    </w:p>
    <w:p w:rsidR="00802E6F" w:rsidRPr="002822D9" w:rsidRDefault="00802E6F" w:rsidP="00802E6F">
      <w:pPr>
        <w:widowControl w:val="0"/>
        <w:jc w:val="both"/>
        <w:rPr>
          <w:sz w:val="20"/>
          <w:szCs w:val="20"/>
        </w:rPr>
      </w:pPr>
    </w:p>
    <w:p w:rsidR="00802E6F" w:rsidRPr="002822D9" w:rsidRDefault="00802E6F" w:rsidP="00802E6F">
      <w:pPr>
        <w:widowControl w:val="0"/>
        <w:jc w:val="both"/>
        <w:rPr>
          <w:sz w:val="20"/>
          <w:szCs w:val="20"/>
        </w:rPr>
      </w:pPr>
      <w:r w:rsidRPr="002822D9">
        <w:rPr>
          <w:sz w:val="20"/>
          <w:szCs w:val="20"/>
        </w:rPr>
        <w:t xml:space="preserve">Judgments and orders </w:t>
      </w:r>
      <w:r w:rsidRPr="002822D9">
        <w:rPr>
          <w:sz w:val="20"/>
          <w:szCs w:val="20"/>
        </w:rPr>
        <w:noBreakHyphen/>
        <w:t xml:space="preserve"> Summary judgments </w:t>
      </w:r>
      <w:r w:rsidRPr="002822D9">
        <w:rPr>
          <w:sz w:val="20"/>
          <w:szCs w:val="20"/>
        </w:rPr>
        <w:noBreakHyphen/>
        <w:t xml:space="preserve"> Civil procedure </w:t>
      </w:r>
      <w:r w:rsidRPr="002822D9">
        <w:rPr>
          <w:sz w:val="20"/>
          <w:szCs w:val="20"/>
        </w:rPr>
        <w:noBreakHyphen/>
        <w:t xml:space="preserve"> Amended Ontario </w:t>
      </w:r>
      <w:r w:rsidRPr="002822D9">
        <w:rPr>
          <w:i/>
          <w:sz w:val="20"/>
          <w:szCs w:val="20"/>
        </w:rPr>
        <w:t>Rules of Civil Procedure</w:t>
      </w:r>
      <w:r w:rsidRPr="002822D9">
        <w:rPr>
          <w:sz w:val="20"/>
          <w:szCs w:val="20"/>
        </w:rPr>
        <w:t xml:space="preserve"> changed summary judgment mechanism </w:t>
      </w:r>
      <w:r w:rsidRPr="002822D9">
        <w:rPr>
          <w:sz w:val="20"/>
          <w:szCs w:val="20"/>
        </w:rPr>
        <w:noBreakHyphen/>
        <w:t xml:space="preserve"> Appellant appealing to Court of Appeal to have summary judgment set aside </w:t>
      </w:r>
      <w:r w:rsidRPr="002822D9">
        <w:rPr>
          <w:sz w:val="20"/>
          <w:szCs w:val="20"/>
        </w:rPr>
        <w:noBreakHyphen/>
        <w:t xml:space="preserve"> Court of Appeal examining Rule 20 and establishing “full appreciation test” </w:t>
      </w:r>
      <w:r w:rsidRPr="002822D9">
        <w:rPr>
          <w:sz w:val="20"/>
          <w:szCs w:val="20"/>
        </w:rPr>
        <w:noBreakHyphen/>
        <w:t xml:space="preserve"> Court of Appeal dismissing appellant’s appeal to set aside summary judgment </w:t>
      </w:r>
      <w:r w:rsidRPr="002822D9">
        <w:rPr>
          <w:sz w:val="20"/>
          <w:szCs w:val="20"/>
        </w:rPr>
        <w:noBreakHyphen/>
        <w:t xml:space="preserve">  Court of Appeal finding future cases of this nature requiring a trial and should not be decided by summary judgment </w:t>
      </w:r>
      <w:r w:rsidRPr="002822D9">
        <w:rPr>
          <w:sz w:val="20"/>
          <w:szCs w:val="20"/>
        </w:rPr>
        <w:noBreakHyphen/>
        <w:t xml:space="preserve"> Whether the Court of Appeal engaged in prospective overruling when granting summary judgment against the appellant </w:t>
      </w:r>
      <w:r w:rsidRPr="002822D9">
        <w:rPr>
          <w:sz w:val="20"/>
          <w:szCs w:val="20"/>
        </w:rPr>
        <w:noBreakHyphen/>
        <w:t xml:space="preserve"> Whether courts possess the discretion to prospectively overrule in private law cases </w:t>
      </w:r>
      <w:r w:rsidRPr="002822D9">
        <w:rPr>
          <w:sz w:val="20"/>
          <w:szCs w:val="20"/>
        </w:rPr>
        <w:noBreakHyphen/>
        <w:t xml:space="preserve"> If courts may prospectively overrule in private law cases, whether it was appropriate for the Court of Appeal to do so in this case. </w:t>
      </w:r>
    </w:p>
    <w:p w:rsidR="00802E6F" w:rsidRPr="002822D9" w:rsidRDefault="00802E6F" w:rsidP="00802E6F">
      <w:pPr>
        <w:widowControl w:val="0"/>
        <w:jc w:val="both"/>
        <w:rPr>
          <w:sz w:val="20"/>
          <w:szCs w:val="20"/>
        </w:rPr>
      </w:pPr>
    </w:p>
    <w:p w:rsidR="00802E6F" w:rsidRPr="002822D9" w:rsidRDefault="00802E6F" w:rsidP="00802E6F">
      <w:pPr>
        <w:widowControl w:val="0"/>
        <w:jc w:val="both"/>
        <w:rPr>
          <w:sz w:val="20"/>
          <w:szCs w:val="20"/>
        </w:rPr>
      </w:pPr>
      <w:r w:rsidRPr="002822D9">
        <w:rPr>
          <w:sz w:val="20"/>
          <w:szCs w:val="20"/>
        </w:rPr>
        <w:t xml:space="preserve">In the months following the amendments to Rule 20 of the Ontario </w:t>
      </w:r>
      <w:r w:rsidRPr="002822D9">
        <w:rPr>
          <w:i/>
          <w:sz w:val="20"/>
          <w:szCs w:val="20"/>
        </w:rPr>
        <w:t>Rules of Civil Procedure</w:t>
      </w:r>
      <w:r w:rsidRPr="002822D9">
        <w:rPr>
          <w:sz w:val="20"/>
          <w:szCs w:val="20"/>
        </w:rPr>
        <w:t>, there was controversy and uncertainty as to whether it is appropriate for a motion judge to use the new powers conferred by the amended Rule 20 to decide an action on the basis of the evidence presented on a motion for summary judgment.  To provide guidance to the profession, the Ontario Court of Appeal convened a five</w:t>
      </w:r>
      <w:r w:rsidRPr="002822D9">
        <w:rPr>
          <w:sz w:val="20"/>
          <w:szCs w:val="20"/>
        </w:rPr>
        <w:noBreakHyphen/>
        <w:t xml:space="preserve">judge panel to hear five appeals from decisions under the amended rule.  In addition to hearing from counsel representing the parties on the appeals, the court appointed five </w:t>
      </w:r>
      <w:r w:rsidRPr="002822D9">
        <w:rPr>
          <w:i/>
          <w:sz w:val="20"/>
          <w:szCs w:val="20"/>
        </w:rPr>
        <w:t>amicus curiae</w:t>
      </w:r>
      <w:r w:rsidRPr="002822D9">
        <w:rPr>
          <w:sz w:val="20"/>
          <w:szCs w:val="20"/>
        </w:rPr>
        <w:t xml:space="preserve"> to provide submissions on how the amended rule should be interpreted and applied.  One of the appeals the Court of Appeal heard was the appellant, Mr. Hryniak’s motion to set aside the summary judgment that had been ordered by the Ontario Superior Court of Justice based on the amended Rule 20.  The Court of Appeal dismissed Mr. Hryniak’s appeal.</w:t>
      </w:r>
    </w:p>
    <w:p w:rsidR="00802E6F" w:rsidRPr="002822D9" w:rsidRDefault="00802E6F" w:rsidP="00802E6F">
      <w:pPr>
        <w:widowControl w:val="0"/>
        <w:jc w:val="both"/>
        <w:rPr>
          <w:sz w:val="20"/>
          <w:szCs w:val="20"/>
        </w:rPr>
      </w:pPr>
    </w:p>
    <w:p w:rsidR="00802E6F" w:rsidRPr="002822D9" w:rsidRDefault="00802E6F" w:rsidP="00802E6F">
      <w:pPr>
        <w:widowControl w:val="0"/>
        <w:jc w:val="both"/>
        <w:rPr>
          <w:sz w:val="20"/>
          <w:szCs w:val="20"/>
        </w:rPr>
      </w:pPr>
    </w:p>
    <w:p w:rsidR="00802E6F" w:rsidRPr="002822D9" w:rsidRDefault="00802E6F" w:rsidP="00802E6F">
      <w:pPr>
        <w:widowControl w:val="0"/>
        <w:ind w:left="2880" w:hanging="2880"/>
        <w:jc w:val="both"/>
        <w:rPr>
          <w:sz w:val="20"/>
          <w:szCs w:val="20"/>
        </w:rPr>
      </w:pPr>
      <w:r w:rsidRPr="002822D9">
        <w:rPr>
          <w:sz w:val="20"/>
          <w:szCs w:val="20"/>
        </w:rPr>
        <w:t>Origin of the case:</w:t>
      </w:r>
      <w:r w:rsidRPr="002822D9">
        <w:rPr>
          <w:sz w:val="20"/>
          <w:szCs w:val="20"/>
        </w:rPr>
        <w:tab/>
        <w:t>Ontario</w:t>
      </w:r>
    </w:p>
    <w:p w:rsidR="00802E6F" w:rsidRPr="002822D9" w:rsidRDefault="00802E6F" w:rsidP="00802E6F">
      <w:pPr>
        <w:widowControl w:val="0"/>
        <w:ind w:left="2880" w:hanging="2880"/>
        <w:jc w:val="both"/>
        <w:rPr>
          <w:sz w:val="20"/>
          <w:szCs w:val="20"/>
        </w:rPr>
      </w:pPr>
    </w:p>
    <w:p w:rsidR="00802E6F" w:rsidRPr="002822D9" w:rsidRDefault="00802E6F" w:rsidP="00802E6F">
      <w:pPr>
        <w:widowControl w:val="0"/>
        <w:ind w:left="2880" w:hanging="2880"/>
        <w:jc w:val="both"/>
        <w:rPr>
          <w:sz w:val="20"/>
          <w:szCs w:val="20"/>
        </w:rPr>
      </w:pPr>
      <w:r w:rsidRPr="002822D9">
        <w:rPr>
          <w:sz w:val="20"/>
          <w:szCs w:val="20"/>
        </w:rPr>
        <w:t>File No.:</w:t>
      </w:r>
      <w:r w:rsidRPr="002822D9">
        <w:rPr>
          <w:sz w:val="20"/>
          <w:szCs w:val="20"/>
        </w:rPr>
        <w:tab/>
        <w:t>34641</w:t>
      </w:r>
    </w:p>
    <w:p w:rsidR="00802E6F" w:rsidRPr="002822D9" w:rsidRDefault="00802E6F" w:rsidP="00802E6F">
      <w:pPr>
        <w:widowControl w:val="0"/>
        <w:ind w:left="2880" w:hanging="2880"/>
        <w:jc w:val="both"/>
        <w:rPr>
          <w:sz w:val="20"/>
          <w:szCs w:val="20"/>
        </w:rPr>
      </w:pPr>
    </w:p>
    <w:p w:rsidR="00802E6F" w:rsidRPr="002822D9" w:rsidRDefault="00802E6F" w:rsidP="00802E6F">
      <w:pPr>
        <w:widowControl w:val="0"/>
        <w:ind w:left="2880" w:hanging="2880"/>
        <w:jc w:val="both"/>
        <w:rPr>
          <w:sz w:val="20"/>
          <w:szCs w:val="20"/>
        </w:rPr>
      </w:pPr>
      <w:r w:rsidRPr="002822D9">
        <w:rPr>
          <w:sz w:val="20"/>
          <w:szCs w:val="20"/>
        </w:rPr>
        <w:t>Judgment of the Court of Appeal:</w:t>
      </w:r>
      <w:r w:rsidRPr="002822D9">
        <w:rPr>
          <w:sz w:val="20"/>
          <w:szCs w:val="20"/>
        </w:rPr>
        <w:tab/>
        <w:t>December 5, 2011</w:t>
      </w:r>
    </w:p>
    <w:p w:rsidR="00802E6F" w:rsidRPr="002822D9" w:rsidRDefault="00802E6F" w:rsidP="00802E6F">
      <w:pPr>
        <w:widowControl w:val="0"/>
        <w:ind w:left="2880" w:hanging="2880"/>
        <w:jc w:val="both"/>
        <w:rPr>
          <w:sz w:val="20"/>
          <w:szCs w:val="20"/>
        </w:rPr>
      </w:pPr>
    </w:p>
    <w:p w:rsidR="00802E6F" w:rsidRPr="002822D9" w:rsidRDefault="00802E6F" w:rsidP="00802E6F">
      <w:pPr>
        <w:widowControl w:val="0"/>
        <w:ind w:left="2880" w:hanging="2880"/>
        <w:jc w:val="both"/>
        <w:rPr>
          <w:sz w:val="20"/>
          <w:szCs w:val="20"/>
        </w:rPr>
      </w:pPr>
      <w:r w:rsidRPr="002822D9">
        <w:rPr>
          <w:sz w:val="20"/>
          <w:szCs w:val="20"/>
        </w:rPr>
        <w:t>Counsel:</w:t>
      </w:r>
      <w:r w:rsidRPr="002822D9">
        <w:rPr>
          <w:sz w:val="20"/>
          <w:szCs w:val="20"/>
        </w:rPr>
        <w:tab/>
        <w:t>Sarit E. Batner, Brandon Kain and Moya J. Graham for the appellant</w:t>
      </w:r>
    </w:p>
    <w:p w:rsidR="00802E6F" w:rsidRPr="002822D9" w:rsidRDefault="00802E6F" w:rsidP="00802E6F">
      <w:pPr>
        <w:widowControl w:val="0"/>
        <w:ind w:left="2880" w:hanging="2880"/>
        <w:jc w:val="both"/>
        <w:rPr>
          <w:sz w:val="20"/>
          <w:szCs w:val="20"/>
        </w:rPr>
      </w:pPr>
      <w:r w:rsidRPr="002822D9">
        <w:rPr>
          <w:sz w:val="20"/>
          <w:szCs w:val="20"/>
        </w:rPr>
        <w:tab/>
        <w:t>Javad Heydary and David K. Alderson for the respondent</w:t>
      </w:r>
    </w:p>
    <w:p w:rsidR="006F66CA" w:rsidRPr="00802E6F" w:rsidRDefault="006F66CA" w:rsidP="006F66CA">
      <w:pPr>
        <w:tabs>
          <w:tab w:val="left" w:pos="-1440"/>
          <w:tab w:val="left" w:pos="-720"/>
        </w:tabs>
        <w:jc w:val="both"/>
        <w:rPr>
          <w:sz w:val="20"/>
          <w:szCs w:val="20"/>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12"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FD677B" w:rsidRPr="002F5DD4" w:rsidRDefault="003F21C7" w:rsidP="00FD677B">
      <w:pPr>
        <w:widowControl w:val="0"/>
        <w:ind w:left="720" w:hanging="720"/>
        <w:jc w:val="both"/>
        <w:rPr>
          <w:sz w:val="20"/>
          <w:szCs w:val="20"/>
        </w:rPr>
      </w:pPr>
      <w:r w:rsidRPr="002F5DD4">
        <w:rPr>
          <w:b/>
          <w:sz w:val="20"/>
          <w:szCs w:val="20"/>
          <w:lang w:val="fr-CA"/>
        </w:rPr>
        <w:lastRenderedPageBreak/>
        <w:fldChar w:fldCharType="begin"/>
      </w:r>
      <w:r w:rsidR="00FD677B" w:rsidRPr="002F5DD4">
        <w:rPr>
          <w:b/>
          <w:sz w:val="20"/>
          <w:szCs w:val="20"/>
        </w:rPr>
        <w:instrText xml:space="preserve"> SEQ CHAPTER \h \r 1</w:instrText>
      </w:r>
      <w:r w:rsidRPr="002F5DD4">
        <w:rPr>
          <w:b/>
          <w:sz w:val="20"/>
          <w:szCs w:val="20"/>
          <w:lang w:val="fr-CA"/>
        </w:rPr>
        <w:fldChar w:fldCharType="end"/>
      </w:r>
      <w:r w:rsidR="00FD677B" w:rsidRPr="002F5DD4">
        <w:rPr>
          <w:b/>
          <w:sz w:val="20"/>
          <w:szCs w:val="20"/>
        </w:rPr>
        <w:t>34641</w:t>
      </w:r>
      <w:r w:rsidR="00FD677B" w:rsidRPr="002F5DD4">
        <w:rPr>
          <w:sz w:val="20"/>
          <w:szCs w:val="20"/>
        </w:rPr>
        <w:tab/>
      </w:r>
      <w:r w:rsidR="00FD677B" w:rsidRPr="002F5DD4">
        <w:rPr>
          <w:b/>
          <w:i/>
          <w:sz w:val="20"/>
          <w:szCs w:val="20"/>
        </w:rPr>
        <w:t>Robert Hryniak c. Fred Mauldin, Dan Myers, Robert Blomberg, Theodore Landkammer, Lloyd Chelli, Stephen Yee, Marvin Cleair, Carolyn Cleair, Richard Hanna, Douglas Laird, Charles Ivans, Lyn White et Athena Smith</w:t>
      </w:r>
    </w:p>
    <w:p w:rsidR="00FD677B" w:rsidRPr="002F5DD4" w:rsidRDefault="00FD677B" w:rsidP="00FD677B">
      <w:pPr>
        <w:widowControl w:val="0"/>
        <w:jc w:val="both"/>
        <w:rPr>
          <w:sz w:val="20"/>
          <w:szCs w:val="20"/>
        </w:rPr>
      </w:pPr>
    </w:p>
    <w:p w:rsidR="00FD677B" w:rsidRPr="002F5DD4" w:rsidRDefault="00FD677B" w:rsidP="00FD677B">
      <w:pPr>
        <w:widowControl w:val="0"/>
        <w:jc w:val="both"/>
        <w:rPr>
          <w:sz w:val="20"/>
          <w:szCs w:val="20"/>
          <w:lang w:val="fr-CA"/>
        </w:rPr>
      </w:pPr>
      <w:r w:rsidRPr="002F5DD4">
        <w:rPr>
          <w:sz w:val="20"/>
          <w:szCs w:val="20"/>
          <w:lang w:val="fr-CA"/>
        </w:rPr>
        <w:t xml:space="preserve">Jugements et ordonnances </w:t>
      </w:r>
      <w:r w:rsidRPr="002F5DD4">
        <w:rPr>
          <w:sz w:val="20"/>
          <w:szCs w:val="20"/>
          <w:lang w:val="fr-CA"/>
        </w:rPr>
        <w:noBreakHyphen/>
        <w:t xml:space="preserve"> Jugements sommaires </w:t>
      </w:r>
      <w:r w:rsidRPr="002F5DD4">
        <w:rPr>
          <w:sz w:val="20"/>
          <w:szCs w:val="20"/>
          <w:lang w:val="fr-CA"/>
        </w:rPr>
        <w:noBreakHyphen/>
        <w:t xml:space="preserve"> Procédure civile </w:t>
      </w:r>
      <w:r w:rsidRPr="002F5DD4">
        <w:rPr>
          <w:sz w:val="20"/>
          <w:szCs w:val="20"/>
          <w:lang w:val="fr-CA"/>
        </w:rPr>
        <w:noBreakHyphen/>
        <w:t xml:space="preserve"> Les </w:t>
      </w:r>
      <w:r w:rsidRPr="002F5DD4">
        <w:rPr>
          <w:i/>
          <w:sz w:val="20"/>
          <w:szCs w:val="20"/>
          <w:lang w:val="fr-CA"/>
        </w:rPr>
        <w:t>Règles de procédure civile</w:t>
      </w:r>
      <w:r w:rsidRPr="002F5DD4">
        <w:rPr>
          <w:sz w:val="20"/>
          <w:szCs w:val="20"/>
          <w:lang w:val="fr-CA"/>
        </w:rPr>
        <w:t xml:space="preserve"> modifiées de l’Ontario ont changé le mécanisme relatif aux jugements sommaires </w:t>
      </w:r>
      <w:r w:rsidRPr="002F5DD4">
        <w:rPr>
          <w:sz w:val="20"/>
          <w:szCs w:val="20"/>
          <w:lang w:val="fr-CA"/>
        </w:rPr>
        <w:noBreakHyphen/>
        <w:t xml:space="preserve"> L’appelant interjette appel à la Cour d’appel pour faire annuler un jugement sommaire </w:t>
      </w:r>
      <w:r w:rsidRPr="002F5DD4">
        <w:rPr>
          <w:sz w:val="20"/>
          <w:szCs w:val="20"/>
          <w:lang w:val="fr-CA"/>
        </w:rPr>
        <w:noBreakHyphen/>
        <w:t xml:space="preserve"> La Cour d’appel examine la règle 20 et établit un nouveau « critère d’appréciation totale » </w:t>
      </w:r>
      <w:r w:rsidRPr="002F5DD4">
        <w:rPr>
          <w:sz w:val="20"/>
          <w:szCs w:val="20"/>
          <w:lang w:val="fr-CA"/>
        </w:rPr>
        <w:noBreakHyphen/>
        <w:t xml:space="preserve"> La Cour d’appel rejette l’appel de l’appelant en annulation du jugement sommaire et ordonne la tenue d’un procès </w:t>
      </w:r>
      <w:r w:rsidRPr="002F5DD4">
        <w:rPr>
          <w:sz w:val="20"/>
          <w:szCs w:val="20"/>
          <w:lang w:val="fr-CA"/>
        </w:rPr>
        <w:noBreakHyphen/>
        <w:t xml:space="preserve"> La Cour d’appel conclut qu’à l’avenir, les affaires comme celle en l’espèce doivent faire l’objet d’un procès et ne devraient pas être tranchées par jugement sommaire </w:t>
      </w:r>
      <w:r w:rsidRPr="002F5DD4">
        <w:rPr>
          <w:sz w:val="20"/>
          <w:szCs w:val="20"/>
          <w:lang w:val="fr-CA"/>
        </w:rPr>
        <w:noBreakHyphen/>
        <w:t xml:space="preserve"> La Cour d’appel se trouve</w:t>
      </w:r>
      <w:r w:rsidRPr="002F5DD4">
        <w:rPr>
          <w:sz w:val="20"/>
          <w:szCs w:val="20"/>
          <w:lang w:val="fr-CA"/>
        </w:rPr>
        <w:noBreakHyphen/>
        <w:t>t</w:t>
      </w:r>
      <w:r w:rsidRPr="002F5DD4">
        <w:rPr>
          <w:sz w:val="20"/>
          <w:szCs w:val="20"/>
          <w:lang w:val="fr-CA"/>
        </w:rPr>
        <w:noBreakHyphen/>
        <w:t xml:space="preserve">elle à avoir fait un revirement pour l’avenir en rendant un jugement sommaire contre l’appelant? </w:t>
      </w:r>
      <w:r w:rsidRPr="002F5DD4">
        <w:rPr>
          <w:sz w:val="20"/>
          <w:szCs w:val="20"/>
          <w:lang w:val="fr-CA"/>
        </w:rPr>
        <w:noBreakHyphen/>
        <w:t xml:space="preserve"> Les tribunaux ont</w:t>
      </w:r>
      <w:r w:rsidRPr="002F5DD4">
        <w:rPr>
          <w:sz w:val="20"/>
          <w:szCs w:val="20"/>
          <w:lang w:val="fr-CA"/>
        </w:rPr>
        <w:noBreakHyphen/>
        <w:t xml:space="preserve">ils le pouvoir discrétionnaire de faire un revirement pour l’avenir dans les affaires de droit privé? </w:t>
      </w:r>
      <w:r w:rsidRPr="002F5DD4">
        <w:rPr>
          <w:sz w:val="20"/>
          <w:szCs w:val="20"/>
          <w:lang w:val="fr-CA"/>
        </w:rPr>
        <w:noBreakHyphen/>
        <w:t xml:space="preserve"> Dans l’affirmative, la Cour d’appel a</w:t>
      </w:r>
      <w:r w:rsidRPr="002F5DD4">
        <w:rPr>
          <w:sz w:val="20"/>
          <w:szCs w:val="20"/>
          <w:lang w:val="fr-CA"/>
        </w:rPr>
        <w:noBreakHyphen/>
        <w:t>t</w:t>
      </w:r>
      <w:r w:rsidRPr="002F5DD4">
        <w:rPr>
          <w:sz w:val="20"/>
          <w:szCs w:val="20"/>
          <w:lang w:val="fr-CA"/>
        </w:rPr>
        <w:noBreakHyphen/>
        <w:t xml:space="preserve">elle eu raison de le faire en l’espèce? </w:t>
      </w:r>
    </w:p>
    <w:p w:rsidR="00FD677B" w:rsidRPr="002F5DD4" w:rsidRDefault="00FD677B" w:rsidP="00FD677B">
      <w:pPr>
        <w:widowControl w:val="0"/>
        <w:jc w:val="both"/>
        <w:rPr>
          <w:sz w:val="20"/>
          <w:szCs w:val="20"/>
          <w:lang w:val="fr-CA"/>
        </w:rPr>
      </w:pPr>
    </w:p>
    <w:p w:rsidR="00FD677B" w:rsidRPr="002F5DD4" w:rsidRDefault="00FD677B" w:rsidP="00A56F64">
      <w:pPr>
        <w:ind w:right="-11"/>
        <w:jc w:val="both"/>
        <w:rPr>
          <w:sz w:val="20"/>
          <w:szCs w:val="20"/>
          <w:lang w:val="fr-CA"/>
        </w:rPr>
      </w:pPr>
      <w:r w:rsidRPr="002F5DD4">
        <w:rPr>
          <w:color w:val="000000"/>
          <w:sz w:val="20"/>
          <w:szCs w:val="20"/>
          <w:lang w:val="fr-CA"/>
        </w:rPr>
        <w:t>Dans les mois qui ont suivi les modifications apportées à la règle 20 des</w:t>
      </w:r>
      <w:r w:rsidRPr="002F5DD4">
        <w:rPr>
          <w:i/>
          <w:color w:val="000000"/>
          <w:sz w:val="20"/>
          <w:szCs w:val="20"/>
          <w:lang w:val="fr-CA"/>
        </w:rPr>
        <w:t xml:space="preserve"> Règles de procédure civile</w:t>
      </w:r>
      <w:r w:rsidRPr="002F5DD4">
        <w:rPr>
          <w:color w:val="000000"/>
          <w:sz w:val="20"/>
          <w:szCs w:val="20"/>
          <w:lang w:val="fr-CA"/>
        </w:rPr>
        <w:t xml:space="preserve"> de l’Ontario, il y a eu une controverse et de l’incertitude quant à la question de savoir si un juge saisi d’une motion peut exercer les nouveaux pouvoirs conférés par la règle 20 modifiée pour juger une action sur le fondement de la preuve présentée dans le cadre d’une motion en jugement sommaire.  Pour la gouverne de la profession, la Cour d’appel de l’Ontario a chargé une formation de cinq juges d’instruire cinq appels de décisions rendues en vertu de la règle modifiée.  En plus d’entendre les avocats représentant les parties en appel, la Cour a nommé cinq intervenants désintéressés chargés de faire des observations sur la manière dont la règle modifiée devrait être interprétée et appliquée.  Un des appels entendus par la Cour d’appel portait sur la motion de l’appelant M. Hryniak en annulation du jugement sommaire qui avait été prononcé par la Cour supérieure de justice sur le fondement de la règle 20 modifiée.  La Cour d’appel a rejeté l’appel de M. Hryniak</w:t>
      </w:r>
      <w:r w:rsidRPr="002F5DD4">
        <w:rPr>
          <w:sz w:val="20"/>
          <w:szCs w:val="20"/>
          <w:lang w:val="fr-CA"/>
        </w:rPr>
        <w:t>.</w:t>
      </w:r>
    </w:p>
    <w:p w:rsidR="00FD677B" w:rsidRPr="002F5DD4" w:rsidRDefault="00FD677B" w:rsidP="00FD677B">
      <w:pPr>
        <w:widowControl w:val="0"/>
        <w:jc w:val="both"/>
        <w:rPr>
          <w:sz w:val="20"/>
          <w:szCs w:val="20"/>
          <w:lang w:val="fr-CA"/>
        </w:rPr>
      </w:pPr>
    </w:p>
    <w:p w:rsidR="00FD677B" w:rsidRPr="002F5DD4" w:rsidRDefault="00FD677B" w:rsidP="00FD677B">
      <w:pPr>
        <w:widowControl w:val="0"/>
        <w:jc w:val="both"/>
        <w:rPr>
          <w:sz w:val="20"/>
          <w:szCs w:val="20"/>
          <w:lang w:val="fr-CA"/>
        </w:rPr>
      </w:pPr>
    </w:p>
    <w:p w:rsidR="00FD677B" w:rsidRPr="002F5DD4" w:rsidRDefault="00FD677B" w:rsidP="00FD677B">
      <w:pPr>
        <w:widowControl w:val="0"/>
        <w:ind w:left="2880" w:hanging="2880"/>
        <w:jc w:val="both"/>
        <w:rPr>
          <w:sz w:val="20"/>
          <w:szCs w:val="20"/>
          <w:lang w:val="fr-CA"/>
        </w:rPr>
      </w:pPr>
      <w:r w:rsidRPr="002F5DD4">
        <w:rPr>
          <w:sz w:val="20"/>
          <w:szCs w:val="20"/>
          <w:lang w:val="fr-CA"/>
        </w:rPr>
        <w:t>Origine :</w:t>
      </w:r>
      <w:r w:rsidRPr="002F5DD4">
        <w:rPr>
          <w:sz w:val="20"/>
          <w:szCs w:val="20"/>
          <w:lang w:val="fr-CA"/>
        </w:rPr>
        <w:tab/>
        <w:t>Ontario</w:t>
      </w:r>
    </w:p>
    <w:p w:rsidR="00FD677B" w:rsidRPr="002F5DD4" w:rsidRDefault="00FD677B" w:rsidP="00FD677B">
      <w:pPr>
        <w:widowControl w:val="0"/>
        <w:ind w:left="2880" w:hanging="2880"/>
        <w:jc w:val="both"/>
        <w:rPr>
          <w:sz w:val="20"/>
          <w:szCs w:val="20"/>
          <w:lang w:val="fr-CA"/>
        </w:rPr>
      </w:pPr>
    </w:p>
    <w:p w:rsidR="00FD677B" w:rsidRPr="002F5DD4" w:rsidRDefault="00FD677B" w:rsidP="00FD677B">
      <w:pPr>
        <w:widowControl w:val="0"/>
        <w:ind w:left="2880" w:hanging="2880"/>
        <w:jc w:val="both"/>
        <w:rPr>
          <w:sz w:val="20"/>
          <w:szCs w:val="20"/>
          <w:lang w:val="fr-CA"/>
        </w:rPr>
      </w:pPr>
      <w:r w:rsidRPr="002F5DD4">
        <w:rPr>
          <w:sz w:val="20"/>
          <w:szCs w:val="20"/>
          <w:lang w:val="fr-CA"/>
        </w:rPr>
        <w:t>N</w:t>
      </w:r>
      <w:r w:rsidRPr="002F5DD4">
        <w:rPr>
          <w:sz w:val="20"/>
          <w:szCs w:val="20"/>
          <w:vertAlign w:val="superscript"/>
          <w:lang w:val="fr-CA"/>
        </w:rPr>
        <w:t>o</w:t>
      </w:r>
      <w:r w:rsidRPr="002F5DD4">
        <w:rPr>
          <w:sz w:val="20"/>
          <w:szCs w:val="20"/>
          <w:lang w:val="fr-CA"/>
        </w:rPr>
        <w:t xml:space="preserve"> du greffe :</w:t>
      </w:r>
      <w:r w:rsidRPr="002F5DD4">
        <w:rPr>
          <w:sz w:val="20"/>
          <w:szCs w:val="20"/>
          <w:lang w:val="fr-CA"/>
        </w:rPr>
        <w:tab/>
        <w:t>34641</w:t>
      </w:r>
    </w:p>
    <w:p w:rsidR="00FD677B" w:rsidRPr="002F5DD4" w:rsidRDefault="00FD677B" w:rsidP="00FD677B">
      <w:pPr>
        <w:widowControl w:val="0"/>
        <w:ind w:left="2880" w:hanging="2880"/>
        <w:jc w:val="both"/>
        <w:rPr>
          <w:sz w:val="20"/>
          <w:szCs w:val="20"/>
          <w:lang w:val="fr-CA"/>
        </w:rPr>
      </w:pPr>
    </w:p>
    <w:p w:rsidR="00FD677B" w:rsidRPr="002F5DD4" w:rsidRDefault="00FD677B" w:rsidP="00FD677B">
      <w:pPr>
        <w:widowControl w:val="0"/>
        <w:ind w:left="2880" w:hanging="2880"/>
        <w:jc w:val="both"/>
        <w:rPr>
          <w:sz w:val="20"/>
          <w:szCs w:val="20"/>
          <w:lang w:val="fr-CA"/>
        </w:rPr>
      </w:pPr>
      <w:r w:rsidRPr="002F5DD4">
        <w:rPr>
          <w:sz w:val="20"/>
          <w:szCs w:val="20"/>
          <w:lang w:val="fr-CA"/>
        </w:rPr>
        <w:t>Arrêt de la Cour d’appel</w:t>
      </w:r>
      <w:r w:rsidRPr="002F5DD4">
        <w:rPr>
          <w:sz w:val="20"/>
          <w:szCs w:val="20"/>
          <w:lang w:val="fr-CA"/>
        </w:rPr>
        <w:tab/>
        <w:t>le 5 décembre 2011</w:t>
      </w:r>
    </w:p>
    <w:p w:rsidR="00FD677B" w:rsidRPr="002F5DD4" w:rsidRDefault="00FD677B" w:rsidP="00FD677B">
      <w:pPr>
        <w:widowControl w:val="0"/>
        <w:ind w:left="2880" w:hanging="2880"/>
        <w:jc w:val="both"/>
        <w:rPr>
          <w:sz w:val="20"/>
          <w:szCs w:val="20"/>
          <w:lang w:val="fr-CA"/>
        </w:rPr>
      </w:pPr>
    </w:p>
    <w:p w:rsidR="00FD677B" w:rsidRPr="002F5DD4" w:rsidRDefault="00FD677B" w:rsidP="00FD677B">
      <w:pPr>
        <w:widowControl w:val="0"/>
        <w:ind w:left="2880" w:hanging="2880"/>
        <w:jc w:val="both"/>
        <w:rPr>
          <w:sz w:val="20"/>
          <w:szCs w:val="20"/>
          <w:lang w:val="fr-CA"/>
        </w:rPr>
      </w:pPr>
      <w:r w:rsidRPr="002F5DD4">
        <w:rPr>
          <w:sz w:val="20"/>
          <w:szCs w:val="20"/>
          <w:lang w:val="fr-CA"/>
        </w:rPr>
        <w:t>Avocats :</w:t>
      </w:r>
      <w:r w:rsidRPr="002F5DD4">
        <w:rPr>
          <w:sz w:val="20"/>
          <w:szCs w:val="20"/>
          <w:lang w:val="fr-CA"/>
        </w:rPr>
        <w:tab/>
        <w:t>Sarit E. Batner, Brandon Kain et Moya J. Graham pour l’appelant</w:t>
      </w:r>
    </w:p>
    <w:p w:rsidR="00FD677B" w:rsidRPr="002F5DD4" w:rsidRDefault="00FD677B" w:rsidP="00FD677B">
      <w:pPr>
        <w:widowControl w:val="0"/>
        <w:ind w:left="2880" w:hanging="2880"/>
        <w:jc w:val="both"/>
        <w:rPr>
          <w:sz w:val="20"/>
          <w:szCs w:val="20"/>
          <w:lang w:val="fr-CA"/>
        </w:rPr>
      </w:pPr>
      <w:r w:rsidRPr="002F5DD4">
        <w:rPr>
          <w:sz w:val="20"/>
          <w:szCs w:val="20"/>
          <w:lang w:val="fr-CA"/>
        </w:rPr>
        <w:tab/>
        <w:t>Javad Heydary et David K. Alderson pour les intimés</w:t>
      </w:r>
    </w:p>
    <w:p w:rsidR="006F66CA" w:rsidRDefault="006F66CA" w:rsidP="006F66CA">
      <w:pPr>
        <w:tabs>
          <w:tab w:val="left" w:pos="-1440"/>
          <w:tab w:val="left" w:pos="-720"/>
        </w:tabs>
        <w:jc w:val="both"/>
        <w:rPr>
          <w:sz w:val="20"/>
          <w:szCs w:val="20"/>
          <w:lang w:val="fr-CA"/>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13"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155C0E" w:rsidRPr="00B47E63" w:rsidRDefault="003F21C7" w:rsidP="00155C0E">
      <w:pPr>
        <w:widowControl w:val="0"/>
        <w:ind w:left="720" w:hanging="720"/>
        <w:jc w:val="both"/>
        <w:rPr>
          <w:sz w:val="20"/>
          <w:szCs w:val="20"/>
        </w:rPr>
      </w:pPr>
      <w:r w:rsidRPr="00B47E63">
        <w:rPr>
          <w:b/>
          <w:sz w:val="20"/>
          <w:szCs w:val="20"/>
        </w:rPr>
        <w:lastRenderedPageBreak/>
        <w:fldChar w:fldCharType="begin"/>
      </w:r>
      <w:r w:rsidR="00155C0E" w:rsidRPr="00B47E63">
        <w:rPr>
          <w:b/>
          <w:sz w:val="20"/>
          <w:szCs w:val="20"/>
        </w:rPr>
        <w:instrText xml:space="preserve"> SEQ CHAPTER \h \r 1</w:instrText>
      </w:r>
      <w:r w:rsidRPr="00B47E63">
        <w:rPr>
          <w:b/>
          <w:sz w:val="20"/>
          <w:szCs w:val="20"/>
        </w:rPr>
        <w:fldChar w:fldCharType="end"/>
      </w:r>
      <w:r w:rsidR="00155C0E" w:rsidRPr="00B47E63">
        <w:rPr>
          <w:b/>
          <w:sz w:val="20"/>
          <w:szCs w:val="20"/>
        </w:rPr>
        <w:t>34645</w:t>
      </w:r>
      <w:r w:rsidR="00155C0E" w:rsidRPr="00B47E63">
        <w:rPr>
          <w:sz w:val="20"/>
          <w:szCs w:val="20"/>
        </w:rPr>
        <w:tab/>
      </w:r>
      <w:r w:rsidR="00155C0E" w:rsidRPr="00B47E63">
        <w:rPr>
          <w:b/>
          <w:i/>
          <w:sz w:val="20"/>
          <w:szCs w:val="20"/>
        </w:rPr>
        <w:t>Bruno Appliance and Furniture Inc. v. Robert Hryniak</w:t>
      </w:r>
    </w:p>
    <w:p w:rsidR="00155C0E" w:rsidRPr="00B47E63" w:rsidRDefault="00155C0E" w:rsidP="00155C0E">
      <w:pPr>
        <w:widowControl w:val="0"/>
        <w:jc w:val="both"/>
        <w:rPr>
          <w:sz w:val="20"/>
          <w:szCs w:val="20"/>
        </w:rPr>
      </w:pPr>
    </w:p>
    <w:p w:rsidR="00155C0E" w:rsidRPr="00B47E63" w:rsidRDefault="00155C0E" w:rsidP="00155C0E">
      <w:pPr>
        <w:widowControl w:val="0"/>
        <w:jc w:val="both"/>
        <w:rPr>
          <w:sz w:val="20"/>
          <w:szCs w:val="20"/>
        </w:rPr>
      </w:pPr>
      <w:r w:rsidRPr="00B47E63">
        <w:rPr>
          <w:sz w:val="20"/>
          <w:szCs w:val="20"/>
        </w:rPr>
        <w:t xml:space="preserve">Judgments and orders </w:t>
      </w:r>
      <w:r w:rsidRPr="00B47E63">
        <w:rPr>
          <w:sz w:val="20"/>
          <w:szCs w:val="20"/>
        </w:rPr>
        <w:noBreakHyphen/>
        <w:t xml:space="preserve"> Summary judgments </w:t>
      </w:r>
      <w:r w:rsidRPr="00B47E63">
        <w:rPr>
          <w:sz w:val="20"/>
          <w:szCs w:val="20"/>
        </w:rPr>
        <w:noBreakHyphen/>
        <w:t xml:space="preserve"> Civil procedure </w:t>
      </w:r>
      <w:r w:rsidRPr="00B47E63">
        <w:rPr>
          <w:sz w:val="20"/>
          <w:szCs w:val="20"/>
        </w:rPr>
        <w:noBreakHyphen/>
        <w:t xml:space="preserve"> Amended Ontario </w:t>
      </w:r>
      <w:r w:rsidRPr="00B47E63">
        <w:rPr>
          <w:i/>
          <w:sz w:val="20"/>
          <w:szCs w:val="20"/>
        </w:rPr>
        <w:t>Rules of Civil Procedure</w:t>
      </w:r>
      <w:r w:rsidRPr="00B47E63">
        <w:rPr>
          <w:sz w:val="20"/>
          <w:szCs w:val="20"/>
        </w:rPr>
        <w:t xml:space="preserve"> changed summary judgment mechanism </w:t>
      </w:r>
      <w:r w:rsidRPr="00B47E63">
        <w:rPr>
          <w:sz w:val="20"/>
          <w:szCs w:val="20"/>
        </w:rPr>
        <w:noBreakHyphen/>
        <w:t xml:space="preserve"> Respondent appealing to Court of Appeal to have summary judgment set aside </w:t>
      </w:r>
      <w:r w:rsidRPr="00B47E63">
        <w:rPr>
          <w:sz w:val="20"/>
          <w:szCs w:val="20"/>
        </w:rPr>
        <w:noBreakHyphen/>
        <w:t xml:space="preserve"> Court of Appeal examining Rule 20 and establishing new “full appreciation test” </w:t>
      </w:r>
      <w:r w:rsidRPr="00B47E63">
        <w:rPr>
          <w:sz w:val="20"/>
          <w:szCs w:val="20"/>
        </w:rPr>
        <w:noBreakHyphen/>
        <w:t xml:space="preserve"> Court of Appeal allowing respondent’s appeal to set aside summary judgment and ordering trial </w:t>
      </w:r>
      <w:r w:rsidRPr="00B47E63">
        <w:rPr>
          <w:sz w:val="20"/>
          <w:szCs w:val="20"/>
        </w:rPr>
        <w:noBreakHyphen/>
        <w:t xml:space="preserve"> Court of Appeal finding future cases of this nature requiring a trial and should not be decided by summary judgment </w:t>
      </w:r>
      <w:r w:rsidRPr="00B47E63">
        <w:rPr>
          <w:sz w:val="20"/>
          <w:szCs w:val="20"/>
        </w:rPr>
        <w:noBreakHyphen/>
        <w:t xml:space="preserve"> What is the appropriate test for summary judgment under Rule 20? </w:t>
      </w:r>
      <w:r w:rsidRPr="00B47E63">
        <w:rPr>
          <w:sz w:val="20"/>
          <w:szCs w:val="20"/>
        </w:rPr>
        <w:noBreakHyphen/>
        <w:t xml:space="preserve"> What is the appropriate standard of review on an appeal from summary judgment where there is a question of mixed fact and law? </w:t>
      </w:r>
      <w:r w:rsidRPr="00B47E63">
        <w:rPr>
          <w:sz w:val="20"/>
          <w:szCs w:val="20"/>
        </w:rPr>
        <w:noBreakHyphen/>
        <w:t xml:space="preserve"> What are the elements applicable to the common law tort of civil fraud? </w:t>
      </w:r>
      <w:r w:rsidRPr="00B47E63">
        <w:rPr>
          <w:sz w:val="20"/>
          <w:szCs w:val="20"/>
        </w:rPr>
        <w:noBreakHyphen/>
        <w:t xml:space="preserve"> What is the appropriate standard of proof applicable to the common law tort of civil fraud?</w:t>
      </w:r>
    </w:p>
    <w:p w:rsidR="00155C0E" w:rsidRPr="00B47E63" w:rsidRDefault="00155C0E" w:rsidP="00155C0E">
      <w:pPr>
        <w:widowControl w:val="0"/>
        <w:jc w:val="both"/>
        <w:rPr>
          <w:sz w:val="20"/>
          <w:szCs w:val="20"/>
        </w:rPr>
      </w:pPr>
    </w:p>
    <w:p w:rsidR="00155C0E" w:rsidRPr="00B47E63" w:rsidRDefault="00155C0E" w:rsidP="00155C0E">
      <w:pPr>
        <w:widowControl w:val="0"/>
        <w:jc w:val="both"/>
        <w:rPr>
          <w:sz w:val="20"/>
          <w:szCs w:val="20"/>
        </w:rPr>
      </w:pPr>
      <w:r w:rsidRPr="00B47E63">
        <w:rPr>
          <w:sz w:val="20"/>
          <w:szCs w:val="20"/>
        </w:rPr>
        <w:t xml:space="preserve">In the months following the amendments to Rule 20 of the Ontario </w:t>
      </w:r>
      <w:r w:rsidRPr="00B47E63">
        <w:rPr>
          <w:i/>
          <w:sz w:val="20"/>
          <w:szCs w:val="20"/>
        </w:rPr>
        <w:t>Rules of Civil Procedure</w:t>
      </w:r>
      <w:r w:rsidRPr="00B47E63">
        <w:rPr>
          <w:sz w:val="20"/>
          <w:szCs w:val="20"/>
        </w:rPr>
        <w:t>, there was controversy and uncertainty as to whether it is appropriate for a motion judge to use the new powers conferred by the amended Rule 20 to decide an action on the basis of the evidence presented on a motion for summary judgment.  To provide some guidance to the profession, the Ontario Court of Appeal convened a five</w:t>
      </w:r>
      <w:r w:rsidRPr="00B47E63">
        <w:rPr>
          <w:sz w:val="20"/>
          <w:szCs w:val="20"/>
        </w:rPr>
        <w:noBreakHyphen/>
        <w:t xml:space="preserve">judge panel to hear five appeals from decisions under the amended rule.  In addition to hearing from counsel representing the parties on the appeals, the court appointed five </w:t>
      </w:r>
      <w:r w:rsidRPr="00B47E63">
        <w:rPr>
          <w:i/>
          <w:sz w:val="20"/>
          <w:szCs w:val="20"/>
        </w:rPr>
        <w:t>amicus curiae</w:t>
      </w:r>
      <w:r w:rsidRPr="00B47E63">
        <w:rPr>
          <w:sz w:val="20"/>
          <w:szCs w:val="20"/>
        </w:rPr>
        <w:t xml:space="preserve"> to provide submissions on how the amended rule should be interpreted and applied.  One of the appeals the Court of Appeal heard was the respondent, Mr. Hryniak’s motion to set aside the summary judgment that had been ordered by the Ontario Superior Court of Justice based on the amended Rule 20.  The Court of Appeal allowed the appeal and ordered a trial finding there were genuine issues requiring a trial.  </w:t>
      </w:r>
    </w:p>
    <w:p w:rsidR="00155C0E" w:rsidRPr="00B47E63" w:rsidRDefault="00155C0E" w:rsidP="00155C0E">
      <w:pPr>
        <w:widowControl w:val="0"/>
        <w:jc w:val="both"/>
        <w:rPr>
          <w:sz w:val="20"/>
          <w:szCs w:val="20"/>
        </w:rPr>
      </w:pPr>
    </w:p>
    <w:p w:rsidR="00155C0E" w:rsidRPr="00B47E63" w:rsidRDefault="00155C0E" w:rsidP="00155C0E">
      <w:pPr>
        <w:widowControl w:val="0"/>
        <w:jc w:val="both"/>
        <w:rPr>
          <w:sz w:val="20"/>
          <w:szCs w:val="20"/>
        </w:rPr>
      </w:pPr>
    </w:p>
    <w:p w:rsidR="00155C0E" w:rsidRPr="00B47E63" w:rsidRDefault="00155C0E" w:rsidP="00155C0E">
      <w:pPr>
        <w:widowControl w:val="0"/>
        <w:ind w:left="2880" w:hanging="2880"/>
        <w:jc w:val="both"/>
        <w:rPr>
          <w:sz w:val="20"/>
          <w:szCs w:val="20"/>
        </w:rPr>
      </w:pPr>
      <w:r w:rsidRPr="00B47E63">
        <w:rPr>
          <w:sz w:val="20"/>
          <w:szCs w:val="20"/>
        </w:rPr>
        <w:t>Origin of the case:</w:t>
      </w:r>
      <w:r w:rsidRPr="00B47E63">
        <w:rPr>
          <w:sz w:val="20"/>
          <w:szCs w:val="20"/>
        </w:rPr>
        <w:tab/>
        <w:t>Ontario</w:t>
      </w:r>
    </w:p>
    <w:p w:rsidR="00155C0E" w:rsidRPr="00B47E63" w:rsidRDefault="00155C0E" w:rsidP="00155C0E">
      <w:pPr>
        <w:widowControl w:val="0"/>
        <w:ind w:left="2880" w:hanging="2880"/>
        <w:jc w:val="both"/>
        <w:rPr>
          <w:sz w:val="20"/>
          <w:szCs w:val="20"/>
        </w:rPr>
      </w:pPr>
    </w:p>
    <w:p w:rsidR="00155C0E" w:rsidRPr="00B47E63" w:rsidRDefault="00155C0E" w:rsidP="00155C0E">
      <w:pPr>
        <w:widowControl w:val="0"/>
        <w:ind w:left="2880" w:hanging="2880"/>
        <w:jc w:val="both"/>
        <w:rPr>
          <w:sz w:val="20"/>
          <w:szCs w:val="20"/>
        </w:rPr>
      </w:pPr>
      <w:r w:rsidRPr="00B47E63">
        <w:rPr>
          <w:sz w:val="20"/>
          <w:szCs w:val="20"/>
        </w:rPr>
        <w:t>File No.:</w:t>
      </w:r>
      <w:r w:rsidRPr="00B47E63">
        <w:rPr>
          <w:sz w:val="20"/>
          <w:szCs w:val="20"/>
        </w:rPr>
        <w:tab/>
        <w:t>34645</w:t>
      </w:r>
    </w:p>
    <w:p w:rsidR="00155C0E" w:rsidRPr="00B47E63" w:rsidRDefault="00155C0E" w:rsidP="00155C0E">
      <w:pPr>
        <w:widowControl w:val="0"/>
        <w:ind w:left="2880" w:hanging="2880"/>
        <w:jc w:val="both"/>
        <w:rPr>
          <w:sz w:val="20"/>
          <w:szCs w:val="20"/>
        </w:rPr>
      </w:pPr>
    </w:p>
    <w:p w:rsidR="00155C0E" w:rsidRPr="00B47E63" w:rsidRDefault="00155C0E" w:rsidP="00155C0E">
      <w:pPr>
        <w:widowControl w:val="0"/>
        <w:ind w:left="2880" w:hanging="2880"/>
        <w:jc w:val="both"/>
        <w:rPr>
          <w:sz w:val="20"/>
          <w:szCs w:val="20"/>
        </w:rPr>
      </w:pPr>
      <w:r w:rsidRPr="00B47E63">
        <w:rPr>
          <w:sz w:val="20"/>
          <w:szCs w:val="20"/>
        </w:rPr>
        <w:t>Judgment of the Court of Appeal:</w:t>
      </w:r>
      <w:r w:rsidRPr="00B47E63">
        <w:rPr>
          <w:sz w:val="20"/>
          <w:szCs w:val="20"/>
        </w:rPr>
        <w:tab/>
        <w:t>December 5, 2011</w:t>
      </w:r>
    </w:p>
    <w:p w:rsidR="00155C0E" w:rsidRPr="00B47E63" w:rsidRDefault="00155C0E" w:rsidP="00155C0E">
      <w:pPr>
        <w:widowControl w:val="0"/>
        <w:ind w:left="2880" w:hanging="2880"/>
        <w:jc w:val="both"/>
        <w:rPr>
          <w:sz w:val="20"/>
          <w:szCs w:val="20"/>
        </w:rPr>
      </w:pPr>
    </w:p>
    <w:p w:rsidR="00155C0E" w:rsidRPr="00B47E63" w:rsidRDefault="00155C0E" w:rsidP="00155C0E">
      <w:pPr>
        <w:widowControl w:val="0"/>
        <w:ind w:left="2880" w:hanging="2880"/>
        <w:jc w:val="both"/>
        <w:rPr>
          <w:sz w:val="20"/>
          <w:szCs w:val="20"/>
        </w:rPr>
      </w:pPr>
      <w:r w:rsidRPr="00B47E63">
        <w:rPr>
          <w:sz w:val="20"/>
          <w:szCs w:val="20"/>
        </w:rPr>
        <w:t>Counsel:</w:t>
      </w:r>
      <w:r w:rsidRPr="00B47E63">
        <w:rPr>
          <w:sz w:val="20"/>
          <w:szCs w:val="20"/>
        </w:rPr>
        <w:tab/>
        <w:t>Javad Heydary for the appellant</w:t>
      </w:r>
    </w:p>
    <w:p w:rsidR="00155C0E" w:rsidRPr="00B47E63" w:rsidRDefault="00155C0E" w:rsidP="00155C0E">
      <w:pPr>
        <w:widowControl w:val="0"/>
        <w:ind w:left="2880" w:hanging="2880"/>
        <w:jc w:val="both"/>
        <w:rPr>
          <w:sz w:val="20"/>
          <w:szCs w:val="20"/>
        </w:rPr>
      </w:pPr>
      <w:r w:rsidRPr="00B47E63">
        <w:rPr>
          <w:sz w:val="20"/>
          <w:szCs w:val="20"/>
        </w:rPr>
        <w:tab/>
        <w:t>Moya J. Graham for the respondent</w:t>
      </w:r>
    </w:p>
    <w:p w:rsidR="006F66CA" w:rsidRPr="00155C0E" w:rsidRDefault="006F66CA" w:rsidP="006F66CA">
      <w:pPr>
        <w:tabs>
          <w:tab w:val="left" w:pos="-1440"/>
          <w:tab w:val="left" w:pos="-720"/>
        </w:tabs>
        <w:jc w:val="both"/>
        <w:rPr>
          <w:sz w:val="20"/>
          <w:szCs w:val="20"/>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14"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7D3340" w:rsidRPr="00843385" w:rsidRDefault="003F21C7" w:rsidP="007D3340">
      <w:pPr>
        <w:widowControl w:val="0"/>
        <w:ind w:left="720" w:hanging="720"/>
        <w:jc w:val="both"/>
        <w:rPr>
          <w:sz w:val="20"/>
          <w:szCs w:val="20"/>
        </w:rPr>
      </w:pPr>
      <w:r w:rsidRPr="00843385">
        <w:rPr>
          <w:b/>
          <w:sz w:val="20"/>
          <w:szCs w:val="20"/>
          <w:lang w:val="fr-CA"/>
        </w:rPr>
        <w:lastRenderedPageBreak/>
        <w:fldChar w:fldCharType="begin"/>
      </w:r>
      <w:r w:rsidR="007D3340" w:rsidRPr="00843385">
        <w:rPr>
          <w:b/>
          <w:sz w:val="20"/>
          <w:szCs w:val="20"/>
        </w:rPr>
        <w:instrText xml:space="preserve"> SEQ CHAPTER \h \r 1</w:instrText>
      </w:r>
      <w:r w:rsidRPr="00843385">
        <w:rPr>
          <w:b/>
          <w:sz w:val="20"/>
          <w:szCs w:val="20"/>
          <w:lang w:val="fr-CA"/>
        </w:rPr>
        <w:fldChar w:fldCharType="end"/>
      </w:r>
      <w:r w:rsidR="007D3340" w:rsidRPr="00843385">
        <w:rPr>
          <w:b/>
          <w:sz w:val="20"/>
          <w:szCs w:val="20"/>
        </w:rPr>
        <w:t>34645</w:t>
      </w:r>
      <w:r w:rsidR="007D3340" w:rsidRPr="00843385">
        <w:rPr>
          <w:sz w:val="20"/>
          <w:szCs w:val="20"/>
        </w:rPr>
        <w:tab/>
      </w:r>
      <w:r w:rsidR="007D3340" w:rsidRPr="00843385">
        <w:rPr>
          <w:b/>
          <w:i/>
          <w:sz w:val="20"/>
          <w:szCs w:val="20"/>
        </w:rPr>
        <w:t>Bruno Appliance and Furniture Inc. c. Robert Hryniak</w:t>
      </w:r>
    </w:p>
    <w:p w:rsidR="007D3340" w:rsidRPr="00843385" w:rsidRDefault="007D3340" w:rsidP="007D3340">
      <w:pPr>
        <w:widowControl w:val="0"/>
        <w:jc w:val="both"/>
        <w:rPr>
          <w:sz w:val="20"/>
          <w:szCs w:val="20"/>
        </w:rPr>
      </w:pPr>
    </w:p>
    <w:p w:rsidR="007D3340" w:rsidRPr="00843385" w:rsidRDefault="007D3340" w:rsidP="007D3340">
      <w:pPr>
        <w:widowControl w:val="0"/>
        <w:jc w:val="both"/>
        <w:rPr>
          <w:sz w:val="20"/>
          <w:szCs w:val="20"/>
          <w:lang w:val="fr-CA"/>
        </w:rPr>
      </w:pPr>
      <w:r w:rsidRPr="00843385">
        <w:rPr>
          <w:sz w:val="20"/>
          <w:szCs w:val="20"/>
          <w:lang w:val="fr-CA"/>
        </w:rPr>
        <w:t xml:space="preserve">Jugements et ordonnances </w:t>
      </w:r>
      <w:r w:rsidRPr="00843385">
        <w:rPr>
          <w:sz w:val="20"/>
          <w:szCs w:val="20"/>
          <w:lang w:val="fr-CA"/>
        </w:rPr>
        <w:noBreakHyphen/>
        <w:t xml:space="preserve"> Jugements sommaires </w:t>
      </w:r>
      <w:r w:rsidRPr="00843385">
        <w:rPr>
          <w:sz w:val="20"/>
          <w:szCs w:val="20"/>
          <w:lang w:val="fr-CA"/>
        </w:rPr>
        <w:noBreakHyphen/>
        <w:t xml:space="preserve"> Procédure civile </w:t>
      </w:r>
      <w:r w:rsidRPr="00843385">
        <w:rPr>
          <w:sz w:val="20"/>
          <w:szCs w:val="20"/>
          <w:lang w:val="fr-CA"/>
        </w:rPr>
        <w:noBreakHyphen/>
        <w:t xml:space="preserve"> Les </w:t>
      </w:r>
      <w:r w:rsidRPr="00843385">
        <w:rPr>
          <w:i/>
          <w:sz w:val="20"/>
          <w:szCs w:val="20"/>
          <w:lang w:val="fr-CA"/>
        </w:rPr>
        <w:t>Règles de procédure civile</w:t>
      </w:r>
      <w:r w:rsidRPr="00843385">
        <w:rPr>
          <w:sz w:val="20"/>
          <w:szCs w:val="20"/>
          <w:lang w:val="fr-CA"/>
        </w:rPr>
        <w:t xml:space="preserve"> modifiées de l’Ontario ont changé le mécanisme relatif aux jugements sommaires </w:t>
      </w:r>
      <w:r w:rsidRPr="00843385">
        <w:rPr>
          <w:sz w:val="20"/>
          <w:szCs w:val="20"/>
          <w:lang w:val="fr-CA"/>
        </w:rPr>
        <w:noBreakHyphen/>
        <w:t xml:space="preserve"> L’intimé interjette appel à la Cour d’appel pour faire annuler un jugement sommaire </w:t>
      </w:r>
      <w:r w:rsidRPr="00843385">
        <w:rPr>
          <w:sz w:val="20"/>
          <w:szCs w:val="20"/>
          <w:lang w:val="fr-CA"/>
        </w:rPr>
        <w:noBreakHyphen/>
        <w:t xml:space="preserve"> La Cour d’appel examine la règle 20 et établit un nouveau « critère de l’appréciation totale » </w:t>
      </w:r>
      <w:r w:rsidRPr="00843385">
        <w:rPr>
          <w:sz w:val="20"/>
          <w:szCs w:val="20"/>
          <w:lang w:val="fr-CA"/>
        </w:rPr>
        <w:noBreakHyphen/>
        <w:t xml:space="preserve"> La Cour d’appel accueille l’appel de l’intimé en annulation du jugement sommaire et ordonne la tenue d’un procès </w:t>
      </w:r>
      <w:r w:rsidRPr="00843385">
        <w:rPr>
          <w:sz w:val="20"/>
          <w:szCs w:val="20"/>
          <w:lang w:val="fr-CA"/>
        </w:rPr>
        <w:noBreakHyphen/>
        <w:t xml:space="preserve"> La Cour d’appel conclut qu’à l’avenir, les affaires comme celle en l’espèce doivent faire l’objet d’un procès et ne devraient pas être tranchées par jugement sommaire </w:t>
      </w:r>
      <w:r w:rsidRPr="00843385">
        <w:rPr>
          <w:sz w:val="20"/>
          <w:szCs w:val="20"/>
          <w:lang w:val="fr-CA"/>
        </w:rPr>
        <w:noBreakHyphen/>
        <w:t xml:space="preserve"> Quelle critère convient</w:t>
      </w:r>
      <w:r w:rsidRPr="00843385">
        <w:rPr>
          <w:sz w:val="20"/>
          <w:szCs w:val="20"/>
          <w:lang w:val="fr-CA"/>
        </w:rPr>
        <w:noBreakHyphen/>
        <w:t xml:space="preserve">il d’appliquer pour juger une affaire sommairement en vertu de la règle 20? </w:t>
      </w:r>
      <w:r w:rsidRPr="00843385">
        <w:rPr>
          <w:sz w:val="20"/>
          <w:szCs w:val="20"/>
          <w:lang w:val="fr-CA"/>
        </w:rPr>
        <w:noBreakHyphen/>
        <w:t xml:space="preserve"> Quelle norme de contrôle s’applique en appel d’un jugement sommaire lorsqu’il y a une question mixte de fait et de droit? </w:t>
      </w:r>
      <w:r w:rsidRPr="00843385">
        <w:rPr>
          <w:sz w:val="20"/>
          <w:szCs w:val="20"/>
          <w:lang w:val="fr-CA"/>
        </w:rPr>
        <w:noBreakHyphen/>
        <w:t xml:space="preserve"> Quels sont les éléments applicables au délit civil de common law de fraude civile? </w:t>
      </w:r>
      <w:r w:rsidRPr="00843385">
        <w:rPr>
          <w:sz w:val="20"/>
          <w:szCs w:val="20"/>
          <w:lang w:val="fr-CA"/>
        </w:rPr>
        <w:noBreakHyphen/>
        <w:t xml:space="preserve"> Quelle norme de preuve s’applique au délit civil de common law de fraude civile? </w:t>
      </w:r>
    </w:p>
    <w:p w:rsidR="007D3340" w:rsidRPr="00843385" w:rsidRDefault="007D3340" w:rsidP="007D3340">
      <w:pPr>
        <w:widowControl w:val="0"/>
        <w:jc w:val="both"/>
        <w:rPr>
          <w:sz w:val="20"/>
          <w:szCs w:val="20"/>
          <w:lang w:val="fr-CA"/>
        </w:rPr>
      </w:pPr>
    </w:p>
    <w:p w:rsidR="007D3340" w:rsidRPr="00843385" w:rsidRDefault="007D3340" w:rsidP="007D3340">
      <w:pPr>
        <w:widowControl w:val="0"/>
        <w:jc w:val="both"/>
        <w:rPr>
          <w:sz w:val="20"/>
          <w:szCs w:val="20"/>
          <w:lang w:val="fr-CA"/>
        </w:rPr>
      </w:pPr>
      <w:r w:rsidRPr="00843385">
        <w:rPr>
          <w:color w:val="000000"/>
          <w:sz w:val="20"/>
          <w:szCs w:val="20"/>
          <w:lang w:val="fr-CA"/>
        </w:rPr>
        <w:t>Dans les mois qui ont suivi les modifications apportées à la règle 20 des</w:t>
      </w:r>
      <w:r w:rsidRPr="00843385">
        <w:rPr>
          <w:i/>
          <w:color w:val="000000"/>
          <w:sz w:val="20"/>
          <w:szCs w:val="20"/>
          <w:lang w:val="fr-CA"/>
        </w:rPr>
        <w:t xml:space="preserve"> Règles de procédure civile</w:t>
      </w:r>
      <w:r w:rsidRPr="00843385">
        <w:rPr>
          <w:color w:val="000000"/>
          <w:sz w:val="20"/>
          <w:szCs w:val="20"/>
          <w:lang w:val="fr-CA"/>
        </w:rPr>
        <w:t xml:space="preserve"> de l’Ontario, il y a eu une controverse et de l’incertitude quant à la question de savoir si un juge saisi d’une motion peut exercer les nouveaux pouvoirs conférés par la règle 20 modifiée pour juger une action sur le fondement de la preuve présentée dans le cadre d’une motion en jugement sommaire.  Pour la gouverne de la profession, la Cour d’appel de l’Ontario a chargé une formation de cinq juges d’instruire cinq appels de décisions rendues en vertu de la règle modifiée.  En plus d’entendre les avocats représentant les parties en appel, la Cour a nommé cinq intervenants désintéressés chargés de faire des observations sur la manière dont la règle modifiée devrait être interprétée et appliquée.  Un des appels entendus par la Cour d’appel portait sur la motion de l’intimé M. Hryniak en annulation du jugement sommaire qui avait été prononcé par la Cour supérieure de justice sur le fondement de la règle 20 modifiée.  La Cour d’appel a accueilli l’appel et ordonné la tenue d’un procès, concluant qu’il existait de véritables questions litigieuses en l’espèce</w:t>
      </w:r>
      <w:r w:rsidRPr="00843385">
        <w:rPr>
          <w:sz w:val="20"/>
          <w:szCs w:val="20"/>
          <w:lang w:val="fr-CA"/>
        </w:rPr>
        <w:t xml:space="preserve">.  </w:t>
      </w:r>
    </w:p>
    <w:p w:rsidR="007D3340" w:rsidRPr="00843385" w:rsidRDefault="007D3340" w:rsidP="007D3340">
      <w:pPr>
        <w:widowControl w:val="0"/>
        <w:jc w:val="both"/>
        <w:rPr>
          <w:sz w:val="20"/>
          <w:szCs w:val="20"/>
          <w:lang w:val="fr-CA"/>
        </w:rPr>
      </w:pPr>
    </w:p>
    <w:p w:rsidR="007D3340" w:rsidRPr="00843385" w:rsidRDefault="007D3340" w:rsidP="007D3340">
      <w:pPr>
        <w:widowControl w:val="0"/>
        <w:jc w:val="both"/>
        <w:rPr>
          <w:sz w:val="20"/>
          <w:szCs w:val="20"/>
          <w:lang w:val="fr-CA"/>
        </w:rPr>
      </w:pPr>
    </w:p>
    <w:p w:rsidR="007D3340" w:rsidRPr="00843385" w:rsidRDefault="007D3340" w:rsidP="007D3340">
      <w:pPr>
        <w:widowControl w:val="0"/>
        <w:ind w:left="2880" w:hanging="2880"/>
        <w:jc w:val="both"/>
        <w:rPr>
          <w:sz w:val="20"/>
          <w:szCs w:val="20"/>
          <w:lang w:val="fr-CA"/>
        </w:rPr>
      </w:pPr>
      <w:r w:rsidRPr="00843385">
        <w:rPr>
          <w:sz w:val="20"/>
          <w:szCs w:val="20"/>
          <w:lang w:val="fr-CA"/>
        </w:rPr>
        <w:t>Origine :</w:t>
      </w:r>
      <w:r w:rsidRPr="00843385">
        <w:rPr>
          <w:sz w:val="20"/>
          <w:szCs w:val="20"/>
          <w:lang w:val="fr-CA"/>
        </w:rPr>
        <w:tab/>
        <w:t>Ontario</w:t>
      </w:r>
    </w:p>
    <w:p w:rsidR="007D3340" w:rsidRPr="00843385" w:rsidRDefault="007D3340" w:rsidP="007D3340">
      <w:pPr>
        <w:widowControl w:val="0"/>
        <w:ind w:left="2880" w:hanging="2880"/>
        <w:jc w:val="both"/>
        <w:rPr>
          <w:sz w:val="20"/>
          <w:szCs w:val="20"/>
          <w:lang w:val="fr-CA"/>
        </w:rPr>
      </w:pPr>
    </w:p>
    <w:p w:rsidR="007D3340" w:rsidRPr="00843385" w:rsidRDefault="007D3340" w:rsidP="007D3340">
      <w:pPr>
        <w:widowControl w:val="0"/>
        <w:ind w:left="2880" w:hanging="2880"/>
        <w:jc w:val="both"/>
        <w:rPr>
          <w:sz w:val="20"/>
          <w:szCs w:val="20"/>
          <w:lang w:val="fr-CA"/>
        </w:rPr>
      </w:pPr>
      <w:r w:rsidRPr="00843385">
        <w:rPr>
          <w:sz w:val="20"/>
          <w:szCs w:val="20"/>
          <w:lang w:val="fr-CA"/>
        </w:rPr>
        <w:t>N</w:t>
      </w:r>
      <w:r w:rsidRPr="00843385">
        <w:rPr>
          <w:sz w:val="20"/>
          <w:szCs w:val="20"/>
          <w:vertAlign w:val="superscript"/>
          <w:lang w:val="fr-CA"/>
        </w:rPr>
        <w:t>o</w:t>
      </w:r>
      <w:r w:rsidRPr="00843385">
        <w:rPr>
          <w:sz w:val="20"/>
          <w:szCs w:val="20"/>
          <w:lang w:val="fr-CA"/>
        </w:rPr>
        <w:t xml:space="preserve"> du greffe :</w:t>
      </w:r>
      <w:r w:rsidRPr="00843385">
        <w:rPr>
          <w:sz w:val="20"/>
          <w:szCs w:val="20"/>
          <w:lang w:val="fr-CA"/>
        </w:rPr>
        <w:tab/>
        <w:t>34645</w:t>
      </w:r>
    </w:p>
    <w:p w:rsidR="007D3340" w:rsidRPr="00843385" w:rsidRDefault="007D3340" w:rsidP="007D3340">
      <w:pPr>
        <w:widowControl w:val="0"/>
        <w:ind w:left="2880" w:hanging="2880"/>
        <w:jc w:val="both"/>
        <w:rPr>
          <w:sz w:val="20"/>
          <w:szCs w:val="20"/>
          <w:lang w:val="fr-CA"/>
        </w:rPr>
      </w:pPr>
    </w:p>
    <w:p w:rsidR="007D3340" w:rsidRPr="00843385" w:rsidRDefault="007D3340" w:rsidP="007D3340">
      <w:pPr>
        <w:widowControl w:val="0"/>
        <w:ind w:left="2880" w:hanging="2880"/>
        <w:jc w:val="both"/>
        <w:rPr>
          <w:sz w:val="20"/>
          <w:szCs w:val="20"/>
          <w:lang w:val="fr-CA"/>
        </w:rPr>
      </w:pPr>
      <w:r w:rsidRPr="00843385">
        <w:rPr>
          <w:sz w:val="20"/>
          <w:szCs w:val="20"/>
          <w:lang w:val="fr-CA"/>
        </w:rPr>
        <w:t>Arrêt de la Cour d’appel :</w:t>
      </w:r>
      <w:r w:rsidRPr="00843385">
        <w:rPr>
          <w:sz w:val="20"/>
          <w:szCs w:val="20"/>
          <w:lang w:val="fr-CA"/>
        </w:rPr>
        <w:tab/>
        <w:t>le 5 décembre 2011</w:t>
      </w:r>
    </w:p>
    <w:p w:rsidR="007D3340" w:rsidRPr="00843385" w:rsidRDefault="007D3340" w:rsidP="007D3340">
      <w:pPr>
        <w:widowControl w:val="0"/>
        <w:ind w:left="2880" w:hanging="2880"/>
        <w:jc w:val="both"/>
        <w:rPr>
          <w:sz w:val="20"/>
          <w:szCs w:val="20"/>
          <w:lang w:val="fr-CA"/>
        </w:rPr>
      </w:pPr>
    </w:p>
    <w:p w:rsidR="007D3340" w:rsidRPr="00843385" w:rsidRDefault="007D3340" w:rsidP="007D3340">
      <w:pPr>
        <w:widowControl w:val="0"/>
        <w:ind w:left="2880" w:hanging="2880"/>
        <w:jc w:val="both"/>
        <w:rPr>
          <w:sz w:val="20"/>
          <w:szCs w:val="20"/>
          <w:lang w:val="fr-CA"/>
        </w:rPr>
      </w:pPr>
      <w:r w:rsidRPr="00843385">
        <w:rPr>
          <w:sz w:val="20"/>
          <w:szCs w:val="20"/>
          <w:lang w:val="fr-CA"/>
        </w:rPr>
        <w:t>Avocats :</w:t>
      </w:r>
      <w:r w:rsidRPr="00843385">
        <w:rPr>
          <w:sz w:val="20"/>
          <w:szCs w:val="20"/>
          <w:lang w:val="fr-CA"/>
        </w:rPr>
        <w:tab/>
        <w:t>Javad Heydary pour l’appelante</w:t>
      </w:r>
    </w:p>
    <w:p w:rsidR="007D3340" w:rsidRPr="00843385" w:rsidRDefault="007D3340" w:rsidP="007D3340">
      <w:pPr>
        <w:widowControl w:val="0"/>
        <w:ind w:left="2880" w:hanging="2880"/>
        <w:jc w:val="both"/>
        <w:rPr>
          <w:sz w:val="20"/>
          <w:szCs w:val="20"/>
          <w:lang w:val="fr-CA"/>
        </w:rPr>
      </w:pPr>
      <w:r w:rsidRPr="00843385">
        <w:rPr>
          <w:sz w:val="20"/>
          <w:szCs w:val="20"/>
          <w:lang w:val="fr-CA"/>
        </w:rPr>
        <w:tab/>
        <w:t>Moya J. Graham pour l’intimé</w:t>
      </w:r>
    </w:p>
    <w:p w:rsidR="006F66CA" w:rsidRDefault="006F66CA" w:rsidP="006F66CA">
      <w:pPr>
        <w:tabs>
          <w:tab w:val="left" w:pos="-1440"/>
          <w:tab w:val="left" w:pos="-720"/>
        </w:tabs>
        <w:jc w:val="both"/>
        <w:rPr>
          <w:sz w:val="20"/>
          <w:szCs w:val="20"/>
          <w:lang w:val="fr-CA"/>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15"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572560" w:rsidRPr="00C61D95" w:rsidRDefault="003F21C7" w:rsidP="00572560">
      <w:pPr>
        <w:widowControl w:val="0"/>
        <w:ind w:left="720" w:hanging="720"/>
        <w:jc w:val="both"/>
        <w:rPr>
          <w:sz w:val="20"/>
          <w:szCs w:val="20"/>
        </w:rPr>
      </w:pPr>
      <w:r w:rsidRPr="00C61D95">
        <w:rPr>
          <w:b/>
          <w:sz w:val="20"/>
          <w:szCs w:val="20"/>
        </w:rPr>
        <w:lastRenderedPageBreak/>
        <w:fldChar w:fldCharType="begin"/>
      </w:r>
      <w:r w:rsidR="00572560" w:rsidRPr="00C61D95">
        <w:rPr>
          <w:b/>
          <w:sz w:val="20"/>
          <w:szCs w:val="20"/>
        </w:rPr>
        <w:instrText xml:space="preserve"> SEQ CHAPTER \h \r 1</w:instrText>
      </w:r>
      <w:r w:rsidRPr="00C61D95">
        <w:rPr>
          <w:b/>
          <w:sz w:val="20"/>
          <w:szCs w:val="20"/>
        </w:rPr>
        <w:fldChar w:fldCharType="end"/>
      </w:r>
      <w:r w:rsidR="00572560" w:rsidRPr="00C61D95">
        <w:rPr>
          <w:b/>
          <w:sz w:val="20"/>
          <w:szCs w:val="20"/>
        </w:rPr>
        <w:t>34687</w:t>
      </w:r>
      <w:r w:rsidR="00572560" w:rsidRPr="00C61D95">
        <w:rPr>
          <w:sz w:val="20"/>
          <w:szCs w:val="20"/>
        </w:rPr>
        <w:tab/>
      </w:r>
      <w:r w:rsidR="00572560" w:rsidRPr="00C61D95">
        <w:rPr>
          <w:b/>
          <w:i/>
          <w:sz w:val="20"/>
          <w:szCs w:val="20"/>
        </w:rPr>
        <w:t>Thanh Long Vu v. Her Majesty the Queen</w:t>
      </w:r>
    </w:p>
    <w:p w:rsidR="00572560" w:rsidRPr="00C61D95" w:rsidRDefault="00572560" w:rsidP="00572560">
      <w:pPr>
        <w:widowControl w:val="0"/>
        <w:jc w:val="both"/>
        <w:rPr>
          <w:sz w:val="20"/>
          <w:szCs w:val="20"/>
        </w:rPr>
      </w:pPr>
    </w:p>
    <w:p w:rsidR="00572560" w:rsidRPr="00C61D95" w:rsidRDefault="00572560" w:rsidP="00572560">
      <w:pPr>
        <w:widowControl w:val="0"/>
        <w:jc w:val="both"/>
        <w:rPr>
          <w:sz w:val="20"/>
          <w:szCs w:val="20"/>
        </w:rPr>
      </w:pPr>
      <w:r w:rsidRPr="00C61D95">
        <w:rPr>
          <w:i/>
          <w:sz w:val="20"/>
          <w:szCs w:val="20"/>
        </w:rPr>
        <w:t>Charter of Rights</w:t>
      </w:r>
      <w:r w:rsidRPr="00C61D95">
        <w:rPr>
          <w:sz w:val="20"/>
          <w:szCs w:val="20"/>
        </w:rPr>
        <w:t xml:space="preserve"> </w:t>
      </w:r>
      <w:r w:rsidRPr="00C61D95">
        <w:rPr>
          <w:sz w:val="20"/>
          <w:szCs w:val="20"/>
        </w:rPr>
        <w:noBreakHyphen/>
        <w:t xml:space="preserve"> Constitutional law </w:t>
      </w:r>
      <w:r w:rsidRPr="00C61D95">
        <w:rPr>
          <w:sz w:val="20"/>
          <w:szCs w:val="20"/>
        </w:rPr>
        <w:noBreakHyphen/>
        <w:t xml:space="preserve"> Search and seizure </w:t>
      </w:r>
      <w:r w:rsidRPr="00C61D95">
        <w:rPr>
          <w:sz w:val="20"/>
          <w:szCs w:val="20"/>
        </w:rPr>
        <w:noBreakHyphen/>
        <w:t xml:space="preserve"> Exclusion of evidence </w:t>
      </w:r>
      <w:r w:rsidRPr="00C61D95">
        <w:rPr>
          <w:sz w:val="20"/>
          <w:szCs w:val="20"/>
        </w:rPr>
        <w:noBreakHyphen/>
        <w:t xml:space="preserve"> Validity and scope of search warrant </w:t>
      </w:r>
      <w:r w:rsidRPr="00C61D95">
        <w:rPr>
          <w:sz w:val="20"/>
          <w:szCs w:val="20"/>
        </w:rPr>
        <w:noBreakHyphen/>
        <w:t xml:space="preserve"> Police obtaining warrant to search location and finding marijuana grow operation </w:t>
      </w:r>
      <w:r w:rsidRPr="00C61D95">
        <w:rPr>
          <w:sz w:val="20"/>
          <w:szCs w:val="20"/>
        </w:rPr>
        <w:noBreakHyphen/>
        <w:t xml:space="preserve"> Search of two laptop computers and cellular telephone found on premises leading to arrest of appellant </w:t>
      </w:r>
      <w:r w:rsidRPr="00C61D95">
        <w:rPr>
          <w:sz w:val="20"/>
          <w:szCs w:val="20"/>
        </w:rPr>
        <w:noBreakHyphen/>
        <w:t xml:space="preserve"> Whether the Court of Appeal erred by concluding that the trial judge failed to correctly apply the legal test for reviewing the issuance of the search warrant </w:t>
      </w:r>
      <w:r w:rsidRPr="00C61D95">
        <w:rPr>
          <w:sz w:val="20"/>
          <w:szCs w:val="20"/>
        </w:rPr>
        <w:noBreakHyphen/>
        <w:t xml:space="preserve"> What is the scope of police authority to search computers and other personal electronic devices found within a place for which a warrant to search has been issued?</w:t>
      </w:r>
    </w:p>
    <w:p w:rsidR="00572560" w:rsidRPr="00C61D95" w:rsidRDefault="00572560" w:rsidP="00572560">
      <w:pPr>
        <w:widowControl w:val="0"/>
        <w:jc w:val="both"/>
        <w:rPr>
          <w:sz w:val="20"/>
          <w:szCs w:val="20"/>
        </w:rPr>
      </w:pPr>
    </w:p>
    <w:p w:rsidR="00572560" w:rsidRPr="00C61D95" w:rsidRDefault="00572560" w:rsidP="00572560">
      <w:pPr>
        <w:widowControl w:val="0"/>
        <w:jc w:val="both"/>
        <w:rPr>
          <w:sz w:val="20"/>
          <w:szCs w:val="20"/>
        </w:rPr>
      </w:pPr>
      <w:r w:rsidRPr="00C61D95">
        <w:rPr>
          <w:sz w:val="20"/>
          <w:szCs w:val="20"/>
        </w:rPr>
        <w:t xml:space="preserve">The police obtained a search warrant to enter a location in connection with a suspected theft of hydro.  Upon entry, the police discovered marijuana growing in the basement of the property, as well as two laptop computers and a cellular telephone in the living room; examination of these electronic devices yielded information on the appellant, leading to his subsequent arrest on charges of production of marijuana and possession of marijuana for the purpose of trafficking.  The trial judge held a </w:t>
      </w:r>
      <w:r w:rsidRPr="00C61D95">
        <w:rPr>
          <w:i/>
          <w:sz w:val="20"/>
          <w:szCs w:val="20"/>
        </w:rPr>
        <w:t>voir dire</w:t>
      </w:r>
      <w:r w:rsidRPr="00C61D95">
        <w:rPr>
          <w:sz w:val="20"/>
          <w:szCs w:val="20"/>
        </w:rPr>
        <w:t xml:space="preserve"> and determined that evidence obtained from the search of one of the laptops and from the search of the cell phone was inadmissible as it resulted from an unreasonable search and seizure in violation of s. 8 of the </w:t>
      </w:r>
      <w:r w:rsidRPr="00C61D95">
        <w:rPr>
          <w:i/>
          <w:sz w:val="20"/>
          <w:szCs w:val="20"/>
        </w:rPr>
        <w:t>Charter</w:t>
      </w:r>
      <w:r w:rsidRPr="00C61D95">
        <w:rPr>
          <w:sz w:val="20"/>
          <w:szCs w:val="20"/>
        </w:rPr>
        <w:t xml:space="preserve">, and should be excluded pursuant to s. 24(2) of the </w:t>
      </w:r>
      <w:r w:rsidRPr="00C61D95">
        <w:rPr>
          <w:i/>
          <w:sz w:val="20"/>
          <w:szCs w:val="20"/>
        </w:rPr>
        <w:t>Charter</w:t>
      </w:r>
      <w:r w:rsidRPr="00C61D95">
        <w:rPr>
          <w:sz w:val="20"/>
          <w:szCs w:val="20"/>
        </w:rPr>
        <w:t>; on the remaining evidence, the trial judge acquitted the appellant on all counts.  The Court of Appeal allowed the Crown’s appeal, finding that none of the evidence should have been excluded; it set aside the acquittal, and ordered a new trial.</w:t>
      </w:r>
    </w:p>
    <w:p w:rsidR="00572560" w:rsidRPr="00C61D95" w:rsidRDefault="00572560" w:rsidP="00572560">
      <w:pPr>
        <w:widowControl w:val="0"/>
        <w:jc w:val="both"/>
        <w:rPr>
          <w:sz w:val="20"/>
          <w:szCs w:val="20"/>
        </w:rPr>
      </w:pPr>
    </w:p>
    <w:p w:rsidR="00572560" w:rsidRPr="00C61D95" w:rsidRDefault="00572560" w:rsidP="00572560">
      <w:pPr>
        <w:widowControl w:val="0"/>
        <w:jc w:val="both"/>
        <w:rPr>
          <w:sz w:val="20"/>
          <w:szCs w:val="20"/>
        </w:rPr>
      </w:pPr>
    </w:p>
    <w:p w:rsidR="00572560" w:rsidRPr="00C61D95" w:rsidRDefault="00572560" w:rsidP="00572560">
      <w:pPr>
        <w:widowControl w:val="0"/>
        <w:ind w:left="2880" w:hanging="2880"/>
        <w:jc w:val="both"/>
        <w:rPr>
          <w:sz w:val="20"/>
          <w:szCs w:val="20"/>
        </w:rPr>
      </w:pPr>
      <w:r w:rsidRPr="00C61D95">
        <w:rPr>
          <w:sz w:val="20"/>
          <w:szCs w:val="20"/>
        </w:rPr>
        <w:t>Origin of the case:</w:t>
      </w:r>
      <w:r w:rsidRPr="00C61D95">
        <w:rPr>
          <w:sz w:val="20"/>
          <w:szCs w:val="20"/>
        </w:rPr>
        <w:tab/>
        <w:t>British Columbia</w:t>
      </w:r>
    </w:p>
    <w:p w:rsidR="00572560" w:rsidRPr="00C61D95" w:rsidRDefault="00572560" w:rsidP="00572560">
      <w:pPr>
        <w:widowControl w:val="0"/>
        <w:ind w:left="2880" w:hanging="2880"/>
        <w:jc w:val="both"/>
        <w:rPr>
          <w:sz w:val="20"/>
          <w:szCs w:val="20"/>
        </w:rPr>
      </w:pPr>
    </w:p>
    <w:p w:rsidR="00572560" w:rsidRPr="00C61D95" w:rsidRDefault="00572560" w:rsidP="00572560">
      <w:pPr>
        <w:widowControl w:val="0"/>
        <w:ind w:left="2880" w:hanging="2880"/>
        <w:jc w:val="both"/>
        <w:rPr>
          <w:sz w:val="20"/>
          <w:szCs w:val="20"/>
        </w:rPr>
      </w:pPr>
      <w:r w:rsidRPr="00C61D95">
        <w:rPr>
          <w:sz w:val="20"/>
          <w:szCs w:val="20"/>
        </w:rPr>
        <w:t>File No.:</w:t>
      </w:r>
      <w:r w:rsidRPr="00C61D95">
        <w:rPr>
          <w:sz w:val="20"/>
          <w:szCs w:val="20"/>
        </w:rPr>
        <w:tab/>
        <w:t>34687</w:t>
      </w:r>
    </w:p>
    <w:p w:rsidR="00572560" w:rsidRPr="00C61D95" w:rsidRDefault="00572560" w:rsidP="00572560">
      <w:pPr>
        <w:widowControl w:val="0"/>
        <w:ind w:left="2880" w:hanging="2880"/>
        <w:jc w:val="both"/>
        <w:rPr>
          <w:sz w:val="20"/>
          <w:szCs w:val="20"/>
        </w:rPr>
      </w:pPr>
    </w:p>
    <w:p w:rsidR="00572560" w:rsidRPr="00C61D95" w:rsidRDefault="00572560" w:rsidP="00572560">
      <w:pPr>
        <w:widowControl w:val="0"/>
        <w:ind w:left="2880" w:hanging="2880"/>
        <w:jc w:val="both"/>
        <w:rPr>
          <w:sz w:val="20"/>
          <w:szCs w:val="20"/>
        </w:rPr>
      </w:pPr>
      <w:r w:rsidRPr="00C61D95">
        <w:rPr>
          <w:sz w:val="20"/>
          <w:szCs w:val="20"/>
        </w:rPr>
        <w:t>Judgment of the Court of Appeal:</w:t>
      </w:r>
      <w:r w:rsidRPr="00C61D95">
        <w:rPr>
          <w:sz w:val="20"/>
          <w:szCs w:val="20"/>
        </w:rPr>
        <w:tab/>
        <w:t>December 28, 2011</w:t>
      </w:r>
    </w:p>
    <w:p w:rsidR="00572560" w:rsidRPr="00C61D95" w:rsidRDefault="00572560" w:rsidP="00572560">
      <w:pPr>
        <w:widowControl w:val="0"/>
        <w:ind w:left="2880" w:hanging="2880"/>
        <w:jc w:val="both"/>
        <w:rPr>
          <w:sz w:val="20"/>
          <w:szCs w:val="20"/>
        </w:rPr>
      </w:pPr>
    </w:p>
    <w:p w:rsidR="00572560" w:rsidRPr="00C61D95" w:rsidRDefault="00572560" w:rsidP="00572560">
      <w:pPr>
        <w:widowControl w:val="0"/>
        <w:ind w:left="2880" w:hanging="2880"/>
        <w:jc w:val="both"/>
        <w:rPr>
          <w:sz w:val="20"/>
          <w:szCs w:val="20"/>
        </w:rPr>
      </w:pPr>
      <w:r w:rsidRPr="00C61D95">
        <w:rPr>
          <w:sz w:val="20"/>
          <w:szCs w:val="20"/>
        </w:rPr>
        <w:t>Counsel:</w:t>
      </w:r>
      <w:r w:rsidRPr="00C61D95">
        <w:rPr>
          <w:sz w:val="20"/>
          <w:szCs w:val="20"/>
        </w:rPr>
        <w:tab/>
        <w:t>Neil L. Cobb, Elizabeth P. Lewis and Nancy Seto for the appellant</w:t>
      </w:r>
    </w:p>
    <w:p w:rsidR="00572560" w:rsidRPr="00C61D95" w:rsidRDefault="00572560" w:rsidP="00572560">
      <w:pPr>
        <w:widowControl w:val="0"/>
        <w:ind w:left="2880" w:hanging="2880"/>
        <w:jc w:val="both"/>
        <w:rPr>
          <w:sz w:val="20"/>
          <w:szCs w:val="20"/>
        </w:rPr>
      </w:pPr>
      <w:r w:rsidRPr="00C61D95">
        <w:rPr>
          <w:sz w:val="20"/>
          <w:szCs w:val="20"/>
        </w:rPr>
        <w:tab/>
        <w:t>W. Paul Riley and Martha Devlin, Q.C. for the respondent</w:t>
      </w:r>
    </w:p>
    <w:p w:rsidR="006F66CA" w:rsidRPr="00572560" w:rsidRDefault="006F66CA" w:rsidP="006F66CA">
      <w:pPr>
        <w:tabs>
          <w:tab w:val="left" w:pos="-1440"/>
          <w:tab w:val="left" w:pos="-720"/>
        </w:tabs>
        <w:jc w:val="both"/>
        <w:rPr>
          <w:sz w:val="20"/>
          <w:szCs w:val="20"/>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16"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572560" w:rsidRPr="004211FE" w:rsidRDefault="003F21C7" w:rsidP="00572560">
      <w:pPr>
        <w:widowControl w:val="0"/>
        <w:ind w:left="720" w:hanging="720"/>
        <w:jc w:val="both"/>
        <w:rPr>
          <w:sz w:val="20"/>
          <w:szCs w:val="20"/>
          <w:lang w:val="fr-CA"/>
        </w:rPr>
      </w:pPr>
      <w:r w:rsidRPr="004211FE">
        <w:rPr>
          <w:b/>
          <w:sz w:val="20"/>
          <w:szCs w:val="20"/>
          <w:lang w:val="fr-CA"/>
        </w:rPr>
        <w:lastRenderedPageBreak/>
        <w:fldChar w:fldCharType="begin"/>
      </w:r>
      <w:r w:rsidR="00572560" w:rsidRPr="004211FE">
        <w:rPr>
          <w:b/>
          <w:sz w:val="20"/>
          <w:szCs w:val="20"/>
          <w:lang w:val="fr-CA"/>
        </w:rPr>
        <w:instrText xml:space="preserve"> SEQ CHAPTER \h \r 1</w:instrText>
      </w:r>
      <w:r w:rsidRPr="004211FE">
        <w:rPr>
          <w:b/>
          <w:sz w:val="20"/>
          <w:szCs w:val="20"/>
          <w:lang w:val="fr-CA"/>
        </w:rPr>
        <w:fldChar w:fldCharType="end"/>
      </w:r>
      <w:r w:rsidR="00572560" w:rsidRPr="004211FE">
        <w:rPr>
          <w:b/>
          <w:sz w:val="20"/>
          <w:szCs w:val="20"/>
          <w:lang w:val="fr-CA"/>
        </w:rPr>
        <w:t>34687</w:t>
      </w:r>
      <w:r w:rsidR="00572560" w:rsidRPr="004211FE">
        <w:rPr>
          <w:sz w:val="20"/>
          <w:szCs w:val="20"/>
          <w:lang w:val="fr-CA"/>
        </w:rPr>
        <w:tab/>
      </w:r>
      <w:r w:rsidR="00572560" w:rsidRPr="004211FE">
        <w:rPr>
          <w:b/>
          <w:i/>
          <w:sz w:val="20"/>
          <w:szCs w:val="20"/>
          <w:lang w:val="fr-CA"/>
        </w:rPr>
        <w:t>Thanh Long Vu c. Sa Majesté la Reine</w:t>
      </w:r>
    </w:p>
    <w:p w:rsidR="00572560" w:rsidRPr="004211FE" w:rsidRDefault="00572560" w:rsidP="00572560">
      <w:pPr>
        <w:widowControl w:val="0"/>
        <w:jc w:val="both"/>
        <w:rPr>
          <w:sz w:val="20"/>
          <w:szCs w:val="20"/>
          <w:lang w:val="fr-CA"/>
        </w:rPr>
      </w:pPr>
    </w:p>
    <w:p w:rsidR="00572560" w:rsidRPr="004211FE" w:rsidRDefault="00572560" w:rsidP="00572560">
      <w:pPr>
        <w:widowControl w:val="0"/>
        <w:jc w:val="both"/>
        <w:rPr>
          <w:sz w:val="20"/>
          <w:szCs w:val="20"/>
          <w:lang w:val="fr-CA"/>
        </w:rPr>
      </w:pPr>
      <w:r w:rsidRPr="004211FE">
        <w:rPr>
          <w:i/>
          <w:sz w:val="20"/>
          <w:szCs w:val="20"/>
          <w:lang w:val="fr-CA"/>
        </w:rPr>
        <w:t xml:space="preserve">Charte des droits </w:t>
      </w:r>
      <w:r w:rsidRPr="004211FE">
        <w:rPr>
          <w:sz w:val="20"/>
          <w:szCs w:val="20"/>
          <w:lang w:val="fr-CA"/>
        </w:rPr>
        <w:noBreakHyphen/>
        <w:t xml:space="preserve"> Droit constitutionnel </w:t>
      </w:r>
      <w:r w:rsidRPr="004211FE">
        <w:rPr>
          <w:sz w:val="20"/>
          <w:szCs w:val="20"/>
          <w:lang w:val="fr-CA"/>
        </w:rPr>
        <w:noBreakHyphen/>
        <w:t xml:space="preserve"> Fouilles et perquisitions </w:t>
      </w:r>
      <w:r w:rsidRPr="004211FE">
        <w:rPr>
          <w:sz w:val="20"/>
          <w:szCs w:val="20"/>
          <w:lang w:val="fr-CA"/>
        </w:rPr>
        <w:noBreakHyphen/>
        <w:t xml:space="preserve"> Exclusion de la preuve </w:t>
      </w:r>
      <w:r w:rsidRPr="004211FE">
        <w:rPr>
          <w:sz w:val="20"/>
          <w:szCs w:val="20"/>
          <w:lang w:val="fr-CA"/>
        </w:rPr>
        <w:noBreakHyphen/>
        <w:t xml:space="preserve"> Validité et portée d’un mandat de perquisition </w:t>
      </w:r>
      <w:r w:rsidRPr="004211FE">
        <w:rPr>
          <w:sz w:val="20"/>
          <w:szCs w:val="20"/>
          <w:lang w:val="fr-CA"/>
        </w:rPr>
        <w:noBreakHyphen/>
        <w:t xml:space="preserve"> La police a obtenu un mandat pour perquisitionner un lieu et a trouvé une installation de culture de la marijuana </w:t>
      </w:r>
      <w:r w:rsidRPr="004211FE">
        <w:rPr>
          <w:sz w:val="20"/>
          <w:szCs w:val="20"/>
          <w:lang w:val="fr-CA"/>
        </w:rPr>
        <w:noBreakHyphen/>
        <w:t xml:space="preserve"> La fouille de deux ordinateurs portables et d’un téléphone cellulaire trouvés sur les lieux a mené à l’arrestation de l’appelant </w:t>
      </w:r>
      <w:r w:rsidRPr="004211FE">
        <w:rPr>
          <w:sz w:val="20"/>
          <w:szCs w:val="20"/>
          <w:lang w:val="fr-CA"/>
        </w:rPr>
        <w:noBreakHyphen/>
        <w:t xml:space="preserve"> La Cour d’appel a</w:t>
      </w:r>
      <w:r w:rsidRPr="004211FE">
        <w:rPr>
          <w:sz w:val="20"/>
          <w:szCs w:val="20"/>
          <w:lang w:val="fr-CA"/>
        </w:rPr>
        <w:noBreakHyphen/>
        <w:t>t</w:t>
      </w:r>
      <w:r w:rsidRPr="004211FE">
        <w:rPr>
          <w:sz w:val="20"/>
          <w:szCs w:val="20"/>
          <w:lang w:val="fr-CA"/>
        </w:rPr>
        <w:noBreakHyphen/>
        <w:t xml:space="preserve">elle eu tort de conclure que le juge du procès n’avait pas correctement appliqué le critère juridique pour contrôler l’émission d’un mandat de perquisition? </w:t>
      </w:r>
      <w:r w:rsidRPr="004211FE">
        <w:rPr>
          <w:sz w:val="20"/>
          <w:szCs w:val="20"/>
          <w:lang w:val="fr-CA"/>
        </w:rPr>
        <w:noBreakHyphen/>
        <w:t xml:space="preserve"> Quelle est la portée du pouvoir de la police de fouiller des ordinateurs et d’autres dispositifs électroniques personnels trouvés dans un endroit pour lequel un mandat de perquisition a été émis? </w:t>
      </w:r>
    </w:p>
    <w:p w:rsidR="00572560" w:rsidRPr="004211FE" w:rsidRDefault="00572560" w:rsidP="00572560">
      <w:pPr>
        <w:widowControl w:val="0"/>
        <w:jc w:val="both"/>
        <w:rPr>
          <w:sz w:val="20"/>
          <w:szCs w:val="20"/>
          <w:lang w:val="fr-CA"/>
        </w:rPr>
      </w:pPr>
    </w:p>
    <w:p w:rsidR="00572560" w:rsidRPr="004211FE" w:rsidRDefault="00572560" w:rsidP="00572560">
      <w:pPr>
        <w:widowControl w:val="0"/>
        <w:jc w:val="both"/>
        <w:rPr>
          <w:sz w:val="20"/>
          <w:szCs w:val="20"/>
          <w:lang w:val="fr-CA"/>
        </w:rPr>
      </w:pPr>
      <w:r w:rsidRPr="004211FE">
        <w:rPr>
          <w:sz w:val="20"/>
          <w:szCs w:val="20"/>
          <w:lang w:val="fr-CA"/>
        </w:rPr>
        <w:t>La police a obtenu un mandat de perquisition pour entrer dans un endroit en lien avec un vol soupçonné d’électricité.  Lorsqu’ils sont entrés, les policiers ont découvert une culture de marijuana au sous</w:t>
      </w:r>
      <w:r w:rsidRPr="004211FE">
        <w:rPr>
          <w:sz w:val="20"/>
          <w:szCs w:val="20"/>
          <w:lang w:val="fr-CA"/>
        </w:rPr>
        <w:noBreakHyphen/>
        <w:t>sol de l’immeuble, ainsi que deux ordinateurs portables et un téléphone cellulaire dans la salle de séjour; l’examen de ces dispositifs électroniques a permis d’obtenir des renseignements sur l’appelant, ce qui a mené à son arrestation subséquente sur des accusations de production de marijuana et de possession de marijuana en vue d’en faire le trafic.  Le juge du procès a tenu un voir</w:t>
      </w:r>
      <w:r w:rsidRPr="004211FE">
        <w:rPr>
          <w:sz w:val="20"/>
          <w:szCs w:val="20"/>
          <w:lang w:val="fr-CA"/>
        </w:rPr>
        <w:noBreakHyphen/>
        <w:t xml:space="preserve">dire et a conclu que la preuve obtenue de la fouille d’un des ordinateurs portables et de la fouille du téléphone cellulaire était inadmissible, puisqu’elle résultait d’une fouille et d’une perquisition déraisonnables en violation de l’art. 8 de la </w:t>
      </w:r>
      <w:r w:rsidRPr="004211FE">
        <w:rPr>
          <w:i/>
          <w:sz w:val="20"/>
          <w:szCs w:val="20"/>
          <w:lang w:val="fr-CA"/>
        </w:rPr>
        <w:t>Charte</w:t>
      </w:r>
      <w:r w:rsidRPr="004211FE">
        <w:rPr>
          <w:sz w:val="20"/>
          <w:szCs w:val="20"/>
          <w:lang w:val="fr-CA"/>
        </w:rPr>
        <w:t xml:space="preserve">, et qu’elle devait être exclue en application du par. 24(2) de la </w:t>
      </w:r>
      <w:r w:rsidRPr="004211FE">
        <w:rPr>
          <w:i/>
          <w:sz w:val="20"/>
          <w:szCs w:val="20"/>
          <w:lang w:val="fr-CA"/>
        </w:rPr>
        <w:t>Charte</w:t>
      </w:r>
      <w:r w:rsidRPr="004211FE">
        <w:rPr>
          <w:sz w:val="20"/>
          <w:szCs w:val="20"/>
          <w:lang w:val="fr-CA"/>
        </w:rPr>
        <w:t>; sur les autres éléments de preuve, le juge du procès a acquitté l’appelant sous tous les chefs.  La Cour d’appel a accueilli l’appel du ministère public, concluant qu’aucun élément de preuve n’aurait dû être exclu; elle a annulé l’acquittement et ordonné la tenue d’un nouveau procès.</w:t>
      </w:r>
    </w:p>
    <w:p w:rsidR="00572560" w:rsidRPr="004211FE" w:rsidRDefault="00572560" w:rsidP="00572560">
      <w:pPr>
        <w:widowControl w:val="0"/>
        <w:jc w:val="both"/>
        <w:rPr>
          <w:sz w:val="20"/>
          <w:szCs w:val="20"/>
          <w:lang w:val="fr-CA"/>
        </w:rPr>
      </w:pPr>
    </w:p>
    <w:p w:rsidR="00572560" w:rsidRPr="004211FE" w:rsidRDefault="00572560" w:rsidP="00572560">
      <w:pPr>
        <w:widowControl w:val="0"/>
        <w:jc w:val="both"/>
        <w:rPr>
          <w:sz w:val="20"/>
          <w:szCs w:val="20"/>
          <w:lang w:val="fr-CA"/>
        </w:rPr>
      </w:pPr>
    </w:p>
    <w:p w:rsidR="00572560" w:rsidRPr="004211FE" w:rsidRDefault="00572560" w:rsidP="00572560">
      <w:pPr>
        <w:widowControl w:val="0"/>
        <w:ind w:left="2880" w:hanging="2880"/>
        <w:jc w:val="both"/>
        <w:rPr>
          <w:sz w:val="20"/>
          <w:szCs w:val="20"/>
          <w:lang w:val="fr-CA"/>
        </w:rPr>
      </w:pPr>
      <w:r w:rsidRPr="004211FE">
        <w:rPr>
          <w:sz w:val="20"/>
          <w:szCs w:val="20"/>
          <w:lang w:val="fr-CA"/>
        </w:rPr>
        <w:t>Origine :</w:t>
      </w:r>
      <w:r w:rsidRPr="004211FE">
        <w:rPr>
          <w:sz w:val="20"/>
          <w:szCs w:val="20"/>
          <w:lang w:val="fr-CA"/>
        </w:rPr>
        <w:tab/>
        <w:t>Colombie</w:t>
      </w:r>
      <w:r w:rsidRPr="004211FE">
        <w:rPr>
          <w:sz w:val="20"/>
          <w:szCs w:val="20"/>
          <w:lang w:val="fr-CA"/>
        </w:rPr>
        <w:noBreakHyphen/>
        <w:t>Britannique</w:t>
      </w:r>
    </w:p>
    <w:p w:rsidR="00572560" w:rsidRPr="004211FE" w:rsidRDefault="00572560" w:rsidP="00572560">
      <w:pPr>
        <w:widowControl w:val="0"/>
        <w:ind w:left="2880" w:hanging="2880"/>
        <w:jc w:val="both"/>
        <w:rPr>
          <w:sz w:val="20"/>
          <w:szCs w:val="20"/>
          <w:lang w:val="fr-CA"/>
        </w:rPr>
      </w:pPr>
    </w:p>
    <w:p w:rsidR="00572560" w:rsidRPr="004211FE" w:rsidRDefault="00572560" w:rsidP="00572560">
      <w:pPr>
        <w:widowControl w:val="0"/>
        <w:ind w:left="2880" w:hanging="2880"/>
        <w:jc w:val="both"/>
        <w:rPr>
          <w:sz w:val="20"/>
          <w:szCs w:val="20"/>
          <w:lang w:val="fr-CA"/>
        </w:rPr>
      </w:pPr>
      <w:r w:rsidRPr="004211FE">
        <w:rPr>
          <w:sz w:val="20"/>
          <w:szCs w:val="20"/>
          <w:lang w:val="fr-CA"/>
        </w:rPr>
        <w:t>N</w:t>
      </w:r>
      <w:r w:rsidRPr="004211FE">
        <w:rPr>
          <w:sz w:val="20"/>
          <w:szCs w:val="20"/>
          <w:vertAlign w:val="superscript"/>
          <w:lang w:val="fr-CA"/>
        </w:rPr>
        <w:t>o</w:t>
      </w:r>
      <w:r w:rsidRPr="004211FE">
        <w:rPr>
          <w:sz w:val="20"/>
          <w:szCs w:val="20"/>
          <w:lang w:val="fr-CA"/>
        </w:rPr>
        <w:t xml:space="preserve"> du greffe :</w:t>
      </w:r>
      <w:r w:rsidRPr="004211FE">
        <w:rPr>
          <w:sz w:val="20"/>
          <w:szCs w:val="20"/>
          <w:lang w:val="fr-CA"/>
        </w:rPr>
        <w:tab/>
        <w:t>34687</w:t>
      </w:r>
    </w:p>
    <w:p w:rsidR="00572560" w:rsidRPr="004211FE" w:rsidRDefault="00572560" w:rsidP="00572560">
      <w:pPr>
        <w:widowControl w:val="0"/>
        <w:ind w:left="2880" w:hanging="2880"/>
        <w:jc w:val="both"/>
        <w:rPr>
          <w:sz w:val="20"/>
          <w:szCs w:val="20"/>
          <w:lang w:val="fr-CA"/>
        </w:rPr>
      </w:pPr>
    </w:p>
    <w:p w:rsidR="00572560" w:rsidRPr="004211FE" w:rsidRDefault="00572560" w:rsidP="00572560">
      <w:pPr>
        <w:widowControl w:val="0"/>
        <w:ind w:left="2880" w:hanging="2880"/>
        <w:jc w:val="both"/>
        <w:rPr>
          <w:sz w:val="20"/>
          <w:szCs w:val="20"/>
          <w:lang w:val="fr-CA"/>
        </w:rPr>
      </w:pPr>
      <w:r w:rsidRPr="004211FE">
        <w:rPr>
          <w:sz w:val="20"/>
          <w:szCs w:val="20"/>
          <w:lang w:val="fr-CA"/>
        </w:rPr>
        <w:t>Arrêt de la Cour d’appel :</w:t>
      </w:r>
      <w:r w:rsidRPr="004211FE">
        <w:rPr>
          <w:sz w:val="20"/>
          <w:szCs w:val="20"/>
          <w:lang w:val="fr-CA"/>
        </w:rPr>
        <w:tab/>
        <w:t>le 28 décembre 2011</w:t>
      </w:r>
    </w:p>
    <w:p w:rsidR="00572560" w:rsidRPr="004211FE" w:rsidRDefault="00572560" w:rsidP="00572560">
      <w:pPr>
        <w:widowControl w:val="0"/>
        <w:ind w:left="2880" w:hanging="2880"/>
        <w:jc w:val="both"/>
        <w:rPr>
          <w:sz w:val="20"/>
          <w:szCs w:val="20"/>
          <w:lang w:val="fr-CA"/>
        </w:rPr>
      </w:pPr>
    </w:p>
    <w:p w:rsidR="00572560" w:rsidRPr="004211FE" w:rsidRDefault="00572560" w:rsidP="00572560">
      <w:pPr>
        <w:widowControl w:val="0"/>
        <w:ind w:left="2880" w:hanging="2880"/>
        <w:jc w:val="both"/>
        <w:rPr>
          <w:sz w:val="20"/>
          <w:szCs w:val="20"/>
          <w:lang w:val="fr-CA"/>
        </w:rPr>
      </w:pPr>
      <w:r w:rsidRPr="004211FE">
        <w:rPr>
          <w:sz w:val="20"/>
          <w:szCs w:val="20"/>
          <w:lang w:val="fr-CA"/>
        </w:rPr>
        <w:t>Avocats :</w:t>
      </w:r>
      <w:r w:rsidRPr="004211FE">
        <w:rPr>
          <w:sz w:val="20"/>
          <w:szCs w:val="20"/>
          <w:lang w:val="fr-CA"/>
        </w:rPr>
        <w:tab/>
        <w:t>Neil L. Cobb, Elizabeth P. Lewis et Nancy Seto pour l’appelant</w:t>
      </w:r>
    </w:p>
    <w:p w:rsidR="00572560" w:rsidRPr="004211FE" w:rsidRDefault="00572560" w:rsidP="00572560">
      <w:pPr>
        <w:widowControl w:val="0"/>
        <w:ind w:left="2880" w:hanging="2880"/>
        <w:jc w:val="both"/>
        <w:rPr>
          <w:sz w:val="20"/>
          <w:szCs w:val="20"/>
          <w:lang w:val="fr-CA"/>
        </w:rPr>
      </w:pPr>
      <w:r w:rsidRPr="004211FE">
        <w:rPr>
          <w:sz w:val="20"/>
          <w:szCs w:val="20"/>
          <w:lang w:val="fr-CA"/>
        </w:rPr>
        <w:tab/>
        <w:t>W. Paul Riley et Martha Devlin, c.r. pour l’intimée</w:t>
      </w:r>
    </w:p>
    <w:p w:rsidR="006F66CA" w:rsidRDefault="006F66CA" w:rsidP="006F66CA">
      <w:pPr>
        <w:tabs>
          <w:tab w:val="left" w:pos="-1440"/>
          <w:tab w:val="left" w:pos="-720"/>
        </w:tabs>
        <w:jc w:val="both"/>
        <w:rPr>
          <w:sz w:val="20"/>
          <w:szCs w:val="20"/>
          <w:lang w:val="fr-CA"/>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17"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306171" w:rsidRPr="00502EBC" w:rsidRDefault="003F21C7" w:rsidP="00306171">
      <w:pPr>
        <w:widowControl w:val="0"/>
        <w:ind w:left="720" w:hanging="720"/>
        <w:jc w:val="both"/>
        <w:rPr>
          <w:sz w:val="20"/>
          <w:szCs w:val="20"/>
        </w:rPr>
      </w:pPr>
      <w:r w:rsidRPr="00502EBC">
        <w:rPr>
          <w:b/>
          <w:sz w:val="20"/>
          <w:szCs w:val="20"/>
        </w:rPr>
        <w:lastRenderedPageBreak/>
        <w:fldChar w:fldCharType="begin"/>
      </w:r>
      <w:r w:rsidR="00306171" w:rsidRPr="00502EBC">
        <w:rPr>
          <w:b/>
          <w:sz w:val="20"/>
          <w:szCs w:val="20"/>
        </w:rPr>
        <w:instrText xml:space="preserve"> SEQ CHAPTER \h \r 1</w:instrText>
      </w:r>
      <w:r w:rsidRPr="00502EBC">
        <w:rPr>
          <w:b/>
          <w:sz w:val="20"/>
          <w:szCs w:val="20"/>
        </w:rPr>
        <w:fldChar w:fldCharType="end"/>
      </w:r>
      <w:r w:rsidR="00306171" w:rsidRPr="00502EBC">
        <w:rPr>
          <w:b/>
          <w:sz w:val="20"/>
          <w:szCs w:val="20"/>
        </w:rPr>
        <w:t>34899</w:t>
      </w:r>
      <w:r w:rsidR="00306171" w:rsidRPr="00502EBC">
        <w:rPr>
          <w:sz w:val="20"/>
          <w:szCs w:val="20"/>
        </w:rPr>
        <w:tab/>
      </w:r>
      <w:r w:rsidR="00306171" w:rsidRPr="00502EBC">
        <w:rPr>
          <w:b/>
          <w:i/>
          <w:sz w:val="20"/>
          <w:szCs w:val="20"/>
        </w:rPr>
        <w:t>Didier Buzizi v. Her Majesty the Queen</w:t>
      </w:r>
    </w:p>
    <w:p w:rsidR="00306171" w:rsidRPr="00502EBC" w:rsidRDefault="00306171" w:rsidP="00306171">
      <w:pPr>
        <w:widowControl w:val="0"/>
        <w:jc w:val="both"/>
        <w:rPr>
          <w:sz w:val="20"/>
          <w:szCs w:val="20"/>
        </w:rPr>
      </w:pPr>
    </w:p>
    <w:p w:rsidR="00306171" w:rsidRPr="00502EBC" w:rsidRDefault="00306171" w:rsidP="00306171">
      <w:pPr>
        <w:widowControl w:val="0"/>
        <w:jc w:val="both"/>
        <w:rPr>
          <w:sz w:val="20"/>
          <w:szCs w:val="20"/>
        </w:rPr>
      </w:pPr>
      <w:r w:rsidRPr="00502EBC">
        <w:rPr>
          <w:sz w:val="20"/>
          <w:szCs w:val="20"/>
        </w:rPr>
        <w:t xml:space="preserve">Criminal law </w:t>
      </w:r>
      <w:r w:rsidRPr="00502EBC">
        <w:rPr>
          <w:sz w:val="20"/>
          <w:szCs w:val="20"/>
        </w:rPr>
        <w:noBreakHyphen/>
        <w:t xml:space="preserve"> Second degree murder </w:t>
      </w:r>
      <w:r w:rsidRPr="00502EBC">
        <w:rPr>
          <w:sz w:val="20"/>
          <w:szCs w:val="20"/>
        </w:rPr>
        <w:noBreakHyphen/>
        <w:t xml:space="preserve"> Defences </w:t>
      </w:r>
      <w:r w:rsidRPr="00502EBC">
        <w:rPr>
          <w:sz w:val="20"/>
          <w:szCs w:val="20"/>
        </w:rPr>
        <w:noBreakHyphen/>
        <w:t xml:space="preserve"> Provocation </w:t>
      </w:r>
      <w:r w:rsidR="00D875A3" w:rsidRPr="00502EBC">
        <w:rPr>
          <w:sz w:val="20"/>
          <w:szCs w:val="20"/>
        </w:rPr>
        <w:noBreakHyphen/>
      </w:r>
      <w:r w:rsidRPr="00502EBC">
        <w:rPr>
          <w:sz w:val="20"/>
          <w:szCs w:val="20"/>
        </w:rPr>
        <w:t xml:space="preserve"> Whether Appellant’s use of defence of self</w:t>
      </w:r>
      <w:r w:rsidRPr="00502EBC">
        <w:rPr>
          <w:sz w:val="20"/>
          <w:szCs w:val="20"/>
        </w:rPr>
        <w:noBreakHyphen/>
        <w:t xml:space="preserve">defence ruled out any possibility that Appellant had been provoked </w:t>
      </w:r>
      <w:r w:rsidR="00D875A3" w:rsidRPr="00502EBC">
        <w:rPr>
          <w:sz w:val="20"/>
          <w:szCs w:val="20"/>
        </w:rPr>
        <w:noBreakHyphen/>
      </w:r>
      <w:r w:rsidRPr="00502EBC">
        <w:rPr>
          <w:sz w:val="20"/>
          <w:szCs w:val="20"/>
        </w:rPr>
        <w:t xml:space="preserve"> Whether trial judge erred in failing to instruct jury on provocation defence.</w:t>
      </w:r>
    </w:p>
    <w:p w:rsidR="00306171" w:rsidRPr="00502EBC" w:rsidRDefault="00306171" w:rsidP="00306171">
      <w:pPr>
        <w:widowControl w:val="0"/>
        <w:jc w:val="both"/>
        <w:rPr>
          <w:sz w:val="20"/>
          <w:szCs w:val="20"/>
        </w:rPr>
      </w:pPr>
    </w:p>
    <w:p w:rsidR="00306171" w:rsidRPr="00502EBC" w:rsidRDefault="00306171" w:rsidP="00306171">
      <w:pPr>
        <w:widowControl w:val="0"/>
        <w:jc w:val="both"/>
        <w:rPr>
          <w:sz w:val="20"/>
          <w:szCs w:val="20"/>
        </w:rPr>
      </w:pPr>
      <w:r w:rsidRPr="00502EBC">
        <w:rPr>
          <w:sz w:val="20"/>
          <w:szCs w:val="20"/>
        </w:rPr>
        <w:t>The Appellant, Mr. Buzizi, decided to intervene in an altercation between his cousin and the victim.  He stabbed the victim several times, and the victim died.  At the trial, the Appellant argued that he had had no choice and that, in his agitation, to avoid becoming a victim himself, he had had to defend himself by stabbing the victim several times.  Mr. Buzizi was found guilty of second degree murder.  On appeal, he argued, among other things, that the trial judge had erred in refusing to instruct the jury on the provocation defence. In a majority decision, the Court of Appeal dismissed the appeal from the guilty verdict.  Justice Bich, dissenting, would have allowed the appeal on the ground that Mr. Buzizi’s conduct met the test for the provocation defence.  She explained that the victim’s aggressive act could have caused Mr. Buzizi to act either in self</w:t>
      </w:r>
      <w:r w:rsidRPr="00502EBC">
        <w:rPr>
          <w:sz w:val="20"/>
          <w:szCs w:val="20"/>
        </w:rPr>
        <w:noBreakHyphen/>
        <w:t>defence or under provocation.</w:t>
      </w:r>
    </w:p>
    <w:p w:rsidR="00306171" w:rsidRPr="00502EBC" w:rsidRDefault="00306171" w:rsidP="00306171">
      <w:pPr>
        <w:widowControl w:val="0"/>
        <w:jc w:val="both"/>
        <w:rPr>
          <w:sz w:val="20"/>
          <w:szCs w:val="20"/>
        </w:rPr>
      </w:pPr>
    </w:p>
    <w:p w:rsidR="00306171" w:rsidRPr="00502EBC" w:rsidRDefault="00306171" w:rsidP="00306171">
      <w:pPr>
        <w:widowControl w:val="0"/>
        <w:jc w:val="both"/>
        <w:rPr>
          <w:sz w:val="20"/>
          <w:szCs w:val="20"/>
        </w:rPr>
      </w:pPr>
    </w:p>
    <w:p w:rsidR="00306171" w:rsidRPr="00502EBC" w:rsidRDefault="00306171" w:rsidP="00306171">
      <w:pPr>
        <w:widowControl w:val="0"/>
        <w:ind w:left="2880" w:hanging="2880"/>
        <w:jc w:val="both"/>
        <w:rPr>
          <w:sz w:val="20"/>
          <w:szCs w:val="20"/>
        </w:rPr>
      </w:pPr>
      <w:r w:rsidRPr="00502EBC">
        <w:rPr>
          <w:sz w:val="20"/>
          <w:szCs w:val="20"/>
        </w:rPr>
        <w:t>Origin of the Case:</w:t>
      </w:r>
      <w:r w:rsidRPr="00502EBC">
        <w:rPr>
          <w:sz w:val="20"/>
          <w:szCs w:val="20"/>
        </w:rPr>
        <w:tab/>
        <w:t>Quebec</w:t>
      </w:r>
    </w:p>
    <w:p w:rsidR="00306171" w:rsidRPr="00502EBC" w:rsidRDefault="00306171" w:rsidP="00306171">
      <w:pPr>
        <w:widowControl w:val="0"/>
        <w:ind w:left="2880" w:hanging="2880"/>
        <w:jc w:val="both"/>
        <w:rPr>
          <w:sz w:val="20"/>
          <w:szCs w:val="20"/>
        </w:rPr>
      </w:pPr>
    </w:p>
    <w:p w:rsidR="00306171" w:rsidRPr="00502EBC" w:rsidRDefault="00306171" w:rsidP="00306171">
      <w:pPr>
        <w:widowControl w:val="0"/>
        <w:ind w:left="2880" w:hanging="2880"/>
        <w:jc w:val="both"/>
        <w:rPr>
          <w:sz w:val="20"/>
          <w:szCs w:val="20"/>
        </w:rPr>
      </w:pPr>
      <w:r w:rsidRPr="00502EBC">
        <w:rPr>
          <w:sz w:val="20"/>
          <w:szCs w:val="20"/>
        </w:rPr>
        <w:t>File No.:</w:t>
      </w:r>
      <w:r w:rsidRPr="00502EBC">
        <w:rPr>
          <w:sz w:val="20"/>
          <w:szCs w:val="20"/>
        </w:rPr>
        <w:tab/>
        <w:t>34899</w:t>
      </w:r>
    </w:p>
    <w:p w:rsidR="00306171" w:rsidRPr="00502EBC" w:rsidRDefault="00306171" w:rsidP="00306171">
      <w:pPr>
        <w:widowControl w:val="0"/>
        <w:ind w:left="2880" w:hanging="2880"/>
        <w:jc w:val="both"/>
        <w:rPr>
          <w:sz w:val="20"/>
          <w:szCs w:val="20"/>
        </w:rPr>
      </w:pPr>
    </w:p>
    <w:p w:rsidR="00306171" w:rsidRPr="00502EBC" w:rsidRDefault="00306171" w:rsidP="00306171">
      <w:pPr>
        <w:widowControl w:val="0"/>
        <w:ind w:left="2880" w:hanging="2880"/>
        <w:jc w:val="both"/>
        <w:rPr>
          <w:sz w:val="20"/>
          <w:szCs w:val="20"/>
        </w:rPr>
      </w:pPr>
      <w:r w:rsidRPr="00502EBC">
        <w:rPr>
          <w:sz w:val="20"/>
          <w:szCs w:val="20"/>
        </w:rPr>
        <w:t>Judgment of the Court of Appeal:</w:t>
      </w:r>
      <w:r w:rsidRPr="00502EBC">
        <w:rPr>
          <w:sz w:val="20"/>
          <w:szCs w:val="20"/>
        </w:rPr>
        <w:tab/>
        <w:t>May 15, 2012</w:t>
      </w:r>
    </w:p>
    <w:p w:rsidR="00306171" w:rsidRPr="00502EBC" w:rsidRDefault="00306171" w:rsidP="00306171">
      <w:pPr>
        <w:widowControl w:val="0"/>
        <w:ind w:left="2880" w:hanging="2880"/>
        <w:jc w:val="both"/>
        <w:rPr>
          <w:sz w:val="20"/>
          <w:szCs w:val="20"/>
        </w:rPr>
      </w:pPr>
    </w:p>
    <w:p w:rsidR="00306171" w:rsidRPr="00502EBC" w:rsidRDefault="00306171" w:rsidP="00306171">
      <w:pPr>
        <w:widowControl w:val="0"/>
        <w:ind w:left="2880" w:hanging="2880"/>
        <w:jc w:val="both"/>
        <w:rPr>
          <w:sz w:val="20"/>
          <w:szCs w:val="20"/>
        </w:rPr>
      </w:pPr>
      <w:r w:rsidRPr="00502EBC">
        <w:rPr>
          <w:sz w:val="20"/>
          <w:szCs w:val="20"/>
        </w:rPr>
        <w:t>Counsel:</w:t>
      </w:r>
      <w:r w:rsidRPr="00502EBC">
        <w:rPr>
          <w:sz w:val="20"/>
          <w:szCs w:val="20"/>
        </w:rPr>
        <w:tab/>
        <w:t>Marie</w:t>
      </w:r>
      <w:r w:rsidRPr="00502EBC">
        <w:rPr>
          <w:sz w:val="20"/>
          <w:szCs w:val="20"/>
        </w:rPr>
        <w:noBreakHyphen/>
        <w:t>Hélène Giroux for the Appellant</w:t>
      </w:r>
    </w:p>
    <w:p w:rsidR="00306171" w:rsidRPr="00502EBC" w:rsidRDefault="00306171" w:rsidP="00306171">
      <w:pPr>
        <w:widowControl w:val="0"/>
        <w:ind w:left="2880" w:hanging="2880"/>
        <w:jc w:val="both"/>
        <w:rPr>
          <w:sz w:val="20"/>
          <w:szCs w:val="20"/>
        </w:rPr>
      </w:pPr>
      <w:r w:rsidRPr="00502EBC">
        <w:rPr>
          <w:sz w:val="20"/>
          <w:szCs w:val="20"/>
        </w:rPr>
        <w:tab/>
        <w:t>Thierry Nadon for the Respondent</w:t>
      </w:r>
    </w:p>
    <w:p w:rsidR="006F66CA" w:rsidRPr="00306171" w:rsidRDefault="006F66CA" w:rsidP="006F66CA">
      <w:pPr>
        <w:tabs>
          <w:tab w:val="left" w:pos="-1440"/>
          <w:tab w:val="left" w:pos="-720"/>
        </w:tabs>
        <w:jc w:val="both"/>
        <w:rPr>
          <w:sz w:val="20"/>
          <w:szCs w:val="20"/>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18"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AB19A5" w:rsidRPr="008214B8" w:rsidRDefault="003F21C7" w:rsidP="00AB19A5">
      <w:pPr>
        <w:widowControl w:val="0"/>
        <w:ind w:left="720" w:hanging="720"/>
        <w:jc w:val="both"/>
        <w:rPr>
          <w:sz w:val="20"/>
          <w:szCs w:val="20"/>
          <w:lang w:val="fr-CA"/>
        </w:rPr>
      </w:pPr>
      <w:r w:rsidRPr="003F21C7">
        <w:rPr>
          <w:b/>
          <w:sz w:val="20"/>
          <w:szCs w:val="20"/>
          <w:lang w:val="fr-CA"/>
        </w:rPr>
        <w:lastRenderedPageBreak/>
        <w:fldChar w:fldCharType="begin"/>
      </w:r>
      <w:r w:rsidR="00AB19A5" w:rsidRPr="008214B8">
        <w:rPr>
          <w:b/>
          <w:sz w:val="20"/>
          <w:szCs w:val="20"/>
          <w:lang w:val="fr-CA"/>
        </w:rPr>
        <w:instrText xml:space="preserve"> SEQ CHAPTER \h \r 1</w:instrText>
      </w:r>
      <w:r w:rsidRPr="008214B8">
        <w:rPr>
          <w:b/>
          <w:sz w:val="20"/>
          <w:szCs w:val="20"/>
        </w:rPr>
        <w:fldChar w:fldCharType="end"/>
      </w:r>
      <w:r w:rsidR="00AB19A5" w:rsidRPr="008214B8">
        <w:rPr>
          <w:b/>
          <w:sz w:val="20"/>
          <w:szCs w:val="20"/>
          <w:lang w:val="fr-CA"/>
        </w:rPr>
        <w:t>34899</w:t>
      </w:r>
      <w:r w:rsidR="00AB19A5" w:rsidRPr="008214B8">
        <w:rPr>
          <w:sz w:val="20"/>
          <w:szCs w:val="20"/>
          <w:lang w:val="fr-CA"/>
        </w:rPr>
        <w:tab/>
      </w:r>
      <w:r w:rsidR="00AB19A5" w:rsidRPr="008214B8">
        <w:rPr>
          <w:b/>
          <w:i/>
          <w:sz w:val="20"/>
          <w:szCs w:val="20"/>
          <w:lang w:val="fr-CA"/>
        </w:rPr>
        <w:t>Didier Buzizi c. Sa Majesté la Reine</w:t>
      </w:r>
    </w:p>
    <w:p w:rsidR="00AB19A5" w:rsidRPr="008214B8" w:rsidRDefault="00AB19A5" w:rsidP="00AB19A5">
      <w:pPr>
        <w:widowControl w:val="0"/>
        <w:jc w:val="both"/>
        <w:rPr>
          <w:sz w:val="20"/>
          <w:szCs w:val="20"/>
          <w:lang w:val="fr-CA"/>
        </w:rPr>
      </w:pPr>
    </w:p>
    <w:p w:rsidR="00AB19A5" w:rsidRPr="008214B8" w:rsidRDefault="00AB19A5" w:rsidP="00AB19A5">
      <w:pPr>
        <w:widowControl w:val="0"/>
        <w:jc w:val="both"/>
        <w:rPr>
          <w:sz w:val="20"/>
          <w:szCs w:val="20"/>
          <w:lang w:val="fr-CA"/>
        </w:rPr>
      </w:pPr>
      <w:r w:rsidRPr="008214B8">
        <w:rPr>
          <w:sz w:val="20"/>
          <w:szCs w:val="20"/>
          <w:lang w:val="fr-CA"/>
        </w:rPr>
        <w:t xml:space="preserve">Droit criminel </w:t>
      </w:r>
      <w:r w:rsidRPr="008214B8">
        <w:rPr>
          <w:sz w:val="20"/>
          <w:szCs w:val="20"/>
          <w:lang w:val="fr-CA"/>
        </w:rPr>
        <w:noBreakHyphen/>
        <w:t xml:space="preserve"> Meurtre au deuxième degré </w:t>
      </w:r>
      <w:r w:rsidRPr="008214B8">
        <w:rPr>
          <w:sz w:val="20"/>
          <w:szCs w:val="20"/>
          <w:lang w:val="fr-CA"/>
        </w:rPr>
        <w:noBreakHyphen/>
        <w:t xml:space="preserve"> Moyens de défense </w:t>
      </w:r>
      <w:r w:rsidRPr="008214B8">
        <w:rPr>
          <w:sz w:val="20"/>
          <w:szCs w:val="20"/>
          <w:lang w:val="fr-CA"/>
        </w:rPr>
        <w:noBreakHyphen/>
        <w:t xml:space="preserve"> Provocation </w:t>
      </w:r>
      <w:r w:rsidRPr="008214B8">
        <w:rPr>
          <w:sz w:val="20"/>
          <w:szCs w:val="20"/>
          <w:lang w:val="fr-CA"/>
        </w:rPr>
        <w:noBreakHyphen/>
        <w:t xml:space="preserve"> Le fait pour l’appelant d’avoir invoqué la légitime défense comme moyen de défense excluait</w:t>
      </w:r>
      <w:r w:rsidRPr="008214B8">
        <w:rPr>
          <w:sz w:val="20"/>
          <w:szCs w:val="20"/>
          <w:lang w:val="fr-CA"/>
        </w:rPr>
        <w:noBreakHyphen/>
        <w:t xml:space="preserve">il toute possibilité qu’il ait agi sur le coup de la provocation? </w:t>
      </w:r>
      <w:r w:rsidRPr="008214B8">
        <w:rPr>
          <w:sz w:val="20"/>
          <w:szCs w:val="20"/>
          <w:lang w:val="fr-CA"/>
        </w:rPr>
        <w:noBreakHyphen/>
        <w:t xml:space="preserve"> Le juge de première instance a</w:t>
      </w:r>
      <w:r w:rsidRPr="008214B8">
        <w:rPr>
          <w:sz w:val="20"/>
          <w:szCs w:val="20"/>
          <w:lang w:val="fr-CA"/>
        </w:rPr>
        <w:noBreakHyphen/>
        <w:t>t</w:t>
      </w:r>
      <w:r w:rsidRPr="008214B8">
        <w:rPr>
          <w:sz w:val="20"/>
          <w:szCs w:val="20"/>
          <w:lang w:val="fr-CA"/>
        </w:rPr>
        <w:noBreakHyphen/>
        <w:t xml:space="preserve">il fait erreur en ne soumettant pas au jury la défense de provocation? </w:t>
      </w:r>
    </w:p>
    <w:p w:rsidR="00AB19A5" w:rsidRPr="008214B8" w:rsidRDefault="00AB19A5" w:rsidP="00AB19A5">
      <w:pPr>
        <w:widowControl w:val="0"/>
        <w:jc w:val="both"/>
        <w:rPr>
          <w:sz w:val="20"/>
          <w:szCs w:val="20"/>
          <w:lang w:val="fr-CA"/>
        </w:rPr>
      </w:pPr>
    </w:p>
    <w:p w:rsidR="00AB19A5" w:rsidRPr="008214B8" w:rsidRDefault="00AB19A5" w:rsidP="00AB19A5">
      <w:pPr>
        <w:widowControl w:val="0"/>
        <w:jc w:val="both"/>
        <w:rPr>
          <w:sz w:val="20"/>
          <w:szCs w:val="20"/>
          <w:lang w:val="fr-CA"/>
        </w:rPr>
      </w:pPr>
      <w:r w:rsidRPr="008214B8">
        <w:rPr>
          <w:sz w:val="20"/>
          <w:szCs w:val="20"/>
          <w:lang w:val="fr-CA"/>
        </w:rPr>
        <w:t>Lorsqu’une altercation survient entre le cousin de l’appelant et la victime, l’appelant, M. Buzizi, décide d’intervenir.  Il poignarde la victime à plusieurs reprises et cette dernière décède.  Au procès, l’appelant plaide qu’il n’avait pas le choix et qu’en réagissant avec émotion, pour éviter d’être lui</w:t>
      </w:r>
      <w:r w:rsidRPr="008214B8">
        <w:rPr>
          <w:sz w:val="20"/>
          <w:szCs w:val="20"/>
          <w:lang w:val="fr-CA"/>
        </w:rPr>
        <w:noBreakHyphen/>
        <w:t>même victime, il devait se défendre en assénant des coups de couteau.  Monsieur Buzizi est déclaré coupable de meurtre au deuxième degré.  En appel, il plaide, entre autres, que le juge de première instance a fait erreur en refusant de soumettre au jury la défense de provocation.  La Cour d’appel, à la majorité, rejette l’appel du verdict de culpabilité.  La juge Bich, dissidente, aurait accueilli l’appel au motif que la conduite de M. Buzizi répondait aux exigences de la défense de provocation.  Elle explique que le geste agressif de la victime a pu engendrer chez M. Buzizi une réaction dont on pourrait concevoir qu’elle relève aussi bien de la légitime défense que de la provocation.</w:t>
      </w:r>
    </w:p>
    <w:p w:rsidR="00AB19A5" w:rsidRPr="008214B8" w:rsidRDefault="00AB19A5" w:rsidP="00AB19A5">
      <w:pPr>
        <w:widowControl w:val="0"/>
        <w:jc w:val="both"/>
        <w:rPr>
          <w:sz w:val="20"/>
          <w:szCs w:val="20"/>
          <w:lang w:val="fr-CA"/>
        </w:rPr>
      </w:pPr>
    </w:p>
    <w:p w:rsidR="00AB19A5" w:rsidRPr="008214B8" w:rsidRDefault="00AB19A5" w:rsidP="00AB19A5">
      <w:pPr>
        <w:widowControl w:val="0"/>
        <w:jc w:val="both"/>
        <w:rPr>
          <w:sz w:val="20"/>
          <w:szCs w:val="20"/>
          <w:lang w:val="fr-CA"/>
        </w:rPr>
      </w:pPr>
    </w:p>
    <w:p w:rsidR="00AB19A5" w:rsidRPr="008214B8" w:rsidRDefault="00AB19A5" w:rsidP="00AB19A5">
      <w:pPr>
        <w:widowControl w:val="0"/>
        <w:ind w:left="2880" w:hanging="2880"/>
        <w:jc w:val="both"/>
        <w:rPr>
          <w:sz w:val="20"/>
          <w:szCs w:val="20"/>
          <w:lang w:val="fr-CA"/>
        </w:rPr>
      </w:pPr>
      <w:r w:rsidRPr="008214B8">
        <w:rPr>
          <w:sz w:val="20"/>
          <w:szCs w:val="20"/>
          <w:lang w:val="fr-CA"/>
        </w:rPr>
        <w:t>Origine:</w:t>
      </w:r>
      <w:r w:rsidRPr="008214B8">
        <w:rPr>
          <w:sz w:val="20"/>
          <w:szCs w:val="20"/>
          <w:lang w:val="fr-CA"/>
        </w:rPr>
        <w:tab/>
        <w:t>Québec</w:t>
      </w:r>
    </w:p>
    <w:p w:rsidR="00AB19A5" w:rsidRPr="008214B8" w:rsidRDefault="00AB19A5" w:rsidP="00AB19A5">
      <w:pPr>
        <w:widowControl w:val="0"/>
        <w:ind w:left="2880" w:hanging="2880"/>
        <w:jc w:val="both"/>
        <w:rPr>
          <w:sz w:val="20"/>
          <w:szCs w:val="20"/>
          <w:lang w:val="fr-CA"/>
        </w:rPr>
      </w:pPr>
    </w:p>
    <w:p w:rsidR="00AB19A5" w:rsidRPr="008214B8" w:rsidRDefault="00AB19A5" w:rsidP="00AB19A5">
      <w:pPr>
        <w:widowControl w:val="0"/>
        <w:ind w:left="2880" w:hanging="2880"/>
        <w:jc w:val="both"/>
        <w:rPr>
          <w:sz w:val="20"/>
          <w:szCs w:val="20"/>
          <w:lang w:val="fr-CA"/>
        </w:rPr>
      </w:pPr>
      <w:r w:rsidRPr="008214B8">
        <w:rPr>
          <w:sz w:val="20"/>
          <w:szCs w:val="20"/>
          <w:lang w:val="fr-CA"/>
        </w:rPr>
        <w:t>N</w:t>
      </w:r>
      <w:r w:rsidRPr="008214B8">
        <w:rPr>
          <w:sz w:val="20"/>
          <w:szCs w:val="20"/>
          <w:vertAlign w:val="superscript"/>
          <w:lang w:val="fr-CA"/>
        </w:rPr>
        <w:t>o</w:t>
      </w:r>
      <w:r w:rsidRPr="008214B8">
        <w:rPr>
          <w:sz w:val="20"/>
          <w:szCs w:val="20"/>
          <w:lang w:val="fr-CA"/>
        </w:rPr>
        <w:t xml:space="preserve"> du greffe:</w:t>
      </w:r>
      <w:r w:rsidRPr="008214B8">
        <w:rPr>
          <w:sz w:val="20"/>
          <w:szCs w:val="20"/>
          <w:lang w:val="fr-CA"/>
        </w:rPr>
        <w:tab/>
        <w:t>34899</w:t>
      </w:r>
    </w:p>
    <w:p w:rsidR="00AB19A5" w:rsidRPr="008214B8" w:rsidRDefault="00AB19A5" w:rsidP="00AB19A5">
      <w:pPr>
        <w:widowControl w:val="0"/>
        <w:ind w:left="2880" w:hanging="2880"/>
        <w:jc w:val="both"/>
        <w:rPr>
          <w:sz w:val="20"/>
          <w:szCs w:val="20"/>
          <w:lang w:val="fr-CA"/>
        </w:rPr>
      </w:pPr>
    </w:p>
    <w:p w:rsidR="00AB19A5" w:rsidRPr="008214B8" w:rsidRDefault="00AB19A5" w:rsidP="00AB19A5">
      <w:pPr>
        <w:widowControl w:val="0"/>
        <w:ind w:left="2880" w:hanging="2880"/>
        <w:jc w:val="both"/>
        <w:rPr>
          <w:sz w:val="20"/>
          <w:szCs w:val="20"/>
          <w:lang w:val="fr-CA"/>
        </w:rPr>
      </w:pPr>
      <w:r w:rsidRPr="008214B8">
        <w:rPr>
          <w:sz w:val="20"/>
          <w:szCs w:val="20"/>
          <w:lang w:val="fr-CA"/>
        </w:rPr>
        <w:t>Arrêt de la Cour d’appel:</w:t>
      </w:r>
      <w:r w:rsidRPr="008214B8">
        <w:rPr>
          <w:sz w:val="20"/>
          <w:szCs w:val="20"/>
          <w:lang w:val="fr-CA"/>
        </w:rPr>
        <w:tab/>
        <w:t>Le 15 mai 2012</w:t>
      </w:r>
    </w:p>
    <w:p w:rsidR="00AB19A5" w:rsidRPr="008214B8" w:rsidRDefault="00AB19A5" w:rsidP="00AB19A5">
      <w:pPr>
        <w:widowControl w:val="0"/>
        <w:ind w:left="2880" w:hanging="2880"/>
        <w:jc w:val="both"/>
        <w:rPr>
          <w:sz w:val="20"/>
          <w:szCs w:val="20"/>
          <w:lang w:val="fr-CA"/>
        </w:rPr>
      </w:pPr>
    </w:p>
    <w:p w:rsidR="00AB19A5" w:rsidRPr="008214B8" w:rsidRDefault="00AB19A5" w:rsidP="00AB19A5">
      <w:pPr>
        <w:widowControl w:val="0"/>
        <w:ind w:left="2880" w:hanging="2880"/>
        <w:jc w:val="both"/>
        <w:rPr>
          <w:sz w:val="20"/>
          <w:szCs w:val="20"/>
          <w:lang w:val="fr-CA"/>
        </w:rPr>
      </w:pPr>
      <w:r w:rsidRPr="008214B8">
        <w:rPr>
          <w:sz w:val="20"/>
          <w:szCs w:val="20"/>
          <w:lang w:val="fr-CA"/>
        </w:rPr>
        <w:t>Avocats:</w:t>
      </w:r>
      <w:r w:rsidRPr="008214B8">
        <w:rPr>
          <w:sz w:val="20"/>
          <w:szCs w:val="20"/>
          <w:lang w:val="fr-CA"/>
        </w:rPr>
        <w:tab/>
        <w:t>Marie</w:t>
      </w:r>
      <w:r w:rsidRPr="008214B8">
        <w:rPr>
          <w:sz w:val="20"/>
          <w:szCs w:val="20"/>
          <w:lang w:val="fr-CA"/>
        </w:rPr>
        <w:noBreakHyphen/>
        <w:t>Hélène Giroux pour l’appelant</w:t>
      </w:r>
    </w:p>
    <w:p w:rsidR="00AB19A5" w:rsidRPr="008214B8" w:rsidRDefault="00AB19A5" w:rsidP="00AB19A5">
      <w:pPr>
        <w:widowControl w:val="0"/>
        <w:ind w:left="2880" w:hanging="2880"/>
        <w:jc w:val="both"/>
        <w:rPr>
          <w:sz w:val="20"/>
          <w:szCs w:val="20"/>
          <w:lang w:val="fr-CA"/>
        </w:rPr>
      </w:pPr>
      <w:r w:rsidRPr="008214B8">
        <w:rPr>
          <w:sz w:val="20"/>
          <w:szCs w:val="20"/>
          <w:lang w:val="fr-CA"/>
        </w:rPr>
        <w:tab/>
        <w:t>Thierry Nadon pour l’intimée</w:t>
      </w:r>
    </w:p>
    <w:p w:rsidR="006F66CA" w:rsidRDefault="006F66CA" w:rsidP="006F66CA">
      <w:pPr>
        <w:tabs>
          <w:tab w:val="left" w:pos="-1440"/>
          <w:tab w:val="left" w:pos="-720"/>
        </w:tabs>
        <w:jc w:val="both"/>
        <w:rPr>
          <w:sz w:val="20"/>
          <w:szCs w:val="20"/>
          <w:lang w:val="fr-CA"/>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19"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B63001" w:rsidRPr="009A7900" w:rsidRDefault="003F21C7" w:rsidP="00B63001">
      <w:pPr>
        <w:widowControl w:val="0"/>
        <w:ind w:left="720" w:hanging="720"/>
        <w:jc w:val="both"/>
        <w:rPr>
          <w:sz w:val="20"/>
          <w:szCs w:val="20"/>
        </w:rPr>
      </w:pPr>
      <w:r w:rsidRPr="009A7900">
        <w:rPr>
          <w:b/>
          <w:sz w:val="20"/>
          <w:szCs w:val="20"/>
        </w:rPr>
        <w:lastRenderedPageBreak/>
        <w:fldChar w:fldCharType="begin"/>
      </w:r>
      <w:r w:rsidR="00B63001" w:rsidRPr="009A7900">
        <w:rPr>
          <w:b/>
          <w:sz w:val="20"/>
          <w:szCs w:val="20"/>
        </w:rPr>
        <w:instrText xml:space="preserve"> SEQ CHAPTER \h \r 1</w:instrText>
      </w:r>
      <w:r w:rsidRPr="009A7900">
        <w:rPr>
          <w:b/>
          <w:sz w:val="20"/>
          <w:szCs w:val="20"/>
        </w:rPr>
        <w:fldChar w:fldCharType="end"/>
      </w:r>
      <w:r w:rsidR="00B63001" w:rsidRPr="009A7900">
        <w:rPr>
          <w:b/>
          <w:sz w:val="20"/>
          <w:szCs w:val="20"/>
        </w:rPr>
        <w:t>34501</w:t>
      </w:r>
      <w:r w:rsidR="00B63001" w:rsidRPr="009A7900">
        <w:rPr>
          <w:sz w:val="20"/>
          <w:szCs w:val="20"/>
        </w:rPr>
        <w:tab/>
      </w:r>
      <w:r w:rsidR="00B63001" w:rsidRPr="009A7900">
        <w:rPr>
          <w:b/>
          <w:i/>
          <w:sz w:val="20"/>
          <w:szCs w:val="20"/>
        </w:rPr>
        <w:t>Tissa Amaratunga v. Northwest Atlantic Fisheries Organization</w:t>
      </w:r>
    </w:p>
    <w:p w:rsidR="00B63001" w:rsidRPr="009A7900" w:rsidRDefault="00B63001" w:rsidP="00B63001">
      <w:pPr>
        <w:widowControl w:val="0"/>
        <w:jc w:val="both"/>
        <w:rPr>
          <w:sz w:val="20"/>
          <w:szCs w:val="20"/>
        </w:rPr>
      </w:pPr>
    </w:p>
    <w:p w:rsidR="00B63001" w:rsidRPr="009A7900" w:rsidRDefault="00B63001" w:rsidP="00B63001">
      <w:pPr>
        <w:widowControl w:val="0"/>
        <w:jc w:val="both"/>
        <w:rPr>
          <w:sz w:val="20"/>
          <w:szCs w:val="20"/>
        </w:rPr>
      </w:pPr>
      <w:r w:rsidRPr="009A7900">
        <w:rPr>
          <w:sz w:val="20"/>
          <w:szCs w:val="20"/>
        </w:rPr>
        <w:t xml:space="preserve">Public international law </w:t>
      </w:r>
      <w:r w:rsidRPr="009A7900">
        <w:rPr>
          <w:sz w:val="20"/>
          <w:szCs w:val="20"/>
        </w:rPr>
        <w:noBreakHyphen/>
        <w:t xml:space="preserve"> Jurisdictional immunity </w:t>
      </w:r>
      <w:r w:rsidRPr="009A7900">
        <w:rPr>
          <w:sz w:val="20"/>
          <w:szCs w:val="20"/>
        </w:rPr>
        <w:noBreakHyphen/>
        <w:t xml:space="preserve"> NAFO asserted immunity from the jurisdiction of Canadian courts with regard to the action brought by the appellant </w:t>
      </w:r>
      <w:r w:rsidRPr="009A7900">
        <w:rPr>
          <w:sz w:val="20"/>
          <w:szCs w:val="20"/>
        </w:rPr>
        <w:noBreakHyphen/>
        <w:t xml:space="preserve"> Court of Appeal concluded Nova Scotia courts had no jurisdiction to adjudicate matters, contrary to the decision of the Supreme Court of Nova Scotia </w:t>
      </w:r>
      <w:r w:rsidRPr="009A7900">
        <w:rPr>
          <w:sz w:val="20"/>
          <w:szCs w:val="20"/>
        </w:rPr>
        <w:noBreakHyphen/>
        <w:t xml:space="preserve"> Whether the Court of Appeal erred in law by interpreting the </w:t>
      </w:r>
      <w:r w:rsidRPr="009A7900">
        <w:rPr>
          <w:i/>
          <w:sz w:val="20"/>
          <w:szCs w:val="20"/>
        </w:rPr>
        <w:t xml:space="preserve">Foreign Missions and International Organizations Act </w:t>
      </w:r>
      <w:r w:rsidRPr="009A7900">
        <w:rPr>
          <w:sz w:val="20"/>
          <w:szCs w:val="20"/>
        </w:rPr>
        <w:t>(“</w:t>
      </w:r>
      <w:r w:rsidRPr="009A7900">
        <w:rPr>
          <w:i/>
          <w:sz w:val="20"/>
          <w:szCs w:val="20"/>
        </w:rPr>
        <w:t>FMIO</w:t>
      </w:r>
      <w:r w:rsidRPr="009A7900">
        <w:rPr>
          <w:sz w:val="20"/>
          <w:szCs w:val="20"/>
        </w:rPr>
        <w:t xml:space="preserve">”) and the NAFO Immunity Order without consideration of the </w:t>
      </w:r>
      <w:r w:rsidRPr="009A7900">
        <w:rPr>
          <w:i/>
          <w:sz w:val="20"/>
          <w:szCs w:val="20"/>
        </w:rPr>
        <w:t xml:space="preserve">International Bill of Human Rights, </w:t>
      </w:r>
      <w:r w:rsidRPr="009A7900">
        <w:rPr>
          <w:sz w:val="20"/>
          <w:szCs w:val="20"/>
        </w:rPr>
        <w:t xml:space="preserve">and without consideration of the obligations of Canada under conventional international law </w:t>
      </w:r>
      <w:r w:rsidRPr="009A7900">
        <w:rPr>
          <w:sz w:val="20"/>
          <w:szCs w:val="20"/>
        </w:rPr>
        <w:noBreakHyphen/>
        <w:t xml:space="preserve"> Whether the Court of Appeal erred in law by interpreting the </w:t>
      </w:r>
      <w:r w:rsidRPr="009A7900">
        <w:rPr>
          <w:i/>
          <w:sz w:val="20"/>
          <w:szCs w:val="20"/>
        </w:rPr>
        <w:t xml:space="preserve">FMIO </w:t>
      </w:r>
      <w:r w:rsidRPr="009A7900">
        <w:rPr>
          <w:sz w:val="20"/>
          <w:szCs w:val="20"/>
        </w:rPr>
        <w:t xml:space="preserve">and the NAFO Immunity Order without consideration of the fundamental principle of common law, </w:t>
      </w:r>
      <w:r w:rsidRPr="009A7900">
        <w:rPr>
          <w:i/>
          <w:sz w:val="20"/>
          <w:szCs w:val="20"/>
        </w:rPr>
        <w:t>Ubi, jus, ibi remedium</w:t>
      </w:r>
      <w:r w:rsidRPr="009A7900">
        <w:rPr>
          <w:sz w:val="20"/>
          <w:szCs w:val="20"/>
        </w:rPr>
        <w:t xml:space="preserve"> </w:t>
      </w:r>
      <w:r w:rsidRPr="009A7900">
        <w:rPr>
          <w:sz w:val="20"/>
          <w:szCs w:val="20"/>
        </w:rPr>
        <w:noBreakHyphen/>
        <w:t xml:space="preserve"> Whether the Court of Appeal erred in law by interpreting the word “required” in s.3(1) of the </w:t>
      </w:r>
      <w:r w:rsidRPr="009A7900">
        <w:rPr>
          <w:i/>
          <w:sz w:val="20"/>
          <w:szCs w:val="20"/>
        </w:rPr>
        <w:t xml:space="preserve">NAFO Immunity Order </w:t>
      </w:r>
      <w:r w:rsidRPr="009A7900">
        <w:rPr>
          <w:sz w:val="20"/>
          <w:szCs w:val="20"/>
        </w:rPr>
        <w:t xml:space="preserve"> broadly, so as to provide immunity from the jurisdiction of the court </w:t>
      </w:r>
      <w:r w:rsidRPr="009A7900">
        <w:rPr>
          <w:sz w:val="20"/>
          <w:szCs w:val="20"/>
        </w:rPr>
        <w:noBreakHyphen/>
        <w:t xml:space="preserve"> Whether the Court of Appeal erred in law by holding that a conclusion by the lower court that “just cause [for the dismissal of the appellant] is not asserted by NAFO” was a palpable and overriding error of fact requiring intervention by the Court of Appeal </w:t>
      </w:r>
      <w:r w:rsidRPr="009A7900">
        <w:rPr>
          <w:sz w:val="20"/>
          <w:szCs w:val="20"/>
        </w:rPr>
        <w:noBreakHyphen/>
        <w:t xml:space="preserve"> Whether the Court of Appeal erred in law by holding, without consideration or reasons, that the NAFO Immunity Order provided immunity to NAFO from the jurisdiction of the court with respect to the concurrent claim of the Appellant for payment of the balance of Separation Indemnity explicitly due under the Staff Rules of NAFO, or alternatively, pursuant to a contract subsequent to the dismissal from service of the Appellant?</w:t>
      </w:r>
    </w:p>
    <w:p w:rsidR="00B63001" w:rsidRPr="009A7900" w:rsidRDefault="00B63001" w:rsidP="00B63001">
      <w:pPr>
        <w:widowControl w:val="0"/>
        <w:jc w:val="both"/>
        <w:rPr>
          <w:sz w:val="20"/>
          <w:szCs w:val="20"/>
        </w:rPr>
      </w:pPr>
    </w:p>
    <w:p w:rsidR="00B63001" w:rsidRPr="009A7900" w:rsidRDefault="00B63001" w:rsidP="00B63001">
      <w:pPr>
        <w:widowControl w:val="0"/>
        <w:jc w:val="both"/>
        <w:rPr>
          <w:sz w:val="20"/>
          <w:szCs w:val="20"/>
        </w:rPr>
      </w:pPr>
      <w:r w:rsidRPr="009A7900">
        <w:rPr>
          <w:sz w:val="20"/>
          <w:szCs w:val="20"/>
        </w:rPr>
        <w:t xml:space="preserve">The respondent, Northwest Atlantic Fisheries Organization (“NAFO”) is an international body comprised of 13 signatories representing approximately two dozen independent countries, including Canada.  Headquartered in Dartmouth, Nova Scotia, its mandate is to manage and preserve fishing resources in the northwest Atlantic Ocean.  The appellant, Tissa Amaratunga, began working for NAFO at its headquarters in 1988 in a senior management position.  He continued in this capacity until June 2005 when his employment was terminated.  He commenced a wrongful dismissal suit in response in the Supreme Court of Nova Scotia.  NAFO claimed immunity as an international organization and asked the Supreme Court of Nova Scotia to declare itself without jurisdiction to adjudicate the matter.  Its claim was based in part on an immunity order issued by the Government of Canada pursuant to the </w:t>
      </w:r>
      <w:r w:rsidRPr="009A7900">
        <w:rPr>
          <w:i/>
          <w:iCs/>
          <w:sz w:val="20"/>
          <w:szCs w:val="20"/>
        </w:rPr>
        <w:t>Privileges and Immunities (International Organizations) Act</w:t>
      </w:r>
      <w:r w:rsidRPr="009A7900">
        <w:rPr>
          <w:sz w:val="20"/>
          <w:szCs w:val="20"/>
        </w:rPr>
        <w:t>, R.S.C. 1985, c. P</w:t>
      </w:r>
      <w:r w:rsidRPr="009A7900">
        <w:rPr>
          <w:sz w:val="20"/>
          <w:szCs w:val="20"/>
        </w:rPr>
        <w:noBreakHyphen/>
        <w:t xml:space="preserve">22.  This provision remains in effect pursuant to successor legislation, the </w:t>
      </w:r>
      <w:r w:rsidRPr="009A7900">
        <w:rPr>
          <w:i/>
          <w:iCs/>
          <w:sz w:val="20"/>
          <w:szCs w:val="20"/>
        </w:rPr>
        <w:t>Foreign Missions and International Organizations Act</w:t>
      </w:r>
      <w:r w:rsidRPr="009A7900">
        <w:rPr>
          <w:sz w:val="20"/>
          <w:szCs w:val="20"/>
        </w:rPr>
        <w:t xml:space="preserve">, S.C. 1991, c. 41.  The Supreme Court of Nova Scotia dismissed NAFO’s motion and found that the matter could proceed to trial on the merits of the issues raised in the statement of claim.  The Court of Appeal allowed the appeal and determined the Supreme Court of Nova Scotia had no jurisdiction to adjudicate the matter.  </w:t>
      </w:r>
    </w:p>
    <w:p w:rsidR="00B63001" w:rsidRPr="009A7900" w:rsidRDefault="00B63001" w:rsidP="00B63001">
      <w:pPr>
        <w:widowControl w:val="0"/>
        <w:jc w:val="both"/>
        <w:rPr>
          <w:sz w:val="20"/>
          <w:szCs w:val="20"/>
        </w:rPr>
      </w:pPr>
    </w:p>
    <w:p w:rsidR="00B63001" w:rsidRPr="009A7900" w:rsidRDefault="00B63001" w:rsidP="00B63001">
      <w:pPr>
        <w:widowControl w:val="0"/>
        <w:jc w:val="both"/>
        <w:rPr>
          <w:sz w:val="20"/>
          <w:szCs w:val="20"/>
        </w:rPr>
      </w:pPr>
    </w:p>
    <w:p w:rsidR="00B63001" w:rsidRPr="009A7900" w:rsidRDefault="00B63001" w:rsidP="00B63001">
      <w:pPr>
        <w:widowControl w:val="0"/>
        <w:ind w:left="2880" w:hanging="2880"/>
        <w:jc w:val="both"/>
        <w:rPr>
          <w:sz w:val="20"/>
          <w:szCs w:val="20"/>
        </w:rPr>
      </w:pPr>
      <w:r w:rsidRPr="009A7900">
        <w:rPr>
          <w:sz w:val="20"/>
          <w:szCs w:val="20"/>
        </w:rPr>
        <w:t>Origin of the case:</w:t>
      </w:r>
      <w:r w:rsidRPr="009A7900">
        <w:rPr>
          <w:sz w:val="20"/>
          <w:szCs w:val="20"/>
        </w:rPr>
        <w:tab/>
        <w:t>Nova Scotia</w:t>
      </w:r>
    </w:p>
    <w:p w:rsidR="00B63001" w:rsidRPr="009A7900" w:rsidRDefault="00B63001" w:rsidP="00B63001">
      <w:pPr>
        <w:widowControl w:val="0"/>
        <w:ind w:left="2880" w:hanging="2880"/>
        <w:jc w:val="both"/>
        <w:rPr>
          <w:sz w:val="20"/>
          <w:szCs w:val="20"/>
        </w:rPr>
      </w:pPr>
    </w:p>
    <w:p w:rsidR="00B63001" w:rsidRPr="009A7900" w:rsidRDefault="00B63001" w:rsidP="00B63001">
      <w:pPr>
        <w:widowControl w:val="0"/>
        <w:ind w:left="2880" w:hanging="2880"/>
        <w:jc w:val="both"/>
        <w:rPr>
          <w:sz w:val="20"/>
          <w:szCs w:val="20"/>
        </w:rPr>
      </w:pPr>
      <w:r w:rsidRPr="009A7900">
        <w:rPr>
          <w:sz w:val="20"/>
          <w:szCs w:val="20"/>
        </w:rPr>
        <w:t>File No.:</w:t>
      </w:r>
      <w:r w:rsidRPr="009A7900">
        <w:rPr>
          <w:sz w:val="20"/>
          <w:szCs w:val="20"/>
        </w:rPr>
        <w:tab/>
        <w:t>34501</w:t>
      </w:r>
    </w:p>
    <w:p w:rsidR="00B63001" w:rsidRPr="009A7900" w:rsidRDefault="00B63001" w:rsidP="00B63001">
      <w:pPr>
        <w:widowControl w:val="0"/>
        <w:ind w:left="2880" w:hanging="2880"/>
        <w:jc w:val="both"/>
        <w:rPr>
          <w:sz w:val="20"/>
          <w:szCs w:val="20"/>
        </w:rPr>
      </w:pPr>
    </w:p>
    <w:p w:rsidR="00B63001" w:rsidRPr="009A7900" w:rsidRDefault="00B63001" w:rsidP="00B63001">
      <w:pPr>
        <w:widowControl w:val="0"/>
        <w:ind w:left="2880" w:hanging="2880"/>
        <w:jc w:val="both"/>
        <w:rPr>
          <w:sz w:val="20"/>
          <w:szCs w:val="20"/>
        </w:rPr>
      </w:pPr>
      <w:r w:rsidRPr="009A7900">
        <w:rPr>
          <w:sz w:val="20"/>
          <w:szCs w:val="20"/>
        </w:rPr>
        <w:t>Judgment of the Court of Appeal:</w:t>
      </w:r>
      <w:r w:rsidRPr="009A7900">
        <w:rPr>
          <w:sz w:val="20"/>
          <w:szCs w:val="20"/>
        </w:rPr>
        <w:tab/>
        <w:t>August 23, 2011</w:t>
      </w:r>
    </w:p>
    <w:p w:rsidR="00B63001" w:rsidRPr="009A7900" w:rsidRDefault="00B63001" w:rsidP="00B63001">
      <w:pPr>
        <w:widowControl w:val="0"/>
        <w:ind w:left="2880" w:hanging="2880"/>
        <w:jc w:val="both"/>
        <w:rPr>
          <w:sz w:val="20"/>
          <w:szCs w:val="20"/>
        </w:rPr>
      </w:pPr>
    </w:p>
    <w:p w:rsidR="00B63001" w:rsidRPr="009A7900" w:rsidRDefault="00B63001" w:rsidP="00B63001">
      <w:pPr>
        <w:widowControl w:val="0"/>
        <w:ind w:left="2880" w:hanging="2880"/>
        <w:jc w:val="both"/>
        <w:rPr>
          <w:sz w:val="20"/>
          <w:szCs w:val="20"/>
        </w:rPr>
      </w:pPr>
      <w:r w:rsidRPr="009A7900">
        <w:rPr>
          <w:sz w:val="20"/>
          <w:szCs w:val="20"/>
        </w:rPr>
        <w:t>Counsel:</w:t>
      </w:r>
      <w:r w:rsidRPr="009A7900">
        <w:rPr>
          <w:sz w:val="20"/>
          <w:szCs w:val="20"/>
        </w:rPr>
        <w:tab/>
        <w:t>David A. Copp, Esq. for the appellant</w:t>
      </w:r>
    </w:p>
    <w:p w:rsidR="00B63001" w:rsidRPr="009A7900" w:rsidRDefault="00B63001" w:rsidP="00B63001">
      <w:pPr>
        <w:widowControl w:val="0"/>
        <w:ind w:left="2880" w:hanging="2880"/>
        <w:jc w:val="both"/>
        <w:rPr>
          <w:sz w:val="20"/>
          <w:szCs w:val="20"/>
        </w:rPr>
      </w:pPr>
      <w:r w:rsidRPr="009A7900">
        <w:rPr>
          <w:sz w:val="20"/>
          <w:szCs w:val="20"/>
        </w:rPr>
        <w:tab/>
        <w:t>John T. Shanks, Esq. for the respondent</w:t>
      </w:r>
    </w:p>
    <w:p w:rsidR="006F66CA" w:rsidRPr="00B63001" w:rsidRDefault="006F66CA" w:rsidP="006F66CA">
      <w:pPr>
        <w:tabs>
          <w:tab w:val="left" w:pos="-1440"/>
          <w:tab w:val="left" w:pos="-720"/>
        </w:tabs>
        <w:jc w:val="both"/>
        <w:rPr>
          <w:sz w:val="20"/>
          <w:szCs w:val="20"/>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20"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r>
        <w:rPr>
          <w:sz w:val="20"/>
          <w:szCs w:val="20"/>
          <w:lang w:val="fr-CA"/>
        </w:rPr>
        <w:br w:type="page"/>
      </w:r>
    </w:p>
    <w:p w:rsidR="00886B69" w:rsidRPr="009C798B" w:rsidRDefault="003F21C7" w:rsidP="00886B69">
      <w:pPr>
        <w:widowControl w:val="0"/>
        <w:ind w:left="720" w:hanging="720"/>
        <w:jc w:val="both"/>
        <w:rPr>
          <w:sz w:val="20"/>
          <w:szCs w:val="20"/>
          <w:lang w:val="fr-CA"/>
        </w:rPr>
      </w:pPr>
      <w:r w:rsidRPr="009C798B">
        <w:rPr>
          <w:b/>
          <w:sz w:val="20"/>
          <w:szCs w:val="20"/>
          <w:lang w:val="fr-CA"/>
        </w:rPr>
        <w:lastRenderedPageBreak/>
        <w:fldChar w:fldCharType="begin"/>
      </w:r>
      <w:r w:rsidR="00886B69" w:rsidRPr="009C798B">
        <w:rPr>
          <w:b/>
          <w:sz w:val="20"/>
          <w:szCs w:val="20"/>
          <w:lang w:val="fr-CA"/>
        </w:rPr>
        <w:instrText xml:space="preserve"> SEQ CHAPTER \h \r 1</w:instrText>
      </w:r>
      <w:r w:rsidRPr="009C798B">
        <w:rPr>
          <w:b/>
          <w:sz w:val="20"/>
          <w:szCs w:val="20"/>
          <w:lang w:val="fr-CA"/>
        </w:rPr>
        <w:fldChar w:fldCharType="end"/>
      </w:r>
      <w:r w:rsidR="00886B69" w:rsidRPr="009C798B">
        <w:rPr>
          <w:b/>
          <w:sz w:val="20"/>
          <w:szCs w:val="20"/>
          <w:lang w:val="fr-CA"/>
        </w:rPr>
        <w:t>34501</w:t>
      </w:r>
      <w:r w:rsidR="00886B69" w:rsidRPr="009C798B">
        <w:rPr>
          <w:sz w:val="20"/>
          <w:szCs w:val="20"/>
          <w:lang w:val="fr-CA"/>
        </w:rPr>
        <w:tab/>
      </w:r>
      <w:r w:rsidR="00886B69" w:rsidRPr="009C798B">
        <w:rPr>
          <w:b/>
          <w:i/>
          <w:sz w:val="20"/>
          <w:szCs w:val="20"/>
          <w:lang w:val="fr-CA"/>
        </w:rPr>
        <w:t>Tissa Amaratunga c. Organisation des pêches de l’Atlantique Nord</w:t>
      </w:r>
      <w:r w:rsidR="00886B69" w:rsidRPr="009C798B">
        <w:rPr>
          <w:b/>
          <w:i/>
          <w:sz w:val="20"/>
          <w:szCs w:val="20"/>
          <w:lang w:val="fr-CA"/>
        </w:rPr>
        <w:noBreakHyphen/>
        <w:t xml:space="preserve">Ouest </w:t>
      </w:r>
    </w:p>
    <w:p w:rsidR="00886B69" w:rsidRPr="009C798B" w:rsidRDefault="00886B69" w:rsidP="00886B69">
      <w:pPr>
        <w:widowControl w:val="0"/>
        <w:jc w:val="both"/>
        <w:rPr>
          <w:sz w:val="20"/>
          <w:szCs w:val="20"/>
          <w:lang w:val="fr-CA"/>
        </w:rPr>
      </w:pPr>
    </w:p>
    <w:p w:rsidR="00886B69" w:rsidRPr="009C798B" w:rsidRDefault="00886B69" w:rsidP="00886B69">
      <w:pPr>
        <w:widowControl w:val="0"/>
        <w:jc w:val="both"/>
        <w:rPr>
          <w:sz w:val="20"/>
          <w:szCs w:val="20"/>
          <w:lang w:val="fr-CA"/>
        </w:rPr>
      </w:pPr>
      <w:r w:rsidRPr="009C798B">
        <w:rPr>
          <w:sz w:val="20"/>
          <w:szCs w:val="20"/>
          <w:lang w:val="fr-CA"/>
        </w:rPr>
        <w:t xml:space="preserve">Droit international public </w:t>
      </w:r>
      <w:r w:rsidRPr="009C798B">
        <w:rPr>
          <w:sz w:val="20"/>
          <w:szCs w:val="20"/>
          <w:lang w:val="fr-CA"/>
        </w:rPr>
        <w:noBreakHyphen/>
        <w:t xml:space="preserve"> Immunité de juridiction </w:t>
      </w:r>
      <w:r w:rsidRPr="009C798B">
        <w:rPr>
          <w:sz w:val="20"/>
          <w:szCs w:val="20"/>
          <w:lang w:val="fr-CA"/>
        </w:rPr>
        <w:noBreakHyphen/>
        <w:t xml:space="preserve"> L’OPANO a dit échapper à la compétence des tribunaux canadiens en ce qui concerne l’action intentée par l’appelant </w:t>
      </w:r>
      <w:r w:rsidRPr="009C798B">
        <w:rPr>
          <w:sz w:val="20"/>
          <w:szCs w:val="20"/>
          <w:lang w:val="fr-CA"/>
        </w:rPr>
        <w:noBreakHyphen/>
        <w:t xml:space="preserve"> Selon la Cour d’appel, les tribunaux de la Nouvelle</w:t>
      </w:r>
      <w:r w:rsidRPr="009C798B">
        <w:rPr>
          <w:sz w:val="20"/>
          <w:szCs w:val="20"/>
          <w:lang w:val="fr-CA"/>
        </w:rPr>
        <w:noBreakHyphen/>
        <w:t xml:space="preserve">Écosse n’avaient pas compétence pour trancher les questions en litige, contrairement à ce qu’a décidé la Cour suprême de cette province </w:t>
      </w:r>
      <w:r w:rsidRPr="009C798B">
        <w:rPr>
          <w:sz w:val="20"/>
          <w:szCs w:val="20"/>
          <w:lang w:val="fr-CA"/>
        </w:rPr>
        <w:noBreakHyphen/>
        <w:t xml:space="preserve"> La Cour d’appel a</w:t>
      </w:r>
      <w:r w:rsidRPr="009C798B">
        <w:rPr>
          <w:sz w:val="20"/>
          <w:szCs w:val="20"/>
          <w:lang w:val="fr-CA"/>
        </w:rPr>
        <w:noBreakHyphen/>
        <w:t>t</w:t>
      </w:r>
      <w:r w:rsidRPr="009C798B">
        <w:rPr>
          <w:sz w:val="20"/>
          <w:szCs w:val="20"/>
          <w:lang w:val="fr-CA"/>
        </w:rPr>
        <w:noBreakHyphen/>
        <w:t xml:space="preserve">elle commis une erreur de droit en interprétant la </w:t>
      </w:r>
      <w:r w:rsidRPr="009C798B">
        <w:rPr>
          <w:i/>
          <w:sz w:val="20"/>
          <w:szCs w:val="20"/>
          <w:lang w:val="fr-CA"/>
        </w:rPr>
        <w:t xml:space="preserve">Loi sur les missions étrangères et les organisations internationales </w:t>
      </w:r>
      <w:r w:rsidRPr="009C798B">
        <w:rPr>
          <w:sz w:val="20"/>
          <w:szCs w:val="20"/>
          <w:lang w:val="fr-CA"/>
        </w:rPr>
        <w:t>(« </w:t>
      </w:r>
      <w:r w:rsidRPr="009C798B">
        <w:rPr>
          <w:i/>
          <w:sz w:val="20"/>
          <w:szCs w:val="20"/>
          <w:lang w:val="fr-CA"/>
        </w:rPr>
        <w:t>LMÉOI </w:t>
      </w:r>
      <w:r w:rsidRPr="009C798B">
        <w:rPr>
          <w:sz w:val="20"/>
          <w:szCs w:val="20"/>
          <w:lang w:val="fr-CA"/>
        </w:rPr>
        <w:t xml:space="preserve">») et le Décret octroyant une immunité à l’OPANO sans tenir compte de la </w:t>
      </w:r>
      <w:r w:rsidRPr="009C798B">
        <w:rPr>
          <w:i/>
          <w:sz w:val="20"/>
          <w:szCs w:val="20"/>
          <w:lang w:val="fr-CA"/>
        </w:rPr>
        <w:t xml:space="preserve">Charte internationale des droits de l’homme </w:t>
      </w:r>
      <w:r w:rsidRPr="009C798B">
        <w:rPr>
          <w:sz w:val="20"/>
          <w:szCs w:val="20"/>
          <w:lang w:val="fr-CA"/>
        </w:rPr>
        <w:t xml:space="preserve">et des obligations du Canada en droit international coutumier? </w:t>
      </w:r>
      <w:r w:rsidRPr="009C798B">
        <w:rPr>
          <w:sz w:val="20"/>
          <w:szCs w:val="20"/>
          <w:lang w:val="fr-CA"/>
        </w:rPr>
        <w:noBreakHyphen/>
        <w:t xml:space="preserve"> La Cour d’appel a</w:t>
      </w:r>
      <w:r w:rsidRPr="009C798B">
        <w:rPr>
          <w:sz w:val="20"/>
          <w:szCs w:val="20"/>
          <w:lang w:val="fr-CA"/>
        </w:rPr>
        <w:noBreakHyphen/>
        <w:t>t</w:t>
      </w:r>
      <w:r w:rsidRPr="009C798B">
        <w:rPr>
          <w:sz w:val="20"/>
          <w:szCs w:val="20"/>
          <w:lang w:val="fr-CA"/>
        </w:rPr>
        <w:noBreakHyphen/>
        <w:t xml:space="preserve">elle commis une erreur de droit en interprétant la </w:t>
      </w:r>
      <w:r w:rsidRPr="009C798B">
        <w:rPr>
          <w:i/>
          <w:sz w:val="20"/>
          <w:szCs w:val="20"/>
          <w:lang w:val="fr-CA"/>
        </w:rPr>
        <w:t xml:space="preserve">LMÉOI </w:t>
      </w:r>
      <w:r w:rsidRPr="009C798B">
        <w:rPr>
          <w:sz w:val="20"/>
          <w:szCs w:val="20"/>
          <w:lang w:val="fr-CA"/>
        </w:rPr>
        <w:t xml:space="preserve">et le Décret octroyant une immunité à l’OPANO sans prendre en considération le principe fondamental de la common law : là où il y a un droit, il y a un recours? </w:t>
      </w:r>
      <w:r w:rsidRPr="009C798B">
        <w:rPr>
          <w:sz w:val="20"/>
          <w:szCs w:val="20"/>
          <w:lang w:val="fr-CA"/>
        </w:rPr>
        <w:noBreakHyphen/>
        <w:t xml:space="preserve"> La Cour d’appel a</w:t>
      </w:r>
      <w:r w:rsidRPr="009C798B">
        <w:rPr>
          <w:sz w:val="20"/>
          <w:szCs w:val="20"/>
          <w:lang w:val="fr-CA"/>
        </w:rPr>
        <w:noBreakHyphen/>
        <w:t>t</w:t>
      </w:r>
      <w:r w:rsidRPr="009C798B">
        <w:rPr>
          <w:sz w:val="20"/>
          <w:szCs w:val="20"/>
          <w:lang w:val="fr-CA"/>
        </w:rPr>
        <w:noBreakHyphen/>
        <w:t xml:space="preserve">elle commis une erreur de droit en donnant une interprétation large au mot « exigent » figurant au par. 3(1) du </w:t>
      </w:r>
      <w:r w:rsidRPr="009C798B">
        <w:rPr>
          <w:i/>
          <w:sz w:val="20"/>
          <w:szCs w:val="20"/>
          <w:lang w:val="fr-CA"/>
        </w:rPr>
        <w:t>Décret octroyant une immunité à l’OPANO</w:t>
      </w:r>
      <w:r w:rsidRPr="009C798B">
        <w:rPr>
          <w:sz w:val="20"/>
          <w:szCs w:val="20"/>
          <w:lang w:val="fr-CA"/>
        </w:rPr>
        <w:t xml:space="preserve">, de manière à accorder l’immunité de juridiction devant le tribunal? </w:t>
      </w:r>
      <w:r w:rsidRPr="009C798B">
        <w:rPr>
          <w:sz w:val="20"/>
          <w:szCs w:val="20"/>
          <w:lang w:val="fr-CA"/>
        </w:rPr>
        <w:noBreakHyphen/>
        <w:t xml:space="preserve"> La Cour d’appel a</w:t>
      </w:r>
      <w:r w:rsidRPr="009C798B">
        <w:rPr>
          <w:sz w:val="20"/>
          <w:szCs w:val="20"/>
          <w:lang w:val="fr-CA"/>
        </w:rPr>
        <w:noBreakHyphen/>
        <w:t>t</w:t>
      </w:r>
      <w:r w:rsidRPr="009C798B">
        <w:rPr>
          <w:sz w:val="20"/>
          <w:szCs w:val="20"/>
          <w:lang w:val="fr-CA"/>
        </w:rPr>
        <w:noBreakHyphen/>
        <w:t xml:space="preserve">elle commis une erreur de droit en jugeant que la conclusion de la cour inférieure, selon laquelle « l’OPANO n’invoque pas le caractère justifié [du congédiement de l’appelant] », était une erreur de fait manifeste et dominante nécessitant l’intervention de la Cour d’appel? </w:t>
      </w:r>
      <w:r w:rsidRPr="009C798B">
        <w:rPr>
          <w:sz w:val="20"/>
          <w:szCs w:val="20"/>
          <w:lang w:val="fr-CA"/>
        </w:rPr>
        <w:noBreakHyphen/>
        <w:t xml:space="preserve"> La Cour d’appel a</w:t>
      </w:r>
      <w:r w:rsidRPr="009C798B">
        <w:rPr>
          <w:sz w:val="20"/>
          <w:szCs w:val="20"/>
          <w:lang w:val="fr-CA"/>
        </w:rPr>
        <w:noBreakHyphen/>
        <w:t>t</w:t>
      </w:r>
      <w:r w:rsidRPr="009C798B">
        <w:rPr>
          <w:sz w:val="20"/>
          <w:szCs w:val="20"/>
          <w:lang w:val="fr-CA"/>
        </w:rPr>
        <w:noBreakHyphen/>
        <w:t xml:space="preserve">elle commis une erreur de droit en affirmant, sans avoir examiné la question ou sans motifs à l’appui, que le Décret octroyant une immunité à l’OPANO mettait cette dernière à l’abri de la compétence du tribunal relativement à la poursuite de l’appelant visant à obtenir le solde de l’indemnité de départ à laquelle il avait explicitement droit en vertu des </w:t>
      </w:r>
      <w:r w:rsidRPr="009C798B">
        <w:rPr>
          <w:i/>
          <w:sz w:val="20"/>
          <w:szCs w:val="20"/>
          <w:lang w:val="fr-CA"/>
        </w:rPr>
        <w:t>Staff Rules</w:t>
      </w:r>
      <w:r w:rsidRPr="009C798B">
        <w:rPr>
          <w:sz w:val="20"/>
          <w:szCs w:val="20"/>
          <w:lang w:val="fr-CA"/>
        </w:rPr>
        <w:t xml:space="preserve"> de l’OPANO ou, subsidiairement, en vertu d’un contrat à la suite de son licenciement?</w:t>
      </w:r>
    </w:p>
    <w:p w:rsidR="00886B69" w:rsidRPr="009C798B" w:rsidRDefault="00886B69" w:rsidP="00886B69">
      <w:pPr>
        <w:widowControl w:val="0"/>
        <w:jc w:val="both"/>
        <w:rPr>
          <w:sz w:val="20"/>
          <w:szCs w:val="20"/>
          <w:lang w:val="fr-CA"/>
        </w:rPr>
      </w:pPr>
    </w:p>
    <w:p w:rsidR="00886B69" w:rsidRPr="009C798B" w:rsidRDefault="00886B69" w:rsidP="00886B69">
      <w:pPr>
        <w:widowControl w:val="0"/>
        <w:jc w:val="both"/>
        <w:rPr>
          <w:sz w:val="20"/>
          <w:szCs w:val="20"/>
          <w:lang w:val="fr-CA"/>
        </w:rPr>
      </w:pPr>
      <w:r w:rsidRPr="009C798B">
        <w:rPr>
          <w:sz w:val="20"/>
          <w:szCs w:val="20"/>
          <w:lang w:val="fr-CA"/>
        </w:rPr>
        <w:t>L’intimée, l’Organisation des pêches de l’Atlantique nord</w:t>
      </w:r>
      <w:r w:rsidRPr="009C798B">
        <w:rPr>
          <w:sz w:val="20"/>
          <w:szCs w:val="20"/>
          <w:lang w:val="fr-CA"/>
        </w:rPr>
        <w:noBreakHyphen/>
        <w:t>ouest (« OPANO »), est un organisme international regroupant 13 signataires qui représentent environ 24 pays, dont le Canada.  Établie à Dartmouth, en Nouvelle</w:t>
      </w:r>
      <w:r w:rsidRPr="009C798B">
        <w:rPr>
          <w:sz w:val="20"/>
          <w:szCs w:val="20"/>
          <w:lang w:val="fr-CA"/>
        </w:rPr>
        <w:noBreakHyphen/>
        <w:t>Écosse, l’OPANO a pour mandat de gérer et de conserver les ressources halieutiques de l’Atlantique nord</w:t>
      </w:r>
      <w:r w:rsidRPr="009C798B">
        <w:rPr>
          <w:sz w:val="20"/>
          <w:szCs w:val="20"/>
          <w:lang w:val="fr-CA"/>
        </w:rPr>
        <w:noBreakHyphen/>
        <w:t>ouest.  L’appelant, Tissa Amaratunga, est entré en fonctions au siège social de l’OPANO en 1988 à titre de cadre supérieur, poste qu’il a occupé jusqu’en juin 2005, au moment de son congédiement.  Il a réagi en intentant une poursuite pour congédiement injustifié en Cour suprême de la Nouvelle</w:t>
      </w:r>
      <w:r w:rsidRPr="009C798B">
        <w:rPr>
          <w:sz w:val="20"/>
          <w:szCs w:val="20"/>
          <w:lang w:val="fr-CA"/>
        </w:rPr>
        <w:noBreakHyphen/>
        <w:t>Écosse.  L’OPANO a invoqué l’immunité dont elle bénéficie en tant qu’organisation internationale et a demandé à la Cour suprême de la Nouvelle</w:t>
      </w:r>
      <w:r w:rsidRPr="009C798B">
        <w:rPr>
          <w:sz w:val="20"/>
          <w:szCs w:val="20"/>
          <w:lang w:val="fr-CA"/>
        </w:rPr>
        <w:noBreakHyphen/>
        <w:t xml:space="preserve">Écosse de se déclarer incompétente pour juger l’affaire.  Son allégation reposait en partie sur un décret accordant une immunité pris par le gouvernement du Canada en application de la </w:t>
      </w:r>
      <w:r w:rsidRPr="009C798B">
        <w:rPr>
          <w:i/>
          <w:sz w:val="20"/>
          <w:szCs w:val="20"/>
          <w:lang w:val="fr-CA"/>
        </w:rPr>
        <w:t>Loi sur les p</w:t>
      </w:r>
      <w:r w:rsidRPr="009C798B">
        <w:rPr>
          <w:i/>
          <w:iCs/>
          <w:sz w:val="20"/>
          <w:szCs w:val="20"/>
          <w:lang w:val="fr-CA"/>
        </w:rPr>
        <w:t>rivilèges et immunités des organisations internationales</w:t>
      </w:r>
      <w:r w:rsidRPr="009C798B">
        <w:rPr>
          <w:sz w:val="20"/>
          <w:szCs w:val="20"/>
          <w:lang w:val="fr-CA"/>
        </w:rPr>
        <w:t>, L.R.C. 1985, ch. P</w:t>
      </w:r>
      <w:r w:rsidRPr="009C798B">
        <w:rPr>
          <w:sz w:val="20"/>
          <w:szCs w:val="20"/>
          <w:lang w:val="fr-CA"/>
        </w:rPr>
        <w:noBreakHyphen/>
        <w:t xml:space="preserve">22.  Cette mesure législative reste en vigueur conformément à la loi qui lui a succédé, la </w:t>
      </w:r>
      <w:r w:rsidRPr="009C798B">
        <w:rPr>
          <w:i/>
          <w:sz w:val="20"/>
          <w:szCs w:val="20"/>
          <w:lang w:val="fr-CA"/>
        </w:rPr>
        <w:t>Loi sur les missions étrangères et les organisations internationales</w:t>
      </w:r>
      <w:r w:rsidRPr="009C798B">
        <w:rPr>
          <w:sz w:val="20"/>
          <w:szCs w:val="20"/>
          <w:lang w:val="fr-CA"/>
        </w:rPr>
        <w:t>, L.C. 1991, ch. 41.  La Cour suprême de la Nouvelle</w:t>
      </w:r>
      <w:r w:rsidRPr="009C798B">
        <w:rPr>
          <w:sz w:val="20"/>
          <w:szCs w:val="20"/>
          <w:lang w:val="fr-CA"/>
        </w:rPr>
        <w:noBreakHyphen/>
        <w:t>Écosse a rejeté la requête de l’OPANO et décidé que l’affaire pouvait être instruite relativement au fond des questions soulevées dans la déclaration.  La Cour d’appel a accueilli l’appel et décidé que la Cour suprême de la Nouvelle</w:t>
      </w:r>
      <w:r w:rsidRPr="009C798B">
        <w:rPr>
          <w:sz w:val="20"/>
          <w:szCs w:val="20"/>
          <w:lang w:val="fr-CA"/>
        </w:rPr>
        <w:noBreakHyphen/>
        <w:t xml:space="preserve">Écosse n’était pas compétente pour juger l’affaire.  </w:t>
      </w:r>
    </w:p>
    <w:p w:rsidR="00886B69" w:rsidRPr="009C798B" w:rsidRDefault="00886B69" w:rsidP="00886B69">
      <w:pPr>
        <w:widowControl w:val="0"/>
        <w:jc w:val="both"/>
        <w:rPr>
          <w:sz w:val="20"/>
          <w:szCs w:val="20"/>
          <w:lang w:val="fr-CA"/>
        </w:rPr>
      </w:pPr>
    </w:p>
    <w:p w:rsidR="00886B69" w:rsidRPr="009C798B" w:rsidRDefault="00886B69" w:rsidP="00886B69">
      <w:pPr>
        <w:widowControl w:val="0"/>
        <w:jc w:val="both"/>
        <w:rPr>
          <w:sz w:val="20"/>
          <w:szCs w:val="20"/>
          <w:lang w:val="fr-CA"/>
        </w:rPr>
      </w:pPr>
    </w:p>
    <w:p w:rsidR="00886B69" w:rsidRPr="009C798B" w:rsidRDefault="00886B69" w:rsidP="00886B69">
      <w:pPr>
        <w:widowControl w:val="0"/>
        <w:ind w:left="2880" w:hanging="2880"/>
        <w:jc w:val="both"/>
        <w:rPr>
          <w:sz w:val="20"/>
          <w:szCs w:val="20"/>
          <w:lang w:val="fr-CA"/>
        </w:rPr>
      </w:pPr>
      <w:r w:rsidRPr="009C798B">
        <w:rPr>
          <w:sz w:val="20"/>
          <w:szCs w:val="20"/>
          <w:lang w:val="fr-CA"/>
        </w:rPr>
        <w:t>Origine :</w:t>
      </w:r>
      <w:r w:rsidRPr="009C798B">
        <w:rPr>
          <w:sz w:val="20"/>
          <w:szCs w:val="20"/>
          <w:lang w:val="fr-CA"/>
        </w:rPr>
        <w:tab/>
        <w:t>Nouvelle</w:t>
      </w:r>
      <w:r w:rsidRPr="009C798B">
        <w:rPr>
          <w:sz w:val="20"/>
          <w:szCs w:val="20"/>
          <w:lang w:val="fr-CA"/>
        </w:rPr>
        <w:noBreakHyphen/>
        <w:t>Écosse</w:t>
      </w:r>
    </w:p>
    <w:p w:rsidR="00886B69" w:rsidRPr="009C798B" w:rsidRDefault="00886B69" w:rsidP="00886B69">
      <w:pPr>
        <w:widowControl w:val="0"/>
        <w:ind w:left="2880" w:hanging="2880"/>
        <w:jc w:val="both"/>
        <w:rPr>
          <w:sz w:val="20"/>
          <w:szCs w:val="20"/>
          <w:lang w:val="fr-CA"/>
        </w:rPr>
      </w:pPr>
    </w:p>
    <w:p w:rsidR="00886B69" w:rsidRPr="009C798B" w:rsidRDefault="00886B69" w:rsidP="00886B69">
      <w:pPr>
        <w:widowControl w:val="0"/>
        <w:ind w:left="2880" w:hanging="2880"/>
        <w:jc w:val="both"/>
        <w:rPr>
          <w:sz w:val="20"/>
          <w:szCs w:val="20"/>
          <w:lang w:val="fr-CA"/>
        </w:rPr>
      </w:pPr>
      <w:r w:rsidRPr="009C798B">
        <w:rPr>
          <w:sz w:val="20"/>
          <w:szCs w:val="20"/>
          <w:lang w:val="fr-CA"/>
        </w:rPr>
        <w:t>N</w:t>
      </w:r>
      <w:r w:rsidRPr="009C798B">
        <w:rPr>
          <w:sz w:val="20"/>
          <w:szCs w:val="20"/>
          <w:vertAlign w:val="superscript"/>
          <w:lang w:val="fr-CA"/>
        </w:rPr>
        <w:t>o</w:t>
      </w:r>
      <w:r w:rsidRPr="009C798B">
        <w:rPr>
          <w:sz w:val="20"/>
          <w:szCs w:val="20"/>
          <w:lang w:val="fr-CA"/>
        </w:rPr>
        <w:t xml:space="preserve"> du greffe :</w:t>
      </w:r>
      <w:r w:rsidRPr="009C798B">
        <w:rPr>
          <w:sz w:val="20"/>
          <w:szCs w:val="20"/>
          <w:lang w:val="fr-CA"/>
        </w:rPr>
        <w:tab/>
        <w:t>34501</w:t>
      </w:r>
    </w:p>
    <w:p w:rsidR="00886B69" w:rsidRPr="009C798B" w:rsidRDefault="00886B69" w:rsidP="00886B69">
      <w:pPr>
        <w:widowControl w:val="0"/>
        <w:ind w:left="2880" w:hanging="2880"/>
        <w:jc w:val="both"/>
        <w:rPr>
          <w:sz w:val="20"/>
          <w:szCs w:val="20"/>
          <w:lang w:val="fr-CA"/>
        </w:rPr>
      </w:pPr>
    </w:p>
    <w:p w:rsidR="00886B69" w:rsidRPr="009C798B" w:rsidRDefault="00886B69" w:rsidP="00886B69">
      <w:pPr>
        <w:widowControl w:val="0"/>
        <w:ind w:left="2880" w:hanging="2880"/>
        <w:jc w:val="both"/>
        <w:rPr>
          <w:sz w:val="20"/>
          <w:szCs w:val="20"/>
          <w:lang w:val="fr-CA"/>
        </w:rPr>
      </w:pPr>
      <w:r w:rsidRPr="009C798B">
        <w:rPr>
          <w:sz w:val="20"/>
          <w:szCs w:val="20"/>
          <w:lang w:val="fr-CA"/>
        </w:rPr>
        <w:t>Arrêt de la Cour d’appel :</w:t>
      </w:r>
      <w:r w:rsidRPr="009C798B">
        <w:rPr>
          <w:sz w:val="20"/>
          <w:szCs w:val="20"/>
          <w:lang w:val="fr-CA"/>
        </w:rPr>
        <w:tab/>
        <w:t>le 23 août 2011</w:t>
      </w:r>
    </w:p>
    <w:p w:rsidR="00886B69" w:rsidRPr="009C798B" w:rsidRDefault="00886B69" w:rsidP="00886B69">
      <w:pPr>
        <w:widowControl w:val="0"/>
        <w:ind w:left="2880" w:hanging="2880"/>
        <w:jc w:val="both"/>
        <w:rPr>
          <w:sz w:val="20"/>
          <w:szCs w:val="20"/>
          <w:lang w:val="fr-CA"/>
        </w:rPr>
      </w:pPr>
    </w:p>
    <w:p w:rsidR="00886B69" w:rsidRPr="009C798B" w:rsidRDefault="00886B69" w:rsidP="00886B69">
      <w:pPr>
        <w:widowControl w:val="0"/>
        <w:ind w:left="2880" w:hanging="2880"/>
        <w:jc w:val="both"/>
        <w:rPr>
          <w:sz w:val="20"/>
          <w:szCs w:val="20"/>
          <w:lang w:val="fr-CA"/>
        </w:rPr>
      </w:pPr>
      <w:r w:rsidRPr="009C798B">
        <w:rPr>
          <w:sz w:val="20"/>
          <w:szCs w:val="20"/>
          <w:lang w:val="fr-CA"/>
        </w:rPr>
        <w:t>Avocats :</w:t>
      </w:r>
      <w:r w:rsidRPr="009C798B">
        <w:rPr>
          <w:sz w:val="20"/>
          <w:szCs w:val="20"/>
          <w:lang w:val="fr-CA"/>
        </w:rPr>
        <w:tab/>
        <w:t>David A. Copp, pour l’appelant</w:t>
      </w:r>
    </w:p>
    <w:p w:rsidR="00886B69" w:rsidRPr="00677406" w:rsidRDefault="00886B69" w:rsidP="00886B69">
      <w:pPr>
        <w:widowControl w:val="0"/>
        <w:ind w:left="2880" w:hanging="2880"/>
        <w:jc w:val="both"/>
        <w:rPr>
          <w:sz w:val="20"/>
          <w:szCs w:val="20"/>
        </w:rPr>
      </w:pPr>
      <w:r w:rsidRPr="009C798B">
        <w:rPr>
          <w:sz w:val="20"/>
          <w:szCs w:val="20"/>
          <w:lang w:val="fr-CA"/>
        </w:rPr>
        <w:tab/>
      </w:r>
      <w:r w:rsidRPr="00677406">
        <w:rPr>
          <w:sz w:val="20"/>
          <w:szCs w:val="20"/>
        </w:rPr>
        <w:t>John T. Shanks, pour l’intimée</w:t>
      </w:r>
    </w:p>
    <w:p w:rsidR="006F66CA" w:rsidRPr="00677406" w:rsidRDefault="006F66CA" w:rsidP="006F66CA">
      <w:pPr>
        <w:tabs>
          <w:tab w:val="left" w:pos="-1440"/>
          <w:tab w:val="left" w:pos="-720"/>
        </w:tabs>
        <w:jc w:val="both"/>
        <w:rPr>
          <w:sz w:val="20"/>
          <w:szCs w:val="20"/>
        </w:rPr>
      </w:pPr>
    </w:p>
    <w:p w:rsidR="006F66CA" w:rsidRDefault="003F21C7" w:rsidP="006F66CA">
      <w:pPr>
        <w:tabs>
          <w:tab w:val="left" w:pos="-1440"/>
          <w:tab w:val="left" w:pos="-720"/>
        </w:tabs>
        <w:jc w:val="both"/>
        <w:rPr>
          <w:sz w:val="20"/>
          <w:szCs w:val="20"/>
          <w:lang w:val="fr-CA"/>
        </w:rPr>
      </w:pPr>
      <w:r w:rsidRPr="003F21C7">
        <w:rPr>
          <w:sz w:val="20"/>
          <w:szCs w:val="20"/>
          <w:lang w:val="fr-CA"/>
        </w:rPr>
        <w:pict>
          <v:rect id="_x0000_i1121" style="width:2in;height:1pt" o:hrpct="0" o:hralign="center" o:hrstd="t" o:hrnoshade="t" o:hr="t" fillcolor="black [3213]" stroked="f"/>
        </w:pict>
      </w:r>
    </w:p>
    <w:p w:rsidR="006F66CA" w:rsidRPr="00DD0B49" w:rsidRDefault="006F66CA" w:rsidP="006F66CA">
      <w:pPr>
        <w:tabs>
          <w:tab w:val="left" w:pos="-1440"/>
          <w:tab w:val="left" w:pos="-720"/>
        </w:tabs>
        <w:jc w:val="both"/>
        <w:rPr>
          <w:sz w:val="20"/>
          <w:szCs w:val="20"/>
          <w:lang w:val="fr-CA"/>
        </w:rPr>
      </w:pPr>
    </w:p>
    <w:p w:rsidR="002935F1" w:rsidRDefault="002935F1">
      <w:pPr>
        <w:rPr>
          <w:sz w:val="20"/>
          <w:szCs w:val="20"/>
          <w:lang w:val="fr-CA"/>
        </w:rPr>
      </w:pPr>
    </w:p>
    <w:p w:rsidR="002935F1" w:rsidRPr="00DD0B49" w:rsidRDefault="002935F1"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66"/>
          <w:footerReference w:type="default" r:id="rId67"/>
          <w:headerReference w:type="first" r:id="rId68"/>
          <w:footerReference w:type="first" r:id="rId69"/>
          <w:pgSz w:w="12240" w:h="15840"/>
          <w:pgMar w:top="720" w:right="965" w:bottom="1080" w:left="1656" w:header="720" w:footer="965" w:gutter="0"/>
          <w:cols w:space="720"/>
          <w:titlePg/>
          <w:docGrid w:linePitch="326"/>
        </w:sectPr>
      </w:pPr>
    </w:p>
    <w:p w:rsidR="00091FA6" w:rsidRPr="002E0C7E" w:rsidRDefault="003F21C7"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5F5E4E">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5F5E4E">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5F5E4E">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5F5E4E">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5F5E4E">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5F5E4E">
            <w:pPr>
              <w:widowControl w:val="0"/>
              <w:jc w:val="center"/>
              <w:rPr>
                <w:rFonts w:ascii="Arial" w:hAnsi="Arial"/>
                <w:sz w:val="14"/>
              </w:rPr>
            </w:pPr>
            <w:r w:rsidRPr="002E0C7E">
              <w:rPr>
                <w:rFonts w:ascii="Arial" w:hAnsi="Arial"/>
                <w:b/>
                <w:sz w:val="14"/>
              </w:rPr>
              <w:t>DECEMBER - DÉCEMBRE</w:t>
            </w:r>
          </w:p>
        </w:tc>
      </w:tr>
      <w:tr w:rsidR="00091FA6" w:rsidRPr="002E0C7E" w:rsidTr="005F5E4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M</w:t>
            </w:r>
          </w:p>
          <w:p w:rsidR="00091FA6" w:rsidRPr="002E0C7E" w:rsidRDefault="00091FA6" w:rsidP="005F5E4E">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W</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F</w:t>
            </w:r>
          </w:p>
          <w:p w:rsidR="00091FA6" w:rsidRPr="002E0C7E" w:rsidRDefault="00091FA6" w:rsidP="005F5E4E">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M</w:t>
            </w:r>
          </w:p>
          <w:p w:rsidR="00091FA6" w:rsidRPr="002E0C7E" w:rsidRDefault="00091FA6" w:rsidP="005F5E4E">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W</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F</w:t>
            </w:r>
          </w:p>
          <w:p w:rsidR="00091FA6" w:rsidRPr="002E0C7E" w:rsidRDefault="00091FA6" w:rsidP="005F5E4E">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M</w:t>
            </w:r>
          </w:p>
          <w:p w:rsidR="00091FA6" w:rsidRPr="002E0C7E" w:rsidRDefault="00091FA6" w:rsidP="005F5E4E">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W</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F</w:t>
            </w:r>
          </w:p>
          <w:p w:rsidR="00091FA6" w:rsidRPr="002E0C7E" w:rsidRDefault="00091FA6" w:rsidP="005F5E4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S</w:t>
            </w:r>
          </w:p>
        </w:tc>
      </w:tr>
      <w:tr w:rsidR="00091FA6" w:rsidRPr="002E0C7E" w:rsidTr="005F5E4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w:t>
            </w:r>
          </w:p>
        </w:tc>
      </w:tr>
      <w:tr w:rsidR="00091FA6" w:rsidRPr="002E0C7E" w:rsidTr="005F5E4E">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5F5E4E">
            <w:pPr>
              <w:widowControl w:val="0"/>
              <w:jc w:val="center"/>
              <w:rPr>
                <w:rFonts w:ascii="Arial" w:hAnsi="Arial"/>
                <w:b/>
                <w:sz w:val="14"/>
              </w:rPr>
            </w:pPr>
            <w:r w:rsidRPr="000C583B">
              <w:rPr>
                <w:rFonts w:ascii="Arial" w:hAnsi="Arial"/>
                <w:b/>
                <w:sz w:val="14"/>
              </w:rPr>
              <w:t>H</w:t>
            </w:r>
          </w:p>
          <w:p w:rsidR="00091FA6" w:rsidRPr="002E0C7E" w:rsidRDefault="00091FA6" w:rsidP="005F5E4E">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5F5E4E">
            <w:pPr>
              <w:widowControl w:val="0"/>
              <w:jc w:val="center"/>
              <w:rPr>
                <w:rFonts w:ascii="Arial" w:hAnsi="Arial"/>
                <w:b/>
                <w:sz w:val="14"/>
              </w:rPr>
            </w:pPr>
            <w:r w:rsidRPr="000C583B">
              <w:rPr>
                <w:rFonts w:ascii="Arial" w:hAnsi="Arial"/>
                <w:b/>
                <w:sz w:val="14"/>
              </w:rPr>
              <w:t>M</w:t>
            </w:r>
          </w:p>
          <w:p w:rsidR="00091FA6" w:rsidRPr="002E0C7E" w:rsidRDefault="00091FA6" w:rsidP="005F5E4E">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b/>
                <w:sz w:val="14"/>
              </w:rPr>
              <w:t>M</w:t>
            </w:r>
          </w:p>
          <w:p w:rsidR="00091FA6" w:rsidRPr="002E0C7E" w:rsidRDefault="00091FA6" w:rsidP="005F5E4E">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b/>
                <w:sz w:val="14"/>
              </w:rPr>
              <w:t>M</w:t>
            </w:r>
          </w:p>
          <w:p w:rsidR="00091FA6" w:rsidRPr="002E0C7E" w:rsidRDefault="00091FA6" w:rsidP="005F5E4E">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8</w:t>
            </w:r>
          </w:p>
        </w:tc>
      </w:tr>
      <w:tr w:rsidR="00091FA6" w:rsidRPr="002E0C7E" w:rsidTr="005F5E4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5F5E4E">
            <w:pPr>
              <w:widowControl w:val="0"/>
              <w:jc w:val="center"/>
              <w:rPr>
                <w:rFonts w:ascii="Arial" w:hAnsi="Arial"/>
                <w:b/>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5F5E4E">
            <w:pPr>
              <w:widowControl w:val="0"/>
              <w:jc w:val="center"/>
              <w:rPr>
                <w:rFonts w:ascii="Arial" w:hAnsi="Arial"/>
                <w:sz w:val="14"/>
              </w:rPr>
            </w:pPr>
            <w:r>
              <w:rPr>
                <w:rFonts w:ascii="Arial" w:hAnsi="Arial"/>
                <w:b/>
                <w:sz w:val="14"/>
              </w:rPr>
              <w:t>H</w:t>
            </w: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5F5E4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5F5E4E">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Pr>
                <w:rFonts w:ascii="Arial" w:hAnsi="Arial"/>
                <w:sz w:val="14"/>
              </w:rPr>
              <w:t>23</w:t>
            </w:r>
          </w:p>
          <w:p w:rsidR="00091FA6" w:rsidRPr="002E0C7E" w:rsidRDefault="00091FA6" w:rsidP="005F5E4E">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Pr>
                <w:rFonts w:ascii="Arial" w:hAnsi="Arial"/>
                <w:sz w:val="14"/>
              </w:rPr>
              <w:t>24</w:t>
            </w:r>
          </w:p>
          <w:p w:rsidR="00091FA6" w:rsidRPr="002E0C7E" w:rsidRDefault="00091FA6" w:rsidP="005F5E4E">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b/>
                <w:sz w:val="14"/>
              </w:rPr>
              <w:t>H</w:t>
            </w: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5F5E4E">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5F5E4E">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5F5E4E">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5F5E4E">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5F5E4E">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5F5E4E">
            <w:pPr>
              <w:widowControl w:val="0"/>
              <w:jc w:val="center"/>
              <w:rPr>
                <w:rFonts w:ascii="Arial" w:hAnsi="Arial"/>
                <w:sz w:val="14"/>
              </w:rPr>
            </w:pPr>
            <w:r w:rsidRPr="002E0C7E">
              <w:rPr>
                <w:rFonts w:ascii="Arial" w:hAnsi="Arial"/>
                <w:b/>
                <w:sz w:val="14"/>
              </w:rPr>
              <w:t>MARCH - MARS</w:t>
            </w:r>
          </w:p>
        </w:tc>
      </w:tr>
      <w:tr w:rsidR="00091FA6" w:rsidRPr="002E0C7E" w:rsidTr="005F5E4E">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M</w:t>
            </w:r>
          </w:p>
          <w:p w:rsidR="00091FA6" w:rsidRPr="002E0C7E" w:rsidRDefault="00091FA6" w:rsidP="005F5E4E">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W</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F</w:t>
            </w:r>
          </w:p>
          <w:p w:rsidR="00091FA6" w:rsidRPr="002E0C7E" w:rsidRDefault="00091FA6" w:rsidP="005F5E4E">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M</w:t>
            </w:r>
          </w:p>
          <w:p w:rsidR="00091FA6" w:rsidRPr="002E0C7E" w:rsidRDefault="00091FA6" w:rsidP="005F5E4E">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W</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F</w:t>
            </w:r>
          </w:p>
          <w:p w:rsidR="00091FA6" w:rsidRPr="002E0C7E" w:rsidRDefault="00091FA6" w:rsidP="005F5E4E">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M</w:t>
            </w:r>
          </w:p>
          <w:p w:rsidR="00091FA6" w:rsidRPr="002E0C7E" w:rsidRDefault="00091FA6" w:rsidP="005F5E4E">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W</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F</w:t>
            </w:r>
          </w:p>
          <w:p w:rsidR="00091FA6" w:rsidRPr="002E0C7E" w:rsidRDefault="00091FA6" w:rsidP="005F5E4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S</w:t>
            </w:r>
          </w:p>
        </w:tc>
      </w:tr>
      <w:tr w:rsidR="00091FA6" w:rsidRPr="002E0C7E" w:rsidTr="005F5E4E">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5F5E4E">
            <w:pPr>
              <w:widowControl w:val="0"/>
              <w:jc w:val="center"/>
              <w:rPr>
                <w:rFonts w:ascii="Arial" w:hAnsi="Arial"/>
                <w:b/>
                <w:sz w:val="14"/>
              </w:rPr>
            </w:pPr>
            <w:r>
              <w:rPr>
                <w:rFonts w:ascii="Arial" w:hAnsi="Arial"/>
                <w:b/>
                <w:sz w:val="14"/>
              </w:rPr>
              <w:t>H</w:t>
            </w:r>
          </w:p>
          <w:p w:rsidR="00091FA6" w:rsidRPr="002E0C7E" w:rsidRDefault="00091FA6" w:rsidP="005F5E4E">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w:t>
            </w:r>
          </w:p>
        </w:tc>
      </w:tr>
      <w:tr w:rsidR="00091FA6" w:rsidRPr="002E0C7E" w:rsidTr="005F5E4E">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9</w:t>
            </w:r>
          </w:p>
        </w:tc>
      </w:tr>
      <w:tr w:rsidR="00091FA6" w:rsidRPr="002E0C7E" w:rsidTr="005F5E4E">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5F5E4E">
            <w:pPr>
              <w:widowControl w:val="0"/>
              <w:jc w:val="center"/>
              <w:rPr>
                <w:rFonts w:ascii="Arial" w:hAnsi="Arial"/>
                <w:b/>
                <w:sz w:val="14"/>
              </w:rPr>
            </w:pPr>
            <w:r>
              <w:rPr>
                <w:rFonts w:ascii="Arial" w:hAnsi="Arial"/>
                <w:b/>
                <w:sz w:val="14"/>
              </w:rPr>
              <w:t>M</w:t>
            </w: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5F5E4E">
            <w:pPr>
              <w:widowControl w:val="0"/>
              <w:jc w:val="center"/>
              <w:rPr>
                <w:rFonts w:ascii="Arial" w:hAnsi="Arial"/>
                <w:b/>
                <w:sz w:val="14"/>
              </w:rPr>
            </w:pPr>
            <w:r>
              <w:rPr>
                <w:rFonts w:ascii="Arial" w:hAnsi="Arial"/>
                <w:b/>
                <w:sz w:val="14"/>
              </w:rPr>
              <w:t>M</w:t>
            </w: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5F5E4E">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5F5E4E">
            <w:pPr>
              <w:widowControl w:val="0"/>
              <w:jc w:val="center"/>
              <w:rPr>
                <w:rFonts w:ascii="Arial" w:hAnsi="Arial"/>
                <w:b/>
                <w:sz w:val="14"/>
              </w:rPr>
            </w:pPr>
            <w:r>
              <w:rPr>
                <w:rFonts w:ascii="Arial" w:hAnsi="Arial"/>
                <w:b/>
                <w:sz w:val="14"/>
              </w:rPr>
              <w:t>M</w:t>
            </w: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5F5E4E">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Pr>
                <w:rFonts w:ascii="Arial" w:hAnsi="Arial"/>
                <w:sz w:val="14"/>
              </w:rPr>
              <w:t>24</w:t>
            </w:r>
          </w:p>
          <w:p w:rsidR="00091FA6" w:rsidRPr="002E0C7E" w:rsidRDefault="00091FA6" w:rsidP="005F5E4E">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5F5E4E">
            <w:pPr>
              <w:widowControl w:val="0"/>
              <w:jc w:val="center"/>
              <w:rPr>
                <w:rFonts w:ascii="Arial" w:hAnsi="Arial"/>
                <w:b/>
                <w:sz w:val="14"/>
              </w:rPr>
            </w:pPr>
            <w:r w:rsidRPr="00261B35">
              <w:rPr>
                <w:rFonts w:ascii="Arial" w:hAnsi="Arial"/>
                <w:b/>
                <w:sz w:val="14"/>
              </w:rPr>
              <w:t>H</w:t>
            </w:r>
          </w:p>
          <w:p w:rsidR="00091FA6" w:rsidRPr="002E0C7E" w:rsidRDefault="00091FA6" w:rsidP="005F5E4E">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5F5E4E">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5F5E4E">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5F5E4E">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5F5E4E">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5F5E4E">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5F5E4E">
            <w:pPr>
              <w:widowControl w:val="0"/>
              <w:jc w:val="center"/>
              <w:rPr>
                <w:rFonts w:ascii="Arial" w:hAnsi="Arial"/>
                <w:sz w:val="14"/>
              </w:rPr>
            </w:pPr>
            <w:r w:rsidRPr="002E0C7E">
              <w:rPr>
                <w:rFonts w:ascii="Arial" w:hAnsi="Arial"/>
                <w:b/>
                <w:sz w:val="14"/>
              </w:rPr>
              <w:t>JUNE - JUIN</w:t>
            </w:r>
          </w:p>
        </w:tc>
      </w:tr>
      <w:tr w:rsidR="00091FA6" w:rsidRPr="002E0C7E" w:rsidTr="005F5E4E">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M</w:t>
            </w:r>
          </w:p>
          <w:p w:rsidR="00091FA6" w:rsidRPr="002E0C7E" w:rsidRDefault="00091FA6" w:rsidP="005F5E4E">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W</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F</w:t>
            </w:r>
          </w:p>
          <w:p w:rsidR="00091FA6" w:rsidRPr="002E0C7E" w:rsidRDefault="00091FA6" w:rsidP="005F5E4E">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M</w:t>
            </w:r>
          </w:p>
          <w:p w:rsidR="00091FA6" w:rsidRPr="002E0C7E" w:rsidRDefault="00091FA6" w:rsidP="005F5E4E">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W</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F</w:t>
            </w:r>
          </w:p>
          <w:p w:rsidR="00091FA6" w:rsidRPr="002E0C7E" w:rsidRDefault="00091FA6" w:rsidP="005F5E4E">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M</w:t>
            </w:r>
          </w:p>
          <w:p w:rsidR="00091FA6" w:rsidRPr="002E0C7E" w:rsidRDefault="00091FA6" w:rsidP="005F5E4E">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W</w:t>
            </w:r>
          </w:p>
          <w:p w:rsidR="00091FA6" w:rsidRPr="002E0C7E" w:rsidRDefault="00091FA6" w:rsidP="005F5E4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T</w:t>
            </w:r>
          </w:p>
          <w:p w:rsidR="00091FA6" w:rsidRPr="002E0C7E" w:rsidRDefault="00091FA6" w:rsidP="005F5E4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F</w:t>
            </w:r>
          </w:p>
          <w:p w:rsidR="00091FA6" w:rsidRPr="002E0C7E" w:rsidRDefault="00091FA6" w:rsidP="005F5E4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sidRPr="002E0C7E">
              <w:rPr>
                <w:rFonts w:ascii="Arial" w:hAnsi="Arial"/>
                <w:sz w:val="14"/>
              </w:rPr>
              <w:t>s</w:t>
            </w:r>
          </w:p>
          <w:p w:rsidR="00091FA6" w:rsidRPr="002E0C7E" w:rsidRDefault="00091FA6" w:rsidP="005F5E4E">
            <w:pPr>
              <w:widowControl w:val="0"/>
              <w:jc w:val="center"/>
              <w:rPr>
                <w:rFonts w:ascii="Arial" w:hAnsi="Arial"/>
                <w:sz w:val="14"/>
              </w:rPr>
            </w:pPr>
            <w:r w:rsidRPr="002E0C7E">
              <w:rPr>
                <w:rFonts w:ascii="Arial" w:hAnsi="Arial"/>
                <w:sz w:val="14"/>
              </w:rPr>
              <w:t>s</w:t>
            </w:r>
          </w:p>
        </w:tc>
      </w:tr>
      <w:tr w:rsidR="00091FA6" w:rsidRPr="002E0C7E" w:rsidTr="005F5E4E">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5F5E4E">
            <w:pPr>
              <w:widowControl w:val="0"/>
              <w:jc w:val="center"/>
              <w:rPr>
                <w:rFonts w:ascii="Arial" w:hAnsi="Arial"/>
                <w:b/>
                <w:sz w:val="14"/>
              </w:rPr>
            </w:pPr>
            <w:r w:rsidRPr="002453E3">
              <w:rPr>
                <w:rFonts w:ascii="Arial" w:hAnsi="Arial"/>
                <w:b/>
                <w:sz w:val="14"/>
              </w:rPr>
              <w:t>H</w:t>
            </w:r>
          </w:p>
          <w:p w:rsidR="00091FA6" w:rsidRPr="002E0C7E" w:rsidRDefault="00091FA6" w:rsidP="005F5E4E">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b/>
                <w:sz w:val="14"/>
              </w:rPr>
            </w:pPr>
          </w:p>
          <w:p w:rsidR="00091FA6" w:rsidRPr="002E0C7E" w:rsidRDefault="00091FA6" w:rsidP="005F5E4E">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w:t>
            </w:r>
          </w:p>
        </w:tc>
      </w:tr>
      <w:tr w:rsidR="00091FA6" w:rsidRPr="002E0C7E" w:rsidTr="005F5E4E">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5F5E4E">
            <w:pPr>
              <w:widowControl w:val="0"/>
              <w:jc w:val="center"/>
              <w:rPr>
                <w:rFonts w:ascii="Arial" w:hAnsi="Arial"/>
                <w:b/>
                <w:sz w:val="14"/>
              </w:rPr>
            </w:pPr>
          </w:p>
          <w:p w:rsidR="00091FA6" w:rsidRPr="002E0C7E" w:rsidRDefault="00091FA6" w:rsidP="005F5E4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8</w:t>
            </w:r>
          </w:p>
        </w:tc>
      </w:tr>
      <w:tr w:rsidR="00091FA6" w:rsidRPr="002E0C7E" w:rsidTr="005F5E4E">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5F5E4E">
            <w:pPr>
              <w:widowControl w:val="0"/>
              <w:jc w:val="center"/>
              <w:rPr>
                <w:rFonts w:ascii="Arial" w:hAnsi="Arial"/>
                <w:b/>
                <w:sz w:val="14"/>
              </w:rPr>
            </w:pPr>
            <w:r w:rsidRPr="00DB5777">
              <w:rPr>
                <w:rFonts w:ascii="Arial" w:hAnsi="Arial"/>
                <w:b/>
                <w:sz w:val="14"/>
              </w:rPr>
              <w:t>M</w:t>
            </w: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5F5E4E">
            <w:pPr>
              <w:widowControl w:val="0"/>
              <w:jc w:val="center"/>
              <w:rPr>
                <w:rFonts w:ascii="Arial" w:hAnsi="Arial"/>
                <w:b/>
                <w:sz w:val="14"/>
              </w:rPr>
            </w:pPr>
            <w:r w:rsidRPr="002453E3">
              <w:rPr>
                <w:rFonts w:ascii="Arial" w:hAnsi="Arial"/>
                <w:b/>
                <w:sz w:val="14"/>
              </w:rPr>
              <w:t>M</w:t>
            </w: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5F5E4E">
            <w:pPr>
              <w:widowControl w:val="0"/>
              <w:jc w:val="center"/>
              <w:rPr>
                <w:rFonts w:ascii="Arial" w:hAnsi="Arial"/>
                <w:b/>
                <w:sz w:val="14"/>
              </w:rPr>
            </w:pPr>
            <w:r w:rsidRPr="006A1E8D">
              <w:rPr>
                <w:rFonts w:ascii="Arial" w:hAnsi="Arial"/>
                <w:b/>
                <w:sz w:val="14"/>
              </w:rPr>
              <w:t>M</w:t>
            </w: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5F5E4E">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5F5E4E">
            <w:pPr>
              <w:widowControl w:val="0"/>
              <w:jc w:val="center"/>
              <w:rPr>
                <w:rFonts w:ascii="Arial" w:hAnsi="Arial"/>
                <w:b/>
                <w:sz w:val="14"/>
              </w:rPr>
            </w:pPr>
            <w:r>
              <w:rPr>
                <w:rFonts w:ascii="Arial" w:hAnsi="Arial"/>
                <w:b/>
                <w:sz w:val="14"/>
              </w:rPr>
              <w:t>H</w:t>
            </w: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5F5E4E">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r>
              <w:rPr>
                <w:rFonts w:ascii="Arial" w:hAnsi="Arial"/>
                <w:sz w:val="14"/>
              </w:rPr>
              <w:t>23</w:t>
            </w:r>
          </w:p>
          <w:p w:rsidR="00091FA6" w:rsidRPr="002E0C7E" w:rsidRDefault="00091FA6" w:rsidP="005F5E4E">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5F5E4E">
            <w:pPr>
              <w:widowControl w:val="0"/>
              <w:jc w:val="center"/>
              <w:rPr>
                <w:rFonts w:ascii="Arial" w:hAnsi="Arial"/>
                <w:sz w:val="14"/>
              </w:rPr>
            </w:pPr>
          </w:p>
          <w:p w:rsidR="00091FA6" w:rsidRPr="002E0C7E" w:rsidRDefault="00091FA6" w:rsidP="005F5E4E">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5F5E4E">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5F5E4E">
            <w:pPr>
              <w:widowControl w:val="0"/>
              <w:rPr>
                <w:rFonts w:ascii="Arial" w:hAnsi="Arial"/>
                <w:sz w:val="16"/>
              </w:rPr>
            </w:pPr>
            <w:r w:rsidRPr="002E0C7E">
              <w:rPr>
                <w:rFonts w:ascii="Arial" w:hAnsi="Arial"/>
                <w:sz w:val="16"/>
              </w:rPr>
              <w:t>Sittings of the court:</w:t>
            </w:r>
          </w:p>
          <w:p w:rsidR="00091FA6" w:rsidRPr="002E0C7E" w:rsidRDefault="00091FA6" w:rsidP="005F5E4E">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5F5E4E">
            <w:pPr>
              <w:widowControl w:val="0"/>
              <w:rPr>
                <w:rFonts w:ascii="Arial" w:hAnsi="Arial"/>
                <w:sz w:val="16"/>
              </w:rPr>
            </w:pPr>
          </w:p>
          <w:p w:rsidR="00091FA6" w:rsidRPr="002E0C7E" w:rsidRDefault="00091FA6" w:rsidP="005F5E4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5F5E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5F5E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5F5E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5F5E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5F5E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5F5E4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5F5E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5F5E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5F5E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5F5E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5F5E4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5F5E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5F5E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5F5E4E">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5F5E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70"/>
      <w:footerReference w:type="default" r:id="rId7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830" w:rsidRDefault="00575830" w:rsidP="00A87207">
      <w:r>
        <w:separator/>
      </w:r>
    </w:p>
  </w:endnote>
  <w:endnote w:type="continuationSeparator" w:id="0">
    <w:p w:rsidR="00575830" w:rsidRDefault="00575830"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pPr>
      <w:pStyle w:val="Footer"/>
      <w:rPr>
        <w:lang w:val="fr-CA"/>
      </w:rPr>
    </w:pPr>
    <w:r w:rsidRPr="003F21C7">
      <w:rPr>
        <w:lang w:val="fr-CA"/>
      </w:rPr>
      <w:pict>
        <v:rect id="_x0000_i1071" style="width:480.95pt;height:1pt" o:hralign="center" o:hrstd="t" o:hrnoshade="t" o:hr="t" fillcolor="black [3213]" stroked="f"/>
      </w:pict>
    </w:r>
  </w:p>
  <w:p w:rsidR="00575830" w:rsidRDefault="00575830" w:rsidP="00245129">
    <w:pPr>
      <w:tabs>
        <w:tab w:val="center" w:pos="4680"/>
      </w:tabs>
    </w:pPr>
    <w:r>
      <w:tab/>
    </w:r>
    <w:r w:rsidRPr="0009648D">
      <w:t xml:space="preserve">- </w:t>
    </w:r>
    <w:fldSimple w:instr=" PAGE   \* MERGEFORMAT ">
      <w:r w:rsidR="00462F49">
        <w:rPr>
          <w:noProof/>
        </w:rPr>
        <w:t>372</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75830"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75830" w:rsidRDefault="00575830">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rsidP="00755F22">
    <w:pPr>
      <w:tabs>
        <w:tab w:val="left" w:pos="-1440"/>
        <w:tab w:val="left" w:pos="-720"/>
      </w:tabs>
    </w:pPr>
    <w:r>
      <w:pict>
        <v:rect id="_x0000_i1076" style="width:480.95pt;height:1pt" o:hralign="center" o:hrstd="t" o:hrnoshade="t" o:hr="t" fillcolor="black [3213]" stroked="f"/>
      </w:pict>
    </w:r>
  </w:p>
  <w:p w:rsidR="00575830" w:rsidRDefault="00575830" w:rsidP="00EB2B90">
    <w:pPr>
      <w:tabs>
        <w:tab w:val="center" w:pos="4680"/>
      </w:tabs>
    </w:pPr>
    <w:r>
      <w:tab/>
      <w:t xml:space="preserve">- </w:t>
    </w:r>
    <w:fldSimple w:instr=" PAGE   \* MERGEFORMAT ">
      <w:r w:rsidR="00462F49">
        <w:rPr>
          <w:noProof/>
        </w:rPr>
        <w:t>402</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rsidP="00EB2B90">
    <w:pPr>
      <w:tabs>
        <w:tab w:val="center" w:pos="4680"/>
      </w:tabs>
    </w:pPr>
    <w:r>
      <w:pict>
        <v:rect id="_x0000_i1077" style="width:480.95pt;height:1pt" o:hralign="center" o:hrstd="t" o:hrnoshade="t" o:hr="t" fillcolor="black [3213]" stroked="f"/>
      </w:pict>
    </w:r>
  </w:p>
  <w:p w:rsidR="00575830" w:rsidRPr="0031432F" w:rsidRDefault="00575830" w:rsidP="00EB2B90">
    <w:pPr>
      <w:tabs>
        <w:tab w:val="center" w:pos="4680"/>
      </w:tabs>
    </w:pPr>
    <w:r>
      <w:tab/>
      <w:t xml:space="preserve">- </w:t>
    </w:r>
    <w:fldSimple w:instr=" PAGE   \* MERGEFORMAT ">
      <w:r w:rsidR="00462F49">
        <w:rPr>
          <w:noProof/>
        </w:rPr>
        <w:t>400</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75830"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75830" w:rsidRDefault="00575830">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F21C7">
      <w:rPr>
        <w:lang w:val="fr-CA"/>
      </w:rPr>
      <w:pict>
        <v:rect id="_x0000_i1079" style="width:480.95pt;height:1pt" o:hralign="center" o:hrstd="t" o:hrnoshade="t" o:hr="t" fillcolor="black [3213]" stroked="f"/>
      </w:pict>
    </w:r>
  </w:p>
  <w:p w:rsidR="00575830" w:rsidRDefault="00575830"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pPr>
      <w:pStyle w:val="Footer"/>
      <w:rPr>
        <w:lang w:val="fr-CA"/>
      </w:rPr>
    </w:pPr>
    <w:r w:rsidRPr="003F21C7">
      <w:rPr>
        <w:lang w:val="fr-CA"/>
      </w:rPr>
      <w:pict>
        <v:rect id="_x0000_i1080" style="width:480.95pt;height:1pt" o:hralign="center" o:hrstd="t" o:hrnoshade="t" o:hr="t" fillcolor="black [3213]" stroked="f"/>
      </w:pict>
    </w:r>
  </w:p>
  <w:p w:rsidR="00575830" w:rsidRDefault="00575830" w:rsidP="00EB2B90">
    <w:pPr>
      <w:tabs>
        <w:tab w:val="center" w:pos="4680"/>
      </w:tabs>
    </w:pPr>
    <w:r>
      <w:tab/>
      <w:t xml:space="preserve">- </w:t>
    </w:r>
    <w:fldSimple w:instr=" PAGE   \* MERGEFORMAT ">
      <w:r w:rsidR="00462F49">
        <w:rPr>
          <w:noProof/>
        </w:rPr>
        <w:t>403</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75830" w:rsidRDefault="005758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75830" w:rsidRDefault="00575830">
    <w:pPr>
      <w:widowControl w:val="0"/>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F21C7">
      <w:rPr>
        <w:lang w:val="fr-CA"/>
      </w:rPr>
      <w:pict>
        <v:rect id="_x0000_i1082" style="width:480.95pt;height:1pt" o:hralign="center" o:hrstd="t" o:hrnoshade="t" o:hr="t" fillcolor="black [3213]" stroked="f"/>
      </w:pict>
    </w:r>
  </w:p>
  <w:p w:rsidR="00575830" w:rsidRDefault="00575830" w:rsidP="00697C62">
    <w:pPr>
      <w:tabs>
        <w:tab w:val="center" w:pos="4680"/>
      </w:tabs>
    </w:pPr>
    <w:r>
      <w:tab/>
      <w:t xml:space="preserve">- </w:t>
    </w:r>
    <w:r w:rsidR="003F21C7" w:rsidRPr="00B74FED">
      <w:rPr>
        <w:szCs w:val="24"/>
      </w:rPr>
      <w:fldChar w:fldCharType="begin"/>
    </w:r>
    <w:r w:rsidRPr="00B74FED">
      <w:rPr>
        <w:szCs w:val="24"/>
      </w:rPr>
      <w:instrText xml:space="preserve"> PAGE   \* MERGEFORMAT </w:instrText>
    </w:r>
    <w:r w:rsidR="003F21C7" w:rsidRPr="00B74FED">
      <w:rPr>
        <w:szCs w:val="24"/>
      </w:rPr>
      <w:fldChar w:fldCharType="separate"/>
    </w:r>
    <w:r>
      <w:rPr>
        <w:noProof/>
        <w:szCs w:val="24"/>
      </w:rPr>
      <w:t>397</w:t>
    </w:r>
    <w:r w:rsidR="003F21C7" w:rsidRPr="00B74FED">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rsidP="00802863">
    <w:pPr>
      <w:widowControl w:val="0"/>
      <w:tabs>
        <w:tab w:val="left" w:pos="-1440"/>
        <w:tab w:val="left" w:pos="-720"/>
      </w:tabs>
    </w:pPr>
    <w:r w:rsidRPr="003F21C7">
      <w:rPr>
        <w:lang w:val="fr-CA"/>
      </w:rPr>
      <w:pict>
        <v:rect id="_x0000_i1083" style="width:480.95pt;height:1pt" o:hralign="center" o:hrstd="t" o:hrnoshade="t" o:hr="t" fillcolor="black [3213]" stroked="f"/>
      </w:pict>
    </w:r>
  </w:p>
  <w:p w:rsidR="00575830" w:rsidRPr="00180897" w:rsidRDefault="00575830" w:rsidP="00697C62">
    <w:pPr>
      <w:tabs>
        <w:tab w:val="center" w:pos="4680"/>
      </w:tabs>
    </w:pPr>
    <w:r>
      <w:tab/>
      <w:t xml:space="preserve">- </w:t>
    </w:r>
    <w:r w:rsidR="003F21C7" w:rsidRPr="00B74FED">
      <w:rPr>
        <w:szCs w:val="24"/>
      </w:rPr>
      <w:fldChar w:fldCharType="begin"/>
    </w:r>
    <w:r w:rsidRPr="00B74FED">
      <w:rPr>
        <w:szCs w:val="24"/>
      </w:rPr>
      <w:instrText xml:space="preserve"> PAGE   \* MERGEFORMAT </w:instrText>
    </w:r>
    <w:r w:rsidR="003F21C7" w:rsidRPr="00B74FED">
      <w:rPr>
        <w:szCs w:val="24"/>
      </w:rPr>
      <w:fldChar w:fldCharType="separate"/>
    </w:r>
    <w:r w:rsidR="00462F49">
      <w:rPr>
        <w:noProof/>
        <w:szCs w:val="24"/>
      </w:rPr>
      <w:t>404</w:t>
    </w:r>
    <w:r w:rsidR="003F21C7" w:rsidRPr="00B74FED">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75830"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75830" w:rsidRDefault="0057583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rsidP="00732DB7">
    <w:r>
      <w:pict>
        <v:rect id="_x0000_i1086" style="width:480.95pt;height:1pt" o:hralign="center" o:hrstd="t" o:hrnoshade="t" o:hr="t" fillcolor="black" stroked="f"/>
      </w:pict>
    </w:r>
  </w:p>
  <w:p w:rsidR="00575830" w:rsidRDefault="00575830">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pPr>
      <w:pStyle w:val="Footer"/>
    </w:pPr>
    <w:r>
      <w:pict>
        <v:rect id="_x0000_i1087" style="width:480.95pt;height:1pt" o:hralign="center" o:hrstd="t" o:hrnoshade="t" o:hr="t" fillcolor="black [3213]" stroked="f"/>
      </w:pict>
    </w:r>
  </w:p>
  <w:p w:rsidR="00575830" w:rsidRPr="003C2C0F" w:rsidRDefault="00575830" w:rsidP="00697C62">
    <w:pPr>
      <w:tabs>
        <w:tab w:val="center" w:pos="4680"/>
      </w:tabs>
    </w:pPr>
    <w:r>
      <w:tab/>
      <w:t xml:space="preserve">- </w:t>
    </w:r>
    <w:fldSimple w:instr=" PAGE   \* MERGEFORMAT ">
      <w:r w:rsidR="00462F49">
        <w:rPr>
          <w:noProof/>
        </w:rPr>
        <w:t>405</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75830"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75830" w:rsidRDefault="00575830">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75830" w:rsidRDefault="003F2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2" style="width:480.95pt;height:1pt" o:hralign="center" o:hrstd="t" o:hrnoshade="t" o:hr="t" fillcolor="black [3213]" stroked="f"/>
      </w:pict>
    </w:r>
  </w:p>
  <w:p w:rsidR="00575830" w:rsidRDefault="00575830" w:rsidP="00782AE4">
    <w:pPr>
      <w:tabs>
        <w:tab w:val="center" w:pos="4680"/>
      </w:tabs>
    </w:pPr>
    <w:r>
      <w:tab/>
      <w:t xml:space="preserve">- </w:t>
    </w:r>
    <w:r w:rsidR="003F21C7" w:rsidRPr="001775C1">
      <w:rPr>
        <w:szCs w:val="24"/>
      </w:rPr>
      <w:fldChar w:fldCharType="begin"/>
    </w:r>
    <w:r w:rsidRPr="001775C1">
      <w:rPr>
        <w:szCs w:val="24"/>
      </w:rPr>
      <w:instrText xml:space="preserve"> PAGE   \* MERGEFORMAT </w:instrText>
    </w:r>
    <w:r w:rsidR="003F21C7" w:rsidRPr="001775C1">
      <w:rPr>
        <w:szCs w:val="24"/>
      </w:rPr>
      <w:fldChar w:fldCharType="separate"/>
    </w:r>
    <w:r w:rsidR="00462F49">
      <w:rPr>
        <w:noProof/>
        <w:szCs w:val="24"/>
      </w:rPr>
      <w:t>421</w:t>
    </w:r>
    <w:r w:rsidR="003F21C7"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rsidP="00782AE4">
    <w:pPr>
      <w:tabs>
        <w:tab w:val="center" w:pos="4680"/>
      </w:tabs>
    </w:pPr>
    <w:r>
      <w:pict>
        <v:rect id="_x0000_i1093" style="width:480.95pt;height:1pt" o:hralign="center" o:hrstd="t" o:hrnoshade="t" o:hr="t" fillcolor="black [3213]" stroked="f"/>
      </w:pict>
    </w:r>
  </w:p>
  <w:p w:rsidR="00575830" w:rsidRDefault="00575830" w:rsidP="00782AE4">
    <w:pPr>
      <w:tabs>
        <w:tab w:val="center" w:pos="4680"/>
      </w:tabs>
    </w:pPr>
    <w:r>
      <w:tab/>
      <w:t xml:space="preserve">- </w:t>
    </w:r>
    <w:r w:rsidR="003F21C7" w:rsidRPr="001775C1">
      <w:rPr>
        <w:szCs w:val="24"/>
      </w:rPr>
      <w:fldChar w:fldCharType="begin"/>
    </w:r>
    <w:r w:rsidRPr="001775C1">
      <w:rPr>
        <w:szCs w:val="24"/>
      </w:rPr>
      <w:instrText xml:space="preserve"> PAGE   \* MERGEFORMAT </w:instrText>
    </w:r>
    <w:r w:rsidR="003F21C7" w:rsidRPr="001775C1">
      <w:rPr>
        <w:szCs w:val="24"/>
      </w:rPr>
      <w:fldChar w:fldCharType="separate"/>
    </w:r>
    <w:r w:rsidR="00462F49">
      <w:rPr>
        <w:noProof/>
        <w:szCs w:val="24"/>
      </w:rPr>
      <w:t>406</w:t>
    </w:r>
    <w:r w:rsidR="003F21C7"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575830" w:rsidRDefault="0057583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575830" w:rsidRDefault="00575830">
    <w:pPr>
      <w:tabs>
        <w:tab w:val="center" w:pos="4740"/>
      </w:tabs>
    </w:pPr>
    <w:r>
      <w:tab/>
      <w:t xml:space="preserve">- </w:t>
    </w:r>
    <w:r>
      <w:pgNum/>
    </w: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rsidP="0022323B">
    <w:r>
      <w:pict>
        <v:rect id="_x0000_i1096" style="width:480.95pt;height:1pt" o:hralign="center" o:hrstd="t" o:hrnoshade="t" o:hr="t" fillcolor="black [3213]" stroked="f"/>
      </w:pict>
    </w:r>
  </w:p>
  <w:p w:rsidR="00575830" w:rsidRDefault="00575830">
    <w:pPr>
      <w:tabs>
        <w:tab w:val="center" w:pos="4740"/>
      </w:tabs>
      <w:spacing w:line="0" w:lineRule="atLeast"/>
    </w:pPr>
    <w:r>
      <w:tab/>
      <w:t xml:space="preserve">- </w:t>
    </w:r>
    <w:fldSimple w:instr=" PAGE   \* MERGEFORMAT ">
      <w:r>
        <w:rPr>
          <w:noProof/>
        </w:rPr>
        <w:t>413</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rsidP="0022323B">
    <w:r>
      <w:pict>
        <v:rect id="_x0000_i1097" style="width:480.95pt;height:1pt" o:hralign="center" o:hrstd="t" o:hrnoshade="t" o:hr="t" fillcolor="black [3213]" stroked="f"/>
      </w:pict>
    </w:r>
  </w:p>
  <w:p w:rsidR="00575830" w:rsidRDefault="00575830" w:rsidP="0022323B">
    <w:pPr>
      <w:tabs>
        <w:tab w:val="center" w:pos="4740"/>
      </w:tabs>
      <w:spacing w:line="0" w:lineRule="atLeast"/>
    </w:pPr>
    <w:r>
      <w:tab/>
      <w:t xml:space="preserve">- </w:t>
    </w:r>
    <w:fldSimple w:instr=" PAGE   \* MERGEFORMAT ">
      <w:r w:rsidR="00462F49">
        <w:rPr>
          <w:noProof/>
        </w:rPr>
        <w:t>422</w:t>
      </w:r>
    </w:fldSimple>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rsidP="0022323B">
    <w:r>
      <w:pict>
        <v:rect id="_x0000_i1122" style="width:480.95pt;height:1pt" o:hralign="center" o:hrstd="t" o:hrnoshade="t" o:hr="t" fillcolor="black [3213]" stroked="f"/>
      </w:pict>
    </w:r>
  </w:p>
  <w:p w:rsidR="00575830" w:rsidRDefault="00575830">
    <w:pPr>
      <w:tabs>
        <w:tab w:val="center" w:pos="4740"/>
      </w:tabs>
      <w:spacing w:line="0" w:lineRule="atLeast"/>
    </w:pPr>
    <w:r>
      <w:tab/>
      <w:t xml:space="preserve">- </w:t>
    </w:r>
    <w:fldSimple w:instr=" PAGE   \* MERGEFORMAT ">
      <w:r w:rsidR="00462F49">
        <w:rPr>
          <w:noProof/>
        </w:rPr>
        <w:t>445</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rsidP="0022323B">
    <w:r>
      <w:pict>
        <v:rect id="_x0000_i1123" style="width:480.95pt;height:1pt" o:hralign="center" o:hrstd="t" o:hrnoshade="t" o:hr="t" fillcolor="black [3213]" stroked="f"/>
      </w:pict>
    </w:r>
  </w:p>
  <w:p w:rsidR="00575830" w:rsidRDefault="00575830" w:rsidP="0022323B">
    <w:pPr>
      <w:tabs>
        <w:tab w:val="center" w:pos="4740"/>
      </w:tabs>
      <w:spacing w:line="0" w:lineRule="atLeast"/>
    </w:pPr>
    <w:r>
      <w:tab/>
      <w:t xml:space="preserve">- </w:t>
    </w:r>
    <w:fldSimple w:instr=" PAGE   \* MERGEFORMAT ">
      <w:r w:rsidR="00462F49">
        <w:rPr>
          <w:noProof/>
        </w:rPr>
        <w:t>423</w:t>
      </w:r>
    </w:fldSimple>
    <w: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Pr="00924065" w:rsidRDefault="00575830" w:rsidP="00924065">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rsidP="00A87207">
    <w:pPr>
      <w:pStyle w:val="Footer"/>
    </w:pPr>
    <w:r>
      <w:pict>
        <v:rect id="_x0000_i1035" style="width:480.95pt;height:1pt" o:hralign="center" o:hrstd="t" o:hrnoshade="t" o:hr="t" fillcolor="black [3213]" stroked="f"/>
      </w:pict>
    </w:r>
  </w:p>
  <w:p w:rsidR="00575830" w:rsidRPr="00B7374B" w:rsidRDefault="00575830" w:rsidP="00B7374B">
    <w:pPr>
      <w:tabs>
        <w:tab w:val="center" w:pos="4680"/>
      </w:tabs>
      <w:rPr>
        <w:szCs w:val="24"/>
      </w:rPr>
    </w:pPr>
    <w:r w:rsidRPr="00954D22">
      <w:rPr>
        <w:szCs w:val="24"/>
      </w:rPr>
      <w:tab/>
      <w:t xml:space="preserve">- </w:t>
    </w:r>
    <w:r w:rsidR="003F21C7" w:rsidRPr="00954D22">
      <w:rPr>
        <w:szCs w:val="24"/>
      </w:rPr>
      <w:fldChar w:fldCharType="begin"/>
    </w:r>
    <w:r w:rsidRPr="00954D22">
      <w:rPr>
        <w:szCs w:val="24"/>
      </w:rPr>
      <w:instrText xml:space="preserve"> PAGE   \* MERGEFORMAT </w:instrText>
    </w:r>
    <w:r w:rsidR="003F21C7" w:rsidRPr="00954D22">
      <w:rPr>
        <w:szCs w:val="24"/>
      </w:rPr>
      <w:fldChar w:fldCharType="separate"/>
    </w:r>
    <w:r w:rsidR="00462F49">
      <w:rPr>
        <w:noProof/>
        <w:szCs w:val="24"/>
      </w:rPr>
      <w:t>370</w:t>
    </w:r>
    <w:r w:rsidR="003F21C7"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rsidP="00755F22">
    <w:pPr>
      <w:tabs>
        <w:tab w:val="left" w:pos="-1440"/>
        <w:tab w:val="left" w:pos="-720"/>
      </w:tabs>
    </w:pPr>
    <w:r>
      <w:pict>
        <v:rect id="_x0000_i1036" style="width:480.95pt;height:1pt" o:hralign="center" o:hrstd="t" o:hrnoshade="t" o:hr="t" fillcolor="black [3213]" stroked="f"/>
      </w:pict>
    </w:r>
  </w:p>
  <w:p w:rsidR="00575830" w:rsidRPr="00954D22" w:rsidRDefault="00575830" w:rsidP="00B7374B">
    <w:pPr>
      <w:tabs>
        <w:tab w:val="center" w:pos="4680"/>
      </w:tabs>
      <w:rPr>
        <w:szCs w:val="24"/>
      </w:rPr>
    </w:pPr>
    <w:r w:rsidRPr="00954D22">
      <w:rPr>
        <w:szCs w:val="24"/>
      </w:rPr>
      <w:tab/>
      <w:t xml:space="preserve">- </w:t>
    </w:r>
    <w:r w:rsidR="003F21C7">
      <w:rPr>
        <w:szCs w:val="24"/>
      </w:rPr>
      <w:fldChar w:fldCharType="begin"/>
    </w:r>
    <w:r>
      <w:rPr>
        <w:szCs w:val="24"/>
      </w:rPr>
      <w:instrText xml:space="preserve"> PAGE   \* MERGEFORMAT </w:instrText>
    </w:r>
    <w:r w:rsidR="003F21C7">
      <w:rPr>
        <w:szCs w:val="24"/>
      </w:rPr>
      <w:fldChar w:fldCharType="separate"/>
    </w:r>
    <w:r w:rsidR="00462F49">
      <w:rPr>
        <w:noProof/>
        <w:szCs w:val="24"/>
      </w:rPr>
      <w:t>369</w:t>
    </w:r>
    <w:r w:rsidR="003F21C7">
      <w:rPr>
        <w:szCs w:val="24"/>
      </w:rPr>
      <w:fldChar w:fldCharType="end"/>
    </w:r>
    <w:r w:rsidRPr="00954D22">
      <w:rPr>
        <w:szCs w:val="24"/>
      </w:rPr>
      <w:t xml:space="preserve"> -</w:t>
    </w:r>
  </w:p>
  <w:p w:rsidR="00575830" w:rsidRDefault="0057583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rsidP="00A87207">
    <w:pPr>
      <w:pStyle w:val="Footer"/>
    </w:pPr>
    <w:r>
      <w:pict>
        <v:rect id="_x0000_i1038" style="width:480.95pt;height:1pt" o:hralign="center" o:hrstd="t" o:hrnoshade="t" o:hr="t" fillcolor="black [3213]" stroked="f"/>
      </w:pict>
    </w:r>
  </w:p>
  <w:p w:rsidR="00575830" w:rsidRPr="00B7374B" w:rsidRDefault="00575830" w:rsidP="00B7374B">
    <w:pPr>
      <w:tabs>
        <w:tab w:val="center" w:pos="4680"/>
      </w:tabs>
      <w:rPr>
        <w:szCs w:val="24"/>
      </w:rPr>
    </w:pPr>
    <w:r w:rsidRPr="00954D22">
      <w:rPr>
        <w:szCs w:val="24"/>
      </w:rPr>
      <w:tab/>
      <w:t xml:space="preserve">- </w:t>
    </w:r>
    <w:r w:rsidR="003F21C7" w:rsidRPr="00954D22">
      <w:rPr>
        <w:szCs w:val="24"/>
      </w:rPr>
      <w:fldChar w:fldCharType="begin"/>
    </w:r>
    <w:r w:rsidRPr="00954D22">
      <w:rPr>
        <w:szCs w:val="24"/>
      </w:rPr>
      <w:instrText xml:space="preserve"> PAGE   \* MERGEFORMAT </w:instrText>
    </w:r>
    <w:r w:rsidR="003F21C7" w:rsidRPr="00954D22">
      <w:rPr>
        <w:szCs w:val="24"/>
      </w:rPr>
      <w:fldChar w:fldCharType="separate"/>
    </w:r>
    <w:r>
      <w:rPr>
        <w:noProof/>
        <w:szCs w:val="24"/>
      </w:rPr>
      <w:t>372</w:t>
    </w:r>
    <w:r w:rsidR="003F21C7"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575830" w:rsidRPr="00954D22" w:rsidRDefault="00575830" w:rsidP="00B7374B">
    <w:pPr>
      <w:tabs>
        <w:tab w:val="center" w:pos="4680"/>
      </w:tabs>
      <w:rPr>
        <w:szCs w:val="24"/>
      </w:rPr>
    </w:pPr>
    <w:r w:rsidRPr="00954D22">
      <w:rPr>
        <w:szCs w:val="24"/>
      </w:rPr>
      <w:tab/>
      <w:t xml:space="preserve">- </w:t>
    </w:r>
    <w:r w:rsidR="003F21C7" w:rsidRPr="00954D22">
      <w:rPr>
        <w:szCs w:val="24"/>
      </w:rPr>
      <w:fldChar w:fldCharType="begin"/>
    </w:r>
    <w:r w:rsidRPr="00954D22">
      <w:rPr>
        <w:szCs w:val="24"/>
      </w:rPr>
      <w:instrText xml:space="preserve"> PAGE   \* MERGEFORMAT </w:instrText>
    </w:r>
    <w:r w:rsidR="003F21C7" w:rsidRPr="00954D22">
      <w:rPr>
        <w:szCs w:val="24"/>
      </w:rPr>
      <w:fldChar w:fldCharType="separate"/>
    </w:r>
    <w:r w:rsidR="00462F49">
      <w:rPr>
        <w:noProof/>
        <w:szCs w:val="24"/>
      </w:rPr>
      <w:t>371</w:t>
    </w:r>
    <w:r w:rsidR="003F21C7"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75830"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75830" w:rsidRDefault="00575830">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3F2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F21C7">
      <w:rPr>
        <w:lang w:val="fr-CA"/>
      </w:rPr>
      <w:pict>
        <v:rect id="_x0000_i1070" style="width:480.95pt;height:1pt" o:hralign="center" o:hrstd="t" o:hrnoshade="t" o:hr="t" fillcolor="black [3213]" stroked="f"/>
      </w:pict>
    </w:r>
  </w:p>
  <w:p w:rsidR="00575830" w:rsidRPr="0009648D" w:rsidRDefault="00575830" w:rsidP="00ED7E83">
    <w:pPr>
      <w:tabs>
        <w:tab w:val="center" w:pos="4680"/>
      </w:tabs>
    </w:pPr>
    <w:r>
      <w:tab/>
    </w:r>
    <w:r w:rsidRPr="0009648D">
      <w:t xml:space="preserve">- </w:t>
    </w:r>
    <w:fldSimple w:instr=" PAGE   \* MERGEFORMAT ">
      <w:r w:rsidR="00462F49">
        <w:rPr>
          <w:noProof/>
        </w:rPr>
        <w:t>399</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830" w:rsidRDefault="00575830" w:rsidP="00A87207">
      <w:r>
        <w:separator/>
      </w:r>
    </w:p>
  </w:footnote>
  <w:footnote w:type="continuationSeparator" w:id="0">
    <w:p w:rsidR="00575830" w:rsidRDefault="00575830"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575830">
      <w:tc>
        <w:tcPr>
          <w:tcW w:w="4230" w:type="dxa"/>
          <w:tcMar>
            <w:left w:w="0" w:type="dxa"/>
            <w:right w:w="0" w:type="dxa"/>
          </w:tcMar>
        </w:tcPr>
        <w:p w:rsidR="00575830"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75830" w:rsidRDefault="0057583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75830" w:rsidRDefault="0057583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75830">
      <w:trPr>
        <w:gridAfter w:val="2"/>
        <w:wAfter w:w="5250" w:type="dxa"/>
      </w:trPr>
      <w:tc>
        <w:tcPr>
          <w:tcW w:w="4230" w:type="dxa"/>
          <w:tcMar>
            <w:left w:w="0" w:type="dxa"/>
            <w:right w:w="0" w:type="dxa"/>
          </w:tcMar>
        </w:tcPr>
        <w:p w:rsidR="00575830"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75830"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575830" w:rsidRPr="00755F22" w:rsidTr="00245129">
      <w:tc>
        <w:tcPr>
          <w:tcW w:w="4230" w:type="dxa"/>
          <w:tcMar>
            <w:left w:w="0" w:type="dxa"/>
            <w:right w:w="0" w:type="dxa"/>
          </w:tcMar>
        </w:tcPr>
        <w:p w:rsidR="00575830" w:rsidRPr="00755F22" w:rsidRDefault="00575830" w:rsidP="00831CA9">
          <w:pPr>
            <w:keepNext/>
            <w:keepLines/>
            <w:rPr>
              <w:sz w:val="20"/>
              <w:szCs w:val="20"/>
            </w:rPr>
          </w:pPr>
          <w:r w:rsidRPr="00755F22">
            <w:rPr>
              <w:sz w:val="20"/>
              <w:szCs w:val="20"/>
            </w:rPr>
            <w:t>MOTIONS</w:t>
          </w:r>
        </w:p>
      </w:tc>
      <w:tc>
        <w:tcPr>
          <w:tcW w:w="1170" w:type="dxa"/>
          <w:tcMar>
            <w:left w:w="0" w:type="dxa"/>
            <w:right w:w="0" w:type="dxa"/>
          </w:tcMar>
        </w:tcPr>
        <w:p w:rsidR="00575830" w:rsidRPr="00755F22" w:rsidRDefault="00575830" w:rsidP="00831CA9">
          <w:pPr>
            <w:keepLines/>
            <w:jc w:val="center"/>
            <w:rPr>
              <w:sz w:val="20"/>
              <w:szCs w:val="20"/>
            </w:rPr>
          </w:pPr>
        </w:p>
        <w:p w:rsidR="00575830" w:rsidRPr="00755F22" w:rsidRDefault="00575830" w:rsidP="00831CA9">
          <w:pPr>
            <w:keepLines/>
            <w:tabs>
              <w:tab w:val="left" w:pos="-1440"/>
              <w:tab w:val="left" w:pos="-720"/>
            </w:tabs>
            <w:jc w:val="center"/>
            <w:rPr>
              <w:sz w:val="20"/>
              <w:szCs w:val="20"/>
            </w:rPr>
          </w:pPr>
        </w:p>
      </w:tc>
      <w:tc>
        <w:tcPr>
          <w:tcW w:w="4080" w:type="dxa"/>
          <w:tcMar>
            <w:left w:w="0" w:type="dxa"/>
            <w:right w:w="0" w:type="dxa"/>
          </w:tcMar>
        </w:tcPr>
        <w:p w:rsidR="00575830" w:rsidRPr="00BA6468" w:rsidRDefault="00575830" w:rsidP="00BA6468">
          <w:pPr>
            <w:keepLines/>
            <w:rPr>
              <w:sz w:val="20"/>
              <w:szCs w:val="20"/>
              <w:lang w:val="fr-CA"/>
            </w:rPr>
          </w:pPr>
          <w:r w:rsidRPr="00BA6468">
            <w:rPr>
              <w:sz w:val="20"/>
              <w:szCs w:val="20"/>
              <w:lang w:val="fr-CA"/>
            </w:rPr>
            <w:t>REQUÊTES</w:t>
          </w:r>
        </w:p>
      </w:tc>
    </w:tr>
  </w:tbl>
  <w:p w:rsidR="00575830" w:rsidRDefault="00575830"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75830" w:rsidRPr="00CB72E7">
      <w:tc>
        <w:tcPr>
          <w:tcW w:w="4200" w:type="dxa"/>
          <w:tcMar>
            <w:left w:w="0" w:type="dxa"/>
            <w:right w:w="0" w:type="dxa"/>
          </w:tcMar>
        </w:tcPr>
        <w:p w:rsidR="00575830"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75830"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75830" w:rsidRPr="00B01A03" w:rsidRDefault="0057583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75830" w:rsidRPr="00B01A03"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75830" w:rsidRPr="00B01A03"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575830" w:rsidRPr="00CB72E7" w:rsidTr="00245129">
      <w:tc>
        <w:tcPr>
          <w:tcW w:w="4200" w:type="dxa"/>
          <w:tcMar>
            <w:left w:w="0" w:type="dxa"/>
            <w:right w:w="0" w:type="dxa"/>
          </w:tcMar>
        </w:tcPr>
        <w:p w:rsidR="00575830" w:rsidRPr="00F40249" w:rsidRDefault="00575830"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75830" w:rsidRDefault="00575830" w:rsidP="00102926">
          <w:pPr>
            <w:keepNext/>
            <w:keepLines/>
            <w:tabs>
              <w:tab w:val="left" w:pos="-1440"/>
              <w:tab w:val="left" w:pos="-720"/>
            </w:tabs>
            <w:jc w:val="center"/>
            <w:rPr>
              <w:sz w:val="20"/>
              <w:szCs w:val="20"/>
            </w:rPr>
          </w:pPr>
        </w:p>
        <w:p w:rsidR="00575830" w:rsidRDefault="00575830" w:rsidP="00102926">
          <w:pPr>
            <w:keepNext/>
            <w:keepLines/>
            <w:tabs>
              <w:tab w:val="left" w:pos="-1440"/>
              <w:tab w:val="left" w:pos="-720"/>
            </w:tabs>
            <w:jc w:val="center"/>
            <w:rPr>
              <w:sz w:val="20"/>
              <w:szCs w:val="20"/>
            </w:rPr>
          </w:pPr>
        </w:p>
        <w:p w:rsidR="00575830" w:rsidRPr="00F40249" w:rsidRDefault="00575830" w:rsidP="00102926">
          <w:pPr>
            <w:keepNext/>
            <w:keepLines/>
            <w:tabs>
              <w:tab w:val="left" w:pos="-1440"/>
              <w:tab w:val="left" w:pos="-720"/>
            </w:tabs>
            <w:jc w:val="center"/>
            <w:rPr>
              <w:sz w:val="20"/>
              <w:szCs w:val="20"/>
            </w:rPr>
          </w:pPr>
        </w:p>
      </w:tc>
      <w:tc>
        <w:tcPr>
          <w:tcW w:w="4230" w:type="dxa"/>
          <w:tcMar>
            <w:left w:w="0" w:type="dxa"/>
            <w:right w:w="0" w:type="dxa"/>
          </w:tcMar>
        </w:tcPr>
        <w:p w:rsidR="00575830" w:rsidRPr="00F40249" w:rsidRDefault="00575830"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75830" w:rsidRPr="00B01A03" w:rsidRDefault="00575830"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75830" w:rsidRPr="00CB72E7">
      <w:tc>
        <w:tcPr>
          <w:tcW w:w="4200" w:type="dxa"/>
          <w:tcMar>
            <w:left w:w="0" w:type="dxa"/>
            <w:right w:w="0" w:type="dxa"/>
          </w:tcMar>
        </w:tcPr>
        <w:p w:rsidR="00575830" w:rsidRDefault="0057583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575830" w:rsidRDefault="0057583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575830" w:rsidRDefault="0057583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75830" w:rsidRPr="009256DC" w:rsidRDefault="00575830">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575830" w:rsidRPr="009256DC" w:rsidRDefault="005758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75830" w:rsidRPr="009256DC" w:rsidRDefault="005758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75830" w:rsidRPr="00CB72E7" w:rsidTr="00245129">
      <w:tc>
        <w:tcPr>
          <w:tcW w:w="4200" w:type="dxa"/>
          <w:tcMar>
            <w:left w:w="0" w:type="dxa"/>
            <w:right w:w="0" w:type="dxa"/>
          </w:tcMar>
        </w:tcPr>
        <w:p w:rsidR="00575830" w:rsidRPr="00802863" w:rsidRDefault="00575830"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575830" w:rsidRPr="00802863" w:rsidRDefault="00575830" w:rsidP="00802863">
          <w:pPr>
            <w:keepNext/>
            <w:keepLines/>
            <w:widowControl w:val="0"/>
            <w:tabs>
              <w:tab w:val="left" w:pos="-1440"/>
              <w:tab w:val="left" w:pos="-720"/>
            </w:tabs>
            <w:jc w:val="center"/>
            <w:rPr>
              <w:sz w:val="20"/>
              <w:szCs w:val="20"/>
            </w:rPr>
          </w:pPr>
        </w:p>
        <w:p w:rsidR="00575830" w:rsidRPr="00802863" w:rsidRDefault="00575830" w:rsidP="00802863">
          <w:pPr>
            <w:keepNext/>
            <w:keepLines/>
            <w:widowControl w:val="0"/>
            <w:tabs>
              <w:tab w:val="left" w:pos="-1440"/>
              <w:tab w:val="left" w:pos="-720"/>
            </w:tabs>
            <w:jc w:val="center"/>
            <w:rPr>
              <w:sz w:val="20"/>
              <w:szCs w:val="20"/>
            </w:rPr>
          </w:pPr>
        </w:p>
        <w:p w:rsidR="00575830" w:rsidRPr="00802863" w:rsidRDefault="00575830"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575830" w:rsidRPr="00802863" w:rsidRDefault="00575830"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575830" w:rsidRPr="009256DC" w:rsidRDefault="00575830"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75830" w:rsidRPr="00CB72E7">
      <w:tc>
        <w:tcPr>
          <w:tcW w:w="4200" w:type="dxa"/>
          <w:tcMar>
            <w:left w:w="0" w:type="dxa"/>
            <w:right w:w="0" w:type="dxa"/>
          </w:tcMar>
        </w:tcPr>
        <w:p w:rsidR="00575830"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575830"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575830"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575830" w:rsidRPr="003C2C0F" w:rsidRDefault="0057583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575830" w:rsidRPr="003C2C0F"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575830" w:rsidRPr="003C2C0F"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75830" w:rsidRPr="00CB72E7" w:rsidTr="00245129">
      <w:tc>
        <w:tcPr>
          <w:tcW w:w="4200" w:type="dxa"/>
          <w:tcMar>
            <w:left w:w="0" w:type="dxa"/>
            <w:right w:w="0" w:type="dxa"/>
          </w:tcMar>
        </w:tcPr>
        <w:p w:rsidR="00575830" w:rsidRPr="00FF6EEC" w:rsidRDefault="00575830" w:rsidP="00FF6EEC">
          <w:pPr>
            <w:rPr>
              <w:sz w:val="20"/>
              <w:szCs w:val="20"/>
            </w:rPr>
          </w:pPr>
          <w:r w:rsidRPr="00FF6EEC">
            <w:rPr>
              <w:sz w:val="20"/>
              <w:szCs w:val="20"/>
            </w:rPr>
            <w:t>PRONOUNCEMENTS OF APPEALS RESERVED</w:t>
          </w:r>
        </w:p>
      </w:tc>
      <w:tc>
        <w:tcPr>
          <w:tcW w:w="1200" w:type="dxa"/>
          <w:tcMar>
            <w:left w:w="0" w:type="dxa"/>
            <w:right w:w="0" w:type="dxa"/>
          </w:tcMar>
        </w:tcPr>
        <w:p w:rsidR="00575830" w:rsidRPr="00FF6EEC" w:rsidRDefault="00575830" w:rsidP="00FF6EEC">
          <w:pPr>
            <w:jc w:val="center"/>
            <w:rPr>
              <w:sz w:val="20"/>
              <w:szCs w:val="20"/>
            </w:rPr>
          </w:pPr>
        </w:p>
        <w:p w:rsidR="00575830" w:rsidRPr="00FF6EEC" w:rsidRDefault="00575830" w:rsidP="00FF6EEC">
          <w:pPr>
            <w:jc w:val="center"/>
            <w:rPr>
              <w:sz w:val="20"/>
              <w:szCs w:val="20"/>
            </w:rPr>
          </w:pPr>
        </w:p>
        <w:p w:rsidR="00575830" w:rsidRPr="00FF6EEC" w:rsidRDefault="00575830" w:rsidP="00FF6EEC">
          <w:pPr>
            <w:jc w:val="center"/>
            <w:rPr>
              <w:sz w:val="20"/>
              <w:szCs w:val="20"/>
            </w:rPr>
          </w:pPr>
        </w:p>
      </w:tc>
      <w:tc>
        <w:tcPr>
          <w:tcW w:w="4080" w:type="dxa"/>
          <w:tcMar>
            <w:left w:w="0" w:type="dxa"/>
            <w:right w:w="0" w:type="dxa"/>
          </w:tcMar>
        </w:tcPr>
        <w:p w:rsidR="00575830" w:rsidRPr="00FF6EEC" w:rsidRDefault="00575830" w:rsidP="00FF6EEC">
          <w:pPr>
            <w:rPr>
              <w:sz w:val="20"/>
              <w:szCs w:val="20"/>
              <w:lang w:val="fr-CA"/>
            </w:rPr>
          </w:pPr>
          <w:r w:rsidRPr="00FF6EEC">
            <w:rPr>
              <w:sz w:val="20"/>
              <w:szCs w:val="20"/>
              <w:lang w:val="fr-CA"/>
            </w:rPr>
            <w:t>JUGEMENTS RENDUS SUR LES APPELS EN DÉLIBÉRÉ</w:t>
          </w:r>
        </w:p>
      </w:tc>
    </w:tr>
  </w:tbl>
  <w:p w:rsidR="00575830" w:rsidRPr="003C2C0F" w:rsidRDefault="0057583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575830">
      <w:tc>
        <w:tcPr>
          <w:tcW w:w="4230" w:type="dxa"/>
          <w:tcMar>
            <w:left w:w="0" w:type="dxa"/>
            <w:right w:w="0" w:type="dxa"/>
          </w:tcMar>
        </w:tcPr>
        <w:p w:rsidR="00575830"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75830"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75830"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75830"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75830"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75830" w:rsidRDefault="0057583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75830"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75830"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575830" w:rsidRPr="00782AE4" w:rsidTr="00245129">
      <w:tc>
        <w:tcPr>
          <w:tcW w:w="4230" w:type="dxa"/>
          <w:tcMar>
            <w:left w:w="0" w:type="dxa"/>
            <w:right w:w="0" w:type="dxa"/>
          </w:tcMar>
        </w:tcPr>
        <w:p w:rsidR="00575830" w:rsidRPr="00782AE4" w:rsidRDefault="00575830" w:rsidP="00102926">
          <w:pPr>
            <w:keepNext/>
            <w:keepLines/>
            <w:tabs>
              <w:tab w:val="left" w:pos="-1440"/>
              <w:tab w:val="left" w:pos="-720"/>
            </w:tabs>
            <w:rPr>
              <w:sz w:val="20"/>
              <w:szCs w:val="20"/>
            </w:rPr>
          </w:pPr>
          <w:r w:rsidRPr="00782AE4">
            <w:rPr>
              <w:sz w:val="20"/>
              <w:szCs w:val="20"/>
            </w:rPr>
            <w:t xml:space="preserve">HEADNOTES OF RECENT </w:t>
          </w:r>
        </w:p>
        <w:p w:rsidR="00575830" w:rsidRPr="00782AE4"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75830" w:rsidRDefault="00575830" w:rsidP="00102926">
          <w:pPr>
            <w:keepNext/>
            <w:keepLines/>
            <w:tabs>
              <w:tab w:val="left" w:pos="-1440"/>
              <w:tab w:val="left" w:pos="-720"/>
            </w:tabs>
            <w:jc w:val="center"/>
            <w:rPr>
              <w:sz w:val="20"/>
              <w:szCs w:val="20"/>
            </w:rPr>
          </w:pPr>
        </w:p>
        <w:p w:rsidR="00575830" w:rsidRDefault="00575830" w:rsidP="00102926">
          <w:pPr>
            <w:keepNext/>
            <w:keepLines/>
            <w:tabs>
              <w:tab w:val="left" w:pos="-1440"/>
              <w:tab w:val="left" w:pos="-720"/>
            </w:tabs>
            <w:jc w:val="center"/>
            <w:rPr>
              <w:sz w:val="20"/>
              <w:szCs w:val="20"/>
            </w:rPr>
          </w:pPr>
        </w:p>
        <w:p w:rsidR="00575830" w:rsidRPr="00782AE4" w:rsidRDefault="00575830" w:rsidP="00102926">
          <w:pPr>
            <w:keepNext/>
            <w:keepLines/>
            <w:tabs>
              <w:tab w:val="left" w:pos="-1440"/>
              <w:tab w:val="left" w:pos="-720"/>
            </w:tabs>
            <w:jc w:val="center"/>
            <w:rPr>
              <w:sz w:val="20"/>
              <w:szCs w:val="20"/>
            </w:rPr>
          </w:pPr>
        </w:p>
      </w:tc>
      <w:tc>
        <w:tcPr>
          <w:tcW w:w="4080" w:type="dxa"/>
          <w:tcMar>
            <w:left w:w="0" w:type="dxa"/>
            <w:right w:w="0" w:type="dxa"/>
          </w:tcMar>
        </w:tcPr>
        <w:p w:rsidR="00575830" w:rsidRPr="00102926"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75830" w:rsidRPr="00782AE4" w:rsidRDefault="00575830" w:rsidP="00102926">
          <w:pPr>
            <w:keepLines/>
            <w:tabs>
              <w:tab w:val="left" w:pos="-1440"/>
              <w:tab w:val="left" w:pos="-720"/>
            </w:tabs>
            <w:rPr>
              <w:sz w:val="20"/>
              <w:szCs w:val="20"/>
            </w:rPr>
          </w:pPr>
          <w:r w:rsidRPr="00102926">
            <w:rPr>
              <w:sz w:val="20"/>
              <w:szCs w:val="20"/>
              <w:lang w:val="fr-CA"/>
            </w:rPr>
            <w:t>RÉCENTS</w:t>
          </w:r>
        </w:p>
      </w:tc>
    </w:tr>
  </w:tbl>
  <w:p w:rsidR="00575830" w:rsidRDefault="0057583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75830">
      <w:tc>
        <w:tcPr>
          <w:tcW w:w="4200" w:type="dxa"/>
          <w:tcMar>
            <w:left w:w="0" w:type="dxa"/>
            <w:right w:w="0" w:type="dxa"/>
          </w:tcMar>
        </w:tcPr>
        <w:p w:rsidR="00575830" w:rsidRDefault="0057583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575830" w:rsidRDefault="0057583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575830" w:rsidRDefault="0057583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575830" w:rsidRDefault="00575830">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575830" w:rsidRDefault="0057583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575830" w:rsidRDefault="0057583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75830" w:rsidRPr="00C50A5C" w:rsidTr="00245129">
      <w:tc>
        <w:tcPr>
          <w:tcW w:w="4200" w:type="dxa"/>
          <w:tcMar>
            <w:left w:w="0" w:type="dxa"/>
            <w:right w:w="0" w:type="dxa"/>
          </w:tcMar>
        </w:tcPr>
        <w:p w:rsidR="00575830" w:rsidRPr="00C50A5C" w:rsidRDefault="0057583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575830" w:rsidRPr="00C50A5C" w:rsidRDefault="0057583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575830" w:rsidRPr="00C50A5C" w:rsidRDefault="0057583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575830" w:rsidRPr="00C50A5C" w:rsidRDefault="00575830"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575830" w:rsidRDefault="00575830"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75830" w:rsidRPr="005F263E" w:rsidTr="00245129">
      <w:tc>
        <w:tcPr>
          <w:tcW w:w="4200" w:type="dxa"/>
          <w:tcMar>
            <w:left w:w="0" w:type="dxa"/>
            <w:right w:w="0" w:type="dxa"/>
          </w:tcMar>
        </w:tcPr>
        <w:p w:rsidR="00575830" w:rsidRPr="005F263E" w:rsidRDefault="00575830"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575830" w:rsidRPr="005F263E" w:rsidRDefault="00575830" w:rsidP="00245129">
          <w:pPr>
            <w:keepNext/>
            <w:keepLines/>
            <w:tabs>
              <w:tab w:val="left" w:pos="-1440"/>
              <w:tab w:val="left" w:pos="-720"/>
            </w:tabs>
            <w:jc w:val="center"/>
            <w:rPr>
              <w:sz w:val="20"/>
              <w:szCs w:val="20"/>
            </w:rPr>
          </w:pPr>
        </w:p>
        <w:p w:rsidR="00575830" w:rsidRPr="005F263E" w:rsidRDefault="00575830" w:rsidP="00245129">
          <w:pPr>
            <w:keepNext/>
            <w:keepLines/>
            <w:tabs>
              <w:tab w:val="left" w:pos="-1440"/>
              <w:tab w:val="left" w:pos="-720"/>
            </w:tabs>
            <w:jc w:val="center"/>
            <w:rPr>
              <w:sz w:val="20"/>
              <w:szCs w:val="20"/>
            </w:rPr>
          </w:pPr>
        </w:p>
      </w:tc>
      <w:tc>
        <w:tcPr>
          <w:tcW w:w="4080" w:type="dxa"/>
          <w:tcMar>
            <w:left w:w="0" w:type="dxa"/>
            <w:right w:w="0" w:type="dxa"/>
          </w:tcMar>
        </w:tcPr>
        <w:p w:rsidR="00575830" w:rsidRPr="005F263E" w:rsidRDefault="00575830" w:rsidP="00245129">
          <w:pPr>
            <w:keepLines/>
            <w:tabs>
              <w:tab w:val="left" w:pos="-1440"/>
              <w:tab w:val="left" w:pos="-720"/>
            </w:tabs>
            <w:rPr>
              <w:sz w:val="20"/>
              <w:szCs w:val="20"/>
            </w:rPr>
          </w:pPr>
          <w:r w:rsidRPr="005F263E">
            <w:rPr>
              <w:sz w:val="20"/>
              <w:szCs w:val="20"/>
            </w:rPr>
            <w:t>RÉSUMÉS DES AFFAIRES</w:t>
          </w:r>
        </w:p>
      </w:tc>
    </w:tr>
  </w:tbl>
  <w:p w:rsidR="00575830" w:rsidRDefault="00575830" w:rsidP="005F263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575830" w:rsidRPr="0044776A" w:rsidTr="00245129">
      <w:tc>
        <w:tcPr>
          <w:tcW w:w="4290" w:type="dxa"/>
          <w:tcMar>
            <w:left w:w="0" w:type="dxa"/>
            <w:right w:w="0" w:type="dxa"/>
          </w:tcMar>
        </w:tcPr>
        <w:p w:rsidR="00575830" w:rsidRPr="0044776A" w:rsidRDefault="0057583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75830" w:rsidRPr="0044776A" w:rsidRDefault="00575830" w:rsidP="002E2327">
          <w:pPr>
            <w:keepNext/>
            <w:keepLines/>
            <w:tabs>
              <w:tab w:val="left" w:pos="-1440"/>
              <w:tab w:val="left" w:pos="-720"/>
            </w:tabs>
            <w:jc w:val="center"/>
            <w:rPr>
              <w:sz w:val="20"/>
              <w:szCs w:val="20"/>
            </w:rPr>
          </w:pPr>
        </w:p>
        <w:p w:rsidR="00575830" w:rsidRPr="0044776A" w:rsidRDefault="00575830" w:rsidP="002E2327">
          <w:pPr>
            <w:keepNext/>
            <w:keepLines/>
            <w:tabs>
              <w:tab w:val="left" w:pos="-1440"/>
              <w:tab w:val="left" w:pos="-720"/>
            </w:tabs>
            <w:jc w:val="center"/>
            <w:rPr>
              <w:sz w:val="20"/>
              <w:szCs w:val="20"/>
            </w:rPr>
          </w:pPr>
        </w:p>
        <w:p w:rsidR="00575830" w:rsidRPr="0044776A" w:rsidRDefault="00575830" w:rsidP="002E2327">
          <w:pPr>
            <w:keepNext/>
            <w:keepLines/>
            <w:tabs>
              <w:tab w:val="left" w:pos="-1440"/>
              <w:tab w:val="left" w:pos="-720"/>
            </w:tabs>
            <w:jc w:val="center"/>
            <w:rPr>
              <w:sz w:val="20"/>
              <w:szCs w:val="20"/>
            </w:rPr>
          </w:pPr>
        </w:p>
      </w:tc>
      <w:tc>
        <w:tcPr>
          <w:tcW w:w="4320" w:type="dxa"/>
          <w:tcMar>
            <w:left w:w="0" w:type="dxa"/>
            <w:right w:w="0" w:type="dxa"/>
          </w:tcMar>
        </w:tcPr>
        <w:p w:rsidR="00575830" w:rsidRPr="0044776A" w:rsidRDefault="00575830" w:rsidP="002E2327">
          <w:pPr>
            <w:keepLines/>
            <w:rPr>
              <w:sz w:val="20"/>
              <w:szCs w:val="20"/>
              <w:lang w:val="fr-CA"/>
            </w:rPr>
          </w:pPr>
          <w:r w:rsidRPr="0044776A">
            <w:rPr>
              <w:sz w:val="20"/>
              <w:szCs w:val="20"/>
              <w:lang w:val="fr-CA"/>
            </w:rPr>
            <w:t>DEMANDES D'AUTORISATION D'APPEL DÉPOSÉES</w:t>
          </w:r>
        </w:p>
      </w:tc>
    </w:tr>
  </w:tbl>
  <w:p w:rsidR="00575830" w:rsidRDefault="0057583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75830" w:rsidRPr="00CB72E7" w:rsidTr="00245129">
      <w:tc>
        <w:tcPr>
          <w:tcW w:w="4200" w:type="dxa"/>
          <w:tcMar>
            <w:left w:w="0" w:type="dxa"/>
            <w:right w:w="0" w:type="dxa"/>
          </w:tcMar>
        </w:tcPr>
        <w:p w:rsidR="00575830" w:rsidRPr="0044776A" w:rsidRDefault="00575830" w:rsidP="0044776A">
          <w:pPr>
            <w:keepNext/>
            <w:keepLines/>
            <w:widowControl w:val="0"/>
            <w:rPr>
              <w:sz w:val="20"/>
              <w:szCs w:val="20"/>
            </w:rPr>
          </w:pPr>
          <w:r>
            <w:rPr>
              <w:sz w:val="20"/>
              <w:szCs w:val="20"/>
            </w:rPr>
            <w:t>APPLICATIONS FOR LEAVE</w:t>
          </w:r>
        </w:p>
        <w:p w:rsidR="00575830" w:rsidRPr="0044776A" w:rsidRDefault="0057583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75830" w:rsidRPr="0044776A" w:rsidRDefault="00575830" w:rsidP="0044776A">
          <w:pPr>
            <w:keepNext/>
            <w:keepLines/>
            <w:widowControl w:val="0"/>
            <w:jc w:val="center"/>
            <w:rPr>
              <w:sz w:val="20"/>
              <w:szCs w:val="20"/>
            </w:rPr>
          </w:pPr>
        </w:p>
        <w:p w:rsidR="00575830" w:rsidRPr="0044776A" w:rsidRDefault="00575830" w:rsidP="0044776A">
          <w:pPr>
            <w:keepNext/>
            <w:keepLines/>
            <w:widowControl w:val="0"/>
            <w:jc w:val="center"/>
            <w:rPr>
              <w:sz w:val="20"/>
              <w:szCs w:val="20"/>
            </w:rPr>
          </w:pPr>
        </w:p>
        <w:p w:rsidR="00575830" w:rsidRPr="0044776A" w:rsidRDefault="00575830" w:rsidP="0044776A">
          <w:pPr>
            <w:keepNext/>
            <w:keepLines/>
            <w:widowControl w:val="0"/>
            <w:jc w:val="center"/>
            <w:rPr>
              <w:sz w:val="20"/>
              <w:szCs w:val="20"/>
            </w:rPr>
          </w:pPr>
        </w:p>
      </w:tc>
      <w:tc>
        <w:tcPr>
          <w:tcW w:w="4080" w:type="dxa"/>
          <w:tcMar>
            <w:left w:w="0" w:type="dxa"/>
            <w:right w:w="0" w:type="dxa"/>
          </w:tcMar>
        </w:tcPr>
        <w:p w:rsidR="00575830" w:rsidRPr="0044776A" w:rsidRDefault="00575830" w:rsidP="0044776A">
          <w:pPr>
            <w:keepLines/>
            <w:widowControl w:val="0"/>
            <w:rPr>
              <w:sz w:val="20"/>
              <w:szCs w:val="20"/>
              <w:lang w:val="fr-CA"/>
            </w:rPr>
          </w:pPr>
          <w:r w:rsidRPr="0044776A">
            <w:rPr>
              <w:sz w:val="20"/>
              <w:szCs w:val="20"/>
              <w:lang w:val="fr-CA"/>
            </w:rPr>
            <w:t>DEMANDES SOUMISES À LA COUR DEPUIS LA DERNIÈRE PARUTION</w:t>
          </w:r>
        </w:p>
        <w:p w:rsidR="00575830" w:rsidRPr="0044776A" w:rsidRDefault="00575830" w:rsidP="0044776A">
          <w:pPr>
            <w:widowControl w:val="0"/>
            <w:rPr>
              <w:sz w:val="20"/>
              <w:szCs w:val="20"/>
              <w:lang w:val="fr-CA"/>
            </w:rPr>
          </w:pPr>
        </w:p>
      </w:tc>
    </w:tr>
  </w:tbl>
  <w:p w:rsidR="00575830" w:rsidRPr="002E2327" w:rsidRDefault="00575830">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30" w:rsidRDefault="0057583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75830" w:rsidRPr="00CB72E7">
      <w:tc>
        <w:tcPr>
          <w:tcW w:w="4200" w:type="dxa"/>
          <w:tcMar>
            <w:left w:w="0" w:type="dxa"/>
            <w:right w:w="0" w:type="dxa"/>
          </w:tcMar>
        </w:tcPr>
        <w:p w:rsidR="00575830"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75830"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75830" w:rsidRDefault="0057583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75830" w:rsidRPr="00FF6BA5" w:rsidRDefault="0057583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75830" w:rsidRPr="00FF6BA5"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75830" w:rsidRPr="00FF6BA5"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75830" w:rsidRPr="00FF6BA5" w:rsidRDefault="00575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75830" w:rsidRPr="00CB72E7" w:rsidTr="00245129">
      <w:tc>
        <w:tcPr>
          <w:tcW w:w="4200" w:type="dxa"/>
          <w:tcMar>
            <w:left w:w="0" w:type="dxa"/>
            <w:right w:w="0" w:type="dxa"/>
          </w:tcMar>
        </w:tcPr>
        <w:p w:rsidR="00575830" w:rsidRPr="00755F22"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75830" w:rsidRPr="00755F22" w:rsidRDefault="0057583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75830" w:rsidRPr="00755F22" w:rsidRDefault="0057583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75830" w:rsidRPr="00755F22" w:rsidRDefault="0057583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75830" w:rsidRPr="00755F22" w:rsidRDefault="0057583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75830" w:rsidRPr="00755F22" w:rsidRDefault="0057583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75830" w:rsidRPr="00FF6BA5" w:rsidRDefault="00575830"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283EE8"/>
    <w:multiLevelType w:val="multilevel"/>
    <w:tmpl w:val="0102F668"/>
    <w:lvl w:ilvl="0">
      <w:start w:val="1"/>
      <w:numFmt w:val="decimal"/>
      <w:pStyle w:val="ParaNoNdepar-AltN"/>
      <w:lvlText w:val="[%1]"/>
      <w:lvlJc w:val="left"/>
      <w:pPr>
        <w:tabs>
          <w:tab w:val="num" w:pos="1152"/>
        </w:tabs>
      </w:pPr>
      <w:rPr>
        <w:rFonts w:ascii="Times New Roman" w:hAnsi="Times New Roman" w:cs="Times New Roman" w:hint="default"/>
        <w:i w:val="0"/>
        <w:iCs w:val="0"/>
        <w:color w:val="auto"/>
        <w:sz w:val="24"/>
        <w:szCs w:val="24"/>
      </w:rPr>
    </w:lvl>
    <w:lvl w:ilvl="1">
      <w:start w:val="1"/>
      <w:numFmt w:val="lowerLetter"/>
      <w:lvlText w:val="%2)"/>
      <w:lvlJc w:val="left"/>
      <w:pPr>
        <w:tabs>
          <w:tab w:val="num" w:pos="0"/>
        </w:tabs>
        <w:ind w:left="720" w:hanging="360"/>
      </w:pPr>
      <w:rPr>
        <w:rFonts w:ascii="Times New Roman" w:hAnsi="Times New Roman" w:cs="Times New Roman" w:hint="default"/>
      </w:rPr>
    </w:lvl>
    <w:lvl w:ilvl="2">
      <w:start w:val="1"/>
      <w:numFmt w:val="lowerRoman"/>
      <w:lvlText w:val="%3)"/>
      <w:lvlJc w:val="left"/>
      <w:pPr>
        <w:tabs>
          <w:tab w:val="num" w:pos="0"/>
        </w:tabs>
        <w:ind w:left="1080" w:hanging="360"/>
      </w:pPr>
      <w:rPr>
        <w:rFonts w:ascii="Times New Roman" w:hAnsi="Times New Roman" w:cs="Times New Roman" w:hint="default"/>
      </w:rPr>
    </w:lvl>
    <w:lvl w:ilvl="3">
      <w:start w:val="1"/>
      <w:numFmt w:val="decimal"/>
      <w:lvlText w:val="(%4)"/>
      <w:lvlJc w:val="left"/>
      <w:pPr>
        <w:tabs>
          <w:tab w:val="num" w:pos="0"/>
        </w:tabs>
        <w:ind w:left="1440" w:hanging="360"/>
      </w:pPr>
      <w:rPr>
        <w:rFonts w:ascii="Times New Roman" w:hAnsi="Times New Roman" w:cs="Times New Roman" w:hint="default"/>
      </w:rPr>
    </w:lvl>
    <w:lvl w:ilvl="4">
      <w:start w:val="1"/>
      <w:numFmt w:val="lowerLetter"/>
      <w:lvlText w:val="(%5)"/>
      <w:lvlJc w:val="left"/>
      <w:pPr>
        <w:tabs>
          <w:tab w:val="num" w:pos="0"/>
        </w:tabs>
        <w:ind w:left="1800" w:hanging="360"/>
      </w:pPr>
      <w:rPr>
        <w:rFonts w:ascii="Times New Roman" w:hAnsi="Times New Roman" w:cs="Times New Roman" w:hint="default"/>
      </w:rPr>
    </w:lvl>
    <w:lvl w:ilvl="5">
      <w:start w:val="1"/>
      <w:numFmt w:val="lowerRoman"/>
      <w:lvlText w:val="(%6)"/>
      <w:lvlJc w:val="left"/>
      <w:pPr>
        <w:tabs>
          <w:tab w:val="num" w:pos="0"/>
        </w:tabs>
        <w:ind w:left="2160" w:hanging="360"/>
      </w:pPr>
      <w:rPr>
        <w:rFonts w:ascii="Times New Roman" w:hAnsi="Times New Roman" w:cs="Times New Roman" w:hint="default"/>
      </w:rPr>
    </w:lvl>
    <w:lvl w:ilvl="6">
      <w:start w:val="1"/>
      <w:numFmt w:val="decimal"/>
      <w:lvlText w:val="%7."/>
      <w:lvlJc w:val="left"/>
      <w:pPr>
        <w:tabs>
          <w:tab w:val="num" w:pos="0"/>
        </w:tabs>
        <w:ind w:left="2520" w:hanging="360"/>
      </w:pPr>
      <w:rPr>
        <w:rFonts w:ascii="Times New Roman" w:hAnsi="Times New Roman" w:cs="Times New Roman" w:hint="default"/>
      </w:rPr>
    </w:lvl>
    <w:lvl w:ilvl="7">
      <w:start w:val="1"/>
      <w:numFmt w:val="lowerLetter"/>
      <w:lvlText w:val="%8."/>
      <w:lvlJc w:val="left"/>
      <w:pPr>
        <w:tabs>
          <w:tab w:val="num" w:pos="0"/>
        </w:tabs>
        <w:ind w:left="2880" w:hanging="360"/>
      </w:pPr>
      <w:rPr>
        <w:rFonts w:ascii="Times New Roman" w:hAnsi="Times New Roman" w:cs="Times New Roman" w:hint="default"/>
      </w:rPr>
    </w:lvl>
    <w:lvl w:ilvl="8">
      <w:start w:val="1"/>
      <w:numFmt w:val="lowerRoman"/>
      <w:lvlText w:val="%9."/>
      <w:lvlJc w:val="left"/>
      <w:pPr>
        <w:tabs>
          <w:tab w:val="num" w:pos="0"/>
        </w:tabs>
        <w:ind w:left="324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64533"/>
  </w:hdrShapeDefaults>
  <w:footnotePr>
    <w:footnote w:id="-1"/>
    <w:footnote w:id="0"/>
  </w:footnotePr>
  <w:endnotePr>
    <w:endnote w:id="-1"/>
    <w:endnote w:id="0"/>
  </w:endnotePr>
  <w:compat/>
  <w:rsids>
    <w:rsidRoot w:val="00F6776D"/>
    <w:rsid w:val="000056E3"/>
    <w:rsid w:val="0001051E"/>
    <w:rsid w:val="0001792A"/>
    <w:rsid w:val="00030EFF"/>
    <w:rsid w:val="0003223B"/>
    <w:rsid w:val="000327B2"/>
    <w:rsid w:val="00055545"/>
    <w:rsid w:val="000826FC"/>
    <w:rsid w:val="00091FA6"/>
    <w:rsid w:val="00096BD9"/>
    <w:rsid w:val="000A3EA8"/>
    <w:rsid w:val="000A6E8F"/>
    <w:rsid w:val="000B3C9A"/>
    <w:rsid w:val="000B40A2"/>
    <w:rsid w:val="000B4624"/>
    <w:rsid w:val="000C0ACD"/>
    <w:rsid w:val="000C49B2"/>
    <w:rsid w:val="000F2020"/>
    <w:rsid w:val="00102926"/>
    <w:rsid w:val="0010548D"/>
    <w:rsid w:val="0010587F"/>
    <w:rsid w:val="00111C6B"/>
    <w:rsid w:val="0012102B"/>
    <w:rsid w:val="0013369E"/>
    <w:rsid w:val="00155C0E"/>
    <w:rsid w:val="00164E6D"/>
    <w:rsid w:val="00170263"/>
    <w:rsid w:val="001B157C"/>
    <w:rsid w:val="001B5C23"/>
    <w:rsid w:val="001B7CC8"/>
    <w:rsid w:val="001C592F"/>
    <w:rsid w:val="001D0D5F"/>
    <w:rsid w:val="001D6B8C"/>
    <w:rsid w:val="001F1F83"/>
    <w:rsid w:val="002021A9"/>
    <w:rsid w:val="002139A7"/>
    <w:rsid w:val="00215F7C"/>
    <w:rsid w:val="0022323B"/>
    <w:rsid w:val="00231CC1"/>
    <w:rsid w:val="002410B8"/>
    <w:rsid w:val="00242AEE"/>
    <w:rsid w:val="00245129"/>
    <w:rsid w:val="00245879"/>
    <w:rsid w:val="00263885"/>
    <w:rsid w:val="00267FD5"/>
    <w:rsid w:val="00274D34"/>
    <w:rsid w:val="002868D0"/>
    <w:rsid w:val="002935F1"/>
    <w:rsid w:val="00295E45"/>
    <w:rsid w:val="002A27D1"/>
    <w:rsid w:val="002A4AFA"/>
    <w:rsid w:val="002B516C"/>
    <w:rsid w:val="002C2159"/>
    <w:rsid w:val="002D72EB"/>
    <w:rsid w:val="002E1A5D"/>
    <w:rsid w:val="002E2327"/>
    <w:rsid w:val="002E3583"/>
    <w:rsid w:val="002E5576"/>
    <w:rsid w:val="002E760E"/>
    <w:rsid w:val="00306171"/>
    <w:rsid w:val="003101AB"/>
    <w:rsid w:val="00320E86"/>
    <w:rsid w:val="00331B52"/>
    <w:rsid w:val="003359D3"/>
    <w:rsid w:val="00351AAB"/>
    <w:rsid w:val="003533C2"/>
    <w:rsid w:val="00355967"/>
    <w:rsid w:val="00377DD9"/>
    <w:rsid w:val="00382C47"/>
    <w:rsid w:val="00384384"/>
    <w:rsid w:val="00385360"/>
    <w:rsid w:val="003866AE"/>
    <w:rsid w:val="00387F25"/>
    <w:rsid w:val="003B3977"/>
    <w:rsid w:val="003D3535"/>
    <w:rsid w:val="003E5587"/>
    <w:rsid w:val="003F21C7"/>
    <w:rsid w:val="00430451"/>
    <w:rsid w:val="00432989"/>
    <w:rsid w:val="00440E24"/>
    <w:rsid w:val="004466C5"/>
    <w:rsid w:val="0044776A"/>
    <w:rsid w:val="00460AFC"/>
    <w:rsid w:val="00462F49"/>
    <w:rsid w:val="004665AA"/>
    <w:rsid w:val="00467E57"/>
    <w:rsid w:val="00470D8C"/>
    <w:rsid w:val="004719CC"/>
    <w:rsid w:val="0047471F"/>
    <w:rsid w:val="00474999"/>
    <w:rsid w:val="00491F5E"/>
    <w:rsid w:val="00495D27"/>
    <w:rsid w:val="00496B07"/>
    <w:rsid w:val="004B195E"/>
    <w:rsid w:val="004B3478"/>
    <w:rsid w:val="004B66B4"/>
    <w:rsid w:val="004B7F60"/>
    <w:rsid w:val="004C1AAC"/>
    <w:rsid w:val="004E1E0A"/>
    <w:rsid w:val="004F090E"/>
    <w:rsid w:val="00502F80"/>
    <w:rsid w:val="00527CC7"/>
    <w:rsid w:val="0057053C"/>
    <w:rsid w:val="00571CA4"/>
    <w:rsid w:val="00572560"/>
    <w:rsid w:val="00575830"/>
    <w:rsid w:val="00582136"/>
    <w:rsid w:val="00595A21"/>
    <w:rsid w:val="005B1CD4"/>
    <w:rsid w:val="005B61F6"/>
    <w:rsid w:val="005C6840"/>
    <w:rsid w:val="005E2D42"/>
    <w:rsid w:val="005F1FCE"/>
    <w:rsid w:val="005F263E"/>
    <w:rsid w:val="005F5E4E"/>
    <w:rsid w:val="00600252"/>
    <w:rsid w:val="00612A40"/>
    <w:rsid w:val="0062580B"/>
    <w:rsid w:val="0062714A"/>
    <w:rsid w:val="00627F9A"/>
    <w:rsid w:val="00675479"/>
    <w:rsid w:val="00677406"/>
    <w:rsid w:val="00680709"/>
    <w:rsid w:val="00696BF9"/>
    <w:rsid w:val="00697C62"/>
    <w:rsid w:val="006A329B"/>
    <w:rsid w:val="006A7EB8"/>
    <w:rsid w:val="006B6926"/>
    <w:rsid w:val="006C3F47"/>
    <w:rsid w:val="006C5F7A"/>
    <w:rsid w:val="006E06AF"/>
    <w:rsid w:val="006E528B"/>
    <w:rsid w:val="006F350F"/>
    <w:rsid w:val="006F66CA"/>
    <w:rsid w:val="00732DB7"/>
    <w:rsid w:val="00734E15"/>
    <w:rsid w:val="0074238B"/>
    <w:rsid w:val="00745EF7"/>
    <w:rsid w:val="0074701D"/>
    <w:rsid w:val="00755F22"/>
    <w:rsid w:val="00766E4A"/>
    <w:rsid w:val="007720F9"/>
    <w:rsid w:val="00776658"/>
    <w:rsid w:val="007820CE"/>
    <w:rsid w:val="00782AE4"/>
    <w:rsid w:val="0079083D"/>
    <w:rsid w:val="0079724F"/>
    <w:rsid w:val="007A3EAE"/>
    <w:rsid w:val="007C04FC"/>
    <w:rsid w:val="007D3340"/>
    <w:rsid w:val="007D3E0F"/>
    <w:rsid w:val="007E4282"/>
    <w:rsid w:val="007F387B"/>
    <w:rsid w:val="00802817"/>
    <w:rsid w:val="00802863"/>
    <w:rsid w:val="00802E6F"/>
    <w:rsid w:val="008114C2"/>
    <w:rsid w:val="00815333"/>
    <w:rsid w:val="00815B3C"/>
    <w:rsid w:val="00820F84"/>
    <w:rsid w:val="0082783A"/>
    <w:rsid w:val="00831CA9"/>
    <w:rsid w:val="008363F4"/>
    <w:rsid w:val="00837CA1"/>
    <w:rsid w:val="00850E1F"/>
    <w:rsid w:val="0085476B"/>
    <w:rsid w:val="00886B69"/>
    <w:rsid w:val="00890FEB"/>
    <w:rsid w:val="008912DA"/>
    <w:rsid w:val="008D292F"/>
    <w:rsid w:val="008E03DC"/>
    <w:rsid w:val="00906141"/>
    <w:rsid w:val="00924065"/>
    <w:rsid w:val="00930D68"/>
    <w:rsid w:val="00932DB4"/>
    <w:rsid w:val="00934572"/>
    <w:rsid w:val="00941A4B"/>
    <w:rsid w:val="00946242"/>
    <w:rsid w:val="0095096B"/>
    <w:rsid w:val="00956866"/>
    <w:rsid w:val="00962987"/>
    <w:rsid w:val="00970CD3"/>
    <w:rsid w:val="00970D18"/>
    <w:rsid w:val="009723FA"/>
    <w:rsid w:val="00976F53"/>
    <w:rsid w:val="009824A6"/>
    <w:rsid w:val="00984546"/>
    <w:rsid w:val="00996510"/>
    <w:rsid w:val="009D1F15"/>
    <w:rsid w:val="009D555E"/>
    <w:rsid w:val="009F3024"/>
    <w:rsid w:val="00A0355E"/>
    <w:rsid w:val="00A046CD"/>
    <w:rsid w:val="00A15980"/>
    <w:rsid w:val="00A375D1"/>
    <w:rsid w:val="00A51D10"/>
    <w:rsid w:val="00A52A83"/>
    <w:rsid w:val="00A53ED8"/>
    <w:rsid w:val="00A56F64"/>
    <w:rsid w:val="00A63766"/>
    <w:rsid w:val="00A6552C"/>
    <w:rsid w:val="00A678CC"/>
    <w:rsid w:val="00A77A7D"/>
    <w:rsid w:val="00A833C3"/>
    <w:rsid w:val="00A87207"/>
    <w:rsid w:val="00A935AA"/>
    <w:rsid w:val="00AA010D"/>
    <w:rsid w:val="00AB19A5"/>
    <w:rsid w:val="00AB2201"/>
    <w:rsid w:val="00AD3259"/>
    <w:rsid w:val="00AF1715"/>
    <w:rsid w:val="00AF3904"/>
    <w:rsid w:val="00B010C0"/>
    <w:rsid w:val="00B2148B"/>
    <w:rsid w:val="00B27B54"/>
    <w:rsid w:val="00B4740D"/>
    <w:rsid w:val="00B61629"/>
    <w:rsid w:val="00B63001"/>
    <w:rsid w:val="00B632A9"/>
    <w:rsid w:val="00B7374B"/>
    <w:rsid w:val="00B843D4"/>
    <w:rsid w:val="00B90DC0"/>
    <w:rsid w:val="00BA116A"/>
    <w:rsid w:val="00BA5582"/>
    <w:rsid w:val="00BA6468"/>
    <w:rsid w:val="00BB1D44"/>
    <w:rsid w:val="00BD06DA"/>
    <w:rsid w:val="00BD4217"/>
    <w:rsid w:val="00BE2BE9"/>
    <w:rsid w:val="00BF25F3"/>
    <w:rsid w:val="00C07D68"/>
    <w:rsid w:val="00C1221D"/>
    <w:rsid w:val="00C1697B"/>
    <w:rsid w:val="00C20B18"/>
    <w:rsid w:val="00C21CB5"/>
    <w:rsid w:val="00C50A5C"/>
    <w:rsid w:val="00C50FDF"/>
    <w:rsid w:val="00C63381"/>
    <w:rsid w:val="00C6424A"/>
    <w:rsid w:val="00C73D06"/>
    <w:rsid w:val="00C73E1B"/>
    <w:rsid w:val="00C75673"/>
    <w:rsid w:val="00C759B4"/>
    <w:rsid w:val="00C77713"/>
    <w:rsid w:val="00C85BB7"/>
    <w:rsid w:val="00CB43D5"/>
    <w:rsid w:val="00CB72E7"/>
    <w:rsid w:val="00CC4D84"/>
    <w:rsid w:val="00CE198A"/>
    <w:rsid w:val="00CF3230"/>
    <w:rsid w:val="00D2016A"/>
    <w:rsid w:val="00D2233E"/>
    <w:rsid w:val="00D43A3D"/>
    <w:rsid w:val="00D64901"/>
    <w:rsid w:val="00D755C4"/>
    <w:rsid w:val="00D76BDF"/>
    <w:rsid w:val="00D84679"/>
    <w:rsid w:val="00D862C1"/>
    <w:rsid w:val="00D875A3"/>
    <w:rsid w:val="00D93B50"/>
    <w:rsid w:val="00D94670"/>
    <w:rsid w:val="00DA46F6"/>
    <w:rsid w:val="00DA4CD0"/>
    <w:rsid w:val="00DB4074"/>
    <w:rsid w:val="00DD0B49"/>
    <w:rsid w:val="00DD3077"/>
    <w:rsid w:val="00DD7751"/>
    <w:rsid w:val="00DE0502"/>
    <w:rsid w:val="00E06DFA"/>
    <w:rsid w:val="00E07217"/>
    <w:rsid w:val="00E20A0A"/>
    <w:rsid w:val="00E25482"/>
    <w:rsid w:val="00E356C7"/>
    <w:rsid w:val="00E42C83"/>
    <w:rsid w:val="00E45FE4"/>
    <w:rsid w:val="00E64FA7"/>
    <w:rsid w:val="00E770CB"/>
    <w:rsid w:val="00E903A1"/>
    <w:rsid w:val="00E92044"/>
    <w:rsid w:val="00E940EB"/>
    <w:rsid w:val="00E9703F"/>
    <w:rsid w:val="00EA3AE0"/>
    <w:rsid w:val="00EB2B90"/>
    <w:rsid w:val="00ED3F56"/>
    <w:rsid w:val="00ED42A3"/>
    <w:rsid w:val="00ED7E83"/>
    <w:rsid w:val="00EE091F"/>
    <w:rsid w:val="00EE3B2B"/>
    <w:rsid w:val="00EF4B63"/>
    <w:rsid w:val="00F0068D"/>
    <w:rsid w:val="00F0576D"/>
    <w:rsid w:val="00F14E6D"/>
    <w:rsid w:val="00F150E1"/>
    <w:rsid w:val="00F15EA8"/>
    <w:rsid w:val="00F16C8D"/>
    <w:rsid w:val="00F26C61"/>
    <w:rsid w:val="00F33CCE"/>
    <w:rsid w:val="00F40249"/>
    <w:rsid w:val="00F526C8"/>
    <w:rsid w:val="00F53A48"/>
    <w:rsid w:val="00F6776D"/>
    <w:rsid w:val="00F70DC6"/>
    <w:rsid w:val="00F727E7"/>
    <w:rsid w:val="00F761A3"/>
    <w:rsid w:val="00F8270B"/>
    <w:rsid w:val="00F9272D"/>
    <w:rsid w:val="00F9518C"/>
    <w:rsid w:val="00FA316E"/>
    <w:rsid w:val="00FA59EF"/>
    <w:rsid w:val="00FA6F4D"/>
    <w:rsid w:val="00FB19A2"/>
    <w:rsid w:val="00FD37D8"/>
    <w:rsid w:val="00FD677B"/>
    <w:rsid w:val="00FE2913"/>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45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8912DA"/>
    <w:pPr>
      <w:keepNext/>
      <w:keepLines/>
      <w:spacing w:before="480"/>
      <w:outlineLvl w:val="0"/>
    </w:pPr>
    <w:rPr>
      <w:rFonts w:asciiTheme="majorHAnsi" w:eastAsiaTheme="majorEastAsia" w:hAnsiTheme="majorHAnsi" w:cstheme="majorBidi"/>
      <w:b/>
      <w:bCs/>
      <w:color w:val="365F91" w:themeColor="accent1" w:themeShade="BF"/>
      <w:sz w:val="28"/>
      <w:szCs w:val="28"/>
      <w:lang w:val="fr-CA" w:eastAsia="en-CA"/>
    </w:rPr>
  </w:style>
  <w:style w:type="paragraph" w:styleId="Heading2">
    <w:name w:val="heading 2"/>
    <w:basedOn w:val="Normal"/>
    <w:next w:val="Normal"/>
    <w:link w:val="Heading2Char"/>
    <w:uiPriority w:val="9"/>
    <w:semiHidden/>
    <w:unhideWhenUsed/>
    <w:rsid w:val="008912DA"/>
    <w:pPr>
      <w:keepNext/>
      <w:keepLines/>
      <w:spacing w:before="200"/>
      <w:outlineLvl w:val="1"/>
    </w:pPr>
    <w:rPr>
      <w:rFonts w:asciiTheme="majorHAnsi" w:eastAsiaTheme="majorEastAsia" w:hAnsiTheme="majorHAnsi" w:cstheme="majorBidi"/>
      <w:b/>
      <w:bCs/>
      <w:color w:val="4F81BD" w:themeColor="accent1"/>
      <w:sz w:val="26"/>
      <w:szCs w:val="26"/>
      <w:lang w:val="fr-CA" w:eastAsia="en-CA"/>
    </w:rPr>
  </w:style>
  <w:style w:type="paragraph" w:styleId="Heading3">
    <w:name w:val="heading 3"/>
    <w:basedOn w:val="Normal"/>
    <w:next w:val="Normal"/>
    <w:link w:val="Heading3Char"/>
    <w:uiPriority w:val="9"/>
    <w:semiHidden/>
    <w:unhideWhenUsed/>
    <w:qFormat/>
    <w:rsid w:val="008912DA"/>
    <w:pPr>
      <w:keepNext/>
      <w:keepLines/>
      <w:spacing w:before="200"/>
      <w:outlineLvl w:val="2"/>
    </w:pPr>
    <w:rPr>
      <w:rFonts w:asciiTheme="majorHAnsi" w:eastAsiaTheme="majorEastAsia" w:hAnsiTheme="majorHAnsi" w:cstheme="majorBidi"/>
      <w:b/>
      <w:bCs/>
      <w:color w:val="4F81BD" w:themeColor="accent1"/>
      <w:szCs w:val="20"/>
      <w:lang w:val="fr-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uiPriority w:val="99"/>
    <w:semiHidden/>
    <w:rsid w:val="008D292F"/>
    <w:rPr>
      <w:rFonts w:eastAsia="Times New Roman" w:cs="Times New Roman"/>
      <w:sz w:val="20"/>
      <w:szCs w:val="20"/>
      <w:lang w:val="en-CA" w:eastAsia="en-CA"/>
    </w:rPr>
  </w:style>
  <w:style w:type="paragraph" w:styleId="FootnoteText">
    <w:name w:val="footnote text"/>
    <w:basedOn w:val="Normal"/>
    <w:link w:val="FootnoteTextChar"/>
    <w:uiPriority w:val="99"/>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table" w:customStyle="1" w:styleId="TableGrid1">
    <w:name w:val="Table Grid1"/>
    <w:basedOn w:val="TableNormal"/>
    <w:next w:val="TableGrid"/>
    <w:uiPriority w:val="59"/>
    <w:rsid w:val="00FD37D8"/>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arty">
    <w:name w:val="SCC.Lsoc.Party"/>
    <w:basedOn w:val="Normal"/>
    <w:next w:val="Normal"/>
    <w:link w:val="SCCLsocPartyChar"/>
    <w:rsid w:val="00FA6F4D"/>
    <w:pPr>
      <w:jc w:val="both"/>
    </w:pPr>
    <w:rPr>
      <w:b/>
    </w:rPr>
  </w:style>
  <w:style w:type="character" w:customStyle="1" w:styleId="SCCLsocPartyChar">
    <w:name w:val="SCC.Lsoc.Party Char"/>
    <w:basedOn w:val="DefaultParagraphFont"/>
    <w:link w:val="SCCLsocParty"/>
    <w:rsid w:val="00FA6F4D"/>
    <w:rPr>
      <w:b/>
      <w:lang w:val="en-CA"/>
    </w:rPr>
  </w:style>
  <w:style w:type="paragraph" w:customStyle="1" w:styleId="SCCLowerCourtNameLowercase">
    <w:name w:val="SCC.LowerCourtNameLowercase"/>
    <w:basedOn w:val="SCCNormalDoubleSpacing"/>
    <w:next w:val="SCCNormalDoubleSpacing"/>
    <w:rsid w:val="00E92044"/>
    <w:pPr>
      <w:tabs>
        <w:tab w:val="left" w:pos="1168"/>
      </w:tabs>
    </w:pPr>
    <w:rPr>
      <w:smallCaps/>
    </w:rPr>
  </w:style>
  <w:style w:type="character" w:styleId="FootnoteReference">
    <w:name w:val="footnote reference"/>
    <w:basedOn w:val="DefaultParagraphFont"/>
    <w:uiPriority w:val="99"/>
    <w:semiHidden/>
    <w:unhideWhenUsed/>
    <w:rsid w:val="000826FC"/>
    <w:rPr>
      <w:vertAlign w:val="superscript"/>
    </w:rPr>
  </w:style>
  <w:style w:type="character" w:customStyle="1" w:styleId="Heading1Char">
    <w:name w:val="Heading 1 Char"/>
    <w:basedOn w:val="DefaultParagraphFont"/>
    <w:link w:val="Heading1"/>
    <w:uiPriority w:val="9"/>
    <w:rsid w:val="008912DA"/>
    <w:rPr>
      <w:rFonts w:asciiTheme="majorHAnsi" w:eastAsiaTheme="majorEastAsia" w:hAnsiTheme="majorHAnsi" w:cstheme="majorBidi"/>
      <w:b/>
      <w:bCs/>
      <w:color w:val="365F91" w:themeColor="accent1" w:themeShade="BF"/>
      <w:sz w:val="28"/>
      <w:szCs w:val="28"/>
      <w:lang w:val="fr-CA" w:eastAsia="en-CA"/>
    </w:rPr>
  </w:style>
  <w:style w:type="character" w:customStyle="1" w:styleId="Heading2Char">
    <w:name w:val="Heading 2 Char"/>
    <w:basedOn w:val="DefaultParagraphFont"/>
    <w:link w:val="Heading2"/>
    <w:uiPriority w:val="9"/>
    <w:semiHidden/>
    <w:rsid w:val="008912DA"/>
    <w:rPr>
      <w:rFonts w:asciiTheme="majorHAnsi" w:eastAsiaTheme="majorEastAsia" w:hAnsiTheme="majorHAnsi" w:cstheme="majorBidi"/>
      <w:b/>
      <w:bCs/>
      <w:color w:val="4F81BD" w:themeColor="accent1"/>
      <w:sz w:val="26"/>
      <w:szCs w:val="26"/>
      <w:lang w:val="fr-CA" w:eastAsia="en-CA"/>
    </w:rPr>
  </w:style>
  <w:style w:type="character" w:customStyle="1" w:styleId="Heading3Char">
    <w:name w:val="Heading 3 Char"/>
    <w:basedOn w:val="DefaultParagraphFont"/>
    <w:link w:val="Heading3"/>
    <w:uiPriority w:val="9"/>
    <w:semiHidden/>
    <w:rsid w:val="008912DA"/>
    <w:rPr>
      <w:rFonts w:asciiTheme="majorHAnsi" w:eastAsiaTheme="majorEastAsia" w:hAnsiTheme="majorHAnsi" w:cstheme="majorBidi"/>
      <w:b/>
      <w:bCs/>
      <w:color w:val="4F81BD" w:themeColor="accent1"/>
      <w:szCs w:val="20"/>
      <w:lang w:val="fr-CA" w:eastAsia="en-CA"/>
    </w:rPr>
  </w:style>
  <w:style w:type="paragraph" w:customStyle="1" w:styleId="1">
    <w:name w:val="1"/>
    <w:aliases w:val=" 2, 3, A"/>
    <w:basedOn w:val="Normal"/>
    <w:uiPriority w:val="1"/>
    <w:rsid w:val="008912DA"/>
    <w:pPr>
      <w:widowControl w:val="0"/>
    </w:pPr>
    <w:rPr>
      <w:rFonts w:eastAsia="Times New Roman" w:cs="Times New Roman"/>
      <w:szCs w:val="20"/>
      <w:lang w:val="fr-CA" w:eastAsia="en-CA"/>
    </w:rPr>
  </w:style>
  <w:style w:type="character" w:styleId="Strong">
    <w:name w:val="Strong"/>
    <w:basedOn w:val="DefaultParagraphFont"/>
    <w:uiPriority w:val="22"/>
    <w:qFormat/>
    <w:rsid w:val="008912DA"/>
    <w:rPr>
      <w:b/>
      <w:bCs/>
    </w:rPr>
  </w:style>
  <w:style w:type="paragraph" w:styleId="Quote">
    <w:name w:val="Quote"/>
    <w:basedOn w:val="Normal"/>
    <w:next w:val="Normal"/>
    <w:link w:val="QuoteChar"/>
    <w:uiPriority w:val="29"/>
    <w:qFormat/>
    <w:rsid w:val="008912DA"/>
    <w:rPr>
      <w:rFonts w:eastAsia="Times New Roman" w:cs="Times New Roman"/>
      <w:i/>
      <w:iCs/>
      <w:color w:val="000000" w:themeColor="text1"/>
      <w:szCs w:val="20"/>
      <w:lang w:val="fr-CA" w:eastAsia="en-CA"/>
    </w:rPr>
  </w:style>
  <w:style w:type="character" w:customStyle="1" w:styleId="QuoteChar">
    <w:name w:val="Quote Char"/>
    <w:basedOn w:val="DefaultParagraphFont"/>
    <w:link w:val="Quote"/>
    <w:uiPriority w:val="29"/>
    <w:rsid w:val="008912DA"/>
    <w:rPr>
      <w:rFonts w:eastAsia="Times New Roman" w:cs="Times New Roman"/>
      <w:i/>
      <w:iCs/>
      <w:color w:val="000000" w:themeColor="text1"/>
      <w:szCs w:val="20"/>
      <w:lang w:val="fr-CA" w:eastAsia="en-CA"/>
    </w:rPr>
  </w:style>
  <w:style w:type="character" w:styleId="PlaceholderText">
    <w:name w:val="Placeholder Text"/>
    <w:basedOn w:val="DefaultParagraphFont"/>
    <w:uiPriority w:val="99"/>
    <w:semiHidden/>
    <w:rsid w:val="008912DA"/>
    <w:rPr>
      <w:color w:val="808080"/>
    </w:rPr>
  </w:style>
  <w:style w:type="paragraph" w:styleId="BalloonText">
    <w:name w:val="Balloon Text"/>
    <w:basedOn w:val="Normal"/>
    <w:link w:val="BalloonTextChar"/>
    <w:uiPriority w:val="99"/>
    <w:semiHidden/>
    <w:unhideWhenUsed/>
    <w:rsid w:val="008912DA"/>
    <w:rPr>
      <w:rFonts w:ascii="Tahoma" w:eastAsia="Times New Roman" w:hAnsi="Tahoma" w:cs="Tahoma"/>
      <w:sz w:val="16"/>
      <w:szCs w:val="16"/>
      <w:lang w:val="fr-CA" w:eastAsia="en-CA"/>
    </w:rPr>
  </w:style>
  <w:style w:type="character" w:customStyle="1" w:styleId="BalloonTextChar">
    <w:name w:val="Balloon Text Char"/>
    <w:basedOn w:val="DefaultParagraphFont"/>
    <w:link w:val="BalloonText"/>
    <w:uiPriority w:val="99"/>
    <w:semiHidden/>
    <w:rsid w:val="008912DA"/>
    <w:rPr>
      <w:rFonts w:ascii="Tahoma" w:eastAsia="Times New Roman" w:hAnsi="Tahoma" w:cs="Tahoma"/>
      <w:sz w:val="16"/>
      <w:szCs w:val="16"/>
      <w:lang w:val="fr-CA" w:eastAsia="en-CA"/>
    </w:rPr>
  </w:style>
  <w:style w:type="paragraph" w:customStyle="1" w:styleId="SCCLsocVersus">
    <w:name w:val="SCC.Lsoc.Versus"/>
    <w:basedOn w:val="Normal"/>
    <w:next w:val="Normal"/>
    <w:link w:val="SCCLsocVersusChar"/>
    <w:rsid w:val="008912DA"/>
    <w:rPr>
      <w:rFonts w:eastAsia="Times New Roman" w:cs="Times New Roman"/>
      <w:i/>
      <w:szCs w:val="20"/>
      <w:lang w:val="fr-CA" w:eastAsia="en-CA"/>
    </w:rPr>
  </w:style>
  <w:style w:type="character" w:customStyle="1" w:styleId="SCCLsocVersusChar">
    <w:name w:val="SCC.Lsoc.Versus Char"/>
    <w:basedOn w:val="DefaultParagraphFont"/>
    <w:link w:val="SCCLsocVersus"/>
    <w:rsid w:val="008912DA"/>
    <w:rPr>
      <w:rFonts w:eastAsia="Times New Roman" w:cs="Times New Roman"/>
      <w:i/>
      <w:szCs w:val="20"/>
      <w:lang w:val="fr-CA" w:eastAsia="en-CA"/>
    </w:rPr>
  </w:style>
  <w:style w:type="paragraph" w:customStyle="1" w:styleId="SCCLsocPartyRole">
    <w:name w:val="SCC.Lsoc.PartyRole"/>
    <w:basedOn w:val="Normal"/>
    <w:next w:val="Normal"/>
    <w:link w:val="SCCLsocPartyRoleChar"/>
    <w:rsid w:val="008912DA"/>
    <w:pPr>
      <w:jc w:val="right"/>
    </w:pPr>
    <w:rPr>
      <w:rFonts w:eastAsia="Times New Roman" w:cs="Times New Roman"/>
      <w:i/>
      <w:szCs w:val="20"/>
      <w:lang w:val="fr-CA" w:eastAsia="en-CA"/>
    </w:rPr>
  </w:style>
  <w:style w:type="character" w:customStyle="1" w:styleId="SCCLsocPartyRoleChar">
    <w:name w:val="SCC.Lsoc.PartyRole Char"/>
    <w:basedOn w:val="DefaultParagraphFont"/>
    <w:link w:val="SCCLsocPartyRole"/>
    <w:rsid w:val="008912DA"/>
    <w:rPr>
      <w:rFonts w:eastAsia="Times New Roman" w:cs="Times New Roman"/>
      <w:i/>
      <w:szCs w:val="20"/>
      <w:lang w:val="fr-CA" w:eastAsia="en-CA"/>
    </w:rPr>
  </w:style>
  <w:style w:type="paragraph" w:customStyle="1" w:styleId="SCCLsocSubfileSeparator">
    <w:name w:val="SCC.Lsoc.SubfileSeparator"/>
    <w:basedOn w:val="Normal"/>
    <w:next w:val="Normal"/>
    <w:link w:val="SCCLsocSubfileSeparatorChar"/>
    <w:rsid w:val="008912DA"/>
    <w:rPr>
      <w:rFonts w:eastAsia="Times New Roman" w:cs="Times New Roman"/>
      <w:szCs w:val="20"/>
      <w:lang w:val="fr-CA" w:eastAsia="en-CA"/>
    </w:rPr>
  </w:style>
  <w:style w:type="character" w:customStyle="1" w:styleId="SCCLsocSubfileSeparatorChar">
    <w:name w:val="SCC.Lsoc.SubfileSeparator Char"/>
    <w:basedOn w:val="DefaultParagraphFont"/>
    <w:link w:val="SCCLsocSubfileSeparator"/>
    <w:rsid w:val="008912DA"/>
    <w:rPr>
      <w:rFonts w:eastAsia="Times New Roman" w:cs="Times New Roman"/>
      <w:szCs w:val="20"/>
      <w:lang w:val="fr-CA" w:eastAsia="en-CA"/>
    </w:rPr>
  </w:style>
  <w:style w:type="paragraph" w:customStyle="1" w:styleId="SCCLsocOtherPartySeparator">
    <w:name w:val="SCC.Lsoc.OtherPartySeparator"/>
    <w:basedOn w:val="Normal"/>
    <w:next w:val="Normal"/>
    <w:link w:val="SCCLsocOtherPartySeparatorChar"/>
    <w:rsid w:val="008912DA"/>
    <w:rPr>
      <w:rFonts w:eastAsia="Times New Roman" w:cs="Times New Roman"/>
      <w:szCs w:val="20"/>
      <w:lang w:val="fr-CA" w:eastAsia="en-CA"/>
    </w:rPr>
  </w:style>
  <w:style w:type="character" w:customStyle="1" w:styleId="SCCLsocOtherPartySeparatorChar">
    <w:name w:val="SCC.Lsoc.OtherPartySeparator Char"/>
    <w:basedOn w:val="DefaultParagraphFont"/>
    <w:link w:val="SCCLsocOtherPartySeparator"/>
    <w:rsid w:val="008912DA"/>
    <w:rPr>
      <w:rFonts w:eastAsia="Times New Roman" w:cs="Times New Roman"/>
      <w:szCs w:val="20"/>
      <w:lang w:val="fr-CA" w:eastAsia="en-CA"/>
    </w:rPr>
  </w:style>
  <w:style w:type="paragraph" w:customStyle="1" w:styleId="SCCBanSummary">
    <w:name w:val="SCC.BanSummary"/>
    <w:basedOn w:val="Normal"/>
    <w:next w:val="Normal"/>
    <w:rsid w:val="008912DA"/>
    <w:pPr>
      <w:jc w:val="right"/>
    </w:pPr>
    <w:rPr>
      <w:rFonts w:eastAsia="Times New Roman" w:cs="Times New Roman"/>
      <w:b/>
      <w:szCs w:val="20"/>
      <w:lang w:val="fr-CA" w:eastAsia="en-CA"/>
    </w:rPr>
  </w:style>
  <w:style w:type="paragraph" w:customStyle="1" w:styleId="SCCAppellantForRunningHead">
    <w:name w:val="SCC.AppellantForRunningHead"/>
    <w:basedOn w:val="Normal"/>
    <w:next w:val="Normal"/>
    <w:link w:val="SCCAppellantForRunningHeadChar"/>
    <w:rsid w:val="008912DA"/>
    <w:rPr>
      <w:rFonts w:eastAsia="Times New Roman" w:cs="Times New Roman"/>
      <w:smallCaps/>
      <w:szCs w:val="20"/>
      <w:lang w:val="fr-CA" w:eastAsia="en-CA"/>
    </w:rPr>
  </w:style>
  <w:style w:type="character" w:customStyle="1" w:styleId="SCCAppellantForRunningHeadChar">
    <w:name w:val="SCC.AppellantForRunningHead Char"/>
    <w:basedOn w:val="DefaultParagraphFont"/>
    <w:link w:val="SCCAppellantForRunningHead"/>
    <w:rsid w:val="008912DA"/>
    <w:rPr>
      <w:rFonts w:eastAsia="Times New Roman" w:cs="Times New Roman"/>
      <w:smallCaps/>
      <w:szCs w:val="20"/>
      <w:lang w:val="fr-CA" w:eastAsia="en-CA"/>
    </w:rPr>
  </w:style>
  <w:style w:type="paragraph" w:customStyle="1" w:styleId="SCCRespondentForRunningHead">
    <w:name w:val="SCC.RespondentForRunningHead"/>
    <w:basedOn w:val="Normal"/>
    <w:next w:val="Normal"/>
    <w:link w:val="SCCRespondentForRunningHeadChar"/>
    <w:rsid w:val="008912DA"/>
    <w:rPr>
      <w:rFonts w:eastAsia="Times New Roman" w:cs="Times New Roman"/>
      <w:smallCaps/>
      <w:szCs w:val="20"/>
      <w:lang w:val="fr-CA" w:eastAsia="en-CA"/>
    </w:rPr>
  </w:style>
  <w:style w:type="character" w:customStyle="1" w:styleId="SCCRespondentForRunningHeadChar">
    <w:name w:val="SCC.RespondentForRunningHead Char"/>
    <w:basedOn w:val="DefaultParagraphFont"/>
    <w:link w:val="SCCRespondentForRunningHead"/>
    <w:rsid w:val="008912DA"/>
    <w:rPr>
      <w:rFonts w:eastAsia="Times New Roman" w:cs="Times New Roman"/>
      <w:smallCaps/>
      <w:szCs w:val="20"/>
      <w:lang w:val="fr-CA" w:eastAsia="en-CA"/>
    </w:rPr>
  </w:style>
  <w:style w:type="paragraph" w:customStyle="1" w:styleId="SCCItalic">
    <w:name w:val="SCC.Italic"/>
    <w:basedOn w:val="SCCNormalDoubleSpacing"/>
    <w:next w:val="SCCNormalDoubleSpacing"/>
    <w:rsid w:val="008912DA"/>
    <w:pPr>
      <w:tabs>
        <w:tab w:val="left" w:pos="1168"/>
      </w:tabs>
    </w:pPr>
    <w:rPr>
      <w:i/>
      <w:lang w:val="fr-CA"/>
    </w:rPr>
  </w:style>
  <w:style w:type="paragraph" w:customStyle="1" w:styleId="SCCAppellantForCitation">
    <w:name w:val="SCC.AppellantForCitation"/>
    <w:basedOn w:val="Normal"/>
    <w:next w:val="Normal"/>
    <w:link w:val="SCCAppellantForCitationChar"/>
    <w:rsid w:val="008912DA"/>
    <w:rPr>
      <w:rFonts w:eastAsia="Times New Roman" w:cs="Times New Roman"/>
      <w:i/>
      <w:szCs w:val="20"/>
      <w:lang w:val="fr-CA" w:eastAsia="en-CA"/>
    </w:rPr>
  </w:style>
  <w:style w:type="character" w:customStyle="1" w:styleId="SCCAppellantForCitationChar">
    <w:name w:val="SCC.AppellantForCitation Char"/>
    <w:basedOn w:val="DefaultParagraphFont"/>
    <w:link w:val="SCCAppellantForCitation"/>
    <w:rsid w:val="008912DA"/>
    <w:rPr>
      <w:rFonts w:eastAsia="Times New Roman" w:cs="Times New Roman"/>
      <w:i/>
      <w:szCs w:val="20"/>
      <w:lang w:val="fr-CA" w:eastAsia="en-CA"/>
    </w:rPr>
  </w:style>
  <w:style w:type="paragraph" w:customStyle="1" w:styleId="SCCRespondentForCitation">
    <w:name w:val="SCC.RespondentForCitation"/>
    <w:basedOn w:val="Normal"/>
    <w:next w:val="Normal"/>
    <w:link w:val="SCCRespondentForCitationChar"/>
    <w:rsid w:val="008912DA"/>
    <w:rPr>
      <w:rFonts w:eastAsia="Times New Roman" w:cs="Times New Roman"/>
      <w:i/>
      <w:szCs w:val="20"/>
      <w:lang w:val="fr-CA" w:eastAsia="en-CA"/>
    </w:rPr>
  </w:style>
  <w:style w:type="character" w:customStyle="1" w:styleId="SCCRespondentForCitationChar">
    <w:name w:val="SCC.RespondentForCitation Char"/>
    <w:basedOn w:val="DefaultParagraphFont"/>
    <w:link w:val="SCCRespondentForCitation"/>
    <w:rsid w:val="008912DA"/>
    <w:rPr>
      <w:rFonts w:eastAsia="Times New Roman" w:cs="Times New Roman"/>
      <w:i/>
      <w:szCs w:val="20"/>
      <w:lang w:val="fr-CA" w:eastAsia="en-CA"/>
    </w:rPr>
  </w:style>
  <w:style w:type="paragraph" w:customStyle="1" w:styleId="SCCPartyRole">
    <w:name w:val="SCC.PartyRole"/>
    <w:basedOn w:val="SCCNormalDoubleSpacing"/>
    <w:next w:val="SCCNormalDoubleSpacing"/>
    <w:link w:val="SCCPartyRoleChar"/>
    <w:rsid w:val="008912DA"/>
    <w:pPr>
      <w:tabs>
        <w:tab w:val="left" w:pos="1168"/>
      </w:tabs>
    </w:pPr>
    <w:rPr>
      <w:lang w:val="fr-CA"/>
    </w:rPr>
  </w:style>
  <w:style w:type="character" w:customStyle="1" w:styleId="SCCPartyRoleChar">
    <w:name w:val="SCC.PartyRole Char"/>
    <w:basedOn w:val="SCCNormalDoubleSpacingChar"/>
    <w:link w:val="SCCPartyRole"/>
    <w:rsid w:val="008912DA"/>
    <w:rPr>
      <w:lang w:val="fr-CA"/>
    </w:rPr>
  </w:style>
  <w:style w:type="paragraph" w:customStyle="1" w:styleId="ParaNoNdepar-AltN">
    <w:name w:val="Para. No. / Nº de par. - Alt N"/>
    <w:qFormat/>
    <w:rsid w:val="008912DA"/>
    <w:pPr>
      <w:numPr>
        <w:numId w:val="2"/>
      </w:numPr>
      <w:spacing w:before="480" w:after="480" w:line="480" w:lineRule="auto"/>
      <w:jc w:val="both"/>
    </w:pPr>
    <w:rPr>
      <w:rFonts w:eastAsia="Times New Roman" w:cs="Times New Roman"/>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68" Type="http://schemas.openxmlformats.org/officeDocument/2006/relationships/header" Target="header30.xml"/><Relationship Id="rId7" Type="http://schemas.openxmlformats.org/officeDocument/2006/relationships/image" Target="media/image1.wmf"/><Relationship Id="rId71" Type="http://schemas.openxmlformats.org/officeDocument/2006/relationships/footer" Target="footer3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header" Target="header2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69" Type="http://schemas.openxmlformats.org/officeDocument/2006/relationships/footer" Target="footer30.xml"/><Relationship Id="rId8" Type="http://schemas.openxmlformats.org/officeDocument/2006/relationships/hyperlink" Target="http://www.scc-csc.gc.ca" TargetMode="External"/><Relationship Id="rId51" Type="http://schemas.openxmlformats.org/officeDocument/2006/relationships/footer" Target="footer21.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33535</Words>
  <Characters>191150</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2013-03-08T17:00:00Z</dcterms:created>
  <dcterms:modified xsi:type="dcterms:W3CDTF">2013-03-11T17:29:00Z</dcterms:modified>
</cp:coreProperties>
</file>