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BF" w:rsidRDefault="00941DA3" w:rsidP="001866BF">
      <w:pPr>
        <w:widowControl w:val="0"/>
      </w:pPr>
      <w:r>
        <w:fldChar w:fldCharType="begin"/>
      </w:r>
      <w:r w:rsidR="001866BF">
        <w:instrText xml:space="preserve"> SEQ CHAPTER \h \r 1</w:instrText>
      </w:r>
      <w:r>
        <w:fldChar w:fldCharType="end"/>
      </w:r>
      <w:r w:rsidR="001866BF">
        <w:rPr>
          <w:b/>
        </w:rPr>
        <w:t>SUPREME COURT OF CANADA -- JUDGMENTS TO BE RENDERED IN LEAVE APPLICATIONS</w:t>
      </w:r>
      <w:r w:rsidR="00C342CA">
        <w:rPr>
          <w:b/>
        </w:rPr>
        <w:t xml:space="preserve"> </w:t>
      </w:r>
    </w:p>
    <w:p w:rsidR="001866BF" w:rsidRDefault="001866BF" w:rsidP="001866BF">
      <w:pPr>
        <w:widowControl w:val="0"/>
      </w:pPr>
      <w:proofErr w:type="gramStart"/>
      <w:r>
        <w:t>OTTAWA, 201</w:t>
      </w:r>
      <w:r w:rsidR="00C31C5A">
        <w:t>2</w:t>
      </w:r>
      <w:r>
        <w:t>-</w:t>
      </w:r>
      <w:r w:rsidR="00C03932">
        <w:t>0</w:t>
      </w:r>
      <w:r w:rsidR="00C34515">
        <w:t>4</w:t>
      </w:r>
      <w:r>
        <w:t>-</w:t>
      </w:r>
      <w:r w:rsidR="00C34515">
        <w:t>0</w:t>
      </w:r>
      <w:r w:rsidR="00B45B27">
        <w:t>2</w:t>
      </w:r>
      <w:r>
        <w:t>.</w:t>
      </w:r>
      <w:proofErr w:type="gramEnd"/>
      <w:r>
        <w:t xml:space="preserve">  THE  SUPREME  COURT  OF  CANADA  ANNOUNCED  TODAY  THAT  JUDGMENT  IN  THE  FOLLOWING  APPLICATIONS  FOR  LEAVE  TO  APPEAL  WILL  BE  DELIVERED  AT  9:45  A.M.  </w:t>
      </w:r>
      <w:proofErr w:type="gramStart"/>
      <w:r>
        <w:t>E</w:t>
      </w:r>
      <w:r w:rsidR="00C935F6">
        <w:t>D</w:t>
      </w:r>
      <w:r>
        <w:t>T  ON</w:t>
      </w:r>
      <w:proofErr w:type="gramEnd"/>
      <w:r>
        <w:t xml:space="preserve">  THURSDAY,  </w:t>
      </w:r>
      <w:r w:rsidR="001813C3">
        <w:t>A</w:t>
      </w:r>
      <w:r w:rsidR="00C34515">
        <w:t xml:space="preserve">PRIL </w:t>
      </w:r>
      <w:r w:rsidR="009C5124">
        <w:t xml:space="preserve"> </w:t>
      </w:r>
      <w:r w:rsidR="00C34515">
        <w:t>5</w:t>
      </w:r>
      <w:r w:rsidR="00C03932">
        <w:t>,</w:t>
      </w:r>
      <w:r>
        <w:t xml:space="preserve">  201</w:t>
      </w:r>
      <w:r w:rsidR="00C31C5A">
        <w:t>2</w:t>
      </w:r>
      <w:r>
        <w:t xml:space="preserve">.  </w:t>
      </w:r>
      <w:proofErr w:type="gramStart"/>
      <w:r>
        <w:t>THIS  LIST</w:t>
      </w:r>
      <w:proofErr w:type="gramEnd"/>
      <w:r>
        <w:t xml:space="preserve">  IS  SUBJECT  TO  CHANGE.</w:t>
      </w:r>
    </w:p>
    <w:p w:rsidR="001866BF" w:rsidRDefault="001866BF" w:rsidP="001866BF">
      <w:r>
        <w:t xml:space="preserve">FROM:  </w:t>
      </w:r>
      <w:proofErr w:type="gramStart"/>
      <w:r>
        <w:t>SUPREME  COURT</w:t>
      </w:r>
      <w:proofErr w:type="gramEnd"/>
      <w:r>
        <w:t xml:space="preserve">  OF  CANADA  (613) 995-4330</w:t>
      </w:r>
    </w:p>
    <w:p w:rsidR="001866BF" w:rsidRDefault="001866BF" w:rsidP="001866BF"/>
    <w:p w:rsidR="001866BF" w:rsidRPr="00C342CA" w:rsidRDefault="001866BF" w:rsidP="001866BF">
      <w:pPr>
        <w:widowControl w:val="0"/>
        <w:rPr>
          <w:lang w:val="fr-CA"/>
        </w:rPr>
      </w:pPr>
      <w:r w:rsidRPr="00E2187E">
        <w:rPr>
          <w:b/>
          <w:lang w:val="fr-CA"/>
        </w:rPr>
        <w:t>COUR SUPRÊME DU CANADA -- PROCHAIN</w:t>
      </w:r>
      <w:r>
        <w:rPr>
          <w:b/>
          <w:lang w:val="fr-CA"/>
        </w:rPr>
        <w:t>S</w:t>
      </w:r>
      <w:r w:rsidRPr="00E2187E">
        <w:rPr>
          <w:b/>
          <w:lang w:val="fr-CA"/>
        </w:rPr>
        <w:t xml:space="preserve"> JUGEMENT</w:t>
      </w:r>
      <w:r>
        <w:rPr>
          <w:b/>
          <w:lang w:val="fr-CA"/>
        </w:rPr>
        <w:t>S SUR DEMANDES</w:t>
      </w:r>
      <w:r w:rsidRPr="00E2187E">
        <w:rPr>
          <w:b/>
          <w:lang w:val="fr-CA"/>
        </w:rPr>
        <w:t xml:space="preserve"> D’AUTORISATION</w:t>
      </w:r>
      <w:r w:rsidR="00C342CA">
        <w:rPr>
          <w:b/>
          <w:lang w:val="fr-CA"/>
        </w:rPr>
        <w:t xml:space="preserve"> </w:t>
      </w:r>
    </w:p>
    <w:p w:rsidR="001866BF" w:rsidRPr="00E2187E" w:rsidRDefault="001866BF" w:rsidP="001866BF">
      <w:pPr>
        <w:widowControl w:val="0"/>
        <w:rPr>
          <w:lang w:val="fr-CA"/>
        </w:rPr>
      </w:pPr>
      <w:r w:rsidRPr="00E2187E">
        <w:rPr>
          <w:lang w:val="fr-CA"/>
        </w:rPr>
        <w:t>OTTAWA, 201</w:t>
      </w:r>
      <w:r w:rsidR="00C31C5A">
        <w:rPr>
          <w:lang w:val="fr-CA"/>
        </w:rPr>
        <w:t>2</w:t>
      </w:r>
      <w:r w:rsidRPr="00E2187E">
        <w:rPr>
          <w:lang w:val="fr-CA"/>
        </w:rPr>
        <w:t>-</w:t>
      </w:r>
      <w:r w:rsidR="00C03932">
        <w:rPr>
          <w:lang w:val="fr-CA"/>
        </w:rPr>
        <w:t>0</w:t>
      </w:r>
      <w:r w:rsidR="00C34515">
        <w:rPr>
          <w:lang w:val="fr-CA"/>
        </w:rPr>
        <w:t>4</w:t>
      </w:r>
      <w:r>
        <w:rPr>
          <w:lang w:val="fr-CA"/>
        </w:rPr>
        <w:t>-</w:t>
      </w:r>
      <w:r w:rsidR="00C34515">
        <w:rPr>
          <w:lang w:val="fr-CA"/>
        </w:rPr>
        <w:t>0</w:t>
      </w:r>
      <w:r w:rsidR="00B45B27">
        <w:rPr>
          <w:lang w:val="fr-CA"/>
        </w:rPr>
        <w:t>2</w:t>
      </w:r>
      <w:r w:rsidRPr="00E2187E">
        <w:rPr>
          <w:lang w:val="fr-CA"/>
        </w:rPr>
        <w:t>.  LA  COUR  SUPRÊME  DU  CANADA  ANNONCE  QUE  JUGEMENT  SERA  RENDU  DANS  L</w:t>
      </w:r>
      <w:r>
        <w:rPr>
          <w:lang w:val="fr-CA"/>
        </w:rPr>
        <w:t>ES</w:t>
      </w:r>
      <w:r w:rsidRPr="00E2187E">
        <w:rPr>
          <w:lang w:val="fr-CA"/>
        </w:rPr>
        <w:t xml:space="preserve">  DEMANDE</w:t>
      </w:r>
      <w:r>
        <w:rPr>
          <w:lang w:val="fr-CA"/>
        </w:rPr>
        <w:t>S</w:t>
      </w:r>
      <w:r w:rsidRPr="00E2187E">
        <w:rPr>
          <w:lang w:val="fr-CA"/>
        </w:rPr>
        <w:t xml:space="preserve">  D</w:t>
      </w:r>
      <w:r>
        <w:rPr>
          <w:lang w:val="fr-CA"/>
        </w:rPr>
        <w:t>’AUTORISATION  D’APPEL  SUIVANTES</w:t>
      </w:r>
      <w:r w:rsidRPr="00E2187E">
        <w:rPr>
          <w:lang w:val="fr-CA"/>
        </w:rPr>
        <w:t xml:space="preserve">  LE  JEUDI </w:t>
      </w:r>
      <w:r w:rsidR="002F3830">
        <w:rPr>
          <w:lang w:val="fr-CA"/>
        </w:rPr>
        <w:t xml:space="preserve"> </w:t>
      </w:r>
      <w:r w:rsidR="00C34515">
        <w:rPr>
          <w:lang w:val="fr-CA"/>
        </w:rPr>
        <w:t>5</w:t>
      </w:r>
      <w:r w:rsidRPr="00E2187E">
        <w:rPr>
          <w:lang w:val="fr-CA"/>
        </w:rPr>
        <w:t xml:space="preserve">  </w:t>
      </w:r>
      <w:r w:rsidR="00C34515">
        <w:rPr>
          <w:lang w:val="fr-CA"/>
        </w:rPr>
        <w:t>AVRIL</w:t>
      </w:r>
      <w:r w:rsidR="00C03932">
        <w:rPr>
          <w:lang w:val="fr-CA"/>
        </w:rPr>
        <w:t xml:space="preserve"> </w:t>
      </w:r>
      <w:r w:rsidRPr="00E2187E">
        <w:rPr>
          <w:lang w:val="fr-CA"/>
        </w:rPr>
        <w:t xml:space="preserve"> 201</w:t>
      </w:r>
      <w:r w:rsidR="00C31C5A">
        <w:rPr>
          <w:lang w:val="fr-CA"/>
        </w:rPr>
        <w:t>2</w:t>
      </w:r>
      <w:r w:rsidRPr="00E2187E">
        <w:rPr>
          <w:lang w:val="fr-CA"/>
        </w:rPr>
        <w:t>,  À  9 H 45  H</w:t>
      </w:r>
      <w:r w:rsidR="00C935F6">
        <w:rPr>
          <w:lang w:val="fr-CA"/>
        </w:rPr>
        <w:t>A</w:t>
      </w:r>
      <w:r w:rsidRPr="00E2187E">
        <w:rPr>
          <w:lang w:val="fr-CA"/>
        </w:rPr>
        <w:t>E.  CETTE  LISTE  EST  SUJETTE  À  MODIFICATIONS.</w:t>
      </w:r>
    </w:p>
    <w:p w:rsidR="001866BF" w:rsidRPr="00E2187E" w:rsidRDefault="001866BF" w:rsidP="001866BF">
      <w:pPr>
        <w:widowControl w:val="0"/>
        <w:rPr>
          <w:lang w:val="fr-CA"/>
        </w:rPr>
      </w:pPr>
      <w:r w:rsidRPr="00E2187E">
        <w:rPr>
          <w:lang w:val="fr-CA"/>
        </w:rPr>
        <w:t>SOURCE</w:t>
      </w:r>
      <w:proofErr w:type="gramStart"/>
      <w:r w:rsidRPr="00E2187E">
        <w:rPr>
          <w:lang w:val="fr-CA"/>
        </w:rPr>
        <w:t>:  COUR</w:t>
      </w:r>
      <w:proofErr w:type="gramEnd"/>
      <w:r w:rsidRPr="00E2187E">
        <w:rPr>
          <w:lang w:val="fr-CA"/>
        </w:rPr>
        <w:t xml:space="preserve">  SUPRÊME  DU  CANADA  (613) 995-4330</w:t>
      </w:r>
    </w:p>
    <w:p w:rsidR="001866BF" w:rsidRDefault="001866BF" w:rsidP="001866BF">
      <w:pPr>
        <w:rPr>
          <w:lang w:val="fr-CA"/>
        </w:rPr>
      </w:pPr>
    </w:p>
    <w:p w:rsidR="00E45E6B" w:rsidRDefault="00E45E6B" w:rsidP="001866BF">
      <w:pPr>
        <w:widowControl w:val="0"/>
        <w:rPr>
          <w:lang w:val="fr-CA"/>
        </w:rPr>
      </w:pPr>
    </w:p>
    <w:p w:rsidR="001866BF" w:rsidRPr="00E2187E" w:rsidRDefault="001866BF" w:rsidP="001866BF">
      <w:pPr>
        <w:widowControl w:val="0"/>
        <w:rPr>
          <w:sz w:val="20"/>
          <w:lang w:val="fr-CA"/>
        </w:rPr>
      </w:pPr>
      <w:r w:rsidRPr="00E2187E">
        <w:rPr>
          <w:lang w:val="fr-CA"/>
        </w:rPr>
        <w:t xml:space="preserve">COMMENTS/COMMENTAIRES: </w:t>
      </w:r>
      <w:hyperlink r:id="rId8" w:history="1">
        <w:r w:rsidRPr="00E2187E">
          <w:rPr>
            <w:color w:val="0000FF"/>
            <w:u w:val="single"/>
            <w:lang w:val="fr-CA"/>
          </w:rPr>
          <w:t>comments-commentaires@scc-csc.gc.ca</w:t>
        </w:r>
      </w:hyperlink>
    </w:p>
    <w:p w:rsidR="001866BF" w:rsidRPr="00E2187E" w:rsidRDefault="001866BF" w:rsidP="001866BF">
      <w:pPr>
        <w:widowControl w:val="0"/>
        <w:rPr>
          <w:sz w:val="20"/>
          <w:lang w:val="fr-CA"/>
        </w:rPr>
      </w:pPr>
    </w:p>
    <w:p w:rsidR="001866BF" w:rsidRDefault="001866BF" w:rsidP="001866BF">
      <w:pPr>
        <w:widowControl w:val="0"/>
        <w:rPr>
          <w:sz w:val="22"/>
        </w:rPr>
      </w:pPr>
      <w:r>
        <w:rPr>
          <w:sz w:val="22"/>
        </w:rPr>
        <w:t xml:space="preserve">Note for subscribers: </w:t>
      </w:r>
    </w:p>
    <w:p w:rsidR="001866BF" w:rsidRDefault="001866BF" w:rsidP="001866BF">
      <w:pPr>
        <w:widowControl w:val="0"/>
        <w:rPr>
          <w:sz w:val="22"/>
        </w:rPr>
      </w:pPr>
      <w:r>
        <w:rPr>
          <w:sz w:val="22"/>
        </w:rPr>
        <w:t xml:space="preserve">The summaries of the cases are available at </w:t>
      </w:r>
      <w:hyperlink r:id="rId9" w:history="1">
        <w:r>
          <w:rPr>
            <w:color w:val="0000FF"/>
            <w:sz w:val="22"/>
            <w:u w:val="single"/>
          </w:rPr>
          <w:t>http://www.scc-csc.gc.ca</w:t>
        </w:r>
      </w:hyperlink>
      <w:r>
        <w:rPr>
          <w:sz w:val="22"/>
        </w:rPr>
        <w:t>:</w:t>
      </w:r>
    </w:p>
    <w:p w:rsidR="001866BF" w:rsidRDefault="001866BF" w:rsidP="001866BF">
      <w:pPr>
        <w:widowControl w:val="0"/>
        <w:rPr>
          <w:sz w:val="22"/>
        </w:rPr>
      </w:pPr>
      <w:r>
        <w:rPr>
          <w:sz w:val="22"/>
        </w:rPr>
        <w:t>Click on Cases and on SCC Case Information, type in the Case Number and press Search.  Click on the Case Number on the Search Results screen, and when the docket screen appears, click on “Summary” which will appear in the left column.</w:t>
      </w:r>
    </w:p>
    <w:p w:rsidR="001866BF" w:rsidRDefault="001866BF" w:rsidP="001866BF">
      <w:pPr>
        <w:widowControl w:val="0"/>
        <w:rPr>
          <w:sz w:val="22"/>
        </w:rPr>
      </w:pPr>
    </w:p>
    <w:p w:rsidR="001866BF" w:rsidRDefault="001866BF" w:rsidP="001866BF">
      <w:pPr>
        <w:widowControl w:val="0"/>
        <w:rPr>
          <w:sz w:val="22"/>
        </w:rPr>
      </w:pPr>
      <w:r>
        <w:rPr>
          <w:sz w:val="22"/>
        </w:rPr>
        <w:t xml:space="preserve">Alternatively, click on </w:t>
      </w:r>
    </w:p>
    <w:p w:rsidR="001866BF" w:rsidRDefault="00941DA3" w:rsidP="001866BF">
      <w:pPr>
        <w:widowControl w:val="0"/>
        <w:rPr>
          <w:sz w:val="22"/>
        </w:rPr>
      </w:pPr>
      <w:hyperlink r:id="rId10" w:history="1">
        <w:r w:rsidR="00C34515" w:rsidRPr="00AF4E5E">
          <w:rPr>
            <w:rStyle w:val="Hyperlink"/>
            <w:sz w:val="22"/>
          </w:rPr>
          <w:t>http://scc.lexum.org/en/news_release/2012/12-04-02.2a/12-04-02.2a.html</w:t>
        </w:r>
      </w:hyperlink>
    </w:p>
    <w:p w:rsidR="001866BF" w:rsidRDefault="001866BF" w:rsidP="001866BF">
      <w:pPr>
        <w:widowControl w:val="0"/>
        <w:rPr>
          <w:sz w:val="22"/>
        </w:rPr>
      </w:pPr>
    </w:p>
    <w:p w:rsidR="001866BF" w:rsidRPr="00E2187E" w:rsidRDefault="001866BF" w:rsidP="001866BF">
      <w:pPr>
        <w:widowControl w:val="0"/>
        <w:rPr>
          <w:sz w:val="22"/>
          <w:lang w:val="fr-CA"/>
        </w:rPr>
      </w:pPr>
      <w:r w:rsidRPr="00E2187E">
        <w:rPr>
          <w:sz w:val="22"/>
          <w:lang w:val="fr-CA"/>
        </w:rPr>
        <w:t xml:space="preserve">Note pour les abonnés : </w:t>
      </w:r>
    </w:p>
    <w:p w:rsidR="001866BF" w:rsidRPr="00E2187E" w:rsidRDefault="001866BF" w:rsidP="001866BF">
      <w:pPr>
        <w:widowControl w:val="0"/>
        <w:rPr>
          <w:sz w:val="22"/>
          <w:lang w:val="fr-CA"/>
        </w:rPr>
      </w:pPr>
      <w:r w:rsidRPr="00E2187E">
        <w:rPr>
          <w:sz w:val="22"/>
          <w:lang w:val="fr-CA"/>
        </w:rPr>
        <w:t xml:space="preserve">Les sommaires des causes sont affichés à l’adresse </w:t>
      </w:r>
      <w:hyperlink r:id="rId11" w:history="1">
        <w:r w:rsidRPr="00E2187E">
          <w:rPr>
            <w:color w:val="0000FF"/>
            <w:sz w:val="22"/>
            <w:u w:val="single"/>
            <w:lang w:val="fr-CA"/>
          </w:rPr>
          <w:t>http://www.scc-csc.gc.ca</w:t>
        </w:r>
      </w:hyperlink>
      <w:r w:rsidRPr="00E2187E">
        <w:rPr>
          <w:sz w:val="22"/>
          <w:lang w:val="fr-CA"/>
        </w:rPr>
        <w:t xml:space="preserve"> :</w:t>
      </w:r>
    </w:p>
    <w:p w:rsidR="001866BF" w:rsidRPr="00E2187E" w:rsidRDefault="001866BF" w:rsidP="001866BF">
      <w:pPr>
        <w:widowControl w:val="0"/>
        <w:rPr>
          <w:sz w:val="22"/>
          <w:lang w:val="fr-CA"/>
        </w:rPr>
      </w:pPr>
      <w:r w:rsidRPr="00E2187E">
        <w:rPr>
          <w:sz w:val="22"/>
          <w:lang w:val="fr-CA"/>
        </w:rPr>
        <w:t>Cliquez sur « Dossiers », puis sur « Renseignements sur les dossiers ». Tapez le n</w:t>
      </w:r>
      <w:r w:rsidRPr="00E2187E">
        <w:rPr>
          <w:sz w:val="22"/>
          <w:vertAlign w:val="superscript"/>
          <w:lang w:val="fr-CA"/>
        </w:rPr>
        <w:t>o</w:t>
      </w:r>
      <w:r w:rsidRPr="00E2187E">
        <w:rPr>
          <w:sz w:val="22"/>
          <w:lang w:val="fr-CA"/>
        </w:rPr>
        <w:t xml:space="preserve"> de dossier et appuyez sur « Recherche ».  Cliquez sur le n</w:t>
      </w:r>
      <w:r w:rsidRPr="00E2187E">
        <w:rPr>
          <w:sz w:val="22"/>
          <w:vertAlign w:val="superscript"/>
          <w:lang w:val="fr-CA"/>
        </w:rPr>
        <w:t>o</w:t>
      </w:r>
      <w:r w:rsidRPr="00E2187E">
        <w:rPr>
          <w:sz w:val="22"/>
          <w:lang w:val="fr-CA"/>
        </w:rPr>
        <w:t xml:space="preserve"> du dossier dans les Résultats de la recherche pour accéder au Registre.  Cliquez enfin sur le lien menant au « Sommaire » qui figure dans la colonne de gauche.</w:t>
      </w:r>
    </w:p>
    <w:p w:rsidR="001866BF" w:rsidRPr="00E2187E" w:rsidRDefault="001866BF" w:rsidP="001866BF">
      <w:pPr>
        <w:widowControl w:val="0"/>
        <w:rPr>
          <w:sz w:val="22"/>
          <w:lang w:val="fr-CA"/>
        </w:rPr>
      </w:pPr>
    </w:p>
    <w:p w:rsidR="001866BF" w:rsidRPr="00E2187E" w:rsidRDefault="001866BF" w:rsidP="001866BF">
      <w:pPr>
        <w:widowControl w:val="0"/>
        <w:rPr>
          <w:sz w:val="22"/>
          <w:lang w:val="fr-CA"/>
        </w:rPr>
      </w:pPr>
      <w:r w:rsidRPr="00E2187E">
        <w:rPr>
          <w:sz w:val="22"/>
          <w:lang w:val="fr-CA"/>
        </w:rPr>
        <w:t xml:space="preserve">Autre façon de procéder : Cliquer sur </w:t>
      </w:r>
    </w:p>
    <w:p w:rsidR="001866BF" w:rsidRDefault="00941DA3" w:rsidP="001866BF">
      <w:pPr>
        <w:widowControl w:val="0"/>
        <w:rPr>
          <w:color w:val="0000FF"/>
          <w:sz w:val="22"/>
          <w:u w:val="single"/>
          <w:lang w:val="fr-CA"/>
        </w:rPr>
      </w:pPr>
      <w:hyperlink r:id="rId12" w:history="1">
        <w:r w:rsidR="00535A60" w:rsidRPr="00AF4E5E">
          <w:rPr>
            <w:rStyle w:val="Hyperlink"/>
            <w:sz w:val="22"/>
            <w:lang w:val="fr-CA"/>
          </w:rPr>
          <w:t>http://scc.lexum.org/fr/news_release/2012/12-04-02.2a/12-04-02.2a.html</w:t>
        </w:r>
      </w:hyperlink>
    </w:p>
    <w:p w:rsidR="001866BF" w:rsidRPr="00B25FB2" w:rsidRDefault="001866BF" w:rsidP="001866BF">
      <w:pPr>
        <w:widowControl w:val="0"/>
        <w:rPr>
          <w:sz w:val="20"/>
          <w:lang w:val="fr-CA"/>
        </w:rPr>
      </w:pPr>
    </w:p>
    <w:p w:rsidR="00535A60" w:rsidRPr="00B25FB2" w:rsidRDefault="00535A60" w:rsidP="001866BF">
      <w:pPr>
        <w:widowControl w:val="0"/>
        <w:rPr>
          <w:sz w:val="20"/>
          <w:lang w:val="fr-CA"/>
        </w:rPr>
      </w:pPr>
    </w:p>
    <w:p w:rsidR="00561B18" w:rsidRPr="00B25FB2" w:rsidRDefault="00561B18" w:rsidP="00B25FB2">
      <w:pPr>
        <w:numPr>
          <w:ilvl w:val="0"/>
          <w:numId w:val="27"/>
        </w:numPr>
        <w:ind w:left="360"/>
        <w:rPr>
          <w:sz w:val="20"/>
          <w:lang w:val="en-CA"/>
        </w:rPr>
      </w:pPr>
      <w:r w:rsidRPr="00B25FB2">
        <w:rPr>
          <w:i/>
          <w:sz w:val="20"/>
        </w:rPr>
        <w:t>Her Majesty the Queen</w:t>
      </w:r>
      <w:r w:rsidR="00173B3A">
        <w:rPr>
          <w:i/>
          <w:sz w:val="20"/>
        </w:rPr>
        <w:t xml:space="preserve"> et al.</w:t>
      </w:r>
      <w:r w:rsidRPr="00B25FB2">
        <w:rPr>
          <w:i/>
          <w:sz w:val="20"/>
        </w:rPr>
        <w:t xml:space="preserve"> v. Criminal Lawyers</w:t>
      </w:r>
      <w:r w:rsidR="00433941">
        <w:rPr>
          <w:i/>
          <w:sz w:val="20"/>
        </w:rPr>
        <w:t>’</w:t>
      </w:r>
      <w:r w:rsidRPr="00B25FB2">
        <w:rPr>
          <w:i/>
          <w:sz w:val="20"/>
        </w:rPr>
        <w:t xml:space="preserve"> Association of Ontario et al.</w:t>
      </w:r>
      <w:r w:rsidRPr="00B25FB2">
        <w:rPr>
          <w:sz w:val="20"/>
        </w:rPr>
        <w:t xml:space="preserve"> (Ont.) (Criminal) (By Leave) (34317)</w:t>
      </w:r>
    </w:p>
    <w:p w:rsidR="00561B18" w:rsidRPr="00B25FB2" w:rsidRDefault="00561B18" w:rsidP="00B25FB2">
      <w:pPr>
        <w:ind w:left="360" w:hanging="360"/>
        <w:rPr>
          <w:sz w:val="20"/>
          <w:lang w:val="en-CA"/>
        </w:rPr>
      </w:pPr>
    </w:p>
    <w:p w:rsidR="00561B18" w:rsidRPr="00B25FB2" w:rsidRDefault="00561B18" w:rsidP="00B25FB2">
      <w:pPr>
        <w:pStyle w:val="SCCAppellantInfoAppellantInfo"/>
        <w:numPr>
          <w:ilvl w:val="0"/>
          <w:numId w:val="27"/>
        </w:numPr>
        <w:ind w:left="360"/>
        <w:rPr>
          <w:sz w:val="20"/>
          <w:szCs w:val="20"/>
        </w:rPr>
      </w:pPr>
      <w:r w:rsidRPr="00B25FB2">
        <w:rPr>
          <w:i/>
          <w:sz w:val="20"/>
          <w:szCs w:val="20"/>
        </w:rPr>
        <w:t>Corporation of the Township of Galway-Cavendish and Harvey v. John Gordon Pate</w:t>
      </w:r>
      <w:r w:rsidRPr="00B25FB2">
        <w:rPr>
          <w:sz w:val="20"/>
          <w:szCs w:val="20"/>
        </w:rPr>
        <w:t xml:space="preserve"> (Ont.) (Civil) (By Leave) (34333)</w:t>
      </w:r>
    </w:p>
    <w:p w:rsidR="00561B18" w:rsidRPr="00B25FB2" w:rsidRDefault="00561B18" w:rsidP="00B25FB2">
      <w:pPr>
        <w:ind w:left="360" w:hanging="360"/>
        <w:rPr>
          <w:sz w:val="20"/>
          <w:u w:val="single"/>
          <w:lang w:val="en-CA"/>
        </w:rPr>
      </w:pPr>
    </w:p>
    <w:p w:rsidR="00561B18" w:rsidRPr="00B25FB2" w:rsidRDefault="00561B18" w:rsidP="00B25FB2">
      <w:pPr>
        <w:pStyle w:val="SCCAppellantInfoAppellantInfo"/>
        <w:numPr>
          <w:ilvl w:val="0"/>
          <w:numId w:val="27"/>
        </w:numPr>
        <w:ind w:left="360"/>
        <w:jc w:val="both"/>
        <w:rPr>
          <w:sz w:val="20"/>
          <w:szCs w:val="20"/>
        </w:rPr>
      </w:pPr>
      <w:r w:rsidRPr="00B25FB2">
        <w:rPr>
          <w:i/>
          <w:sz w:val="20"/>
          <w:szCs w:val="20"/>
        </w:rPr>
        <w:t xml:space="preserve">Sally Behn et al. v. Moulton Contracting Ltd. et al. </w:t>
      </w:r>
      <w:r w:rsidRPr="00B25FB2">
        <w:rPr>
          <w:sz w:val="20"/>
          <w:szCs w:val="20"/>
        </w:rPr>
        <w:t>(B.C.) (Civil)</w:t>
      </w:r>
      <w:r w:rsidR="00173B3A">
        <w:rPr>
          <w:sz w:val="20"/>
          <w:szCs w:val="20"/>
        </w:rPr>
        <w:t xml:space="preserve"> </w:t>
      </w:r>
      <w:r w:rsidRPr="00B25FB2">
        <w:rPr>
          <w:sz w:val="20"/>
          <w:szCs w:val="20"/>
        </w:rPr>
        <w:t>(By Leave) (34404)</w:t>
      </w:r>
    </w:p>
    <w:p w:rsidR="00561B18" w:rsidRPr="00B25FB2" w:rsidRDefault="00561B18" w:rsidP="00B25FB2">
      <w:pPr>
        <w:ind w:left="360" w:hanging="360"/>
        <w:rPr>
          <w:sz w:val="20"/>
          <w:lang w:val="en-CA"/>
        </w:rPr>
      </w:pPr>
    </w:p>
    <w:p w:rsidR="00561B18" w:rsidRPr="00B25FB2" w:rsidRDefault="00561B18" w:rsidP="00B25FB2">
      <w:pPr>
        <w:pStyle w:val="SCCAppellantInfoAppellantInfo"/>
        <w:numPr>
          <w:ilvl w:val="0"/>
          <w:numId w:val="27"/>
        </w:numPr>
        <w:ind w:left="360"/>
        <w:rPr>
          <w:sz w:val="20"/>
          <w:szCs w:val="20"/>
        </w:rPr>
      </w:pPr>
      <w:r w:rsidRPr="00B25FB2">
        <w:rPr>
          <w:i/>
          <w:sz w:val="20"/>
          <w:szCs w:val="20"/>
        </w:rPr>
        <w:t>Marine Services International Limited et al. v. Estate of Joseph Ryan, by it's Administratrix, Yvonne Ryan et al.</w:t>
      </w:r>
      <w:r w:rsidRPr="00B25FB2">
        <w:rPr>
          <w:sz w:val="20"/>
          <w:szCs w:val="20"/>
        </w:rPr>
        <w:t xml:space="preserve"> (N.L.) (Civil) (By Leave) (34429)</w:t>
      </w:r>
    </w:p>
    <w:p w:rsidR="00561B18" w:rsidRPr="00B25FB2" w:rsidRDefault="00561B18" w:rsidP="00B25FB2">
      <w:pPr>
        <w:spacing w:line="276" w:lineRule="auto"/>
        <w:ind w:left="360" w:hanging="360"/>
        <w:rPr>
          <w:sz w:val="20"/>
          <w:lang w:val="en-CA"/>
        </w:rPr>
      </w:pPr>
    </w:p>
    <w:p w:rsidR="00561B18" w:rsidRPr="00B25FB2" w:rsidRDefault="00561B18" w:rsidP="00B25FB2">
      <w:pPr>
        <w:pStyle w:val="SCCAppellantInfoAppellantInfo"/>
        <w:numPr>
          <w:ilvl w:val="0"/>
          <w:numId w:val="27"/>
        </w:numPr>
        <w:ind w:left="360"/>
        <w:rPr>
          <w:sz w:val="20"/>
          <w:szCs w:val="20"/>
        </w:rPr>
      </w:pPr>
      <w:r w:rsidRPr="00B25FB2">
        <w:rPr>
          <w:i/>
          <w:sz w:val="20"/>
          <w:szCs w:val="20"/>
        </w:rPr>
        <w:t xml:space="preserve">IBM Canada Limited v. Richard Waterman </w:t>
      </w:r>
      <w:r w:rsidRPr="00B25FB2">
        <w:rPr>
          <w:sz w:val="20"/>
          <w:szCs w:val="20"/>
        </w:rPr>
        <w:t>(B.C.) (Civil) (By Leave) (34472)</w:t>
      </w:r>
    </w:p>
    <w:p w:rsidR="00561B18" w:rsidRPr="00B25FB2" w:rsidRDefault="00561B18" w:rsidP="00B25FB2">
      <w:pPr>
        <w:pStyle w:val="SCCAppellantInfoAppellantInfo"/>
        <w:ind w:left="360" w:hanging="360"/>
        <w:rPr>
          <w:sz w:val="20"/>
          <w:szCs w:val="20"/>
        </w:rPr>
      </w:pPr>
    </w:p>
    <w:p w:rsidR="00561B18" w:rsidRPr="0084161A" w:rsidRDefault="00561B18" w:rsidP="00B25FB2">
      <w:pPr>
        <w:pStyle w:val="SCCAppellantInfoAppellantInfo"/>
        <w:numPr>
          <w:ilvl w:val="0"/>
          <w:numId w:val="27"/>
        </w:numPr>
        <w:ind w:left="360"/>
        <w:rPr>
          <w:sz w:val="20"/>
          <w:szCs w:val="20"/>
        </w:rPr>
      </w:pPr>
      <w:r w:rsidRPr="0084161A">
        <w:rPr>
          <w:i/>
          <w:sz w:val="20"/>
          <w:szCs w:val="20"/>
        </w:rPr>
        <w:t xml:space="preserve">Eric Victor Cojocaru, an infant by his Guardian Ad Litem, Monica Cojocaru et al. v. British Columbia Women's Hospital and Health </w:t>
      </w:r>
      <w:r w:rsidRPr="0084161A">
        <w:rPr>
          <w:i/>
          <w:sz w:val="20"/>
          <w:szCs w:val="20"/>
          <w:lang w:val="en-US"/>
        </w:rPr>
        <w:t xml:space="preserve">Center et al. </w:t>
      </w:r>
      <w:r w:rsidRPr="0084161A">
        <w:rPr>
          <w:sz w:val="20"/>
          <w:szCs w:val="20"/>
        </w:rPr>
        <w:t>(B.C.) (Civil) (On Cross-Appeal) (34304)</w:t>
      </w:r>
    </w:p>
    <w:p w:rsidR="00B25FB2" w:rsidRPr="00B25FB2" w:rsidRDefault="00B25FB2" w:rsidP="00B25FB2">
      <w:pPr>
        <w:ind w:left="360" w:hanging="360"/>
        <w:rPr>
          <w:lang w:val="en-CA"/>
        </w:rPr>
      </w:pPr>
    </w:p>
    <w:p w:rsidR="00561B18" w:rsidRPr="00B25FB2" w:rsidRDefault="00561B18" w:rsidP="00B25FB2">
      <w:pPr>
        <w:pStyle w:val="SCCLsocParty"/>
        <w:numPr>
          <w:ilvl w:val="0"/>
          <w:numId w:val="27"/>
        </w:numPr>
        <w:ind w:left="360"/>
        <w:jc w:val="both"/>
        <w:rPr>
          <w:i/>
          <w:sz w:val="20"/>
          <w:szCs w:val="20"/>
          <w:lang w:val="en-US"/>
        </w:rPr>
      </w:pPr>
      <w:r w:rsidRPr="00B25FB2">
        <w:rPr>
          <w:i/>
          <w:sz w:val="20"/>
          <w:szCs w:val="20"/>
          <w:lang w:val="en-US"/>
        </w:rPr>
        <w:t>Ian James Bell</w:t>
      </w:r>
      <w:r w:rsidRPr="00B25FB2">
        <w:rPr>
          <w:sz w:val="20"/>
          <w:szCs w:val="20"/>
          <w:lang w:val="en-US"/>
        </w:rPr>
        <w:t xml:space="preserve"> </w:t>
      </w:r>
      <w:r w:rsidRPr="00B25FB2">
        <w:rPr>
          <w:i/>
          <w:sz w:val="20"/>
          <w:szCs w:val="20"/>
          <w:lang w:val="en-US"/>
        </w:rPr>
        <w:t>v. Her Majesty the Queen</w:t>
      </w:r>
      <w:r w:rsidRPr="00B25FB2">
        <w:rPr>
          <w:sz w:val="20"/>
          <w:szCs w:val="20"/>
          <w:lang w:val="en-US"/>
        </w:rPr>
        <w:t xml:space="preserve"> (Ont.) (Criminal) (By Leave) (34511)</w:t>
      </w:r>
    </w:p>
    <w:p w:rsidR="00561B18" w:rsidRPr="00B25FB2" w:rsidRDefault="00561B18" w:rsidP="00B25FB2">
      <w:pPr>
        <w:widowControl w:val="0"/>
        <w:ind w:left="360" w:hanging="360"/>
        <w:rPr>
          <w:sz w:val="20"/>
          <w:lang w:val="en-GB"/>
        </w:rPr>
      </w:pPr>
    </w:p>
    <w:p w:rsidR="00561B18" w:rsidRPr="00B25FB2" w:rsidRDefault="00561B18" w:rsidP="00B25FB2">
      <w:pPr>
        <w:widowControl w:val="0"/>
        <w:numPr>
          <w:ilvl w:val="0"/>
          <w:numId w:val="27"/>
        </w:numPr>
        <w:ind w:left="360"/>
        <w:jc w:val="both"/>
        <w:rPr>
          <w:sz w:val="20"/>
        </w:rPr>
      </w:pPr>
      <w:r w:rsidRPr="00B25FB2">
        <w:rPr>
          <w:i/>
          <w:sz w:val="20"/>
        </w:rPr>
        <w:t>Jack Klundert</w:t>
      </w:r>
      <w:r w:rsidRPr="00B25FB2">
        <w:rPr>
          <w:sz w:val="20"/>
        </w:rPr>
        <w:t xml:space="preserve"> </w:t>
      </w:r>
      <w:r w:rsidRPr="00B25FB2">
        <w:rPr>
          <w:i/>
          <w:sz w:val="20"/>
        </w:rPr>
        <w:t xml:space="preserve">v. Her Majesty the Queen </w:t>
      </w:r>
      <w:r w:rsidRPr="00B25FB2">
        <w:rPr>
          <w:sz w:val="20"/>
        </w:rPr>
        <w:t>(Ont.) (Criminal) (By Leave) (34558)</w:t>
      </w:r>
    </w:p>
    <w:p w:rsidR="00561B18" w:rsidRPr="00B25FB2" w:rsidRDefault="00561B18" w:rsidP="00B25FB2">
      <w:pPr>
        <w:widowControl w:val="0"/>
        <w:ind w:left="360" w:hanging="360"/>
        <w:rPr>
          <w:sz w:val="20"/>
        </w:rPr>
      </w:pPr>
    </w:p>
    <w:p w:rsidR="00561B18" w:rsidRPr="00173B3A" w:rsidRDefault="00B25FB2" w:rsidP="00B25FB2">
      <w:pPr>
        <w:widowControl w:val="0"/>
        <w:numPr>
          <w:ilvl w:val="0"/>
          <w:numId w:val="27"/>
        </w:numPr>
        <w:ind w:left="360"/>
        <w:jc w:val="both"/>
        <w:rPr>
          <w:sz w:val="20"/>
          <w:lang w:val="fr-CA"/>
        </w:rPr>
      </w:pPr>
      <w:r w:rsidRPr="00173B3A">
        <w:rPr>
          <w:i/>
          <w:sz w:val="20"/>
          <w:lang w:val="fr-CA"/>
        </w:rPr>
        <w:t>S</w:t>
      </w:r>
      <w:r w:rsidR="00561B18" w:rsidRPr="00173B3A">
        <w:rPr>
          <w:i/>
          <w:sz w:val="20"/>
          <w:lang w:val="fr-CA"/>
        </w:rPr>
        <w:t>imon Cadorette</w:t>
      </w:r>
      <w:r w:rsidR="00561B18" w:rsidRPr="00173B3A">
        <w:rPr>
          <w:sz w:val="20"/>
          <w:lang w:val="fr-CA"/>
        </w:rPr>
        <w:t xml:space="preserve"> </w:t>
      </w:r>
      <w:r w:rsidR="00173B3A" w:rsidRPr="00173B3A">
        <w:rPr>
          <w:i/>
          <w:sz w:val="20"/>
          <w:lang w:val="fr-CA"/>
        </w:rPr>
        <w:t>c</w:t>
      </w:r>
      <w:r w:rsidR="00561B18" w:rsidRPr="00173B3A">
        <w:rPr>
          <w:i/>
          <w:sz w:val="20"/>
          <w:lang w:val="fr-CA"/>
        </w:rPr>
        <w:t xml:space="preserve">. </w:t>
      </w:r>
      <w:r w:rsidR="00173B3A" w:rsidRPr="00173B3A">
        <w:rPr>
          <w:i/>
          <w:sz w:val="20"/>
          <w:lang w:val="fr-CA"/>
        </w:rPr>
        <w:t>Sa Majest</w:t>
      </w:r>
      <w:r w:rsidR="00173B3A">
        <w:rPr>
          <w:i/>
          <w:sz w:val="20"/>
          <w:lang w:val="fr-CA"/>
        </w:rPr>
        <w:t xml:space="preserve">é la Reine </w:t>
      </w:r>
      <w:r w:rsidR="00561B18" w:rsidRPr="00173B3A">
        <w:rPr>
          <w:sz w:val="20"/>
          <w:lang w:val="fr-CA"/>
        </w:rPr>
        <w:t>(Q</w:t>
      </w:r>
      <w:r w:rsidR="00173B3A">
        <w:rPr>
          <w:sz w:val="20"/>
          <w:lang w:val="fr-CA"/>
        </w:rPr>
        <w:t>c</w:t>
      </w:r>
      <w:r w:rsidR="00561B18" w:rsidRPr="00173B3A">
        <w:rPr>
          <w:sz w:val="20"/>
          <w:lang w:val="fr-CA"/>
        </w:rPr>
        <w:t>) (Crimin</w:t>
      </w:r>
      <w:r w:rsidR="00173B3A" w:rsidRPr="00173B3A">
        <w:rPr>
          <w:sz w:val="20"/>
          <w:lang w:val="fr-CA"/>
        </w:rPr>
        <w:t>e</w:t>
      </w:r>
      <w:r w:rsidR="00561B18" w:rsidRPr="00173B3A">
        <w:rPr>
          <w:sz w:val="20"/>
          <w:lang w:val="fr-CA"/>
        </w:rPr>
        <w:t>l</w:t>
      </w:r>
      <w:r w:rsidR="00173B3A" w:rsidRPr="00173B3A">
        <w:rPr>
          <w:sz w:val="20"/>
          <w:lang w:val="fr-CA"/>
        </w:rPr>
        <w:t>le</w:t>
      </w:r>
      <w:r w:rsidR="00561B18" w:rsidRPr="00173B3A">
        <w:rPr>
          <w:sz w:val="20"/>
          <w:lang w:val="fr-CA"/>
        </w:rPr>
        <w:t>) (</w:t>
      </w:r>
      <w:r w:rsidR="00173B3A">
        <w:rPr>
          <w:sz w:val="20"/>
          <w:lang w:val="fr-CA"/>
        </w:rPr>
        <w:t>Autorisation</w:t>
      </w:r>
      <w:r w:rsidR="00561B18" w:rsidRPr="00173B3A">
        <w:rPr>
          <w:sz w:val="20"/>
          <w:lang w:val="fr-CA"/>
        </w:rPr>
        <w:t>) (34540)</w:t>
      </w:r>
    </w:p>
    <w:p w:rsidR="00561B18" w:rsidRPr="00173B3A" w:rsidRDefault="00561B18" w:rsidP="00B25FB2">
      <w:pPr>
        <w:widowControl w:val="0"/>
        <w:ind w:left="360" w:hanging="360"/>
        <w:rPr>
          <w:sz w:val="20"/>
          <w:lang w:val="fr-CA"/>
        </w:rPr>
      </w:pPr>
    </w:p>
    <w:p w:rsidR="00561B18" w:rsidRPr="00B25FB2" w:rsidRDefault="00561B18" w:rsidP="00B25FB2">
      <w:pPr>
        <w:widowControl w:val="0"/>
        <w:numPr>
          <w:ilvl w:val="0"/>
          <w:numId w:val="27"/>
        </w:numPr>
        <w:ind w:left="360"/>
        <w:jc w:val="both"/>
        <w:rPr>
          <w:sz w:val="20"/>
        </w:rPr>
      </w:pPr>
      <w:r w:rsidRPr="00B25FB2">
        <w:rPr>
          <w:i/>
          <w:sz w:val="20"/>
        </w:rPr>
        <w:t xml:space="preserve">Kenneth E. Nelson </w:t>
      </w:r>
      <w:r w:rsidR="00173B3A">
        <w:rPr>
          <w:i/>
          <w:sz w:val="20"/>
        </w:rPr>
        <w:t xml:space="preserve">et al. </w:t>
      </w:r>
      <w:r w:rsidRPr="00B25FB2">
        <w:rPr>
          <w:i/>
          <w:sz w:val="20"/>
        </w:rPr>
        <w:t>v. Inter-Pro Property (#2) Corporation (formerly known as 1153696 Alberta Ltd.)</w:t>
      </w:r>
      <w:r w:rsidRPr="00B25FB2">
        <w:rPr>
          <w:sz w:val="20"/>
        </w:rPr>
        <w:t xml:space="preserve"> (Alta.) (Civil) (By Leave) (34477)</w:t>
      </w:r>
    </w:p>
    <w:p w:rsidR="00561B18" w:rsidRPr="00B25FB2" w:rsidRDefault="00561B18" w:rsidP="00B25FB2">
      <w:pPr>
        <w:widowControl w:val="0"/>
        <w:ind w:left="360" w:hanging="360"/>
        <w:rPr>
          <w:sz w:val="20"/>
        </w:rPr>
      </w:pPr>
    </w:p>
    <w:p w:rsidR="00561B18" w:rsidRPr="00B25FB2" w:rsidRDefault="00561B18" w:rsidP="00B25FB2">
      <w:pPr>
        <w:widowControl w:val="0"/>
        <w:numPr>
          <w:ilvl w:val="0"/>
          <w:numId w:val="27"/>
        </w:numPr>
        <w:ind w:left="360"/>
        <w:jc w:val="both"/>
        <w:rPr>
          <w:sz w:val="20"/>
        </w:rPr>
      </w:pPr>
      <w:r w:rsidRPr="00B25FB2">
        <w:rPr>
          <w:i/>
          <w:sz w:val="20"/>
        </w:rPr>
        <w:t>United Nurses of Alberta, Local 85</w:t>
      </w:r>
      <w:r w:rsidRPr="00B25FB2">
        <w:rPr>
          <w:sz w:val="20"/>
        </w:rPr>
        <w:t xml:space="preserve"> </w:t>
      </w:r>
      <w:r w:rsidRPr="00B25FB2">
        <w:rPr>
          <w:i/>
          <w:sz w:val="20"/>
        </w:rPr>
        <w:t xml:space="preserve">v. Capital Health Authority (Sturgeon Community Hospital) </w:t>
      </w:r>
      <w:r w:rsidRPr="00B25FB2">
        <w:rPr>
          <w:sz w:val="20"/>
        </w:rPr>
        <w:t>(Alta.) (Civil) (By Leave) (34498)</w:t>
      </w:r>
    </w:p>
    <w:p w:rsidR="00561B18" w:rsidRPr="00B25FB2" w:rsidRDefault="00561B18" w:rsidP="00B25FB2">
      <w:pPr>
        <w:widowControl w:val="0"/>
        <w:ind w:left="360" w:hanging="360"/>
        <w:rPr>
          <w:sz w:val="20"/>
        </w:rPr>
      </w:pPr>
    </w:p>
    <w:p w:rsidR="00561B18" w:rsidRPr="00B25FB2" w:rsidRDefault="00561B18" w:rsidP="00B25FB2">
      <w:pPr>
        <w:widowControl w:val="0"/>
        <w:numPr>
          <w:ilvl w:val="0"/>
          <w:numId w:val="27"/>
        </w:numPr>
        <w:ind w:left="360"/>
        <w:jc w:val="both"/>
        <w:rPr>
          <w:sz w:val="20"/>
        </w:rPr>
      </w:pPr>
      <w:r w:rsidRPr="00B25FB2">
        <w:rPr>
          <w:i/>
          <w:sz w:val="20"/>
        </w:rPr>
        <w:t xml:space="preserve">John Frederick Carten </w:t>
      </w:r>
      <w:r w:rsidR="00173B3A">
        <w:rPr>
          <w:i/>
          <w:sz w:val="20"/>
        </w:rPr>
        <w:t xml:space="preserve">et al. </w:t>
      </w:r>
      <w:r w:rsidRPr="00B25FB2">
        <w:rPr>
          <w:i/>
          <w:sz w:val="20"/>
        </w:rPr>
        <w:t>v. Her Majes</w:t>
      </w:r>
      <w:r w:rsidR="00173B3A">
        <w:rPr>
          <w:i/>
          <w:sz w:val="20"/>
        </w:rPr>
        <w:t>ty the Queen in Right of Canada et al.</w:t>
      </w:r>
      <w:r w:rsidRPr="00B25FB2">
        <w:rPr>
          <w:i/>
          <w:sz w:val="20"/>
        </w:rPr>
        <w:t xml:space="preserve"> </w:t>
      </w:r>
      <w:r w:rsidRPr="00B25FB2">
        <w:rPr>
          <w:sz w:val="20"/>
        </w:rPr>
        <w:t>(F</w:t>
      </w:r>
      <w:r w:rsidR="00173B3A">
        <w:rPr>
          <w:sz w:val="20"/>
        </w:rPr>
        <w:t>.</w:t>
      </w:r>
      <w:r w:rsidRPr="00B25FB2">
        <w:rPr>
          <w:sz w:val="20"/>
        </w:rPr>
        <w:t>C</w:t>
      </w:r>
      <w:r w:rsidR="00173B3A">
        <w:rPr>
          <w:sz w:val="20"/>
        </w:rPr>
        <w:t>.</w:t>
      </w:r>
      <w:r w:rsidRPr="00B25FB2">
        <w:rPr>
          <w:sz w:val="20"/>
        </w:rPr>
        <w:t>) (Civil) (By Leave) (34257)</w:t>
      </w:r>
    </w:p>
    <w:p w:rsidR="00561B18" w:rsidRPr="00B25FB2" w:rsidRDefault="00561B18" w:rsidP="00B25FB2">
      <w:pPr>
        <w:widowControl w:val="0"/>
        <w:ind w:left="360" w:hanging="360"/>
        <w:rPr>
          <w:sz w:val="20"/>
        </w:rPr>
      </w:pPr>
    </w:p>
    <w:p w:rsidR="00561B18" w:rsidRPr="00B25FB2" w:rsidRDefault="00561B18" w:rsidP="00B25FB2">
      <w:pPr>
        <w:widowControl w:val="0"/>
        <w:numPr>
          <w:ilvl w:val="0"/>
          <w:numId w:val="27"/>
        </w:numPr>
        <w:ind w:left="360"/>
        <w:jc w:val="both"/>
        <w:rPr>
          <w:sz w:val="20"/>
        </w:rPr>
      </w:pPr>
      <w:r w:rsidRPr="00B25FB2">
        <w:rPr>
          <w:i/>
          <w:sz w:val="20"/>
        </w:rPr>
        <w:t>Wayne Foster Yates</w:t>
      </w:r>
      <w:r w:rsidRPr="00B25FB2">
        <w:rPr>
          <w:sz w:val="20"/>
        </w:rPr>
        <w:t xml:space="preserve"> </w:t>
      </w:r>
      <w:r w:rsidRPr="00B25FB2">
        <w:rPr>
          <w:i/>
          <w:sz w:val="20"/>
        </w:rPr>
        <w:t xml:space="preserve">v. Her Majesty the Queen </w:t>
      </w:r>
      <w:r w:rsidRPr="00B25FB2">
        <w:rPr>
          <w:sz w:val="20"/>
        </w:rPr>
        <w:t>(Alta.) (Criminal) (By Leave) (34589)</w:t>
      </w:r>
    </w:p>
    <w:p w:rsidR="00561B18" w:rsidRPr="00B25FB2" w:rsidRDefault="00561B18" w:rsidP="00B25FB2">
      <w:pPr>
        <w:widowControl w:val="0"/>
        <w:ind w:left="360" w:hanging="360"/>
        <w:rPr>
          <w:sz w:val="20"/>
        </w:rPr>
      </w:pPr>
    </w:p>
    <w:p w:rsidR="00561B18" w:rsidRPr="00B25FB2" w:rsidRDefault="00561B18" w:rsidP="00B25FB2">
      <w:pPr>
        <w:widowControl w:val="0"/>
        <w:numPr>
          <w:ilvl w:val="0"/>
          <w:numId w:val="27"/>
        </w:numPr>
        <w:ind w:left="360"/>
        <w:jc w:val="both"/>
        <w:rPr>
          <w:sz w:val="20"/>
        </w:rPr>
      </w:pPr>
      <w:r w:rsidRPr="004D5A62">
        <w:rPr>
          <w:i/>
          <w:sz w:val="20"/>
          <w:lang w:val="fr-CA"/>
        </w:rPr>
        <w:t xml:space="preserve">1494203 Ontario Inc. v. Nabil Ashkar </w:t>
      </w:r>
      <w:r w:rsidR="003F1E6F" w:rsidRPr="004D5A62">
        <w:rPr>
          <w:i/>
          <w:sz w:val="20"/>
          <w:lang w:val="fr-CA"/>
        </w:rPr>
        <w:t xml:space="preserve">et al. </w:t>
      </w:r>
      <w:r w:rsidRPr="00B25FB2">
        <w:rPr>
          <w:sz w:val="20"/>
        </w:rPr>
        <w:t>(Ont.) (Civil) (By Leave) (34568)</w:t>
      </w:r>
    </w:p>
    <w:p w:rsidR="00561B18" w:rsidRPr="00B25FB2" w:rsidRDefault="00561B18" w:rsidP="00B25FB2">
      <w:pPr>
        <w:widowControl w:val="0"/>
        <w:ind w:left="360" w:hanging="360"/>
        <w:rPr>
          <w:sz w:val="20"/>
        </w:rPr>
      </w:pPr>
    </w:p>
    <w:p w:rsidR="00561B18" w:rsidRPr="003F1E6F" w:rsidRDefault="00561B18" w:rsidP="00B25FB2">
      <w:pPr>
        <w:widowControl w:val="0"/>
        <w:numPr>
          <w:ilvl w:val="0"/>
          <w:numId w:val="27"/>
        </w:numPr>
        <w:ind w:left="360"/>
        <w:jc w:val="both"/>
        <w:rPr>
          <w:sz w:val="20"/>
          <w:lang w:val="fr-CA"/>
        </w:rPr>
      </w:pPr>
      <w:r w:rsidRPr="00B25FB2">
        <w:rPr>
          <w:i/>
          <w:sz w:val="20"/>
          <w:lang w:val="fr-CA"/>
        </w:rPr>
        <w:t>Syndicat canadien de la fonction publique, section locale 1450</w:t>
      </w:r>
      <w:r w:rsidR="003F1E6F">
        <w:rPr>
          <w:i/>
          <w:sz w:val="20"/>
          <w:lang w:val="fr-CA"/>
        </w:rPr>
        <w:t xml:space="preserve"> et autre c</w:t>
      </w:r>
      <w:r w:rsidRPr="00B25FB2">
        <w:rPr>
          <w:i/>
          <w:sz w:val="20"/>
          <w:lang w:val="fr-CA"/>
        </w:rPr>
        <w:t>. Journal de Québec et a</w:t>
      </w:r>
      <w:r w:rsidR="003F1E6F">
        <w:rPr>
          <w:i/>
          <w:sz w:val="20"/>
          <w:lang w:val="fr-CA"/>
        </w:rPr>
        <w:t>utres</w:t>
      </w:r>
      <w:r w:rsidRPr="00B25FB2">
        <w:rPr>
          <w:i/>
          <w:sz w:val="20"/>
          <w:lang w:val="fr-CA"/>
        </w:rPr>
        <w:t xml:space="preserve"> </w:t>
      </w:r>
      <w:r w:rsidRPr="003F1E6F">
        <w:rPr>
          <w:sz w:val="20"/>
          <w:lang w:val="fr-CA"/>
        </w:rPr>
        <w:t>(Q</w:t>
      </w:r>
      <w:r w:rsidR="003F1E6F" w:rsidRPr="003F1E6F">
        <w:rPr>
          <w:sz w:val="20"/>
          <w:lang w:val="fr-CA"/>
        </w:rPr>
        <w:t>c</w:t>
      </w:r>
      <w:r w:rsidRPr="003F1E6F">
        <w:rPr>
          <w:sz w:val="20"/>
          <w:lang w:val="fr-CA"/>
        </w:rPr>
        <w:t>) (Civil</w:t>
      </w:r>
      <w:r w:rsidR="003F1E6F" w:rsidRPr="003F1E6F">
        <w:rPr>
          <w:sz w:val="20"/>
          <w:lang w:val="fr-CA"/>
        </w:rPr>
        <w:t>e</w:t>
      </w:r>
      <w:r w:rsidRPr="003F1E6F">
        <w:rPr>
          <w:sz w:val="20"/>
          <w:lang w:val="fr-CA"/>
        </w:rPr>
        <w:t>) (</w:t>
      </w:r>
      <w:r w:rsidR="003F1E6F">
        <w:rPr>
          <w:sz w:val="20"/>
          <w:lang w:val="fr-CA"/>
        </w:rPr>
        <w:t>Autorisation</w:t>
      </w:r>
      <w:r w:rsidRPr="003F1E6F">
        <w:rPr>
          <w:sz w:val="20"/>
          <w:lang w:val="fr-CA"/>
        </w:rPr>
        <w:t>) (34518)</w:t>
      </w:r>
    </w:p>
    <w:p w:rsidR="00B25FB2" w:rsidRPr="003F1E6F" w:rsidRDefault="00B25FB2" w:rsidP="00B25FB2">
      <w:pPr>
        <w:widowControl w:val="0"/>
        <w:ind w:left="360" w:hanging="360"/>
        <w:jc w:val="both"/>
        <w:rPr>
          <w:i/>
          <w:sz w:val="20"/>
          <w:lang w:val="fr-CA"/>
        </w:rPr>
      </w:pPr>
    </w:p>
    <w:p w:rsidR="00561B18" w:rsidRPr="00B25FB2" w:rsidRDefault="00561B18" w:rsidP="00B25FB2">
      <w:pPr>
        <w:widowControl w:val="0"/>
        <w:numPr>
          <w:ilvl w:val="0"/>
          <w:numId w:val="27"/>
        </w:numPr>
        <w:ind w:left="360"/>
        <w:jc w:val="both"/>
        <w:rPr>
          <w:sz w:val="20"/>
        </w:rPr>
      </w:pPr>
      <w:r w:rsidRPr="00B25FB2">
        <w:rPr>
          <w:i/>
          <w:sz w:val="20"/>
        </w:rPr>
        <w:t>Nell Toussaint</w:t>
      </w:r>
      <w:r w:rsidRPr="00B25FB2">
        <w:rPr>
          <w:sz w:val="20"/>
        </w:rPr>
        <w:t xml:space="preserve"> </w:t>
      </w:r>
      <w:r w:rsidRPr="00B25FB2">
        <w:rPr>
          <w:i/>
          <w:sz w:val="20"/>
        </w:rPr>
        <w:t xml:space="preserve">v. Attorney General of Canada </w:t>
      </w:r>
      <w:r w:rsidRPr="00B25FB2">
        <w:rPr>
          <w:sz w:val="20"/>
        </w:rPr>
        <w:t>(F</w:t>
      </w:r>
      <w:r w:rsidR="003F1E6F">
        <w:rPr>
          <w:sz w:val="20"/>
        </w:rPr>
        <w:t>.</w:t>
      </w:r>
      <w:r w:rsidRPr="00B25FB2">
        <w:rPr>
          <w:sz w:val="20"/>
        </w:rPr>
        <w:t>C</w:t>
      </w:r>
      <w:r w:rsidR="003F1E6F">
        <w:rPr>
          <w:sz w:val="20"/>
        </w:rPr>
        <w:t>.</w:t>
      </w:r>
      <w:r w:rsidRPr="00B25FB2">
        <w:rPr>
          <w:sz w:val="20"/>
        </w:rPr>
        <w:t>) (Civil) (By Leave) (34446)</w:t>
      </w:r>
    </w:p>
    <w:p w:rsidR="00561B18" w:rsidRPr="00B25FB2" w:rsidRDefault="00561B18" w:rsidP="00B25FB2">
      <w:pPr>
        <w:widowControl w:val="0"/>
        <w:ind w:left="360" w:hanging="360"/>
        <w:jc w:val="both"/>
        <w:rPr>
          <w:sz w:val="20"/>
        </w:rPr>
      </w:pPr>
    </w:p>
    <w:p w:rsidR="00561B18" w:rsidRPr="00B25FB2" w:rsidRDefault="00561B18" w:rsidP="00B25FB2">
      <w:pPr>
        <w:widowControl w:val="0"/>
        <w:numPr>
          <w:ilvl w:val="0"/>
          <w:numId w:val="27"/>
        </w:numPr>
        <w:ind w:left="360"/>
        <w:jc w:val="both"/>
        <w:rPr>
          <w:sz w:val="20"/>
        </w:rPr>
      </w:pPr>
      <w:r w:rsidRPr="00B25FB2">
        <w:rPr>
          <w:i/>
          <w:sz w:val="20"/>
        </w:rPr>
        <w:t>Vytautas (“Chuck”) Baltrusaitis</w:t>
      </w:r>
      <w:r w:rsidRPr="00B25FB2">
        <w:rPr>
          <w:sz w:val="20"/>
        </w:rPr>
        <w:t xml:space="preserve"> </w:t>
      </w:r>
      <w:r w:rsidRPr="00B25FB2">
        <w:rPr>
          <w:i/>
          <w:sz w:val="20"/>
        </w:rPr>
        <w:t xml:space="preserve">v. Her Majesty the Queen in Right of Ontario et al. </w:t>
      </w:r>
      <w:r w:rsidRPr="00B25FB2">
        <w:rPr>
          <w:sz w:val="20"/>
        </w:rPr>
        <w:t>(Ont.) (Civil) (By Leave) (34531)</w:t>
      </w:r>
    </w:p>
    <w:p w:rsidR="00535A60" w:rsidRPr="00B25FB2" w:rsidRDefault="00535A60" w:rsidP="00B25FB2">
      <w:pPr>
        <w:widowControl w:val="0"/>
        <w:ind w:left="360" w:hanging="360"/>
        <w:rPr>
          <w:sz w:val="20"/>
        </w:rPr>
      </w:pPr>
    </w:p>
    <w:p w:rsidR="00561B18" w:rsidRPr="00B25FB2" w:rsidRDefault="00561B18" w:rsidP="00B25FB2">
      <w:pPr>
        <w:pStyle w:val="NoSpacing"/>
        <w:numPr>
          <w:ilvl w:val="0"/>
          <w:numId w:val="27"/>
        </w:numPr>
        <w:ind w:left="360"/>
        <w:rPr>
          <w:sz w:val="20"/>
          <w:szCs w:val="20"/>
          <w:lang w:val="fr-CA"/>
        </w:rPr>
      </w:pPr>
      <w:r w:rsidRPr="00B25FB2">
        <w:rPr>
          <w:i/>
          <w:sz w:val="20"/>
          <w:szCs w:val="20"/>
          <w:lang w:val="fr-CA"/>
        </w:rPr>
        <w:t>Richard Raîche c. Sa Majesté la Reine</w:t>
      </w:r>
      <w:r w:rsidRPr="00B25FB2">
        <w:rPr>
          <w:sz w:val="20"/>
          <w:szCs w:val="20"/>
          <w:lang w:val="fr-CA"/>
        </w:rPr>
        <w:t xml:space="preserve"> (Qc) (Criminelle) (Autorisation) (34602)</w:t>
      </w:r>
    </w:p>
    <w:p w:rsidR="00561B18" w:rsidRPr="00B25FB2" w:rsidRDefault="00561B18" w:rsidP="00B25FB2">
      <w:pPr>
        <w:pStyle w:val="NoSpacing"/>
        <w:ind w:left="360" w:hanging="360"/>
        <w:rPr>
          <w:sz w:val="20"/>
          <w:szCs w:val="20"/>
          <w:lang w:val="fr-CA"/>
        </w:rPr>
      </w:pPr>
    </w:p>
    <w:p w:rsidR="00561B18" w:rsidRPr="00B25FB2" w:rsidRDefault="00561B18" w:rsidP="00B25FB2">
      <w:pPr>
        <w:pStyle w:val="ListParagraph"/>
        <w:numPr>
          <w:ilvl w:val="0"/>
          <w:numId w:val="27"/>
        </w:numPr>
        <w:ind w:left="360"/>
        <w:rPr>
          <w:sz w:val="20"/>
          <w:szCs w:val="20"/>
          <w:lang w:val="fr-CA"/>
        </w:rPr>
      </w:pPr>
      <w:r w:rsidRPr="00B25FB2">
        <w:rPr>
          <w:i/>
          <w:sz w:val="20"/>
          <w:szCs w:val="20"/>
          <w:lang w:val="fr-CA"/>
        </w:rPr>
        <w:t xml:space="preserve">Richard Raîche c. Sa Majesté la Reine </w:t>
      </w:r>
      <w:r w:rsidRPr="00B25FB2">
        <w:rPr>
          <w:sz w:val="20"/>
          <w:szCs w:val="20"/>
          <w:lang w:val="fr-CA"/>
        </w:rPr>
        <w:t>(Qc) (Criminelle) (Autorisation) (34603)</w:t>
      </w:r>
    </w:p>
    <w:p w:rsidR="00561B18" w:rsidRPr="00B25FB2" w:rsidRDefault="00561B18" w:rsidP="00B25FB2">
      <w:pPr>
        <w:pStyle w:val="ListParagraph"/>
        <w:ind w:left="360" w:hanging="360"/>
        <w:rPr>
          <w:sz w:val="20"/>
          <w:szCs w:val="20"/>
          <w:lang w:val="fr-CA"/>
        </w:rPr>
      </w:pPr>
    </w:p>
    <w:p w:rsidR="00561B18" w:rsidRPr="00B25FB2" w:rsidRDefault="00561B18" w:rsidP="00B25FB2">
      <w:pPr>
        <w:pStyle w:val="ListParagraph"/>
        <w:numPr>
          <w:ilvl w:val="0"/>
          <w:numId w:val="27"/>
        </w:numPr>
        <w:ind w:left="360"/>
        <w:rPr>
          <w:sz w:val="20"/>
          <w:szCs w:val="20"/>
          <w:lang w:val="fr-CA"/>
        </w:rPr>
      </w:pPr>
      <w:r w:rsidRPr="00B25FB2">
        <w:rPr>
          <w:i/>
          <w:sz w:val="20"/>
          <w:szCs w:val="20"/>
          <w:lang w:val="fr-CA"/>
        </w:rPr>
        <w:t xml:space="preserve">Marc-Antoine Gagné </w:t>
      </w:r>
      <w:r w:rsidR="003F1E6F">
        <w:rPr>
          <w:i/>
          <w:sz w:val="20"/>
          <w:szCs w:val="20"/>
          <w:lang w:val="fr-CA"/>
        </w:rPr>
        <w:t xml:space="preserve">et autre </w:t>
      </w:r>
      <w:r w:rsidRPr="00B25FB2">
        <w:rPr>
          <w:i/>
          <w:sz w:val="20"/>
          <w:szCs w:val="20"/>
          <w:lang w:val="fr-CA"/>
        </w:rPr>
        <w:t>c. Sa Majesté la Reine, et a</w:t>
      </w:r>
      <w:r w:rsidR="003F1E6F">
        <w:rPr>
          <w:i/>
          <w:sz w:val="20"/>
          <w:szCs w:val="20"/>
          <w:lang w:val="fr-CA"/>
        </w:rPr>
        <w:t>utre</w:t>
      </w:r>
      <w:r w:rsidRPr="00B25FB2">
        <w:rPr>
          <w:sz w:val="20"/>
          <w:szCs w:val="20"/>
          <w:lang w:val="fr-CA"/>
        </w:rPr>
        <w:t xml:space="preserve"> (Qc) (Criminelle) (Autorisation) (34221)</w:t>
      </w:r>
    </w:p>
    <w:p w:rsidR="00561B18" w:rsidRPr="00B25FB2" w:rsidRDefault="00561B18" w:rsidP="00B25FB2">
      <w:pPr>
        <w:ind w:left="360" w:hanging="360"/>
        <w:rPr>
          <w:sz w:val="20"/>
          <w:lang w:val="fr-CA"/>
        </w:rPr>
      </w:pPr>
    </w:p>
    <w:p w:rsidR="00561B18" w:rsidRPr="003F1E6F" w:rsidRDefault="00561B18" w:rsidP="00B25FB2">
      <w:pPr>
        <w:pStyle w:val="ListParagraph"/>
        <w:numPr>
          <w:ilvl w:val="0"/>
          <w:numId w:val="27"/>
        </w:numPr>
        <w:ind w:left="360"/>
        <w:rPr>
          <w:sz w:val="20"/>
          <w:szCs w:val="20"/>
        </w:rPr>
      </w:pPr>
      <w:r w:rsidRPr="00B25FB2">
        <w:rPr>
          <w:i/>
          <w:sz w:val="20"/>
          <w:szCs w:val="20"/>
          <w:lang w:val="en-CA"/>
        </w:rPr>
        <w:t xml:space="preserve">City of Calgary </w:t>
      </w:r>
      <w:r w:rsidR="003F1E6F">
        <w:rPr>
          <w:i/>
          <w:sz w:val="20"/>
          <w:szCs w:val="20"/>
          <w:lang w:val="en-CA"/>
        </w:rPr>
        <w:t xml:space="preserve">et al. </w:t>
      </w:r>
      <w:r w:rsidRPr="00B25FB2">
        <w:rPr>
          <w:i/>
          <w:sz w:val="20"/>
          <w:szCs w:val="20"/>
          <w:lang w:val="en-CA"/>
        </w:rPr>
        <w:t>v. Jim Christensen et al.</w:t>
      </w:r>
      <w:r w:rsidRPr="00B25FB2">
        <w:rPr>
          <w:sz w:val="20"/>
          <w:szCs w:val="20"/>
          <w:lang w:val="en-CA"/>
        </w:rPr>
        <w:t xml:space="preserve"> (Alta.) (Civil) (By Leave) (34494)</w:t>
      </w:r>
    </w:p>
    <w:p w:rsidR="00561B18" w:rsidRPr="003F1E6F" w:rsidRDefault="00561B18" w:rsidP="00B25FB2">
      <w:pPr>
        <w:pStyle w:val="ListParagraph"/>
        <w:ind w:left="360" w:hanging="360"/>
        <w:rPr>
          <w:sz w:val="20"/>
          <w:szCs w:val="20"/>
        </w:rPr>
      </w:pPr>
    </w:p>
    <w:p w:rsidR="00561B18" w:rsidRPr="003F1E6F" w:rsidRDefault="00561B18" w:rsidP="00B25FB2">
      <w:pPr>
        <w:pStyle w:val="ListParagraph"/>
        <w:numPr>
          <w:ilvl w:val="0"/>
          <w:numId w:val="27"/>
        </w:numPr>
        <w:ind w:left="360"/>
        <w:rPr>
          <w:sz w:val="20"/>
          <w:szCs w:val="20"/>
        </w:rPr>
      </w:pPr>
      <w:r w:rsidRPr="00B25FB2">
        <w:rPr>
          <w:i/>
          <w:sz w:val="20"/>
          <w:szCs w:val="20"/>
          <w:lang w:val="en-CA"/>
        </w:rPr>
        <w:t>Ian Verner Macdonald v. Canadian Broadcasting Corporation et al.</w:t>
      </w:r>
      <w:r w:rsidRPr="00B25FB2">
        <w:rPr>
          <w:sz w:val="20"/>
          <w:szCs w:val="20"/>
          <w:lang w:val="en-CA"/>
        </w:rPr>
        <w:t xml:space="preserve"> (Ont.) (Civil) (By Leave) (34546)</w:t>
      </w:r>
    </w:p>
    <w:p w:rsidR="00561B18" w:rsidRPr="006D7947" w:rsidRDefault="00561B18" w:rsidP="00B25FB2">
      <w:pPr>
        <w:widowControl w:val="0"/>
        <w:ind w:left="360" w:hanging="360"/>
        <w:rPr>
          <w:sz w:val="20"/>
        </w:rPr>
      </w:pPr>
    </w:p>
    <w:p w:rsidR="001D7749" w:rsidRPr="006D7947" w:rsidRDefault="001D7749" w:rsidP="00B25FB2">
      <w:pPr>
        <w:widowControl w:val="0"/>
        <w:ind w:left="360" w:hanging="360"/>
        <w:rPr>
          <w:sz w:val="20"/>
        </w:rPr>
      </w:pPr>
    </w:p>
    <w:p w:rsidR="001D7749" w:rsidRPr="006D7947" w:rsidRDefault="001D7749" w:rsidP="00B25FB2">
      <w:pPr>
        <w:widowControl w:val="0"/>
        <w:ind w:left="360" w:hanging="360"/>
        <w:rPr>
          <w:sz w:val="20"/>
        </w:rPr>
      </w:pPr>
    </w:p>
    <w:tbl>
      <w:tblPr>
        <w:tblW w:w="4952" w:type="pct"/>
        <w:tblLayout w:type="fixed"/>
        <w:tblCellMar>
          <w:left w:w="0" w:type="dxa"/>
          <w:bottom w:w="99" w:type="dxa"/>
          <w:right w:w="0" w:type="dxa"/>
        </w:tblCellMar>
        <w:tblLook w:val="04A0"/>
      </w:tblPr>
      <w:tblGrid>
        <w:gridCol w:w="981"/>
        <w:gridCol w:w="3424"/>
        <w:gridCol w:w="441"/>
        <w:gridCol w:w="4424"/>
      </w:tblGrid>
      <w:tr w:rsidR="006F7E3B" w:rsidRPr="006D7947" w:rsidTr="00DC2354">
        <w:tc>
          <w:tcPr>
            <w:tcW w:w="529" w:type="pct"/>
          </w:tcPr>
          <w:p w:rsidR="006F7E3B" w:rsidRPr="006D7947" w:rsidRDefault="006F7E3B" w:rsidP="006F7E3B">
            <w:pPr>
              <w:jc w:val="both"/>
              <w:rPr>
                <w:rFonts w:eastAsiaTheme="minorHAnsi"/>
                <w:sz w:val="20"/>
                <w:lang w:val="en-CA"/>
              </w:rPr>
            </w:pPr>
            <w:r w:rsidRPr="006D7947">
              <w:rPr>
                <w:rFonts w:eastAsiaTheme="minorHAnsi"/>
                <w:b/>
                <w:sz w:val="20"/>
                <w:lang w:val="en-CA"/>
              </w:rPr>
              <w:t>34317</w:t>
            </w:r>
          </w:p>
        </w:tc>
        <w:tc>
          <w:tcPr>
            <w:tcW w:w="4471" w:type="pct"/>
            <w:gridSpan w:val="3"/>
          </w:tcPr>
          <w:p w:rsidR="006F7E3B" w:rsidRPr="006D7947" w:rsidRDefault="006F7E3B" w:rsidP="006F7E3B">
            <w:pPr>
              <w:jc w:val="both"/>
              <w:rPr>
                <w:rFonts w:eastAsiaTheme="minorHAnsi"/>
                <w:b/>
                <w:sz w:val="20"/>
                <w:lang w:val="en-CA"/>
              </w:rPr>
            </w:pPr>
            <w:r w:rsidRPr="006D7947">
              <w:rPr>
                <w:rFonts w:eastAsiaTheme="minorHAnsi"/>
                <w:b/>
                <w:sz w:val="20"/>
                <w:lang w:val="en-CA"/>
              </w:rPr>
              <w:t xml:space="preserve">Her Majesty the Queen v. Criminal Lawyers Association, et. al </w:t>
            </w:r>
          </w:p>
          <w:p w:rsidR="006F7E3B" w:rsidRPr="006D7947" w:rsidRDefault="006F7E3B" w:rsidP="00DC2354">
            <w:pPr>
              <w:jc w:val="both"/>
              <w:rPr>
                <w:rFonts w:eastAsiaTheme="minorHAnsi"/>
                <w:sz w:val="20"/>
                <w:lang w:val="en-CA"/>
              </w:rPr>
            </w:pPr>
            <w:r w:rsidRPr="006D7947">
              <w:rPr>
                <w:rFonts w:eastAsiaTheme="minorHAnsi"/>
                <w:sz w:val="20"/>
                <w:lang w:val="en-CA"/>
              </w:rPr>
              <w:t>(Ont.) (Criminal) (By Leave)</w:t>
            </w:r>
          </w:p>
        </w:tc>
      </w:tr>
      <w:tr w:rsidR="006F7E3B" w:rsidRPr="006D7947" w:rsidTr="00DC2354">
        <w:tc>
          <w:tcPr>
            <w:tcW w:w="5000" w:type="pct"/>
            <w:gridSpan w:val="4"/>
          </w:tcPr>
          <w:p w:rsidR="006F7E3B" w:rsidRPr="006D7947" w:rsidRDefault="006F7E3B" w:rsidP="006F7E3B">
            <w:pPr>
              <w:jc w:val="both"/>
              <w:rPr>
                <w:rFonts w:eastAsiaTheme="minorHAnsi"/>
                <w:sz w:val="20"/>
                <w:lang w:val="en-CA"/>
              </w:rPr>
            </w:pPr>
            <w:r w:rsidRPr="006D7947">
              <w:rPr>
                <w:rFonts w:eastAsiaTheme="minorHAnsi"/>
                <w:sz w:val="20"/>
                <w:lang w:val="en-CA"/>
              </w:rPr>
              <w:t xml:space="preserve">Constitutional Law — Division of powers — Court’s jurisdiction to order fees be paid to </w:t>
            </w:r>
            <w:r w:rsidRPr="006D7947">
              <w:rPr>
                <w:rFonts w:eastAsiaTheme="minorHAnsi"/>
                <w:i/>
                <w:sz w:val="20"/>
                <w:lang w:val="en-CA"/>
              </w:rPr>
              <w:t>amicus curiae</w:t>
            </w:r>
            <w:r w:rsidRPr="006D7947">
              <w:rPr>
                <w:rFonts w:eastAsiaTheme="minorHAnsi"/>
                <w:sz w:val="20"/>
                <w:lang w:val="en-CA"/>
              </w:rPr>
              <w:t xml:space="preserve"> from Consolidated Revenue Fund — Court’s authority to set fees payable to </w:t>
            </w:r>
            <w:r w:rsidRPr="006D7947">
              <w:rPr>
                <w:rFonts w:eastAsiaTheme="minorHAnsi"/>
                <w:i/>
                <w:sz w:val="20"/>
                <w:lang w:val="en-CA"/>
              </w:rPr>
              <w:t>amicus curiae</w:t>
            </w:r>
            <w:r w:rsidRPr="006D7947">
              <w:rPr>
                <w:rFonts w:eastAsiaTheme="minorHAnsi"/>
                <w:sz w:val="20"/>
                <w:lang w:val="en-CA"/>
              </w:rPr>
              <w:t xml:space="preserve"> — Whether a court’s jurisdiction to control its own process to appoint counsel includes authority to order the government to use public money to fund counsel in the face of the legislature’s exclusive jurisdiction to disburse public funds — Whether general statutory provisions that permit proceedings against the Crown confer jurisdiction on courts to compel </w:t>
            </w:r>
            <w:r w:rsidRPr="006D7947">
              <w:rPr>
                <w:rFonts w:eastAsiaTheme="minorHAnsi"/>
                <w:sz w:val="20"/>
                <w:lang w:val="en-CA"/>
              </w:rPr>
              <w:lastRenderedPageBreak/>
              <w:t xml:space="preserve">Ontario to allocate and spend indeterminate public funds to compensate </w:t>
            </w:r>
            <w:r w:rsidRPr="006D7947">
              <w:rPr>
                <w:rFonts w:eastAsiaTheme="minorHAnsi"/>
                <w:i/>
                <w:sz w:val="20"/>
                <w:lang w:val="en-CA"/>
              </w:rPr>
              <w:t>amicus curiae</w:t>
            </w:r>
            <w:r w:rsidRPr="006D7947">
              <w:rPr>
                <w:rFonts w:eastAsiaTheme="minorHAnsi"/>
                <w:sz w:val="20"/>
                <w:lang w:val="en-CA"/>
              </w:rPr>
              <w:t xml:space="preserve"> in criminal cases when the court finds it necessary for the administration of justice — Whether a court must take the least restrictive approach when it has ordered that </w:t>
            </w:r>
            <w:r w:rsidRPr="006D7947">
              <w:rPr>
                <w:rFonts w:eastAsiaTheme="minorHAnsi"/>
                <w:i/>
                <w:sz w:val="20"/>
                <w:lang w:val="en-CA"/>
              </w:rPr>
              <w:t>amicus curiae</w:t>
            </w:r>
            <w:r w:rsidRPr="006D7947">
              <w:rPr>
                <w:rFonts w:eastAsiaTheme="minorHAnsi"/>
                <w:sz w:val="20"/>
                <w:lang w:val="en-CA"/>
              </w:rPr>
              <w:t xml:space="preserve"> is necessary or whether a court may proceed directly to set the rates for </w:t>
            </w:r>
            <w:r w:rsidRPr="006D7947">
              <w:rPr>
                <w:rFonts w:eastAsiaTheme="minorHAnsi"/>
                <w:i/>
                <w:sz w:val="20"/>
                <w:lang w:val="en-CA"/>
              </w:rPr>
              <w:t>amicus curiae</w:t>
            </w:r>
            <w:r w:rsidRPr="006D7947">
              <w:rPr>
                <w:rFonts w:eastAsiaTheme="minorHAnsi"/>
                <w:sz w:val="20"/>
                <w:lang w:val="en-CA"/>
              </w:rPr>
              <w:t>.</w:t>
            </w:r>
          </w:p>
          <w:p w:rsidR="006F7E3B" w:rsidRPr="006D7947" w:rsidRDefault="006F7E3B" w:rsidP="006F7E3B">
            <w:pPr>
              <w:jc w:val="both"/>
              <w:rPr>
                <w:rFonts w:eastAsiaTheme="minorHAnsi"/>
                <w:sz w:val="20"/>
                <w:lang w:val="en-CA"/>
              </w:rPr>
            </w:pPr>
          </w:p>
        </w:tc>
      </w:tr>
      <w:tr w:rsidR="006F7E3B" w:rsidRPr="006D7947" w:rsidTr="00DC2354">
        <w:tc>
          <w:tcPr>
            <w:tcW w:w="5000" w:type="pct"/>
            <w:gridSpan w:val="4"/>
          </w:tcPr>
          <w:p w:rsidR="006F7E3B" w:rsidRPr="006D7947" w:rsidRDefault="006F7E3B" w:rsidP="006F7E3B">
            <w:pPr>
              <w:jc w:val="both"/>
              <w:rPr>
                <w:rFonts w:eastAsiaTheme="minorHAnsi"/>
                <w:sz w:val="20"/>
                <w:lang w:val="en-CA"/>
              </w:rPr>
            </w:pPr>
            <w:r w:rsidRPr="006D7947">
              <w:rPr>
                <w:rFonts w:eastAsiaTheme="minorHAnsi"/>
                <w:sz w:val="20"/>
                <w:lang w:val="en-CA"/>
              </w:rPr>
              <w:lastRenderedPageBreak/>
              <w:t xml:space="preserve">In these criminal proceedings, the trial judges appointed </w:t>
            </w:r>
            <w:r w:rsidRPr="006D7947">
              <w:rPr>
                <w:rFonts w:eastAsiaTheme="minorHAnsi"/>
                <w:i/>
                <w:sz w:val="20"/>
                <w:lang w:val="en-CA"/>
              </w:rPr>
              <w:t>amicus curiae</w:t>
            </w:r>
            <w:r w:rsidRPr="006D7947">
              <w:rPr>
                <w:rFonts w:eastAsiaTheme="minorHAnsi"/>
                <w:sz w:val="20"/>
                <w:lang w:val="en-CA"/>
              </w:rPr>
              <w:t xml:space="preserve"> to ensure that proceedings would proceed fairly and expeditiously.  In all cases, the trial judges ordered a rate of remuneration to be paid to the </w:t>
            </w:r>
            <w:r w:rsidRPr="006D7947">
              <w:rPr>
                <w:rFonts w:eastAsiaTheme="minorHAnsi"/>
                <w:i/>
                <w:sz w:val="20"/>
                <w:lang w:val="en-CA"/>
              </w:rPr>
              <w:t>amicus curiae</w:t>
            </w:r>
            <w:r w:rsidRPr="006D7947">
              <w:rPr>
                <w:rFonts w:eastAsiaTheme="minorHAnsi"/>
                <w:sz w:val="20"/>
                <w:lang w:val="en-CA"/>
              </w:rPr>
              <w:t xml:space="preserve"> by the Attorney General.  In Mr. Imona Russel’s case, the trial judge also appointed an independent assessor to monitor and approve the </w:t>
            </w:r>
            <w:r w:rsidRPr="006D7947">
              <w:rPr>
                <w:rFonts w:eastAsiaTheme="minorHAnsi"/>
                <w:i/>
                <w:sz w:val="20"/>
                <w:lang w:val="en-CA"/>
              </w:rPr>
              <w:t>amicus curiae</w:t>
            </w:r>
            <w:r w:rsidRPr="006D7947">
              <w:rPr>
                <w:rFonts w:eastAsiaTheme="minorHAnsi"/>
                <w:sz w:val="20"/>
                <w:lang w:val="en-CA"/>
              </w:rPr>
              <w:t xml:space="preserve">’s accounts.  The Attorney General disputes the courts’ jurisdiction to set rates of remuneration and to order payment of fees to </w:t>
            </w:r>
            <w:r w:rsidRPr="006D7947">
              <w:rPr>
                <w:rFonts w:eastAsiaTheme="minorHAnsi"/>
                <w:i/>
                <w:sz w:val="20"/>
                <w:lang w:val="en-CA"/>
              </w:rPr>
              <w:t>amicus curiae</w:t>
            </w:r>
            <w:r w:rsidRPr="006D7947">
              <w:rPr>
                <w:rFonts w:eastAsiaTheme="minorHAnsi"/>
                <w:sz w:val="20"/>
                <w:lang w:val="en-CA"/>
              </w:rPr>
              <w:t xml:space="preserve"> from the Consolidated Revenue Fund.</w:t>
            </w:r>
          </w:p>
        </w:tc>
      </w:tr>
      <w:tr w:rsidR="006F7E3B" w:rsidRPr="006D7947" w:rsidTr="00DC2354">
        <w:tc>
          <w:tcPr>
            <w:tcW w:w="5000" w:type="pct"/>
            <w:gridSpan w:val="4"/>
          </w:tcPr>
          <w:p w:rsidR="006F7E3B" w:rsidRPr="006D7947" w:rsidRDefault="006F7E3B" w:rsidP="006F7E3B">
            <w:pPr>
              <w:jc w:val="both"/>
              <w:rPr>
                <w:rFonts w:eastAsiaTheme="minorHAnsi"/>
                <w:sz w:val="20"/>
                <w:lang w:val="en-CA"/>
              </w:rPr>
            </w:pPr>
            <w:r w:rsidRPr="006D7947">
              <w:rPr>
                <w:rFonts w:eastAsiaTheme="minorHAnsi"/>
                <w:sz w:val="20"/>
                <w:lang w:val="en-CA"/>
              </w:rPr>
              <w:t xml:space="preserve"> </w:t>
            </w:r>
          </w:p>
        </w:tc>
      </w:tr>
      <w:tr w:rsidR="006F7E3B" w:rsidRPr="006D7947" w:rsidTr="00DC2354">
        <w:tc>
          <w:tcPr>
            <w:tcW w:w="2376" w:type="pct"/>
            <w:gridSpan w:val="2"/>
          </w:tcPr>
          <w:p w:rsidR="006F7E3B" w:rsidRPr="006D7947" w:rsidRDefault="006F7E3B" w:rsidP="006F7E3B">
            <w:pPr>
              <w:jc w:val="both"/>
              <w:rPr>
                <w:rFonts w:eastAsiaTheme="minorHAnsi"/>
                <w:sz w:val="20"/>
                <w:lang w:val="en-CA"/>
              </w:rPr>
            </w:pPr>
            <w:r w:rsidRPr="006D7947">
              <w:rPr>
                <w:rFonts w:eastAsiaTheme="minorHAnsi"/>
                <w:sz w:val="20"/>
                <w:lang w:val="en-CA"/>
              </w:rPr>
              <w:t xml:space="preserve">June 17, 2008 </w:t>
            </w:r>
          </w:p>
          <w:p w:rsidR="006F7E3B" w:rsidRPr="006D7947" w:rsidRDefault="006F7E3B" w:rsidP="006F7E3B">
            <w:pPr>
              <w:jc w:val="both"/>
              <w:rPr>
                <w:rFonts w:eastAsiaTheme="minorHAnsi"/>
                <w:sz w:val="20"/>
                <w:lang w:val="en-CA"/>
              </w:rPr>
            </w:pPr>
            <w:r w:rsidRPr="006D7947">
              <w:rPr>
                <w:rFonts w:eastAsiaTheme="minorHAnsi"/>
                <w:sz w:val="20"/>
                <w:lang w:val="en-CA"/>
              </w:rPr>
              <w:t>Ontario Superior Court of Justice</w:t>
            </w:r>
          </w:p>
          <w:p w:rsidR="006F7E3B" w:rsidRPr="006D7947" w:rsidRDefault="006F7E3B" w:rsidP="006F7E3B">
            <w:pPr>
              <w:jc w:val="both"/>
              <w:rPr>
                <w:rFonts w:eastAsiaTheme="minorHAnsi"/>
                <w:sz w:val="20"/>
                <w:lang w:val="en-CA"/>
              </w:rPr>
            </w:pPr>
            <w:r w:rsidRPr="006D7947">
              <w:rPr>
                <w:rFonts w:eastAsiaTheme="minorHAnsi"/>
                <w:sz w:val="20"/>
                <w:lang w:val="en-CA"/>
              </w:rPr>
              <w:t>(Marrocco J.)</w:t>
            </w:r>
          </w:p>
          <w:p w:rsidR="006F7E3B" w:rsidRPr="006D7947" w:rsidRDefault="006F7E3B" w:rsidP="006F7E3B">
            <w:pPr>
              <w:jc w:val="both"/>
              <w:rPr>
                <w:rFonts w:eastAsiaTheme="minorHAnsi"/>
                <w:sz w:val="20"/>
                <w:lang w:val="en-CA"/>
              </w:rPr>
            </w:pPr>
          </w:p>
        </w:tc>
        <w:tc>
          <w:tcPr>
            <w:tcW w:w="238" w:type="pct"/>
          </w:tcPr>
          <w:p w:rsidR="006F7E3B" w:rsidRPr="006D7947" w:rsidRDefault="006F7E3B" w:rsidP="006F7E3B">
            <w:pPr>
              <w:jc w:val="both"/>
              <w:rPr>
                <w:rFonts w:eastAsiaTheme="minorHAnsi"/>
                <w:sz w:val="20"/>
                <w:lang w:val="en-CA"/>
              </w:rPr>
            </w:pPr>
          </w:p>
        </w:tc>
        <w:tc>
          <w:tcPr>
            <w:tcW w:w="2386" w:type="pct"/>
          </w:tcPr>
          <w:p w:rsidR="006F7E3B" w:rsidRPr="006D7947" w:rsidRDefault="006F7E3B" w:rsidP="006F7E3B">
            <w:pPr>
              <w:jc w:val="both"/>
              <w:rPr>
                <w:rFonts w:eastAsiaTheme="minorHAnsi"/>
                <w:sz w:val="20"/>
                <w:lang w:val="en-CA"/>
              </w:rPr>
            </w:pPr>
            <w:r w:rsidRPr="006D7947">
              <w:rPr>
                <w:rFonts w:eastAsiaTheme="minorHAnsi"/>
                <w:sz w:val="20"/>
                <w:lang w:val="en-CA"/>
              </w:rPr>
              <w:t xml:space="preserve">Order appointing </w:t>
            </w:r>
            <w:r w:rsidRPr="006D7947">
              <w:rPr>
                <w:rFonts w:eastAsiaTheme="minorHAnsi"/>
                <w:i/>
                <w:sz w:val="20"/>
                <w:lang w:val="en-CA"/>
              </w:rPr>
              <w:t xml:space="preserve">amicus curiae </w:t>
            </w:r>
            <w:r w:rsidRPr="006D7947">
              <w:rPr>
                <w:rFonts w:eastAsiaTheme="minorHAnsi"/>
                <w:sz w:val="20"/>
                <w:lang w:val="en-CA"/>
              </w:rPr>
              <w:t xml:space="preserve">in </w:t>
            </w:r>
            <w:r w:rsidRPr="006D7947">
              <w:rPr>
                <w:rFonts w:eastAsiaTheme="minorHAnsi"/>
                <w:i/>
                <w:sz w:val="20"/>
                <w:lang w:val="en-CA"/>
              </w:rPr>
              <w:t>R. v. Imona Russel</w:t>
            </w:r>
            <w:r w:rsidRPr="006D7947">
              <w:rPr>
                <w:rFonts w:eastAsiaTheme="minorHAnsi"/>
                <w:sz w:val="20"/>
                <w:lang w:val="en-CA"/>
              </w:rPr>
              <w:t xml:space="preserve">  at Legal Aid Rates  </w:t>
            </w:r>
          </w:p>
        </w:tc>
      </w:tr>
      <w:tr w:rsidR="006F7E3B" w:rsidRPr="006D7947" w:rsidTr="00DC2354">
        <w:tc>
          <w:tcPr>
            <w:tcW w:w="2376" w:type="pct"/>
            <w:gridSpan w:val="2"/>
          </w:tcPr>
          <w:p w:rsidR="006F7E3B" w:rsidRPr="006D7947" w:rsidRDefault="006F7E3B" w:rsidP="006F7E3B">
            <w:pPr>
              <w:jc w:val="both"/>
              <w:rPr>
                <w:rFonts w:eastAsiaTheme="minorHAnsi"/>
                <w:sz w:val="20"/>
                <w:lang w:val="en-CA"/>
              </w:rPr>
            </w:pPr>
            <w:r w:rsidRPr="006D7947">
              <w:rPr>
                <w:rFonts w:eastAsiaTheme="minorHAnsi"/>
                <w:sz w:val="20"/>
                <w:lang w:val="en-CA"/>
              </w:rPr>
              <w:t>September 25, 2009</w:t>
            </w:r>
          </w:p>
          <w:p w:rsidR="006F7E3B" w:rsidRPr="006D7947" w:rsidRDefault="006F7E3B" w:rsidP="006F7E3B">
            <w:pPr>
              <w:jc w:val="both"/>
              <w:rPr>
                <w:rFonts w:eastAsiaTheme="minorHAnsi"/>
                <w:sz w:val="20"/>
                <w:lang w:val="en-CA"/>
              </w:rPr>
            </w:pPr>
            <w:r w:rsidRPr="006D7947">
              <w:rPr>
                <w:rFonts w:eastAsiaTheme="minorHAnsi"/>
                <w:sz w:val="20"/>
                <w:lang w:val="en-CA"/>
              </w:rPr>
              <w:t>Ontario Court of Justice</w:t>
            </w:r>
          </w:p>
          <w:p w:rsidR="006F7E3B" w:rsidRPr="006D7947" w:rsidRDefault="006F7E3B" w:rsidP="006F7E3B">
            <w:pPr>
              <w:jc w:val="both"/>
              <w:rPr>
                <w:rFonts w:eastAsiaTheme="minorHAnsi"/>
                <w:sz w:val="20"/>
                <w:lang w:val="en-CA"/>
              </w:rPr>
            </w:pPr>
            <w:r w:rsidRPr="006D7947">
              <w:rPr>
                <w:rFonts w:eastAsiaTheme="minorHAnsi"/>
                <w:sz w:val="20"/>
                <w:lang w:val="en-CA"/>
              </w:rPr>
              <w:t xml:space="preserve">(Forestell J.) </w:t>
            </w:r>
          </w:p>
          <w:p w:rsidR="006F7E3B" w:rsidRPr="006D7947" w:rsidRDefault="006F7E3B" w:rsidP="006F7E3B">
            <w:pPr>
              <w:jc w:val="both"/>
              <w:rPr>
                <w:rFonts w:eastAsiaTheme="minorHAnsi"/>
                <w:sz w:val="20"/>
                <w:lang w:val="en-CA"/>
              </w:rPr>
            </w:pPr>
          </w:p>
        </w:tc>
        <w:tc>
          <w:tcPr>
            <w:tcW w:w="238" w:type="pct"/>
          </w:tcPr>
          <w:p w:rsidR="006F7E3B" w:rsidRPr="006D7947" w:rsidRDefault="006F7E3B" w:rsidP="006F7E3B">
            <w:pPr>
              <w:jc w:val="both"/>
              <w:rPr>
                <w:rFonts w:eastAsiaTheme="minorHAnsi"/>
                <w:sz w:val="20"/>
                <w:lang w:val="en-CA"/>
              </w:rPr>
            </w:pPr>
          </w:p>
        </w:tc>
        <w:tc>
          <w:tcPr>
            <w:tcW w:w="2386" w:type="pct"/>
          </w:tcPr>
          <w:p w:rsidR="006F7E3B" w:rsidRPr="006D7947" w:rsidRDefault="006F7E3B" w:rsidP="006F7E3B">
            <w:pPr>
              <w:jc w:val="both"/>
              <w:rPr>
                <w:rFonts w:eastAsiaTheme="minorHAnsi"/>
                <w:sz w:val="20"/>
                <w:lang w:val="en-CA"/>
              </w:rPr>
            </w:pPr>
            <w:r w:rsidRPr="006D7947">
              <w:rPr>
                <w:rFonts w:eastAsiaTheme="minorHAnsi"/>
                <w:sz w:val="20"/>
                <w:lang w:val="en-CA"/>
              </w:rPr>
              <w:t xml:space="preserve">Order amending appointment of </w:t>
            </w:r>
            <w:r w:rsidRPr="006D7947">
              <w:rPr>
                <w:rFonts w:eastAsiaTheme="minorHAnsi"/>
                <w:i/>
                <w:sz w:val="20"/>
                <w:lang w:val="en-CA"/>
              </w:rPr>
              <w:t xml:space="preserve">amicus </w:t>
            </w:r>
            <w:r w:rsidRPr="006D7947">
              <w:rPr>
                <w:rFonts w:eastAsiaTheme="minorHAnsi"/>
                <w:sz w:val="20"/>
                <w:lang w:val="en-CA"/>
              </w:rPr>
              <w:t xml:space="preserve">to order remuneration rate of $192 per hour, Junior counsel appointed as </w:t>
            </w:r>
            <w:r w:rsidRPr="006D7947">
              <w:rPr>
                <w:rFonts w:eastAsiaTheme="minorHAnsi"/>
                <w:i/>
                <w:sz w:val="20"/>
                <w:lang w:val="en-CA"/>
              </w:rPr>
              <w:t>amicus curiae</w:t>
            </w:r>
            <w:r w:rsidRPr="006D7947">
              <w:rPr>
                <w:rFonts w:eastAsiaTheme="minorHAnsi"/>
                <w:sz w:val="20"/>
                <w:lang w:val="en-CA"/>
              </w:rPr>
              <w:t xml:space="preserve"> at rate of $110 per hour</w:t>
            </w:r>
          </w:p>
        </w:tc>
      </w:tr>
      <w:tr w:rsidR="006F7E3B" w:rsidRPr="006D7947" w:rsidTr="00DC2354">
        <w:tc>
          <w:tcPr>
            <w:tcW w:w="2376" w:type="pct"/>
            <w:gridSpan w:val="2"/>
          </w:tcPr>
          <w:p w:rsidR="006F7E3B" w:rsidRPr="006D7947" w:rsidRDefault="006F7E3B" w:rsidP="006F7E3B">
            <w:pPr>
              <w:jc w:val="both"/>
              <w:rPr>
                <w:rFonts w:eastAsiaTheme="minorHAnsi"/>
                <w:sz w:val="20"/>
                <w:lang w:val="en-CA"/>
              </w:rPr>
            </w:pPr>
            <w:r w:rsidRPr="006D7947">
              <w:rPr>
                <w:rFonts w:eastAsiaTheme="minorHAnsi"/>
                <w:sz w:val="20"/>
                <w:lang w:val="en-CA"/>
              </w:rPr>
              <w:t>February 26, 2010</w:t>
            </w:r>
          </w:p>
          <w:p w:rsidR="006F7E3B" w:rsidRPr="006D7947" w:rsidRDefault="006F7E3B" w:rsidP="006F7E3B">
            <w:pPr>
              <w:jc w:val="both"/>
              <w:rPr>
                <w:rFonts w:eastAsiaTheme="minorHAnsi"/>
                <w:sz w:val="20"/>
                <w:lang w:val="en-CA"/>
              </w:rPr>
            </w:pPr>
            <w:r w:rsidRPr="006D7947">
              <w:rPr>
                <w:rFonts w:eastAsiaTheme="minorHAnsi"/>
                <w:sz w:val="20"/>
                <w:lang w:val="en-CA"/>
              </w:rPr>
              <w:t>Ontario Court of Justice</w:t>
            </w:r>
          </w:p>
          <w:p w:rsidR="006F7E3B" w:rsidRPr="006D7947" w:rsidRDefault="006F7E3B" w:rsidP="006F7E3B">
            <w:pPr>
              <w:jc w:val="both"/>
              <w:rPr>
                <w:rFonts w:eastAsiaTheme="minorHAnsi"/>
                <w:sz w:val="20"/>
                <w:lang w:val="en-CA"/>
              </w:rPr>
            </w:pPr>
            <w:r w:rsidRPr="006D7947">
              <w:rPr>
                <w:rFonts w:eastAsiaTheme="minorHAnsi"/>
                <w:sz w:val="20"/>
                <w:lang w:val="en-CA"/>
              </w:rPr>
              <w:t xml:space="preserve">(Forestell J.) </w:t>
            </w:r>
          </w:p>
        </w:tc>
        <w:tc>
          <w:tcPr>
            <w:tcW w:w="238" w:type="pct"/>
          </w:tcPr>
          <w:p w:rsidR="006F7E3B" w:rsidRPr="006D7947" w:rsidRDefault="006F7E3B" w:rsidP="006F7E3B">
            <w:pPr>
              <w:jc w:val="both"/>
              <w:rPr>
                <w:rFonts w:eastAsiaTheme="minorHAnsi"/>
                <w:sz w:val="20"/>
                <w:lang w:val="en-CA"/>
              </w:rPr>
            </w:pPr>
          </w:p>
        </w:tc>
        <w:tc>
          <w:tcPr>
            <w:tcW w:w="2386" w:type="pct"/>
          </w:tcPr>
          <w:p w:rsidR="006F7E3B" w:rsidRPr="006D7947" w:rsidRDefault="006F7E3B" w:rsidP="006F7E3B">
            <w:pPr>
              <w:jc w:val="both"/>
              <w:rPr>
                <w:rFonts w:eastAsiaTheme="minorHAnsi"/>
                <w:sz w:val="20"/>
                <w:lang w:val="en-CA"/>
              </w:rPr>
            </w:pPr>
            <w:r w:rsidRPr="006D7947">
              <w:rPr>
                <w:rFonts w:eastAsiaTheme="minorHAnsi"/>
                <w:sz w:val="20"/>
                <w:lang w:val="en-CA"/>
              </w:rPr>
              <w:t xml:space="preserve">Order appointing independent assessor at rate of $192 per hour to set budget for </w:t>
            </w:r>
            <w:r w:rsidRPr="006D7947">
              <w:rPr>
                <w:rFonts w:eastAsiaTheme="minorHAnsi"/>
                <w:i/>
                <w:sz w:val="20"/>
                <w:lang w:val="en-CA"/>
              </w:rPr>
              <w:t>amicus curiae</w:t>
            </w:r>
            <w:r w:rsidRPr="006D7947">
              <w:rPr>
                <w:rFonts w:eastAsiaTheme="minorHAnsi"/>
                <w:sz w:val="20"/>
                <w:lang w:val="en-CA"/>
              </w:rPr>
              <w:t xml:space="preserve"> and to review, monitor and assess</w:t>
            </w:r>
            <w:r w:rsidRPr="006D7947">
              <w:rPr>
                <w:rFonts w:eastAsiaTheme="minorHAnsi"/>
                <w:i/>
                <w:sz w:val="20"/>
                <w:lang w:val="en-CA"/>
              </w:rPr>
              <w:t xml:space="preserve"> </w:t>
            </w:r>
            <w:r w:rsidRPr="006D7947">
              <w:rPr>
                <w:rFonts w:eastAsiaTheme="minorHAnsi"/>
                <w:sz w:val="20"/>
                <w:lang w:val="en-CA"/>
              </w:rPr>
              <w:t xml:space="preserve">accounts of </w:t>
            </w:r>
            <w:r w:rsidRPr="006D7947">
              <w:rPr>
                <w:rFonts w:eastAsiaTheme="minorHAnsi"/>
                <w:i/>
                <w:sz w:val="20"/>
                <w:lang w:val="en-CA"/>
              </w:rPr>
              <w:t>amicus</w:t>
            </w:r>
            <w:r w:rsidRPr="006D7947">
              <w:rPr>
                <w:rFonts w:eastAsiaTheme="minorHAnsi"/>
                <w:sz w:val="20"/>
                <w:lang w:val="en-CA"/>
              </w:rPr>
              <w:t xml:space="preserve"> </w:t>
            </w:r>
            <w:r w:rsidRPr="006D7947">
              <w:rPr>
                <w:rFonts w:eastAsiaTheme="minorHAnsi"/>
                <w:i/>
                <w:sz w:val="20"/>
                <w:lang w:val="en-CA"/>
              </w:rPr>
              <w:t xml:space="preserve">curiae  </w:t>
            </w:r>
            <w:r w:rsidRPr="006D7947">
              <w:rPr>
                <w:rFonts w:eastAsiaTheme="minorHAnsi"/>
                <w:sz w:val="20"/>
                <w:lang w:val="en-CA"/>
              </w:rPr>
              <w:t xml:space="preserve"> </w:t>
            </w:r>
          </w:p>
          <w:p w:rsidR="006F7E3B" w:rsidRPr="006D7947" w:rsidRDefault="006F7E3B" w:rsidP="006F7E3B">
            <w:pPr>
              <w:jc w:val="both"/>
              <w:rPr>
                <w:rFonts w:eastAsiaTheme="minorHAnsi"/>
                <w:sz w:val="20"/>
                <w:lang w:val="en-CA"/>
              </w:rPr>
            </w:pPr>
          </w:p>
        </w:tc>
      </w:tr>
      <w:tr w:rsidR="006F7E3B" w:rsidRPr="006D7947" w:rsidTr="00DC2354">
        <w:tc>
          <w:tcPr>
            <w:tcW w:w="2376" w:type="pct"/>
            <w:gridSpan w:val="2"/>
          </w:tcPr>
          <w:p w:rsidR="006F7E3B" w:rsidRPr="006D7947" w:rsidRDefault="006F7E3B" w:rsidP="006F7E3B">
            <w:pPr>
              <w:jc w:val="both"/>
              <w:rPr>
                <w:rFonts w:eastAsiaTheme="minorHAnsi"/>
                <w:sz w:val="20"/>
                <w:lang w:val="en-CA"/>
              </w:rPr>
            </w:pPr>
            <w:r w:rsidRPr="006D7947">
              <w:rPr>
                <w:rFonts w:eastAsiaTheme="minorHAnsi"/>
                <w:sz w:val="20"/>
                <w:lang w:val="en-CA"/>
              </w:rPr>
              <w:t>September 18, 2009</w:t>
            </w:r>
          </w:p>
          <w:p w:rsidR="006F7E3B" w:rsidRPr="006D7947" w:rsidRDefault="006F7E3B" w:rsidP="006F7E3B">
            <w:pPr>
              <w:jc w:val="both"/>
              <w:rPr>
                <w:rFonts w:eastAsiaTheme="minorHAnsi"/>
                <w:sz w:val="20"/>
                <w:lang w:val="en-CA"/>
              </w:rPr>
            </w:pPr>
            <w:r w:rsidRPr="006D7947">
              <w:rPr>
                <w:rFonts w:eastAsiaTheme="minorHAnsi"/>
                <w:sz w:val="20"/>
                <w:lang w:val="en-CA"/>
              </w:rPr>
              <w:t>Ontario Court of Justice</w:t>
            </w:r>
          </w:p>
          <w:p w:rsidR="006F7E3B" w:rsidRPr="006D7947" w:rsidRDefault="006F7E3B" w:rsidP="006F7E3B">
            <w:pPr>
              <w:jc w:val="both"/>
              <w:rPr>
                <w:rFonts w:eastAsiaTheme="minorHAnsi"/>
                <w:sz w:val="20"/>
                <w:lang w:val="en-CA"/>
              </w:rPr>
            </w:pPr>
            <w:r w:rsidRPr="006D7947">
              <w:rPr>
                <w:rFonts w:eastAsiaTheme="minorHAnsi"/>
                <w:sz w:val="20"/>
                <w:lang w:val="en-CA"/>
              </w:rPr>
              <w:t xml:space="preserve">(Keast J.)  </w:t>
            </w:r>
          </w:p>
          <w:p w:rsidR="006F7E3B" w:rsidRPr="006D7947" w:rsidRDefault="006F7E3B" w:rsidP="006F7E3B">
            <w:pPr>
              <w:jc w:val="both"/>
              <w:rPr>
                <w:rFonts w:eastAsiaTheme="minorHAnsi"/>
                <w:sz w:val="20"/>
                <w:lang w:val="en-CA"/>
              </w:rPr>
            </w:pPr>
          </w:p>
        </w:tc>
        <w:tc>
          <w:tcPr>
            <w:tcW w:w="238" w:type="pct"/>
          </w:tcPr>
          <w:p w:rsidR="006F7E3B" w:rsidRPr="006D7947" w:rsidRDefault="006F7E3B" w:rsidP="006F7E3B">
            <w:pPr>
              <w:jc w:val="both"/>
              <w:rPr>
                <w:rFonts w:eastAsiaTheme="minorHAnsi"/>
                <w:sz w:val="20"/>
                <w:lang w:val="en-CA"/>
              </w:rPr>
            </w:pPr>
          </w:p>
        </w:tc>
        <w:tc>
          <w:tcPr>
            <w:tcW w:w="2386" w:type="pct"/>
          </w:tcPr>
          <w:p w:rsidR="006F7E3B" w:rsidRPr="006D7947" w:rsidRDefault="006F7E3B" w:rsidP="006F7E3B">
            <w:pPr>
              <w:jc w:val="both"/>
              <w:rPr>
                <w:rFonts w:eastAsiaTheme="minorHAnsi"/>
                <w:sz w:val="20"/>
                <w:lang w:val="en-CA"/>
              </w:rPr>
            </w:pPr>
            <w:r w:rsidRPr="006D7947">
              <w:rPr>
                <w:rFonts w:eastAsiaTheme="minorHAnsi"/>
                <w:sz w:val="20"/>
                <w:lang w:val="en-CA"/>
              </w:rPr>
              <w:t>Amicus curiae appointed</w:t>
            </w:r>
            <w:r w:rsidRPr="006D7947">
              <w:rPr>
                <w:rFonts w:eastAsiaTheme="minorHAnsi"/>
                <w:b/>
                <w:sz w:val="20"/>
                <w:lang w:val="en-CA"/>
              </w:rPr>
              <w:t xml:space="preserve"> </w:t>
            </w:r>
            <w:r w:rsidRPr="006D7947">
              <w:rPr>
                <w:rFonts w:eastAsiaTheme="minorHAnsi"/>
                <w:sz w:val="20"/>
                <w:lang w:val="en-CA"/>
              </w:rPr>
              <w:t xml:space="preserve">in </w:t>
            </w:r>
            <w:r w:rsidRPr="006D7947">
              <w:rPr>
                <w:rFonts w:eastAsiaTheme="minorHAnsi"/>
                <w:i/>
                <w:sz w:val="20"/>
                <w:lang w:val="en-CA"/>
              </w:rPr>
              <w:t>R. v. Paul Whalen</w:t>
            </w:r>
            <w:r w:rsidRPr="006D7947">
              <w:rPr>
                <w:rFonts w:eastAsiaTheme="minorHAnsi"/>
                <w:sz w:val="20"/>
                <w:lang w:val="en-CA"/>
              </w:rPr>
              <w:t xml:space="preserve"> at rate of $200 per hour, Attorney General ordered to provide funding   </w:t>
            </w:r>
          </w:p>
        </w:tc>
      </w:tr>
      <w:tr w:rsidR="006F7E3B" w:rsidRPr="006D7947" w:rsidTr="00DC2354">
        <w:tc>
          <w:tcPr>
            <w:tcW w:w="2376" w:type="pct"/>
            <w:gridSpan w:val="2"/>
          </w:tcPr>
          <w:p w:rsidR="006F7E3B" w:rsidRPr="006D7947" w:rsidRDefault="006F7E3B" w:rsidP="006F7E3B">
            <w:pPr>
              <w:jc w:val="both"/>
              <w:rPr>
                <w:rFonts w:eastAsiaTheme="minorHAnsi"/>
                <w:sz w:val="20"/>
                <w:lang w:val="en-CA"/>
              </w:rPr>
            </w:pPr>
            <w:r w:rsidRPr="006D7947">
              <w:rPr>
                <w:rFonts w:eastAsiaTheme="minorHAnsi"/>
                <w:sz w:val="20"/>
                <w:lang w:val="en-CA"/>
              </w:rPr>
              <w:t>August 11, 2009</w:t>
            </w:r>
          </w:p>
          <w:p w:rsidR="006F7E3B" w:rsidRPr="006D7947" w:rsidRDefault="006F7E3B" w:rsidP="006F7E3B">
            <w:pPr>
              <w:jc w:val="both"/>
              <w:rPr>
                <w:rFonts w:eastAsiaTheme="minorHAnsi"/>
                <w:sz w:val="20"/>
                <w:lang w:val="en-CA"/>
              </w:rPr>
            </w:pPr>
            <w:r w:rsidRPr="006D7947">
              <w:rPr>
                <w:rFonts w:eastAsiaTheme="minorHAnsi"/>
                <w:sz w:val="20"/>
                <w:lang w:val="en-CA"/>
              </w:rPr>
              <w:t>Ontario Superior Court of Justice</w:t>
            </w:r>
          </w:p>
          <w:p w:rsidR="006F7E3B" w:rsidRPr="006D7947" w:rsidRDefault="006F7E3B" w:rsidP="006F7E3B">
            <w:pPr>
              <w:jc w:val="both"/>
              <w:rPr>
                <w:rFonts w:eastAsiaTheme="minorHAnsi"/>
                <w:sz w:val="20"/>
                <w:lang w:val="en-CA"/>
              </w:rPr>
            </w:pPr>
            <w:r w:rsidRPr="006D7947">
              <w:rPr>
                <w:rFonts w:eastAsiaTheme="minorHAnsi"/>
                <w:sz w:val="20"/>
                <w:lang w:val="en-CA"/>
              </w:rPr>
              <w:t>(Ratushny J.)</w:t>
            </w:r>
          </w:p>
          <w:p w:rsidR="006F7E3B" w:rsidRPr="006D7947" w:rsidRDefault="006F7E3B" w:rsidP="006F7E3B">
            <w:pPr>
              <w:jc w:val="both"/>
              <w:rPr>
                <w:rFonts w:eastAsiaTheme="minorHAnsi"/>
                <w:sz w:val="20"/>
                <w:lang w:val="en-CA"/>
              </w:rPr>
            </w:pPr>
          </w:p>
        </w:tc>
        <w:tc>
          <w:tcPr>
            <w:tcW w:w="238" w:type="pct"/>
          </w:tcPr>
          <w:p w:rsidR="006F7E3B" w:rsidRPr="006D7947" w:rsidRDefault="006F7E3B" w:rsidP="006F7E3B">
            <w:pPr>
              <w:jc w:val="both"/>
              <w:rPr>
                <w:rFonts w:eastAsiaTheme="minorHAnsi"/>
                <w:sz w:val="20"/>
                <w:lang w:val="en-CA"/>
              </w:rPr>
            </w:pPr>
          </w:p>
        </w:tc>
        <w:tc>
          <w:tcPr>
            <w:tcW w:w="2386" w:type="pct"/>
          </w:tcPr>
          <w:p w:rsidR="006F7E3B" w:rsidRPr="006D7947" w:rsidRDefault="006F7E3B" w:rsidP="006F7E3B">
            <w:pPr>
              <w:jc w:val="both"/>
              <w:rPr>
                <w:rFonts w:eastAsiaTheme="minorHAnsi"/>
                <w:sz w:val="20"/>
                <w:lang w:val="en-CA"/>
              </w:rPr>
            </w:pPr>
            <w:r w:rsidRPr="006D7947">
              <w:rPr>
                <w:rFonts w:eastAsiaTheme="minorHAnsi"/>
                <w:sz w:val="20"/>
                <w:lang w:val="en-CA"/>
              </w:rPr>
              <w:t xml:space="preserve">Order that rate of remuneration of </w:t>
            </w:r>
            <w:r w:rsidRPr="006D7947">
              <w:rPr>
                <w:rFonts w:eastAsiaTheme="minorHAnsi"/>
                <w:i/>
                <w:sz w:val="20"/>
                <w:lang w:val="en-CA"/>
              </w:rPr>
              <w:t>amicus curiae</w:t>
            </w:r>
            <w:r w:rsidRPr="006D7947">
              <w:rPr>
                <w:rFonts w:eastAsiaTheme="minorHAnsi"/>
                <w:sz w:val="20"/>
                <w:lang w:val="en-CA"/>
              </w:rPr>
              <w:t xml:space="preserve"> in </w:t>
            </w:r>
            <w:r w:rsidRPr="006D7947">
              <w:rPr>
                <w:rFonts w:eastAsiaTheme="minorHAnsi"/>
                <w:i/>
                <w:sz w:val="20"/>
                <w:lang w:val="en-CA"/>
              </w:rPr>
              <w:t>R. v. Lawrence Greenspon</w:t>
            </w:r>
            <w:r w:rsidRPr="006D7947">
              <w:rPr>
                <w:rFonts w:eastAsiaTheme="minorHAnsi"/>
                <w:sz w:val="20"/>
                <w:lang w:val="en-CA"/>
              </w:rPr>
              <w:t xml:space="preserve"> be fixed at $250 per hour for 3.25 hours rendered </w:t>
            </w:r>
          </w:p>
        </w:tc>
      </w:tr>
      <w:tr w:rsidR="006F7E3B" w:rsidRPr="006D7947" w:rsidTr="00DC2354">
        <w:tc>
          <w:tcPr>
            <w:tcW w:w="2376" w:type="pct"/>
            <w:gridSpan w:val="2"/>
          </w:tcPr>
          <w:p w:rsidR="006F7E3B" w:rsidRPr="006D7947" w:rsidRDefault="006F7E3B" w:rsidP="006F7E3B">
            <w:pPr>
              <w:jc w:val="both"/>
              <w:rPr>
                <w:rFonts w:eastAsiaTheme="minorHAnsi"/>
                <w:sz w:val="20"/>
                <w:lang w:val="en-CA"/>
              </w:rPr>
            </w:pPr>
            <w:r w:rsidRPr="006D7947">
              <w:rPr>
                <w:rFonts w:eastAsiaTheme="minorHAnsi"/>
                <w:sz w:val="20"/>
                <w:lang w:val="en-CA"/>
              </w:rPr>
              <w:t>April 19, 2011</w:t>
            </w:r>
          </w:p>
          <w:p w:rsidR="006F7E3B" w:rsidRPr="006D7947" w:rsidRDefault="006F7E3B" w:rsidP="006F7E3B">
            <w:pPr>
              <w:jc w:val="both"/>
              <w:rPr>
                <w:rFonts w:eastAsiaTheme="minorHAnsi"/>
                <w:sz w:val="20"/>
                <w:lang w:val="en-CA"/>
              </w:rPr>
            </w:pPr>
            <w:r w:rsidRPr="006D7947">
              <w:rPr>
                <w:rFonts w:eastAsiaTheme="minorHAnsi"/>
                <w:sz w:val="20"/>
                <w:lang w:val="en-CA"/>
              </w:rPr>
              <w:t>Court of Appeal for Ontario</w:t>
            </w:r>
          </w:p>
          <w:p w:rsidR="006F7E3B" w:rsidRPr="006D7947" w:rsidRDefault="006F7E3B" w:rsidP="006F7E3B">
            <w:pPr>
              <w:jc w:val="both"/>
              <w:rPr>
                <w:rFonts w:eastAsiaTheme="minorHAnsi"/>
                <w:sz w:val="20"/>
                <w:lang w:val="en-CA"/>
              </w:rPr>
            </w:pPr>
            <w:r w:rsidRPr="006D7947">
              <w:rPr>
                <w:rFonts w:eastAsiaTheme="minorHAnsi"/>
                <w:sz w:val="20"/>
                <w:lang w:val="en-CA"/>
              </w:rPr>
              <w:t>(Rosenberg, Goudge, Armstrong JJ.A.)</w:t>
            </w:r>
          </w:p>
          <w:p w:rsidR="006F7E3B" w:rsidRPr="006D7947" w:rsidRDefault="006F7E3B" w:rsidP="006F7E3B">
            <w:pPr>
              <w:jc w:val="both"/>
              <w:rPr>
                <w:rFonts w:eastAsiaTheme="minorHAnsi"/>
                <w:sz w:val="20"/>
                <w:lang w:val="en-CA"/>
              </w:rPr>
            </w:pPr>
            <w:r w:rsidRPr="006D7947">
              <w:rPr>
                <w:rFonts w:eastAsiaTheme="minorHAnsi"/>
                <w:sz w:val="20"/>
                <w:lang w:val="en-CA"/>
              </w:rPr>
              <w:t xml:space="preserve">2011 ONCA 303 </w:t>
            </w:r>
          </w:p>
          <w:p w:rsidR="006F7E3B" w:rsidRPr="006D7947" w:rsidRDefault="006F7E3B" w:rsidP="006F7E3B">
            <w:pPr>
              <w:jc w:val="both"/>
              <w:rPr>
                <w:rFonts w:eastAsiaTheme="minorHAnsi"/>
                <w:sz w:val="20"/>
                <w:lang w:val="en-CA"/>
              </w:rPr>
            </w:pPr>
          </w:p>
        </w:tc>
        <w:tc>
          <w:tcPr>
            <w:tcW w:w="238" w:type="pct"/>
          </w:tcPr>
          <w:p w:rsidR="006F7E3B" w:rsidRPr="006D7947" w:rsidRDefault="006F7E3B" w:rsidP="006F7E3B">
            <w:pPr>
              <w:jc w:val="both"/>
              <w:rPr>
                <w:rFonts w:eastAsiaTheme="minorHAnsi"/>
                <w:sz w:val="20"/>
                <w:lang w:val="en-CA"/>
              </w:rPr>
            </w:pPr>
          </w:p>
        </w:tc>
        <w:tc>
          <w:tcPr>
            <w:tcW w:w="2386" w:type="pct"/>
          </w:tcPr>
          <w:p w:rsidR="006F7E3B" w:rsidRPr="006D7947" w:rsidRDefault="006F7E3B" w:rsidP="006F7E3B">
            <w:pPr>
              <w:jc w:val="both"/>
              <w:rPr>
                <w:rFonts w:eastAsiaTheme="minorHAnsi"/>
                <w:sz w:val="20"/>
                <w:lang w:val="en-CA"/>
              </w:rPr>
            </w:pPr>
            <w:r w:rsidRPr="006D7947">
              <w:rPr>
                <w:rFonts w:eastAsiaTheme="minorHAnsi"/>
                <w:sz w:val="20"/>
                <w:lang w:val="en-CA"/>
              </w:rPr>
              <w:t>Appeals dismissed</w:t>
            </w:r>
          </w:p>
          <w:p w:rsidR="006F7E3B" w:rsidRPr="006D7947" w:rsidRDefault="006F7E3B" w:rsidP="006F7E3B">
            <w:pPr>
              <w:jc w:val="both"/>
              <w:rPr>
                <w:rFonts w:eastAsiaTheme="minorHAnsi"/>
                <w:sz w:val="20"/>
                <w:lang w:val="en-CA"/>
              </w:rPr>
            </w:pPr>
          </w:p>
        </w:tc>
      </w:tr>
      <w:tr w:rsidR="006F7E3B" w:rsidRPr="006D7947" w:rsidTr="00DC2354">
        <w:tc>
          <w:tcPr>
            <w:tcW w:w="2376" w:type="pct"/>
            <w:gridSpan w:val="2"/>
          </w:tcPr>
          <w:p w:rsidR="006F7E3B" w:rsidRPr="006D7947" w:rsidRDefault="006F7E3B" w:rsidP="006F7E3B">
            <w:pPr>
              <w:jc w:val="both"/>
              <w:rPr>
                <w:rFonts w:eastAsiaTheme="minorHAnsi"/>
                <w:sz w:val="20"/>
                <w:lang w:val="en-CA"/>
              </w:rPr>
            </w:pPr>
            <w:r w:rsidRPr="006D7947">
              <w:rPr>
                <w:rFonts w:eastAsiaTheme="minorHAnsi"/>
                <w:sz w:val="20"/>
                <w:lang w:val="en-CA"/>
              </w:rPr>
              <w:t>June 17, 2011</w:t>
            </w:r>
          </w:p>
          <w:p w:rsidR="006F7E3B" w:rsidRPr="006D7947" w:rsidRDefault="006F7E3B" w:rsidP="006F7E3B">
            <w:pPr>
              <w:jc w:val="both"/>
              <w:rPr>
                <w:rFonts w:eastAsiaTheme="minorHAnsi"/>
                <w:sz w:val="20"/>
                <w:lang w:val="en-CA"/>
              </w:rPr>
            </w:pPr>
            <w:r w:rsidRPr="006D7947">
              <w:rPr>
                <w:rFonts w:eastAsiaTheme="minorHAnsi"/>
                <w:sz w:val="20"/>
                <w:lang w:val="en-CA"/>
              </w:rPr>
              <w:t>Supreme Court of Canada</w:t>
            </w:r>
          </w:p>
          <w:p w:rsidR="006F7E3B" w:rsidRPr="006D7947" w:rsidRDefault="006F7E3B" w:rsidP="006F7E3B">
            <w:pPr>
              <w:jc w:val="both"/>
              <w:rPr>
                <w:rFonts w:eastAsiaTheme="minorHAnsi"/>
                <w:sz w:val="20"/>
                <w:lang w:val="en-CA"/>
              </w:rPr>
            </w:pPr>
          </w:p>
        </w:tc>
        <w:tc>
          <w:tcPr>
            <w:tcW w:w="238" w:type="pct"/>
          </w:tcPr>
          <w:p w:rsidR="006F7E3B" w:rsidRPr="006D7947" w:rsidRDefault="006F7E3B" w:rsidP="006F7E3B">
            <w:pPr>
              <w:jc w:val="both"/>
              <w:rPr>
                <w:rFonts w:eastAsiaTheme="minorHAnsi"/>
                <w:sz w:val="20"/>
                <w:lang w:val="en-CA"/>
              </w:rPr>
            </w:pPr>
          </w:p>
        </w:tc>
        <w:tc>
          <w:tcPr>
            <w:tcW w:w="2386" w:type="pct"/>
          </w:tcPr>
          <w:p w:rsidR="006F7E3B" w:rsidRPr="006D7947" w:rsidRDefault="006F7E3B" w:rsidP="006F7E3B">
            <w:pPr>
              <w:jc w:val="both"/>
              <w:rPr>
                <w:rFonts w:eastAsiaTheme="minorHAnsi"/>
                <w:sz w:val="20"/>
                <w:lang w:val="en-CA"/>
              </w:rPr>
            </w:pPr>
            <w:r w:rsidRPr="006D7947">
              <w:rPr>
                <w:rFonts w:eastAsiaTheme="minorHAnsi"/>
                <w:sz w:val="20"/>
                <w:lang w:val="en-CA"/>
              </w:rPr>
              <w:t>Application for leave to appeal filed</w:t>
            </w:r>
          </w:p>
        </w:tc>
      </w:tr>
      <w:tr w:rsidR="006F7E3B" w:rsidRPr="006D7947" w:rsidTr="00DC2354">
        <w:tc>
          <w:tcPr>
            <w:tcW w:w="2376" w:type="pct"/>
            <w:gridSpan w:val="2"/>
          </w:tcPr>
          <w:p w:rsidR="006F7E3B" w:rsidRPr="006D7947" w:rsidRDefault="006F7E3B" w:rsidP="006F7E3B">
            <w:pPr>
              <w:jc w:val="both"/>
              <w:rPr>
                <w:rFonts w:eastAsiaTheme="minorHAnsi"/>
                <w:sz w:val="20"/>
                <w:lang w:val="en-CA"/>
              </w:rPr>
            </w:pPr>
            <w:r w:rsidRPr="006D7947">
              <w:rPr>
                <w:rFonts w:eastAsiaTheme="minorHAnsi"/>
                <w:sz w:val="20"/>
                <w:lang w:val="en-CA"/>
              </w:rPr>
              <w:t>August 23, 2011</w:t>
            </w:r>
          </w:p>
          <w:p w:rsidR="006F7E3B" w:rsidRPr="006D7947" w:rsidRDefault="006F7E3B" w:rsidP="006F7E3B">
            <w:pPr>
              <w:jc w:val="both"/>
              <w:rPr>
                <w:rFonts w:eastAsiaTheme="minorHAnsi"/>
                <w:sz w:val="20"/>
                <w:lang w:val="en-CA"/>
              </w:rPr>
            </w:pPr>
            <w:r w:rsidRPr="006D7947">
              <w:rPr>
                <w:rFonts w:eastAsiaTheme="minorHAnsi"/>
                <w:sz w:val="20"/>
                <w:lang w:val="en-CA"/>
              </w:rPr>
              <w:t>Supreme Court of Canada</w:t>
            </w:r>
          </w:p>
        </w:tc>
        <w:tc>
          <w:tcPr>
            <w:tcW w:w="238" w:type="pct"/>
          </w:tcPr>
          <w:p w:rsidR="006F7E3B" w:rsidRPr="006D7947" w:rsidRDefault="006F7E3B" w:rsidP="006F7E3B">
            <w:pPr>
              <w:jc w:val="both"/>
              <w:rPr>
                <w:rFonts w:eastAsiaTheme="minorHAnsi"/>
                <w:sz w:val="20"/>
                <w:lang w:val="en-CA"/>
              </w:rPr>
            </w:pPr>
          </w:p>
        </w:tc>
        <w:tc>
          <w:tcPr>
            <w:tcW w:w="2386" w:type="pct"/>
          </w:tcPr>
          <w:p w:rsidR="006F7E3B" w:rsidRPr="006D7947" w:rsidRDefault="006F7E3B" w:rsidP="006F7E3B">
            <w:pPr>
              <w:jc w:val="both"/>
              <w:rPr>
                <w:rFonts w:eastAsiaTheme="minorHAnsi"/>
                <w:sz w:val="20"/>
                <w:lang w:val="en-CA"/>
              </w:rPr>
            </w:pPr>
            <w:r w:rsidRPr="006D7947">
              <w:rPr>
                <w:rFonts w:eastAsiaTheme="minorHAnsi"/>
                <w:sz w:val="20"/>
                <w:lang w:val="en-CA"/>
              </w:rPr>
              <w:t>Motion to consolidate applications for leave to appeal and to vary style of cause filed</w:t>
            </w:r>
          </w:p>
        </w:tc>
      </w:tr>
    </w:tbl>
    <w:p w:rsidR="006F7E3B" w:rsidRDefault="006F7E3B" w:rsidP="006F7E3B">
      <w:pPr>
        <w:jc w:val="both"/>
        <w:rPr>
          <w:rFonts w:eastAsiaTheme="minorHAnsi"/>
          <w:sz w:val="20"/>
          <w:lang w:val="en-CA"/>
        </w:rPr>
      </w:pPr>
    </w:p>
    <w:p w:rsidR="00DC2354" w:rsidRPr="006D7947" w:rsidRDefault="00DC2354" w:rsidP="006F7E3B">
      <w:pPr>
        <w:jc w:val="both"/>
        <w:rPr>
          <w:rFonts w:eastAsiaTheme="minorHAnsi"/>
          <w:sz w:val="20"/>
          <w:lang w:val="en-CA"/>
        </w:rPr>
      </w:pPr>
    </w:p>
    <w:tbl>
      <w:tblPr>
        <w:tblW w:w="4952" w:type="pct"/>
        <w:tblLayout w:type="fixed"/>
        <w:tblCellMar>
          <w:left w:w="0" w:type="dxa"/>
          <w:bottom w:w="99" w:type="dxa"/>
          <w:right w:w="0" w:type="dxa"/>
        </w:tblCellMar>
        <w:tblLook w:val="00A0"/>
      </w:tblPr>
      <w:tblGrid>
        <w:gridCol w:w="990"/>
        <w:gridCol w:w="3419"/>
        <w:gridCol w:w="439"/>
        <w:gridCol w:w="4422"/>
      </w:tblGrid>
      <w:tr w:rsidR="006F7E3B" w:rsidRPr="006D7947" w:rsidTr="00DC2354">
        <w:tc>
          <w:tcPr>
            <w:tcW w:w="534" w:type="pct"/>
          </w:tcPr>
          <w:p w:rsidR="006F7E3B" w:rsidRPr="006D7947" w:rsidRDefault="006F7E3B" w:rsidP="006F7E3B">
            <w:pPr>
              <w:jc w:val="both"/>
              <w:rPr>
                <w:rFonts w:eastAsia="Calibri"/>
                <w:sz w:val="20"/>
                <w:lang w:val="fr-CA"/>
              </w:rPr>
            </w:pPr>
            <w:r w:rsidRPr="006D7947">
              <w:rPr>
                <w:rFonts w:eastAsia="Calibri"/>
                <w:b/>
                <w:sz w:val="20"/>
                <w:lang w:val="fr-CA"/>
              </w:rPr>
              <w:t>34317</w:t>
            </w:r>
          </w:p>
        </w:tc>
        <w:tc>
          <w:tcPr>
            <w:tcW w:w="4466" w:type="pct"/>
            <w:gridSpan w:val="3"/>
          </w:tcPr>
          <w:p w:rsidR="006F7E3B" w:rsidRPr="006D7947" w:rsidRDefault="006F7E3B" w:rsidP="006F7E3B">
            <w:pPr>
              <w:jc w:val="both"/>
              <w:rPr>
                <w:rFonts w:eastAsia="Calibri"/>
                <w:b/>
                <w:sz w:val="20"/>
                <w:lang w:val="fr-CA"/>
              </w:rPr>
            </w:pPr>
            <w:r w:rsidRPr="006D7947">
              <w:rPr>
                <w:rFonts w:eastAsia="Calibri"/>
                <w:b/>
                <w:sz w:val="20"/>
                <w:lang w:val="fr-CA"/>
              </w:rPr>
              <w:t xml:space="preserve">Sa Majesté la Reine c. Criminal Lawyers Association, et al. </w:t>
            </w:r>
          </w:p>
          <w:p w:rsidR="006F7E3B" w:rsidRPr="006D7947" w:rsidRDefault="006F7E3B" w:rsidP="00DC2354">
            <w:pPr>
              <w:jc w:val="both"/>
              <w:rPr>
                <w:rFonts w:eastAsia="Calibri"/>
                <w:sz w:val="20"/>
                <w:lang w:val="fr-CA"/>
              </w:rPr>
            </w:pPr>
            <w:r w:rsidRPr="006D7947">
              <w:rPr>
                <w:rFonts w:eastAsia="Calibri"/>
                <w:sz w:val="20"/>
                <w:lang w:val="fr-CA"/>
              </w:rPr>
              <w:t>(Ont.) (Criminelle) (Autorisation)</w:t>
            </w:r>
          </w:p>
        </w:tc>
      </w:tr>
      <w:tr w:rsidR="006F7E3B" w:rsidRPr="00433941" w:rsidTr="006D7947">
        <w:tc>
          <w:tcPr>
            <w:tcW w:w="5000" w:type="pct"/>
            <w:gridSpan w:val="4"/>
          </w:tcPr>
          <w:p w:rsidR="006F7E3B" w:rsidRPr="006D7947" w:rsidRDefault="006F7E3B" w:rsidP="006F7E3B">
            <w:pPr>
              <w:jc w:val="both"/>
              <w:rPr>
                <w:rFonts w:eastAsia="Calibri"/>
                <w:sz w:val="20"/>
                <w:lang w:val="fr-CA"/>
              </w:rPr>
            </w:pPr>
            <w:r w:rsidRPr="006D7947">
              <w:rPr>
                <w:rFonts w:eastAsia="Calibri"/>
                <w:sz w:val="20"/>
                <w:lang w:val="fr-CA"/>
              </w:rPr>
              <w:t xml:space="preserve">Droit constitutionnel — Partage des compétences — Compétence du tribunal pour ordonner que des honoraires soient payés à des </w:t>
            </w:r>
            <w:r w:rsidRPr="006D7947">
              <w:rPr>
                <w:rFonts w:eastAsia="Calibri"/>
                <w:i/>
                <w:sz w:val="20"/>
                <w:lang w:val="fr-CA"/>
              </w:rPr>
              <w:t>amicus curiae</w:t>
            </w:r>
            <w:r w:rsidRPr="006D7947">
              <w:rPr>
                <w:rFonts w:eastAsia="Calibri"/>
                <w:sz w:val="20"/>
                <w:lang w:val="fr-CA"/>
              </w:rPr>
              <w:t xml:space="preserve"> sur le Trésor — Pouvoir du tribunal de fixer les honoraires payables aux </w:t>
            </w:r>
            <w:r w:rsidRPr="006D7947">
              <w:rPr>
                <w:rFonts w:eastAsia="Calibri"/>
                <w:i/>
                <w:sz w:val="20"/>
                <w:lang w:val="fr-CA"/>
              </w:rPr>
              <w:t>amicus curiae</w:t>
            </w:r>
            <w:r w:rsidRPr="006D7947">
              <w:rPr>
                <w:rFonts w:eastAsia="Calibri"/>
                <w:sz w:val="20"/>
                <w:lang w:val="fr-CA"/>
              </w:rPr>
              <w:t xml:space="preserve"> — La compétence du tribunal pour être maître de sa propre procédure qui lui permet de nommer des avocats comprend-elle le pouvoir d'ordonner au gouvernement d'utiliser des fonds publics pour payer des avocats eu égard à la compétence exclusive du législateur pour débourser des fonds publics? — Les dispositions législatives générales qui permettent les recours contre la Couronne confèrent-elles aux tribunaux la compétence pour ordonner à l'Ontario d'affecter et de dépenser des fonds publics indéterminés pour rémunérer des </w:t>
            </w:r>
            <w:r w:rsidRPr="006D7947">
              <w:rPr>
                <w:rFonts w:eastAsia="Calibri"/>
                <w:i/>
                <w:sz w:val="20"/>
                <w:lang w:val="fr-CA"/>
              </w:rPr>
              <w:t>amicus curiae</w:t>
            </w:r>
            <w:r w:rsidRPr="006D7947">
              <w:rPr>
                <w:rFonts w:eastAsia="Calibri"/>
                <w:sz w:val="20"/>
                <w:lang w:val="fr-CA"/>
              </w:rPr>
              <w:t xml:space="preserve"> dans des affaires criminelles lorsque le tribunal le juge nécessaire pour l'administration de la justice? — Le tribunal doit-il adopter l'approche la moins restrictive lorsqu'il a ordonné que la présence d'</w:t>
            </w:r>
            <w:r w:rsidRPr="006D7947">
              <w:rPr>
                <w:rFonts w:eastAsia="Calibri"/>
                <w:i/>
                <w:sz w:val="20"/>
                <w:lang w:val="fr-CA"/>
              </w:rPr>
              <w:t>amicus curiae</w:t>
            </w:r>
            <w:r w:rsidRPr="006D7947">
              <w:rPr>
                <w:rFonts w:eastAsia="Calibri"/>
                <w:sz w:val="20"/>
                <w:lang w:val="fr-CA"/>
              </w:rPr>
              <w:t xml:space="preserve"> est nécessaire ou bien est-ce que le tribunal peut procéder directement pour fixer les tarifs pour les </w:t>
            </w:r>
            <w:r w:rsidRPr="006D7947">
              <w:rPr>
                <w:rFonts w:eastAsia="Calibri"/>
                <w:i/>
                <w:sz w:val="20"/>
                <w:lang w:val="fr-CA"/>
              </w:rPr>
              <w:t>amicus curiae</w:t>
            </w:r>
            <w:r w:rsidRPr="006D7947">
              <w:rPr>
                <w:rFonts w:eastAsia="Calibri"/>
                <w:sz w:val="20"/>
                <w:lang w:val="fr-CA"/>
              </w:rPr>
              <w:t>?</w:t>
            </w:r>
          </w:p>
          <w:p w:rsidR="006F7E3B" w:rsidRPr="006D7947" w:rsidRDefault="006F7E3B" w:rsidP="006F7E3B">
            <w:pPr>
              <w:jc w:val="both"/>
              <w:rPr>
                <w:rFonts w:eastAsia="Calibri"/>
                <w:sz w:val="20"/>
                <w:lang w:val="fr-CA"/>
              </w:rPr>
            </w:pPr>
          </w:p>
        </w:tc>
      </w:tr>
      <w:tr w:rsidR="006F7E3B" w:rsidRPr="00433941" w:rsidTr="006D7947">
        <w:tc>
          <w:tcPr>
            <w:tcW w:w="5000" w:type="pct"/>
            <w:gridSpan w:val="4"/>
          </w:tcPr>
          <w:p w:rsidR="006F7E3B" w:rsidRPr="006D7947" w:rsidRDefault="006F7E3B" w:rsidP="006F7E3B">
            <w:pPr>
              <w:jc w:val="both"/>
              <w:rPr>
                <w:rFonts w:eastAsia="Calibri"/>
                <w:sz w:val="20"/>
                <w:lang w:val="fr-CA"/>
              </w:rPr>
            </w:pPr>
            <w:r w:rsidRPr="006D7947">
              <w:rPr>
                <w:rFonts w:eastAsia="Calibri"/>
                <w:sz w:val="20"/>
                <w:lang w:val="fr-CA"/>
              </w:rPr>
              <w:t xml:space="preserve">Dans les affaires criminelles dont il est question en l’espèce, les juges de première instance ont nommé des </w:t>
            </w:r>
            <w:r w:rsidRPr="006D7947">
              <w:rPr>
                <w:rFonts w:eastAsia="Calibri"/>
                <w:i/>
                <w:sz w:val="20"/>
                <w:lang w:val="fr-CA"/>
              </w:rPr>
              <w:t>amicus curiae</w:t>
            </w:r>
            <w:r w:rsidRPr="006D7947">
              <w:rPr>
                <w:rFonts w:eastAsia="Calibri"/>
                <w:sz w:val="20"/>
                <w:lang w:val="fr-CA"/>
              </w:rPr>
              <w:t xml:space="preserve"> pour assurer que les instances procèdent équitablement et rapidement. Dans tous les cas, le juge de première instance a ordonné un tarif de rémunération à payer aux </w:t>
            </w:r>
            <w:r w:rsidRPr="006D7947">
              <w:rPr>
                <w:rFonts w:eastAsia="Calibri"/>
                <w:i/>
                <w:sz w:val="20"/>
                <w:lang w:val="fr-CA"/>
              </w:rPr>
              <w:t>amicus curiae</w:t>
            </w:r>
            <w:r w:rsidRPr="006D7947">
              <w:rPr>
                <w:rFonts w:eastAsia="Calibri"/>
                <w:sz w:val="20"/>
                <w:lang w:val="fr-CA"/>
              </w:rPr>
              <w:t xml:space="preserve"> par le procureur général.  Dans le cas de M. Imona Russel, le juge de première instance a également nommé un évaluateur indépendant pour contrôler et approuver les comptes de l'</w:t>
            </w:r>
            <w:r w:rsidRPr="006D7947">
              <w:rPr>
                <w:rFonts w:eastAsia="Calibri"/>
                <w:i/>
                <w:sz w:val="20"/>
                <w:lang w:val="fr-CA"/>
              </w:rPr>
              <w:t>amicus curiae</w:t>
            </w:r>
            <w:r w:rsidRPr="006D7947">
              <w:rPr>
                <w:rFonts w:eastAsia="Calibri"/>
                <w:sz w:val="20"/>
                <w:lang w:val="fr-CA"/>
              </w:rPr>
              <w:t xml:space="preserve">.  Le procureur général conteste la compétence des tribunaux pour fixer des tarifs de rémunération et d'ordonner le paiement d'honoraires aux </w:t>
            </w:r>
            <w:r w:rsidRPr="006D7947">
              <w:rPr>
                <w:rFonts w:eastAsia="Calibri"/>
                <w:i/>
                <w:sz w:val="20"/>
                <w:lang w:val="fr-CA"/>
              </w:rPr>
              <w:t>amicus curiae</w:t>
            </w:r>
            <w:r w:rsidRPr="006D7947">
              <w:rPr>
                <w:rFonts w:eastAsia="Calibri"/>
                <w:sz w:val="20"/>
                <w:lang w:val="fr-CA"/>
              </w:rPr>
              <w:t xml:space="preserve"> sur le Trésor.</w:t>
            </w:r>
          </w:p>
        </w:tc>
      </w:tr>
      <w:tr w:rsidR="006F7E3B" w:rsidRPr="00433941" w:rsidTr="006D7947">
        <w:tc>
          <w:tcPr>
            <w:tcW w:w="5000" w:type="pct"/>
            <w:gridSpan w:val="4"/>
          </w:tcPr>
          <w:p w:rsidR="006F7E3B" w:rsidRPr="006D7947" w:rsidRDefault="006F7E3B" w:rsidP="006F7E3B">
            <w:pPr>
              <w:jc w:val="both"/>
              <w:rPr>
                <w:rFonts w:eastAsia="Calibri"/>
                <w:sz w:val="20"/>
                <w:lang w:val="fr-CA"/>
              </w:rPr>
            </w:pPr>
            <w:r w:rsidRPr="006D7947">
              <w:rPr>
                <w:rFonts w:eastAsia="Calibri"/>
                <w:sz w:val="20"/>
                <w:lang w:val="fr-CA"/>
              </w:rPr>
              <w:t xml:space="preserve"> </w:t>
            </w:r>
          </w:p>
        </w:tc>
      </w:tr>
      <w:tr w:rsidR="006F7E3B" w:rsidRPr="00433941" w:rsidTr="006D7947">
        <w:tc>
          <w:tcPr>
            <w:tcW w:w="2378" w:type="pct"/>
            <w:gridSpan w:val="2"/>
          </w:tcPr>
          <w:p w:rsidR="006F7E3B" w:rsidRPr="006D7947" w:rsidRDefault="006F7E3B" w:rsidP="006F7E3B">
            <w:pPr>
              <w:jc w:val="both"/>
              <w:rPr>
                <w:rFonts w:eastAsia="Calibri"/>
                <w:sz w:val="20"/>
                <w:lang w:val="fr-CA"/>
              </w:rPr>
            </w:pPr>
            <w:r w:rsidRPr="006D7947">
              <w:rPr>
                <w:rFonts w:eastAsia="Calibri"/>
                <w:sz w:val="20"/>
                <w:lang w:val="fr-CA"/>
              </w:rPr>
              <w:t xml:space="preserve">17 juin 2008 </w:t>
            </w:r>
          </w:p>
          <w:p w:rsidR="006F7E3B" w:rsidRPr="006D7947" w:rsidRDefault="006F7E3B" w:rsidP="006F7E3B">
            <w:pPr>
              <w:jc w:val="both"/>
              <w:rPr>
                <w:rFonts w:eastAsia="Calibri"/>
                <w:sz w:val="20"/>
                <w:lang w:val="fr-CA"/>
              </w:rPr>
            </w:pPr>
            <w:r w:rsidRPr="006D7947">
              <w:rPr>
                <w:rFonts w:eastAsia="Calibri"/>
                <w:sz w:val="20"/>
                <w:lang w:val="fr-CA"/>
              </w:rPr>
              <w:t xml:space="preserve">Cour supérieure de justice de l'Ontario </w:t>
            </w:r>
          </w:p>
          <w:p w:rsidR="006F7E3B" w:rsidRDefault="006F7E3B" w:rsidP="006F7E3B">
            <w:pPr>
              <w:jc w:val="both"/>
              <w:rPr>
                <w:rFonts w:eastAsia="Calibri"/>
                <w:sz w:val="20"/>
                <w:lang w:val="fr-CA"/>
              </w:rPr>
            </w:pPr>
            <w:r w:rsidRPr="006D7947">
              <w:rPr>
                <w:rFonts w:eastAsia="Calibri"/>
                <w:sz w:val="20"/>
                <w:lang w:val="fr-CA"/>
              </w:rPr>
              <w:t>(Juge Marrocco)</w:t>
            </w:r>
          </w:p>
          <w:p w:rsidR="00DC2354" w:rsidRPr="006D7947" w:rsidRDefault="00DC2354" w:rsidP="006F7E3B">
            <w:pPr>
              <w:jc w:val="both"/>
              <w:rPr>
                <w:rFonts w:eastAsia="Calibri"/>
                <w:sz w:val="20"/>
                <w:lang w:val="fr-CA"/>
              </w:rPr>
            </w:pPr>
          </w:p>
        </w:tc>
        <w:tc>
          <w:tcPr>
            <w:tcW w:w="237" w:type="pct"/>
          </w:tcPr>
          <w:p w:rsidR="006F7E3B" w:rsidRPr="006D7947" w:rsidRDefault="006F7E3B" w:rsidP="006F7E3B">
            <w:pPr>
              <w:jc w:val="both"/>
              <w:rPr>
                <w:rFonts w:eastAsia="Calibri"/>
                <w:sz w:val="20"/>
                <w:lang w:val="fr-CA"/>
              </w:rPr>
            </w:pPr>
          </w:p>
        </w:tc>
        <w:tc>
          <w:tcPr>
            <w:tcW w:w="2385" w:type="pct"/>
          </w:tcPr>
          <w:p w:rsidR="006F7E3B" w:rsidRPr="006D7947" w:rsidRDefault="006F7E3B" w:rsidP="006F7E3B">
            <w:pPr>
              <w:jc w:val="both"/>
              <w:rPr>
                <w:rFonts w:eastAsia="Calibri"/>
                <w:sz w:val="20"/>
                <w:lang w:val="fr-CA"/>
              </w:rPr>
            </w:pPr>
            <w:r w:rsidRPr="006D7947">
              <w:rPr>
                <w:rFonts w:eastAsia="Calibri"/>
                <w:sz w:val="20"/>
                <w:lang w:val="fr-CA"/>
              </w:rPr>
              <w:t xml:space="preserve">Ordonnance nommant un </w:t>
            </w:r>
            <w:r w:rsidRPr="006D7947">
              <w:rPr>
                <w:rFonts w:eastAsia="Calibri"/>
                <w:i/>
                <w:sz w:val="20"/>
                <w:lang w:val="fr-CA"/>
              </w:rPr>
              <w:t>amicus curiae</w:t>
            </w:r>
            <w:r w:rsidRPr="006D7947">
              <w:rPr>
                <w:rFonts w:eastAsia="Calibri"/>
                <w:sz w:val="20"/>
                <w:lang w:val="fr-CA"/>
              </w:rPr>
              <w:t xml:space="preserve"> dans l'affaire </w:t>
            </w:r>
            <w:r w:rsidRPr="006D7947">
              <w:rPr>
                <w:rFonts w:eastAsia="Calibri"/>
                <w:i/>
                <w:sz w:val="20"/>
                <w:lang w:val="fr-CA"/>
              </w:rPr>
              <w:t>R. c. Imona Russel</w:t>
            </w:r>
            <w:r w:rsidRPr="006D7947">
              <w:rPr>
                <w:rFonts w:eastAsia="Calibri"/>
                <w:sz w:val="20"/>
                <w:lang w:val="fr-CA"/>
              </w:rPr>
              <w:t xml:space="preserve"> au tarif de l'aide juridique</w:t>
            </w:r>
          </w:p>
          <w:p w:rsidR="006F7E3B" w:rsidRPr="006D7947" w:rsidRDefault="006F7E3B" w:rsidP="006F7E3B">
            <w:pPr>
              <w:jc w:val="both"/>
              <w:rPr>
                <w:rFonts w:eastAsia="Calibri"/>
                <w:sz w:val="20"/>
                <w:lang w:val="fr-CA"/>
              </w:rPr>
            </w:pPr>
          </w:p>
        </w:tc>
      </w:tr>
      <w:tr w:rsidR="006F7E3B" w:rsidRPr="00433941" w:rsidTr="006D7947">
        <w:tc>
          <w:tcPr>
            <w:tcW w:w="2378" w:type="pct"/>
            <w:gridSpan w:val="2"/>
          </w:tcPr>
          <w:p w:rsidR="006F7E3B" w:rsidRPr="006D7947" w:rsidRDefault="006F7E3B" w:rsidP="006F7E3B">
            <w:pPr>
              <w:jc w:val="both"/>
              <w:rPr>
                <w:rFonts w:eastAsia="Calibri"/>
                <w:sz w:val="20"/>
                <w:lang w:val="fr-CA"/>
              </w:rPr>
            </w:pPr>
            <w:r w:rsidRPr="006D7947">
              <w:rPr>
                <w:rFonts w:eastAsia="Calibri"/>
                <w:sz w:val="20"/>
                <w:lang w:val="fr-CA"/>
              </w:rPr>
              <w:t>25 septembre 2009</w:t>
            </w:r>
          </w:p>
          <w:p w:rsidR="006F7E3B" w:rsidRPr="006D7947" w:rsidRDefault="006F7E3B" w:rsidP="006F7E3B">
            <w:pPr>
              <w:jc w:val="both"/>
              <w:rPr>
                <w:rFonts w:eastAsia="Calibri"/>
                <w:sz w:val="20"/>
                <w:lang w:val="fr-CA"/>
              </w:rPr>
            </w:pPr>
            <w:r w:rsidRPr="006D7947">
              <w:rPr>
                <w:rFonts w:eastAsia="Calibri"/>
                <w:sz w:val="20"/>
                <w:lang w:val="fr-CA"/>
              </w:rPr>
              <w:t xml:space="preserve">Cour de justice de l'Ontario </w:t>
            </w:r>
          </w:p>
          <w:p w:rsidR="006F7E3B" w:rsidRPr="006D7947" w:rsidRDefault="006F7E3B" w:rsidP="006F7E3B">
            <w:pPr>
              <w:jc w:val="both"/>
              <w:rPr>
                <w:rFonts w:eastAsia="Calibri"/>
                <w:sz w:val="20"/>
                <w:lang w:val="fr-CA"/>
              </w:rPr>
            </w:pPr>
            <w:r w:rsidRPr="006D7947">
              <w:rPr>
                <w:rFonts w:eastAsia="Calibri"/>
                <w:sz w:val="20"/>
                <w:lang w:val="fr-CA"/>
              </w:rPr>
              <w:t xml:space="preserve">(Juge Forestell) </w:t>
            </w:r>
          </w:p>
        </w:tc>
        <w:tc>
          <w:tcPr>
            <w:tcW w:w="237" w:type="pct"/>
          </w:tcPr>
          <w:p w:rsidR="006F7E3B" w:rsidRPr="006D7947" w:rsidRDefault="006F7E3B" w:rsidP="006F7E3B">
            <w:pPr>
              <w:jc w:val="both"/>
              <w:rPr>
                <w:rFonts w:eastAsia="Calibri"/>
                <w:sz w:val="20"/>
                <w:lang w:val="fr-CA"/>
              </w:rPr>
            </w:pPr>
          </w:p>
        </w:tc>
        <w:tc>
          <w:tcPr>
            <w:tcW w:w="2385" w:type="pct"/>
          </w:tcPr>
          <w:p w:rsidR="006F7E3B" w:rsidRPr="006D7947" w:rsidRDefault="006F7E3B" w:rsidP="006F7E3B">
            <w:pPr>
              <w:jc w:val="both"/>
              <w:rPr>
                <w:rFonts w:eastAsia="Calibri"/>
                <w:sz w:val="20"/>
                <w:lang w:val="fr-CA"/>
              </w:rPr>
            </w:pPr>
            <w:r w:rsidRPr="006D7947">
              <w:rPr>
                <w:rFonts w:eastAsia="Calibri"/>
                <w:sz w:val="20"/>
                <w:lang w:val="fr-CA"/>
              </w:rPr>
              <w:t xml:space="preserve">Ordonnance modifiant la nomination de l'intervenant pour ordonner un tarif de rémunération de 192 $ l’heure, avocat en second nommé comme </w:t>
            </w:r>
            <w:r w:rsidRPr="006D7947">
              <w:rPr>
                <w:rFonts w:eastAsia="Calibri"/>
                <w:i/>
                <w:sz w:val="20"/>
                <w:lang w:val="fr-CA"/>
              </w:rPr>
              <w:t>amicus curiae</w:t>
            </w:r>
            <w:r w:rsidRPr="006D7947">
              <w:rPr>
                <w:rFonts w:eastAsia="Calibri"/>
                <w:sz w:val="20"/>
                <w:lang w:val="fr-CA"/>
              </w:rPr>
              <w:t xml:space="preserve"> au tarif de 110 $ l'heure</w:t>
            </w:r>
          </w:p>
          <w:p w:rsidR="006F7E3B" w:rsidRPr="006D7947" w:rsidRDefault="006F7E3B" w:rsidP="006F7E3B">
            <w:pPr>
              <w:jc w:val="both"/>
              <w:rPr>
                <w:rFonts w:eastAsia="Calibri"/>
                <w:sz w:val="20"/>
                <w:lang w:val="fr-CA"/>
              </w:rPr>
            </w:pPr>
          </w:p>
        </w:tc>
      </w:tr>
      <w:tr w:rsidR="006F7E3B" w:rsidRPr="00433941" w:rsidTr="006D7947">
        <w:tc>
          <w:tcPr>
            <w:tcW w:w="2378" w:type="pct"/>
            <w:gridSpan w:val="2"/>
          </w:tcPr>
          <w:p w:rsidR="006F7E3B" w:rsidRPr="006D7947" w:rsidRDefault="006F7E3B" w:rsidP="006F7E3B">
            <w:pPr>
              <w:jc w:val="both"/>
              <w:rPr>
                <w:rFonts w:eastAsia="Calibri"/>
                <w:sz w:val="20"/>
                <w:lang w:val="fr-CA"/>
              </w:rPr>
            </w:pPr>
            <w:r w:rsidRPr="006D7947">
              <w:rPr>
                <w:rFonts w:eastAsia="Calibri"/>
                <w:sz w:val="20"/>
                <w:lang w:val="fr-CA"/>
              </w:rPr>
              <w:t>26 février 2010</w:t>
            </w:r>
          </w:p>
          <w:p w:rsidR="006F7E3B" w:rsidRPr="006D7947" w:rsidRDefault="006F7E3B" w:rsidP="006F7E3B">
            <w:pPr>
              <w:jc w:val="both"/>
              <w:rPr>
                <w:rFonts w:eastAsia="Calibri"/>
                <w:sz w:val="20"/>
                <w:lang w:val="fr-CA"/>
              </w:rPr>
            </w:pPr>
            <w:r w:rsidRPr="006D7947">
              <w:rPr>
                <w:rFonts w:eastAsia="Calibri"/>
                <w:sz w:val="20"/>
                <w:lang w:val="fr-CA"/>
              </w:rPr>
              <w:t xml:space="preserve">Cour de justice de l'Ontario </w:t>
            </w:r>
          </w:p>
          <w:p w:rsidR="006F7E3B" w:rsidRPr="006D7947" w:rsidRDefault="006F7E3B" w:rsidP="006F7E3B">
            <w:pPr>
              <w:jc w:val="both"/>
              <w:rPr>
                <w:rFonts w:eastAsia="Calibri"/>
                <w:sz w:val="20"/>
                <w:lang w:val="fr-CA"/>
              </w:rPr>
            </w:pPr>
            <w:r w:rsidRPr="006D7947">
              <w:rPr>
                <w:rFonts w:eastAsia="Calibri"/>
                <w:sz w:val="20"/>
                <w:lang w:val="fr-CA"/>
              </w:rPr>
              <w:t xml:space="preserve">(Juge Forestell) </w:t>
            </w:r>
          </w:p>
        </w:tc>
        <w:tc>
          <w:tcPr>
            <w:tcW w:w="237" w:type="pct"/>
          </w:tcPr>
          <w:p w:rsidR="006F7E3B" w:rsidRPr="006D7947" w:rsidRDefault="006F7E3B" w:rsidP="006F7E3B">
            <w:pPr>
              <w:jc w:val="both"/>
              <w:rPr>
                <w:rFonts w:eastAsia="Calibri"/>
                <w:sz w:val="20"/>
                <w:lang w:val="fr-CA"/>
              </w:rPr>
            </w:pPr>
          </w:p>
        </w:tc>
        <w:tc>
          <w:tcPr>
            <w:tcW w:w="2385" w:type="pct"/>
          </w:tcPr>
          <w:p w:rsidR="006F7E3B" w:rsidRPr="006D7947" w:rsidRDefault="006F7E3B" w:rsidP="006F7E3B">
            <w:pPr>
              <w:jc w:val="both"/>
              <w:rPr>
                <w:rFonts w:eastAsia="Calibri"/>
                <w:sz w:val="20"/>
                <w:lang w:val="fr-CA"/>
              </w:rPr>
            </w:pPr>
            <w:r w:rsidRPr="006D7947">
              <w:rPr>
                <w:rFonts w:eastAsia="Calibri"/>
                <w:sz w:val="20"/>
                <w:lang w:val="fr-CA"/>
              </w:rPr>
              <w:t>Ordonnance nommant un vérificateur indépendant au tarif de 192 $ l'heure pour fixer le budget de l'</w:t>
            </w:r>
            <w:r w:rsidRPr="006D7947">
              <w:rPr>
                <w:rFonts w:eastAsia="Calibri"/>
                <w:i/>
                <w:sz w:val="20"/>
                <w:lang w:val="fr-CA"/>
              </w:rPr>
              <w:t>amicus curiae</w:t>
            </w:r>
            <w:r w:rsidRPr="006D7947">
              <w:rPr>
                <w:rFonts w:eastAsia="Calibri"/>
                <w:sz w:val="20"/>
                <w:lang w:val="fr-CA"/>
              </w:rPr>
              <w:t xml:space="preserve"> et pour examiner,  contrôler et évaluer les comptes de l'</w:t>
            </w:r>
            <w:r w:rsidRPr="006D7947">
              <w:rPr>
                <w:rFonts w:eastAsia="Calibri"/>
                <w:i/>
                <w:sz w:val="20"/>
                <w:lang w:val="fr-CA"/>
              </w:rPr>
              <w:t xml:space="preserve">amicus curiae  </w:t>
            </w:r>
            <w:r w:rsidRPr="006D7947">
              <w:rPr>
                <w:rFonts w:eastAsia="Calibri"/>
                <w:sz w:val="20"/>
                <w:lang w:val="fr-CA"/>
              </w:rPr>
              <w:t xml:space="preserve"> </w:t>
            </w:r>
          </w:p>
          <w:p w:rsidR="006F7E3B" w:rsidRPr="006D7947" w:rsidRDefault="006F7E3B" w:rsidP="006F7E3B">
            <w:pPr>
              <w:jc w:val="both"/>
              <w:rPr>
                <w:rFonts w:eastAsia="Calibri"/>
                <w:sz w:val="20"/>
                <w:lang w:val="fr-CA"/>
              </w:rPr>
            </w:pPr>
          </w:p>
        </w:tc>
      </w:tr>
      <w:tr w:rsidR="006F7E3B" w:rsidRPr="00433941" w:rsidTr="006D7947">
        <w:tc>
          <w:tcPr>
            <w:tcW w:w="2378" w:type="pct"/>
            <w:gridSpan w:val="2"/>
          </w:tcPr>
          <w:p w:rsidR="006F7E3B" w:rsidRPr="006D7947" w:rsidRDefault="006F7E3B" w:rsidP="006F7E3B">
            <w:pPr>
              <w:jc w:val="both"/>
              <w:rPr>
                <w:rFonts w:eastAsia="Calibri"/>
                <w:sz w:val="20"/>
                <w:lang w:val="fr-CA"/>
              </w:rPr>
            </w:pPr>
            <w:r w:rsidRPr="006D7947">
              <w:rPr>
                <w:rFonts w:eastAsia="Calibri"/>
                <w:sz w:val="20"/>
                <w:lang w:val="fr-CA"/>
              </w:rPr>
              <w:t>18 septembre 2009</w:t>
            </w:r>
          </w:p>
          <w:p w:rsidR="006F7E3B" w:rsidRPr="006D7947" w:rsidRDefault="006F7E3B" w:rsidP="006F7E3B">
            <w:pPr>
              <w:jc w:val="both"/>
              <w:rPr>
                <w:rFonts w:eastAsia="Calibri"/>
                <w:sz w:val="20"/>
                <w:lang w:val="fr-CA"/>
              </w:rPr>
            </w:pPr>
            <w:r w:rsidRPr="006D7947">
              <w:rPr>
                <w:rFonts w:eastAsia="Calibri"/>
                <w:sz w:val="20"/>
                <w:lang w:val="fr-CA"/>
              </w:rPr>
              <w:t xml:space="preserve">Cour de justice de l'Ontario </w:t>
            </w:r>
          </w:p>
          <w:p w:rsidR="006F7E3B" w:rsidRPr="006D7947" w:rsidRDefault="006F7E3B" w:rsidP="006F7E3B">
            <w:pPr>
              <w:jc w:val="both"/>
              <w:rPr>
                <w:rFonts w:eastAsia="Calibri"/>
                <w:sz w:val="20"/>
                <w:lang w:val="fr-CA"/>
              </w:rPr>
            </w:pPr>
            <w:r w:rsidRPr="006D7947">
              <w:rPr>
                <w:rFonts w:eastAsia="Calibri"/>
                <w:sz w:val="20"/>
                <w:lang w:val="fr-CA"/>
              </w:rPr>
              <w:t xml:space="preserve">(Juge Keast)  </w:t>
            </w:r>
          </w:p>
        </w:tc>
        <w:tc>
          <w:tcPr>
            <w:tcW w:w="237" w:type="pct"/>
          </w:tcPr>
          <w:p w:rsidR="006F7E3B" w:rsidRPr="006D7947" w:rsidRDefault="006F7E3B" w:rsidP="006F7E3B">
            <w:pPr>
              <w:jc w:val="both"/>
              <w:rPr>
                <w:rFonts w:eastAsia="Calibri"/>
                <w:sz w:val="20"/>
                <w:lang w:val="fr-CA"/>
              </w:rPr>
            </w:pPr>
          </w:p>
        </w:tc>
        <w:tc>
          <w:tcPr>
            <w:tcW w:w="2385" w:type="pct"/>
          </w:tcPr>
          <w:p w:rsidR="006F7E3B" w:rsidRPr="006D7947" w:rsidRDefault="006F7E3B" w:rsidP="006F7E3B">
            <w:pPr>
              <w:jc w:val="both"/>
              <w:rPr>
                <w:rFonts w:eastAsia="Calibri"/>
                <w:sz w:val="20"/>
                <w:lang w:val="fr-CA"/>
              </w:rPr>
            </w:pPr>
            <w:r w:rsidRPr="006D7947">
              <w:rPr>
                <w:rFonts w:eastAsia="Calibri"/>
                <w:i/>
                <w:sz w:val="20"/>
                <w:lang w:val="fr-CA"/>
              </w:rPr>
              <w:t>Amicus curiae</w:t>
            </w:r>
            <w:r w:rsidRPr="006D7947">
              <w:rPr>
                <w:rFonts w:eastAsia="Calibri"/>
                <w:sz w:val="20"/>
                <w:lang w:val="fr-CA"/>
              </w:rPr>
              <w:t xml:space="preserve"> nommé dans l'affaire </w:t>
            </w:r>
            <w:r w:rsidRPr="006D7947">
              <w:rPr>
                <w:rFonts w:eastAsia="Calibri"/>
                <w:i/>
                <w:sz w:val="20"/>
                <w:lang w:val="fr-CA"/>
              </w:rPr>
              <w:t>R. c. Paul Whalen</w:t>
            </w:r>
            <w:r w:rsidRPr="006D7947">
              <w:rPr>
                <w:rFonts w:eastAsia="Calibri"/>
                <w:sz w:val="20"/>
                <w:lang w:val="fr-CA"/>
              </w:rPr>
              <w:t xml:space="preserve"> au tarif de 200 $ l’heure, le procureur général est sommé de fournir le financement</w:t>
            </w:r>
          </w:p>
          <w:p w:rsidR="006F7E3B" w:rsidRPr="006D7947" w:rsidRDefault="006F7E3B" w:rsidP="006F7E3B">
            <w:pPr>
              <w:jc w:val="both"/>
              <w:rPr>
                <w:rFonts w:eastAsia="Calibri"/>
                <w:sz w:val="20"/>
                <w:lang w:val="fr-CA"/>
              </w:rPr>
            </w:pPr>
          </w:p>
        </w:tc>
      </w:tr>
      <w:tr w:rsidR="006F7E3B" w:rsidRPr="00433941" w:rsidTr="006D7947">
        <w:tc>
          <w:tcPr>
            <w:tcW w:w="2378" w:type="pct"/>
            <w:gridSpan w:val="2"/>
          </w:tcPr>
          <w:p w:rsidR="006F7E3B" w:rsidRPr="006D7947" w:rsidRDefault="006F7E3B" w:rsidP="006F7E3B">
            <w:pPr>
              <w:jc w:val="both"/>
              <w:rPr>
                <w:rFonts w:eastAsia="Calibri"/>
                <w:sz w:val="20"/>
                <w:lang w:val="fr-CA"/>
              </w:rPr>
            </w:pPr>
            <w:r w:rsidRPr="006D7947">
              <w:rPr>
                <w:rFonts w:eastAsia="Calibri"/>
                <w:sz w:val="20"/>
                <w:lang w:val="fr-CA"/>
              </w:rPr>
              <w:t>11 août 2009</w:t>
            </w:r>
          </w:p>
          <w:p w:rsidR="006F7E3B" w:rsidRPr="006D7947" w:rsidRDefault="006F7E3B" w:rsidP="006F7E3B">
            <w:pPr>
              <w:jc w:val="both"/>
              <w:rPr>
                <w:rFonts w:eastAsia="Calibri"/>
                <w:sz w:val="20"/>
                <w:lang w:val="fr-CA"/>
              </w:rPr>
            </w:pPr>
            <w:r w:rsidRPr="006D7947">
              <w:rPr>
                <w:rFonts w:eastAsia="Calibri"/>
                <w:sz w:val="20"/>
                <w:lang w:val="fr-CA"/>
              </w:rPr>
              <w:t>Cour supérieure de justice de l'Ontario</w:t>
            </w:r>
          </w:p>
          <w:p w:rsidR="006F7E3B" w:rsidRPr="006D7947" w:rsidRDefault="006F7E3B" w:rsidP="006F7E3B">
            <w:pPr>
              <w:jc w:val="both"/>
              <w:rPr>
                <w:rFonts w:eastAsia="Calibri"/>
                <w:sz w:val="20"/>
                <w:lang w:val="fr-CA"/>
              </w:rPr>
            </w:pPr>
            <w:r w:rsidRPr="006D7947">
              <w:rPr>
                <w:rFonts w:eastAsia="Calibri"/>
                <w:sz w:val="20"/>
                <w:lang w:val="fr-CA"/>
              </w:rPr>
              <w:t>(Juge Ratushny)</w:t>
            </w:r>
          </w:p>
        </w:tc>
        <w:tc>
          <w:tcPr>
            <w:tcW w:w="237" w:type="pct"/>
          </w:tcPr>
          <w:p w:rsidR="006F7E3B" w:rsidRPr="006D7947" w:rsidRDefault="006F7E3B" w:rsidP="006F7E3B">
            <w:pPr>
              <w:jc w:val="both"/>
              <w:rPr>
                <w:rFonts w:eastAsia="Calibri"/>
                <w:sz w:val="20"/>
                <w:lang w:val="fr-CA"/>
              </w:rPr>
            </w:pPr>
          </w:p>
        </w:tc>
        <w:tc>
          <w:tcPr>
            <w:tcW w:w="2385" w:type="pct"/>
          </w:tcPr>
          <w:p w:rsidR="006F7E3B" w:rsidRDefault="006F7E3B" w:rsidP="006F7E3B">
            <w:pPr>
              <w:jc w:val="both"/>
              <w:rPr>
                <w:rFonts w:eastAsia="Calibri"/>
                <w:sz w:val="20"/>
                <w:lang w:val="fr-CA"/>
              </w:rPr>
            </w:pPr>
            <w:r w:rsidRPr="006D7947">
              <w:rPr>
                <w:rFonts w:eastAsia="Calibri"/>
                <w:sz w:val="20"/>
                <w:lang w:val="fr-CA"/>
              </w:rPr>
              <w:t>Ordonnance pour que le tarif de rémunération de l'</w:t>
            </w:r>
            <w:r w:rsidRPr="006D7947">
              <w:rPr>
                <w:rFonts w:eastAsia="Calibri"/>
                <w:i/>
                <w:sz w:val="20"/>
                <w:lang w:val="fr-CA"/>
              </w:rPr>
              <w:t>amicus curiae</w:t>
            </w:r>
            <w:r w:rsidRPr="006D7947">
              <w:rPr>
                <w:rFonts w:eastAsia="Calibri"/>
                <w:sz w:val="20"/>
                <w:lang w:val="fr-CA"/>
              </w:rPr>
              <w:t xml:space="preserve"> dans l'affaire </w:t>
            </w:r>
            <w:r w:rsidRPr="006D7947">
              <w:rPr>
                <w:rFonts w:eastAsia="Calibri"/>
                <w:i/>
                <w:sz w:val="20"/>
                <w:lang w:val="fr-CA"/>
              </w:rPr>
              <w:t>R. c. Lawrence Greenspon</w:t>
            </w:r>
            <w:r w:rsidRPr="006D7947">
              <w:rPr>
                <w:rFonts w:eastAsia="Calibri"/>
                <w:sz w:val="20"/>
                <w:lang w:val="fr-CA"/>
              </w:rPr>
              <w:t xml:space="preserve"> soit fixé à 250 $ l’heure pour 3,25 heures travaillées</w:t>
            </w:r>
          </w:p>
          <w:p w:rsidR="00DC2354" w:rsidRPr="006D7947" w:rsidRDefault="00DC2354" w:rsidP="006F7E3B">
            <w:pPr>
              <w:jc w:val="both"/>
              <w:rPr>
                <w:rFonts w:eastAsia="Calibri"/>
                <w:sz w:val="20"/>
                <w:lang w:val="fr-CA"/>
              </w:rPr>
            </w:pPr>
          </w:p>
        </w:tc>
      </w:tr>
      <w:tr w:rsidR="006F7E3B" w:rsidRPr="006D7947" w:rsidTr="006D7947">
        <w:tc>
          <w:tcPr>
            <w:tcW w:w="2378" w:type="pct"/>
            <w:gridSpan w:val="2"/>
          </w:tcPr>
          <w:p w:rsidR="006F7E3B" w:rsidRPr="006D7947" w:rsidRDefault="006F7E3B" w:rsidP="006F7E3B">
            <w:pPr>
              <w:jc w:val="both"/>
              <w:rPr>
                <w:rFonts w:eastAsia="Calibri"/>
                <w:sz w:val="20"/>
                <w:lang w:val="fr-CA"/>
              </w:rPr>
            </w:pPr>
            <w:r w:rsidRPr="006D7947">
              <w:rPr>
                <w:rFonts w:eastAsia="Calibri"/>
                <w:sz w:val="20"/>
                <w:lang w:val="fr-CA"/>
              </w:rPr>
              <w:t>19 avril 2011</w:t>
            </w:r>
          </w:p>
          <w:p w:rsidR="006F7E3B" w:rsidRPr="006D7947" w:rsidRDefault="006F7E3B" w:rsidP="006F7E3B">
            <w:pPr>
              <w:jc w:val="both"/>
              <w:rPr>
                <w:rFonts w:eastAsia="Calibri"/>
                <w:sz w:val="20"/>
                <w:lang w:val="fr-CA"/>
              </w:rPr>
            </w:pPr>
            <w:r w:rsidRPr="006D7947">
              <w:rPr>
                <w:rFonts w:eastAsia="Calibri"/>
                <w:sz w:val="20"/>
                <w:lang w:val="fr-CA"/>
              </w:rPr>
              <w:t xml:space="preserve">Cour d'appel de l'Ontario </w:t>
            </w:r>
          </w:p>
          <w:p w:rsidR="006F7E3B" w:rsidRPr="006D7947" w:rsidRDefault="006F7E3B" w:rsidP="006F7E3B">
            <w:pPr>
              <w:jc w:val="both"/>
              <w:rPr>
                <w:rFonts w:eastAsia="Calibri"/>
                <w:sz w:val="20"/>
                <w:lang w:val="fr-CA"/>
              </w:rPr>
            </w:pPr>
            <w:r w:rsidRPr="006D7947">
              <w:rPr>
                <w:rFonts w:eastAsia="Calibri"/>
                <w:sz w:val="20"/>
                <w:lang w:val="fr-CA"/>
              </w:rPr>
              <w:t>(Juges Rosenberg, Goudge et Armstrong)</w:t>
            </w:r>
          </w:p>
          <w:p w:rsidR="006F7E3B" w:rsidRPr="006D7947" w:rsidRDefault="006F7E3B" w:rsidP="006F7E3B">
            <w:pPr>
              <w:jc w:val="both"/>
              <w:rPr>
                <w:rFonts w:eastAsia="Calibri"/>
                <w:sz w:val="20"/>
                <w:lang w:val="fr-CA"/>
              </w:rPr>
            </w:pPr>
            <w:r w:rsidRPr="006D7947">
              <w:rPr>
                <w:rFonts w:eastAsia="Calibri"/>
                <w:sz w:val="20"/>
                <w:lang w:val="fr-CA"/>
              </w:rPr>
              <w:t xml:space="preserve">2011 ONCA 303 </w:t>
            </w:r>
          </w:p>
          <w:p w:rsidR="006F7E3B" w:rsidRPr="006D7947" w:rsidRDefault="006F7E3B" w:rsidP="006F7E3B">
            <w:pPr>
              <w:jc w:val="both"/>
              <w:rPr>
                <w:rFonts w:eastAsia="Calibri"/>
                <w:sz w:val="20"/>
                <w:lang w:val="fr-CA"/>
              </w:rPr>
            </w:pPr>
          </w:p>
        </w:tc>
        <w:tc>
          <w:tcPr>
            <w:tcW w:w="237" w:type="pct"/>
          </w:tcPr>
          <w:p w:rsidR="006F7E3B" w:rsidRPr="006D7947" w:rsidRDefault="006F7E3B" w:rsidP="006F7E3B">
            <w:pPr>
              <w:jc w:val="both"/>
              <w:rPr>
                <w:rFonts w:eastAsia="Calibri"/>
                <w:sz w:val="20"/>
                <w:lang w:val="fr-CA"/>
              </w:rPr>
            </w:pPr>
          </w:p>
        </w:tc>
        <w:tc>
          <w:tcPr>
            <w:tcW w:w="2385" w:type="pct"/>
          </w:tcPr>
          <w:p w:rsidR="006F7E3B" w:rsidRPr="006D7947" w:rsidRDefault="006F7E3B" w:rsidP="006F7E3B">
            <w:pPr>
              <w:jc w:val="both"/>
              <w:rPr>
                <w:rFonts w:eastAsia="Calibri"/>
                <w:sz w:val="20"/>
                <w:lang w:val="fr-CA"/>
              </w:rPr>
            </w:pPr>
            <w:r w:rsidRPr="006D7947">
              <w:rPr>
                <w:rFonts w:eastAsia="Calibri"/>
                <w:sz w:val="20"/>
                <w:lang w:val="fr-CA"/>
              </w:rPr>
              <w:t>Appels rejetés</w:t>
            </w:r>
          </w:p>
          <w:p w:rsidR="006F7E3B" w:rsidRPr="006D7947" w:rsidRDefault="006F7E3B" w:rsidP="006F7E3B">
            <w:pPr>
              <w:jc w:val="both"/>
              <w:rPr>
                <w:rFonts w:eastAsia="Calibri"/>
                <w:sz w:val="20"/>
                <w:lang w:val="fr-CA"/>
              </w:rPr>
            </w:pPr>
          </w:p>
        </w:tc>
      </w:tr>
      <w:tr w:rsidR="006F7E3B" w:rsidRPr="006D7947" w:rsidTr="006D7947">
        <w:tc>
          <w:tcPr>
            <w:tcW w:w="2378" w:type="pct"/>
            <w:gridSpan w:val="2"/>
          </w:tcPr>
          <w:p w:rsidR="006F7E3B" w:rsidRPr="006D7947" w:rsidRDefault="006F7E3B" w:rsidP="006F7E3B">
            <w:pPr>
              <w:jc w:val="both"/>
              <w:rPr>
                <w:rFonts w:eastAsia="Calibri"/>
                <w:sz w:val="20"/>
                <w:lang w:val="fr-CA"/>
              </w:rPr>
            </w:pPr>
            <w:r w:rsidRPr="006D7947">
              <w:rPr>
                <w:rFonts w:eastAsia="Calibri"/>
                <w:sz w:val="20"/>
                <w:lang w:val="fr-CA"/>
              </w:rPr>
              <w:t>17 juin 2011</w:t>
            </w:r>
          </w:p>
          <w:p w:rsidR="006F7E3B" w:rsidRPr="006D7947" w:rsidRDefault="006F7E3B" w:rsidP="006F7E3B">
            <w:pPr>
              <w:jc w:val="both"/>
              <w:rPr>
                <w:rFonts w:eastAsia="Calibri"/>
                <w:sz w:val="20"/>
                <w:lang w:val="fr-CA"/>
              </w:rPr>
            </w:pPr>
            <w:r w:rsidRPr="006D7947">
              <w:rPr>
                <w:rFonts w:eastAsia="Calibri"/>
                <w:sz w:val="20"/>
                <w:lang w:val="fr-CA"/>
              </w:rPr>
              <w:t>Cour suprême du Canada</w:t>
            </w:r>
          </w:p>
          <w:p w:rsidR="006F7E3B" w:rsidRPr="006D7947" w:rsidRDefault="006F7E3B" w:rsidP="006F7E3B">
            <w:pPr>
              <w:jc w:val="both"/>
              <w:rPr>
                <w:rFonts w:eastAsia="Calibri"/>
                <w:sz w:val="20"/>
                <w:lang w:val="fr-CA"/>
              </w:rPr>
            </w:pPr>
          </w:p>
        </w:tc>
        <w:tc>
          <w:tcPr>
            <w:tcW w:w="237" w:type="pct"/>
          </w:tcPr>
          <w:p w:rsidR="006F7E3B" w:rsidRPr="006D7947" w:rsidRDefault="006F7E3B" w:rsidP="006F7E3B">
            <w:pPr>
              <w:jc w:val="both"/>
              <w:rPr>
                <w:rFonts w:eastAsia="Calibri"/>
                <w:sz w:val="20"/>
                <w:lang w:val="fr-CA"/>
              </w:rPr>
            </w:pPr>
          </w:p>
        </w:tc>
        <w:tc>
          <w:tcPr>
            <w:tcW w:w="2385" w:type="pct"/>
          </w:tcPr>
          <w:p w:rsidR="006F7E3B" w:rsidRPr="006D7947" w:rsidRDefault="006F7E3B" w:rsidP="006F7E3B">
            <w:pPr>
              <w:jc w:val="both"/>
              <w:rPr>
                <w:rFonts w:eastAsia="Calibri"/>
                <w:sz w:val="20"/>
                <w:lang w:val="fr-CA"/>
              </w:rPr>
            </w:pPr>
            <w:r w:rsidRPr="006D7947">
              <w:rPr>
                <w:rFonts w:eastAsia="Calibri"/>
                <w:sz w:val="20"/>
                <w:lang w:val="fr-CA"/>
              </w:rPr>
              <w:t>Demande d'autorisation d'appel, déposée</w:t>
            </w:r>
          </w:p>
        </w:tc>
      </w:tr>
      <w:tr w:rsidR="006F7E3B" w:rsidRPr="00433941" w:rsidTr="006D7947">
        <w:tc>
          <w:tcPr>
            <w:tcW w:w="2378" w:type="pct"/>
            <w:gridSpan w:val="2"/>
          </w:tcPr>
          <w:p w:rsidR="006F7E3B" w:rsidRPr="006D7947" w:rsidRDefault="006F7E3B" w:rsidP="006F7E3B">
            <w:pPr>
              <w:jc w:val="both"/>
              <w:rPr>
                <w:rFonts w:eastAsia="Calibri"/>
                <w:sz w:val="20"/>
                <w:lang w:val="fr-CA"/>
              </w:rPr>
            </w:pPr>
            <w:r w:rsidRPr="006D7947">
              <w:rPr>
                <w:rFonts w:eastAsia="Calibri"/>
                <w:sz w:val="20"/>
                <w:lang w:val="fr-CA"/>
              </w:rPr>
              <w:t>23 août 2011</w:t>
            </w:r>
          </w:p>
          <w:p w:rsidR="006F7E3B" w:rsidRPr="006D7947" w:rsidRDefault="006F7E3B" w:rsidP="006F7E3B">
            <w:pPr>
              <w:jc w:val="both"/>
              <w:rPr>
                <w:rFonts w:eastAsia="Calibri"/>
                <w:sz w:val="20"/>
                <w:lang w:val="fr-CA"/>
              </w:rPr>
            </w:pPr>
            <w:r w:rsidRPr="006D7947">
              <w:rPr>
                <w:rFonts w:eastAsia="Calibri"/>
                <w:sz w:val="20"/>
                <w:lang w:val="fr-CA"/>
              </w:rPr>
              <w:t>Cour suprême du Canada</w:t>
            </w:r>
          </w:p>
        </w:tc>
        <w:tc>
          <w:tcPr>
            <w:tcW w:w="237" w:type="pct"/>
          </w:tcPr>
          <w:p w:rsidR="006F7E3B" w:rsidRPr="006D7947" w:rsidRDefault="006F7E3B" w:rsidP="006F7E3B">
            <w:pPr>
              <w:jc w:val="both"/>
              <w:rPr>
                <w:rFonts w:eastAsia="Calibri"/>
                <w:sz w:val="20"/>
                <w:lang w:val="fr-CA"/>
              </w:rPr>
            </w:pPr>
          </w:p>
        </w:tc>
        <w:tc>
          <w:tcPr>
            <w:tcW w:w="2385" w:type="pct"/>
          </w:tcPr>
          <w:p w:rsidR="006F7E3B" w:rsidRPr="006D7947" w:rsidRDefault="006F7E3B" w:rsidP="006F7E3B">
            <w:pPr>
              <w:jc w:val="both"/>
              <w:rPr>
                <w:rFonts w:eastAsia="Calibri"/>
                <w:sz w:val="20"/>
                <w:lang w:val="fr-CA"/>
              </w:rPr>
            </w:pPr>
            <w:r w:rsidRPr="006D7947">
              <w:rPr>
                <w:rFonts w:eastAsia="Calibri"/>
                <w:sz w:val="20"/>
                <w:lang w:val="fr-CA"/>
              </w:rPr>
              <w:t>Requête en consolidation des demandes d'autorisation d'appel et en modification de l'intitulé de la cause, déposée</w:t>
            </w:r>
          </w:p>
        </w:tc>
      </w:tr>
    </w:tbl>
    <w:p w:rsidR="006F7E3B" w:rsidRPr="006D7947" w:rsidRDefault="006F7E3B" w:rsidP="006F7E3B">
      <w:pPr>
        <w:jc w:val="both"/>
        <w:rPr>
          <w:rFonts w:eastAsia="Calibri"/>
          <w:sz w:val="20"/>
          <w:lang w:val="fr-CA"/>
        </w:rPr>
      </w:pPr>
    </w:p>
    <w:p w:rsidR="001D7749" w:rsidRPr="006D7947" w:rsidRDefault="001D7749" w:rsidP="006F7E3B">
      <w:pPr>
        <w:widowControl w:val="0"/>
        <w:rPr>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F14403" w:rsidRPr="006D7947" w:rsidTr="00FA1BFE">
        <w:tc>
          <w:tcPr>
            <w:tcW w:w="543" w:type="pct"/>
          </w:tcPr>
          <w:p w:rsidR="00F14403" w:rsidRPr="006D7947" w:rsidRDefault="00F14403" w:rsidP="00F14403">
            <w:pPr>
              <w:jc w:val="both"/>
              <w:rPr>
                <w:rFonts w:eastAsiaTheme="minorHAnsi"/>
                <w:sz w:val="20"/>
                <w:lang w:val="en-CA"/>
              </w:rPr>
            </w:pPr>
            <w:r w:rsidRPr="006D7947">
              <w:rPr>
                <w:rFonts w:eastAsiaTheme="minorHAnsi"/>
                <w:b/>
                <w:sz w:val="20"/>
                <w:lang w:val="en-CA"/>
              </w:rPr>
              <w:t>34333</w:t>
            </w:r>
          </w:p>
        </w:tc>
        <w:tc>
          <w:tcPr>
            <w:tcW w:w="4457" w:type="pct"/>
            <w:gridSpan w:val="3"/>
          </w:tcPr>
          <w:p w:rsidR="00F14403" w:rsidRPr="006D7947" w:rsidRDefault="00F14403" w:rsidP="00F14403">
            <w:pPr>
              <w:jc w:val="both"/>
              <w:rPr>
                <w:rFonts w:eastAsiaTheme="minorHAnsi"/>
                <w:b/>
                <w:sz w:val="20"/>
                <w:lang w:val="en-CA"/>
              </w:rPr>
            </w:pPr>
            <w:r w:rsidRPr="006D7947">
              <w:rPr>
                <w:rFonts w:eastAsiaTheme="minorHAnsi"/>
                <w:b/>
                <w:sz w:val="20"/>
                <w:lang w:val="en-CA"/>
              </w:rPr>
              <w:t>The Corporation of the Township of Galway-Cavendish and Harvey v. John Gordon Pate</w:t>
            </w:r>
          </w:p>
          <w:p w:rsidR="00F14403" w:rsidRPr="006D7947" w:rsidRDefault="00F14403" w:rsidP="00F14403">
            <w:pPr>
              <w:jc w:val="both"/>
              <w:rPr>
                <w:rFonts w:eastAsiaTheme="minorHAnsi"/>
                <w:sz w:val="20"/>
                <w:lang w:val="en-CA"/>
              </w:rPr>
            </w:pPr>
            <w:r w:rsidRPr="006D7947">
              <w:rPr>
                <w:rFonts w:eastAsiaTheme="minorHAnsi"/>
                <w:sz w:val="20"/>
                <w:lang w:val="en-CA"/>
              </w:rPr>
              <w:t>(Ont.) (Civil) (By Leave)</w:t>
            </w:r>
          </w:p>
        </w:tc>
      </w:tr>
      <w:tr w:rsidR="00F14403" w:rsidRPr="006D7947" w:rsidTr="00FA1BFE">
        <w:tc>
          <w:tcPr>
            <w:tcW w:w="5000" w:type="pct"/>
            <w:gridSpan w:val="4"/>
          </w:tcPr>
          <w:p w:rsidR="00F14403" w:rsidRPr="006D7947" w:rsidRDefault="00F14403" w:rsidP="00F14403">
            <w:pPr>
              <w:jc w:val="both"/>
              <w:rPr>
                <w:rFonts w:eastAsiaTheme="minorHAnsi"/>
                <w:sz w:val="20"/>
                <w:lang w:val="en-CA"/>
              </w:rPr>
            </w:pPr>
            <w:r w:rsidRPr="006D7947">
              <w:rPr>
                <w:rFonts w:eastAsiaTheme="minorHAnsi"/>
                <w:sz w:val="20"/>
                <w:lang w:val="en-CA"/>
              </w:rPr>
              <w:t xml:space="preserve">Administrative law ― Appeals ― Standard of review ― Employee dismissed without notice for alleged failure to remit collected permit fees </w:t>
            </w:r>
            <w:proofErr w:type="gramStart"/>
            <w:r w:rsidRPr="006D7947">
              <w:rPr>
                <w:rFonts w:eastAsiaTheme="minorHAnsi"/>
                <w:sz w:val="20"/>
                <w:lang w:val="en-CA"/>
              </w:rPr>
              <w:t>―  Police</w:t>
            </w:r>
            <w:proofErr w:type="gramEnd"/>
            <w:r w:rsidRPr="006D7947">
              <w:rPr>
                <w:rFonts w:eastAsiaTheme="minorHAnsi"/>
                <w:sz w:val="20"/>
                <w:lang w:val="en-CA"/>
              </w:rPr>
              <w:t xml:space="preserve"> laid charges ― Employee acquitted of criminal charges ― Employee’s case for malicious prosecution against employer deemed not met but damages awarded for wrongful dismissal in Superior Court ―  Court of Appeal allowed appeal and ordered new trial ― Whether the Court of Appeal erred by ordering a new trial.</w:t>
            </w:r>
          </w:p>
        </w:tc>
      </w:tr>
      <w:tr w:rsidR="00F14403" w:rsidRPr="006D7947" w:rsidTr="00FA1BFE">
        <w:tc>
          <w:tcPr>
            <w:tcW w:w="5000" w:type="pct"/>
            <w:gridSpan w:val="4"/>
          </w:tcPr>
          <w:p w:rsidR="00F14403" w:rsidRPr="006D7947" w:rsidRDefault="00F14403" w:rsidP="00F14403">
            <w:pPr>
              <w:jc w:val="both"/>
              <w:rPr>
                <w:rFonts w:eastAsiaTheme="minorHAnsi"/>
                <w:sz w:val="20"/>
                <w:lang w:val="en-CA"/>
              </w:rPr>
            </w:pPr>
          </w:p>
        </w:tc>
      </w:tr>
      <w:tr w:rsidR="00F14403" w:rsidRPr="006D7947" w:rsidTr="00FA1BFE">
        <w:tc>
          <w:tcPr>
            <w:tcW w:w="5000" w:type="pct"/>
            <w:gridSpan w:val="4"/>
          </w:tcPr>
          <w:p w:rsidR="00F14403" w:rsidRPr="006D7947" w:rsidRDefault="00F14403" w:rsidP="00F14403">
            <w:pPr>
              <w:jc w:val="both"/>
              <w:rPr>
                <w:rFonts w:eastAsiaTheme="minorHAnsi"/>
                <w:sz w:val="20"/>
                <w:lang w:val="en-CA"/>
              </w:rPr>
            </w:pPr>
            <w:r w:rsidRPr="006D7947">
              <w:rPr>
                <w:rFonts w:eastAsiaTheme="minorHAnsi"/>
                <w:sz w:val="20"/>
                <w:lang w:val="en-CA"/>
              </w:rPr>
              <w:t xml:space="preserve">The respondent, John Gordon Pate served as Chief Building Official for the Township of Galway and Cavendish for about 9 years and then as a building inspector for the applicant, The Corporation of the Township of Galway-Cavendish and Harvey (“Township”) for about three months.  Mr. Pate was dismissed from his employment without notice on March 26, 1999.  </w:t>
            </w:r>
          </w:p>
          <w:p w:rsidR="00F14403" w:rsidRPr="006D7947" w:rsidRDefault="00F14403" w:rsidP="00F14403">
            <w:pPr>
              <w:jc w:val="both"/>
              <w:rPr>
                <w:rFonts w:eastAsiaTheme="minorHAnsi"/>
                <w:sz w:val="20"/>
                <w:lang w:val="en-CA"/>
              </w:rPr>
            </w:pPr>
          </w:p>
          <w:p w:rsidR="00F14403" w:rsidRPr="006D7947" w:rsidRDefault="00F14403" w:rsidP="00F14403">
            <w:pPr>
              <w:jc w:val="both"/>
              <w:rPr>
                <w:rFonts w:eastAsiaTheme="minorHAnsi"/>
                <w:sz w:val="20"/>
                <w:lang w:val="en-CA"/>
              </w:rPr>
            </w:pPr>
            <w:r w:rsidRPr="006D7947">
              <w:rPr>
                <w:rFonts w:eastAsiaTheme="minorHAnsi"/>
                <w:sz w:val="20"/>
                <w:lang w:val="en-CA"/>
              </w:rPr>
              <w:t>Mr. Pate was told that the matter would not be reported to the police if he resigned immediately.</w:t>
            </w:r>
          </w:p>
          <w:p w:rsidR="00F14403" w:rsidRPr="006D7947" w:rsidRDefault="00F14403" w:rsidP="00F14403">
            <w:pPr>
              <w:jc w:val="both"/>
              <w:rPr>
                <w:rFonts w:eastAsiaTheme="minorHAnsi"/>
                <w:sz w:val="20"/>
                <w:lang w:val="en-CA"/>
              </w:rPr>
            </w:pPr>
            <w:r w:rsidRPr="006D7947">
              <w:rPr>
                <w:rFonts w:eastAsiaTheme="minorHAnsi"/>
                <w:sz w:val="20"/>
                <w:lang w:val="en-CA"/>
              </w:rPr>
              <w:t>Mr. Pate did not resign, the matter was reported to the police and charges were laid.  In December 2002, following a criminal trial, Mr. Pate was acquitted of all charges.  In December 2003, he commenced an action claiming damages for wrongful dismissal and malicious prosecution.</w:t>
            </w:r>
          </w:p>
          <w:p w:rsidR="00F14403" w:rsidRPr="006D7947" w:rsidRDefault="00F14403" w:rsidP="00F14403">
            <w:pPr>
              <w:jc w:val="both"/>
              <w:rPr>
                <w:rFonts w:eastAsiaTheme="minorHAnsi"/>
                <w:sz w:val="20"/>
                <w:lang w:val="en-CA"/>
              </w:rPr>
            </w:pPr>
          </w:p>
          <w:p w:rsidR="00F14403" w:rsidRPr="006D7947" w:rsidRDefault="00F14403" w:rsidP="00F14403">
            <w:pPr>
              <w:jc w:val="both"/>
              <w:rPr>
                <w:rFonts w:eastAsiaTheme="minorHAnsi"/>
                <w:sz w:val="20"/>
                <w:lang w:val="en-CA"/>
              </w:rPr>
            </w:pPr>
            <w:r w:rsidRPr="006D7947">
              <w:rPr>
                <w:rFonts w:eastAsiaTheme="minorHAnsi"/>
                <w:sz w:val="20"/>
                <w:lang w:val="en-CA"/>
              </w:rPr>
              <w:t xml:space="preserve">At the commencement of the trial, the Township conceded that Mr. Pate was wrongfully dismissed and the parties agreed on a 12-month notice period without prejudice to Mr. Pate’s right to litigate his remaining claims.  The trial judge dismissed Mr. Pate’s claim for malicious prosecution but awarded damages, including aggravated and punitive damages.  </w:t>
            </w:r>
          </w:p>
          <w:p w:rsidR="00F14403" w:rsidRPr="006D7947" w:rsidRDefault="00F14403" w:rsidP="00F14403">
            <w:pPr>
              <w:jc w:val="both"/>
              <w:rPr>
                <w:rFonts w:eastAsiaTheme="minorHAnsi"/>
                <w:sz w:val="20"/>
                <w:lang w:val="en-CA"/>
              </w:rPr>
            </w:pPr>
          </w:p>
          <w:p w:rsidR="00F14403" w:rsidRPr="006D7947" w:rsidRDefault="00F14403" w:rsidP="00F14403">
            <w:pPr>
              <w:jc w:val="both"/>
              <w:rPr>
                <w:rFonts w:eastAsiaTheme="minorHAnsi"/>
                <w:sz w:val="20"/>
                <w:lang w:val="en-CA"/>
              </w:rPr>
            </w:pPr>
            <w:r w:rsidRPr="006D7947">
              <w:rPr>
                <w:rFonts w:eastAsiaTheme="minorHAnsi"/>
                <w:sz w:val="20"/>
                <w:lang w:val="en-CA"/>
              </w:rPr>
              <w:t>Mr. Pate raised two issues at the Court of Appeal: whether the trial judge erred in dismissing the malicious prosecution claim and in only awarding punitive damages of $25, 000.  The Court of Appeal allowed Mr. Pate’s appeal, set aside the trial judge’s order concerning these issues and ordered a new trial.</w:t>
            </w:r>
          </w:p>
          <w:p w:rsidR="00F14403" w:rsidRPr="006D7947" w:rsidRDefault="00F14403" w:rsidP="00F14403">
            <w:pPr>
              <w:jc w:val="both"/>
              <w:rPr>
                <w:rFonts w:eastAsiaTheme="minorHAnsi"/>
                <w:sz w:val="20"/>
                <w:lang w:val="en-CA"/>
              </w:rPr>
            </w:pPr>
          </w:p>
        </w:tc>
      </w:tr>
      <w:tr w:rsidR="00F14403" w:rsidRPr="006D7947" w:rsidTr="00FA1BFE">
        <w:tc>
          <w:tcPr>
            <w:tcW w:w="242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December 16, 2009</w:t>
            </w:r>
          </w:p>
          <w:p w:rsidR="00F14403" w:rsidRPr="006D7947" w:rsidRDefault="00F14403" w:rsidP="00F14403">
            <w:pPr>
              <w:jc w:val="both"/>
              <w:rPr>
                <w:rFonts w:eastAsiaTheme="minorHAnsi"/>
                <w:sz w:val="20"/>
                <w:lang w:val="en-CA"/>
              </w:rPr>
            </w:pPr>
            <w:r w:rsidRPr="006D7947">
              <w:rPr>
                <w:rFonts w:eastAsiaTheme="minorHAnsi"/>
                <w:sz w:val="20"/>
                <w:lang w:val="en-CA"/>
              </w:rPr>
              <w:t>Ontario Superior Court of Justice</w:t>
            </w:r>
          </w:p>
          <w:p w:rsidR="00F14403" w:rsidRPr="006D7947" w:rsidRDefault="00F14403" w:rsidP="00F14403">
            <w:pPr>
              <w:jc w:val="both"/>
              <w:rPr>
                <w:rFonts w:eastAsiaTheme="minorHAnsi"/>
                <w:sz w:val="20"/>
                <w:lang w:val="en-CA"/>
              </w:rPr>
            </w:pPr>
            <w:r w:rsidRPr="006D7947">
              <w:rPr>
                <w:rFonts w:eastAsiaTheme="minorHAnsi"/>
                <w:sz w:val="20"/>
                <w:lang w:val="en-CA"/>
              </w:rPr>
              <w:t>(Gunsolus J.)</w:t>
            </w:r>
          </w:p>
          <w:p w:rsidR="00F14403" w:rsidRPr="006D7947" w:rsidRDefault="00F14403" w:rsidP="00F14403">
            <w:pPr>
              <w:jc w:val="both"/>
              <w:rPr>
                <w:rFonts w:eastAsiaTheme="minorHAnsi"/>
                <w:sz w:val="20"/>
                <w:lang w:val="en-CA"/>
              </w:rPr>
            </w:pPr>
          </w:p>
        </w:tc>
        <w:tc>
          <w:tcPr>
            <w:tcW w:w="243" w:type="pct"/>
          </w:tcPr>
          <w:p w:rsidR="00F14403" w:rsidRPr="006D7947" w:rsidRDefault="00F14403" w:rsidP="00F14403">
            <w:pPr>
              <w:jc w:val="both"/>
              <w:rPr>
                <w:rFonts w:eastAsiaTheme="minorHAnsi"/>
                <w:sz w:val="20"/>
                <w:lang w:val="en-CA"/>
              </w:rPr>
            </w:pPr>
          </w:p>
        </w:tc>
        <w:tc>
          <w:tcPr>
            <w:tcW w:w="2330" w:type="pct"/>
          </w:tcPr>
          <w:p w:rsidR="00F14403" w:rsidRPr="006D7947" w:rsidRDefault="00F14403" w:rsidP="00F14403">
            <w:pPr>
              <w:jc w:val="both"/>
              <w:rPr>
                <w:rFonts w:eastAsiaTheme="minorHAnsi"/>
                <w:sz w:val="20"/>
                <w:lang w:val="en-CA"/>
              </w:rPr>
            </w:pPr>
            <w:r w:rsidRPr="006D7947">
              <w:rPr>
                <w:rFonts w:eastAsiaTheme="minorHAnsi"/>
                <w:sz w:val="20"/>
                <w:lang w:val="en-CA"/>
              </w:rPr>
              <w:t>Action allowed in part: Mr. Pate’s case for malicious prosecution not met but damages awarded for wrongful dismissal</w:t>
            </w:r>
          </w:p>
          <w:p w:rsidR="00F14403" w:rsidRPr="006D7947" w:rsidRDefault="00F14403" w:rsidP="00F14403">
            <w:pPr>
              <w:jc w:val="both"/>
              <w:rPr>
                <w:rFonts w:eastAsiaTheme="minorHAnsi"/>
                <w:sz w:val="20"/>
                <w:lang w:val="en-CA"/>
              </w:rPr>
            </w:pPr>
          </w:p>
        </w:tc>
      </w:tr>
      <w:tr w:rsidR="00F14403" w:rsidRPr="006D7947" w:rsidTr="00FA1BFE">
        <w:tc>
          <w:tcPr>
            <w:tcW w:w="242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April 28, 2011</w:t>
            </w:r>
          </w:p>
          <w:p w:rsidR="00F14403" w:rsidRPr="006D7947" w:rsidRDefault="00F14403" w:rsidP="00F14403">
            <w:pPr>
              <w:jc w:val="both"/>
              <w:rPr>
                <w:rFonts w:eastAsiaTheme="minorHAnsi"/>
                <w:sz w:val="20"/>
                <w:lang w:val="en-CA"/>
              </w:rPr>
            </w:pPr>
            <w:r w:rsidRPr="006D7947">
              <w:rPr>
                <w:rFonts w:eastAsiaTheme="minorHAnsi"/>
                <w:sz w:val="20"/>
                <w:lang w:val="en-CA"/>
              </w:rPr>
              <w:t>Court of Appeal for Ontario</w:t>
            </w:r>
          </w:p>
          <w:p w:rsidR="00F14403" w:rsidRPr="006D7947" w:rsidRDefault="00F14403" w:rsidP="00F14403">
            <w:pPr>
              <w:jc w:val="both"/>
              <w:rPr>
                <w:rFonts w:eastAsiaTheme="minorHAnsi"/>
                <w:sz w:val="20"/>
              </w:rPr>
            </w:pPr>
            <w:r w:rsidRPr="006D7947">
              <w:rPr>
                <w:rFonts w:eastAsiaTheme="minorHAnsi"/>
                <w:sz w:val="20"/>
              </w:rPr>
              <w:t>(Simmons, Cronk and MacFarland JJ.A.)</w:t>
            </w:r>
          </w:p>
          <w:p w:rsidR="00F14403" w:rsidRPr="006D7947" w:rsidRDefault="00F14403" w:rsidP="00F14403">
            <w:pPr>
              <w:jc w:val="both"/>
              <w:rPr>
                <w:rFonts w:eastAsiaTheme="minorHAnsi"/>
                <w:sz w:val="20"/>
              </w:rPr>
            </w:pPr>
            <w:r w:rsidRPr="006D7947">
              <w:rPr>
                <w:rFonts w:eastAsiaTheme="minorHAnsi"/>
                <w:sz w:val="20"/>
              </w:rPr>
              <w:t>2011 ONCA 329</w:t>
            </w:r>
          </w:p>
          <w:p w:rsidR="00F14403" w:rsidRPr="006D7947" w:rsidRDefault="00F14403" w:rsidP="00F14403">
            <w:pPr>
              <w:jc w:val="both"/>
              <w:rPr>
                <w:rFonts w:eastAsiaTheme="minorHAnsi"/>
                <w:sz w:val="20"/>
              </w:rPr>
            </w:pPr>
          </w:p>
        </w:tc>
        <w:tc>
          <w:tcPr>
            <w:tcW w:w="243" w:type="pct"/>
          </w:tcPr>
          <w:p w:rsidR="00F14403" w:rsidRPr="006D7947" w:rsidRDefault="00F14403" w:rsidP="00F14403">
            <w:pPr>
              <w:jc w:val="both"/>
              <w:rPr>
                <w:rFonts w:eastAsiaTheme="minorHAnsi"/>
                <w:sz w:val="20"/>
              </w:rPr>
            </w:pPr>
          </w:p>
        </w:tc>
        <w:tc>
          <w:tcPr>
            <w:tcW w:w="2330" w:type="pct"/>
          </w:tcPr>
          <w:p w:rsidR="00F14403" w:rsidRPr="006D7947" w:rsidRDefault="00F14403" w:rsidP="00F14403">
            <w:pPr>
              <w:jc w:val="both"/>
              <w:rPr>
                <w:rFonts w:eastAsiaTheme="minorHAnsi"/>
                <w:sz w:val="20"/>
                <w:lang w:val="en-CA"/>
              </w:rPr>
            </w:pPr>
            <w:r w:rsidRPr="006D7947">
              <w:rPr>
                <w:rFonts w:eastAsiaTheme="minorHAnsi"/>
                <w:sz w:val="20"/>
                <w:lang w:val="en-CA"/>
              </w:rPr>
              <w:t xml:space="preserve">Appeal allowed: trial judge’s order dismissing Mr. Pate’s claim for malicious prosecution and award of punitive damages for wrongful dismissal set aside and new trial ordered </w:t>
            </w:r>
          </w:p>
          <w:p w:rsidR="00F14403" w:rsidRPr="006D7947" w:rsidRDefault="00F14403" w:rsidP="00F14403">
            <w:pPr>
              <w:jc w:val="both"/>
              <w:rPr>
                <w:rFonts w:eastAsiaTheme="minorHAnsi"/>
                <w:sz w:val="20"/>
                <w:lang w:val="en-CA"/>
              </w:rPr>
            </w:pPr>
          </w:p>
        </w:tc>
      </w:tr>
      <w:tr w:rsidR="00F14403" w:rsidRPr="006D7947" w:rsidTr="00FA1BFE">
        <w:tc>
          <w:tcPr>
            <w:tcW w:w="242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June 24, 2011</w:t>
            </w:r>
          </w:p>
          <w:p w:rsidR="00F14403" w:rsidRPr="006D7947" w:rsidRDefault="00F14403" w:rsidP="00F14403">
            <w:pPr>
              <w:jc w:val="both"/>
              <w:rPr>
                <w:rFonts w:eastAsiaTheme="minorHAnsi"/>
                <w:sz w:val="20"/>
                <w:lang w:val="en-CA"/>
              </w:rPr>
            </w:pPr>
            <w:r w:rsidRPr="006D7947">
              <w:rPr>
                <w:rFonts w:eastAsiaTheme="minorHAnsi"/>
                <w:sz w:val="20"/>
                <w:lang w:val="en-CA"/>
              </w:rPr>
              <w:t>Supreme Court of Canada</w:t>
            </w:r>
          </w:p>
          <w:p w:rsidR="00F14403" w:rsidRPr="006D7947" w:rsidRDefault="00F14403" w:rsidP="00F14403">
            <w:pPr>
              <w:jc w:val="both"/>
              <w:rPr>
                <w:rFonts w:eastAsiaTheme="minorHAnsi"/>
                <w:sz w:val="20"/>
                <w:lang w:val="en-CA"/>
              </w:rPr>
            </w:pPr>
          </w:p>
        </w:tc>
        <w:tc>
          <w:tcPr>
            <w:tcW w:w="243" w:type="pct"/>
          </w:tcPr>
          <w:p w:rsidR="00F14403" w:rsidRPr="006D7947" w:rsidRDefault="00F14403" w:rsidP="00F14403">
            <w:pPr>
              <w:jc w:val="both"/>
              <w:rPr>
                <w:rFonts w:eastAsiaTheme="minorHAnsi"/>
                <w:sz w:val="20"/>
                <w:lang w:val="en-CA"/>
              </w:rPr>
            </w:pPr>
          </w:p>
        </w:tc>
        <w:tc>
          <w:tcPr>
            <w:tcW w:w="2330" w:type="pct"/>
          </w:tcPr>
          <w:p w:rsidR="00F14403" w:rsidRPr="006D7947" w:rsidRDefault="00F14403" w:rsidP="00F14403">
            <w:pPr>
              <w:jc w:val="both"/>
              <w:rPr>
                <w:rFonts w:eastAsiaTheme="minorHAnsi"/>
                <w:sz w:val="20"/>
                <w:lang w:val="en-CA"/>
              </w:rPr>
            </w:pPr>
            <w:r w:rsidRPr="006D7947">
              <w:rPr>
                <w:rFonts w:eastAsiaTheme="minorHAnsi"/>
                <w:sz w:val="20"/>
                <w:lang w:val="en-CA"/>
              </w:rPr>
              <w:t>Application for leave to appeal filed</w:t>
            </w:r>
          </w:p>
          <w:p w:rsidR="00F14403" w:rsidRPr="006D7947" w:rsidRDefault="00F14403" w:rsidP="00F14403">
            <w:pPr>
              <w:jc w:val="both"/>
              <w:rPr>
                <w:rFonts w:eastAsiaTheme="minorHAnsi"/>
                <w:sz w:val="20"/>
                <w:lang w:val="en-CA"/>
              </w:rPr>
            </w:pPr>
          </w:p>
        </w:tc>
      </w:tr>
    </w:tbl>
    <w:p w:rsidR="00F14403" w:rsidRPr="006D7947" w:rsidRDefault="00F14403" w:rsidP="00F14403">
      <w:pPr>
        <w:jc w:val="both"/>
        <w:rPr>
          <w:rFonts w:eastAsiaTheme="minorHAnsi"/>
          <w:sz w:val="20"/>
          <w:lang w:val="en-CA"/>
        </w:rPr>
      </w:pPr>
    </w:p>
    <w:tbl>
      <w:tblPr>
        <w:tblW w:w="4952" w:type="pct"/>
        <w:tblLayout w:type="fixed"/>
        <w:tblCellMar>
          <w:left w:w="0" w:type="dxa"/>
          <w:bottom w:w="99" w:type="dxa"/>
          <w:right w:w="0" w:type="dxa"/>
        </w:tblCellMar>
        <w:tblLook w:val="00A0"/>
      </w:tblPr>
      <w:tblGrid>
        <w:gridCol w:w="1006"/>
        <w:gridCol w:w="3493"/>
        <w:gridCol w:w="451"/>
        <w:gridCol w:w="4320"/>
      </w:tblGrid>
      <w:tr w:rsidR="00F14403" w:rsidRPr="006D7947" w:rsidTr="00FA1BFE">
        <w:tc>
          <w:tcPr>
            <w:tcW w:w="543" w:type="pct"/>
          </w:tcPr>
          <w:p w:rsidR="00F14403" w:rsidRPr="006D7947" w:rsidRDefault="00F14403" w:rsidP="00F14403">
            <w:pPr>
              <w:jc w:val="both"/>
              <w:rPr>
                <w:rFonts w:eastAsia="Calibri"/>
                <w:sz w:val="20"/>
                <w:lang w:val="fr-CA"/>
              </w:rPr>
            </w:pPr>
            <w:r w:rsidRPr="006D7947">
              <w:rPr>
                <w:rFonts w:eastAsia="Calibri"/>
                <w:b/>
                <w:sz w:val="20"/>
                <w:lang w:val="fr-CA"/>
              </w:rPr>
              <w:t>34333</w:t>
            </w:r>
          </w:p>
        </w:tc>
        <w:tc>
          <w:tcPr>
            <w:tcW w:w="4457" w:type="pct"/>
            <w:gridSpan w:val="3"/>
          </w:tcPr>
          <w:p w:rsidR="00F14403" w:rsidRPr="006D7947" w:rsidRDefault="00F14403" w:rsidP="00F14403">
            <w:pPr>
              <w:jc w:val="both"/>
              <w:rPr>
                <w:rFonts w:eastAsia="Calibri"/>
                <w:b/>
                <w:sz w:val="20"/>
                <w:lang w:val="fr-CA"/>
              </w:rPr>
            </w:pPr>
            <w:r w:rsidRPr="006D7947">
              <w:rPr>
                <w:rFonts w:eastAsia="Calibri"/>
                <w:b/>
                <w:sz w:val="20"/>
                <w:lang w:val="fr-CA"/>
              </w:rPr>
              <w:t>La Corporation de la municipalité de Galway-Cavendish and Harvey c. John Gordon Pate</w:t>
            </w:r>
          </w:p>
          <w:p w:rsidR="00F14403" w:rsidRPr="006D7947" w:rsidRDefault="00F14403" w:rsidP="007A57B6">
            <w:pPr>
              <w:jc w:val="both"/>
              <w:rPr>
                <w:rFonts w:eastAsia="Calibri"/>
                <w:sz w:val="20"/>
                <w:lang w:val="fr-CA"/>
              </w:rPr>
            </w:pPr>
            <w:r w:rsidRPr="006D7947">
              <w:rPr>
                <w:rFonts w:eastAsia="Calibri"/>
                <w:sz w:val="20"/>
                <w:lang w:val="fr-CA"/>
              </w:rPr>
              <w:t>(Ont.) (Civile) (Autorisation)</w:t>
            </w:r>
          </w:p>
        </w:tc>
      </w:tr>
      <w:tr w:rsidR="00F14403" w:rsidRPr="00433941" w:rsidTr="00FA1BFE">
        <w:tc>
          <w:tcPr>
            <w:tcW w:w="5000" w:type="pct"/>
            <w:gridSpan w:val="4"/>
          </w:tcPr>
          <w:p w:rsidR="00F14403" w:rsidRPr="006D7947" w:rsidRDefault="00F14403" w:rsidP="00F14403">
            <w:pPr>
              <w:jc w:val="both"/>
              <w:rPr>
                <w:rFonts w:eastAsia="Calibri"/>
                <w:sz w:val="20"/>
                <w:lang w:val="fr-CA"/>
              </w:rPr>
            </w:pPr>
            <w:r w:rsidRPr="006D7947">
              <w:rPr>
                <w:rFonts w:eastAsia="Calibri"/>
                <w:sz w:val="20"/>
                <w:lang w:val="fr-CA"/>
              </w:rPr>
              <w:t>Droit administratif ― Appels ― Norme de contrôle ― L'employé a été congédié sans préavis pour avoir censément omis de verser des droits de permis perçus ― La police a déposé des accusations ― L'employé a été acquitté ― La Cour supérieure a estimé que l'employé n'avait pas réussi à prouver que l'employeur était responsable de poursuite abusive mais lui a accordé des dommages-intérêts pour congédiement injustifié ― La Cour d'appel a accueilli l'appel et a ordonné la tenue d'un nouveau procès ― La Cour d'appel a-t-elle eu tort d'ordonner la tenue d'un nouveau procès?</w:t>
            </w:r>
          </w:p>
        </w:tc>
      </w:tr>
      <w:tr w:rsidR="00F14403" w:rsidRPr="00433941" w:rsidTr="00FA1BFE">
        <w:tc>
          <w:tcPr>
            <w:tcW w:w="5000" w:type="pct"/>
            <w:gridSpan w:val="4"/>
          </w:tcPr>
          <w:p w:rsidR="00F14403" w:rsidRPr="006D7947" w:rsidRDefault="00F14403" w:rsidP="00F14403">
            <w:pPr>
              <w:jc w:val="both"/>
              <w:rPr>
                <w:rFonts w:eastAsia="Calibri"/>
                <w:sz w:val="20"/>
                <w:lang w:val="fr-CA"/>
              </w:rPr>
            </w:pPr>
          </w:p>
        </w:tc>
      </w:tr>
      <w:tr w:rsidR="00F14403" w:rsidRPr="00433941" w:rsidTr="00FA1BFE">
        <w:tc>
          <w:tcPr>
            <w:tcW w:w="5000" w:type="pct"/>
            <w:gridSpan w:val="4"/>
          </w:tcPr>
          <w:p w:rsidR="00F14403" w:rsidRPr="006D7947" w:rsidRDefault="00F14403" w:rsidP="00F14403">
            <w:pPr>
              <w:jc w:val="both"/>
              <w:rPr>
                <w:rFonts w:eastAsia="Calibri"/>
                <w:sz w:val="20"/>
                <w:lang w:val="fr-CA"/>
              </w:rPr>
            </w:pPr>
            <w:r w:rsidRPr="006D7947">
              <w:rPr>
                <w:rFonts w:eastAsia="Calibri"/>
                <w:sz w:val="20"/>
                <w:lang w:val="fr-CA"/>
              </w:rPr>
              <w:t xml:space="preserve">L'intimé, John Gordon Pate a occupé le poste de chef du service de la construction du canton de Galway and Cavendish pendant environ neuf ans, puis comme inspecteur en bâtiment de la demanderesse, la Corporation de la municipalité de Galway-Cavendish and Harvey (la « municipalité ») pendant environ trois mois. Monsieur Pate a été congédié de son poste sans préavis le 26 mars 1999.  </w:t>
            </w:r>
          </w:p>
          <w:p w:rsidR="00F14403" w:rsidRPr="006D7947" w:rsidRDefault="00F14403" w:rsidP="00F14403">
            <w:pPr>
              <w:jc w:val="both"/>
              <w:rPr>
                <w:rFonts w:eastAsia="Calibri"/>
                <w:sz w:val="20"/>
                <w:lang w:val="fr-CA"/>
              </w:rPr>
            </w:pPr>
          </w:p>
          <w:p w:rsidR="00F14403" w:rsidRPr="006D7947" w:rsidRDefault="00F14403" w:rsidP="00F14403">
            <w:pPr>
              <w:jc w:val="both"/>
              <w:rPr>
                <w:rFonts w:eastAsia="Calibri"/>
                <w:sz w:val="20"/>
                <w:lang w:val="fr-CA"/>
              </w:rPr>
            </w:pPr>
            <w:r w:rsidRPr="006D7947">
              <w:rPr>
                <w:rFonts w:eastAsia="Calibri"/>
                <w:sz w:val="20"/>
                <w:lang w:val="fr-CA"/>
              </w:rPr>
              <w:t>On a dit à M. Pate que l'affaire ne serait pas signalée à la police s'il démissionnait immédiatement. Monsieur Pate n'a pas démissionné, l'affaire a été signalée à la police et des accusations ont été déposées. En décembre 2002, au terme d'un procès criminel, M. Pate a été acquitté relativement à toutes les accusations. En décembre 2003, il a intenté une action en dommages-intérêts pour congédiement injustifié et poursuite abusive.</w:t>
            </w:r>
          </w:p>
          <w:p w:rsidR="00F14403" w:rsidRPr="006D7947" w:rsidRDefault="00F14403" w:rsidP="00F14403">
            <w:pPr>
              <w:jc w:val="both"/>
              <w:rPr>
                <w:rFonts w:eastAsia="Calibri"/>
                <w:sz w:val="20"/>
                <w:lang w:val="fr-CA"/>
              </w:rPr>
            </w:pPr>
          </w:p>
          <w:p w:rsidR="00F14403" w:rsidRPr="006D7947" w:rsidRDefault="00F14403" w:rsidP="00F14403">
            <w:pPr>
              <w:jc w:val="both"/>
              <w:rPr>
                <w:rFonts w:eastAsia="Calibri"/>
                <w:sz w:val="20"/>
                <w:lang w:val="fr-CA"/>
              </w:rPr>
            </w:pPr>
            <w:r w:rsidRPr="006D7947">
              <w:rPr>
                <w:rFonts w:eastAsia="Calibri"/>
                <w:sz w:val="20"/>
                <w:lang w:val="fr-CA"/>
              </w:rPr>
              <w:t xml:space="preserve">Au début du procès, la municipalité a admis que M. Pate avait été injustement congédié et les parties ont convenu d'un délai de préavis de 12 mois sous réserve du droit de M. Pate de faire valoir ses autres réclamations en justice. Le juge de première instance a rejeté la demande de M. Pate en poursuite abusive, mais lui a accordé des dommages-intérêts, y compris des dommages-intérêts majorés et punitifs.  </w:t>
            </w:r>
          </w:p>
          <w:p w:rsidR="00F14403" w:rsidRPr="006D7947" w:rsidRDefault="00F14403" w:rsidP="00F14403">
            <w:pPr>
              <w:jc w:val="both"/>
              <w:rPr>
                <w:rFonts w:eastAsia="Calibri"/>
                <w:sz w:val="20"/>
                <w:lang w:val="fr-CA"/>
              </w:rPr>
            </w:pPr>
          </w:p>
          <w:p w:rsidR="00F14403" w:rsidRPr="006D7947" w:rsidRDefault="00F14403" w:rsidP="00F14403">
            <w:pPr>
              <w:jc w:val="both"/>
              <w:rPr>
                <w:rFonts w:eastAsia="Calibri"/>
                <w:sz w:val="20"/>
                <w:lang w:val="fr-CA"/>
              </w:rPr>
            </w:pPr>
            <w:r w:rsidRPr="006D7947">
              <w:rPr>
                <w:rFonts w:eastAsia="Calibri"/>
                <w:sz w:val="20"/>
                <w:lang w:val="fr-CA"/>
              </w:rPr>
              <w:t>Monsieur Pate a soulevé deux questions en Cour d'appel, à savoir si le juge de première instance avait eu tort de rejeter la demande en poursuite abusive et de n’avoir attribué que 25 000 $ à titre de dommages-intérêts punitifs. La Cour d'appel a accueilli l'appel de M. Pate, annulé l'ordonnance du juge de première instance sur ces questions et ordonné la tenue d'un nouveau procès.</w:t>
            </w:r>
          </w:p>
          <w:p w:rsidR="00F14403" w:rsidRPr="006D7947" w:rsidRDefault="00F14403" w:rsidP="00F14403">
            <w:pPr>
              <w:jc w:val="both"/>
              <w:rPr>
                <w:rFonts w:eastAsia="Calibri"/>
                <w:sz w:val="20"/>
                <w:lang w:val="fr-CA"/>
              </w:rPr>
            </w:pPr>
          </w:p>
        </w:tc>
      </w:tr>
      <w:tr w:rsidR="00F14403" w:rsidRPr="00433941" w:rsidTr="00FA1BFE">
        <w:tc>
          <w:tcPr>
            <w:tcW w:w="2427" w:type="pct"/>
            <w:gridSpan w:val="2"/>
          </w:tcPr>
          <w:p w:rsidR="00F14403" w:rsidRPr="006D7947" w:rsidRDefault="00F14403" w:rsidP="00F14403">
            <w:pPr>
              <w:jc w:val="both"/>
              <w:rPr>
                <w:rFonts w:eastAsia="Calibri"/>
                <w:sz w:val="20"/>
                <w:lang w:val="fr-CA"/>
              </w:rPr>
            </w:pPr>
            <w:r w:rsidRPr="006D7947">
              <w:rPr>
                <w:rFonts w:eastAsia="Calibri"/>
                <w:sz w:val="20"/>
                <w:lang w:val="fr-CA"/>
              </w:rPr>
              <w:t>16 décembre 2009</w:t>
            </w:r>
          </w:p>
          <w:p w:rsidR="00F14403" w:rsidRPr="006D7947" w:rsidRDefault="00F14403" w:rsidP="00F14403">
            <w:pPr>
              <w:jc w:val="both"/>
              <w:rPr>
                <w:rFonts w:eastAsia="Calibri"/>
                <w:sz w:val="20"/>
                <w:lang w:val="fr-CA"/>
              </w:rPr>
            </w:pPr>
            <w:r w:rsidRPr="006D7947">
              <w:rPr>
                <w:rFonts w:eastAsia="Calibri"/>
                <w:sz w:val="20"/>
                <w:lang w:val="fr-CA"/>
              </w:rPr>
              <w:t xml:space="preserve">Cour supérieure de justice de l'Ontario </w:t>
            </w:r>
          </w:p>
          <w:p w:rsidR="00F14403" w:rsidRPr="006D7947" w:rsidRDefault="00F14403" w:rsidP="00F14403">
            <w:pPr>
              <w:jc w:val="both"/>
              <w:rPr>
                <w:rFonts w:eastAsia="Calibri"/>
                <w:sz w:val="20"/>
                <w:lang w:val="fr-CA"/>
              </w:rPr>
            </w:pPr>
            <w:r w:rsidRPr="006D7947">
              <w:rPr>
                <w:rFonts w:eastAsia="Calibri"/>
                <w:sz w:val="20"/>
                <w:lang w:val="fr-CA"/>
              </w:rPr>
              <w:t>(Juge Gunsolus)</w:t>
            </w:r>
          </w:p>
          <w:p w:rsidR="00F14403" w:rsidRPr="006D7947" w:rsidRDefault="00F14403" w:rsidP="00F14403">
            <w:pPr>
              <w:jc w:val="both"/>
              <w:rPr>
                <w:rFonts w:eastAsia="Calibri"/>
                <w:sz w:val="20"/>
                <w:lang w:val="fr-CA"/>
              </w:rPr>
            </w:pPr>
          </w:p>
        </w:tc>
        <w:tc>
          <w:tcPr>
            <w:tcW w:w="243" w:type="pct"/>
          </w:tcPr>
          <w:p w:rsidR="00F14403" w:rsidRPr="006D7947" w:rsidRDefault="00F14403" w:rsidP="00F14403">
            <w:pPr>
              <w:jc w:val="both"/>
              <w:rPr>
                <w:rFonts w:eastAsia="Calibri"/>
                <w:sz w:val="20"/>
                <w:lang w:val="fr-CA"/>
              </w:rPr>
            </w:pPr>
          </w:p>
        </w:tc>
        <w:tc>
          <w:tcPr>
            <w:tcW w:w="2330" w:type="pct"/>
          </w:tcPr>
          <w:p w:rsidR="00F14403" w:rsidRPr="006D7947" w:rsidRDefault="00F14403" w:rsidP="00F14403">
            <w:pPr>
              <w:jc w:val="both"/>
              <w:rPr>
                <w:rFonts w:eastAsia="Calibri"/>
                <w:sz w:val="20"/>
                <w:lang w:val="fr-CA"/>
              </w:rPr>
            </w:pPr>
            <w:r w:rsidRPr="006D7947">
              <w:rPr>
                <w:rFonts w:eastAsia="Calibri"/>
                <w:sz w:val="20"/>
                <w:lang w:val="fr-CA"/>
              </w:rPr>
              <w:t>Action accueillie en partie : M. Pate n'a pas fait la preuve de la poursuite abusive mais il se voit attribuer des dommages-intérêts pour congédiement injustifié</w:t>
            </w:r>
          </w:p>
          <w:p w:rsidR="00F14403" w:rsidRPr="006D7947" w:rsidRDefault="00F14403" w:rsidP="00F14403">
            <w:pPr>
              <w:jc w:val="both"/>
              <w:rPr>
                <w:rFonts w:eastAsia="Calibri"/>
                <w:sz w:val="20"/>
                <w:lang w:val="fr-CA"/>
              </w:rPr>
            </w:pPr>
          </w:p>
        </w:tc>
      </w:tr>
      <w:tr w:rsidR="00F14403" w:rsidRPr="00433941" w:rsidTr="00FA1BFE">
        <w:tc>
          <w:tcPr>
            <w:tcW w:w="2427" w:type="pct"/>
            <w:gridSpan w:val="2"/>
          </w:tcPr>
          <w:p w:rsidR="00F14403" w:rsidRPr="006D7947" w:rsidRDefault="00F14403" w:rsidP="00F14403">
            <w:pPr>
              <w:jc w:val="both"/>
              <w:rPr>
                <w:rFonts w:eastAsia="Calibri"/>
                <w:sz w:val="20"/>
                <w:lang w:val="fr-CA"/>
              </w:rPr>
            </w:pPr>
            <w:r w:rsidRPr="006D7947">
              <w:rPr>
                <w:rFonts w:eastAsia="Calibri"/>
                <w:sz w:val="20"/>
                <w:lang w:val="fr-CA"/>
              </w:rPr>
              <w:t>28 avril 2011</w:t>
            </w:r>
          </w:p>
          <w:p w:rsidR="00F14403" w:rsidRPr="006D7947" w:rsidRDefault="00F14403" w:rsidP="00F14403">
            <w:pPr>
              <w:jc w:val="both"/>
              <w:rPr>
                <w:rFonts w:eastAsia="Calibri"/>
                <w:sz w:val="20"/>
                <w:lang w:val="fr-CA"/>
              </w:rPr>
            </w:pPr>
            <w:r w:rsidRPr="006D7947">
              <w:rPr>
                <w:rFonts w:eastAsia="Calibri"/>
                <w:sz w:val="20"/>
                <w:lang w:val="fr-CA"/>
              </w:rPr>
              <w:t xml:space="preserve">Cour d'appel de l'Ontario </w:t>
            </w:r>
          </w:p>
          <w:p w:rsidR="00F14403" w:rsidRPr="006D7947" w:rsidRDefault="00F14403" w:rsidP="00F14403">
            <w:pPr>
              <w:jc w:val="both"/>
              <w:rPr>
                <w:rFonts w:eastAsia="Calibri"/>
                <w:sz w:val="20"/>
                <w:lang w:val="fr-CA"/>
              </w:rPr>
            </w:pPr>
            <w:r w:rsidRPr="006D7947">
              <w:rPr>
                <w:rFonts w:eastAsia="Calibri"/>
                <w:sz w:val="20"/>
                <w:lang w:val="fr-CA"/>
              </w:rPr>
              <w:t>(Juges Simmons, Cronk et MacFarland)</w:t>
            </w:r>
          </w:p>
          <w:p w:rsidR="00F14403" w:rsidRPr="006D7947" w:rsidRDefault="00F14403" w:rsidP="00F14403">
            <w:pPr>
              <w:jc w:val="both"/>
              <w:rPr>
                <w:rFonts w:eastAsia="Calibri"/>
                <w:sz w:val="20"/>
                <w:lang w:val="fr-CA"/>
              </w:rPr>
            </w:pPr>
            <w:r w:rsidRPr="006D7947">
              <w:rPr>
                <w:rFonts w:eastAsia="Calibri"/>
                <w:sz w:val="20"/>
                <w:lang w:val="fr-CA"/>
              </w:rPr>
              <w:t>2011 ONCA 329</w:t>
            </w:r>
          </w:p>
          <w:p w:rsidR="00F14403" w:rsidRPr="006D7947" w:rsidRDefault="00F14403" w:rsidP="00F14403">
            <w:pPr>
              <w:jc w:val="both"/>
              <w:rPr>
                <w:rFonts w:eastAsia="Calibri"/>
                <w:sz w:val="20"/>
                <w:lang w:val="fr-CA"/>
              </w:rPr>
            </w:pPr>
          </w:p>
        </w:tc>
        <w:tc>
          <w:tcPr>
            <w:tcW w:w="243" w:type="pct"/>
          </w:tcPr>
          <w:p w:rsidR="00F14403" w:rsidRPr="006D7947" w:rsidRDefault="00F14403" w:rsidP="00F14403">
            <w:pPr>
              <w:jc w:val="both"/>
              <w:rPr>
                <w:rFonts w:eastAsia="Calibri"/>
                <w:sz w:val="20"/>
                <w:lang w:val="fr-CA"/>
              </w:rPr>
            </w:pPr>
          </w:p>
        </w:tc>
        <w:tc>
          <w:tcPr>
            <w:tcW w:w="2330" w:type="pct"/>
          </w:tcPr>
          <w:p w:rsidR="00F14403" w:rsidRPr="006D7947" w:rsidRDefault="00F14403" w:rsidP="00F14403">
            <w:pPr>
              <w:jc w:val="both"/>
              <w:rPr>
                <w:rFonts w:eastAsia="Calibri"/>
                <w:sz w:val="20"/>
                <w:lang w:val="fr-CA"/>
              </w:rPr>
            </w:pPr>
            <w:r w:rsidRPr="006D7947">
              <w:rPr>
                <w:rFonts w:eastAsia="Calibri"/>
                <w:sz w:val="20"/>
                <w:lang w:val="fr-CA"/>
              </w:rPr>
              <w:t>Appel accueilli : l'ordonnance du juge de première instance rejetant la demande de M. Pate en poursuite abusive et l'attribution de dommages-intérêts punitifs pour congédiement injustifié sont annulées et la tenue d'un nouveau procès est ordonnée</w:t>
            </w:r>
          </w:p>
          <w:p w:rsidR="00F14403" w:rsidRPr="006D7947" w:rsidRDefault="00F14403" w:rsidP="00F14403">
            <w:pPr>
              <w:jc w:val="both"/>
              <w:rPr>
                <w:rFonts w:eastAsia="Calibri"/>
                <w:sz w:val="20"/>
                <w:lang w:val="fr-CA"/>
              </w:rPr>
            </w:pPr>
          </w:p>
        </w:tc>
      </w:tr>
      <w:tr w:rsidR="00F14403" w:rsidRPr="006D7947" w:rsidTr="00FA1BFE">
        <w:tc>
          <w:tcPr>
            <w:tcW w:w="2427" w:type="pct"/>
            <w:gridSpan w:val="2"/>
          </w:tcPr>
          <w:p w:rsidR="00F14403" w:rsidRPr="006D7947" w:rsidRDefault="00F14403" w:rsidP="00F14403">
            <w:pPr>
              <w:jc w:val="both"/>
              <w:rPr>
                <w:rFonts w:eastAsia="Calibri"/>
                <w:sz w:val="20"/>
                <w:lang w:val="fr-CA"/>
              </w:rPr>
            </w:pPr>
            <w:r w:rsidRPr="006D7947">
              <w:rPr>
                <w:rFonts w:eastAsia="Calibri"/>
                <w:sz w:val="20"/>
                <w:lang w:val="fr-CA"/>
              </w:rPr>
              <w:t>24 juin 2011</w:t>
            </w:r>
          </w:p>
          <w:p w:rsidR="00F14403" w:rsidRPr="006D7947" w:rsidRDefault="00F14403" w:rsidP="00F14403">
            <w:pPr>
              <w:jc w:val="both"/>
              <w:rPr>
                <w:rFonts w:eastAsia="Calibri"/>
                <w:sz w:val="20"/>
                <w:lang w:val="fr-CA"/>
              </w:rPr>
            </w:pPr>
            <w:r w:rsidRPr="006D7947">
              <w:rPr>
                <w:rFonts w:eastAsia="Calibri"/>
                <w:sz w:val="20"/>
                <w:lang w:val="fr-CA"/>
              </w:rPr>
              <w:t>Cour suprême du Canada</w:t>
            </w:r>
          </w:p>
          <w:p w:rsidR="00F14403" w:rsidRPr="006D7947" w:rsidRDefault="00F14403" w:rsidP="00F14403">
            <w:pPr>
              <w:jc w:val="both"/>
              <w:rPr>
                <w:rFonts w:eastAsia="Calibri"/>
                <w:sz w:val="20"/>
                <w:lang w:val="fr-CA"/>
              </w:rPr>
            </w:pPr>
          </w:p>
        </w:tc>
        <w:tc>
          <w:tcPr>
            <w:tcW w:w="243" w:type="pct"/>
          </w:tcPr>
          <w:p w:rsidR="00F14403" w:rsidRPr="006D7947" w:rsidRDefault="00F14403" w:rsidP="00F14403">
            <w:pPr>
              <w:jc w:val="both"/>
              <w:rPr>
                <w:rFonts w:eastAsia="Calibri"/>
                <w:sz w:val="20"/>
                <w:lang w:val="fr-CA"/>
              </w:rPr>
            </w:pPr>
          </w:p>
        </w:tc>
        <w:tc>
          <w:tcPr>
            <w:tcW w:w="2330" w:type="pct"/>
          </w:tcPr>
          <w:p w:rsidR="00F14403" w:rsidRPr="006D7947" w:rsidRDefault="00F14403" w:rsidP="00F14403">
            <w:pPr>
              <w:jc w:val="both"/>
              <w:rPr>
                <w:rFonts w:eastAsia="Calibri"/>
                <w:sz w:val="20"/>
                <w:lang w:val="fr-CA"/>
              </w:rPr>
            </w:pPr>
            <w:r w:rsidRPr="006D7947">
              <w:rPr>
                <w:rFonts w:eastAsia="Calibri"/>
                <w:sz w:val="20"/>
                <w:lang w:val="fr-CA"/>
              </w:rPr>
              <w:t>Demande d'autorisation d'appel, déposée</w:t>
            </w:r>
          </w:p>
          <w:p w:rsidR="00F14403" w:rsidRPr="006D7947" w:rsidRDefault="00F14403" w:rsidP="00F14403">
            <w:pPr>
              <w:jc w:val="both"/>
              <w:rPr>
                <w:rFonts w:eastAsia="Calibri"/>
                <w:sz w:val="20"/>
                <w:lang w:val="fr-CA"/>
              </w:rPr>
            </w:pPr>
          </w:p>
        </w:tc>
      </w:tr>
    </w:tbl>
    <w:p w:rsidR="00F14403" w:rsidRPr="006D7947" w:rsidRDefault="00F14403" w:rsidP="00F14403">
      <w:pPr>
        <w:jc w:val="both"/>
        <w:rPr>
          <w:rFonts w:eastAsia="Calibr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F14403" w:rsidRPr="006D7947" w:rsidTr="00FA1BFE">
        <w:tc>
          <w:tcPr>
            <w:tcW w:w="543" w:type="pct"/>
          </w:tcPr>
          <w:p w:rsidR="00F14403" w:rsidRPr="006D7947" w:rsidRDefault="00F14403" w:rsidP="00F14403">
            <w:pPr>
              <w:jc w:val="both"/>
              <w:rPr>
                <w:rFonts w:eastAsiaTheme="minorHAnsi"/>
                <w:sz w:val="20"/>
                <w:lang w:val="en-CA"/>
              </w:rPr>
            </w:pPr>
            <w:r w:rsidRPr="006D7947">
              <w:rPr>
                <w:rFonts w:eastAsiaTheme="minorHAnsi"/>
                <w:b/>
                <w:sz w:val="20"/>
                <w:lang w:val="en-CA"/>
              </w:rPr>
              <w:t>34404</w:t>
            </w:r>
          </w:p>
        </w:tc>
        <w:tc>
          <w:tcPr>
            <w:tcW w:w="4457" w:type="pct"/>
            <w:gridSpan w:val="3"/>
          </w:tcPr>
          <w:p w:rsidR="00F14403" w:rsidRPr="006D7947" w:rsidRDefault="00F14403" w:rsidP="00F14403">
            <w:pPr>
              <w:jc w:val="both"/>
              <w:rPr>
                <w:rFonts w:eastAsiaTheme="minorHAnsi"/>
                <w:b/>
                <w:sz w:val="20"/>
                <w:lang w:val="en-CA"/>
              </w:rPr>
            </w:pPr>
            <w:r w:rsidRPr="006D7947">
              <w:rPr>
                <w:rFonts w:eastAsiaTheme="minorHAnsi"/>
                <w:b/>
                <w:sz w:val="20"/>
                <w:lang w:val="en-CA"/>
              </w:rPr>
              <w:t>Sally Behn, et al. v. Moulton Contracting Ltd., et al.</w:t>
            </w:r>
          </w:p>
          <w:p w:rsidR="00F14403" w:rsidRPr="006D7947" w:rsidRDefault="00F14403" w:rsidP="00F14403">
            <w:pPr>
              <w:jc w:val="both"/>
              <w:rPr>
                <w:rFonts w:eastAsiaTheme="minorHAnsi"/>
                <w:sz w:val="20"/>
                <w:lang w:val="en-CA"/>
              </w:rPr>
            </w:pPr>
            <w:r w:rsidRPr="006D7947">
              <w:rPr>
                <w:rFonts w:eastAsiaTheme="minorHAnsi"/>
                <w:sz w:val="20"/>
                <w:lang w:val="en-CA"/>
              </w:rPr>
              <w:t>(B.C.) (Civil) (By Leave)</w:t>
            </w:r>
          </w:p>
        </w:tc>
      </w:tr>
      <w:tr w:rsidR="00F14403" w:rsidRPr="006D7947" w:rsidTr="00FA1BFE">
        <w:tc>
          <w:tcPr>
            <w:tcW w:w="5000" w:type="pct"/>
            <w:gridSpan w:val="4"/>
          </w:tcPr>
          <w:p w:rsidR="00F14403" w:rsidRPr="006D7947" w:rsidRDefault="00F14403" w:rsidP="00F14403">
            <w:pPr>
              <w:jc w:val="both"/>
              <w:rPr>
                <w:rFonts w:eastAsiaTheme="minorHAnsi"/>
                <w:sz w:val="20"/>
                <w:lang w:val="en-CA"/>
              </w:rPr>
            </w:pPr>
            <w:r w:rsidRPr="006D7947">
              <w:rPr>
                <w:rFonts w:eastAsiaTheme="minorHAnsi"/>
                <w:sz w:val="20"/>
                <w:lang w:val="en-CA"/>
              </w:rPr>
              <w:t xml:space="preserve">Aboriginal law – Treaty rights – Logging – Duty to consult – Civil procedure – Standing – Collateral attack – Whether the Court of Appeal correctly concluded that it is plain and obvious that aboriginal individuals who hold rights under s. 35 of the </w:t>
            </w:r>
            <w:r w:rsidRPr="006D7947">
              <w:rPr>
                <w:rFonts w:eastAsiaTheme="minorHAnsi"/>
                <w:i/>
                <w:sz w:val="20"/>
                <w:lang w:val="en-CA"/>
              </w:rPr>
              <w:t>Constitution Act, 1982</w:t>
            </w:r>
            <w:r w:rsidRPr="006D7947">
              <w:rPr>
                <w:rFonts w:eastAsiaTheme="minorHAnsi"/>
                <w:sz w:val="20"/>
                <w:lang w:val="en-CA"/>
              </w:rPr>
              <w:t xml:space="preserve"> lack standing to assert, in a civil action, defences rooted in either their aboriginal and treaty rights or the Crown’s duty to consult – Whether it is an impermissible collateral attack for a party to challenge government instruments – on the basis of non-compliance with the Constitution – in the defence of civil actions, when those Crown decisions are used as the basis for a private cause of action.</w:t>
            </w:r>
          </w:p>
        </w:tc>
      </w:tr>
      <w:tr w:rsidR="00F14403" w:rsidRPr="006D7947" w:rsidTr="00FA1BFE">
        <w:tc>
          <w:tcPr>
            <w:tcW w:w="5000" w:type="pct"/>
            <w:gridSpan w:val="4"/>
          </w:tcPr>
          <w:p w:rsidR="00F14403" w:rsidRPr="006D7947" w:rsidRDefault="00F14403" w:rsidP="00F14403">
            <w:pPr>
              <w:jc w:val="both"/>
              <w:rPr>
                <w:rFonts w:eastAsiaTheme="minorHAnsi"/>
                <w:sz w:val="20"/>
                <w:lang w:val="en-CA"/>
              </w:rPr>
            </w:pPr>
          </w:p>
        </w:tc>
      </w:tr>
      <w:tr w:rsidR="00F14403" w:rsidRPr="006D7947" w:rsidTr="00FA1BFE">
        <w:tc>
          <w:tcPr>
            <w:tcW w:w="5000" w:type="pct"/>
            <w:gridSpan w:val="4"/>
          </w:tcPr>
          <w:p w:rsidR="00F14403" w:rsidRPr="006D7947" w:rsidRDefault="00F14403" w:rsidP="00F14403">
            <w:pPr>
              <w:jc w:val="both"/>
              <w:rPr>
                <w:rFonts w:eastAsiaTheme="minorHAnsi"/>
                <w:sz w:val="20"/>
                <w:lang w:val="en-CA"/>
              </w:rPr>
            </w:pPr>
            <w:r w:rsidRPr="006D7947">
              <w:rPr>
                <w:rFonts w:eastAsiaTheme="minorHAnsi"/>
                <w:sz w:val="20"/>
                <w:lang w:val="en-CA"/>
              </w:rPr>
              <w:t xml:space="preserve">The Crown granted the respondent Moulton Contracting Inc. two timber sale licences and one road permit by which it could log certain areas of land located within the Behn Family Territory. That territory is located within the Treaty 8 territory of the Fort Nelson First Nation. The applicants are members of the Behn family and are, with one exception, members of the Fort Nelson First Nation. After Moulton’s access to the area was impeded by at least some of the applicants, Moulton filed a claim for damages against them, the First Nation and their Chief, and the Crown. </w:t>
            </w:r>
          </w:p>
          <w:p w:rsidR="00F14403" w:rsidRPr="006D7947" w:rsidRDefault="00F14403" w:rsidP="00F14403">
            <w:pPr>
              <w:jc w:val="both"/>
              <w:rPr>
                <w:rFonts w:eastAsiaTheme="minorHAnsi"/>
                <w:sz w:val="20"/>
                <w:lang w:val="en-CA"/>
              </w:rPr>
            </w:pPr>
          </w:p>
          <w:p w:rsidR="00F14403" w:rsidRPr="006D7947" w:rsidRDefault="00F14403" w:rsidP="00F14403">
            <w:pPr>
              <w:jc w:val="both"/>
              <w:rPr>
                <w:rFonts w:eastAsiaTheme="minorHAnsi"/>
                <w:sz w:val="20"/>
                <w:lang w:val="en-CA"/>
              </w:rPr>
            </w:pPr>
            <w:r w:rsidRPr="006D7947">
              <w:rPr>
                <w:rFonts w:eastAsiaTheme="minorHAnsi"/>
                <w:sz w:val="20"/>
                <w:lang w:val="en-CA"/>
              </w:rPr>
              <w:t xml:space="preserve">In their statement of defence, the applicants denied, </w:t>
            </w:r>
            <w:r w:rsidRPr="006D7947">
              <w:rPr>
                <w:rFonts w:eastAsiaTheme="minorHAnsi"/>
                <w:i/>
                <w:sz w:val="20"/>
                <w:lang w:val="en-CA"/>
              </w:rPr>
              <w:t>inter alia</w:t>
            </w:r>
            <w:r w:rsidRPr="006D7947">
              <w:rPr>
                <w:rFonts w:eastAsiaTheme="minorHAnsi"/>
                <w:sz w:val="20"/>
                <w:lang w:val="en-CA"/>
              </w:rPr>
              <w:t>, that their acts were unlawful because, they alleged, the licenses and permit were issued unlawfully and gave no rights to harvest the timber or access the area. They alleged that the Crown both failed to consult adequately with the Fort Nelson First Nation prior to issuing the licences and permit to Moulton and, in issuing the instruments, interfered with the ability of the Fort Nelson First Nation to exercise its Treaty 8 rights meaningfully. In their view, this constituted an impermissible intrusion into the exclusive legislative jurisdiction of Parliament. The Crown and Moulton successfully applied to have paragraphs of the applicants’ statement of defence struck on the basis that the applicants did not have standing to advance constitutional arguments relating to treaty rights that belong to the Fort Nelson First Nation, and that it was plain and obvious that the pleadings disclosed no reasonable defence or that they constituted an abuse of process.</w:t>
            </w:r>
          </w:p>
          <w:p w:rsidR="00F14403" w:rsidRPr="006D7947" w:rsidRDefault="00F14403" w:rsidP="00F14403">
            <w:pPr>
              <w:jc w:val="both"/>
              <w:rPr>
                <w:rFonts w:eastAsiaTheme="minorHAnsi"/>
                <w:sz w:val="20"/>
                <w:lang w:val="en-CA"/>
              </w:rPr>
            </w:pPr>
          </w:p>
        </w:tc>
      </w:tr>
      <w:tr w:rsidR="00F14403" w:rsidRPr="006D7947" w:rsidTr="00FA1BFE">
        <w:tc>
          <w:tcPr>
            <w:tcW w:w="242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April 15, 2010</w:t>
            </w:r>
          </w:p>
          <w:p w:rsidR="00F14403" w:rsidRPr="006D7947" w:rsidRDefault="00F14403" w:rsidP="00F14403">
            <w:pPr>
              <w:jc w:val="both"/>
              <w:rPr>
                <w:rFonts w:eastAsiaTheme="minorHAnsi"/>
                <w:sz w:val="20"/>
                <w:lang w:val="en-CA"/>
              </w:rPr>
            </w:pPr>
            <w:r w:rsidRPr="006D7947">
              <w:rPr>
                <w:rFonts w:eastAsiaTheme="minorHAnsi"/>
                <w:sz w:val="20"/>
                <w:lang w:val="en-CA"/>
              </w:rPr>
              <w:t>Supreme Court of British Columbia</w:t>
            </w:r>
          </w:p>
          <w:p w:rsidR="00F14403" w:rsidRPr="006D7947" w:rsidRDefault="00F14403" w:rsidP="00F14403">
            <w:pPr>
              <w:jc w:val="both"/>
              <w:rPr>
                <w:rFonts w:eastAsiaTheme="minorHAnsi"/>
                <w:sz w:val="20"/>
                <w:lang w:val="en-CA"/>
              </w:rPr>
            </w:pPr>
            <w:r w:rsidRPr="006D7947">
              <w:rPr>
                <w:rFonts w:eastAsiaTheme="minorHAnsi"/>
                <w:sz w:val="20"/>
                <w:lang w:val="en-CA"/>
              </w:rPr>
              <w:t>(Hinkson J.)</w:t>
            </w:r>
          </w:p>
          <w:p w:rsidR="00F14403" w:rsidRPr="006D7947" w:rsidRDefault="00F14403" w:rsidP="00F14403">
            <w:pPr>
              <w:jc w:val="both"/>
              <w:rPr>
                <w:rFonts w:eastAsiaTheme="minorHAnsi"/>
                <w:sz w:val="20"/>
                <w:lang w:val="en-CA"/>
              </w:rPr>
            </w:pPr>
            <w:r w:rsidRPr="006D7947">
              <w:rPr>
                <w:rFonts w:eastAsiaTheme="minorHAnsi"/>
                <w:sz w:val="20"/>
                <w:lang w:val="en-CA"/>
              </w:rPr>
              <w:t>2010 BCSC 506</w:t>
            </w:r>
          </w:p>
          <w:p w:rsidR="00F14403" w:rsidRPr="006D7947" w:rsidRDefault="00F14403" w:rsidP="00F14403">
            <w:pPr>
              <w:jc w:val="both"/>
              <w:rPr>
                <w:rFonts w:eastAsiaTheme="minorHAnsi"/>
                <w:sz w:val="20"/>
                <w:lang w:val="en-CA"/>
              </w:rPr>
            </w:pPr>
          </w:p>
        </w:tc>
        <w:tc>
          <w:tcPr>
            <w:tcW w:w="243" w:type="pct"/>
          </w:tcPr>
          <w:p w:rsidR="00F14403" w:rsidRPr="006D7947" w:rsidRDefault="00F14403" w:rsidP="00F14403">
            <w:pPr>
              <w:jc w:val="both"/>
              <w:rPr>
                <w:rFonts w:eastAsiaTheme="minorHAnsi"/>
                <w:sz w:val="20"/>
                <w:lang w:val="en-CA"/>
              </w:rPr>
            </w:pPr>
          </w:p>
        </w:tc>
        <w:tc>
          <w:tcPr>
            <w:tcW w:w="2330" w:type="pct"/>
          </w:tcPr>
          <w:p w:rsidR="00F14403" w:rsidRPr="006D7947" w:rsidRDefault="00F14403" w:rsidP="00F14403">
            <w:pPr>
              <w:jc w:val="both"/>
              <w:rPr>
                <w:rFonts w:eastAsiaTheme="minorHAnsi"/>
                <w:sz w:val="20"/>
                <w:lang w:val="en-CA"/>
              </w:rPr>
            </w:pPr>
            <w:r w:rsidRPr="006D7947">
              <w:rPr>
                <w:rFonts w:eastAsiaTheme="minorHAnsi"/>
                <w:sz w:val="20"/>
                <w:lang w:val="en-CA"/>
              </w:rPr>
              <w:t>Applications by Moulton and the Crown to have portions of applicants’ pleadings struck out granted in part</w:t>
            </w:r>
          </w:p>
          <w:p w:rsidR="00F14403" w:rsidRPr="006D7947" w:rsidRDefault="00F14403" w:rsidP="00F14403">
            <w:pPr>
              <w:jc w:val="both"/>
              <w:rPr>
                <w:rFonts w:eastAsiaTheme="minorHAnsi"/>
                <w:sz w:val="20"/>
                <w:lang w:val="en-CA"/>
              </w:rPr>
            </w:pPr>
          </w:p>
        </w:tc>
      </w:tr>
      <w:tr w:rsidR="00F14403" w:rsidRPr="006D7947" w:rsidTr="00FA1BFE">
        <w:tc>
          <w:tcPr>
            <w:tcW w:w="242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July 6, 2011</w:t>
            </w:r>
          </w:p>
          <w:p w:rsidR="00F14403" w:rsidRPr="006D7947" w:rsidRDefault="00F14403" w:rsidP="00F14403">
            <w:pPr>
              <w:jc w:val="both"/>
              <w:rPr>
                <w:rFonts w:eastAsiaTheme="minorHAnsi"/>
                <w:sz w:val="20"/>
                <w:lang w:val="en-CA"/>
              </w:rPr>
            </w:pPr>
            <w:r w:rsidRPr="006D7947">
              <w:rPr>
                <w:rFonts w:eastAsiaTheme="minorHAnsi"/>
                <w:sz w:val="20"/>
                <w:lang w:val="en-CA"/>
              </w:rPr>
              <w:t>Court of Appeal for British Columbia (Vancouver)</w:t>
            </w:r>
          </w:p>
          <w:p w:rsidR="00F14403" w:rsidRPr="006D7947" w:rsidRDefault="00F14403" w:rsidP="00F14403">
            <w:pPr>
              <w:jc w:val="both"/>
              <w:rPr>
                <w:rFonts w:eastAsiaTheme="minorHAnsi"/>
                <w:sz w:val="20"/>
                <w:lang w:val="en-CA"/>
              </w:rPr>
            </w:pPr>
            <w:r w:rsidRPr="006D7947">
              <w:rPr>
                <w:rFonts w:eastAsiaTheme="minorHAnsi"/>
                <w:sz w:val="20"/>
                <w:lang w:val="en-CA"/>
              </w:rPr>
              <w:t>(Saunders, Chiasson and Frankel JJ.A.)</w:t>
            </w:r>
          </w:p>
          <w:p w:rsidR="00F14403" w:rsidRPr="006D7947" w:rsidRDefault="00F14403" w:rsidP="00F14403">
            <w:pPr>
              <w:jc w:val="both"/>
              <w:rPr>
                <w:rFonts w:eastAsiaTheme="minorHAnsi"/>
                <w:sz w:val="20"/>
                <w:lang w:val="en-CA"/>
              </w:rPr>
            </w:pPr>
            <w:r w:rsidRPr="006D7947">
              <w:rPr>
                <w:rFonts w:eastAsiaTheme="minorHAnsi"/>
                <w:sz w:val="20"/>
                <w:lang w:val="en-CA"/>
              </w:rPr>
              <w:t>2011 BCCA 311; CAO38107</w:t>
            </w:r>
          </w:p>
          <w:p w:rsidR="00F14403" w:rsidRPr="006D7947" w:rsidRDefault="00F14403" w:rsidP="00F14403">
            <w:pPr>
              <w:jc w:val="both"/>
              <w:rPr>
                <w:rFonts w:eastAsiaTheme="minorHAnsi"/>
                <w:sz w:val="20"/>
                <w:lang w:val="en-CA"/>
              </w:rPr>
            </w:pPr>
          </w:p>
        </w:tc>
        <w:tc>
          <w:tcPr>
            <w:tcW w:w="243" w:type="pct"/>
          </w:tcPr>
          <w:p w:rsidR="00F14403" w:rsidRPr="006D7947" w:rsidRDefault="00F14403" w:rsidP="00F14403">
            <w:pPr>
              <w:jc w:val="both"/>
              <w:rPr>
                <w:rFonts w:eastAsiaTheme="minorHAnsi"/>
                <w:sz w:val="20"/>
                <w:lang w:val="en-CA"/>
              </w:rPr>
            </w:pPr>
          </w:p>
        </w:tc>
        <w:tc>
          <w:tcPr>
            <w:tcW w:w="2330" w:type="pct"/>
          </w:tcPr>
          <w:p w:rsidR="00F14403" w:rsidRPr="006D7947" w:rsidRDefault="00F14403" w:rsidP="00F14403">
            <w:pPr>
              <w:jc w:val="both"/>
              <w:rPr>
                <w:rFonts w:eastAsiaTheme="minorHAnsi"/>
                <w:sz w:val="20"/>
                <w:lang w:val="en-CA"/>
              </w:rPr>
            </w:pPr>
            <w:r w:rsidRPr="006D7947">
              <w:rPr>
                <w:rFonts w:eastAsiaTheme="minorHAnsi"/>
                <w:sz w:val="20"/>
                <w:lang w:val="en-CA"/>
              </w:rPr>
              <w:t>Appeal from order striking paragraphs from amended statement of defence dismissed</w:t>
            </w:r>
          </w:p>
          <w:p w:rsidR="00F14403" w:rsidRPr="006D7947" w:rsidRDefault="00F14403" w:rsidP="00F14403">
            <w:pPr>
              <w:jc w:val="both"/>
              <w:rPr>
                <w:rFonts w:eastAsiaTheme="minorHAnsi"/>
                <w:sz w:val="20"/>
                <w:lang w:val="en-CA"/>
              </w:rPr>
            </w:pPr>
          </w:p>
        </w:tc>
      </w:tr>
      <w:tr w:rsidR="00F14403" w:rsidRPr="006D7947" w:rsidTr="00FA1BFE">
        <w:tc>
          <w:tcPr>
            <w:tcW w:w="242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August 25, 2011</w:t>
            </w:r>
          </w:p>
          <w:p w:rsidR="00F14403" w:rsidRPr="006D7947" w:rsidRDefault="00F14403" w:rsidP="00F14403">
            <w:pPr>
              <w:jc w:val="both"/>
              <w:rPr>
                <w:rFonts w:eastAsiaTheme="minorHAnsi"/>
                <w:sz w:val="20"/>
                <w:lang w:val="en-CA"/>
              </w:rPr>
            </w:pPr>
            <w:r w:rsidRPr="006D7947">
              <w:rPr>
                <w:rFonts w:eastAsiaTheme="minorHAnsi"/>
                <w:sz w:val="20"/>
                <w:lang w:val="en-CA"/>
              </w:rPr>
              <w:t>Supreme Court of Canada</w:t>
            </w:r>
          </w:p>
        </w:tc>
        <w:tc>
          <w:tcPr>
            <w:tcW w:w="243" w:type="pct"/>
          </w:tcPr>
          <w:p w:rsidR="00F14403" w:rsidRPr="006D7947" w:rsidRDefault="00F14403" w:rsidP="00F14403">
            <w:pPr>
              <w:jc w:val="both"/>
              <w:rPr>
                <w:rFonts w:eastAsiaTheme="minorHAnsi"/>
                <w:sz w:val="20"/>
                <w:lang w:val="en-CA"/>
              </w:rPr>
            </w:pPr>
          </w:p>
        </w:tc>
        <w:tc>
          <w:tcPr>
            <w:tcW w:w="2330" w:type="pct"/>
          </w:tcPr>
          <w:p w:rsidR="00F14403" w:rsidRPr="006D7947" w:rsidRDefault="00F14403" w:rsidP="00F14403">
            <w:pPr>
              <w:jc w:val="both"/>
              <w:rPr>
                <w:rFonts w:eastAsiaTheme="minorHAnsi"/>
                <w:sz w:val="20"/>
                <w:lang w:val="en-CA"/>
              </w:rPr>
            </w:pPr>
            <w:r w:rsidRPr="006D7947">
              <w:rPr>
                <w:rFonts w:eastAsiaTheme="minorHAnsi"/>
                <w:sz w:val="20"/>
                <w:lang w:val="en-CA"/>
              </w:rPr>
              <w:t>Application for leave to appeal filed</w:t>
            </w:r>
          </w:p>
          <w:p w:rsidR="00F14403" w:rsidRPr="006D7947" w:rsidRDefault="00F14403" w:rsidP="00F14403">
            <w:pPr>
              <w:jc w:val="both"/>
              <w:rPr>
                <w:rFonts w:eastAsiaTheme="minorHAnsi"/>
                <w:sz w:val="20"/>
                <w:lang w:val="en-CA"/>
              </w:rPr>
            </w:pPr>
          </w:p>
        </w:tc>
      </w:tr>
    </w:tbl>
    <w:p w:rsidR="00F14403" w:rsidRDefault="00F14403" w:rsidP="00F14403">
      <w:pPr>
        <w:jc w:val="both"/>
        <w:rPr>
          <w:rFonts w:eastAsiaTheme="minorHAnsi"/>
          <w:sz w:val="20"/>
          <w:lang w:val="en-CA"/>
        </w:rPr>
      </w:pPr>
    </w:p>
    <w:p w:rsidR="007A57B6" w:rsidRPr="006D7947" w:rsidRDefault="007A57B6" w:rsidP="00F14403">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7"/>
        <w:gridCol w:w="3493"/>
        <w:gridCol w:w="541"/>
        <w:gridCol w:w="4229"/>
      </w:tblGrid>
      <w:tr w:rsidR="00F14403" w:rsidRPr="00433941" w:rsidTr="00FA1BFE">
        <w:tc>
          <w:tcPr>
            <w:tcW w:w="543" w:type="pct"/>
          </w:tcPr>
          <w:p w:rsidR="00F14403" w:rsidRPr="006D7947" w:rsidRDefault="00F14403" w:rsidP="00F14403">
            <w:pPr>
              <w:jc w:val="both"/>
              <w:rPr>
                <w:rFonts w:eastAsiaTheme="minorHAnsi"/>
                <w:sz w:val="20"/>
                <w:lang w:val="en-CA"/>
              </w:rPr>
            </w:pPr>
            <w:r w:rsidRPr="006D7947">
              <w:rPr>
                <w:rFonts w:eastAsiaTheme="minorHAnsi"/>
                <w:b/>
                <w:sz w:val="20"/>
                <w:lang w:val="en-CA"/>
              </w:rPr>
              <w:t>34404</w:t>
            </w:r>
          </w:p>
        </w:tc>
        <w:tc>
          <w:tcPr>
            <w:tcW w:w="4457" w:type="pct"/>
            <w:gridSpan w:val="3"/>
          </w:tcPr>
          <w:p w:rsidR="00F14403" w:rsidRPr="006D7947" w:rsidRDefault="00F14403" w:rsidP="00F14403">
            <w:pPr>
              <w:jc w:val="both"/>
              <w:rPr>
                <w:rFonts w:eastAsiaTheme="minorHAnsi"/>
                <w:b/>
                <w:sz w:val="20"/>
                <w:lang w:val="fr-CA"/>
              </w:rPr>
            </w:pPr>
            <w:r w:rsidRPr="006D7947">
              <w:rPr>
                <w:rFonts w:eastAsiaTheme="minorHAnsi"/>
                <w:b/>
                <w:sz w:val="20"/>
                <w:lang w:val="fr-CA"/>
              </w:rPr>
              <w:t>Sally Behn et al. c. Moulton Contracting Ltd. et al.</w:t>
            </w:r>
          </w:p>
          <w:p w:rsidR="00F14403" w:rsidRPr="006D7947" w:rsidRDefault="00F14403" w:rsidP="007A57B6">
            <w:pPr>
              <w:jc w:val="both"/>
              <w:rPr>
                <w:rFonts w:eastAsiaTheme="minorHAnsi"/>
                <w:sz w:val="20"/>
                <w:lang w:val="fr-CA"/>
              </w:rPr>
            </w:pPr>
            <w:r w:rsidRPr="006D7947">
              <w:rPr>
                <w:rFonts w:eastAsiaTheme="minorHAnsi"/>
                <w:sz w:val="20"/>
                <w:lang w:val="fr-CA"/>
              </w:rPr>
              <w:t>(C.-B.) (Civile) (Sur autorisation)</w:t>
            </w:r>
          </w:p>
        </w:tc>
      </w:tr>
      <w:tr w:rsidR="00F14403" w:rsidRPr="00433941" w:rsidTr="00FA1BFE">
        <w:tc>
          <w:tcPr>
            <w:tcW w:w="5000" w:type="pct"/>
            <w:gridSpan w:val="4"/>
          </w:tcPr>
          <w:p w:rsidR="00F14403" w:rsidRPr="006D7947" w:rsidRDefault="00F14403" w:rsidP="00F14403">
            <w:pPr>
              <w:jc w:val="both"/>
              <w:rPr>
                <w:rFonts w:eastAsiaTheme="minorHAnsi"/>
                <w:sz w:val="20"/>
                <w:lang w:val="fr-CA"/>
              </w:rPr>
            </w:pPr>
            <w:r w:rsidRPr="006D7947">
              <w:rPr>
                <w:rFonts w:eastAsiaTheme="minorHAnsi"/>
                <w:sz w:val="20"/>
                <w:lang w:val="fr-CA"/>
              </w:rPr>
              <w:t xml:space="preserve">Droits des autochtones – Droits issus de traités – Ressources forestières – Obligation de consulter – Procédure civile – Intérêt pour agir – Contestation indirecte – La Cour d’appel a-t-elle eu raison de conclure qu’il est manifeste et évident que les Autochtones qui possèdent des droits en vertu de l’art. 35 de la </w:t>
            </w:r>
            <w:r w:rsidRPr="006D7947">
              <w:rPr>
                <w:rFonts w:eastAsiaTheme="minorHAnsi"/>
                <w:i/>
                <w:sz w:val="20"/>
                <w:lang w:val="fr-CA"/>
              </w:rPr>
              <w:t>Loi constitutionnelle de 1982</w:t>
            </w:r>
            <w:r w:rsidRPr="006D7947">
              <w:rPr>
                <w:rFonts w:eastAsiaTheme="minorHAnsi"/>
                <w:sz w:val="20"/>
                <w:lang w:val="fr-CA"/>
              </w:rPr>
              <w:t xml:space="preserve"> n’ont pas l’intérêt nécessaire pour invoquer, dans une action civile, des moyens de défense fondés sur leurs droits ancestraux ou leurs droits issus de traités, ou sur l’obligation de consulter qui incombe à la Couronne? – La partie qui, en défense dans le cadre d’actions civiles, conteste la validité de documents gouvernementaux sur la base du non-respect de la Constitution fait-elle une contestation indirecte irrecevable dans le cas où ces décisions de la Couronne constituent le fondement d’un droit d’action privé?</w:t>
            </w:r>
          </w:p>
        </w:tc>
      </w:tr>
      <w:tr w:rsidR="00F14403" w:rsidRPr="00433941" w:rsidTr="00FA1BFE">
        <w:tc>
          <w:tcPr>
            <w:tcW w:w="5000" w:type="pct"/>
            <w:gridSpan w:val="4"/>
          </w:tcPr>
          <w:p w:rsidR="00F14403" w:rsidRPr="006D7947" w:rsidRDefault="00F14403" w:rsidP="00F14403">
            <w:pPr>
              <w:jc w:val="both"/>
              <w:rPr>
                <w:rFonts w:eastAsiaTheme="minorHAnsi"/>
                <w:sz w:val="20"/>
                <w:lang w:val="fr-CA"/>
              </w:rPr>
            </w:pPr>
          </w:p>
        </w:tc>
      </w:tr>
      <w:tr w:rsidR="00F14403" w:rsidRPr="00433941" w:rsidTr="00FA1BFE">
        <w:tc>
          <w:tcPr>
            <w:tcW w:w="5000" w:type="pct"/>
            <w:gridSpan w:val="4"/>
          </w:tcPr>
          <w:p w:rsidR="00F14403" w:rsidRPr="006D7947" w:rsidRDefault="00F14403" w:rsidP="00F14403">
            <w:pPr>
              <w:jc w:val="both"/>
              <w:rPr>
                <w:rFonts w:eastAsiaTheme="minorHAnsi"/>
                <w:sz w:val="20"/>
                <w:lang w:val="fr-CA"/>
              </w:rPr>
            </w:pPr>
            <w:r w:rsidRPr="006D7947">
              <w:rPr>
                <w:rFonts w:eastAsiaTheme="minorHAnsi"/>
                <w:sz w:val="20"/>
                <w:lang w:val="fr-CA"/>
              </w:rPr>
              <w:t xml:space="preserve">La Couronne a accordé à l’intimée, Moulton Contracting Inc., deux licences de vente de bois d’oeuvre et un permis d’utilisation de chemins lui permettant d’exploiter certaines zones se trouvant au sein du territoire de la famille Behn. Ce territoire fait partie du territoire de la Première nation de Fort Nelson en vertu du Traité 8.  Les demandeurs sont des membres de la famille Behn et, à l’exception d’un seul d’entre eux, ils font partie de la Première nation de Fort Nelson.  Après qu’au moins certains des demandeurs l’eurent empêchée d’accéder à ces zones, Moulton a intenté une action en dommages-intérêts contre eux, la Première nation et son chef, et la Couronne. </w:t>
            </w:r>
          </w:p>
          <w:p w:rsidR="00F14403" w:rsidRPr="006D7947" w:rsidRDefault="00F14403" w:rsidP="00F14403">
            <w:pPr>
              <w:jc w:val="both"/>
              <w:rPr>
                <w:rFonts w:eastAsiaTheme="minorHAnsi"/>
                <w:sz w:val="20"/>
                <w:lang w:val="fr-CA"/>
              </w:rPr>
            </w:pPr>
          </w:p>
          <w:p w:rsidR="00F14403" w:rsidRPr="006D7947" w:rsidRDefault="00F14403" w:rsidP="00F14403">
            <w:pPr>
              <w:jc w:val="both"/>
              <w:rPr>
                <w:rFonts w:eastAsiaTheme="minorHAnsi"/>
                <w:sz w:val="20"/>
                <w:lang w:val="fr-CA"/>
              </w:rPr>
            </w:pPr>
            <w:r w:rsidRPr="006D7947">
              <w:rPr>
                <w:rFonts w:eastAsiaTheme="minorHAnsi"/>
                <w:sz w:val="20"/>
                <w:lang w:val="fr-CA"/>
              </w:rPr>
              <w:t>En défense, les demandeurs ont notamment nié que leurs actes étaient illégaux car, selon eux, les licences et le permis avaient été illégalement accordés à Moulton et ne donnaient à celle-ci aucun droit d’exploitation des zones visées ou d’accès à ces dernières.  Ils ont fait valoir que la Couronne avait omis de consulter convenablement la Première nation de Fort Nelson avant d’accorder les licences et le permis à Moulton et que, en émettant ces documents, elle avait empêché la Première nation de Fort Nelson de véritablement exercer ses droits en vertu du Traité 8.  Selon eux, cela constituait un empiètement inacceptable dans un champ de compétence législative fédérale.  Les demandes de la Couronne et de Moulton en vue de faire radier des paragraphes de la défense des demandeurs ont été accueillies sur la base que ces derniers n’avaient pas l’intérêt nécessaire pour avancer des arguments constitutionnels se rapportant aux droits issus de traités de la Première nation de Fort Nelson, et qu’il était manifeste et évident que leurs arguments n’exposaient aucune défense raisonnable ou encore qu’ils constituaient un abus de procédure.</w:t>
            </w:r>
          </w:p>
          <w:p w:rsidR="00F14403" w:rsidRPr="006D7947" w:rsidRDefault="00F14403" w:rsidP="00F14403">
            <w:pPr>
              <w:jc w:val="both"/>
              <w:rPr>
                <w:rFonts w:eastAsiaTheme="minorHAnsi"/>
                <w:sz w:val="20"/>
                <w:lang w:val="fr-CA"/>
              </w:rPr>
            </w:pPr>
          </w:p>
        </w:tc>
      </w:tr>
      <w:tr w:rsidR="00F14403" w:rsidRPr="00433941" w:rsidTr="00FA1BFE">
        <w:tc>
          <w:tcPr>
            <w:tcW w:w="2427" w:type="pct"/>
            <w:gridSpan w:val="2"/>
          </w:tcPr>
          <w:p w:rsidR="00F14403" w:rsidRPr="006D7947" w:rsidRDefault="00F14403" w:rsidP="00F14403">
            <w:pPr>
              <w:jc w:val="both"/>
              <w:rPr>
                <w:rFonts w:eastAsiaTheme="minorHAnsi"/>
                <w:sz w:val="20"/>
                <w:lang w:val="fr-CA"/>
              </w:rPr>
            </w:pPr>
            <w:r w:rsidRPr="006D7947">
              <w:rPr>
                <w:rFonts w:eastAsiaTheme="minorHAnsi"/>
                <w:sz w:val="20"/>
                <w:lang w:val="fr-CA"/>
              </w:rPr>
              <w:t>15 avril 2010</w:t>
            </w:r>
          </w:p>
          <w:p w:rsidR="00F14403" w:rsidRPr="006D7947" w:rsidRDefault="00F14403" w:rsidP="00F14403">
            <w:pPr>
              <w:jc w:val="both"/>
              <w:rPr>
                <w:rFonts w:eastAsiaTheme="minorHAnsi"/>
                <w:sz w:val="20"/>
                <w:lang w:val="fr-CA"/>
              </w:rPr>
            </w:pPr>
            <w:r w:rsidRPr="006D7947">
              <w:rPr>
                <w:rFonts w:eastAsiaTheme="minorHAnsi"/>
                <w:sz w:val="20"/>
                <w:lang w:val="fr-CA"/>
              </w:rPr>
              <w:t>Cour suprême de la Colombie-Britannique</w:t>
            </w:r>
          </w:p>
          <w:p w:rsidR="00F14403" w:rsidRPr="006D7947" w:rsidRDefault="00F14403" w:rsidP="00F14403">
            <w:pPr>
              <w:jc w:val="both"/>
              <w:rPr>
                <w:rFonts w:eastAsiaTheme="minorHAnsi"/>
                <w:sz w:val="20"/>
                <w:lang w:val="en-CA"/>
              </w:rPr>
            </w:pPr>
            <w:r w:rsidRPr="006D7947">
              <w:rPr>
                <w:rFonts w:eastAsiaTheme="minorHAnsi"/>
                <w:sz w:val="20"/>
                <w:lang w:val="en-CA"/>
              </w:rPr>
              <w:t>(Juge Hinkson)</w:t>
            </w:r>
          </w:p>
          <w:p w:rsidR="00F14403" w:rsidRPr="006D7947" w:rsidRDefault="00F14403" w:rsidP="00F14403">
            <w:pPr>
              <w:jc w:val="both"/>
              <w:rPr>
                <w:rFonts w:eastAsiaTheme="minorHAnsi"/>
                <w:sz w:val="20"/>
                <w:lang w:val="en-CA"/>
              </w:rPr>
            </w:pPr>
            <w:r w:rsidRPr="006D7947">
              <w:rPr>
                <w:rFonts w:eastAsiaTheme="minorHAnsi"/>
                <w:sz w:val="20"/>
                <w:lang w:val="en-CA"/>
              </w:rPr>
              <w:t>2010 BCSC 506</w:t>
            </w:r>
          </w:p>
          <w:p w:rsidR="00F14403" w:rsidRPr="006D7947" w:rsidRDefault="00F14403" w:rsidP="00F14403">
            <w:pPr>
              <w:jc w:val="both"/>
              <w:rPr>
                <w:rFonts w:eastAsiaTheme="minorHAnsi"/>
                <w:sz w:val="20"/>
                <w:lang w:val="en-CA"/>
              </w:rPr>
            </w:pPr>
          </w:p>
        </w:tc>
        <w:tc>
          <w:tcPr>
            <w:tcW w:w="292" w:type="pct"/>
          </w:tcPr>
          <w:p w:rsidR="00F14403" w:rsidRPr="006D7947" w:rsidRDefault="00F14403" w:rsidP="00F14403">
            <w:pPr>
              <w:jc w:val="both"/>
              <w:rPr>
                <w:rFonts w:eastAsiaTheme="minorHAnsi"/>
                <w:sz w:val="20"/>
                <w:lang w:val="en-CA"/>
              </w:rPr>
            </w:pPr>
          </w:p>
        </w:tc>
        <w:tc>
          <w:tcPr>
            <w:tcW w:w="2282" w:type="pct"/>
          </w:tcPr>
          <w:p w:rsidR="00F14403" w:rsidRPr="006D7947" w:rsidRDefault="00F14403" w:rsidP="00F14403">
            <w:pPr>
              <w:jc w:val="both"/>
              <w:rPr>
                <w:rFonts w:eastAsiaTheme="minorHAnsi"/>
                <w:sz w:val="20"/>
                <w:lang w:val="fr-CA"/>
              </w:rPr>
            </w:pPr>
            <w:r w:rsidRPr="006D7947">
              <w:rPr>
                <w:rFonts w:eastAsiaTheme="minorHAnsi"/>
                <w:sz w:val="20"/>
                <w:lang w:val="fr-CA"/>
              </w:rPr>
              <w:t>Demandes de Moulton et de la Couronne en vue de faire radier une partie de la défense des demandeurs, accueillies en partie</w:t>
            </w:r>
          </w:p>
          <w:p w:rsidR="00F14403" w:rsidRPr="006D7947" w:rsidRDefault="00F14403" w:rsidP="00F14403">
            <w:pPr>
              <w:jc w:val="both"/>
              <w:rPr>
                <w:rFonts w:eastAsiaTheme="minorHAnsi"/>
                <w:sz w:val="20"/>
                <w:lang w:val="fr-CA"/>
              </w:rPr>
            </w:pPr>
          </w:p>
        </w:tc>
      </w:tr>
      <w:tr w:rsidR="00F14403" w:rsidRPr="00433941" w:rsidTr="00FA1BFE">
        <w:tc>
          <w:tcPr>
            <w:tcW w:w="2427" w:type="pct"/>
            <w:gridSpan w:val="2"/>
          </w:tcPr>
          <w:p w:rsidR="00F14403" w:rsidRPr="006D7947" w:rsidRDefault="00F14403" w:rsidP="00F14403">
            <w:pPr>
              <w:jc w:val="both"/>
              <w:rPr>
                <w:rFonts w:eastAsiaTheme="minorHAnsi"/>
                <w:sz w:val="20"/>
                <w:lang w:val="fr-CA"/>
              </w:rPr>
            </w:pPr>
            <w:r w:rsidRPr="006D7947">
              <w:rPr>
                <w:rFonts w:eastAsiaTheme="minorHAnsi"/>
                <w:sz w:val="20"/>
                <w:lang w:val="fr-CA"/>
              </w:rPr>
              <w:t>6 juillet 2011</w:t>
            </w:r>
          </w:p>
          <w:p w:rsidR="00F14403" w:rsidRPr="006D7947" w:rsidRDefault="00F14403" w:rsidP="00F14403">
            <w:pPr>
              <w:jc w:val="both"/>
              <w:rPr>
                <w:rFonts w:eastAsiaTheme="minorHAnsi"/>
                <w:sz w:val="20"/>
                <w:lang w:val="fr-CA"/>
              </w:rPr>
            </w:pPr>
            <w:r w:rsidRPr="006D7947">
              <w:rPr>
                <w:rFonts w:eastAsiaTheme="minorHAnsi"/>
                <w:sz w:val="20"/>
                <w:lang w:val="fr-CA"/>
              </w:rPr>
              <w:t>Cour d’appel de la Colombie-Britannique (Vancouver)</w:t>
            </w:r>
          </w:p>
          <w:p w:rsidR="00F14403" w:rsidRPr="006D7947" w:rsidRDefault="00F14403" w:rsidP="00F14403">
            <w:pPr>
              <w:jc w:val="both"/>
              <w:rPr>
                <w:rFonts w:eastAsiaTheme="minorHAnsi"/>
                <w:sz w:val="20"/>
                <w:lang w:val="fr-CA"/>
              </w:rPr>
            </w:pPr>
            <w:r w:rsidRPr="006D7947">
              <w:rPr>
                <w:rFonts w:eastAsiaTheme="minorHAnsi"/>
                <w:sz w:val="20"/>
                <w:lang w:val="fr-CA"/>
              </w:rPr>
              <w:t>(Juges Saunders, Chiasson et Frankel)</w:t>
            </w:r>
          </w:p>
          <w:p w:rsidR="00F14403" w:rsidRPr="006D7947" w:rsidRDefault="00F14403" w:rsidP="00F14403">
            <w:pPr>
              <w:jc w:val="both"/>
              <w:rPr>
                <w:rFonts w:eastAsiaTheme="minorHAnsi"/>
                <w:sz w:val="20"/>
                <w:lang w:val="en-CA"/>
              </w:rPr>
            </w:pPr>
            <w:r w:rsidRPr="006D7947">
              <w:rPr>
                <w:rFonts w:eastAsiaTheme="minorHAnsi"/>
                <w:sz w:val="20"/>
                <w:lang w:val="en-CA"/>
              </w:rPr>
              <w:t>2011 BCCA 311; CAO38107</w:t>
            </w:r>
          </w:p>
          <w:p w:rsidR="00F14403" w:rsidRPr="006D7947" w:rsidRDefault="00F14403" w:rsidP="00F14403">
            <w:pPr>
              <w:jc w:val="both"/>
              <w:rPr>
                <w:rFonts w:eastAsiaTheme="minorHAnsi"/>
                <w:sz w:val="20"/>
                <w:lang w:val="en-CA"/>
              </w:rPr>
            </w:pPr>
          </w:p>
        </w:tc>
        <w:tc>
          <w:tcPr>
            <w:tcW w:w="292" w:type="pct"/>
          </w:tcPr>
          <w:p w:rsidR="00F14403" w:rsidRPr="006D7947" w:rsidRDefault="00F14403" w:rsidP="00F14403">
            <w:pPr>
              <w:jc w:val="both"/>
              <w:rPr>
                <w:rFonts w:eastAsiaTheme="minorHAnsi"/>
                <w:sz w:val="20"/>
                <w:lang w:val="en-CA"/>
              </w:rPr>
            </w:pPr>
          </w:p>
        </w:tc>
        <w:tc>
          <w:tcPr>
            <w:tcW w:w="2282" w:type="pct"/>
          </w:tcPr>
          <w:p w:rsidR="00F14403" w:rsidRPr="006D7947" w:rsidRDefault="00F14403" w:rsidP="00F14403">
            <w:pPr>
              <w:jc w:val="both"/>
              <w:rPr>
                <w:rFonts w:eastAsiaTheme="minorHAnsi"/>
                <w:sz w:val="20"/>
                <w:lang w:val="fr-CA"/>
              </w:rPr>
            </w:pPr>
            <w:r w:rsidRPr="006D7947">
              <w:rPr>
                <w:rFonts w:eastAsiaTheme="minorHAnsi"/>
                <w:sz w:val="20"/>
                <w:lang w:val="fr-CA"/>
              </w:rPr>
              <w:t>Appel contre l’ordonnance visant la radiation de certains paragraphes de la défense modifiée, rejeté</w:t>
            </w:r>
          </w:p>
          <w:p w:rsidR="00F14403" w:rsidRPr="006D7947" w:rsidRDefault="00F14403" w:rsidP="00F14403">
            <w:pPr>
              <w:jc w:val="both"/>
              <w:rPr>
                <w:rFonts w:eastAsiaTheme="minorHAnsi"/>
                <w:sz w:val="20"/>
                <w:lang w:val="fr-CA"/>
              </w:rPr>
            </w:pPr>
          </w:p>
        </w:tc>
      </w:tr>
      <w:tr w:rsidR="00F14403" w:rsidRPr="006D7947" w:rsidTr="00FA1BFE">
        <w:tc>
          <w:tcPr>
            <w:tcW w:w="2427" w:type="pct"/>
            <w:gridSpan w:val="2"/>
          </w:tcPr>
          <w:p w:rsidR="00F14403" w:rsidRPr="006D7947" w:rsidRDefault="00F14403" w:rsidP="00F14403">
            <w:pPr>
              <w:jc w:val="both"/>
              <w:rPr>
                <w:rFonts w:eastAsiaTheme="minorHAnsi"/>
                <w:sz w:val="20"/>
                <w:lang w:val="fr-CA"/>
              </w:rPr>
            </w:pPr>
            <w:r w:rsidRPr="006D7947">
              <w:rPr>
                <w:rFonts w:eastAsiaTheme="minorHAnsi"/>
                <w:sz w:val="20"/>
                <w:lang w:val="fr-CA"/>
              </w:rPr>
              <w:t>25 août 2011</w:t>
            </w:r>
          </w:p>
          <w:p w:rsidR="00F14403" w:rsidRPr="006D7947" w:rsidRDefault="00F14403" w:rsidP="00F14403">
            <w:pPr>
              <w:jc w:val="both"/>
              <w:rPr>
                <w:rFonts w:eastAsiaTheme="minorHAnsi"/>
                <w:sz w:val="20"/>
                <w:lang w:val="fr-CA"/>
              </w:rPr>
            </w:pPr>
            <w:r w:rsidRPr="006D7947">
              <w:rPr>
                <w:rFonts w:eastAsiaTheme="minorHAnsi"/>
                <w:sz w:val="20"/>
                <w:lang w:val="fr-CA"/>
              </w:rPr>
              <w:t>Cour suprême du Canada</w:t>
            </w:r>
          </w:p>
        </w:tc>
        <w:tc>
          <w:tcPr>
            <w:tcW w:w="292" w:type="pct"/>
          </w:tcPr>
          <w:p w:rsidR="00F14403" w:rsidRPr="006D7947" w:rsidRDefault="00F14403" w:rsidP="00F14403">
            <w:pPr>
              <w:jc w:val="both"/>
              <w:rPr>
                <w:rFonts w:eastAsiaTheme="minorHAnsi"/>
                <w:sz w:val="20"/>
                <w:lang w:val="fr-CA"/>
              </w:rPr>
            </w:pPr>
          </w:p>
        </w:tc>
        <w:tc>
          <w:tcPr>
            <w:tcW w:w="2282" w:type="pct"/>
          </w:tcPr>
          <w:p w:rsidR="00F14403" w:rsidRPr="006D7947" w:rsidRDefault="00F14403" w:rsidP="00F14403">
            <w:pPr>
              <w:jc w:val="both"/>
              <w:rPr>
                <w:rFonts w:eastAsiaTheme="minorHAnsi"/>
                <w:sz w:val="20"/>
                <w:lang w:val="en-CA"/>
              </w:rPr>
            </w:pPr>
            <w:r w:rsidRPr="006D7947">
              <w:rPr>
                <w:rFonts w:eastAsiaTheme="minorHAnsi"/>
                <w:sz w:val="20"/>
                <w:lang w:val="en-CA"/>
              </w:rPr>
              <w:t>Demande d’autorisation de pourvoi déposée</w:t>
            </w:r>
          </w:p>
          <w:p w:rsidR="00F14403" w:rsidRPr="006D7947" w:rsidRDefault="00F14403" w:rsidP="00F14403">
            <w:pPr>
              <w:jc w:val="both"/>
              <w:rPr>
                <w:rFonts w:eastAsiaTheme="minorHAnsi"/>
                <w:sz w:val="20"/>
                <w:lang w:val="en-CA"/>
              </w:rPr>
            </w:pPr>
          </w:p>
        </w:tc>
      </w:tr>
    </w:tbl>
    <w:p w:rsidR="00F14403" w:rsidRDefault="00F14403" w:rsidP="00F14403">
      <w:pPr>
        <w:jc w:val="both"/>
        <w:rPr>
          <w:rFonts w:eastAsiaTheme="minorHAnsi"/>
          <w:sz w:val="20"/>
          <w:lang w:val="en-CA"/>
        </w:rPr>
      </w:pPr>
    </w:p>
    <w:p w:rsidR="007A57B6" w:rsidRPr="006D7947" w:rsidRDefault="007A57B6" w:rsidP="00F14403">
      <w:pPr>
        <w:jc w:val="both"/>
        <w:rPr>
          <w:rFonts w:eastAsiaTheme="minorHAnsi"/>
          <w:sz w:val="20"/>
          <w:lang w:val="en-CA"/>
        </w:rPr>
      </w:pPr>
    </w:p>
    <w:tbl>
      <w:tblPr>
        <w:tblW w:w="5000" w:type="pct"/>
        <w:tblLayout w:type="fixed"/>
        <w:tblCellMar>
          <w:left w:w="0" w:type="dxa"/>
          <w:bottom w:w="99" w:type="dxa"/>
          <w:right w:w="0" w:type="dxa"/>
        </w:tblCellMar>
        <w:tblLook w:val="04A0"/>
      </w:tblPr>
      <w:tblGrid>
        <w:gridCol w:w="1005"/>
        <w:gridCol w:w="3426"/>
        <w:gridCol w:w="500"/>
        <w:gridCol w:w="4339"/>
        <w:gridCol w:w="90"/>
      </w:tblGrid>
      <w:tr w:rsidR="00F14403" w:rsidRPr="006D7947" w:rsidTr="00FA1BFE">
        <w:trPr>
          <w:gridAfter w:val="1"/>
          <w:wAfter w:w="48" w:type="pct"/>
        </w:trPr>
        <w:tc>
          <w:tcPr>
            <w:tcW w:w="537" w:type="pct"/>
          </w:tcPr>
          <w:p w:rsidR="00F14403" w:rsidRPr="006D7947" w:rsidRDefault="00F14403" w:rsidP="00F14403">
            <w:pPr>
              <w:jc w:val="both"/>
              <w:rPr>
                <w:rFonts w:eastAsiaTheme="minorHAnsi"/>
                <w:sz w:val="20"/>
                <w:lang w:val="en-CA"/>
              </w:rPr>
            </w:pPr>
            <w:r w:rsidRPr="006D7947">
              <w:rPr>
                <w:rFonts w:eastAsiaTheme="minorHAnsi"/>
                <w:b/>
                <w:sz w:val="20"/>
                <w:lang w:val="en-CA"/>
              </w:rPr>
              <w:t>34429</w:t>
            </w:r>
          </w:p>
        </w:tc>
        <w:tc>
          <w:tcPr>
            <w:tcW w:w="4415" w:type="pct"/>
            <w:gridSpan w:val="3"/>
          </w:tcPr>
          <w:p w:rsidR="00F14403" w:rsidRPr="006D7947" w:rsidRDefault="00F14403" w:rsidP="00F14403">
            <w:pPr>
              <w:jc w:val="both"/>
              <w:rPr>
                <w:rFonts w:eastAsiaTheme="minorHAnsi"/>
                <w:b/>
                <w:sz w:val="20"/>
                <w:lang w:val="en-CA"/>
              </w:rPr>
            </w:pPr>
            <w:r w:rsidRPr="006D7947">
              <w:rPr>
                <w:rFonts w:eastAsiaTheme="minorHAnsi"/>
                <w:b/>
                <w:sz w:val="20"/>
                <w:lang w:val="en-CA"/>
              </w:rPr>
              <w:t>Marine Services International Limited, David Porter v. The Estate of Joseph Ryan, by it's Administratrix, Yvonne Ryan, Yvonne Ryan, in her own right, Stephen Ryan, a Minor, by his Guardian, ad litem, Yvonne Ryan , Jennifer Ryan, a Minor, by her Guardian, ad litem, Yvonne Ryan, The Estate of David Ryan, by it's Administratrix , Marilyn Ryan, and Marrilyn Ryan, in her own right, David Michael Ryan, a Minor, by his Guardian, ad litem, Marilyn Ryan, J and Y Fisheries Inc. and D and M Fisheries Inc., Bodies corporate, trading and operating as Ryan's Fisheries Partnership, Universal Marine Limited, Attorney General of Canada</w:t>
            </w:r>
          </w:p>
          <w:p w:rsidR="00F14403" w:rsidRPr="006D7947" w:rsidRDefault="00F14403" w:rsidP="00F14403">
            <w:pPr>
              <w:jc w:val="both"/>
              <w:rPr>
                <w:rFonts w:eastAsiaTheme="minorHAnsi"/>
                <w:b/>
                <w:sz w:val="20"/>
                <w:lang w:val="en-CA"/>
              </w:rPr>
            </w:pPr>
            <w:r w:rsidRPr="006D7947">
              <w:rPr>
                <w:rFonts w:eastAsiaTheme="minorHAnsi"/>
                <w:b/>
                <w:sz w:val="20"/>
                <w:lang w:val="en-CA"/>
              </w:rPr>
              <w:t>- and -</w:t>
            </w:r>
          </w:p>
          <w:p w:rsidR="00F14403" w:rsidRPr="006D7947" w:rsidRDefault="00F14403" w:rsidP="00F14403">
            <w:pPr>
              <w:jc w:val="both"/>
              <w:rPr>
                <w:rFonts w:eastAsiaTheme="minorHAnsi"/>
                <w:b/>
                <w:sz w:val="20"/>
                <w:lang w:val="en-CA"/>
              </w:rPr>
            </w:pPr>
            <w:r w:rsidRPr="006D7947">
              <w:rPr>
                <w:rFonts w:eastAsiaTheme="minorHAnsi"/>
                <w:b/>
                <w:sz w:val="20"/>
                <w:lang w:val="en-CA"/>
              </w:rPr>
              <w:t>Workplace Health, Safety and Compensation Commission</w:t>
            </w:r>
          </w:p>
          <w:p w:rsidR="00F14403" w:rsidRPr="006D7947" w:rsidRDefault="00F14403" w:rsidP="007A57B6">
            <w:pPr>
              <w:jc w:val="both"/>
              <w:rPr>
                <w:rFonts w:eastAsiaTheme="minorHAnsi"/>
                <w:sz w:val="20"/>
                <w:lang w:val="en-CA"/>
              </w:rPr>
            </w:pPr>
            <w:r w:rsidRPr="006D7947">
              <w:rPr>
                <w:rFonts w:eastAsiaTheme="minorHAnsi"/>
                <w:sz w:val="20"/>
                <w:lang w:val="en-CA"/>
              </w:rPr>
              <w:t>(N.L.) (Civil) (By Leave)</w:t>
            </w:r>
          </w:p>
        </w:tc>
      </w:tr>
      <w:tr w:rsidR="00F14403" w:rsidRPr="006D7947" w:rsidTr="00FA1BFE">
        <w:trPr>
          <w:gridAfter w:val="1"/>
          <w:wAfter w:w="48" w:type="pct"/>
        </w:trPr>
        <w:tc>
          <w:tcPr>
            <w:tcW w:w="4952" w:type="pct"/>
            <w:gridSpan w:val="4"/>
          </w:tcPr>
          <w:p w:rsidR="00F14403" w:rsidRPr="006D7947" w:rsidRDefault="00F14403" w:rsidP="00F14403">
            <w:pPr>
              <w:jc w:val="both"/>
              <w:rPr>
                <w:rFonts w:eastAsiaTheme="minorHAnsi"/>
                <w:sz w:val="20"/>
                <w:lang w:val="en-CA"/>
              </w:rPr>
            </w:pPr>
            <w:r w:rsidRPr="006D7947">
              <w:rPr>
                <w:rFonts w:eastAsiaTheme="minorHAnsi"/>
                <w:sz w:val="20"/>
                <w:lang w:val="en-CA"/>
              </w:rPr>
              <w:t xml:space="preserve">Constitutional law – Division of powers – Navigation and shipping – Paramountcy – Interjurisdictional immunity – Action in negligence by estates and families of two  men who drowned after fishing vessel designed, built and inspected by defendants capsizes – Whether s. 6 of the </w:t>
            </w:r>
            <w:r w:rsidRPr="006D7947">
              <w:rPr>
                <w:rFonts w:eastAsiaTheme="minorHAnsi"/>
                <w:i/>
                <w:sz w:val="20"/>
                <w:lang w:val="en-CA"/>
              </w:rPr>
              <w:t>Marine Liability Act</w:t>
            </w:r>
            <w:r w:rsidRPr="006D7947">
              <w:rPr>
                <w:rFonts w:eastAsiaTheme="minorHAnsi"/>
                <w:sz w:val="20"/>
                <w:lang w:val="en-CA"/>
              </w:rPr>
              <w:t xml:space="preserve">, S.C. 2001, c. 6, authorizes a federal right of action or whether limitation in s. 44 of  </w:t>
            </w:r>
            <w:r w:rsidRPr="006D7947">
              <w:rPr>
                <w:rFonts w:eastAsiaTheme="minorHAnsi"/>
                <w:i/>
                <w:sz w:val="20"/>
                <w:lang w:val="en-CA"/>
              </w:rPr>
              <w:t>Workplace Health, Safety and Compensation Act</w:t>
            </w:r>
            <w:r w:rsidRPr="006D7947">
              <w:rPr>
                <w:rFonts w:eastAsiaTheme="minorHAnsi"/>
                <w:sz w:val="20"/>
                <w:lang w:val="en-CA"/>
              </w:rPr>
              <w:t>, RSNL1990, c. W-11, applies to bar action – Whether doctrines of paramountcy and interjurisdictional immunity apply – Whether relevant case law conflicts.</w:t>
            </w:r>
          </w:p>
        </w:tc>
      </w:tr>
      <w:tr w:rsidR="00F14403" w:rsidRPr="006D7947" w:rsidTr="00FA1BFE">
        <w:trPr>
          <w:gridAfter w:val="1"/>
          <w:wAfter w:w="48" w:type="pct"/>
        </w:trPr>
        <w:tc>
          <w:tcPr>
            <w:tcW w:w="4952" w:type="pct"/>
            <w:gridSpan w:val="4"/>
          </w:tcPr>
          <w:p w:rsidR="00F14403" w:rsidRPr="006D7947" w:rsidRDefault="00F14403" w:rsidP="00F14403">
            <w:pPr>
              <w:jc w:val="both"/>
              <w:rPr>
                <w:rFonts w:eastAsiaTheme="minorHAnsi"/>
                <w:sz w:val="20"/>
                <w:lang w:val="en-CA"/>
              </w:rPr>
            </w:pPr>
          </w:p>
        </w:tc>
      </w:tr>
      <w:tr w:rsidR="00F14403" w:rsidRPr="006D7947" w:rsidTr="00FA1BFE">
        <w:trPr>
          <w:gridAfter w:val="1"/>
          <w:wAfter w:w="48" w:type="pct"/>
        </w:trPr>
        <w:tc>
          <w:tcPr>
            <w:tcW w:w="4952" w:type="pct"/>
            <w:gridSpan w:val="4"/>
          </w:tcPr>
          <w:p w:rsidR="00F14403" w:rsidRPr="006D7947" w:rsidRDefault="00F14403" w:rsidP="00F14403">
            <w:pPr>
              <w:jc w:val="both"/>
              <w:rPr>
                <w:rFonts w:eastAsiaTheme="minorHAnsi"/>
                <w:sz w:val="20"/>
                <w:lang w:val="en-CA"/>
              </w:rPr>
            </w:pPr>
            <w:r w:rsidRPr="006D7947">
              <w:rPr>
                <w:rFonts w:eastAsiaTheme="minorHAnsi"/>
                <w:sz w:val="20"/>
                <w:lang w:val="en-CA"/>
              </w:rPr>
              <w:t xml:space="preserve">Joseph and David Ryan drowned at sea after the fishing vessel they crewed capsized.  Proceeding under the </w:t>
            </w:r>
            <w:r w:rsidRPr="006D7947">
              <w:rPr>
                <w:rFonts w:eastAsiaTheme="minorHAnsi"/>
                <w:i/>
                <w:sz w:val="20"/>
                <w:lang w:val="en-CA"/>
              </w:rPr>
              <w:t>Marine Liability Act</w:t>
            </w:r>
            <w:r w:rsidRPr="006D7947">
              <w:rPr>
                <w:rFonts w:eastAsiaTheme="minorHAnsi"/>
                <w:sz w:val="20"/>
                <w:lang w:val="en-CA"/>
              </w:rPr>
              <w:t xml:space="preserve">, S.C. 2001, c. 6, (“the </w:t>
            </w:r>
            <w:r w:rsidRPr="006D7947">
              <w:rPr>
                <w:rFonts w:eastAsiaTheme="minorHAnsi"/>
                <w:i/>
                <w:sz w:val="20"/>
                <w:lang w:val="en-CA"/>
              </w:rPr>
              <w:t>MLA</w:t>
            </w:r>
            <w:r w:rsidRPr="006D7947">
              <w:rPr>
                <w:rFonts w:eastAsiaTheme="minorHAnsi"/>
                <w:sz w:val="20"/>
                <w:lang w:val="en-CA"/>
              </w:rPr>
              <w:t xml:space="preserve">”), their estates and families commenced an action against a number of defendants claiming negligence in the design, construction and inspection of the vessel.  The applicants, defendants to the action, applied to the Workplace Health, Safety and Compensation Commission for a determination that the action is statute-barred by s. 44 of the </w:t>
            </w:r>
            <w:r w:rsidRPr="006D7947">
              <w:rPr>
                <w:rFonts w:eastAsiaTheme="minorHAnsi"/>
                <w:i/>
                <w:sz w:val="20"/>
                <w:lang w:val="en-CA"/>
              </w:rPr>
              <w:t>Workplace Health, Safety and Compensation Act</w:t>
            </w:r>
            <w:r w:rsidRPr="006D7947">
              <w:rPr>
                <w:rFonts w:eastAsiaTheme="minorHAnsi"/>
                <w:sz w:val="20"/>
                <w:lang w:val="en-CA"/>
              </w:rPr>
              <w:t>, RSNL1990, c. W-11 (“</w:t>
            </w:r>
            <w:r w:rsidRPr="006D7947">
              <w:rPr>
                <w:rFonts w:eastAsiaTheme="minorHAnsi"/>
                <w:i/>
                <w:sz w:val="20"/>
                <w:lang w:val="en-CA"/>
              </w:rPr>
              <w:t>WHSCA</w:t>
            </w:r>
            <w:r w:rsidRPr="006D7947">
              <w:rPr>
                <w:rFonts w:eastAsiaTheme="minorHAnsi"/>
                <w:sz w:val="20"/>
                <w:lang w:val="en-CA"/>
              </w:rPr>
              <w:t>”).  An internal review specialist with the Commission held that the action is statute-barred.  That decision was set aside on judicial review.  A majority of the Court of Appeal upheld the reviewing judge’s decision.</w:t>
            </w:r>
          </w:p>
          <w:p w:rsidR="00F14403" w:rsidRPr="006D7947" w:rsidRDefault="00F14403" w:rsidP="00F14403">
            <w:pPr>
              <w:jc w:val="both"/>
              <w:rPr>
                <w:rFonts w:eastAsiaTheme="minorHAnsi"/>
                <w:sz w:val="20"/>
                <w:lang w:val="en-CA"/>
              </w:rPr>
            </w:pPr>
          </w:p>
        </w:tc>
      </w:tr>
      <w:tr w:rsidR="00F14403" w:rsidRPr="006D7947" w:rsidTr="00FA1BFE">
        <w:tblPrEx>
          <w:tblCellMar>
            <w:bottom w:w="0" w:type="dxa"/>
          </w:tblCellMar>
        </w:tblPrEx>
        <w:tc>
          <w:tcPr>
            <w:tcW w:w="236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July 28, 2009</w:t>
            </w:r>
          </w:p>
          <w:p w:rsidR="00F14403" w:rsidRPr="006D7947" w:rsidRDefault="00F14403" w:rsidP="00F14403">
            <w:pPr>
              <w:jc w:val="both"/>
              <w:rPr>
                <w:rFonts w:eastAsiaTheme="minorHAnsi"/>
                <w:sz w:val="20"/>
                <w:lang w:val="en-CA"/>
              </w:rPr>
            </w:pPr>
            <w:r w:rsidRPr="006D7947">
              <w:rPr>
                <w:rFonts w:eastAsiaTheme="minorHAnsi"/>
                <w:sz w:val="20"/>
                <w:lang w:val="en-CA"/>
              </w:rPr>
              <w:t>Supreme Court of Newfoundland &amp; Labrador, Trial Division</w:t>
            </w:r>
          </w:p>
          <w:p w:rsidR="00F14403" w:rsidRPr="006D7947" w:rsidRDefault="00F14403" w:rsidP="00F14403">
            <w:pPr>
              <w:jc w:val="both"/>
              <w:rPr>
                <w:rFonts w:eastAsiaTheme="minorHAnsi"/>
                <w:sz w:val="20"/>
                <w:lang w:val="en-CA"/>
              </w:rPr>
            </w:pPr>
            <w:r w:rsidRPr="006D7947">
              <w:rPr>
                <w:rFonts w:eastAsiaTheme="minorHAnsi"/>
                <w:sz w:val="20"/>
                <w:lang w:val="en-CA"/>
              </w:rPr>
              <w:t>(Hall J.)</w:t>
            </w:r>
          </w:p>
          <w:p w:rsidR="00F14403" w:rsidRPr="006D7947" w:rsidRDefault="00F14403" w:rsidP="00F14403">
            <w:pPr>
              <w:jc w:val="both"/>
              <w:rPr>
                <w:rFonts w:eastAsiaTheme="minorHAnsi"/>
                <w:sz w:val="20"/>
                <w:lang w:val="en-CA"/>
              </w:rPr>
            </w:pPr>
            <w:r w:rsidRPr="006D7947">
              <w:rPr>
                <w:rFonts w:eastAsiaTheme="minorHAnsi"/>
                <w:sz w:val="20"/>
                <w:lang w:val="en-CA"/>
              </w:rPr>
              <w:t>2009 NLTD 120</w:t>
            </w:r>
          </w:p>
          <w:p w:rsidR="00F14403" w:rsidRPr="006D7947" w:rsidRDefault="00F14403" w:rsidP="00F14403">
            <w:pPr>
              <w:jc w:val="both"/>
              <w:rPr>
                <w:rFonts w:eastAsiaTheme="minorHAnsi"/>
                <w:sz w:val="20"/>
                <w:lang w:val="en-CA"/>
              </w:rPr>
            </w:pPr>
          </w:p>
        </w:tc>
        <w:tc>
          <w:tcPr>
            <w:tcW w:w="267" w:type="pct"/>
          </w:tcPr>
          <w:p w:rsidR="00F14403" w:rsidRPr="006D7947" w:rsidRDefault="00F14403" w:rsidP="00F14403">
            <w:pPr>
              <w:jc w:val="both"/>
              <w:rPr>
                <w:rFonts w:eastAsiaTheme="minorHAnsi"/>
                <w:sz w:val="20"/>
                <w:lang w:val="en-CA"/>
              </w:rPr>
            </w:pPr>
          </w:p>
        </w:tc>
        <w:tc>
          <w:tcPr>
            <w:tcW w:w="2366"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Application for judicial review allowed; Decision by Workplace Health, Safety and Compensation Commission that action is statute-barred quashed</w:t>
            </w:r>
          </w:p>
          <w:p w:rsidR="00F14403" w:rsidRPr="006D7947" w:rsidRDefault="00F14403" w:rsidP="00F14403">
            <w:pPr>
              <w:jc w:val="both"/>
              <w:rPr>
                <w:rFonts w:eastAsiaTheme="minorHAnsi"/>
                <w:sz w:val="20"/>
                <w:lang w:val="en-CA"/>
              </w:rPr>
            </w:pPr>
          </w:p>
        </w:tc>
      </w:tr>
      <w:tr w:rsidR="00F14403" w:rsidRPr="006D7947" w:rsidTr="00FA1BFE">
        <w:tblPrEx>
          <w:tblCellMar>
            <w:bottom w:w="0" w:type="dxa"/>
          </w:tblCellMar>
        </w:tblPrEx>
        <w:tc>
          <w:tcPr>
            <w:tcW w:w="236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June 15, 2011</w:t>
            </w:r>
          </w:p>
          <w:p w:rsidR="00F14403" w:rsidRPr="006D7947" w:rsidRDefault="00F14403" w:rsidP="00F14403">
            <w:pPr>
              <w:jc w:val="both"/>
              <w:rPr>
                <w:rFonts w:eastAsiaTheme="minorHAnsi"/>
                <w:sz w:val="20"/>
                <w:lang w:val="en-CA"/>
              </w:rPr>
            </w:pPr>
            <w:r w:rsidRPr="006D7947">
              <w:rPr>
                <w:rFonts w:eastAsiaTheme="minorHAnsi"/>
                <w:sz w:val="20"/>
                <w:lang w:val="en-CA"/>
              </w:rPr>
              <w:t>Supreme Court of Newfoundland and Labrador - Court of Appeal</w:t>
            </w:r>
          </w:p>
          <w:p w:rsidR="00F14403" w:rsidRPr="006D7947" w:rsidRDefault="00F14403" w:rsidP="00F14403">
            <w:pPr>
              <w:jc w:val="both"/>
              <w:rPr>
                <w:rFonts w:eastAsiaTheme="minorHAnsi"/>
                <w:sz w:val="20"/>
                <w:lang w:val="en-CA"/>
              </w:rPr>
            </w:pPr>
            <w:r w:rsidRPr="006D7947">
              <w:rPr>
                <w:rFonts w:eastAsiaTheme="minorHAnsi"/>
                <w:sz w:val="20"/>
                <w:lang w:val="en-CA"/>
              </w:rPr>
              <w:t>(Green, Welsh [dissenting], Rowe JJ.A.)</w:t>
            </w:r>
          </w:p>
          <w:p w:rsidR="00F14403" w:rsidRPr="006D7947" w:rsidRDefault="00F14403" w:rsidP="00F14403">
            <w:pPr>
              <w:jc w:val="both"/>
              <w:rPr>
                <w:rFonts w:eastAsiaTheme="minorHAnsi"/>
                <w:sz w:val="20"/>
                <w:lang w:val="en-CA"/>
              </w:rPr>
            </w:pPr>
            <w:r w:rsidRPr="006D7947">
              <w:rPr>
                <w:rFonts w:eastAsiaTheme="minorHAnsi"/>
                <w:sz w:val="20"/>
                <w:lang w:val="en-CA"/>
              </w:rPr>
              <w:t>2011 NLCA 42, Docket No. 09/95</w:t>
            </w:r>
          </w:p>
          <w:p w:rsidR="00F14403" w:rsidRPr="006D7947" w:rsidRDefault="00F14403" w:rsidP="00F14403">
            <w:pPr>
              <w:jc w:val="both"/>
              <w:rPr>
                <w:rFonts w:eastAsiaTheme="minorHAnsi"/>
                <w:sz w:val="20"/>
                <w:lang w:val="en-CA"/>
              </w:rPr>
            </w:pPr>
          </w:p>
        </w:tc>
        <w:tc>
          <w:tcPr>
            <w:tcW w:w="267" w:type="pct"/>
          </w:tcPr>
          <w:p w:rsidR="00F14403" w:rsidRPr="006D7947" w:rsidRDefault="00F14403" w:rsidP="00F14403">
            <w:pPr>
              <w:jc w:val="both"/>
              <w:rPr>
                <w:rFonts w:eastAsiaTheme="minorHAnsi"/>
                <w:sz w:val="20"/>
                <w:lang w:val="en-CA"/>
              </w:rPr>
            </w:pPr>
          </w:p>
        </w:tc>
        <w:tc>
          <w:tcPr>
            <w:tcW w:w="2366"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 xml:space="preserve">Appeal dismissed </w:t>
            </w:r>
          </w:p>
          <w:p w:rsidR="00F14403" w:rsidRPr="006D7947" w:rsidRDefault="00F14403" w:rsidP="00F14403">
            <w:pPr>
              <w:jc w:val="both"/>
              <w:rPr>
                <w:rFonts w:eastAsiaTheme="minorHAnsi"/>
                <w:sz w:val="20"/>
                <w:lang w:val="en-CA"/>
              </w:rPr>
            </w:pPr>
          </w:p>
        </w:tc>
      </w:tr>
      <w:tr w:rsidR="00F14403" w:rsidRPr="006D7947" w:rsidTr="00FA1BFE">
        <w:tblPrEx>
          <w:tblCellMar>
            <w:bottom w:w="0" w:type="dxa"/>
          </w:tblCellMar>
        </w:tblPrEx>
        <w:trPr>
          <w:trHeight w:val="162"/>
        </w:trPr>
        <w:tc>
          <w:tcPr>
            <w:tcW w:w="236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September 9, 2011</w:t>
            </w:r>
          </w:p>
          <w:p w:rsidR="00F14403" w:rsidRPr="006D7947" w:rsidRDefault="00F14403" w:rsidP="00F14403">
            <w:pPr>
              <w:jc w:val="both"/>
              <w:rPr>
                <w:rFonts w:eastAsiaTheme="minorHAnsi"/>
                <w:sz w:val="20"/>
                <w:lang w:val="en-CA"/>
              </w:rPr>
            </w:pPr>
            <w:r w:rsidRPr="006D7947">
              <w:rPr>
                <w:rFonts w:eastAsiaTheme="minorHAnsi"/>
                <w:sz w:val="20"/>
                <w:lang w:val="en-CA"/>
              </w:rPr>
              <w:t>Supreme Court of Canada</w:t>
            </w:r>
          </w:p>
        </w:tc>
        <w:tc>
          <w:tcPr>
            <w:tcW w:w="267" w:type="pct"/>
          </w:tcPr>
          <w:p w:rsidR="00F14403" w:rsidRPr="006D7947" w:rsidRDefault="00F14403" w:rsidP="00F14403">
            <w:pPr>
              <w:jc w:val="both"/>
              <w:rPr>
                <w:rFonts w:eastAsiaTheme="minorHAnsi"/>
                <w:sz w:val="20"/>
                <w:lang w:val="en-CA"/>
              </w:rPr>
            </w:pPr>
          </w:p>
        </w:tc>
        <w:tc>
          <w:tcPr>
            <w:tcW w:w="2366"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Application for leave to appeal filed</w:t>
            </w:r>
          </w:p>
          <w:p w:rsidR="00F14403" w:rsidRPr="006D7947" w:rsidRDefault="00F14403" w:rsidP="00F14403">
            <w:pPr>
              <w:jc w:val="both"/>
              <w:rPr>
                <w:rFonts w:eastAsiaTheme="minorHAnsi"/>
                <w:sz w:val="20"/>
                <w:lang w:val="en-CA"/>
              </w:rPr>
            </w:pPr>
          </w:p>
        </w:tc>
      </w:tr>
    </w:tbl>
    <w:p w:rsidR="00F14403" w:rsidRPr="006D7947" w:rsidRDefault="00F14403" w:rsidP="00F14403">
      <w:pPr>
        <w:jc w:val="both"/>
        <w:rPr>
          <w:rFonts w:eastAsiaTheme="minorHAnsi"/>
          <w:sz w:val="20"/>
          <w:lang w:val="en-CA"/>
        </w:rPr>
      </w:pPr>
    </w:p>
    <w:p w:rsidR="00A97F4E" w:rsidRPr="006D7947" w:rsidRDefault="00A97F4E" w:rsidP="00F14403">
      <w:pPr>
        <w:jc w:val="both"/>
        <w:rPr>
          <w:rFonts w:eastAsiaTheme="minorHAnsi"/>
          <w:sz w:val="20"/>
          <w:lang w:val="en-CA"/>
        </w:rPr>
      </w:pPr>
    </w:p>
    <w:tbl>
      <w:tblPr>
        <w:tblW w:w="4952" w:type="pct"/>
        <w:tblLayout w:type="fixed"/>
        <w:tblCellMar>
          <w:left w:w="0" w:type="dxa"/>
          <w:bottom w:w="99" w:type="dxa"/>
          <w:right w:w="0" w:type="dxa"/>
        </w:tblCellMar>
        <w:tblLook w:val="00A0"/>
      </w:tblPr>
      <w:tblGrid>
        <w:gridCol w:w="1005"/>
        <w:gridCol w:w="3426"/>
        <w:gridCol w:w="501"/>
        <w:gridCol w:w="4338"/>
      </w:tblGrid>
      <w:tr w:rsidR="00A97F4E" w:rsidRPr="00433941" w:rsidTr="00E1039A">
        <w:tc>
          <w:tcPr>
            <w:tcW w:w="542" w:type="pct"/>
          </w:tcPr>
          <w:p w:rsidR="00A97F4E" w:rsidRPr="006D7947" w:rsidRDefault="00A97F4E" w:rsidP="00A97F4E">
            <w:pPr>
              <w:jc w:val="both"/>
              <w:rPr>
                <w:rFonts w:eastAsia="Calibri"/>
                <w:sz w:val="20"/>
                <w:lang w:val="fr-CA"/>
              </w:rPr>
            </w:pPr>
            <w:r w:rsidRPr="006D7947">
              <w:rPr>
                <w:rFonts w:eastAsia="Calibri"/>
                <w:b/>
                <w:sz w:val="20"/>
                <w:lang w:val="fr-CA"/>
              </w:rPr>
              <w:t>34429</w:t>
            </w:r>
          </w:p>
        </w:tc>
        <w:tc>
          <w:tcPr>
            <w:tcW w:w="4458" w:type="pct"/>
            <w:gridSpan w:val="3"/>
          </w:tcPr>
          <w:p w:rsidR="00A97F4E" w:rsidRPr="006D7947" w:rsidRDefault="00A97F4E" w:rsidP="00A97F4E">
            <w:pPr>
              <w:jc w:val="both"/>
              <w:rPr>
                <w:rFonts w:eastAsia="Calibri"/>
                <w:b/>
                <w:sz w:val="20"/>
                <w:lang w:val="fr-CA"/>
              </w:rPr>
            </w:pPr>
            <w:r w:rsidRPr="006D7947">
              <w:rPr>
                <w:rFonts w:eastAsia="Calibri"/>
                <w:b/>
                <w:sz w:val="20"/>
                <w:lang w:val="fr-CA"/>
              </w:rPr>
              <w:t>Marine Services International Limited, David Porter c. La succession de Joseph Ryan, représentée par son administratrice Yvonne Ryan, Yvonne Ryan, en son nom, Stephen Ryan, un mineur représenté par sa tutrice à l'insistance Yvonne Ryan, Jennifer Ryan, une mineure représentée par sa tutrice à l'instance Yvonne Ryan, la succession de David Ryan, représentée par son administratrice Marilyn Ryan et Marilyn Ryan, en son nom, David Michael Ryan, un mineur représenté par sa tutrice à l'instance Marilyn Ryan, J and Y Fisheries Inc. et D and M Fisheries Inc., des personnes morales, faisant affaires sous la dénomination sociale Ryan's Fisheries Partnership, Universal Marine Limited, procureur général du Canada</w:t>
            </w:r>
          </w:p>
          <w:p w:rsidR="00A97F4E" w:rsidRPr="006D7947" w:rsidRDefault="00A97F4E" w:rsidP="00A97F4E">
            <w:pPr>
              <w:jc w:val="both"/>
              <w:rPr>
                <w:rFonts w:eastAsia="Calibri"/>
                <w:b/>
                <w:sz w:val="20"/>
              </w:rPr>
            </w:pPr>
            <w:r w:rsidRPr="006D7947">
              <w:rPr>
                <w:rFonts w:eastAsia="Calibri"/>
                <w:b/>
                <w:sz w:val="20"/>
              </w:rPr>
              <w:t>- et -</w:t>
            </w:r>
          </w:p>
          <w:p w:rsidR="00A97F4E" w:rsidRPr="006D7947" w:rsidRDefault="00A97F4E" w:rsidP="00A97F4E">
            <w:pPr>
              <w:jc w:val="both"/>
              <w:rPr>
                <w:rFonts w:eastAsia="Calibri"/>
                <w:b/>
                <w:sz w:val="20"/>
              </w:rPr>
            </w:pPr>
            <w:r w:rsidRPr="006D7947">
              <w:rPr>
                <w:rFonts w:eastAsia="Calibri"/>
                <w:b/>
                <w:sz w:val="20"/>
              </w:rPr>
              <w:t>Workplace Health, Safety and Compensation Commission</w:t>
            </w:r>
          </w:p>
          <w:p w:rsidR="00A97F4E" w:rsidRPr="006D7947" w:rsidRDefault="00A97F4E" w:rsidP="007A57B6">
            <w:pPr>
              <w:jc w:val="both"/>
              <w:rPr>
                <w:rFonts w:eastAsia="Calibri"/>
                <w:sz w:val="20"/>
                <w:lang w:val="fr-CA"/>
              </w:rPr>
            </w:pPr>
            <w:r w:rsidRPr="006D7947">
              <w:rPr>
                <w:rFonts w:eastAsia="Calibri"/>
                <w:sz w:val="20"/>
                <w:lang w:val="fr-CA"/>
              </w:rPr>
              <w:t>(T.-N.-L.) (Civile) (Sur autorisation)</w:t>
            </w:r>
          </w:p>
        </w:tc>
      </w:tr>
      <w:tr w:rsidR="00A97F4E" w:rsidRPr="00433941" w:rsidTr="00E1039A">
        <w:tc>
          <w:tcPr>
            <w:tcW w:w="5000" w:type="pct"/>
            <w:gridSpan w:val="4"/>
          </w:tcPr>
          <w:p w:rsidR="00A97F4E" w:rsidRPr="006D7947" w:rsidRDefault="00A97F4E" w:rsidP="00A97F4E">
            <w:pPr>
              <w:jc w:val="both"/>
              <w:rPr>
                <w:rFonts w:eastAsia="Calibri"/>
                <w:sz w:val="20"/>
                <w:lang w:val="fr-CA"/>
              </w:rPr>
            </w:pPr>
            <w:r w:rsidRPr="006D7947">
              <w:rPr>
                <w:rFonts w:eastAsia="Calibri"/>
                <w:sz w:val="20"/>
                <w:lang w:val="fr-CA"/>
              </w:rPr>
              <w:t>Droit constitutionnel – Partage des pouvoirs – Navigation et bâtiments ou navires – Prépondérance – Exclusivité des compétences – Action en négligence intentée par les successions et les familles de deux hommes qui se sont noyés après que le navire de pêche conçu, construit et inspecté par les défendeurs a chaviré – L’art. 6 de la</w:t>
            </w:r>
            <w:r w:rsidRPr="006D7947">
              <w:rPr>
                <w:rFonts w:eastAsia="Calibri"/>
                <w:i/>
                <w:sz w:val="20"/>
                <w:lang w:val="fr-CA"/>
              </w:rPr>
              <w:t xml:space="preserve"> Loi sur la responsabilité en matière maritime</w:t>
            </w:r>
            <w:r w:rsidRPr="006D7947">
              <w:rPr>
                <w:rFonts w:eastAsia="Calibri"/>
                <w:sz w:val="20"/>
                <w:lang w:val="fr-CA"/>
              </w:rPr>
              <w:t xml:space="preserve">, L.C. 2001, c. 6, autorise-t-il un droit d'action au fédéral, ou bien est-ce que la prescription prévue à l’art. 44 de la  </w:t>
            </w:r>
            <w:r w:rsidRPr="006D7947">
              <w:rPr>
                <w:rFonts w:eastAsia="Calibri"/>
                <w:i/>
                <w:sz w:val="20"/>
                <w:lang w:val="fr-CA"/>
              </w:rPr>
              <w:t>Workplace Health, Safety and Compensation Act</w:t>
            </w:r>
            <w:r w:rsidRPr="006D7947">
              <w:rPr>
                <w:rFonts w:eastAsia="Calibri"/>
                <w:sz w:val="20"/>
                <w:lang w:val="fr-CA"/>
              </w:rPr>
              <w:t>, RSNL 1990, ch. W-11 s’applique pour faire obstacle à l'action? – Les doctrines de prépondérance et d'exclusivité des compétences s'appliquent-elles? – La jurisprudence en la matière est-elle contradictoire?</w:t>
            </w:r>
          </w:p>
        </w:tc>
      </w:tr>
      <w:tr w:rsidR="00A97F4E" w:rsidRPr="00433941" w:rsidTr="00E1039A">
        <w:tc>
          <w:tcPr>
            <w:tcW w:w="5000" w:type="pct"/>
            <w:gridSpan w:val="4"/>
          </w:tcPr>
          <w:p w:rsidR="00A97F4E" w:rsidRPr="006D7947" w:rsidRDefault="00A97F4E" w:rsidP="00A97F4E">
            <w:pPr>
              <w:jc w:val="both"/>
              <w:rPr>
                <w:rFonts w:eastAsia="Calibri"/>
                <w:sz w:val="20"/>
                <w:lang w:val="fr-CA"/>
              </w:rPr>
            </w:pPr>
          </w:p>
        </w:tc>
      </w:tr>
      <w:tr w:rsidR="00A97F4E" w:rsidRPr="00433941" w:rsidTr="00E1039A">
        <w:tc>
          <w:tcPr>
            <w:tcW w:w="5000" w:type="pct"/>
            <w:gridSpan w:val="4"/>
          </w:tcPr>
          <w:p w:rsidR="00A97F4E" w:rsidRPr="006D7947" w:rsidRDefault="00A97F4E" w:rsidP="00A97F4E">
            <w:pPr>
              <w:jc w:val="both"/>
              <w:rPr>
                <w:rFonts w:eastAsia="Calibri"/>
                <w:sz w:val="20"/>
                <w:lang w:val="fr-CA"/>
              </w:rPr>
            </w:pPr>
            <w:r w:rsidRPr="006D7947">
              <w:rPr>
                <w:rFonts w:eastAsia="Calibri"/>
                <w:sz w:val="20"/>
                <w:lang w:val="fr-CA"/>
              </w:rPr>
              <w:t>Joseph et David Ryan se sont noyés en mer après que le navire de pêche sur lequel ils travaillaient comme membres de l'équipage a chaviré. S'appuyant sur la</w:t>
            </w:r>
            <w:r w:rsidRPr="006D7947">
              <w:rPr>
                <w:rFonts w:eastAsia="Calibri"/>
                <w:i/>
                <w:sz w:val="20"/>
                <w:lang w:val="fr-CA"/>
              </w:rPr>
              <w:t xml:space="preserve"> Loi sur la responsabilité en matière maritime</w:t>
            </w:r>
            <w:r w:rsidRPr="006D7947">
              <w:rPr>
                <w:rFonts w:eastAsia="Calibri"/>
                <w:sz w:val="20"/>
                <w:lang w:val="fr-CA"/>
              </w:rPr>
              <w:t xml:space="preserve">, L.C. 2001, ch. 6, leurs successions et familles ont intenté une action contre un certain nombre de défendeurs, alléguant la négligence dans la conception, la construction et l'inspection du navire. Les demandeurs, défendeurs à l'action, ont présenté une demande à la Workplace Health, Safety and Compensation Commission pour qu'il soit statué que l'action était prescrite en vertu de l’art. 44 de la </w:t>
            </w:r>
            <w:r w:rsidRPr="006D7947">
              <w:rPr>
                <w:rFonts w:eastAsia="Calibri"/>
                <w:i/>
                <w:sz w:val="20"/>
                <w:lang w:val="fr-CA"/>
              </w:rPr>
              <w:t>Workplace Health, Safety and Compensation Act</w:t>
            </w:r>
            <w:r w:rsidRPr="006D7947">
              <w:rPr>
                <w:rFonts w:eastAsia="Calibri"/>
                <w:sz w:val="20"/>
                <w:lang w:val="fr-CA"/>
              </w:rPr>
              <w:t>, RSNL 1990, ch. W-11. Un spécialiste en révision interne de la Commission a statué que l'action était prescrite. Cette décision a été annulée à l’issue d’une procédure de contrôle judiciaire. Les juges majoritaires de la Cour d'appel ont confirmé la décision du juge de première instance.</w:t>
            </w:r>
          </w:p>
          <w:p w:rsidR="00A97F4E" w:rsidRPr="006D7947" w:rsidRDefault="00A97F4E" w:rsidP="00A97F4E">
            <w:pPr>
              <w:jc w:val="both"/>
              <w:rPr>
                <w:rFonts w:eastAsia="Calibri"/>
                <w:sz w:val="20"/>
                <w:lang w:val="fr-CA"/>
              </w:rPr>
            </w:pPr>
          </w:p>
        </w:tc>
      </w:tr>
      <w:tr w:rsidR="00A97F4E" w:rsidRPr="00433941" w:rsidTr="00E1039A">
        <w:tblPrEx>
          <w:tblCellMar>
            <w:bottom w:w="0" w:type="dxa"/>
          </w:tblCellMar>
        </w:tblPrEx>
        <w:tc>
          <w:tcPr>
            <w:tcW w:w="2390" w:type="pct"/>
            <w:gridSpan w:val="2"/>
          </w:tcPr>
          <w:p w:rsidR="00A97F4E" w:rsidRPr="006D7947" w:rsidRDefault="00A97F4E" w:rsidP="00A97F4E">
            <w:pPr>
              <w:jc w:val="both"/>
              <w:rPr>
                <w:rFonts w:eastAsia="Calibri"/>
                <w:sz w:val="20"/>
                <w:lang w:val="fr-CA"/>
              </w:rPr>
            </w:pPr>
            <w:r w:rsidRPr="006D7947">
              <w:rPr>
                <w:rFonts w:eastAsia="Calibri"/>
                <w:sz w:val="20"/>
                <w:lang w:val="fr-CA"/>
              </w:rPr>
              <w:t>28 juillet 2009</w:t>
            </w:r>
          </w:p>
          <w:p w:rsidR="00A97F4E" w:rsidRPr="006D7947" w:rsidRDefault="00A97F4E" w:rsidP="00A97F4E">
            <w:pPr>
              <w:jc w:val="both"/>
              <w:rPr>
                <w:rFonts w:eastAsia="Calibri"/>
                <w:sz w:val="20"/>
                <w:lang w:val="fr-CA"/>
              </w:rPr>
            </w:pPr>
            <w:r w:rsidRPr="006D7947">
              <w:rPr>
                <w:rFonts w:eastAsia="Calibri"/>
                <w:sz w:val="20"/>
                <w:lang w:val="fr-CA"/>
              </w:rPr>
              <w:t>Cour suprême de Terre-Neuve-et-Labrador, Section de première instance</w:t>
            </w:r>
          </w:p>
          <w:p w:rsidR="00A97F4E" w:rsidRPr="006D7947" w:rsidRDefault="00A97F4E" w:rsidP="00A97F4E">
            <w:pPr>
              <w:jc w:val="both"/>
              <w:rPr>
                <w:rFonts w:eastAsia="Calibri"/>
                <w:sz w:val="20"/>
                <w:lang w:val="fr-CA"/>
              </w:rPr>
            </w:pPr>
            <w:r w:rsidRPr="006D7947">
              <w:rPr>
                <w:rFonts w:eastAsia="Calibri"/>
                <w:sz w:val="20"/>
                <w:lang w:val="fr-CA"/>
              </w:rPr>
              <w:t>(Juge Hall)</w:t>
            </w:r>
          </w:p>
          <w:p w:rsidR="00A97F4E" w:rsidRPr="006D7947" w:rsidRDefault="00A97F4E" w:rsidP="00A97F4E">
            <w:pPr>
              <w:jc w:val="both"/>
              <w:rPr>
                <w:rFonts w:eastAsia="Calibri"/>
                <w:sz w:val="20"/>
                <w:lang w:val="fr-CA"/>
              </w:rPr>
            </w:pPr>
            <w:r w:rsidRPr="006D7947">
              <w:rPr>
                <w:rFonts w:eastAsia="Calibri"/>
                <w:sz w:val="20"/>
                <w:lang w:val="fr-CA"/>
              </w:rPr>
              <w:t>2009 NLTD 120</w:t>
            </w:r>
          </w:p>
          <w:p w:rsidR="00A97F4E" w:rsidRPr="006D7947" w:rsidRDefault="00A97F4E" w:rsidP="00A97F4E">
            <w:pPr>
              <w:jc w:val="both"/>
              <w:rPr>
                <w:rFonts w:eastAsia="Calibri"/>
                <w:sz w:val="20"/>
                <w:lang w:val="fr-CA"/>
              </w:rPr>
            </w:pPr>
          </w:p>
        </w:tc>
        <w:tc>
          <w:tcPr>
            <w:tcW w:w="270" w:type="pct"/>
          </w:tcPr>
          <w:p w:rsidR="00A97F4E" w:rsidRPr="006D7947" w:rsidRDefault="00A97F4E" w:rsidP="00A97F4E">
            <w:pPr>
              <w:jc w:val="both"/>
              <w:rPr>
                <w:rFonts w:eastAsia="Calibri"/>
                <w:sz w:val="20"/>
                <w:lang w:val="fr-CA"/>
              </w:rPr>
            </w:pPr>
          </w:p>
        </w:tc>
        <w:tc>
          <w:tcPr>
            <w:tcW w:w="2340" w:type="pct"/>
          </w:tcPr>
          <w:p w:rsidR="00A97F4E" w:rsidRPr="006D7947" w:rsidRDefault="00A97F4E" w:rsidP="00A97F4E">
            <w:pPr>
              <w:jc w:val="both"/>
              <w:rPr>
                <w:rFonts w:eastAsia="Calibri"/>
                <w:sz w:val="20"/>
                <w:lang w:val="fr-CA"/>
              </w:rPr>
            </w:pPr>
            <w:r w:rsidRPr="006D7947">
              <w:rPr>
                <w:rFonts w:eastAsia="Calibri"/>
                <w:sz w:val="20"/>
                <w:lang w:val="fr-CA"/>
              </w:rPr>
              <w:t>Demande de contrôle judiciaire, accueillie; décision de la Workplace Health, Safety and Compensation Commission statuant que l'action est prescrite, annulée</w:t>
            </w:r>
          </w:p>
          <w:p w:rsidR="00A97F4E" w:rsidRPr="006D7947" w:rsidRDefault="00A97F4E" w:rsidP="00A97F4E">
            <w:pPr>
              <w:jc w:val="both"/>
              <w:rPr>
                <w:rFonts w:eastAsia="Calibri"/>
                <w:sz w:val="20"/>
                <w:lang w:val="fr-CA"/>
              </w:rPr>
            </w:pPr>
          </w:p>
        </w:tc>
      </w:tr>
      <w:tr w:rsidR="00A97F4E" w:rsidRPr="006D7947" w:rsidTr="00E1039A">
        <w:tblPrEx>
          <w:tblCellMar>
            <w:bottom w:w="0" w:type="dxa"/>
          </w:tblCellMar>
        </w:tblPrEx>
        <w:tc>
          <w:tcPr>
            <w:tcW w:w="2390" w:type="pct"/>
            <w:gridSpan w:val="2"/>
          </w:tcPr>
          <w:p w:rsidR="00A97F4E" w:rsidRPr="006D7947" w:rsidRDefault="00A97F4E" w:rsidP="00A97F4E">
            <w:pPr>
              <w:jc w:val="both"/>
              <w:rPr>
                <w:rFonts w:eastAsia="Calibri"/>
                <w:sz w:val="20"/>
                <w:lang w:val="fr-CA"/>
              </w:rPr>
            </w:pPr>
            <w:r w:rsidRPr="006D7947">
              <w:rPr>
                <w:rFonts w:eastAsia="Calibri"/>
                <w:sz w:val="20"/>
                <w:lang w:val="fr-CA"/>
              </w:rPr>
              <w:t>15 juin 2011</w:t>
            </w:r>
          </w:p>
          <w:p w:rsidR="00A97F4E" w:rsidRPr="006D7947" w:rsidRDefault="00A97F4E" w:rsidP="00A97F4E">
            <w:pPr>
              <w:jc w:val="both"/>
              <w:rPr>
                <w:rFonts w:eastAsia="Calibri"/>
                <w:sz w:val="20"/>
                <w:lang w:val="fr-CA"/>
              </w:rPr>
            </w:pPr>
            <w:r w:rsidRPr="006D7947">
              <w:rPr>
                <w:rFonts w:eastAsia="Calibri"/>
                <w:sz w:val="20"/>
                <w:lang w:val="fr-CA"/>
              </w:rPr>
              <w:t>Cour suprême de Terre-Neuve-et-Labrador, Cour d'appel</w:t>
            </w:r>
          </w:p>
          <w:p w:rsidR="00A97F4E" w:rsidRPr="006D7947" w:rsidRDefault="00A97F4E" w:rsidP="00A97F4E">
            <w:pPr>
              <w:jc w:val="both"/>
              <w:rPr>
                <w:rFonts w:eastAsia="Calibri"/>
                <w:sz w:val="20"/>
                <w:lang w:val="fr-CA"/>
              </w:rPr>
            </w:pPr>
            <w:r w:rsidRPr="006D7947">
              <w:rPr>
                <w:rFonts w:eastAsia="Calibri"/>
                <w:sz w:val="20"/>
                <w:lang w:val="fr-CA"/>
              </w:rPr>
              <w:t>(Juges Green, Welsh [dissidente] et Rowe)</w:t>
            </w:r>
          </w:p>
          <w:p w:rsidR="00A97F4E" w:rsidRPr="006D7947" w:rsidRDefault="00A97F4E" w:rsidP="00A97F4E">
            <w:pPr>
              <w:jc w:val="both"/>
              <w:rPr>
                <w:rFonts w:eastAsia="Calibri"/>
                <w:sz w:val="20"/>
                <w:lang w:val="fr-CA"/>
              </w:rPr>
            </w:pPr>
            <w:r w:rsidRPr="006D7947">
              <w:rPr>
                <w:rFonts w:eastAsia="Calibri"/>
                <w:sz w:val="20"/>
                <w:lang w:val="fr-CA"/>
              </w:rPr>
              <w:t>2011 NLCA 42, n</w:t>
            </w:r>
            <w:r w:rsidRPr="006D7947">
              <w:rPr>
                <w:rFonts w:eastAsia="Calibri"/>
                <w:sz w:val="20"/>
                <w:vertAlign w:val="superscript"/>
                <w:lang w:val="fr-CA"/>
              </w:rPr>
              <w:t>o</w:t>
            </w:r>
            <w:r w:rsidRPr="006D7947">
              <w:rPr>
                <w:rFonts w:eastAsia="Calibri"/>
                <w:sz w:val="20"/>
                <w:lang w:val="fr-CA"/>
              </w:rPr>
              <w:t xml:space="preserve"> du greffe 09/95</w:t>
            </w:r>
          </w:p>
          <w:p w:rsidR="00A97F4E" w:rsidRPr="006D7947" w:rsidRDefault="00A97F4E" w:rsidP="00A97F4E">
            <w:pPr>
              <w:jc w:val="both"/>
              <w:rPr>
                <w:rFonts w:eastAsia="Calibri"/>
                <w:sz w:val="20"/>
                <w:lang w:val="fr-CA"/>
              </w:rPr>
            </w:pPr>
          </w:p>
        </w:tc>
        <w:tc>
          <w:tcPr>
            <w:tcW w:w="270" w:type="pct"/>
          </w:tcPr>
          <w:p w:rsidR="00A97F4E" w:rsidRPr="006D7947" w:rsidRDefault="00A97F4E" w:rsidP="00A97F4E">
            <w:pPr>
              <w:jc w:val="both"/>
              <w:rPr>
                <w:rFonts w:eastAsia="Calibri"/>
                <w:sz w:val="20"/>
                <w:lang w:val="fr-CA"/>
              </w:rPr>
            </w:pPr>
          </w:p>
        </w:tc>
        <w:tc>
          <w:tcPr>
            <w:tcW w:w="2340" w:type="pct"/>
          </w:tcPr>
          <w:p w:rsidR="00A97F4E" w:rsidRPr="006D7947" w:rsidRDefault="00A97F4E" w:rsidP="00A97F4E">
            <w:pPr>
              <w:jc w:val="both"/>
              <w:rPr>
                <w:rFonts w:eastAsia="Calibri"/>
                <w:sz w:val="20"/>
                <w:lang w:val="fr-CA"/>
              </w:rPr>
            </w:pPr>
            <w:r w:rsidRPr="006D7947">
              <w:rPr>
                <w:rFonts w:eastAsia="Calibri"/>
                <w:sz w:val="20"/>
                <w:lang w:val="fr-CA"/>
              </w:rPr>
              <w:t>Appel rejeté</w:t>
            </w:r>
          </w:p>
          <w:p w:rsidR="00A97F4E" w:rsidRPr="006D7947" w:rsidRDefault="00A97F4E" w:rsidP="00A97F4E">
            <w:pPr>
              <w:jc w:val="both"/>
              <w:rPr>
                <w:rFonts w:eastAsia="Calibri"/>
                <w:sz w:val="20"/>
                <w:lang w:val="fr-CA"/>
              </w:rPr>
            </w:pPr>
          </w:p>
        </w:tc>
      </w:tr>
      <w:tr w:rsidR="00A97F4E" w:rsidRPr="006D7947" w:rsidTr="00E1039A">
        <w:tblPrEx>
          <w:tblCellMar>
            <w:bottom w:w="0" w:type="dxa"/>
          </w:tblCellMar>
        </w:tblPrEx>
        <w:tc>
          <w:tcPr>
            <w:tcW w:w="2390" w:type="pct"/>
            <w:gridSpan w:val="2"/>
          </w:tcPr>
          <w:p w:rsidR="00A97F4E" w:rsidRPr="006D7947" w:rsidRDefault="00A97F4E" w:rsidP="00A97F4E">
            <w:pPr>
              <w:jc w:val="both"/>
              <w:rPr>
                <w:rFonts w:eastAsia="Calibri"/>
                <w:sz w:val="20"/>
                <w:lang w:val="fr-CA"/>
              </w:rPr>
            </w:pPr>
            <w:r w:rsidRPr="006D7947">
              <w:rPr>
                <w:rFonts w:eastAsia="Calibri"/>
                <w:sz w:val="20"/>
                <w:lang w:val="fr-CA"/>
              </w:rPr>
              <w:t>9 septembre 2011</w:t>
            </w:r>
          </w:p>
          <w:p w:rsidR="00A97F4E" w:rsidRPr="006D7947" w:rsidRDefault="00A97F4E" w:rsidP="00A97F4E">
            <w:pPr>
              <w:jc w:val="both"/>
              <w:rPr>
                <w:rFonts w:eastAsia="Calibri"/>
                <w:sz w:val="20"/>
                <w:lang w:val="fr-CA"/>
              </w:rPr>
            </w:pPr>
            <w:r w:rsidRPr="006D7947">
              <w:rPr>
                <w:rFonts w:eastAsia="Calibri"/>
                <w:sz w:val="20"/>
                <w:lang w:val="fr-CA"/>
              </w:rPr>
              <w:t>Cour suprême du Canada</w:t>
            </w:r>
          </w:p>
        </w:tc>
        <w:tc>
          <w:tcPr>
            <w:tcW w:w="270" w:type="pct"/>
          </w:tcPr>
          <w:p w:rsidR="00A97F4E" w:rsidRPr="006D7947" w:rsidRDefault="00A97F4E" w:rsidP="00A97F4E">
            <w:pPr>
              <w:jc w:val="both"/>
              <w:rPr>
                <w:rFonts w:eastAsia="Calibri"/>
                <w:sz w:val="20"/>
                <w:lang w:val="fr-CA"/>
              </w:rPr>
            </w:pPr>
          </w:p>
        </w:tc>
        <w:tc>
          <w:tcPr>
            <w:tcW w:w="2340" w:type="pct"/>
          </w:tcPr>
          <w:p w:rsidR="00A97F4E" w:rsidRPr="006D7947" w:rsidRDefault="00A97F4E" w:rsidP="00A97F4E">
            <w:pPr>
              <w:jc w:val="both"/>
              <w:rPr>
                <w:rFonts w:eastAsia="Calibri"/>
                <w:sz w:val="20"/>
                <w:lang w:val="fr-CA"/>
              </w:rPr>
            </w:pPr>
            <w:r w:rsidRPr="006D7947">
              <w:rPr>
                <w:rFonts w:eastAsia="Calibri"/>
                <w:sz w:val="20"/>
                <w:lang w:val="fr-CA"/>
              </w:rPr>
              <w:t>Demande d'autorisation d'appel, déposée</w:t>
            </w:r>
          </w:p>
          <w:p w:rsidR="00A97F4E" w:rsidRPr="006D7947" w:rsidRDefault="00A97F4E" w:rsidP="00A97F4E">
            <w:pPr>
              <w:jc w:val="both"/>
              <w:rPr>
                <w:rFonts w:eastAsia="Calibri"/>
                <w:sz w:val="20"/>
                <w:lang w:val="fr-CA"/>
              </w:rPr>
            </w:pPr>
          </w:p>
        </w:tc>
      </w:tr>
    </w:tbl>
    <w:p w:rsidR="00A97F4E" w:rsidRDefault="00A97F4E" w:rsidP="00A97F4E">
      <w:pPr>
        <w:jc w:val="both"/>
        <w:rPr>
          <w:rFonts w:eastAsia="Calibri"/>
          <w:sz w:val="20"/>
          <w:lang w:val="fr-CA"/>
        </w:rPr>
      </w:pPr>
    </w:p>
    <w:p w:rsidR="007A57B6" w:rsidRPr="006D7947" w:rsidRDefault="007A57B6" w:rsidP="00A97F4E">
      <w:pPr>
        <w:jc w:val="both"/>
        <w:rPr>
          <w:rFonts w:eastAsia="Calibri"/>
          <w:sz w:val="20"/>
          <w:lang w:val="fr-CA"/>
        </w:rPr>
      </w:pPr>
    </w:p>
    <w:tbl>
      <w:tblPr>
        <w:tblW w:w="4952" w:type="pct"/>
        <w:tblLayout w:type="fixed"/>
        <w:tblCellMar>
          <w:left w:w="0" w:type="dxa"/>
          <w:bottom w:w="99" w:type="dxa"/>
          <w:right w:w="0" w:type="dxa"/>
        </w:tblCellMar>
        <w:tblLook w:val="04A0"/>
      </w:tblPr>
      <w:tblGrid>
        <w:gridCol w:w="1005"/>
        <w:gridCol w:w="3426"/>
        <w:gridCol w:w="501"/>
        <w:gridCol w:w="4338"/>
      </w:tblGrid>
      <w:tr w:rsidR="00A97F4E" w:rsidRPr="006D7947" w:rsidTr="00E1039A">
        <w:tc>
          <w:tcPr>
            <w:tcW w:w="542" w:type="pct"/>
          </w:tcPr>
          <w:p w:rsidR="00A97F4E" w:rsidRPr="006D7947" w:rsidRDefault="00A97F4E" w:rsidP="00A97F4E">
            <w:pPr>
              <w:jc w:val="both"/>
              <w:rPr>
                <w:rFonts w:eastAsiaTheme="minorHAnsi"/>
                <w:sz w:val="20"/>
                <w:lang w:val="en-CA"/>
              </w:rPr>
            </w:pPr>
            <w:r w:rsidRPr="006D7947">
              <w:rPr>
                <w:rFonts w:eastAsiaTheme="minorHAnsi"/>
                <w:b/>
                <w:sz w:val="20"/>
                <w:lang w:val="en-CA"/>
              </w:rPr>
              <w:t>34472</w:t>
            </w:r>
          </w:p>
        </w:tc>
        <w:tc>
          <w:tcPr>
            <w:tcW w:w="4458" w:type="pct"/>
            <w:gridSpan w:val="3"/>
          </w:tcPr>
          <w:p w:rsidR="00A97F4E" w:rsidRPr="006D7947" w:rsidRDefault="00A97F4E" w:rsidP="00A97F4E">
            <w:pPr>
              <w:jc w:val="both"/>
              <w:rPr>
                <w:rFonts w:eastAsiaTheme="minorHAnsi"/>
                <w:b/>
                <w:sz w:val="20"/>
                <w:lang w:val="en-CA"/>
              </w:rPr>
            </w:pPr>
            <w:r w:rsidRPr="006D7947">
              <w:rPr>
                <w:rFonts w:eastAsiaTheme="minorHAnsi"/>
                <w:b/>
                <w:sz w:val="20"/>
                <w:lang w:val="en-CA"/>
              </w:rPr>
              <w:t>IBM Canada Limited v. Richard Waterman</w:t>
            </w:r>
          </w:p>
          <w:p w:rsidR="00A97F4E" w:rsidRPr="006D7947" w:rsidRDefault="00A97F4E" w:rsidP="00A97F4E">
            <w:pPr>
              <w:jc w:val="both"/>
              <w:rPr>
                <w:rFonts w:eastAsiaTheme="minorHAnsi"/>
                <w:sz w:val="20"/>
                <w:lang w:val="en-CA"/>
              </w:rPr>
            </w:pPr>
            <w:r w:rsidRPr="006D7947">
              <w:rPr>
                <w:rFonts w:eastAsiaTheme="minorHAnsi"/>
                <w:sz w:val="20"/>
                <w:lang w:val="en-CA"/>
              </w:rPr>
              <w:t>(B.C.) (Civil) (By Leave)</w:t>
            </w:r>
          </w:p>
        </w:tc>
      </w:tr>
      <w:tr w:rsidR="00A97F4E" w:rsidRPr="006D7947" w:rsidTr="00E1039A">
        <w:tc>
          <w:tcPr>
            <w:tcW w:w="5000" w:type="pct"/>
            <w:gridSpan w:val="4"/>
          </w:tcPr>
          <w:p w:rsidR="00A97F4E" w:rsidRPr="006D7947" w:rsidRDefault="00A97F4E" w:rsidP="00A97F4E">
            <w:pPr>
              <w:jc w:val="both"/>
              <w:rPr>
                <w:rFonts w:eastAsiaTheme="minorHAnsi"/>
                <w:sz w:val="20"/>
                <w:lang w:val="en-CA"/>
              </w:rPr>
            </w:pPr>
            <w:r w:rsidRPr="006D7947">
              <w:rPr>
                <w:rFonts w:eastAsiaTheme="minorHAnsi"/>
                <w:sz w:val="20"/>
                <w:lang w:val="en-CA"/>
              </w:rPr>
              <w:t>Employment law – Unjust dismissal – Damages – Pensions – Where an employee receives after termination pension benefits from an employer-funded plan, and could not receive those benefits while employed, should the benefits be taken into account when assessing damages for wrongful dismissal – Does an employer-funded plan confer property rights independent of the contract of employment in circumstances where benefits are expressly conditioned on ceasing employment.</w:t>
            </w:r>
          </w:p>
        </w:tc>
      </w:tr>
      <w:tr w:rsidR="00A97F4E" w:rsidRPr="006D7947" w:rsidTr="00E1039A">
        <w:tc>
          <w:tcPr>
            <w:tcW w:w="5000" w:type="pct"/>
            <w:gridSpan w:val="4"/>
          </w:tcPr>
          <w:p w:rsidR="00A97F4E" w:rsidRPr="006D7947" w:rsidRDefault="00A97F4E" w:rsidP="00A97F4E">
            <w:pPr>
              <w:jc w:val="both"/>
              <w:rPr>
                <w:rFonts w:eastAsiaTheme="minorHAnsi"/>
                <w:sz w:val="20"/>
                <w:lang w:val="en-CA"/>
              </w:rPr>
            </w:pPr>
          </w:p>
        </w:tc>
      </w:tr>
      <w:tr w:rsidR="00A97F4E" w:rsidRPr="006D7947" w:rsidTr="00E1039A">
        <w:tc>
          <w:tcPr>
            <w:tcW w:w="5000" w:type="pct"/>
            <w:gridSpan w:val="4"/>
          </w:tcPr>
          <w:p w:rsidR="00A97F4E" w:rsidRPr="006D7947" w:rsidRDefault="00A97F4E" w:rsidP="00A97F4E">
            <w:pPr>
              <w:jc w:val="both"/>
              <w:rPr>
                <w:rFonts w:eastAsiaTheme="minorHAnsi"/>
                <w:sz w:val="20"/>
                <w:lang w:val="en-CA"/>
              </w:rPr>
            </w:pPr>
            <w:r w:rsidRPr="006D7947">
              <w:rPr>
                <w:rFonts w:eastAsiaTheme="minorHAnsi"/>
                <w:color w:val="000000" w:themeColor="text1"/>
                <w:sz w:val="20"/>
                <w:lang w:val="en-CA"/>
              </w:rPr>
              <w:t xml:space="preserve">The respondent was employed by IBM (U.K.) Ltd. and then IBM Canada </w:t>
            </w:r>
            <w:r w:rsidRPr="006D7947">
              <w:rPr>
                <w:rFonts w:eastAsiaTheme="minorHAnsi"/>
                <w:sz w:val="20"/>
                <w:lang w:val="en-CA"/>
              </w:rPr>
              <w:t xml:space="preserve">Limited for over 40 years before being terminated without cause with two months notice. When his employment terminated, he was 65 years of age and eligible to receive benefits under IBM’s employer-funded pension plan.   He had no intention of retiring and sued for wrongful dismissal. After termination, he received a pension benefit of $2,124.25 per month.  The trial judge held that the appropriate notice period was 20 months.  He awarded damages based on lack of notice for 18 months.  The applicant was paid pension benefits after termination based on a fully vested pension.  </w:t>
            </w:r>
            <w:r w:rsidRPr="006D7947">
              <w:rPr>
                <w:rFonts w:eastAsiaTheme="minorHAnsi"/>
                <w:color w:val="000000" w:themeColor="text1"/>
                <w:sz w:val="20"/>
                <w:lang w:val="en-CA"/>
              </w:rPr>
              <w:t xml:space="preserve">The trial judge did not deduct the amount of pension benefits paid during the notice period from the damages award.  IBM Canada </w:t>
            </w:r>
            <w:r w:rsidRPr="006D7947">
              <w:rPr>
                <w:rFonts w:eastAsiaTheme="minorHAnsi"/>
                <w:sz w:val="20"/>
                <w:lang w:val="en-CA"/>
              </w:rPr>
              <w:t>Limited appealed, arguing that an amount equal to the pension benefits should have been deducted from damages.  The Court of Appeal dismissed the appeal.</w:t>
            </w:r>
          </w:p>
          <w:p w:rsidR="00A97F4E" w:rsidRPr="006D7947" w:rsidRDefault="00A97F4E" w:rsidP="00A97F4E">
            <w:pPr>
              <w:jc w:val="both"/>
              <w:rPr>
                <w:rFonts w:eastAsiaTheme="minorHAnsi"/>
                <w:sz w:val="20"/>
                <w:lang w:val="en-CA"/>
              </w:rPr>
            </w:pPr>
          </w:p>
        </w:tc>
      </w:tr>
      <w:tr w:rsidR="00A97F4E" w:rsidRPr="006D7947" w:rsidTr="00E1039A">
        <w:tblPrEx>
          <w:tblCellMar>
            <w:bottom w:w="0" w:type="dxa"/>
          </w:tblCellMar>
        </w:tblPrEx>
        <w:tc>
          <w:tcPr>
            <w:tcW w:w="2390" w:type="pct"/>
            <w:gridSpan w:val="2"/>
          </w:tcPr>
          <w:p w:rsidR="00A97F4E" w:rsidRPr="006D7947" w:rsidRDefault="00A97F4E" w:rsidP="00A97F4E">
            <w:pPr>
              <w:jc w:val="both"/>
              <w:rPr>
                <w:rFonts w:eastAsiaTheme="minorHAnsi"/>
                <w:sz w:val="20"/>
                <w:lang w:val="en-CA"/>
              </w:rPr>
            </w:pPr>
            <w:r w:rsidRPr="006D7947">
              <w:rPr>
                <w:rFonts w:eastAsiaTheme="minorHAnsi"/>
                <w:sz w:val="20"/>
                <w:lang w:val="en-CA"/>
              </w:rPr>
              <w:t>March 23, 2010</w:t>
            </w:r>
          </w:p>
          <w:p w:rsidR="00A97F4E" w:rsidRPr="006D7947" w:rsidRDefault="00A97F4E" w:rsidP="00A97F4E">
            <w:pPr>
              <w:jc w:val="both"/>
              <w:rPr>
                <w:rFonts w:eastAsiaTheme="minorHAnsi"/>
                <w:sz w:val="20"/>
                <w:lang w:val="en-CA"/>
              </w:rPr>
            </w:pPr>
            <w:r w:rsidRPr="006D7947">
              <w:rPr>
                <w:rFonts w:eastAsiaTheme="minorHAnsi"/>
                <w:sz w:val="20"/>
                <w:lang w:val="en-CA"/>
              </w:rPr>
              <w:t>Supreme Court of British Columbia</w:t>
            </w:r>
          </w:p>
          <w:p w:rsidR="00A97F4E" w:rsidRPr="006D7947" w:rsidRDefault="00A97F4E" w:rsidP="00A97F4E">
            <w:pPr>
              <w:jc w:val="both"/>
              <w:rPr>
                <w:rFonts w:eastAsiaTheme="minorHAnsi"/>
                <w:sz w:val="20"/>
                <w:lang w:val="en-CA"/>
              </w:rPr>
            </w:pPr>
            <w:r w:rsidRPr="006D7947">
              <w:rPr>
                <w:rFonts w:eastAsiaTheme="minorHAnsi"/>
                <w:sz w:val="20"/>
                <w:lang w:val="en-CA"/>
              </w:rPr>
              <w:t>(Goepel J.)</w:t>
            </w:r>
          </w:p>
          <w:p w:rsidR="00A97F4E" w:rsidRPr="006D7947" w:rsidRDefault="00A97F4E" w:rsidP="00A97F4E">
            <w:pPr>
              <w:jc w:val="both"/>
              <w:rPr>
                <w:rFonts w:eastAsiaTheme="minorHAnsi"/>
                <w:sz w:val="20"/>
                <w:lang w:val="en-CA"/>
              </w:rPr>
            </w:pPr>
            <w:r w:rsidRPr="006D7947">
              <w:rPr>
                <w:rFonts w:eastAsiaTheme="minorHAnsi"/>
                <w:sz w:val="20"/>
                <w:lang w:val="en-CA"/>
              </w:rPr>
              <w:t>2010 BCSC 376</w:t>
            </w:r>
          </w:p>
          <w:p w:rsidR="00A97F4E" w:rsidRPr="006D7947" w:rsidRDefault="00A97F4E" w:rsidP="00A97F4E">
            <w:pPr>
              <w:jc w:val="both"/>
              <w:rPr>
                <w:rFonts w:eastAsiaTheme="minorHAnsi"/>
                <w:sz w:val="20"/>
                <w:lang w:val="en-CA"/>
              </w:rPr>
            </w:pPr>
          </w:p>
        </w:tc>
        <w:tc>
          <w:tcPr>
            <w:tcW w:w="270" w:type="pct"/>
          </w:tcPr>
          <w:p w:rsidR="00A97F4E" w:rsidRPr="006D7947" w:rsidRDefault="00A97F4E" w:rsidP="00A97F4E">
            <w:pPr>
              <w:jc w:val="both"/>
              <w:rPr>
                <w:rFonts w:eastAsiaTheme="minorHAnsi"/>
                <w:sz w:val="20"/>
                <w:lang w:val="en-CA"/>
              </w:rPr>
            </w:pPr>
          </w:p>
        </w:tc>
        <w:tc>
          <w:tcPr>
            <w:tcW w:w="2340" w:type="pct"/>
          </w:tcPr>
          <w:p w:rsidR="00A97F4E" w:rsidRPr="006D7947" w:rsidRDefault="00A97F4E" w:rsidP="00A97F4E">
            <w:pPr>
              <w:jc w:val="both"/>
              <w:rPr>
                <w:rFonts w:eastAsiaTheme="minorHAnsi"/>
                <w:sz w:val="20"/>
                <w:lang w:val="en-CA"/>
              </w:rPr>
            </w:pPr>
            <w:r w:rsidRPr="006D7947">
              <w:rPr>
                <w:rFonts w:eastAsiaTheme="minorHAnsi"/>
                <w:sz w:val="20"/>
                <w:lang w:val="en-CA"/>
              </w:rPr>
              <w:t>Action for damages for wrongful dismissal allowed; Pension benefits paid during notice period not deducted from damages awarded</w:t>
            </w:r>
          </w:p>
          <w:p w:rsidR="00A97F4E" w:rsidRPr="006D7947" w:rsidRDefault="00A97F4E" w:rsidP="00A97F4E">
            <w:pPr>
              <w:jc w:val="both"/>
              <w:rPr>
                <w:rFonts w:eastAsiaTheme="minorHAnsi"/>
                <w:sz w:val="20"/>
                <w:lang w:val="en-CA"/>
              </w:rPr>
            </w:pPr>
          </w:p>
        </w:tc>
      </w:tr>
      <w:tr w:rsidR="00A97F4E" w:rsidRPr="006D7947" w:rsidTr="00E1039A">
        <w:tblPrEx>
          <w:tblCellMar>
            <w:bottom w:w="0" w:type="dxa"/>
          </w:tblCellMar>
        </w:tblPrEx>
        <w:tc>
          <w:tcPr>
            <w:tcW w:w="2390" w:type="pct"/>
            <w:gridSpan w:val="2"/>
          </w:tcPr>
          <w:p w:rsidR="00A97F4E" w:rsidRPr="006D7947" w:rsidRDefault="00A97F4E" w:rsidP="00A97F4E">
            <w:pPr>
              <w:jc w:val="both"/>
              <w:rPr>
                <w:rFonts w:eastAsiaTheme="minorHAnsi"/>
                <w:sz w:val="20"/>
                <w:lang w:val="en-CA"/>
              </w:rPr>
            </w:pPr>
            <w:r w:rsidRPr="006D7947">
              <w:rPr>
                <w:rFonts w:eastAsiaTheme="minorHAnsi"/>
                <w:sz w:val="20"/>
                <w:lang w:val="en-CA"/>
              </w:rPr>
              <w:t>August 2, 2011</w:t>
            </w:r>
          </w:p>
          <w:p w:rsidR="00A97F4E" w:rsidRPr="006D7947" w:rsidRDefault="00A97F4E" w:rsidP="00A97F4E">
            <w:pPr>
              <w:jc w:val="both"/>
              <w:rPr>
                <w:rFonts w:eastAsiaTheme="minorHAnsi"/>
                <w:sz w:val="20"/>
                <w:lang w:val="en-CA"/>
              </w:rPr>
            </w:pPr>
            <w:r w:rsidRPr="006D7947">
              <w:rPr>
                <w:rFonts w:eastAsiaTheme="minorHAnsi"/>
                <w:sz w:val="20"/>
                <w:lang w:val="en-CA"/>
              </w:rPr>
              <w:t>Court of Appeal for British Columbia (Vancouver)</w:t>
            </w:r>
          </w:p>
          <w:p w:rsidR="00A97F4E" w:rsidRPr="006D7947" w:rsidRDefault="00A97F4E" w:rsidP="00A97F4E">
            <w:pPr>
              <w:jc w:val="both"/>
              <w:rPr>
                <w:rFonts w:eastAsiaTheme="minorHAnsi"/>
                <w:sz w:val="20"/>
                <w:lang w:val="en-CA"/>
              </w:rPr>
            </w:pPr>
            <w:r w:rsidRPr="006D7947">
              <w:rPr>
                <w:rFonts w:eastAsiaTheme="minorHAnsi"/>
                <w:sz w:val="20"/>
                <w:lang w:val="en-CA"/>
              </w:rPr>
              <w:t>(Finch C.J. and Prowse and Levine JJ.A.)</w:t>
            </w:r>
          </w:p>
          <w:p w:rsidR="00A97F4E" w:rsidRPr="006D7947" w:rsidRDefault="00A97F4E" w:rsidP="00A97F4E">
            <w:pPr>
              <w:jc w:val="both"/>
              <w:rPr>
                <w:rFonts w:eastAsiaTheme="minorHAnsi"/>
                <w:sz w:val="20"/>
                <w:lang w:val="en-CA"/>
              </w:rPr>
            </w:pPr>
            <w:r w:rsidRPr="006D7947">
              <w:rPr>
                <w:rFonts w:eastAsiaTheme="minorHAnsi"/>
                <w:sz w:val="20"/>
                <w:lang w:val="en-CA"/>
              </w:rPr>
              <w:t>2011 BCCA 337; CA038053</w:t>
            </w:r>
          </w:p>
          <w:p w:rsidR="00A97F4E" w:rsidRPr="006D7947" w:rsidRDefault="00A97F4E" w:rsidP="00A97F4E">
            <w:pPr>
              <w:jc w:val="both"/>
              <w:rPr>
                <w:rFonts w:eastAsiaTheme="minorHAnsi"/>
                <w:sz w:val="20"/>
                <w:lang w:val="en-CA"/>
              </w:rPr>
            </w:pPr>
          </w:p>
        </w:tc>
        <w:tc>
          <w:tcPr>
            <w:tcW w:w="270" w:type="pct"/>
          </w:tcPr>
          <w:p w:rsidR="00A97F4E" w:rsidRPr="006D7947" w:rsidRDefault="00A97F4E" w:rsidP="00A97F4E">
            <w:pPr>
              <w:jc w:val="both"/>
              <w:rPr>
                <w:rFonts w:eastAsiaTheme="minorHAnsi"/>
                <w:sz w:val="20"/>
                <w:lang w:val="en-CA"/>
              </w:rPr>
            </w:pPr>
          </w:p>
        </w:tc>
        <w:tc>
          <w:tcPr>
            <w:tcW w:w="2340" w:type="pct"/>
          </w:tcPr>
          <w:p w:rsidR="00A97F4E" w:rsidRPr="006D7947" w:rsidRDefault="00A97F4E" w:rsidP="00A97F4E">
            <w:pPr>
              <w:jc w:val="both"/>
              <w:rPr>
                <w:rFonts w:eastAsiaTheme="minorHAnsi"/>
                <w:sz w:val="20"/>
                <w:lang w:val="en-CA"/>
              </w:rPr>
            </w:pPr>
            <w:r w:rsidRPr="006D7947">
              <w:rPr>
                <w:rFonts w:eastAsiaTheme="minorHAnsi"/>
                <w:sz w:val="20"/>
                <w:lang w:val="en-CA"/>
              </w:rPr>
              <w:t>Appeal dismissed</w:t>
            </w:r>
          </w:p>
          <w:p w:rsidR="00A97F4E" w:rsidRPr="006D7947" w:rsidRDefault="00A97F4E" w:rsidP="00A97F4E">
            <w:pPr>
              <w:jc w:val="both"/>
              <w:rPr>
                <w:rFonts w:eastAsiaTheme="minorHAnsi"/>
                <w:sz w:val="20"/>
                <w:lang w:val="en-CA"/>
              </w:rPr>
            </w:pPr>
          </w:p>
        </w:tc>
      </w:tr>
      <w:tr w:rsidR="00A97F4E" w:rsidRPr="006D7947" w:rsidTr="00E1039A">
        <w:tblPrEx>
          <w:tblCellMar>
            <w:bottom w:w="0" w:type="dxa"/>
          </w:tblCellMar>
        </w:tblPrEx>
        <w:tc>
          <w:tcPr>
            <w:tcW w:w="2390" w:type="pct"/>
            <w:gridSpan w:val="2"/>
          </w:tcPr>
          <w:p w:rsidR="00A97F4E" w:rsidRPr="006D7947" w:rsidRDefault="00A97F4E" w:rsidP="00A97F4E">
            <w:pPr>
              <w:jc w:val="both"/>
              <w:rPr>
                <w:rFonts w:eastAsiaTheme="minorHAnsi"/>
                <w:sz w:val="20"/>
                <w:lang w:val="en-CA"/>
              </w:rPr>
            </w:pPr>
            <w:r w:rsidRPr="006D7947">
              <w:rPr>
                <w:rFonts w:eastAsiaTheme="minorHAnsi"/>
                <w:sz w:val="20"/>
                <w:lang w:val="en-CA"/>
              </w:rPr>
              <w:t>October 3, 2011</w:t>
            </w:r>
          </w:p>
          <w:p w:rsidR="00A97F4E" w:rsidRPr="006D7947" w:rsidRDefault="00A97F4E" w:rsidP="00A97F4E">
            <w:pPr>
              <w:jc w:val="both"/>
              <w:rPr>
                <w:rFonts w:eastAsiaTheme="minorHAnsi"/>
                <w:sz w:val="20"/>
                <w:lang w:val="en-CA"/>
              </w:rPr>
            </w:pPr>
            <w:r w:rsidRPr="006D7947">
              <w:rPr>
                <w:rFonts w:eastAsiaTheme="minorHAnsi"/>
                <w:sz w:val="20"/>
                <w:lang w:val="en-CA"/>
              </w:rPr>
              <w:t>Supreme Court of Canada</w:t>
            </w:r>
          </w:p>
        </w:tc>
        <w:tc>
          <w:tcPr>
            <w:tcW w:w="270" w:type="pct"/>
          </w:tcPr>
          <w:p w:rsidR="00A97F4E" w:rsidRPr="006D7947" w:rsidRDefault="00A97F4E" w:rsidP="00A97F4E">
            <w:pPr>
              <w:jc w:val="both"/>
              <w:rPr>
                <w:rFonts w:eastAsiaTheme="minorHAnsi"/>
                <w:sz w:val="20"/>
                <w:lang w:val="en-CA"/>
              </w:rPr>
            </w:pPr>
          </w:p>
        </w:tc>
        <w:tc>
          <w:tcPr>
            <w:tcW w:w="2340" w:type="pct"/>
          </w:tcPr>
          <w:p w:rsidR="00A97F4E" w:rsidRPr="006D7947" w:rsidRDefault="00A97F4E" w:rsidP="00A97F4E">
            <w:pPr>
              <w:jc w:val="both"/>
              <w:rPr>
                <w:rFonts w:eastAsiaTheme="minorHAnsi"/>
                <w:sz w:val="20"/>
                <w:lang w:val="en-CA"/>
              </w:rPr>
            </w:pPr>
            <w:r w:rsidRPr="006D7947">
              <w:rPr>
                <w:rFonts w:eastAsiaTheme="minorHAnsi"/>
                <w:sz w:val="20"/>
                <w:lang w:val="en-CA"/>
              </w:rPr>
              <w:t>Application for leave to appeal filed</w:t>
            </w:r>
          </w:p>
          <w:p w:rsidR="00A97F4E" w:rsidRPr="006D7947" w:rsidRDefault="00A97F4E" w:rsidP="00A97F4E">
            <w:pPr>
              <w:jc w:val="both"/>
              <w:rPr>
                <w:rFonts w:eastAsiaTheme="minorHAnsi"/>
                <w:sz w:val="20"/>
                <w:lang w:val="en-CA"/>
              </w:rPr>
            </w:pPr>
          </w:p>
        </w:tc>
      </w:tr>
    </w:tbl>
    <w:p w:rsidR="00A97F4E" w:rsidRPr="006D7947" w:rsidRDefault="00A97F4E" w:rsidP="00A97F4E">
      <w:pPr>
        <w:jc w:val="both"/>
        <w:rPr>
          <w:rFonts w:eastAsiaTheme="minorHAnsi"/>
          <w:sz w:val="20"/>
          <w:lang w:val="en-CA"/>
        </w:rPr>
      </w:pPr>
    </w:p>
    <w:p w:rsidR="00A97F4E" w:rsidRPr="006D7947" w:rsidRDefault="00A97F4E" w:rsidP="00F14403">
      <w:pPr>
        <w:jc w:val="both"/>
        <w:rPr>
          <w:rFonts w:eastAsiaTheme="minorHAnsi"/>
          <w:sz w:val="20"/>
          <w:lang w:val="en-CA"/>
        </w:rPr>
      </w:pPr>
    </w:p>
    <w:tbl>
      <w:tblPr>
        <w:tblW w:w="4952" w:type="pct"/>
        <w:tblLayout w:type="fixed"/>
        <w:tblCellMar>
          <w:left w:w="0" w:type="dxa"/>
          <w:bottom w:w="99" w:type="dxa"/>
          <w:right w:w="0" w:type="dxa"/>
        </w:tblCellMar>
        <w:tblLook w:val="00A0"/>
      </w:tblPr>
      <w:tblGrid>
        <w:gridCol w:w="1005"/>
        <w:gridCol w:w="3426"/>
        <w:gridCol w:w="501"/>
        <w:gridCol w:w="4338"/>
      </w:tblGrid>
      <w:tr w:rsidR="00F14403" w:rsidRPr="00433941" w:rsidTr="00E1039A">
        <w:tc>
          <w:tcPr>
            <w:tcW w:w="542" w:type="pct"/>
          </w:tcPr>
          <w:p w:rsidR="00F14403" w:rsidRPr="006D7947" w:rsidRDefault="00F14403" w:rsidP="00F14403">
            <w:pPr>
              <w:jc w:val="both"/>
              <w:rPr>
                <w:rFonts w:eastAsia="Calibri"/>
                <w:sz w:val="20"/>
                <w:lang w:val="fr-CA"/>
              </w:rPr>
            </w:pPr>
            <w:r w:rsidRPr="006D7947">
              <w:rPr>
                <w:rFonts w:eastAsia="Calibri"/>
                <w:b/>
                <w:sz w:val="20"/>
                <w:lang w:val="fr-CA"/>
              </w:rPr>
              <w:t>34472</w:t>
            </w:r>
          </w:p>
        </w:tc>
        <w:tc>
          <w:tcPr>
            <w:tcW w:w="4458" w:type="pct"/>
            <w:gridSpan w:val="3"/>
          </w:tcPr>
          <w:p w:rsidR="00F14403" w:rsidRPr="006D7947" w:rsidRDefault="00F14403" w:rsidP="00F14403">
            <w:pPr>
              <w:jc w:val="both"/>
              <w:rPr>
                <w:rFonts w:eastAsia="Calibri"/>
                <w:b/>
                <w:sz w:val="20"/>
              </w:rPr>
            </w:pPr>
            <w:r w:rsidRPr="006D7947">
              <w:rPr>
                <w:rFonts w:eastAsia="Calibri"/>
                <w:b/>
                <w:sz w:val="20"/>
              </w:rPr>
              <w:t>IBM Canada limitée c. Richard Waterman</w:t>
            </w:r>
          </w:p>
          <w:p w:rsidR="00F14403" w:rsidRPr="006D7947" w:rsidRDefault="00F14403" w:rsidP="00F14403">
            <w:pPr>
              <w:jc w:val="both"/>
              <w:rPr>
                <w:rFonts w:eastAsia="Calibri"/>
                <w:sz w:val="20"/>
                <w:lang w:val="fr-CA"/>
              </w:rPr>
            </w:pPr>
            <w:r w:rsidRPr="006D7947">
              <w:rPr>
                <w:rFonts w:eastAsia="Calibri"/>
                <w:sz w:val="20"/>
                <w:lang w:val="fr-CA"/>
              </w:rPr>
              <w:t>(C.-B.) (Civile) (Sur autorisation)</w:t>
            </w:r>
          </w:p>
        </w:tc>
      </w:tr>
      <w:tr w:rsidR="00F14403" w:rsidRPr="00433941" w:rsidTr="00E1039A">
        <w:tc>
          <w:tcPr>
            <w:tcW w:w="5000" w:type="pct"/>
            <w:gridSpan w:val="4"/>
          </w:tcPr>
          <w:p w:rsidR="00F14403" w:rsidRPr="006D7947" w:rsidRDefault="00F14403" w:rsidP="00F14403">
            <w:pPr>
              <w:jc w:val="both"/>
              <w:rPr>
                <w:rFonts w:eastAsia="Calibri"/>
                <w:sz w:val="20"/>
                <w:lang w:val="fr-CA"/>
              </w:rPr>
            </w:pPr>
            <w:r w:rsidRPr="006D7947">
              <w:rPr>
                <w:rFonts w:eastAsia="Calibri"/>
                <w:sz w:val="20"/>
                <w:lang w:val="fr-CA"/>
              </w:rPr>
              <w:t>Droit de l'emploi – Congédiement injustifié – Dommages-intérêts – Pensions – Lorsqu'un employé reçoit après la cessation d'emploi des prestations de retraite d’un régime capitalisé par l'employeur alors qu'il ne pouvait recevoir ces prestations pendant qu'il occupait son emploi, les prestations devraient-elles être prises en compte dans l'évaluation des dommages-intérêts pour congédiement injustifié? – Un régime capitalisé par l'employeur confère-t-il des droits de propriété indépendants du contrat d'emploi dans des situations où le versement des prestations est expressément conditionnel à la cessation d'emploi?</w:t>
            </w:r>
          </w:p>
        </w:tc>
      </w:tr>
      <w:tr w:rsidR="00F14403" w:rsidRPr="00433941" w:rsidTr="00E1039A">
        <w:tc>
          <w:tcPr>
            <w:tcW w:w="5000" w:type="pct"/>
            <w:gridSpan w:val="4"/>
          </w:tcPr>
          <w:p w:rsidR="00F14403" w:rsidRPr="006D7947" w:rsidRDefault="00F14403" w:rsidP="00F14403">
            <w:pPr>
              <w:jc w:val="both"/>
              <w:rPr>
                <w:rFonts w:eastAsia="Calibri"/>
                <w:sz w:val="20"/>
                <w:lang w:val="fr-CA"/>
              </w:rPr>
            </w:pPr>
          </w:p>
        </w:tc>
      </w:tr>
      <w:tr w:rsidR="00F14403" w:rsidRPr="006D7947" w:rsidTr="00E1039A">
        <w:tc>
          <w:tcPr>
            <w:tcW w:w="5000" w:type="pct"/>
            <w:gridSpan w:val="4"/>
          </w:tcPr>
          <w:p w:rsidR="00F14403" w:rsidRPr="006D7947" w:rsidRDefault="00F14403" w:rsidP="00F14403">
            <w:pPr>
              <w:jc w:val="both"/>
              <w:rPr>
                <w:rFonts w:eastAsia="Calibri"/>
                <w:sz w:val="20"/>
                <w:lang w:val="fr-CA"/>
              </w:rPr>
            </w:pPr>
            <w:r w:rsidRPr="006D7947">
              <w:rPr>
                <w:rFonts w:eastAsia="Calibri"/>
                <w:color w:val="000000"/>
                <w:sz w:val="20"/>
                <w:lang w:val="fr-CA"/>
              </w:rPr>
              <w:t>L'intimé avait occupé un emploi chez IBM (U.K.) Ltd., puis chez IBM Canada</w:t>
            </w:r>
            <w:r w:rsidRPr="006D7947">
              <w:rPr>
                <w:rFonts w:eastAsia="Calibri"/>
                <w:sz w:val="20"/>
                <w:lang w:val="fr-CA"/>
              </w:rPr>
              <w:t xml:space="preserve"> limitée pendant plus de 40 ans avant d'être congédié sans motif valable moyennant un délai de préavis de deux mois. Au moment de la cessation de son emploi, il était âgé de 65 ans et avait droit de recevoir des prestations sous le régime de retraite d’IBM capitalisé par l'employeur. Il n'avait aucune intention de partir à la retraite et a intenté une poursuite en congédiement injustifié. Après la cessation d'emploi, il recevait des prestations de retraite de 2 124,25 $ par mois. Le juge de première instance a statué que le délai de préavis aurait dû être de 20 mois. Il a accordé des dommages-intérêts calculés en fonction de l'absence de préavis de 18 mois. Le demandeur s'est vu payer des prestations de retraite après la cessation d'emploi sur le fondement d'une pension entièrement dévolue.</w:t>
            </w:r>
            <w:r w:rsidRPr="006D7947">
              <w:rPr>
                <w:rFonts w:eastAsia="Calibri"/>
                <w:color w:val="000000"/>
                <w:sz w:val="20"/>
                <w:lang w:val="fr-CA"/>
              </w:rPr>
              <w:t xml:space="preserve"> Le juge de première instance n'a pas déduit du montant des dommages- intérêts accordés le montant des prestations de retraite versées pendant la période de préavis.  IBM Canada</w:t>
            </w:r>
            <w:r w:rsidRPr="006D7947">
              <w:rPr>
                <w:rFonts w:eastAsia="Calibri"/>
                <w:sz w:val="20"/>
                <w:lang w:val="fr-CA"/>
              </w:rPr>
              <w:t xml:space="preserve"> limitée a interjeté appel, plaidant qu'un montant égal aux prestations de retraite aurait dû être déduit des dommages-intérêts. La Cour d'appel a rejeté l'appel.</w:t>
            </w:r>
          </w:p>
          <w:p w:rsidR="00F14403" w:rsidRPr="006D7947" w:rsidRDefault="00F14403" w:rsidP="00F14403">
            <w:pPr>
              <w:jc w:val="both"/>
              <w:rPr>
                <w:rFonts w:eastAsia="Calibri"/>
                <w:sz w:val="20"/>
                <w:lang w:val="fr-CA"/>
              </w:rPr>
            </w:pPr>
          </w:p>
        </w:tc>
      </w:tr>
      <w:tr w:rsidR="00F14403" w:rsidRPr="00433941" w:rsidTr="00E1039A">
        <w:tblPrEx>
          <w:tblCellMar>
            <w:bottom w:w="0" w:type="dxa"/>
          </w:tblCellMar>
        </w:tblPrEx>
        <w:tc>
          <w:tcPr>
            <w:tcW w:w="2390" w:type="pct"/>
            <w:gridSpan w:val="2"/>
          </w:tcPr>
          <w:p w:rsidR="00F14403" w:rsidRPr="006D7947" w:rsidRDefault="00F14403" w:rsidP="00F14403">
            <w:pPr>
              <w:jc w:val="both"/>
              <w:rPr>
                <w:rFonts w:eastAsia="Calibri"/>
                <w:sz w:val="20"/>
                <w:lang w:val="fr-CA"/>
              </w:rPr>
            </w:pPr>
            <w:r w:rsidRPr="006D7947">
              <w:rPr>
                <w:rFonts w:eastAsia="Calibri"/>
                <w:sz w:val="20"/>
                <w:lang w:val="fr-CA"/>
              </w:rPr>
              <w:t>23 mars 2010</w:t>
            </w:r>
          </w:p>
          <w:p w:rsidR="00F14403" w:rsidRPr="006D7947" w:rsidRDefault="00F14403" w:rsidP="00F14403">
            <w:pPr>
              <w:jc w:val="both"/>
              <w:rPr>
                <w:rFonts w:eastAsia="Calibri"/>
                <w:sz w:val="20"/>
                <w:lang w:val="fr-CA"/>
              </w:rPr>
            </w:pPr>
            <w:r w:rsidRPr="006D7947">
              <w:rPr>
                <w:rFonts w:eastAsia="Calibri"/>
                <w:sz w:val="20"/>
                <w:lang w:val="fr-CA"/>
              </w:rPr>
              <w:t xml:space="preserve">Cour suprême de la Colombie-Britannique </w:t>
            </w:r>
          </w:p>
          <w:p w:rsidR="00F14403" w:rsidRPr="006D7947" w:rsidRDefault="00F14403" w:rsidP="00F14403">
            <w:pPr>
              <w:jc w:val="both"/>
              <w:rPr>
                <w:rFonts w:eastAsia="Calibri"/>
                <w:sz w:val="20"/>
                <w:lang w:val="fr-CA"/>
              </w:rPr>
            </w:pPr>
            <w:r w:rsidRPr="006D7947">
              <w:rPr>
                <w:rFonts w:eastAsia="Calibri"/>
                <w:sz w:val="20"/>
                <w:lang w:val="fr-CA"/>
              </w:rPr>
              <w:t>(Juge Goepel)</w:t>
            </w:r>
          </w:p>
          <w:p w:rsidR="00F14403" w:rsidRPr="006D7947" w:rsidRDefault="00F14403" w:rsidP="00F14403">
            <w:pPr>
              <w:jc w:val="both"/>
              <w:rPr>
                <w:rFonts w:eastAsia="Calibri"/>
                <w:sz w:val="20"/>
                <w:lang w:val="fr-CA"/>
              </w:rPr>
            </w:pPr>
            <w:r w:rsidRPr="006D7947">
              <w:rPr>
                <w:rFonts w:eastAsia="Calibri"/>
                <w:sz w:val="20"/>
                <w:lang w:val="fr-CA"/>
              </w:rPr>
              <w:t>2010 BCSC 376</w:t>
            </w:r>
          </w:p>
          <w:p w:rsidR="00F14403" w:rsidRPr="006D7947" w:rsidRDefault="00F14403" w:rsidP="00F14403">
            <w:pPr>
              <w:jc w:val="both"/>
              <w:rPr>
                <w:rFonts w:eastAsia="Calibri"/>
                <w:sz w:val="20"/>
                <w:lang w:val="fr-CA"/>
              </w:rPr>
            </w:pPr>
          </w:p>
        </w:tc>
        <w:tc>
          <w:tcPr>
            <w:tcW w:w="270" w:type="pct"/>
          </w:tcPr>
          <w:p w:rsidR="00F14403" w:rsidRPr="006D7947" w:rsidRDefault="00F14403" w:rsidP="00F14403">
            <w:pPr>
              <w:jc w:val="both"/>
              <w:rPr>
                <w:rFonts w:eastAsia="Calibri"/>
                <w:sz w:val="20"/>
                <w:lang w:val="fr-CA"/>
              </w:rPr>
            </w:pPr>
          </w:p>
        </w:tc>
        <w:tc>
          <w:tcPr>
            <w:tcW w:w="2340" w:type="pct"/>
          </w:tcPr>
          <w:p w:rsidR="00F14403" w:rsidRPr="006D7947" w:rsidRDefault="00F14403" w:rsidP="00F14403">
            <w:pPr>
              <w:jc w:val="both"/>
              <w:rPr>
                <w:rFonts w:eastAsia="Calibri"/>
                <w:sz w:val="20"/>
                <w:lang w:val="fr-CA"/>
              </w:rPr>
            </w:pPr>
            <w:r w:rsidRPr="006D7947">
              <w:rPr>
                <w:rFonts w:eastAsia="Calibri"/>
                <w:sz w:val="20"/>
                <w:lang w:val="fr-CA"/>
              </w:rPr>
              <w:t>Action en dommages-intérêts pour congédiement injustifié, accueillie; les prestations de retraite versées pendant le délai de préavis ne sont pas déduites du montant des dommages-intérêts accordés</w:t>
            </w:r>
          </w:p>
          <w:p w:rsidR="00F14403" w:rsidRPr="006D7947" w:rsidRDefault="00F14403" w:rsidP="00F14403">
            <w:pPr>
              <w:jc w:val="both"/>
              <w:rPr>
                <w:rFonts w:eastAsia="Calibri"/>
                <w:sz w:val="20"/>
                <w:lang w:val="fr-CA"/>
              </w:rPr>
            </w:pPr>
          </w:p>
        </w:tc>
      </w:tr>
      <w:tr w:rsidR="00F14403" w:rsidRPr="006D7947" w:rsidTr="00E1039A">
        <w:tblPrEx>
          <w:tblCellMar>
            <w:bottom w:w="0" w:type="dxa"/>
          </w:tblCellMar>
        </w:tblPrEx>
        <w:tc>
          <w:tcPr>
            <w:tcW w:w="2390" w:type="pct"/>
            <w:gridSpan w:val="2"/>
          </w:tcPr>
          <w:p w:rsidR="00F14403" w:rsidRPr="006D7947" w:rsidRDefault="00F14403" w:rsidP="00F14403">
            <w:pPr>
              <w:jc w:val="both"/>
              <w:rPr>
                <w:rFonts w:eastAsia="Calibri"/>
                <w:sz w:val="20"/>
                <w:lang w:val="fr-CA"/>
              </w:rPr>
            </w:pPr>
            <w:r w:rsidRPr="006D7947">
              <w:rPr>
                <w:rFonts w:eastAsia="Calibri"/>
                <w:sz w:val="20"/>
                <w:lang w:val="fr-CA"/>
              </w:rPr>
              <w:t>2 août 2011</w:t>
            </w:r>
          </w:p>
          <w:p w:rsidR="00F14403" w:rsidRPr="006D7947" w:rsidRDefault="00F14403" w:rsidP="00F14403">
            <w:pPr>
              <w:jc w:val="both"/>
              <w:rPr>
                <w:rFonts w:eastAsia="Calibri"/>
                <w:sz w:val="20"/>
                <w:lang w:val="fr-CA"/>
              </w:rPr>
            </w:pPr>
            <w:r w:rsidRPr="006D7947">
              <w:rPr>
                <w:rFonts w:eastAsia="Calibri"/>
                <w:sz w:val="20"/>
                <w:lang w:val="fr-CA"/>
              </w:rPr>
              <w:t>Cour d'appel de la Colombie-Britannique (Vancouver)</w:t>
            </w:r>
          </w:p>
          <w:p w:rsidR="00F14403" w:rsidRPr="006D7947" w:rsidRDefault="00F14403" w:rsidP="00F14403">
            <w:pPr>
              <w:jc w:val="both"/>
              <w:rPr>
                <w:rFonts w:eastAsia="Calibri"/>
                <w:sz w:val="20"/>
                <w:lang w:val="fr-CA"/>
              </w:rPr>
            </w:pPr>
            <w:r w:rsidRPr="006D7947">
              <w:rPr>
                <w:rFonts w:eastAsia="Calibri"/>
                <w:sz w:val="20"/>
                <w:lang w:val="fr-CA"/>
              </w:rPr>
              <w:t>(Juge en chef Finch, juges Prowse et Levine)</w:t>
            </w:r>
          </w:p>
          <w:p w:rsidR="00F14403" w:rsidRPr="006D7947" w:rsidRDefault="00F14403" w:rsidP="00F14403">
            <w:pPr>
              <w:jc w:val="both"/>
              <w:rPr>
                <w:rFonts w:eastAsia="Calibri"/>
                <w:sz w:val="20"/>
                <w:lang w:val="fr-CA"/>
              </w:rPr>
            </w:pPr>
            <w:r w:rsidRPr="006D7947">
              <w:rPr>
                <w:rFonts w:eastAsia="Calibri"/>
                <w:sz w:val="20"/>
                <w:lang w:val="fr-CA"/>
              </w:rPr>
              <w:t>2011 BCCA 337; CA038053</w:t>
            </w:r>
          </w:p>
          <w:p w:rsidR="00F14403" w:rsidRPr="006D7947" w:rsidRDefault="00F14403" w:rsidP="00F14403">
            <w:pPr>
              <w:jc w:val="both"/>
              <w:rPr>
                <w:rFonts w:eastAsia="Calibri"/>
                <w:sz w:val="20"/>
                <w:lang w:val="fr-CA"/>
              </w:rPr>
            </w:pPr>
          </w:p>
        </w:tc>
        <w:tc>
          <w:tcPr>
            <w:tcW w:w="270" w:type="pct"/>
          </w:tcPr>
          <w:p w:rsidR="00F14403" w:rsidRPr="006D7947" w:rsidRDefault="00F14403" w:rsidP="00F14403">
            <w:pPr>
              <w:jc w:val="both"/>
              <w:rPr>
                <w:rFonts w:eastAsia="Calibri"/>
                <w:sz w:val="20"/>
                <w:lang w:val="fr-CA"/>
              </w:rPr>
            </w:pPr>
          </w:p>
        </w:tc>
        <w:tc>
          <w:tcPr>
            <w:tcW w:w="2340" w:type="pct"/>
          </w:tcPr>
          <w:p w:rsidR="00F14403" w:rsidRPr="006D7947" w:rsidRDefault="00F14403" w:rsidP="00F14403">
            <w:pPr>
              <w:jc w:val="both"/>
              <w:rPr>
                <w:rFonts w:eastAsia="Calibri"/>
                <w:sz w:val="20"/>
                <w:lang w:val="fr-CA"/>
              </w:rPr>
            </w:pPr>
            <w:r w:rsidRPr="006D7947">
              <w:rPr>
                <w:rFonts w:eastAsia="Calibri"/>
                <w:sz w:val="20"/>
                <w:lang w:val="fr-CA"/>
              </w:rPr>
              <w:t>Appel rejeté</w:t>
            </w:r>
          </w:p>
          <w:p w:rsidR="00F14403" w:rsidRPr="006D7947" w:rsidRDefault="00F14403" w:rsidP="00F14403">
            <w:pPr>
              <w:jc w:val="both"/>
              <w:rPr>
                <w:rFonts w:eastAsia="Calibri"/>
                <w:sz w:val="20"/>
                <w:lang w:val="fr-CA"/>
              </w:rPr>
            </w:pPr>
          </w:p>
        </w:tc>
      </w:tr>
      <w:tr w:rsidR="00F14403" w:rsidRPr="006D7947" w:rsidTr="00E1039A">
        <w:tblPrEx>
          <w:tblCellMar>
            <w:bottom w:w="0" w:type="dxa"/>
          </w:tblCellMar>
        </w:tblPrEx>
        <w:tc>
          <w:tcPr>
            <w:tcW w:w="2390" w:type="pct"/>
            <w:gridSpan w:val="2"/>
          </w:tcPr>
          <w:p w:rsidR="00F14403" w:rsidRPr="006D7947" w:rsidRDefault="00F14403" w:rsidP="00F14403">
            <w:pPr>
              <w:jc w:val="both"/>
              <w:rPr>
                <w:rFonts w:eastAsia="Calibri"/>
                <w:sz w:val="20"/>
                <w:lang w:val="fr-CA"/>
              </w:rPr>
            </w:pPr>
            <w:r w:rsidRPr="006D7947">
              <w:rPr>
                <w:rFonts w:eastAsia="Calibri"/>
                <w:sz w:val="20"/>
                <w:lang w:val="fr-CA"/>
              </w:rPr>
              <w:t>3 octobre 2011</w:t>
            </w:r>
          </w:p>
          <w:p w:rsidR="00F14403" w:rsidRPr="006D7947" w:rsidRDefault="00F14403" w:rsidP="00F14403">
            <w:pPr>
              <w:jc w:val="both"/>
              <w:rPr>
                <w:rFonts w:eastAsia="Calibri"/>
                <w:sz w:val="20"/>
                <w:lang w:val="fr-CA"/>
              </w:rPr>
            </w:pPr>
            <w:r w:rsidRPr="006D7947">
              <w:rPr>
                <w:rFonts w:eastAsia="Calibri"/>
                <w:sz w:val="20"/>
                <w:lang w:val="fr-CA"/>
              </w:rPr>
              <w:t>Cour suprême du Canada</w:t>
            </w:r>
          </w:p>
        </w:tc>
        <w:tc>
          <w:tcPr>
            <w:tcW w:w="270" w:type="pct"/>
          </w:tcPr>
          <w:p w:rsidR="00F14403" w:rsidRPr="006D7947" w:rsidRDefault="00F14403" w:rsidP="00F14403">
            <w:pPr>
              <w:jc w:val="both"/>
              <w:rPr>
                <w:rFonts w:eastAsia="Calibri"/>
                <w:sz w:val="20"/>
                <w:lang w:val="fr-CA"/>
              </w:rPr>
            </w:pPr>
          </w:p>
        </w:tc>
        <w:tc>
          <w:tcPr>
            <w:tcW w:w="2340" w:type="pct"/>
          </w:tcPr>
          <w:p w:rsidR="00F14403" w:rsidRPr="006D7947" w:rsidRDefault="00F14403" w:rsidP="00F14403">
            <w:pPr>
              <w:jc w:val="both"/>
              <w:rPr>
                <w:rFonts w:eastAsia="Calibri"/>
                <w:sz w:val="20"/>
                <w:lang w:val="fr-CA"/>
              </w:rPr>
            </w:pPr>
            <w:r w:rsidRPr="006D7947">
              <w:rPr>
                <w:rFonts w:eastAsia="Calibri"/>
                <w:sz w:val="20"/>
                <w:lang w:val="fr-CA"/>
              </w:rPr>
              <w:t>Demande d'autorisation d'appel, déposée</w:t>
            </w:r>
          </w:p>
          <w:p w:rsidR="00F14403" w:rsidRPr="006D7947" w:rsidRDefault="00F14403" w:rsidP="00F14403">
            <w:pPr>
              <w:jc w:val="both"/>
              <w:rPr>
                <w:rFonts w:eastAsia="Calibri"/>
                <w:sz w:val="20"/>
                <w:lang w:val="fr-CA"/>
              </w:rPr>
            </w:pPr>
          </w:p>
        </w:tc>
      </w:tr>
    </w:tbl>
    <w:p w:rsidR="00F14403" w:rsidRPr="006D7947" w:rsidRDefault="00F14403" w:rsidP="00F14403">
      <w:pPr>
        <w:jc w:val="both"/>
        <w:rPr>
          <w:rFonts w:eastAsia="Calibri"/>
          <w:sz w:val="20"/>
          <w:lang w:val="fr-CA"/>
        </w:rPr>
      </w:pPr>
    </w:p>
    <w:p w:rsidR="00A97F4E" w:rsidRPr="006D7947" w:rsidRDefault="00A97F4E" w:rsidP="00F14403">
      <w:pPr>
        <w:jc w:val="both"/>
        <w:rPr>
          <w:rFonts w:eastAsia="Calibr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F14403" w:rsidRPr="006D7947" w:rsidTr="00FA1BFE">
        <w:tc>
          <w:tcPr>
            <w:tcW w:w="543" w:type="pct"/>
          </w:tcPr>
          <w:p w:rsidR="00F14403" w:rsidRPr="006D7947" w:rsidRDefault="00F14403" w:rsidP="00F14403">
            <w:pPr>
              <w:jc w:val="both"/>
              <w:rPr>
                <w:rFonts w:eastAsiaTheme="minorHAnsi"/>
                <w:sz w:val="20"/>
                <w:lang w:val="en-CA"/>
              </w:rPr>
            </w:pPr>
            <w:r w:rsidRPr="006D7947">
              <w:rPr>
                <w:rFonts w:eastAsiaTheme="minorHAnsi"/>
                <w:b/>
                <w:sz w:val="20"/>
                <w:lang w:val="en-CA"/>
              </w:rPr>
              <w:t>34304</w:t>
            </w:r>
          </w:p>
        </w:tc>
        <w:tc>
          <w:tcPr>
            <w:tcW w:w="4457" w:type="pct"/>
            <w:gridSpan w:val="3"/>
          </w:tcPr>
          <w:p w:rsidR="00F14403" w:rsidRPr="006D7947" w:rsidRDefault="00F14403" w:rsidP="00F14403">
            <w:pPr>
              <w:jc w:val="both"/>
              <w:rPr>
                <w:rFonts w:eastAsiaTheme="minorHAnsi"/>
                <w:b/>
                <w:sz w:val="20"/>
                <w:lang w:val="en-CA"/>
              </w:rPr>
            </w:pPr>
            <w:r w:rsidRPr="006D7947">
              <w:rPr>
                <w:rFonts w:eastAsiaTheme="minorHAnsi"/>
                <w:b/>
                <w:sz w:val="20"/>
                <w:lang w:val="en-CA"/>
              </w:rPr>
              <w:t>Eric Victor Cojocaru, an infant by his Guardian Ad Litem, Monica Cojocaru, and the said Monica Cojocaru v. British Columbia Women's Hospital and Health Center and F. Bellini, Dale R. Steele, Jeremy A. Green, Jenise Yue, Jennifer Muir, Fawaz Edris, C. Scott, C. Wong, M. Voerwold, K. Gleeson, C. MacQueen, Jane Doe and John Doe</w:t>
            </w:r>
          </w:p>
          <w:p w:rsidR="00F14403" w:rsidRPr="006D7947" w:rsidRDefault="00F14403" w:rsidP="00F14403">
            <w:pPr>
              <w:jc w:val="both"/>
              <w:rPr>
                <w:rFonts w:eastAsiaTheme="minorHAnsi"/>
                <w:b/>
                <w:sz w:val="20"/>
                <w:lang w:val="en-CA"/>
              </w:rPr>
            </w:pPr>
            <w:r w:rsidRPr="006D7947">
              <w:rPr>
                <w:rFonts w:eastAsiaTheme="minorHAnsi"/>
                <w:b/>
                <w:sz w:val="20"/>
                <w:lang w:val="en-CA"/>
              </w:rPr>
              <w:noBreakHyphen/>
              <w:t xml:space="preserve"> and between </w:t>
            </w:r>
            <w:r w:rsidRPr="006D7947">
              <w:rPr>
                <w:rFonts w:eastAsiaTheme="minorHAnsi"/>
                <w:b/>
                <w:sz w:val="20"/>
                <w:lang w:val="en-CA"/>
              </w:rPr>
              <w:noBreakHyphen/>
            </w:r>
          </w:p>
          <w:p w:rsidR="00F14403" w:rsidRPr="006D7947" w:rsidRDefault="00F14403" w:rsidP="00F14403">
            <w:pPr>
              <w:jc w:val="both"/>
              <w:rPr>
                <w:rFonts w:eastAsiaTheme="minorHAnsi"/>
                <w:b/>
                <w:sz w:val="20"/>
                <w:lang w:val="en-CA"/>
              </w:rPr>
            </w:pPr>
            <w:r w:rsidRPr="006D7947">
              <w:rPr>
                <w:rFonts w:eastAsiaTheme="minorHAnsi"/>
                <w:b/>
                <w:sz w:val="20"/>
                <w:lang w:val="en-CA"/>
              </w:rPr>
              <w:t>Eric Victor Cojocaru, an infant by his Guardian Ad Litem, Monica Cojocaru, and the said Monica Cojocaru v. Dale R. Steele, Jenise Yue, Fawaz Edris, Jeremy A. Green, Jennifer Muir, C. Scott, C. Wong, M. Voerwold, K. Gleeson, C. Macqueen, Jane Doe and John Doe, British Columbia Women's Hospital and Health Center and F. Bellini</w:t>
            </w:r>
          </w:p>
          <w:p w:rsidR="00F14403" w:rsidRPr="006D7947" w:rsidRDefault="00F14403" w:rsidP="007A57B6">
            <w:pPr>
              <w:jc w:val="both"/>
              <w:rPr>
                <w:rFonts w:eastAsiaTheme="minorHAnsi"/>
                <w:sz w:val="20"/>
                <w:lang w:val="en-CA"/>
              </w:rPr>
            </w:pPr>
            <w:r w:rsidRPr="006D7947">
              <w:rPr>
                <w:rFonts w:eastAsiaTheme="minorHAnsi"/>
                <w:sz w:val="20"/>
                <w:lang w:val="en-CA"/>
              </w:rPr>
              <w:t>(B.C.) (Civil) (By Leave)</w:t>
            </w:r>
          </w:p>
        </w:tc>
      </w:tr>
      <w:tr w:rsidR="00F14403" w:rsidRPr="006D7947" w:rsidTr="00FA1BFE">
        <w:tc>
          <w:tcPr>
            <w:tcW w:w="5000" w:type="pct"/>
            <w:gridSpan w:val="4"/>
          </w:tcPr>
          <w:p w:rsidR="00F14403" w:rsidRPr="006D7947" w:rsidRDefault="00F14403" w:rsidP="00F14403">
            <w:pPr>
              <w:jc w:val="both"/>
              <w:rPr>
                <w:rFonts w:eastAsiaTheme="minorHAnsi"/>
                <w:sz w:val="20"/>
                <w:lang w:val="en-CA"/>
              </w:rPr>
            </w:pPr>
            <w:r w:rsidRPr="006D7947">
              <w:rPr>
                <w:rFonts w:eastAsiaTheme="minorHAnsi"/>
                <w:sz w:val="20"/>
                <w:lang w:val="en-CA"/>
              </w:rPr>
              <w:t>Appeals ― Judgments ― Reasons for judgment ― Decision of the trial judge contained large sections of the applicants’ written closing submissions, without attribution ― Court of Appeal majority allowed appeals and ordered a new trial ― When and under what circumstances can a trial judge adopt and incorporate in a judgment, without attribution, the submissions of a party?</w:t>
            </w:r>
          </w:p>
          <w:p w:rsidR="00F14403" w:rsidRPr="006D7947" w:rsidRDefault="00F14403" w:rsidP="00F14403">
            <w:pPr>
              <w:jc w:val="both"/>
              <w:rPr>
                <w:rFonts w:eastAsiaTheme="minorHAnsi"/>
                <w:sz w:val="20"/>
                <w:lang w:val="en-CA"/>
              </w:rPr>
            </w:pPr>
          </w:p>
        </w:tc>
      </w:tr>
      <w:tr w:rsidR="00F14403" w:rsidRPr="006D7947" w:rsidTr="00FA1BFE">
        <w:tc>
          <w:tcPr>
            <w:tcW w:w="5000" w:type="pct"/>
            <w:gridSpan w:val="4"/>
          </w:tcPr>
          <w:p w:rsidR="00F14403" w:rsidRPr="006D7947" w:rsidRDefault="00F14403" w:rsidP="00F14403">
            <w:pPr>
              <w:jc w:val="both"/>
              <w:rPr>
                <w:rFonts w:eastAsiaTheme="minorHAnsi"/>
                <w:sz w:val="20"/>
                <w:lang w:val="en-CA"/>
              </w:rPr>
            </w:pPr>
            <w:r w:rsidRPr="006D7947">
              <w:rPr>
                <w:rFonts w:eastAsiaTheme="minorHAnsi"/>
                <w:sz w:val="20"/>
                <w:lang w:val="en-CA"/>
              </w:rPr>
              <w:t>The applicant, Eric Victor Cojocaru, the son of the applicant Monica Cojocaru, suffered brain damage during his birth at the B.C. Women’s Hospital and Health Care Center.  An action was commenced against the hospital and its employees.  At trial, the respondents were found to be liable and damages of $4 million were awarded.  However, in his reasons, the trial judge copied almost word</w:t>
            </w:r>
            <w:r w:rsidRPr="006D7947">
              <w:rPr>
                <w:rFonts w:eastAsiaTheme="minorHAnsi"/>
                <w:sz w:val="20"/>
                <w:lang w:val="en-CA"/>
              </w:rPr>
              <w:noBreakHyphen/>
              <w:t>for</w:t>
            </w:r>
            <w:r w:rsidRPr="006D7947">
              <w:rPr>
                <w:rFonts w:eastAsiaTheme="minorHAnsi"/>
                <w:sz w:val="20"/>
                <w:lang w:val="en-CA"/>
              </w:rPr>
              <w:noBreakHyphen/>
              <w:t>word, without attribution, significant portions of the applicants’ closing submissions.</w:t>
            </w:r>
          </w:p>
          <w:p w:rsidR="00F14403" w:rsidRPr="006D7947" w:rsidRDefault="00F14403" w:rsidP="00F14403">
            <w:pPr>
              <w:jc w:val="both"/>
              <w:rPr>
                <w:rFonts w:eastAsiaTheme="minorHAnsi"/>
                <w:sz w:val="20"/>
                <w:lang w:val="en-CA"/>
              </w:rPr>
            </w:pPr>
          </w:p>
          <w:p w:rsidR="00F14403" w:rsidRPr="006D7947" w:rsidRDefault="00F14403" w:rsidP="00F14403">
            <w:pPr>
              <w:jc w:val="both"/>
              <w:rPr>
                <w:rFonts w:eastAsiaTheme="minorHAnsi"/>
                <w:sz w:val="20"/>
                <w:lang w:val="en-CA"/>
              </w:rPr>
            </w:pPr>
            <w:r w:rsidRPr="006D7947">
              <w:rPr>
                <w:rFonts w:eastAsiaTheme="minorHAnsi"/>
                <w:sz w:val="20"/>
                <w:lang w:val="en-CA"/>
              </w:rPr>
              <w:t xml:space="preserve">The majority of the Court of Appeal allowed the appeals and ordered a new trial.  The dissenting reasons reviewed the trial decision on its merits and would have allowed the appeals in part.  </w:t>
            </w:r>
          </w:p>
          <w:p w:rsidR="00F14403" w:rsidRPr="006D7947" w:rsidRDefault="00F14403" w:rsidP="00F14403">
            <w:pPr>
              <w:jc w:val="both"/>
              <w:rPr>
                <w:rFonts w:eastAsiaTheme="minorHAnsi"/>
                <w:sz w:val="20"/>
                <w:lang w:val="en-CA"/>
              </w:rPr>
            </w:pPr>
          </w:p>
        </w:tc>
      </w:tr>
      <w:tr w:rsidR="00F14403" w:rsidRPr="006D7947" w:rsidTr="00FA1BFE">
        <w:tc>
          <w:tcPr>
            <w:tcW w:w="242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April 9, 2009</w:t>
            </w:r>
          </w:p>
          <w:p w:rsidR="00F14403" w:rsidRPr="006D7947" w:rsidRDefault="00F14403" w:rsidP="00F14403">
            <w:pPr>
              <w:jc w:val="both"/>
              <w:rPr>
                <w:rFonts w:eastAsiaTheme="minorHAnsi"/>
                <w:sz w:val="20"/>
                <w:lang w:val="en-CA"/>
              </w:rPr>
            </w:pPr>
            <w:r w:rsidRPr="006D7947">
              <w:rPr>
                <w:rFonts w:eastAsiaTheme="minorHAnsi"/>
                <w:sz w:val="20"/>
                <w:lang w:val="en-CA"/>
              </w:rPr>
              <w:t>Supreme Court of British Columbia</w:t>
            </w:r>
          </w:p>
          <w:p w:rsidR="00F14403" w:rsidRPr="006D7947" w:rsidRDefault="00F14403" w:rsidP="00F14403">
            <w:pPr>
              <w:jc w:val="both"/>
              <w:rPr>
                <w:rFonts w:eastAsiaTheme="minorHAnsi"/>
                <w:sz w:val="20"/>
                <w:lang w:val="en-CA"/>
              </w:rPr>
            </w:pPr>
            <w:r w:rsidRPr="006D7947">
              <w:rPr>
                <w:rFonts w:eastAsiaTheme="minorHAnsi"/>
                <w:sz w:val="20"/>
                <w:lang w:val="en-CA"/>
              </w:rPr>
              <w:t>(Groves J.)</w:t>
            </w:r>
          </w:p>
          <w:p w:rsidR="00F14403" w:rsidRPr="006D7947" w:rsidRDefault="00F14403" w:rsidP="00F14403">
            <w:pPr>
              <w:jc w:val="both"/>
              <w:rPr>
                <w:rFonts w:eastAsiaTheme="minorHAnsi"/>
                <w:sz w:val="20"/>
                <w:lang w:val="en-CA"/>
              </w:rPr>
            </w:pPr>
            <w:r w:rsidRPr="006D7947">
              <w:rPr>
                <w:rFonts w:eastAsiaTheme="minorHAnsi"/>
                <w:sz w:val="20"/>
                <w:lang w:val="en-CA"/>
              </w:rPr>
              <w:t xml:space="preserve">2009 BCSC 494 </w:t>
            </w:r>
          </w:p>
          <w:p w:rsidR="00F14403" w:rsidRPr="006D7947" w:rsidRDefault="00F14403" w:rsidP="00F14403">
            <w:pPr>
              <w:jc w:val="both"/>
              <w:rPr>
                <w:rFonts w:eastAsiaTheme="minorHAnsi"/>
                <w:sz w:val="20"/>
                <w:lang w:val="en-CA"/>
              </w:rPr>
            </w:pPr>
          </w:p>
        </w:tc>
        <w:tc>
          <w:tcPr>
            <w:tcW w:w="243" w:type="pct"/>
          </w:tcPr>
          <w:p w:rsidR="00F14403" w:rsidRPr="006D7947" w:rsidRDefault="00F14403" w:rsidP="00F14403">
            <w:pPr>
              <w:jc w:val="both"/>
              <w:rPr>
                <w:rFonts w:eastAsiaTheme="minorHAnsi"/>
                <w:sz w:val="20"/>
                <w:lang w:val="en-CA"/>
              </w:rPr>
            </w:pPr>
          </w:p>
        </w:tc>
        <w:tc>
          <w:tcPr>
            <w:tcW w:w="2330" w:type="pct"/>
          </w:tcPr>
          <w:p w:rsidR="00F14403" w:rsidRPr="006D7947" w:rsidRDefault="00F14403" w:rsidP="00F14403">
            <w:pPr>
              <w:jc w:val="both"/>
              <w:rPr>
                <w:rFonts w:eastAsiaTheme="minorHAnsi"/>
                <w:sz w:val="20"/>
                <w:lang w:val="en-CA"/>
              </w:rPr>
            </w:pPr>
            <w:r w:rsidRPr="006D7947">
              <w:rPr>
                <w:rFonts w:eastAsiaTheme="minorHAnsi"/>
                <w:sz w:val="20"/>
                <w:lang w:val="en-CA"/>
              </w:rPr>
              <w:t xml:space="preserve">Respondents found liable and applicants awarded damages </w:t>
            </w:r>
          </w:p>
        </w:tc>
      </w:tr>
      <w:tr w:rsidR="00F14403" w:rsidRPr="006D7947" w:rsidTr="00FA1BFE">
        <w:tc>
          <w:tcPr>
            <w:tcW w:w="242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April 14, 2011</w:t>
            </w:r>
          </w:p>
          <w:p w:rsidR="00F14403" w:rsidRPr="006D7947" w:rsidRDefault="00F14403" w:rsidP="00F14403">
            <w:pPr>
              <w:jc w:val="both"/>
              <w:rPr>
                <w:rFonts w:eastAsiaTheme="minorHAnsi"/>
                <w:sz w:val="20"/>
                <w:lang w:val="en-CA"/>
              </w:rPr>
            </w:pPr>
            <w:r w:rsidRPr="006D7947">
              <w:rPr>
                <w:rFonts w:eastAsiaTheme="minorHAnsi"/>
                <w:sz w:val="20"/>
                <w:lang w:val="en-CA"/>
              </w:rPr>
              <w:t>Court of Appeal for British Columbia (Vancouver)</w:t>
            </w:r>
          </w:p>
          <w:p w:rsidR="00F14403" w:rsidRPr="006D7947" w:rsidRDefault="00F14403" w:rsidP="00F14403">
            <w:pPr>
              <w:jc w:val="both"/>
              <w:rPr>
                <w:rFonts w:eastAsiaTheme="minorHAnsi"/>
                <w:sz w:val="20"/>
                <w:lang w:val="en-CA"/>
              </w:rPr>
            </w:pPr>
            <w:r w:rsidRPr="006D7947">
              <w:rPr>
                <w:rFonts w:eastAsiaTheme="minorHAnsi"/>
                <w:sz w:val="20"/>
                <w:lang w:val="en-CA"/>
              </w:rPr>
              <w:t>(Smith J.A. (dissenting) and Levine and Kirkpatrick JJ.A)</w:t>
            </w:r>
          </w:p>
          <w:p w:rsidR="00F14403" w:rsidRPr="006D7947" w:rsidRDefault="00F14403" w:rsidP="00F14403">
            <w:pPr>
              <w:jc w:val="both"/>
              <w:rPr>
                <w:rFonts w:eastAsiaTheme="minorHAnsi"/>
                <w:sz w:val="20"/>
                <w:lang w:val="en-CA"/>
              </w:rPr>
            </w:pPr>
            <w:r w:rsidRPr="006D7947">
              <w:rPr>
                <w:rFonts w:eastAsiaTheme="minorHAnsi"/>
                <w:sz w:val="20"/>
                <w:lang w:val="en-CA"/>
              </w:rPr>
              <w:t>2011 BCCA 192</w:t>
            </w:r>
          </w:p>
          <w:p w:rsidR="00F14403" w:rsidRPr="006D7947" w:rsidRDefault="00F14403" w:rsidP="00F14403">
            <w:pPr>
              <w:jc w:val="both"/>
              <w:rPr>
                <w:rFonts w:eastAsiaTheme="minorHAnsi"/>
                <w:sz w:val="20"/>
                <w:lang w:val="en-CA"/>
              </w:rPr>
            </w:pPr>
          </w:p>
        </w:tc>
        <w:tc>
          <w:tcPr>
            <w:tcW w:w="243" w:type="pct"/>
          </w:tcPr>
          <w:p w:rsidR="00F14403" w:rsidRPr="006D7947" w:rsidRDefault="00F14403" w:rsidP="00F14403">
            <w:pPr>
              <w:jc w:val="both"/>
              <w:rPr>
                <w:rFonts w:eastAsiaTheme="minorHAnsi"/>
                <w:sz w:val="20"/>
                <w:lang w:val="en-CA"/>
              </w:rPr>
            </w:pPr>
          </w:p>
        </w:tc>
        <w:tc>
          <w:tcPr>
            <w:tcW w:w="2330" w:type="pct"/>
          </w:tcPr>
          <w:p w:rsidR="00F14403" w:rsidRPr="006D7947" w:rsidRDefault="00F14403" w:rsidP="00F14403">
            <w:pPr>
              <w:jc w:val="both"/>
              <w:rPr>
                <w:rFonts w:eastAsiaTheme="minorHAnsi"/>
                <w:sz w:val="20"/>
                <w:lang w:val="en-CA"/>
              </w:rPr>
            </w:pPr>
            <w:r w:rsidRPr="006D7947">
              <w:rPr>
                <w:rFonts w:eastAsiaTheme="minorHAnsi"/>
                <w:sz w:val="20"/>
                <w:lang w:val="en-CA"/>
              </w:rPr>
              <w:t>Appeals allowed and new trial ordered.</w:t>
            </w:r>
          </w:p>
          <w:p w:rsidR="00F14403" w:rsidRPr="006D7947" w:rsidRDefault="00F14403" w:rsidP="00F14403">
            <w:pPr>
              <w:jc w:val="both"/>
              <w:rPr>
                <w:rFonts w:eastAsiaTheme="minorHAnsi"/>
                <w:sz w:val="20"/>
                <w:lang w:val="en-CA"/>
              </w:rPr>
            </w:pPr>
          </w:p>
        </w:tc>
      </w:tr>
      <w:tr w:rsidR="00F14403" w:rsidRPr="006D7947" w:rsidTr="00FA1BFE">
        <w:tc>
          <w:tcPr>
            <w:tcW w:w="2427" w:type="pct"/>
            <w:gridSpan w:val="2"/>
          </w:tcPr>
          <w:p w:rsidR="00F14403" w:rsidRPr="006D7947" w:rsidRDefault="00F14403" w:rsidP="00F14403">
            <w:pPr>
              <w:jc w:val="both"/>
              <w:rPr>
                <w:rFonts w:eastAsiaTheme="minorHAnsi"/>
                <w:sz w:val="20"/>
                <w:lang w:val="en-CA"/>
              </w:rPr>
            </w:pPr>
            <w:r w:rsidRPr="006D7947">
              <w:rPr>
                <w:rFonts w:eastAsiaTheme="minorHAnsi"/>
                <w:sz w:val="20"/>
                <w:lang w:val="en-CA"/>
              </w:rPr>
              <w:t>June 10, 2011</w:t>
            </w:r>
          </w:p>
          <w:p w:rsidR="00F14403" w:rsidRPr="006D7947" w:rsidRDefault="00F14403" w:rsidP="00F14403">
            <w:pPr>
              <w:jc w:val="both"/>
              <w:rPr>
                <w:rFonts w:eastAsiaTheme="minorHAnsi"/>
                <w:sz w:val="20"/>
                <w:lang w:val="en-CA"/>
              </w:rPr>
            </w:pPr>
            <w:r w:rsidRPr="006D7947">
              <w:rPr>
                <w:rFonts w:eastAsiaTheme="minorHAnsi"/>
                <w:sz w:val="20"/>
                <w:lang w:val="en-CA"/>
              </w:rPr>
              <w:t>Supreme Court of Canada</w:t>
            </w:r>
          </w:p>
          <w:p w:rsidR="00F14403" w:rsidRPr="006D7947" w:rsidRDefault="00F14403" w:rsidP="00F14403">
            <w:pPr>
              <w:jc w:val="both"/>
              <w:rPr>
                <w:rFonts w:eastAsiaTheme="minorHAnsi"/>
                <w:sz w:val="20"/>
                <w:lang w:val="en-CA"/>
              </w:rPr>
            </w:pPr>
          </w:p>
        </w:tc>
        <w:tc>
          <w:tcPr>
            <w:tcW w:w="243" w:type="pct"/>
          </w:tcPr>
          <w:p w:rsidR="00F14403" w:rsidRPr="006D7947" w:rsidRDefault="00F14403" w:rsidP="00F14403">
            <w:pPr>
              <w:jc w:val="both"/>
              <w:rPr>
                <w:rFonts w:eastAsiaTheme="minorHAnsi"/>
                <w:sz w:val="20"/>
                <w:lang w:val="en-CA"/>
              </w:rPr>
            </w:pPr>
          </w:p>
        </w:tc>
        <w:tc>
          <w:tcPr>
            <w:tcW w:w="2330" w:type="pct"/>
          </w:tcPr>
          <w:p w:rsidR="00F14403" w:rsidRPr="006D7947" w:rsidRDefault="00F14403" w:rsidP="00F14403">
            <w:pPr>
              <w:jc w:val="both"/>
              <w:rPr>
                <w:rFonts w:eastAsiaTheme="minorHAnsi"/>
                <w:sz w:val="20"/>
                <w:lang w:val="en-CA"/>
              </w:rPr>
            </w:pPr>
            <w:r w:rsidRPr="006D7947">
              <w:rPr>
                <w:rFonts w:eastAsiaTheme="minorHAnsi"/>
                <w:sz w:val="20"/>
                <w:lang w:val="en-CA"/>
              </w:rPr>
              <w:t>Application for leave to appeal filed</w:t>
            </w:r>
          </w:p>
          <w:p w:rsidR="00F14403" w:rsidRPr="006D7947" w:rsidRDefault="00F14403" w:rsidP="00F14403">
            <w:pPr>
              <w:jc w:val="both"/>
              <w:rPr>
                <w:rFonts w:eastAsiaTheme="minorHAnsi"/>
                <w:sz w:val="20"/>
                <w:lang w:val="en-CA"/>
              </w:rPr>
            </w:pPr>
          </w:p>
        </w:tc>
      </w:tr>
    </w:tbl>
    <w:p w:rsidR="00F14403" w:rsidRPr="006D7947" w:rsidRDefault="00F14403" w:rsidP="00F14403">
      <w:pPr>
        <w:jc w:val="both"/>
        <w:rPr>
          <w:rFonts w:eastAsiaTheme="minorHAnsi"/>
          <w:sz w:val="20"/>
          <w:lang w:val="en-CA"/>
        </w:rPr>
      </w:pPr>
    </w:p>
    <w:tbl>
      <w:tblPr>
        <w:tblW w:w="4952" w:type="pct"/>
        <w:tblLayout w:type="fixed"/>
        <w:tblCellMar>
          <w:left w:w="0" w:type="dxa"/>
          <w:bottom w:w="99" w:type="dxa"/>
          <w:right w:w="0" w:type="dxa"/>
        </w:tblCellMar>
        <w:tblLook w:val="00A0"/>
      </w:tblPr>
      <w:tblGrid>
        <w:gridCol w:w="1006"/>
        <w:gridCol w:w="3493"/>
        <w:gridCol w:w="451"/>
        <w:gridCol w:w="4320"/>
      </w:tblGrid>
      <w:tr w:rsidR="00F14403" w:rsidRPr="006D7947" w:rsidTr="00FA1BFE">
        <w:tc>
          <w:tcPr>
            <w:tcW w:w="543" w:type="pct"/>
          </w:tcPr>
          <w:p w:rsidR="00F14403" w:rsidRPr="006D7947" w:rsidRDefault="00F14403" w:rsidP="00F14403">
            <w:pPr>
              <w:jc w:val="both"/>
              <w:rPr>
                <w:rFonts w:eastAsia="Calibri"/>
                <w:sz w:val="20"/>
                <w:lang w:val="fr-CA"/>
              </w:rPr>
            </w:pPr>
            <w:r w:rsidRPr="006D7947">
              <w:rPr>
                <w:rFonts w:eastAsia="Calibri"/>
                <w:b/>
                <w:sz w:val="20"/>
                <w:lang w:val="fr-CA"/>
              </w:rPr>
              <w:t>34304</w:t>
            </w:r>
          </w:p>
        </w:tc>
        <w:tc>
          <w:tcPr>
            <w:tcW w:w="4457" w:type="pct"/>
            <w:gridSpan w:val="3"/>
          </w:tcPr>
          <w:p w:rsidR="00F14403" w:rsidRPr="006D7947" w:rsidRDefault="00F14403" w:rsidP="00F14403">
            <w:pPr>
              <w:jc w:val="both"/>
              <w:rPr>
                <w:rFonts w:eastAsia="Calibri"/>
                <w:b/>
                <w:sz w:val="20"/>
                <w:lang w:val="fr-CA"/>
              </w:rPr>
            </w:pPr>
            <w:r w:rsidRPr="006D7947">
              <w:rPr>
                <w:rFonts w:eastAsia="Calibri"/>
                <w:b/>
                <w:sz w:val="20"/>
                <w:lang w:val="fr-CA"/>
              </w:rPr>
              <w:t>Eric Victor Cojocaru, un mineur représenté par sa tutrice à l'instance, Monica Cojocaru et ladite Monica Cojocaru c. British Columbia Women's Hospital and Health Center et F. Bellini, Dale R. Steele, Jeremy A. Green, Jenise Yue, Jennifer Muir, Fawaz Edris, C. Scott, C. Wong, M. Voerwold, K. Gleeson, C. MacQueen, M</w:t>
            </w:r>
            <w:r w:rsidRPr="006D7947">
              <w:rPr>
                <w:rFonts w:eastAsia="Calibri"/>
                <w:b/>
                <w:sz w:val="20"/>
                <w:vertAlign w:val="superscript"/>
                <w:lang w:val="fr-CA"/>
              </w:rPr>
              <w:t>me</w:t>
            </w:r>
            <w:r w:rsidRPr="006D7947">
              <w:rPr>
                <w:rFonts w:eastAsia="Calibri"/>
                <w:b/>
                <w:sz w:val="20"/>
                <w:lang w:val="fr-CA"/>
              </w:rPr>
              <w:t> Unetelle et M. Untel</w:t>
            </w:r>
          </w:p>
          <w:p w:rsidR="00F14403" w:rsidRPr="006D7947" w:rsidRDefault="00F14403" w:rsidP="00F14403">
            <w:pPr>
              <w:jc w:val="both"/>
              <w:rPr>
                <w:rFonts w:eastAsia="Calibri"/>
                <w:b/>
                <w:sz w:val="20"/>
                <w:lang w:val="fr-CA"/>
              </w:rPr>
            </w:pPr>
            <w:r w:rsidRPr="006D7947">
              <w:rPr>
                <w:rFonts w:eastAsia="Calibri"/>
                <w:b/>
                <w:sz w:val="20"/>
                <w:lang w:val="fr-CA"/>
              </w:rPr>
              <w:noBreakHyphen/>
              <w:t xml:space="preserve"> et entre </w:t>
            </w:r>
            <w:r w:rsidRPr="006D7947">
              <w:rPr>
                <w:rFonts w:eastAsia="Calibri"/>
                <w:b/>
                <w:sz w:val="20"/>
                <w:lang w:val="fr-CA"/>
              </w:rPr>
              <w:noBreakHyphen/>
            </w:r>
          </w:p>
          <w:p w:rsidR="00F14403" w:rsidRPr="006D7947" w:rsidRDefault="00F14403" w:rsidP="00F14403">
            <w:pPr>
              <w:jc w:val="both"/>
              <w:rPr>
                <w:rFonts w:eastAsia="Calibri"/>
                <w:b/>
                <w:sz w:val="20"/>
                <w:lang w:val="fr-CA"/>
              </w:rPr>
            </w:pPr>
            <w:r w:rsidRPr="006D7947">
              <w:rPr>
                <w:rFonts w:eastAsia="Calibri"/>
                <w:b/>
                <w:sz w:val="20"/>
                <w:lang w:val="fr-CA"/>
              </w:rPr>
              <w:t>Eric Victor Cojocaru, un mineur représenté par sa tutrice à l'instance, Monica Cojocaru et ladite Monica Cojocaru c. Dale R. Steele, Jenise Yue, Fawaz Edris, Jeremy A. Green, Jennifer Muir, C. Scott, C. Wong, M. Voerwold, K. Gleeson, C. Macqueen, M</w:t>
            </w:r>
            <w:r w:rsidRPr="006D7947">
              <w:rPr>
                <w:rFonts w:eastAsia="Calibri"/>
                <w:b/>
                <w:sz w:val="20"/>
                <w:vertAlign w:val="superscript"/>
                <w:lang w:val="fr-CA"/>
              </w:rPr>
              <w:t>me</w:t>
            </w:r>
            <w:r w:rsidRPr="006D7947">
              <w:rPr>
                <w:rFonts w:eastAsia="Calibri"/>
                <w:b/>
                <w:sz w:val="20"/>
                <w:lang w:val="fr-CA"/>
              </w:rPr>
              <w:t> Unetelle et M. Untel, British Columbia Women's Hospital and Health Center et F. Bellini</w:t>
            </w:r>
          </w:p>
          <w:p w:rsidR="00F14403" w:rsidRPr="006D7947" w:rsidRDefault="00F14403" w:rsidP="007A57B6">
            <w:pPr>
              <w:jc w:val="both"/>
              <w:rPr>
                <w:rFonts w:eastAsia="Calibri"/>
                <w:sz w:val="20"/>
                <w:lang w:val="fr-CA"/>
              </w:rPr>
            </w:pPr>
            <w:r w:rsidRPr="006D7947">
              <w:rPr>
                <w:rFonts w:eastAsia="Calibri"/>
                <w:sz w:val="20"/>
                <w:lang w:val="fr-CA"/>
              </w:rPr>
              <w:t>(C.</w:t>
            </w:r>
            <w:r w:rsidRPr="006D7947">
              <w:rPr>
                <w:rFonts w:eastAsia="Calibri"/>
                <w:sz w:val="20"/>
                <w:lang w:val="fr-CA"/>
              </w:rPr>
              <w:noBreakHyphen/>
              <w:t>B.) (Civile) (Autorisation)</w:t>
            </w:r>
          </w:p>
        </w:tc>
      </w:tr>
      <w:tr w:rsidR="00F14403" w:rsidRPr="00433941" w:rsidTr="00FA1BFE">
        <w:tc>
          <w:tcPr>
            <w:tcW w:w="5000" w:type="pct"/>
            <w:gridSpan w:val="4"/>
          </w:tcPr>
          <w:p w:rsidR="00F14403" w:rsidRPr="006D7947" w:rsidRDefault="00F14403" w:rsidP="00F14403">
            <w:pPr>
              <w:jc w:val="both"/>
              <w:rPr>
                <w:rFonts w:eastAsia="Calibri"/>
                <w:sz w:val="20"/>
                <w:lang w:val="fr-CA"/>
              </w:rPr>
            </w:pPr>
            <w:r w:rsidRPr="006D7947">
              <w:rPr>
                <w:rFonts w:eastAsia="Calibri"/>
                <w:sz w:val="20"/>
                <w:lang w:val="fr-CA"/>
              </w:rPr>
              <w:t>Appels ― Jugements ― Motifs du jugement ― La décision du juge de première instance renfermait d'importants extraits de l’argumentation écrite finale des demandeurs, sans mention de la source ― Les juges majoritaires de la Cour d'appel ont accueilli les appels et ordonné un nouveau procès ― Quand et dans quelles situations un juge de première instance peut</w:t>
            </w:r>
            <w:r w:rsidRPr="006D7947">
              <w:rPr>
                <w:rFonts w:eastAsia="Calibri"/>
                <w:sz w:val="20"/>
                <w:lang w:val="fr-CA"/>
              </w:rPr>
              <w:noBreakHyphen/>
              <w:t>il adopter et incorporer dans un jugement, sans mention de la source, l’argumentation d'une partie?</w:t>
            </w:r>
          </w:p>
          <w:p w:rsidR="00F14403" w:rsidRPr="006D7947" w:rsidRDefault="00F14403" w:rsidP="00F14403">
            <w:pPr>
              <w:jc w:val="both"/>
              <w:rPr>
                <w:rFonts w:eastAsia="Calibri"/>
                <w:sz w:val="20"/>
                <w:lang w:val="fr-CA"/>
              </w:rPr>
            </w:pPr>
          </w:p>
        </w:tc>
      </w:tr>
      <w:tr w:rsidR="00F14403" w:rsidRPr="00433941" w:rsidTr="00FA1BFE">
        <w:tc>
          <w:tcPr>
            <w:tcW w:w="5000" w:type="pct"/>
            <w:gridSpan w:val="4"/>
          </w:tcPr>
          <w:p w:rsidR="00F14403" w:rsidRPr="006D7947" w:rsidRDefault="00F14403" w:rsidP="00F14403">
            <w:pPr>
              <w:jc w:val="both"/>
              <w:rPr>
                <w:rFonts w:eastAsia="Calibri"/>
                <w:sz w:val="20"/>
                <w:lang w:val="fr-CA"/>
              </w:rPr>
            </w:pPr>
            <w:r w:rsidRPr="006D7947">
              <w:rPr>
                <w:rFonts w:eastAsia="Calibri"/>
                <w:sz w:val="20"/>
                <w:lang w:val="fr-CA"/>
              </w:rPr>
              <w:t>Le demandeur, Eric Victor Cojocaru, le fils de la demanderesse Monica Cojocaru, a subi des lésions cérébrales à sa naissance au B.C. Women’s Hospital and Health Care Center.  Une action a été intentée contre l'hôpital et ses employés.  Au procès, les intimés ont été jugés responsables et des dommages</w:t>
            </w:r>
            <w:r w:rsidRPr="006D7947">
              <w:rPr>
                <w:rFonts w:eastAsia="Calibri"/>
                <w:sz w:val="20"/>
                <w:lang w:val="fr-CA"/>
              </w:rPr>
              <w:noBreakHyphen/>
              <w:t xml:space="preserve">intérêts de 4 millions de dollars ont été accordés.  Toutefois, dans ses motifs, le juge de première instance a copié presque mot pour mot, sans mention de la source, des extraits importants de l’argumentation finale des demandeurs.  </w:t>
            </w:r>
          </w:p>
          <w:p w:rsidR="00F14403" w:rsidRPr="006D7947" w:rsidRDefault="00F14403" w:rsidP="00F14403">
            <w:pPr>
              <w:jc w:val="both"/>
              <w:rPr>
                <w:rFonts w:eastAsia="Calibri"/>
                <w:sz w:val="20"/>
                <w:lang w:val="fr-CA"/>
              </w:rPr>
            </w:pPr>
          </w:p>
          <w:p w:rsidR="00F14403" w:rsidRPr="006D7947" w:rsidRDefault="00F14403" w:rsidP="00F14403">
            <w:pPr>
              <w:jc w:val="both"/>
              <w:rPr>
                <w:rFonts w:eastAsia="Calibri"/>
                <w:sz w:val="20"/>
                <w:lang w:val="fr-CA"/>
              </w:rPr>
            </w:pPr>
            <w:r w:rsidRPr="006D7947">
              <w:rPr>
                <w:rFonts w:eastAsia="Calibri"/>
                <w:sz w:val="20"/>
                <w:lang w:val="fr-CA"/>
              </w:rPr>
              <w:t>Les juges majoritaires de la Cour d'appel ont accueilli les appels et ordonné un nouveau procès. Dans ses motifs, le juge dissident a examiné sur le fond la décision de première instance et aurait accueilli les appels en partie.</w:t>
            </w:r>
          </w:p>
          <w:p w:rsidR="00F14403" w:rsidRPr="006D7947" w:rsidRDefault="00F14403" w:rsidP="00F14403">
            <w:pPr>
              <w:jc w:val="both"/>
              <w:rPr>
                <w:rFonts w:eastAsia="Calibri"/>
                <w:sz w:val="20"/>
                <w:lang w:val="fr-CA"/>
              </w:rPr>
            </w:pPr>
          </w:p>
        </w:tc>
      </w:tr>
      <w:tr w:rsidR="00F14403" w:rsidRPr="00433941" w:rsidTr="00FA1BFE">
        <w:tc>
          <w:tcPr>
            <w:tcW w:w="2427" w:type="pct"/>
            <w:gridSpan w:val="2"/>
          </w:tcPr>
          <w:p w:rsidR="00F14403" w:rsidRPr="006D7947" w:rsidRDefault="00F14403" w:rsidP="00F14403">
            <w:pPr>
              <w:jc w:val="both"/>
              <w:rPr>
                <w:rFonts w:eastAsia="Calibri"/>
                <w:sz w:val="20"/>
                <w:lang w:val="fr-CA"/>
              </w:rPr>
            </w:pPr>
            <w:r w:rsidRPr="006D7947">
              <w:rPr>
                <w:rFonts w:eastAsia="Calibri"/>
                <w:sz w:val="20"/>
                <w:lang w:val="fr-CA"/>
              </w:rPr>
              <w:t>9 avril 2009</w:t>
            </w:r>
          </w:p>
          <w:p w:rsidR="00F14403" w:rsidRPr="006D7947" w:rsidRDefault="00F14403" w:rsidP="00F14403">
            <w:pPr>
              <w:jc w:val="both"/>
              <w:rPr>
                <w:rFonts w:eastAsia="Calibri"/>
                <w:sz w:val="20"/>
                <w:lang w:val="fr-CA"/>
              </w:rPr>
            </w:pPr>
            <w:r w:rsidRPr="006D7947">
              <w:rPr>
                <w:rFonts w:eastAsia="Calibri"/>
                <w:sz w:val="20"/>
                <w:lang w:val="fr-CA"/>
              </w:rPr>
              <w:t>Cour suprême de la Colombie</w:t>
            </w:r>
            <w:r w:rsidRPr="006D7947">
              <w:rPr>
                <w:rFonts w:eastAsia="Calibri"/>
                <w:sz w:val="20"/>
                <w:lang w:val="fr-CA"/>
              </w:rPr>
              <w:noBreakHyphen/>
              <w:t xml:space="preserve">Britannique </w:t>
            </w:r>
          </w:p>
          <w:p w:rsidR="00F14403" w:rsidRPr="006D7947" w:rsidRDefault="00F14403" w:rsidP="00F14403">
            <w:pPr>
              <w:jc w:val="both"/>
              <w:rPr>
                <w:rFonts w:eastAsia="Calibri"/>
                <w:sz w:val="20"/>
                <w:lang w:val="fr-CA"/>
              </w:rPr>
            </w:pPr>
            <w:r w:rsidRPr="006D7947">
              <w:rPr>
                <w:rFonts w:eastAsia="Calibri"/>
                <w:sz w:val="20"/>
                <w:lang w:val="fr-CA"/>
              </w:rPr>
              <w:t>(Juge Groves)</w:t>
            </w:r>
          </w:p>
          <w:p w:rsidR="00F14403" w:rsidRPr="006D7947" w:rsidRDefault="00F14403" w:rsidP="00F14403">
            <w:pPr>
              <w:jc w:val="both"/>
              <w:rPr>
                <w:rFonts w:eastAsia="Calibri"/>
                <w:sz w:val="20"/>
                <w:lang w:val="fr-CA"/>
              </w:rPr>
            </w:pPr>
            <w:r w:rsidRPr="006D7947">
              <w:rPr>
                <w:rFonts w:eastAsia="Calibri"/>
                <w:sz w:val="20"/>
                <w:lang w:val="fr-CA"/>
              </w:rPr>
              <w:t xml:space="preserve">2009 BCSC 494 </w:t>
            </w:r>
          </w:p>
          <w:p w:rsidR="00F14403" w:rsidRPr="006D7947" w:rsidRDefault="00F14403" w:rsidP="00F14403">
            <w:pPr>
              <w:jc w:val="both"/>
              <w:rPr>
                <w:rFonts w:eastAsia="Calibri"/>
                <w:sz w:val="20"/>
                <w:lang w:val="fr-CA"/>
              </w:rPr>
            </w:pPr>
          </w:p>
        </w:tc>
        <w:tc>
          <w:tcPr>
            <w:tcW w:w="243" w:type="pct"/>
          </w:tcPr>
          <w:p w:rsidR="00F14403" w:rsidRPr="006D7947" w:rsidRDefault="00F14403" w:rsidP="00F14403">
            <w:pPr>
              <w:jc w:val="both"/>
              <w:rPr>
                <w:rFonts w:eastAsia="Calibri"/>
                <w:sz w:val="20"/>
                <w:lang w:val="fr-CA"/>
              </w:rPr>
            </w:pPr>
          </w:p>
        </w:tc>
        <w:tc>
          <w:tcPr>
            <w:tcW w:w="2330" w:type="pct"/>
          </w:tcPr>
          <w:p w:rsidR="00F14403" w:rsidRPr="006D7947" w:rsidRDefault="00F14403" w:rsidP="00F14403">
            <w:pPr>
              <w:jc w:val="both"/>
              <w:rPr>
                <w:rFonts w:eastAsia="Calibri"/>
                <w:sz w:val="20"/>
                <w:lang w:val="fr-CA"/>
              </w:rPr>
            </w:pPr>
            <w:r w:rsidRPr="006D7947">
              <w:rPr>
                <w:rFonts w:eastAsia="Calibri"/>
                <w:sz w:val="20"/>
                <w:lang w:val="fr-CA"/>
              </w:rPr>
              <w:t>Intimés jugés responsables et condamnés à verser des dommages</w:t>
            </w:r>
            <w:r w:rsidRPr="006D7947">
              <w:rPr>
                <w:rFonts w:eastAsia="Calibri"/>
                <w:sz w:val="20"/>
                <w:lang w:val="fr-CA"/>
              </w:rPr>
              <w:noBreakHyphen/>
              <w:t>intérêts aux demandeurs</w:t>
            </w:r>
          </w:p>
        </w:tc>
      </w:tr>
      <w:tr w:rsidR="00F14403" w:rsidRPr="00433941" w:rsidTr="00FA1BFE">
        <w:tc>
          <w:tcPr>
            <w:tcW w:w="2427" w:type="pct"/>
            <w:gridSpan w:val="2"/>
          </w:tcPr>
          <w:p w:rsidR="00F14403" w:rsidRPr="006D7947" w:rsidRDefault="00F14403" w:rsidP="00F14403">
            <w:pPr>
              <w:jc w:val="both"/>
              <w:rPr>
                <w:rFonts w:eastAsia="Calibri"/>
                <w:sz w:val="20"/>
                <w:lang w:val="fr-CA"/>
              </w:rPr>
            </w:pPr>
            <w:r w:rsidRPr="006D7947">
              <w:rPr>
                <w:rFonts w:eastAsia="Calibri"/>
                <w:sz w:val="20"/>
                <w:lang w:val="fr-CA"/>
              </w:rPr>
              <w:t>14 avril 2011</w:t>
            </w:r>
          </w:p>
          <w:p w:rsidR="00F14403" w:rsidRPr="006D7947" w:rsidRDefault="00F14403" w:rsidP="00F14403">
            <w:pPr>
              <w:jc w:val="both"/>
              <w:rPr>
                <w:rFonts w:eastAsia="Calibri"/>
                <w:sz w:val="20"/>
                <w:lang w:val="fr-CA"/>
              </w:rPr>
            </w:pPr>
            <w:r w:rsidRPr="006D7947">
              <w:rPr>
                <w:rFonts w:eastAsia="Calibri"/>
                <w:sz w:val="20"/>
                <w:lang w:val="fr-CA"/>
              </w:rPr>
              <w:t>Cour d'appel de la Colombie</w:t>
            </w:r>
            <w:r w:rsidRPr="006D7947">
              <w:rPr>
                <w:rFonts w:eastAsia="Calibri"/>
                <w:sz w:val="20"/>
                <w:lang w:val="fr-CA"/>
              </w:rPr>
              <w:noBreakHyphen/>
              <w:t>Britannique (Vancouver)</w:t>
            </w:r>
          </w:p>
          <w:p w:rsidR="00F14403" w:rsidRPr="006D7947" w:rsidRDefault="00F14403" w:rsidP="00F14403">
            <w:pPr>
              <w:jc w:val="both"/>
              <w:rPr>
                <w:rFonts w:eastAsia="Calibri"/>
                <w:sz w:val="20"/>
                <w:lang w:val="fr-CA"/>
              </w:rPr>
            </w:pPr>
            <w:r w:rsidRPr="006D7947">
              <w:rPr>
                <w:rFonts w:eastAsia="Calibri"/>
                <w:sz w:val="20"/>
                <w:lang w:val="fr-CA"/>
              </w:rPr>
              <w:t>(Juges Smith (dissident), Levine et Kirkpatrick)</w:t>
            </w:r>
          </w:p>
          <w:p w:rsidR="00F14403" w:rsidRPr="006D7947" w:rsidRDefault="00F14403" w:rsidP="00F14403">
            <w:pPr>
              <w:jc w:val="both"/>
              <w:rPr>
                <w:rFonts w:eastAsia="Calibri"/>
                <w:sz w:val="20"/>
                <w:lang w:val="fr-CA"/>
              </w:rPr>
            </w:pPr>
            <w:r w:rsidRPr="006D7947">
              <w:rPr>
                <w:rFonts w:eastAsia="Calibri"/>
                <w:sz w:val="20"/>
                <w:lang w:val="fr-CA"/>
              </w:rPr>
              <w:t>2011 BCCA 192</w:t>
            </w:r>
          </w:p>
          <w:p w:rsidR="00F14403" w:rsidRPr="006D7947" w:rsidRDefault="00F14403" w:rsidP="00F14403">
            <w:pPr>
              <w:jc w:val="both"/>
              <w:rPr>
                <w:rFonts w:eastAsia="Calibri"/>
                <w:sz w:val="20"/>
                <w:lang w:val="fr-CA"/>
              </w:rPr>
            </w:pPr>
          </w:p>
        </w:tc>
        <w:tc>
          <w:tcPr>
            <w:tcW w:w="243" w:type="pct"/>
          </w:tcPr>
          <w:p w:rsidR="00F14403" w:rsidRPr="006D7947" w:rsidRDefault="00F14403" w:rsidP="00F14403">
            <w:pPr>
              <w:jc w:val="both"/>
              <w:rPr>
                <w:rFonts w:eastAsia="Calibri"/>
                <w:sz w:val="20"/>
                <w:lang w:val="fr-CA"/>
              </w:rPr>
            </w:pPr>
          </w:p>
        </w:tc>
        <w:tc>
          <w:tcPr>
            <w:tcW w:w="2330" w:type="pct"/>
          </w:tcPr>
          <w:p w:rsidR="00F14403" w:rsidRPr="006D7947" w:rsidRDefault="00F14403" w:rsidP="00F14403">
            <w:pPr>
              <w:jc w:val="both"/>
              <w:rPr>
                <w:rFonts w:eastAsia="Calibri"/>
                <w:sz w:val="20"/>
                <w:lang w:val="fr-CA"/>
              </w:rPr>
            </w:pPr>
            <w:r w:rsidRPr="006D7947">
              <w:rPr>
                <w:rFonts w:eastAsia="Calibri"/>
                <w:sz w:val="20"/>
                <w:lang w:val="fr-CA"/>
              </w:rPr>
              <w:t>Appels accueillis et nouveau procès ordonné.</w:t>
            </w:r>
          </w:p>
          <w:p w:rsidR="00F14403" w:rsidRPr="006D7947" w:rsidRDefault="00F14403" w:rsidP="00F14403">
            <w:pPr>
              <w:jc w:val="both"/>
              <w:rPr>
                <w:rFonts w:eastAsia="Calibri"/>
                <w:sz w:val="20"/>
                <w:lang w:val="fr-CA"/>
              </w:rPr>
            </w:pPr>
          </w:p>
        </w:tc>
      </w:tr>
      <w:tr w:rsidR="00F14403" w:rsidRPr="006D7947" w:rsidTr="00FA1BFE">
        <w:tc>
          <w:tcPr>
            <w:tcW w:w="2427" w:type="pct"/>
            <w:gridSpan w:val="2"/>
          </w:tcPr>
          <w:p w:rsidR="00F14403" w:rsidRPr="006D7947" w:rsidRDefault="00F14403" w:rsidP="00F14403">
            <w:pPr>
              <w:jc w:val="both"/>
              <w:rPr>
                <w:rFonts w:eastAsia="Calibri"/>
                <w:sz w:val="20"/>
                <w:lang w:val="fr-CA"/>
              </w:rPr>
            </w:pPr>
            <w:r w:rsidRPr="006D7947">
              <w:rPr>
                <w:rFonts w:eastAsia="Calibri"/>
                <w:sz w:val="20"/>
                <w:lang w:val="fr-CA"/>
              </w:rPr>
              <w:t>10 juin 2011</w:t>
            </w:r>
          </w:p>
          <w:p w:rsidR="00F14403" w:rsidRPr="006D7947" w:rsidRDefault="00F14403" w:rsidP="00F14403">
            <w:pPr>
              <w:jc w:val="both"/>
              <w:rPr>
                <w:rFonts w:eastAsia="Calibri"/>
                <w:sz w:val="20"/>
                <w:lang w:val="fr-CA"/>
              </w:rPr>
            </w:pPr>
            <w:r w:rsidRPr="006D7947">
              <w:rPr>
                <w:rFonts w:eastAsia="Calibri"/>
                <w:sz w:val="20"/>
                <w:lang w:val="fr-CA"/>
              </w:rPr>
              <w:t>Cour suprême du Canada</w:t>
            </w:r>
          </w:p>
          <w:p w:rsidR="00F14403" w:rsidRPr="006D7947" w:rsidRDefault="00F14403" w:rsidP="00F14403">
            <w:pPr>
              <w:jc w:val="both"/>
              <w:rPr>
                <w:rFonts w:eastAsia="Calibri"/>
                <w:sz w:val="20"/>
                <w:lang w:val="fr-CA"/>
              </w:rPr>
            </w:pPr>
          </w:p>
        </w:tc>
        <w:tc>
          <w:tcPr>
            <w:tcW w:w="243" w:type="pct"/>
          </w:tcPr>
          <w:p w:rsidR="00F14403" w:rsidRPr="006D7947" w:rsidRDefault="00F14403" w:rsidP="00F14403">
            <w:pPr>
              <w:jc w:val="both"/>
              <w:rPr>
                <w:rFonts w:eastAsia="Calibri"/>
                <w:sz w:val="20"/>
                <w:lang w:val="fr-CA"/>
              </w:rPr>
            </w:pPr>
          </w:p>
        </w:tc>
        <w:tc>
          <w:tcPr>
            <w:tcW w:w="2330" w:type="pct"/>
          </w:tcPr>
          <w:p w:rsidR="00F14403" w:rsidRPr="006D7947" w:rsidRDefault="00F14403" w:rsidP="00F14403">
            <w:pPr>
              <w:jc w:val="both"/>
              <w:rPr>
                <w:rFonts w:eastAsia="Calibri"/>
                <w:sz w:val="20"/>
                <w:lang w:val="fr-CA"/>
              </w:rPr>
            </w:pPr>
            <w:r w:rsidRPr="006D7947">
              <w:rPr>
                <w:rFonts w:eastAsia="Calibri"/>
                <w:sz w:val="20"/>
                <w:lang w:val="fr-CA"/>
              </w:rPr>
              <w:t>Demande d'autorisation d'appel, déposée</w:t>
            </w:r>
          </w:p>
          <w:p w:rsidR="00F14403" w:rsidRPr="006D7947" w:rsidRDefault="00F14403" w:rsidP="00F14403">
            <w:pPr>
              <w:jc w:val="both"/>
              <w:rPr>
                <w:rFonts w:eastAsia="Calibri"/>
                <w:sz w:val="20"/>
                <w:lang w:val="fr-CA"/>
              </w:rPr>
            </w:pPr>
          </w:p>
        </w:tc>
      </w:tr>
    </w:tbl>
    <w:p w:rsidR="00F14403" w:rsidRPr="006D7947" w:rsidRDefault="00F14403" w:rsidP="00F14403">
      <w:pPr>
        <w:jc w:val="both"/>
        <w:rPr>
          <w:rFonts w:eastAsia="Calibr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FA1BFE" w:rsidRPr="006D7947" w:rsidTr="00FA1BFE">
        <w:tc>
          <w:tcPr>
            <w:tcW w:w="543" w:type="pct"/>
          </w:tcPr>
          <w:p w:rsidR="00FA1BFE" w:rsidRPr="006D7947" w:rsidRDefault="00FA1BFE" w:rsidP="00FA1BFE">
            <w:pPr>
              <w:jc w:val="both"/>
              <w:rPr>
                <w:rFonts w:eastAsiaTheme="minorHAnsi"/>
                <w:sz w:val="20"/>
                <w:lang w:val="en-CA"/>
              </w:rPr>
            </w:pPr>
            <w:r w:rsidRPr="006D7947">
              <w:rPr>
                <w:rFonts w:eastAsiaTheme="minorHAnsi"/>
                <w:b/>
                <w:sz w:val="20"/>
                <w:lang w:val="en-CA"/>
              </w:rPr>
              <w:t>34511</w:t>
            </w:r>
          </w:p>
        </w:tc>
        <w:tc>
          <w:tcPr>
            <w:tcW w:w="4457" w:type="pct"/>
            <w:gridSpan w:val="3"/>
          </w:tcPr>
          <w:p w:rsidR="00FA1BFE" w:rsidRPr="006D7947" w:rsidRDefault="00FA1BFE" w:rsidP="00FA1BFE">
            <w:pPr>
              <w:jc w:val="both"/>
              <w:rPr>
                <w:rFonts w:eastAsiaTheme="minorHAnsi"/>
                <w:b/>
                <w:sz w:val="20"/>
                <w:lang w:val="en-CA"/>
              </w:rPr>
            </w:pPr>
            <w:r w:rsidRPr="006D7947">
              <w:rPr>
                <w:rFonts w:eastAsiaTheme="minorHAnsi"/>
                <w:b/>
                <w:sz w:val="20"/>
                <w:lang w:val="en-CA"/>
              </w:rPr>
              <w:t>Ian James Bell v. Her Majesty the Queen</w:t>
            </w:r>
          </w:p>
          <w:p w:rsidR="00FA1BFE" w:rsidRPr="006D7947" w:rsidRDefault="00FA1BFE" w:rsidP="00FA1BFE">
            <w:pPr>
              <w:jc w:val="both"/>
              <w:rPr>
                <w:rFonts w:eastAsiaTheme="minorHAnsi"/>
                <w:sz w:val="20"/>
                <w:lang w:val="en-CA"/>
              </w:rPr>
            </w:pPr>
            <w:r w:rsidRPr="006D7947">
              <w:rPr>
                <w:rFonts w:eastAsiaTheme="minorHAnsi"/>
                <w:sz w:val="20"/>
                <w:lang w:val="en-CA"/>
              </w:rPr>
              <w:t>(Ont.) (Criminal) (By Leave)</w:t>
            </w: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r w:rsidRPr="006D7947">
              <w:rPr>
                <w:rFonts w:eastAsiaTheme="minorHAnsi"/>
                <w:sz w:val="20"/>
                <w:lang w:val="en-CA"/>
              </w:rPr>
              <w:t>(</w:t>
            </w:r>
            <w:r w:rsidR="00FD0C78" w:rsidRPr="00D55CB8">
              <w:rPr>
                <w:rFonts w:eastAsia="Calibri"/>
                <w:smallCaps/>
                <w:sz w:val="20"/>
                <w:lang w:val="en-CA"/>
              </w:rPr>
              <w:t>Publication Ban in Case</w:t>
            </w:r>
            <w:r w:rsidRPr="006D7947">
              <w:rPr>
                <w:rFonts w:eastAsiaTheme="minorHAnsi"/>
                <w:sz w:val="20"/>
                <w:lang w:val="en-CA"/>
              </w:rPr>
              <w:t xml:space="preserve">) </w:t>
            </w:r>
          </w:p>
          <w:p w:rsidR="00FA1BFE" w:rsidRPr="006D7947" w:rsidRDefault="00FA1BFE" w:rsidP="00FA1BFE">
            <w:pPr>
              <w:jc w:val="both"/>
              <w:rPr>
                <w:rFonts w:eastAsiaTheme="minorHAnsi"/>
                <w:sz w:val="20"/>
                <w:lang w:val="en-CA"/>
              </w:rPr>
            </w:pPr>
          </w:p>
          <w:p w:rsidR="00FA1BFE" w:rsidRPr="006D7947" w:rsidRDefault="00FA1BFE" w:rsidP="00FA1BFE">
            <w:pPr>
              <w:jc w:val="both"/>
              <w:rPr>
                <w:rFonts w:eastAsiaTheme="minorHAnsi"/>
                <w:sz w:val="20"/>
                <w:lang w:val="en-CA"/>
              </w:rPr>
            </w:pPr>
            <w:r w:rsidRPr="006D7947">
              <w:rPr>
                <w:rFonts w:eastAsiaTheme="minorHAnsi"/>
                <w:sz w:val="20"/>
                <w:lang w:val="en-CA"/>
              </w:rPr>
              <w:t>Criminal Law – Unreasonable Verdict – Evidence – Assessment – Dangerous offender application – Whether conviction on count of assault causing bodily harm was unreasonable and  inconsistent with acquittals on counts of assault and forcible confinement – Whether Court of Appeal erred in not re-weighing evidence where much of accused’s evidence was accepted by the jury – Whether facts were serious enough to warrant a dangerous offender designation – Whether dangerous offender designation was inconsistent with acquittals by jury on 15 counts – Effect and weight given to complainant’s evidence regarding her injuries and their effect in dangerous offender hearing.</w:t>
            </w: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r w:rsidRPr="006D7947">
              <w:rPr>
                <w:rFonts w:eastAsiaTheme="minorHAnsi"/>
                <w:sz w:val="20"/>
                <w:lang w:val="en-CA"/>
              </w:rPr>
              <w:t>The complainant alleged to police that, over a period of nine hours, the applicant confined and threatened her.  She testified that he committed acts of violence against her, including punching her, grabbing her by the hair, and pulling her by the hair.  She testified that she suffered a black and swollen eye, a bruised harm, scratches on her arms, and severe psychological damage.   The applicant was convicted by a jury of assault causing bodily harm and disobeying a court order.  He was acquitted of 15 other counts. On sentencing, the applicant was designated a dangerous offender and an indeterminate sentence was ordered.</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April 20, 2004</w:t>
            </w:r>
          </w:p>
          <w:p w:rsidR="00FA1BFE" w:rsidRPr="006D7947" w:rsidRDefault="00FA1BFE" w:rsidP="00FA1BFE">
            <w:pPr>
              <w:jc w:val="both"/>
              <w:rPr>
                <w:rFonts w:eastAsiaTheme="minorHAnsi"/>
                <w:sz w:val="20"/>
                <w:lang w:val="en-CA"/>
              </w:rPr>
            </w:pPr>
            <w:r w:rsidRPr="006D7947">
              <w:rPr>
                <w:rFonts w:eastAsiaTheme="minorHAnsi"/>
                <w:sz w:val="20"/>
                <w:lang w:val="en-CA"/>
              </w:rPr>
              <w:t>Ontario Superior Court of Justice</w:t>
            </w:r>
          </w:p>
          <w:p w:rsidR="00FA1BFE" w:rsidRPr="006D7947" w:rsidRDefault="00FA1BFE" w:rsidP="00FA1BFE">
            <w:pPr>
              <w:jc w:val="both"/>
              <w:rPr>
                <w:rFonts w:eastAsiaTheme="minorHAnsi"/>
                <w:sz w:val="20"/>
                <w:lang w:val="en-CA"/>
              </w:rPr>
            </w:pPr>
            <w:r w:rsidRPr="006D7947">
              <w:rPr>
                <w:rFonts w:eastAsiaTheme="minorHAnsi"/>
                <w:sz w:val="20"/>
                <w:lang w:val="en-CA"/>
              </w:rPr>
              <w:t>(Jarvis J.)</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Conviction by jury for assault causing bodily harm; Conviction for disobeying a court order; Acquittals on 15 charges</w:t>
            </w: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July 12, 2007</w:t>
            </w:r>
          </w:p>
          <w:p w:rsidR="00FA1BFE" w:rsidRPr="006D7947" w:rsidRDefault="00FA1BFE" w:rsidP="00FA1BFE">
            <w:pPr>
              <w:jc w:val="both"/>
              <w:rPr>
                <w:rFonts w:eastAsiaTheme="minorHAnsi"/>
                <w:sz w:val="20"/>
                <w:lang w:val="en-CA"/>
              </w:rPr>
            </w:pPr>
            <w:r w:rsidRPr="006D7947">
              <w:rPr>
                <w:rFonts w:eastAsiaTheme="minorHAnsi"/>
                <w:sz w:val="20"/>
                <w:lang w:val="en-CA"/>
              </w:rPr>
              <w:t>Ontario Superior Court of Justice</w:t>
            </w:r>
          </w:p>
          <w:p w:rsidR="00FA1BFE" w:rsidRPr="006D7947" w:rsidRDefault="00FA1BFE" w:rsidP="00FA1BFE">
            <w:pPr>
              <w:jc w:val="both"/>
              <w:rPr>
                <w:rFonts w:eastAsiaTheme="minorHAnsi"/>
                <w:sz w:val="20"/>
                <w:lang w:val="en-CA"/>
              </w:rPr>
            </w:pPr>
            <w:r w:rsidRPr="006D7947">
              <w:rPr>
                <w:rFonts w:eastAsiaTheme="minorHAnsi"/>
                <w:sz w:val="20"/>
                <w:lang w:val="en-CA"/>
              </w:rPr>
              <w:t>(Jarvis J.)</w:t>
            </w:r>
          </w:p>
          <w:p w:rsidR="00FA1BFE" w:rsidRPr="006D7947" w:rsidRDefault="00FA1BFE" w:rsidP="00FA1BFE">
            <w:pPr>
              <w:jc w:val="both"/>
              <w:rPr>
                <w:rFonts w:eastAsiaTheme="minorHAnsi"/>
                <w:sz w:val="20"/>
                <w:lang w:val="en-CA"/>
              </w:rPr>
            </w:pPr>
            <w:r w:rsidRPr="006D7947">
              <w:rPr>
                <w:rFonts w:eastAsiaTheme="minorHAnsi"/>
                <w:sz w:val="20"/>
                <w:lang w:val="en-CA"/>
              </w:rPr>
              <w:t>2010 CarswellOnt 10081</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Dangerous offender designation granted; indeterminate sentence ordered</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May 17, 2010</w:t>
            </w:r>
          </w:p>
          <w:p w:rsidR="00FA1BFE" w:rsidRPr="006D7947" w:rsidRDefault="00FA1BFE" w:rsidP="00FA1BFE">
            <w:pPr>
              <w:jc w:val="both"/>
              <w:rPr>
                <w:rFonts w:eastAsiaTheme="minorHAnsi"/>
                <w:sz w:val="20"/>
                <w:lang w:val="en-CA"/>
              </w:rPr>
            </w:pPr>
            <w:r w:rsidRPr="006D7947">
              <w:rPr>
                <w:rFonts w:eastAsiaTheme="minorHAnsi"/>
                <w:sz w:val="20"/>
                <w:lang w:val="en-CA"/>
              </w:rPr>
              <w:t>Court of Appeal for Ontario</w:t>
            </w:r>
          </w:p>
          <w:p w:rsidR="00FA1BFE" w:rsidRPr="006D7947" w:rsidRDefault="00FA1BFE" w:rsidP="00FA1BFE">
            <w:pPr>
              <w:jc w:val="both"/>
              <w:rPr>
                <w:rFonts w:eastAsiaTheme="minorHAnsi"/>
                <w:sz w:val="20"/>
                <w:lang w:val="en-CA"/>
              </w:rPr>
            </w:pPr>
            <w:r w:rsidRPr="006D7947">
              <w:rPr>
                <w:rFonts w:eastAsiaTheme="minorHAnsi"/>
                <w:sz w:val="20"/>
                <w:lang w:val="en-CA"/>
              </w:rPr>
              <w:t>(Cronk, Epstein, Moldaver JJ.A.)</w:t>
            </w:r>
          </w:p>
          <w:p w:rsidR="00FA1BFE" w:rsidRPr="006D7947" w:rsidRDefault="00FA1BFE" w:rsidP="00FA1BFE">
            <w:pPr>
              <w:jc w:val="both"/>
              <w:rPr>
                <w:rFonts w:eastAsiaTheme="minorHAnsi"/>
                <w:sz w:val="20"/>
                <w:lang w:val="en-CA"/>
              </w:rPr>
            </w:pPr>
            <w:r w:rsidRPr="006D7947">
              <w:rPr>
                <w:rFonts w:eastAsiaTheme="minorHAnsi"/>
                <w:sz w:val="20"/>
                <w:lang w:val="en-CA"/>
              </w:rPr>
              <w:t>2010 ONCA 387; C48382</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Appeals from convictions and sentence dismissed</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November 4, 2011</w:t>
            </w:r>
          </w:p>
          <w:p w:rsidR="00FA1BFE" w:rsidRPr="006D7947" w:rsidRDefault="00FA1BFE" w:rsidP="00FA1BFE">
            <w:pPr>
              <w:jc w:val="both"/>
              <w:rPr>
                <w:rFonts w:eastAsiaTheme="minorHAnsi"/>
                <w:sz w:val="20"/>
                <w:lang w:val="en-CA"/>
              </w:rPr>
            </w:pPr>
            <w:r w:rsidRPr="006D7947">
              <w:rPr>
                <w:rFonts w:eastAsiaTheme="minorHAnsi"/>
                <w:sz w:val="20"/>
                <w:lang w:val="en-CA"/>
              </w:rPr>
              <w:t>Supreme Court of Canada</w:t>
            </w:r>
          </w:p>
          <w:p w:rsidR="00FA1BFE" w:rsidRPr="006D7947" w:rsidRDefault="00FA1BFE" w:rsidP="00FA1BFE">
            <w:pPr>
              <w:jc w:val="both"/>
              <w:rPr>
                <w:rFonts w:eastAsiaTheme="minorHAnsi"/>
                <w:sz w:val="20"/>
                <w:lang w:val="en-CA"/>
              </w:rPr>
            </w:pP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Application for extension of time to file and serve application for leave to appeal filed; Application for leave to appeal filed</w:t>
            </w:r>
          </w:p>
        </w:tc>
      </w:tr>
    </w:tbl>
    <w:p w:rsidR="00FA1BFE" w:rsidRPr="006D7947" w:rsidRDefault="00FA1BFE" w:rsidP="00FA1BFE">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362"/>
        <w:gridCol w:w="4409"/>
      </w:tblGrid>
      <w:tr w:rsidR="00FA1BFE" w:rsidRPr="006D7947" w:rsidTr="00FA1BFE">
        <w:tc>
          <w:tcPr>
            <w:tcW w:w="543" w:type="pct"/>
          </w:tcPr>
          <w:p w:rsidR="00FA1BFE" w:rsidRPr="006D7947" w:rsidRDefault="00FA1BFE" w:rsidP="00FA1BFE">
            <w:pPr>
              <w:jc w:val="both"/>
              <w:rPr>
                <w:rFonts w:eastAsiaTheme="minorHAnsi"/>
                <w:sz w:val="20"/>
                <w:lang w:val="en-CA"/>
              </w:rPr>
            </w:pPr>
            <w:r w:rsidRPr="006D7947">
              <w:rPr>
                <w:rFonts w:eastAsiaTheme="minorHAnsi"/>
                <w:b/>
                <w:sz w:val="20"/>
                <w:lang w:val="en-CA"/>
              </w:rPr>
              <w:t>34511</w:t>
            </w:r>
          </w:p>
        </w:tc>
        <w:tc>
          <w:tcPr>
            <w:tcW w:w="4457" w:type="pct"/>
            <w:gridSpan w:val="3"/>
          </w:tcPr>
          <w:p w:rsidR="00FA1BFE" w:rsidRPr="006D7947" w:rsidRDefault="00FA1BFE" w:rsidP="00FA1BFE">
            <w:pPr>
              <w:jc w:val="both"/>
              <w:rPr>
                <w:rFonts w:eastAsiaTheme="minorHAnsi"/>
                <w:b/>
                <w:sz w:val="20"/>
                <w:lang w:val="fr-CA"/>
              </w:rPr>
            </w:pPr>
            <w:r w:rsidRPr="006D7947">
              <w:rPr>
                <w:rFonts w:eastAsiaTheme="minorHAnsi"/>
                <w:b/>
                <w:sz w:val="20"/>
                <w:lang w:val="fr-CA"/>
              </w:rPr>
              <w:t>Ian James Bell c. Sa Majesté la Reine</w:t>
            </w:r>
          </w:p>
          <w:p w:rsidR="00FA1BFE" w:rsidRPr="006D7947" w:rsidRDefault="00FA1BFE" w:rsidP="00366CD7">
            <w:pPr>
              <w:jc w:val="both"/>
              <w:rPr>
                <w:rFonts w:eastAsiaTheme="minorHAnsi"/>
                <w:sz w:val="20"/>
                <w:lang w:val="en-CA"/>
              </w:rPr>
            </w:pPr>
            <w:r w:rsidRPr="006D7947">
              <w:rPr>
                <w:rFonts w:eastAsiaTheme="minorHAnsi"/>
                <w:sz w:val="20"/>
                <w:lang w:val="en-CA"/>
              </w:rPr>
              <w:t>(Ont.) (Criminelle) (Sur autorisation)</w:t>
            </w:r>
          </w:p>
        </w:tc>
      </w:tr>
      <w:tr w:rsidR="00FA1BFE" w:rsidRPr="00433941" w:rsidTr="00FA1BFE">
        <w:tc>
          <w:tcPr>
            <w:tcW w:w="5000" w:type="pct"/>
            <w:gridSpan w:val="4"/>
          </w:tcPr>
          <w:p w:rsidR="00FA1BFE" w:rsidRPr="006D7947" w:rsidRDefault="00FA1BFE" w:rsidP="00FA1BFE">
            <w:pPr>
              <w:jc w:val="both"/>
              <w:rPr>
                <w:rFonts w:eastAsiaTheme="minorHAnsi"/>
                <w:sz w:val="20"/>
                <w:lang w:val="fr-CA"/>
              </w:rPr>
            </w:pPr>
            <w:r w:rsidRPr="006D7947">
              <w:rPr>
                <w:rFonts w:eastAsiaTheme="minorHAnsi"/>
                <w:sz w:val="20"/>
                <w:lang w:val="fr-CA"/>
              </w:rPr>
              <w:t>(</w:t>
            </w:r>
            <w:r w:rsidR="00FD0C78" w:rsidRPr="00B23BA7">
              <w:rPr>
                <w:rFonts w:eastAsia="Calibri"/>
                <w:smallCaps/>
                <w:sz w:val="20"/>
                <w:lang w:val="fr-CA"/>
              </w:rPr>
              <w:t>Ordonnance de non-publication dans le dossier</w:t>
            </w:r>
            <w:r w:rsidRPr="006D7947">
              <w:rPr>
                <w:rFonts w:eastAsiaTheme="minorHAnsi"/>
                <w:sz w:val="20"/>
                <w:lang w:val="fr-CA"/>
              </w:rPr>
              <w:t xml:space="preserve">) </w:t>
            </w:r>
          </w:p>
          <w:p w:rsidR="00FA1BFE" w:rsidRPr="006D7947" w:rsidRDefault="00FA1BFE" w:rsidP="00FA1BFE">
            <w:pPr>
              <w:jc w:val="both"/>
              <w:rPr>
                <w:rFonts w:eastAsiaTheme="minorHAnsi"/>
                <w:sz w:val="20"/>
                <w:lang w:val="fr-CA"/>
              </w:rPr>
            </w:pPr>
          </w:p>
          <w:p w:rsidR="00FA1BFE" w:rsidRPr="006D7947" w:rsidRDefault="00FA1BFE" w:rsidP="00FA1BFE">
            <w:pPr>
              <w:jc w:val="both"/>
              <w:rPr>
                <w:rFonts w:eastAsiaTheme="minorHAnsi"/>
                <w:sz w:val="20"/>
                <w:lang w:val="fr-CA"/>
              </w:rPr>
            </w:pPr>
            <w:r w:rsidRPr="006D7947">
              <w:rPr>
                <w:rFonts w:eastAsiaTheme="minorHAnsi"/>
                <w:sz w:val="20"/>
                <w:lang w:val="fr-CA"/>
              </w:rPr>
              <w:t>Droit criminel – Verdict déraisonnable – Preuve – Appréciation – Demande de déclaration portant que le demandeur est un délinquant dangereux – La déclaration de culpabilité du demandeur pour voies de fait causant des lésions corporelles était-elle déraisonnable et incompatible avec les acquittements de ce dernier relativement aux chefs de voies de fait et de séquestration? – La Cour d’appel a-t-elle commis une erreur en omettant d’apprécier la preuve à son tour, une grande partie du témoignage de l’accusé ayant été acceptée par le jury? – Les faits étaient-ils assez graves pour justifier une déclaration portant que le demandeur est un délinquant dangereux? – La déclaration portant que le demandeur est un délinquant dangereux était-elle incompatible avec les acquittements prononcés par le jury relativement à 15 chefs d’accusation? – Incidence du témoignage de la plaignante au sujet de ses blessures et poids accordé à celui-ci, et incidence de ces dernières à l’audition sur la question de savoir si le demandeur est un délinquant dangereux.</w:t>
            </w:r>
          </w:p>
        </w:tc>
      </w:tr>
      <w:tr w:rsidR="00FA1BFE" w:rsidRPr="00433941" w:rsidTr="00FA1BFE">
        <w:tc>
          <w:tcPr>
            <w:tcW w:w="5000" w:type="pct"/>
            <w:gridSpan w:val="4"/>
          </w:tcPr>
          <w:p w:rsidR="00FA1BFE" w:rsidRPr="006D7947" w:rsidRDefault="00FA1BFE" w:rsidP="00FA1BFE">
            <w:pPr>
              <w:jc w:val="both"/>
              <w:rPr>
                <w:rFonts w:eastAsiaTheme="minorHAnsi"/>
                <w:sz w:val="20"/>
                <w:lang w:val="fr-CA"/>
              </w:rPr>
            </w:pPr>
          </w:p>
        </w:tc>
      </w:tr>
      <w:tr w:rsidR="00FA1BFE" w:rsidRPr="00433941" w:rsidTr="00FA1BFE">
        <w:tc>
          <w:tcPr>
            <w:tcW w:w="5000" w:type="pct"/>
            <w:gridSpan w:val="4"/>
          </w:tcPr>
          <w:p w:rsidR="00FA1BFE" w:rsidRPr="006D7947" w:rsidRDefault="00FA1BFE" w:rsidP="00FA1BFE">
            <w:pPr>
              <w:jc w:val="both"/>
              <w:rPr>
                <w:rFonts w:eastAsiaTheme="minorHAnsi"/>
                <w:sz w:val="20"/>
                <w:lang w:val="fr-CA"/>
              </w:rPr>
            </w:pPr>
            <w:r w:rsidRPr="006D7947">
              <w:rPr>
                <w:rFonts w:eastAsiaTheme="minorHAnsi"/>
                <w:sz w:val="20"/>
                <w:lang w:val="fr-CA"/>
              </w:rPr>
              <w:t>La plaignante a déclaré à la police avoir été séquestrée et menacée par le demandeur durant une période de neuf heures.  Elle a témoigné qu’il avait commis des actes de violence contre elle, l’ayant notamment frappée et tirée par les cheveux.  Elle a témoigné avoir subi un œil poché, une ecchymose à un bras, des griffures à ses deux bras, et des dommages psychologiques graves.  Un jury a déclaré le demandeur coupable de voies de fait causant des lésions corporelles et de désobéissance à une ordonnance judiciaire.  Le demandeur a été acquitté relativement à 15 autres chefs d’accusation.  Au stade de la détermination de la peine, le demandeur a été déclaré délinquant dangereux et il s’est vu imposer une peine d’emprisonnement à durée indéterminée.</w:t>
            </w:r>
          </w:p>
          <w:p w:rsidR="00FA1BFE" w:rsidRPr="006D7947" w:rsidRDefault="00FA1BFE" w:rsidP="00FA1BFE">
            <w:pPr>
              <w:jc w:val="both"/>
              <w:rPr>
                <w:rFonts w:eastAsiaTheme="minorHAnsi"/>
                <w:sz w:val="20"/>
                <w:lang w:val="fr-CA"/>
              </w:rPr>
            </w:pPr>
          </w:p>
        </w:tc>
      </w:tr>
      <w:tr w:rsidR="00FA1BFE" w:rsidRPr="00433941" w:rsidTr="00FA1BFE">
        <w:tc>
          <w:tcPr>
            <w:tcW w:w="2427" w:type="pct"/>
            <w:gridSpan w:val="2"/>
          </w:tcPr>
          <w:p w:rsidR="00FA1BFE" w:rsidRPr="006D7947" w:rsidRDefault="00FA1BFE" w:rsidP="00FA1BFE">
            <w:pPr>
              <w:jc w:val="both"/>
              <w:rPr>
                <w:rFonts w:eastAsiaTheme="minorHAnsi"/>
                <w:sz w:val="20"/>
                <w:lang w:val="fr-CA"/>
              </w:rPr>
            </w:pPr>
            <w:r w:rsidRPr="006D7947">
              <w:rPr>
                <w:rFonts w:eastAsiaTheme="minorHAnsi"/>
                <w:sz w:val="20"/>
                <w:lang w:val="fr-CA"/>
              </w:rPr>
              <w:t>20 avril 2004</w:t>
            </w:r>
          </w:p>
          <w:p w:rsidR="00FA1BFE" w:rsidRPr="006D7947" w:rsidRDefault="00FA1BFE" w:rsidP="00FA1BFE">
            <w:pPr>
              <w:jc w:val="both"/>
              <w:rPr>
                <w:rFonts w:eastAsiaTheme="minorHAnsi"/>
                <w:sz w:val="20"/>
                <w:lang w:val="fr-CA"/>
              </w:rPr>
            </w:pPr>
            <w:r w:rsidRPr="006D7947">
              <w:rPr>
                <w:rFonts w:eastAsiaTheme="minorHAnsi"/>
                <w:sz w:val="20"/>
                <w:lang w:val="fr-CA"/>
              </w:rPr>
              <w:t>Cour supérieure de justice de l’Ontario</w:t>
            </w:r>
          </w:p>
          <w:p w:rsidR="00FA1BFE" w:rsidRPr="006D7947" w:rsidRDefault="00FA1BFE" w:rsidP="00FA1BFE">
            <w:pPr>
              <w:jc w:val="both"/>
              <w:rPr>
                <w:rFonts w:eastAsiaTheme="minorHAnsi"/>
                <w:sz w:val="20"/>
                <w:lang w:val="en-CA"/>
              </w:rPr>
            </w:pPr>
            <w:r w:rsidRPr="006D7947">
              <w:rPr>
                <w:rFonts w:eastAsiaTheme="minorHAnsi"/>
                <w:sz w:val="20"/>
                <w:lang w:val="en-CA"/>
              </w:rPr>
              <w:t>(Juge Jarvis)</w:t>
            </w:r>
          </w:p>
          <w:p w:rsidR="00FA1BFE" w:rsidRPr="006D7947" w:rsidRDefault="00FA1BFE" w:rsidP="00FA1BFE">
            <w:pPr>
              <w:jc w:val="both"/>
              <w:rPr>
                <w:rFonts w:eastAsiaTheme="minorHAnsi"/>
                <w:sz w:val="20"/>
                <w:lang w:val="en-CA"/>
              </w:rPr>
            </w:pPr>
          </w:p>
        </w:tc>
        <w:tc>
          <w:tcPr>
            <w:tcW w:w="195" w:type="pct"/>
          </w:tcPr>
          <w:p w:rsidR="00FA1BFE" w:rsidRPr="006D7947" w:rsidRDefault="00FA1BFE" w:rsidP="00FA1BFE">
            <w:pPr>
              <w:jc w:val="both"/>
              <w:rPr>
                <w:rFonts w:eastAsiaTheme="minorHAnsi"/>
                <w:sz w:val="20"/>
                <w:lang w:val="en-CA"/>
              </w:rPr>
            </w:pPr>
          </w:p>
        </w:tc>
        <w:tc>
          <w:tcPr>
            <w:tcW w:w="2379" w:type="pct"/>
          </w:tcPr>
          <w:p w:rsidR="00FA1BFE" w:rsidRPr="006D7947" w:rsidRDefault="00FA1BFE" w:rsidP="00FA1BFE">
            <w:pPr>
              <w:jc w:val="both"/>
              <w:rPr>
                <w:rFonts w:eastAsiaTheme="minorHAnsi"/>
                <w:sz w:val="20"/>
                <w:lang w:val="fr-CA"/>
              </w:rPr>
            </w:pPr>
            <w:r w:rsidRPr="006D7947">
              <w:rPr>
                <w:rFonts w:eastAsiaTheme="minorHAnsi"/>
                <w:sz w:val="20"/>
                <w:lang w:val="fr-CA"/>
              </w:rPr>
              <w:t>Déclaration de culpabilité par un jury pour voies de fait causant des lésions corporelles; déclaration de culpabilité pour désobéissance à une ordonnance judiciaire; acquittement relativement à 15 chefs d’accusation</w:t>
            </w:r>
          </w:p>
          <w:p w:rsidR="00FA1BFE" w:rsidRPr="006D7947" w:rsidRDefault="00FA1BFE" w:rsidP="00FA1BFE">
            <w:pPr>
              <w:jc w:val="both"/>
              <w:rPr>
                <w:rFonts w:eastAsiaTheme="minorHAnsi"/>
                <w:sz w:val="20"/>
                <w:lang w:val="fr-CA"/>
              </w:rPr>
            </w:pPr>
          </w:p>
        </w:tc>
      </w:tr>
      <w:tr w:rsidR="00FA1BFE" w:rsidRPr="00433941" w:rsidTr="00FA1BFE">
        <w:tc>
          <w:tcPr>
            <w:tcW w:w="2427" w:type="pct"/>
            <w:gridSpan w:val="2"/>
          </w:tcPr>
          <w:p w:rsidR="00FA1BFE" w:rsidRPr="006D7947" w:rsidRDefault="00FA1BFE" w:rsidP="00FA1BFE">
            <w:pPr>
              <w:jc w:val="both"/>
              <w:rPr>
                <w:rFonts w:eastAsiaTheme="minorHAnsi"/>
                <w:sz w:val="20"/>
                <w:lang w:val="fr-CA"/>
              </w:rPr>
            </w:pPr>
            <w:r w:rsidRPr="006D7947">
              <w:rPr>
                <w:rFonts w:eastAsiaTheme="minorHAnsi"/>
                <w:sz w:val="20"/>
                <w:lang w:val="fr-CA"/>
              </w:rPr>
              <w:t>12 juillet 2007</w:t>
            </w:r>
          </w:p>
          <w:p w:rsidR="00FA1BFE" w:rsidRPr="006D7947" w:rsidRDefault="00FA1BFE" w:rsidP="00FA1BFE">
            <w:pPr>
              <w:jc w:val="both"/>
              <w:rPr>
                <w:rFonts w:eastAsiaTheme="minorHAnsi"/>
                <w:sz w:val="20"/>
                <w:lang w:val="fr-CA"/>
              </w:rPr>
            </w:pPr>
            <w:r w:rsidRPr="006D7947">
              <w:rPr>
                <w:rFonts w:eastAsiaTheme="minorHAnsi"/>
                <w:sz w:val="20"/>
                <w:lang w:val="fr-CA"/>
              </w:rPr>
              <w:t>Cour supérieure de justice de l’Ontario</w:t>
            </w:r>
          </w:p>
          <w:p w:rsidR="00FA1BFE" w:rsidRPr="006D7947" w:rsidRDefault="00FA1BFE" w:rsidP="00FA1BFE">
            <w:pPr>
              <w:jc w:val="both"/>
              <w:rPr>
                <w:rFonts w:eastAsiaTheme="minorHAnsi"/>
                <w:sz w:val="20"/>
                <w:lang w:val="en-CA"/>
              </w:rPr>
            </w:pPr>
            <w:r w:rsidRPr="006D7947">
              <w:rPr>
                <w:rFonts w:eastAsiaTheme="minorHAnsi"/>
                <w:sz w:val="20"/>
                <w:lang w:val="en-CA"/>
              </w:rPr>
              <w:t>(Juge Jarvis)</w:t>
            </w:r>
          </w:p>
          <w:p w:rsidR="00FA1BFE" w:rsidRPr="006D7947" w:rsidRDefault="00FA1BFE" w:rsidP="00FA1BFE">
            <w:pPr>
              <w:jc w:val="both"/>
              <w:rPr>
                <w:rFonts w:eastAsiaTheme="minorHAnsi"/>
                <w:sz w:val="20"/>
                <w:lang w:val="en-CA"/>
              </w:rPr>
            </w:pPr>
            <w:r w:rsidRPr="006D7947">
              <w:rPr>
                <w:rFonts w:eastAsiaTheme="minorHAnsi"/>
                <w:sz w:val="20"/>
                <w:lang w:val="en-CA"/>
              </w:rPr>
              <w:t>2010 CarswellOnt 10081</w:t>
            </w:r>
          </w:p>
          <w:p w:rsidR="00FA1BFE" w:rsidRPr="006D7947" w:rsidRDefault="00FA1BFE" w:rsidP="00FA1BFE">
            <w:pPr>
              <w:jc w:val="both"/>
              <w:rPr>
                <w:rFonts w:eastAsiaTheme="minorHAnsi"/>
                <w:sz w:val="20"/>
                <w:lang w:val="en-CA"/>
              </w:rPr>
            </w:pPr>
          </w:p>
        </w:tc>
        <w:tc>
          <w:tcPr>
            <w:tcW w:w="195" w:type="pct"/>
          </w:tcPr>
          <w:p w:rsidR="00FA1BFE" w:rsidRPr="006D7947" w:rsidRDefault="00FA1BFE" w:rsidP="00FA1BFE">
            <w:pPr>
              <w:jc w:val="both"/>
              <w:rPr>
                <w:rFonts w:eastAsiaTheme="minorHAnsi"/>
                <w:sz w:val="20"/>
                <w:lang w:val="en-CA"/>
              </w:rPr>
            </w:pPr>
          </w:p>
        </w:tc>
        <w:tc>
          <w:tcPr>
            <w:tcW w:w="2379" w:type="pct"/>
          </w:tcPr>
          <w:p w:rsidR="00FA1BFE" w:rsidRPr="006D7947" w:rsidRDefault="00FA1BFE" w:rsidP="00FA1BFE">
            <w:pPr>
              <w:jc w:val="both"/>
              <w:rPr>
                <w:rFonts w:eastAsiaTheme="minorHAnsi"/>
                <w:sz w:val="20"/>
                <w:lang w:val="fr-CA"/>
              </w:rPr>
            </w:pPr>
            <w:r w:rsidRPr="006D7947">
              <w:rPr>
                <w:rFonts w:eastAsiaTheme="minorHAnsi"/>
                <w:sz w:val="20"/>
                <w:lang w:val="fr-CA"/>
              </w:rPr>
              <w:t>Déclaration portant que le demandeur est un délinquant dangereux; ordonnance d’une peine d’emprisonnement à durée indéterminée</w:t>
            </w:r>
          </w:p>
          <w:p w:rsidR="00FA1BFE" w:rsidRPr="006D7947" w:rsidRDefault="00FA1BFE" w:rsidP="00FA1BFE">
            <w:pPr>
              <w:jc w:val="both"/>
              <w:rPr>
                <w:rFonts w:eastAsiaTheme="minorHAnsi"/>
                <w:sz w:val="20"/>
                <w:lang w:val="fr-CA"/>
              </w:rPr>
            </w:pPr>
          </w:p>
        </w:tc>
      </w:tr>
      <w:tr w:rsidR="00FA1BFE" w:rsidRPr="00433941" w:rsidTr="00FA1BFE">
        <w:tc>
          <w:tcPr>
            <w:tcW w:w="2427" w:type="pct"/>
            <w:gridSpan w:val="2"/>
          </w:tcPr>
          <w:p w:rsidR="00FA1BFE" w:rsidRPr="006D7947" w:rsidRDefault="00FA1BFE" w:rsidP="00FA1BFE">
            <w:pPr>
              <w:jc w:val="both"/>
              <w:rPr>
                <w:rFonts w:eastAsiaTheme="minorHAnsi"/>
                <w:sz w:val="20"/>
                <w:lang w:val="fr-CA"/>
              </w:rPr>
            </w:pPr>
            <w:r w:rsidRPr="006D7947">
              <w:rPr>
                <w:rFonts w:eastAsiaTheme="minorHAnsi"/>
                <w:sz w:val="20"/>
                <w:lang w:val="fr-CA"/>
              </w:rPr>
              <w:t>17 mai 2010</w:t>
            </w:r>
          </w:p>
          <w:p w:rsidR="00FA1BFE" w:rsidRPr="006D7947" w:rsidRDefault="00FA1BFE" w:rsidP="00FA1BFE">
            <w:pPr>
              <w:jc w:val="both"/>
              <w:rPr>
                <w:rFonts w:eastAsiaTheme="minorHAnsi"/>
                <w:sz w:val="20"/>
                <w:lang w:val="fr-CA"/>
              </w:rPr>
            </w:pPr>
            <w:r w:rsidRPr="006D7947">
              <w:rPr>
                <w:rFonts w:eastAsiaTheme="minorHAnsi"/>
                <w:sz w:val="20"/>
                <w:lang w:val="fr-CA"/>
              </w:rPr>
              <w:t>Cour d’appel de l’Ontario</w:t>
            </w:r>
          </w:p>
          <w:p w:rsidR="00FA1BFE" w:rsidRPr="006D7947" w:rsidRDefault="00FA1BFE" w:rsidP="00FA1BFE">
            <w:pPr>
              <w:jc w:val="both"/>
              <w:rPr>
                <w:rFonts w:eastAsiaTheme="minorHAnsi"/>
                <w:sz w:val="20"/>
                <w:lang w:val="fr-CA"/>
              </w:rPr>
            </w:pPr>
            <w:r w:rsidRPr="006D7947">
              <w:rPr>
                <w:rFonts w:eastAsiaTheme="minorHAnsi"/>
                <w:sz w:val="20"/>
                <w:lang w:val="fr-CA"/>
              </w:rPr>
              <w:t>(Juges Cronk, Epstein et Moldaver)</w:t>
            </w:r>
          </w:p>
          <w:p w:rsidR="00FA1BFE" w:rsidRPr="006D7947" w:rsidRDefault="00FA1BFE" w:rsidP="00FA1BFE">
            <w:pPr>
              <w:jc w:val="both"/>
              <w:rPr>
                <w:rFonts w:eastAsiaTheme="minorHAnsi"/>
                <w:sz w:val="20"/>
                <w:lang w:val="en-CA"/>
              </w:rPr>
            </w:pPr>
            <w:r w:rsidRPr="006D7947">
              <w:rPr>
                <w:rFonts w:eastAsiaTheme="minorHAnsi"/>
                <w:sz w:val="20"/>
                <w:lang w:val="en-CA"/>
              </w:rPr>
              <w:t>2010 ONCA 387; C48382</w:t>
            </w:r>
          </w:p>
          <w:p w:rsidR="00FA1BFE" w:rsidRPr="006D7947" w:rsidRDefault="00FA1BFE" w:rsidP="00FA1BFE">
            <w:pPr>
              <w:jc w:val="both"/>
              <w:rPr>
                <w:rFonts w:eastAsiaTheme="minorHAnsi"/>
                <w:sz w:val="20"/>
                <w:lang w:val="en-CA"/>
              </w:rPr>
            </w:pPr>
          </w:p>
        </w:tc>
        <w:tc>
          <w:tcPr>
            <w:tcW w:w="195" w:type="pct"/>
          </w:tcPr>
          <w:p w:rsidR="00FA1BFE" w:rsidRPr="006D7947" w:rsidRDefault="00FA1BFE" w:rsidP="00FA1BFE">
            <w:pPr>
              <w:jc w:val="both"/>
              <w:rPr>
                <w:rFonts w:eastAsiaTheme="minorHAnsi"/>
                <w:sz w:val="20"/>
                <w:lang w:val="en-CA"/>
              </w:rPr>
            </w:pPr>
          </w:p>
        </w:tc>
        <w:tc>
          <w:tcPr>
            <w:tcW w:w="2379" w:type="pct"/>
          </w:tcPr>
          <w:p w:rsidR="00FA1BFE" w:rsidRPr="006D7947" w:rsidRDefault="00FA1BFE" w:rsidP="00FA1BFE">
            <w:pPr>
              <w:jc w:val="both"/>
              <w:rPr>
                <w:rFonts w:eastAsiaTheme="minorHAnsi"/>
                <w:sz w:val="20"/>
                <w:lang w:val="fr-CA"/>
              </w:rPr>
            </w:pPr>
            <w:r w:rsidRPr="006D7947">
              <w:rPr>
                <w:rFonts w:eastAsiaTheme="minorHAnsi"/>
                <w:sz w:val="20"/>
                <w:lang w:val="fr-CA"/>
              </w:rPr>
              <w:t>Appels contre les déclarations de culpabilité et la peine d’emprisonnement, rejetés</w:t>
            </w:r>
          </w:p>
          <w:p w:rsidR="00FA1BFE" w:rsidRPr="006D7947" w:rsidRDefault="00FA1BFE" w:rsidP="00FA1BFE">
            <w:pPr>
              <w:jc w:val="both"/>
              <w:rPr>
                <w:rFonts w:eastAsiaTheme="minorHAnsi"/>
                <w:sz w:val="20"/>
                <w:lang w:val="fr-CA"/>
              </w:rPr>
            </w:pPr>
          </w:p>
        </w:tc>
      </w:tr>
      <w:tr w:rsidR="00FA1BFE" w:rsidRPr="00433941"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4 novembre 2011</w:t>
            </w:r>
          </w:p>
          <w:p w:rsidR="00FA1BFE" w:rsidRPr="006D7947" w:rsidRDefault="00FA1BFE" w:rsidP="00FA1BFE">
            <w:pPr>
              <w:jc w:val="both"/>
              <w:rPr>
                <w:rFonts w:eastAsiaTheme="minorHAnsi"/>
                <w:sz w:val="20"/>
                <w:lang w:val="en-CA"/>
              </w:rPr>
            </w:pPr>
            <w:r w:rsidRPr="006D7947">
              <w:rPr>
                <w:rFonts w:eastAsiaTheme="minorHAnsi"/>
                <w:sz w:val="20"/>
                <w:lang w:val="en-CA"/>
              </w:rPr>
              <w:t>Cour suprême du Canada</w:t>
            </w:r>
          </w:p>
          <w:p w:rsidR="00FA1BFE" w:rsidRPr="006D7947" w:rsidRDefault="00FA1BFE" w:rsidP="00FA1BFE">
            <w:pPr>
              <w:jc w:val="both"/>
              <w:rPr>
                <w:rFonts w:eastAsiaTheme="minorHAnsi"/>
                <w:sz w:val="20"/>
                <w:lang w:val="en-CA"/>
              </w:rPr>
            </w:pPr>
          </w:p>
          <w:p w:rsidR="00FA1BFE" w:rsidRPr="006D7947" w:rsidRDefault="00FA1BFE" w:rsidP="00FA1BFE">
            <w:pPr>
              <w:jc w:val="both"/>
              <w:rPr>
                <w:rFonts w:eastAsiaTheme="minorHAnsi"/>
                <w:sz w:val="20"/>
                <w:lang w:val="en-CA"/>
              </w:rPr>
            </w:pPr>
          </w:p>
        </w:tc>
        <w:tc>
          <w:tcPr>
            <w:tcW w:w="195" w:type="pct"/>
          </w:tcPr>
          <w:p w:rsidR="00FA1BFE" w:rsidRPr="006D7947" w:rsidRDefault="00FA1BFE" w:rsidP="00FA1BFE">
            <w:pPr>
              <w:jc w:val="both"/>
              <w:rPr>
                <w:rFonts w:eastAsiaTheme="minorHAnsi"/>
                <w:sz w:val="20"/>
                <w:lang w:val="en-CA"/>
              </w:rPr>
            </w:pPr>
          </w:p>
        </w:tc>
        <w:tc>
          <w:tcPr>
            <w:tcW w:w="2379" w:type="pct"/>
          </w:tcPr>
          <w:p w:rsidR="00FA1BFE" w:rsidRPr="006D7947" w:rsidRDefault="00FA1BFE" w:rsidP="00FA1BFE">
            <w:pPr>
              <w:jc w:val="both"/>
              <w:rPr>
                <w:rFonts w:eastAsiaTheme="minorHAnsi"/>
                <w:sz w:val="20"/>
                <w:lang w:val="fr-CA"/>
              </w:rPr>
            </w:pPr>
            <w:r w:rsidRPr="006D7947">
              <w:rPr>
                <w:rFonts w:eastAsiaTheme="minorHAnsi"/>
                <w:sz w:val="20"/>
                <w:lang w:val="fr-CA"/>
              </w:rPr>
              <w:t>Demande de prorogation du délai pour dépôt et signification d’une demande d’autorisation de pourvoi, déposée; demande d’autorisation de pourvoi déposée</w:t>
            </w:r>
          </w:p>
        </w:tc>
      </w:tr>
    </w:tbl>
    <w:p w:rsidR="00FA1BFE" w:rsidRPr="006D7947" w:rsidRDefault="00FA1BFE" w:rsidP="00FA1BFE">
      <w:pPr>
        <w:jc w:val="both"/>
        <w:rPr>
          <w:rFonts w:eastAsiaTheme="minorHAns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FA1BFE" w:rsidRPr="006D7947" w:rsidTr="00FA1BFE">
        <w:tc>
          <w:tcPr>
            <w:tcW w:w="543" w:type="pct"/>
          </w:tcPr>
          <w:p w:rsidR="00FA1BFE" w:rsidRPr="006D7947" w:rsidRDefault="00FA1BFE" w:rsidP="00FA1BFE">
            <w:pPr>
              <w:jc w:val="both"/>
              <w:rPr>
                <w:rFonts w:eastAsiaTheme="minorHAnsi"/>
                <w:sz w:val="20"/>
                <w:lang w:val="en-CA"/>
              </w:rPr>
            </w:pPr>
            <w:r w:rsidRPr="006D7947">
              <w:rPr>
                <w:rFonts w:eastAsiaTheme="minorHAnsi"/>
                <w:b/>
                <w:sz w:val="20"/>
                <w:lang w:val="en-CA"/>
              </w:rPr>
              <w:t>34558</w:t>
            </w:r>
          </w:p>
        </w:tc>
        <w:tc>
          <w:tcPr>
            <w:tcW w:w="4457" w:type="pct"/>
            <w:gridSpan w:val="3"/>
          </w:tcPr>
          <w:p w:rsidR="00FA1BFE" w:rsidRPr="006D7947" w:rsidRDefault="00FA1BFE" w:rsidP="00FA1BFE">
            <w:pPr>
              <w:jc w:val="both"/>
              <w:rPr>
                <w:rFonts w:eastAsiaTheme="minorHAnsi"/>
                <w:b/>
                <w:sz w:val="20"/>
                <w:lang w:val="en-CA"/>
              </w:rPr>
            </w:pPr>
            <w:r w:rsidRPr="006D7947">
              <w:rPr>
                <w:rFonts w:eastAsiaTheme="minorHAnsi"/>
                <w:b/>
                <w:sz w:val="20"/>
                <w:lang w:val="en-CA"/>
              </w:rPr>
              <w:t>Jack Klundert v. Her Majesty the Queen</w:t>
            </w:r>
          </w:p>
          <w:p w:rsidR="00FA1BFE" w:rsidRPr="006D7947" w:rsidRDefault="00FA1BFE" w:rsidP="00366CD7">
            <w:pPr>
              <w:jc w:val="both"/>
              <w:rPr>
                <w:rFonts w:eastAsiaTheme="minorHAnsi"/>
                <w:sz w:val="20"/>
                <w:lang w:val="en-CA"/>
              </w:rPr>
            </w:pPr>
            <w:r w:rsidRPr="006D7947">
              <w:rPr>
                <w:rFonts w:eastAsiaTheme="minorHAnsi"/>
                <w:sz w:val="20"/>
                <w:lang w:val="en-CA"/>
              </w:rPr>
              <w:t>(Ont.) (Criminal) (By Leave)</w:t>
            </w:r>
          </w:p>
        </w:tc>
      </w:tr>
      <w:tr w:rsidR="00FA1BFE" w:rsidRPr="006D7947" w:rsidTr="00FA1BFE">
        <w:tc>
          <w:tcPr>
            <w:tcW w:w="5000" w:type="pct"/>
            <w:gridSpan w:val="4"/>
          </w:tcPr>
          <w:p w:rsidR="00FA1BFE" w:rsidRPr="006D7947" w:rsidRDefault="00FA1BFE" w:rsidP="00FA1BFE">
            <w:pPr>
              <w:jc w:val="both"/>
              <w:rPr>
                <w:rFonts w:eastAsiaTheme="minorHAnsi"/>
                <w:bCs/>
                <w:kern w:val="36"/>
                <w:sz w:val="20"/>
                <w:lang w:val="en-CA"/>
              </w:rPr>
            </w:pPr>
            <w:r w:rsidRPr="006D7947">
              <w:rPr>
                <w:rFonts w:eastAsiaTheme="minorHAnsi"/>
                <w:sz w:val="20"/>
                <w:lang w:val="en-CA"/>
              </w:rPr>
              <w:t>Taxation – Income tax – Evasion – Whether the Court of Appeal erred in its interpretation of the necessary intent for evasion under s. 239(1</w:t>
            </w:r>
            <w:proofErr w:type="gramStart"/>
            <w:r w:rsidRPr="006D7947">
              <w:rPr>
                <w:rFonts w:eastAsiaTheme="minorHAnsi"/>
                <w:sz w:val="20"/>
                <w:lang w:val="en-CA"/>
              </w:rPr>
              <w:t>)(</w:t>
            </w:r>
            <w:proofErr w:type="gramEnd"/>
            <w:r w:rsidRPr="006D7947">
              <w:rPr>
                <w:rFonts w:eastAsiaTheme="minorHAnsi"/>
                <w:sz w:val="20"/>
                <w:lang w:val="en-CA"/>
              </w:rPr>
              <w:t xml:space="preserve">d) of the </w:t>
            </w:r>
            <w:r w:rsidRPr="006D7947">
              <w:rPr>
                <w:rFonts w:eastAsiaTheme="minorHAnsi"/>
                <w:i/>
                <w:sz w:val="20"/>
                <w:lang w:val="en-CA"/>
              </w:rPr>
              <w:t>Income Tax Act</w:t>
            </w:r>
            <w:r w:rsidRPr="006D7947">
              <w:rPr>
                <w:rFonts w:eastAsiaTheme="minorHAnsi"/>
                <w:sz w:val="20"/>
                <w:lang w:val="en-CA"/>
              </w:rPr>
              <w:t xml:space="preserve"> – Whether the Court of Appeal erred in upholding the trial judge’s decision not to disqualify juror 12 on the information of  juror 10 – </w:t>
            </w:r>
            <w:r w:rsidRPr="006D7947">
              <w:rPr>
                <w:rFonts w:eastAsiaTheme="minorHAnsi"/>
                <w:i/>
                <w:sz w:val="20"/>
                <w:lang w:val="en-CA"/>
              </w:rPr>
              <w:t>I</w:t>
            </w:r>
            <w:r w:rsidRPr="006D7947">
              <w:rPr>
                <w:rFonts w:eastAsiaTheme="minorHAnsi"/>
                <w:bCs/>
                <w:i/>
                <w:kern w:val="36"/>
                <w:sz w:val="20"/>
                <w:lang w:val="en-CA"/>
              </w:rPr>
              <w:t>ncome Tax Act</w:t>
            </w:r>
            <w:r w:rsidRPr="006D7947">
              <w:rPr>
                <w:rFonts w:eastAsiaTheme="minorHAnsi"/>
                <w:bCs/>
                <w:kern w:val="36"/>
                <w:sz w:val="20"/>
                <w:lang w:val="en-CA"/>
              </w:rPr>
              <w:t>, R.S.C., 1985, c. 1 (5th Supp.), s. 239(1)(d).</w:t>
            </w: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r w:rsidRPr="006D7947">
              <w:rPr>
                <w:rFonts w:eastAsiaTheme="minorHAnsi"/>
                <w:sz w:val="20"/>
                <w:lang w:val="en-CA"/>
              </w:rPr>
              <w:t>Prior to 1993, Klundert, an optometrist, always properly filed and paid his income taxes.  In 1993, Klundert received a publication in the mail that discussed Canadian income tax and questioned its constitutional validity.  After receiving the publication, and after further contemplation, Klundert formed the opinion that it was unconstitutional for the federal government to impose and collect income tax.  Thus, in his tax returns for the years 1993 to 1997, Klundert did not disclose his income or pay any of the taxes owing on approximately $1.4 million he earned in those years.</w:t>
            </w:r>
          </w:p>
          <w:p w:rsidR="00FA1BFE" w:rsidRPr="006D7947" w:rsidRDefault="00FA1BFE" w:rsidP="00FA1BFE">
            <w:pPr>
              <w:jc w:val="both"/>
              <w:rPr>
                <w:rFonts w:eastAsiaTheme="minorHAnsi"/>
                <w:sz w:val="20"/>
                <w:lang w:val="en-CA"/>
              </w:rPr>
            </w:pPr>
          </w:p>
          <w:p w:rsidR="00FA1BFE" w:rsidRPr="006D7947" w:rsidRDefault="00FA1BFE" w:rsidP="00FA1BFE">
            <w:pPr>
              <w:jc w:val="both"/>
              <w:rPr>
                <w:rFonts w:eastAsiaTheme="minorHAnsi"/>
                <w:sz w:val="20"/>
                <w:lang w:val="en-CA"/>
              </w:rPr>
            </w:pPr>
            <w:r w:rsidRPr="006D7947">
              <w:rPr>
                <w:rFonts w:eastAsiaTheme="minorHAnsi"/>
                <w:sz w:val="20"/>
                <w:lang w:val="en-CA"/>
              </w:rPr>
              <w:t xml:space="preserve">In 2002, a jury acquitted Klundert, but the Crown successfully appealed and a new trial was ordered. In 2006, Klundert was again acquitted at the second trial, but again the Crown successfully appealed.  At the conclusion of the third trial in 2010, a jury found Klundert guilty of income tax evasion under s. 239 of the </w:t>
            </w:r>
            <w:r w:rsidRPr="006D7947">
              <w:rPr>
                <w:rFonts w:eastAsiaTheme="minorHAnsi"/>
                <w:i/>
                <w:sz w:val="20"/>
                <w:lang w:val="en-CA"/>
              </w:rPr>
              <w:t>Income Tax Act</w:t>
            </w:r>
            <w:r w:rsidRPr="006D7947">
              <w:rPr>
                <w:rFonts w:eastAsiaTheme="minorHAnsi"/>
                <w:sz w:val="20"/>
                <w:lang w:val="en-CA"/>
              </w:rPr>
              <w:t xml:space="preserve">.  Klundert’s defence at trial was to negate </w:t>
            </w:r>
            <w:r w:rsidRPr="006D7947">
              <w:rPr>
                <w:rFonts w:eastAsiaTheme="minorHAnsi"/>
                <w:i/>
                <w:sz w:val="20"/>
                <w:lang w:val="en-CA"/>
              </w:rPr>
              <w:t>mens rea</w:t>
            </w:r>
            <w:r w:rsidRPr="006D7947">
              <w:rPr>
                <w:rFonts w:eastAsiaTheme="minorHAnsi"/>
                <w:sz w:val="20"/>
                <w:lang w:val="en-CA"/>
              </w:rPr>
              <w:t xml:space="preserve">.  He claims that he did not intend to commit tax </w:t>
            </w:r>
            <w:proofErr w:type="gramStart"/>
            <w:r w:rsidRPr="006D7947">
              <w:rPr>
                <w:rFonts w:eastAsiaTheme="minorHAnsi"/>
                <w:sz w:val="20"/>
                <w:lang w:val="en-CA"/>
              </w:rPr>
              <w:t>evasion,</w:t>
            </w:r>
            <w:proofErr w:type="gramEnd"/>
            <w:r w:rsidRPr="006D7947">
              <w:rPr>
                <w:rFonts w:eastAsiaTheme="minorHAnsi"/>
                <w:sz w:val="20"/>
                <w:lang w:val="en-CA"/>
              </w:rPr>
              <w:t xml:space="preserve"> rather, his actions were intended to protest what he perceived to be unlawful government action.  Klundert appealed both his conviction and also sought leave to appeal the 12 month custodial portion of his sentence.  The Court of Appeal dismissed the appeal against conviction, but granted leave to appeal sentence and allowed the sentence appeal. The sentence imposed by the trial judge was a fine in the amount of 150% of the taxes evaded and a prison sentence of one year.  Klundert only took issue with the one year imprisonment. Klundert had served a portion of his prison sentence. The Court of Appeal set aside the remainder of his prison sentence and substituted it with a conditional sentence for the conclusion of the 12 month sentence.</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May 20, 2010</w:t>
            </w:r>
          </w:p>
          <w:p w:rsidR="00FA1BFE" w:rsidRPr="006D7947" w:rsidRDefault="00FA1BFE" w:rsidP="00FA1BFE">
            <w:pPr>
              <w:jc w:val="both"/>
              <w:rPr>
                <w:rFonts w:eastAsiaTheme="minorHAnsi"/>
                <w:sz w:val="20"/>
                <w:lang w:val="en-CA"/>
              </w:rPr>
            </w:pPr>
            <w:r w:rsidRPr="006D7947">
              <w:rPr>
                <w:rFonts w:eastAsiaTheme="minorHAnsi"/>
                <w:sz w:val="20"/>
                <w:lang w:val="en-CA"/>
              </w:rPr>
              <w:t>Ontario Superior Court of Justice</w:t>
            </w:r>
          </w:p>
          <w:p w:rsidR="00FA1BFE" w:rsidRPr="006D7947" w:rsidRDefault="00FA1BFE" w:rsidP="00FA1BFE">
            <w:pPr>
              <w:jc w:val="both"/>
              <w:rPr>
                <w:rFonts w:eastAsiaTheme="minorHAnsi"/>
                <w:sz w:val="20"/>
                <w:lang w:val="en-CA"/>
              </w:rPr>
            </w:pPr>
            <w:r w:rsidRPr="006D7947">
              <w:rPr>
                <w:rFonts w:eastAsiaTheme="minorHAnsi"/>
                <w:sz w:val="20"/>
                <w:lang w:val="en-CA"/>
              </w:rPr>
              <w:t>(Patterson J.)</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 xml:space="preserve">Applicant convicted of tax evasion pursuant to the </w:t>
            </w:r>
            <w:r w:rsidRPr="006D7947">
              <w:rPr>
                <w:rFonts w:eastAsiaTheme="minorHAnsi"/>
                <w:i/>
                <w:sz w:val="20"/>
                <w:lang w:val="en-CA"/>
              </w:rPr>
              <w:t>Income Tax Act</w:t>
            </w:r>
            <w:r w:rsidRPr="006D7947">
              <w:rPr>
                <w:rFonts w:eastAsiaTheme="minorHAnsi"/>
                <w:sz w:val="20"/>
                <w:lang w:val="en-CA"/>
              </w:rPr>
              <w:t>; Applicant sentenced to a fine equivalent to 150% of the tax evaded and a period of incarceration for one year</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October 17, 2011</w:t>
            </w:r>
          </w:p>
          <w:p w:rsidR="00FA1BFE" w:rsidRPr="006D7947" w:rsidRDefault="00FA1BFE" w:rsidP="00FA1BFE">
            <w:pPr>
              <w:jc w:val="both"/>
              <w:rPr>
                <w:rFonts w:eastAsiaTheme="minorHAnsi"/>
                <w:sz w:val="20"/>
                <w:lang w:val="en-CA"/>
              </w:rPr>
            </w:pPr>
            <w:r w:rsidRPr="006D7947">
              <w:rPr>
                <w:rFonts w:eastAsiaTheme="minorHAnsi"/>
                <w:sz w:val="20"/>
                <w:lang w:val="en-CA"/>
              </w:rPr>
              <w:t>Court of Appeal for Ontario</w:t>
            </w:r>
          </w:p>
          <w:p w:rsidR="00FA1BFE" w:rsidRPr="006D7947" w:rsidRDefault="00FA1BFE" w:rsidP="00FA1BFE">
            <w:pPr>
              <w:jc w:val="both"/>
              <w:rPr>
                <w:rFonts w:eastAsiaTheme="minorHAnsi"/>
                <w:sz w:val="20"/>
                <w:lang w:val="en-CA"/>
              </w:rPr>
            </w:pPr>
            <w:r w:rsidRPr="006D7947">
              <w:rPr>
                <w:rFonts w:eastAsiaTheme="minorHAnsi"/>
                <w:sz w:val="20"/>
                <w:lang w:val="en-CA"/>
              </w:rPr>
              <w:t>(Laskin, Goudge and LaForme JJ.A.)</w:t>
            </w:r>
          </w:p>
          <w:p w:rsidR="00FA1BFE" w:rsidRPr="006D7947" w:rsidRDefault="00FA1BFE" w:rsidP="00FA1BFE">
            <w:pPr>
              <w:jc w:val="both"/>
              <w:rPr>
                <w:rFonts w:eastAsiaTheme="minorHAnsi"/>
                <w:sz w:val="20"/>
                <w:lang w:val="en-CA"/>
              </w:rPr>
            </w:pPr>
            <w:r w:rsidRPr="006D7947">
              <w:rPr>
                <w:rFonts w:eastAsiaTheme="minorHAnsi"/>
                <w:sz w:val="20"/>
                <w:lang w:val="en-CA"/>
              </w:rPr>
              <w:t>2011 ONCA 646; C52300</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Appeal against conviction dismissed; Leave to appeal sentence granted and the appeal is allowed</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December 2, 2011</w:t>
            </w:r>
          </w:p>
          <w:p w:rsidR="00FA1BFE" w:rsidRPr="006D7947" w:rsidRDefault="00FA1BFE" w:rsidP="00FA1BFE">
            <w:pPr>
              <w:jc w:val="both"/>
              <w:rPr>
                <w:rFonts w:eastAsiaTheme="minorHAnsi"/>
                <w:sz w:val="20"/>
                <w:lang w:val="en-CA"/>
              </w:rPr>
            </w:pPr>
            <w:r w:rsidRPr="006D7947">
              <w:rPr>
                <w:rFonts w:eastAsiaTheme="minorHAnsi"/>
                <w:sz w:val="20"/>
                <w:lang w:val="en-CA"/>
              </w:rPr>
              <w:t>Supreme Court of Canada</w:t>
            </w: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Application for leave to appeal filed</w:t>
            </w:r>
          </w:p>
          <w:p w:rsidR="00FA1BFE" w:rsidRPr="006D7947" w:rsidRDefault="00FA1BFE" w:rsidP="00FA1BFE">
            <w:pPr>
              <w:jc w:val="both"/>
              <w:rPr>
                <w:rFonts w:eastAsiaTheme="minorHAnsi"/>
                <w:sz w:val="20"/>
                <w:lang w:val="en-CA"/>
              </w:rPr>
            </w:pPr>
          </w:p>
        </w:tc>
      </w:tr>
    </w:tbl>
    <w:p w:rsidR="00FA1BFE" w:rsidRDefault="00FA1BFE" w:rsidP="00FA1BFE">
      <w:pPr>
        <w:jc w:val="both"/>
        <w:rPr>
          <w:rFonts w:eastAsiaTheme="minorHAnsi"/>
          <w:sz w:val="20"/>
          <w:lang w:val="en-CA"/>
        </w:rPr>
      </w:pPr>
    </w:p>
    <w:p w:rsidR="00366CD7" w:rsidRPr="006D7947" w:rsidRDefault="00366CD7" w:rsidP="00FA1BFE">
      <w:pPr>
        <w:jc w:val="both"/>
        <w:rPr>
          <w:rFonts w:eastAsiaTheme="minorHAnsi"/>
          <w:sz w:val="20"/>
          <w:lang w:val="en-CA"/>
        </w:rPr>
      </w:pPr>
    </w:p>
    <w:tbl>
      <w:tblPr>
        <w:tblW w:w="4952" w:type="pct"/>
        <w:tblLayout w:type="fixed"/>
        <w:tblCellMar>
          <w:left w:w="0" w:type="dxa"/>
          <w:bottom w:w="99" w:type="dxa"/>
          <w:right w:w="0" w:type="dxa"/>
        </w:tblCellMar>
        <w:tblLook w:val="00A0"/>
      </w:tblPr>
      <w:tblGrid>
        <w:gridCol w:w="1006"/>
        <w:gridCol w:w="3493"/>
        <w:gridCol w:w="451"/>
        <w:gridCol w:w="4320"/>
      </w:tblGrid>
      <w:tr w:rsidR="00FA1BFE" w:rsidRPr="006D7947" w:rsidTr="00FA1BFE">
        <w:tc>
          <w:tcPr>
            <w:tcW w:w="543" w:type="pct"/>
          </w:tcPr>
          <w:p w:rsidR="00FA1BFE" w:rsidRPr="006D7947" w:rsidRDefault="00FA1BFE" w:rsidP="00FA1BFE">
            <w:pPr>
              <w:jc w:val="both"/>
              <w:rPr>
                <w:rFonts w:eastAsia="Calibri"/>
                <w:sz w:val="20"/>
                <w:lang w:val="fr-CA"/>
              </w:rPr>
            </w:pPr>
            <w:r w:rsidRPr="006D7947">
              <w:rPr>
                <w:rFonts w:eastAsia="Calibri"/>
                <w:b/>
                <w:sz w:val="20"/>
                <w:lang w:val="fr-CA"/>
              </w:rPr>
              <w:t>34558</w:t>
            </w:r>
          </w:p>
        </w:tc>
        <w:tc>
          <w:tcPr>
            <w:tcW w:w="4457" w:type="pct"/>
            <w:gridSpan w:val="3"/>
          </w:tcPr>
          <w:p w:rsidR="00FA1BFE" w:rsidRPr="006D7947" w:rsidRDefault="00FA1BFE" w:rsidP="00FA1BFE">
            <w:pPr>
              <w:jc w:val="both"/>
              <w:rPr>
                <w:rFonts w:eastAsia="Calibri"/>
                <w:b/>
                <w:sz w:val="20"/>
                <w:lang w:val="fr-CA"/>
              </w:rPr>
            </w:pPr>
            <w:r w:rsidRPr="006D7947">
              <w:rPr>
                <w:rFonts w:eastAsia="Calibri"/>
                <w:b/>
                <w:sz w:val="20"/>
                <w:lang w:val="fr-CA"/>
              </w:rPr>
              <w:t>Jack Klundert c. Sa Majesté la Reine</w:t>
            </w:r>
          </w:p>
          <w:p w:rsidR="00FA1BFE" w:rsidRPr="006D7947" w:rsidRDefault="00FA1BFE" w:rsidP="00366CD7">
            <w:pPr>
              <w:jc w:val="both"/>
              <w:rPr>
                <w:rFonts w:eastAsia="Calibri"/>
                <w:sz w:val="20"/>
                <w:lang w:val="fr-CA"/>
              </w:rPr>
            </w:pPr>
            <w:r w:rsidRPr="006D7947">
              <w:rPr>
                <w:rFonts w:eastAsia="Calibri"/>
                <w:sz w:val="20"/>
                <w:lang w:val="fr-CA"/>
              </w:rPr>
              <w:t>(Ont.) (Criminelle) (Sur autorisation)</w:t>
            </w:r>
          </w:p>
        </w:tc>
      </w:tr>
      <w:tr w:rsidR="00FA1BFE" w:rsidRPr="00433941" w:rsidTr="00FA1BFE">
        <w:tc>
          <w:tcPr>
            <w:tcW w:w="5000" w:type="pct"/>
            <w:gridSpan w:val="4"/>
          </w:tcPr>
          <w:p w:rsidR="00FA1BFE" w:rsidRPr="006D7947" w:rsidRDefault="00FA1BFE" w:rsidP="00FA1BFE">
            <w:pPr>
              <w:jc w:val="both"/>
              <w:rPr>
                <w:rFonts w:eastAsia="Calibri"/>
                <w:bCs/>
                <w:kern w:val="36"/>
                <w:sz w:val="20"/>
                <w:lang w:val="fr-CA"/>
              </w:rPr>
            </w:pPr>
            <w:r w:rsidRPr="006D7947">
              <w:rPr>
                <w:rFonts w:eastAsia="Calibri"/>
                <w:sz w:val="20"/>
                <w:lang w:val="fr-CA"/>
              </w:rPr>
              <w:t>Droit fiscal – Impôt sur le revenu – Évasion fiscale – La Cour d'appel s'est-elle trompée dans son interprétation de l'intention nécessaire pour qu'il y ait évasion aux termes de l'alinéa s. 239(1)</w:t>
            </w:r>
            <w:r w:rsidRPr="006D7947">
              <w:rPr>
                <w:rFonts w:eastAsia="Calibri"/>
                <w:i/>
                <w:sz w:val="20"/>
                <w:lang w:val="fr-CA"/>
              </w:rPr>
              <w:t>d</w:t>
            </w:r>
            <w:r w:rsidRPr="006D7947">
              <w:rPr>
                <w:rFonts w:eastAsia="Calibri"/>
                <w:sz w:val="20"/>
                <w:lang w:val="fr-CA"/>
              </w:rPr>
              <w:t>) de la</w:t>
            </w:r>
            <w:r w:rsidRPr="006D7947">
              <w:rPr>
                <w:rFonts w:eastAsia="Calibri"/>
                <w:i/>
                <w:sz w:val="20"/>
                <w:lang w:val="fr-CA"/>
              </w:rPr>
              <w:t xml:space="preserve"> Loi de l'impôt sur le revenu</w:t>
            </w:r>
            <w:r w:rsidRPr="006D7947">
              <w:rPr>
                <w:rFonts w:eastAsia="Calibri"/>
                <w:sz w:val="20"/>
                <w:lang w:val="fr-CA"/>
              </w:rPr>
              <w:t>?</w:t>
            </w:r>
            <w:r w:rsidRPr="006D7947">
              <w:rPr>
                <w:rFonts w:eastAsia="Calibri"/>
                <w:i/>
                <w:sz w:val="20"/>
                <w:lang w:val="fr-CA"/>
              </w:rPr>
              <w:t xml:space="preserve"> </w:t>
            </w:r>
            <w:r w:rsidRPr="006D7947">
              <w:rPr>
                <w:rFonts w:eastAsia="Calibri"/>
                <w:sz w:val="20"/>
                <w:lang w:val="fr-CA"/>
              </w:rPr>
              <w:t>– La Cour d'appel a-t-elle eu tort de confirmer la décision du juge de première instance de ne pas exclure le juré numéro 12 sur la dénonciation du juré numéro 10? –</w:t>
            </w:r>
            <w:r w:rsidRPr="006D7947">
              <w:rPr>
                <w:rFonts w:eastAsia="Calibri"/>
                <w:i/>
                <w:sz w:val="20"/>
                <w:lang w:val="fr-CA"/>
              </w:rPr>
              <w:t xml:space="preserve"> Loi de l'impôt sur le revenu</w:t>
            </w:r>
            <w:r w:rsidRPr="006D7947">
              <w:rPr>
                <w:rFonts w:eastAsia="Calibri"/>
                <w:bCs/>
                <w:kern w:val="36"/>
                <w:sz w:val="20"/>
                <w:lang w:val="fr-CA"/>
              </w:rPr>
              <w:t>, L.R.C., 1985, ch. 1 (5</w:t>
            </w:r>
            <w:r w:rsidRPr="006D7947">
              <w:rPr>
                <w:rFonts w:eastAsia="Calibri"/>
                <w:bCs/>
                <w:kern w:val="36"/>
                <w:sz w:val="20"/>
                <w:vertAlign w:val="superscript"/>
                <w:lang w:val="fr-CA"/>
              </w:rPr>
              <w:t>e</w:t>
            </w:r>
            <w:r w:rsidRPr="006D7947">
              <w:rPr>
                <w:rFonts w:eastAsia="Calibri"/>
                <w:bCs/>
                <w:kern w:val="36"/>
                <w:sz w:val="20"/>
                <w:lang w:val="fr-CA"/>
              </w:rPr>
              <w:t xml:space="preserve"> suppl.), al. 239(1)</w:t>
            </w:r>
            <w:r w:rsidRPr="006D7947">
              <w:rPr>
                <w:rFonts w:eastAsia="Calibri"/>
                <w:bCs/>
                <w:i/>
                <w:kern w:val="36"/>
                <w:sz w:val="20"/>
                <w:lang w:val="fr-CA"/>
              </w:rPr>
              <w:t>d</w:t>
            </w:r>
            <w:r w:rsidRPr="006D7947">
              <w:rPr>
                <w:rFonts w:eastAsia="Calibri"/>
                <w:bCs/>
                <w:kern w:val="36"/>
                <w:sz w:val="20"/>
                <w:lang w:val="fr-CA"/>
              </w:rPr>
              <w:t>).</w:t>
            </w:r>
          </w:p>
        </w:tc>
      </w:tr>
      <w:tr w:rsidR="00FA1BFE" w:rsidRPr="00433941" w:rsidTr="00FA1BFE">
        <w:tc>
          <w:tcPr>
            <w:tcW w:w="5000" w:type="pct"/>
            <w:gridSpan w:val="4"/>
          </w:tcPr>
          <w:p w:rsidR="00FA1BFE" w:rsidRPr="006D7947" w:rsidRDefault="00FA1BFE" w:rsidP="00FA1BFE">
            <w:pPr>
              <w:jc w:val="both"/>
              <w:rPr>
                <w:rFonts w:eastAsia="Calibri"/>
                <w:sz w:val="20"/>
                <w:lang w:val="fr-CA"/>
              </w:rPr>
            </w:pPr>
          </w:p>
        </w:tc>
      </w:tr>
      <w:tr w:rsidR="00FA1BFE" w:rsidRPr="00433941" w:rsidTr="00FA1BFE">
        <w:tc>
          <w:tcPr>
            <w:tcW w:w="5000" w:type="pct"/>
            <w:gridSpan w:val="4"/>
          </w:tcPr>
          <w:p w:rsidR="00FA1BFE" w:rsidRPr="006D7947" w:rsidRDefault="00FA1BFE" w:rsidP="00FA1BFE">
            <w:pPr>
              <w:jc w:val="both"/>
              <w:rPr>
                <w:rFonts w:eastAsia="Calibri"/>
                <w:sz w:val="20"/>
                <w:lang w:val="fr-CA"/>
              </w:rPr>
            </w:pPr>
            <w:r w:rsidRPr="006D7947">
              <w:rPr>
                <w:rFonts w:eastAsia="Calibri"/>
                <w:sz w:val="20"/>
                <w:lang w:val="fr-CA"/>
              </w:rPr>
              <w:t>Avant 1993, M. Klundert, un optométriste, avait toujours dûment produit ses déclarations fiscales et payé ses impôts sur le revenu. En 1993, M. Klundert a reçu par la poste une publication qui traitait de l'impôt sur le revenu canadien et qui mettait en question sa validité constitutionnelle. Après avoir reçu la publication et y avoir réfléchi, M. Klundert en est venu à la conclusion qu'il était inconstitutionnel pour le gouvernement fédéral d'imposer et de percevoir l'impôt sur le revenu. Par conséquent, dans ses déclarations fiscales pour les années 1993 à 1997, M. Klundert n'a pas déclaré son revenu ou payé les impôts qu'il devait sur environ 1,4 million de dollars qu'il avait gagnés au cours de ces années.</w:t>
            </w:r>
          </w:p>
          <w:p w:rsidR="00FA1BFE" w:rsidRPr="006D7947" w:rsidRDefault="00FA1BFE" w:rsidP="00FA1BFE">
            <w:pPr>
              <w:jc w:val="both"/>
              <w:rPr>
                <w:rFonts w:eastAsia="Calibri"/>
                <w:sz w:val="20"/>
                <w:lang w:val="fr-CA"/>
              </w:rPr>
            </w:pPr>
          </w:p>
          <w:p w:rsidR="00FA1BFE" w:rsidRPr="006D7947" w:rsidRDefault="00FA1BFE" w:rsidP="00FA1BFE">
            <w:pPr>
              <w:jc w:val="both"/>
              <w:rPr>
                <w:rFonts w:eastAsia="Calibri"/>
                <w:sz w:val="20"/>
                <w:lang w:val="fr-CA"/>
              </w:rPr>
            </w:pPr>
            <w:r w:rsidRPr="006D7947">
              <w:rPr>
                <w:rFonts w:eastAsia="Calibri"/>
                <w:sz w:val="20"/>
                <w:lang w:val="fr-CA"/>
              </w:rPr>
              <w:t>En 2002, le jury a acquitté M. Klundert, mais le ministère public a interjeté appel avec succès et un nouveau procès a été ordonné. En 2006, M. Klundert a été acquitté de nouveau à son deuxième procès, mais encore une fois le ministère public a eu gain de cause en appel. Au terme du troisième procès tenu en 2010, un jury a déclaré M. Klundert coupable d’évasion fiscale en vertu de l'art. 239 de la</w:t>
            </w:r>
            <w:r w:rsidRPr="006D7947">
              <w:rPr>
                <w:rFonts w:eastAsia="Calibri"/>
                <w:i/>
                <w:sz w:val="20"/>
                <w:lang w:val="fr-CA"/>
              </w:rPr>
              <w:t xml:space="preserve"> Loi de l'impôt sur le revenu</w:t>
            </w:r>
            <w:r w:rsidRPr="006D7947">
              <w:rPr>
                <w:rFonts w:eastAsia="Calibri"/>
                <w:sz w:val="20"/>
                <w:lang w:val="fr-CA"/>
              </w:rPr>
              <w:t xml:space="preserve">.  À son procès, la défense de M. Klundert a consisté à nier l'existence de la </w:t>
            </w:r>
            <w:r w:rsidRPr="006D7947">
              <w:rPr>
                <w:rFonts w:eastAsia="Calibri"/>
                <w:i/>
                <w:sz w:val="20"/>
                <w:lang w:val="fr-CA"/>
              </w:rPr>
              <w:t>mens rea</w:t>
            </w:r>
            <w:r w:rsidRPr="006D7947">
              <w:rPr>
                <w:rFonts w:eastAsia="Calibri"/>
                <w:sz w:val="20"/>
                <w:lang w:val="fr-CA"/>
              </w:rPr>
              <w:t>. Il allègue ne pas avoir eu l'intention de commettre une évasion fiscale, et que ces actes avaient plutôt pour but de contester ce qu'il percevait être un acte illégal du gouvernement.  Monsieur Klundert a interjeté appel de sa déclaration de culpabilité et il a également demandé l'autorisation d'appel de la peine de détention de douze mois qui faisait partie de sa peine. La Cour d'appel a rejeté l'appel de la déclaration de culpabilité, mais a accordé l'autorisation d'appel de la peine et a accueilli cet appel. La peine imposée par le juge de première instance était une amende équivalente à 150 % des impôts que M. Klundert avait tenté d’éluder et une peine d'emprisonnement d'un an. Monsieur Klundert s'est contenté de contester la peine d'emprisonnement d'un an. Monsieur Klundert avait purgé une partie de sa peine d’emprisonnement. La Cour d'appel a annulé le reste de sa peine d'emprisonnement et y a substitué une peine avec sursis pour ce qui restait de la peine de 12 mois.</w:t>
            </w:r>
          </w:p>
          <w:p w:rsidR="00FA1BFE" w:rsidRPr="006D7947" w:rsidRDefault="00FA1BFE" w:rsidP="00FA1BFE">
            <w:pPr>
              <w:jc w:val="both"/>
              <w:rPr>
                <w:rFonts w:eastAsia="Calibri"/>
                <w:sz w:val="20"/>
                <w:lang w:val="fr-CA"/>
              </w:rPr>
            </w:pPr>
          </w:p>
        </w:tc>
      </w:tr>
      <w:tr w:rsidR="00FA1BFE" w:rsidRPr="00433941" w:rsidTr="00FA1BFE">
        <w:tc>
          <w:tcPr>
            <w:tcW w:w="2427" w:type="pct"/>
            <w:gridSpan w:val="2"/>
          </w:tcPr>
          <w:p w:rsidR="00FA1BFE" w:rsidRPr="006D7947" w:rsidRDefault="00FA1BFE" w:rsidP="00FA1BFE">
            <w:pPr>
              <w:jc w:val="both"/>
              <w:rPr>
                <w:rFonts w:eastAsia="Calibri"/>
                <w:sz w:val="20"/>
                <w:lang w:val="fr-CA"/>
              </w:rPr>
            </w:pPr>
            <w:r w:rsidRPr="006D7947">
              <w:rPr>
                <w:rFonts w:eastAsia="Calibri"/>
                <w:sz w:val="20"/>
                <w:lang w:val="fr-CA"/>
              </w:rPr>
              <w:t>20 mai 2010</w:t>
            </w:r>
          </w:p>
          <w:p w:rsidR="00FA1BFE" w:rsidRPr="006D7947" w:rsidRDefault="00FA1BFE" w:rsidP="00FA1BFE">
            <w:pPr>
              <w:jc w:val="both"/>
              <w:rPr>
                <w:rFonts w:eastAsia="Calibri"/>
                <w:sz w:val="20"/>
                <w:lang w:val="fr-CA"/>
              </w:rPr>
            </w:pPr>
            <w:r w:rsidRPr="006D7947">
              <w:rPr>
                <w:rFonts w:eastAsia="Calibri"/>
                <w:sz w:val="20"/>
                <w:lang w:val="fr-CA"/>
              </w:rPr>
              <w:t xml:space="preserve">Cour supérieure de justice de l'Ontario </w:t>
            </w:r>
          </w:p>
          <w:p w:rsidR="00FA1BFE" w:rsidRPr="006D7947" w:rsidRDefault="00FA1BFE" w:rsidP="00FA1BFE">
            <w:pPr>
              <w:jc w:val="both"/>
              <w:rPr>
                <w:rFonts w:eastAsia="Calibri"/>
                <w:sz w:val="20"/>
                <w:lang w:val="fr-CA"/>
              </w:rPr>
            </w:pPr>
            <w:r w:rsidRPr="006D7947">
              <w:rPr>
                <w:rFonts w:eastAsia="Calibri"/>
                <w:sz w:val="20"/>
                <w:lang w:val="fr-CA"/>
              </w:rPr>
              <w:t>(Juge Patterson)</w:t>
            </w:r>
          </w:p>
          <w:p w:rsidR="00FA1BFE" w:rsidRPr="006D7947" w:rsidRDefault="00FA1BFE" w:rsidP="00FA1BFE">
            <w:pPr>
              <w:jc w:val="both"/>
              <w:rPr>
                <w:rFonts w:eastAsia="Calibri"/>
                <w:sz w:val="20"/>
                <w:lang w:val="fr-CA"/>
              </w:rPr>
            </w:pPr>
          </w:p>
        </w:tc>
        <w:tc>
          <w:tcPr>
            <w:tcW w:w="243" w:type="pct"/>
          </w:tcPr>
          <w:p w:rsidR="00FA1BFE" w:rsidRPr="006D7947" w:rsidRDefault="00FA1BFE" w:rsidP="00FA1BFE">
            <w:pPr>
              <w:jc w:val="both"/>
              <w:rPr>
                <w:rFonts w:eastAsia="Calibri"/>
                <w:sz w:val="20"/>
                <w:lang w:val="fr-CA"/>
              </w:rPr>
            </w:pPr>
          </w:p>
        </w:tc>
        <w:tc>
          <w:tcPr>
            <w:tcW w:w="2330" w:type="pct"/>
          </w:tcPr>
          <w:p w:rsidR="00FA1BFE" w:rsidRPr="006D7947" w:rsidRDefault="00FA1BFE" w:rsidP="00FA1BFE">
            <w:pPr>
              <w:jc w:val="both"/>
              <w:rPr>
                <w:rFonts w:eastAsia="Calibri"/>
                <w:sz w:val="20"/>
                <w:lang w:val="fr-CA"/>
              </w:rPr>
            </w:pPr>
            <w:r w:rsidRPr="006D7947">
              <w:rPr>
                <w:rFonts w:eastAsia="Calibri"/>
                <w:sz w:val="20"/>
                <w:lang w:val="fr-CA"/>
              </w:rPr>
              <w:t>Demandeur déclaré coupable d’évasion fiscale en vertu de la</w:t>
            </w:r>
            <w:r w:rsidRPr="006D7947">
              <w:rPr>
                <w:rFonts w:eastAsia="Calibri"/>
                <w:i/>
                <w:sz w:val="20"/>
                <w:lang w:val="fr-CA"/>
              </w:rPr>
              <w:t xml:space="preserve"> Loi de l'impôt sur le revenu</w:t>
            </w:r>
            <w:r w:rsidRPr="006D7947">
              <w:rPr>
                <w:rFonts w:eastAsia="Calibri"/>
                <w:sz w:val="20"/>
                <w:lang w:val="fr-CA"/>
              </w:rPr>
              <w:t>; le demandeur est condamné à une amende équivalente à 150 % de l'impôt que le demandeur avait tenté d’éluder et à une période de détention d'un an</w:t>
            </w:r>
          </w:p>
          <w:p w:rsidR="00FA1BFE" w:rsidRPr="006D7947" w:rsidRDefault="00FA1BFE" w:rsidP="00FA1BFE">
            <w:pPr>
              <w:jc w:val="both"/>
              <w:rPr>
                <w:rFonts w:eastAsia="Calibri"/>
                <w:sz w:val="20"/>
                <w:lang w:val="fr-CA"/>
              </w:rPr>
            </w:pPr>
          </w:p>
        </w:tc>
      </w:tr>
      <w:tr w:rsidR="00FA1BFE" w:rsidRPr="00686322" w:rsidTr="00FA1BFE">
        <w:tc>
          <w:tcPr>
            <w:tcW w:w="2427" w:type="pct"/>
            <w:gridSpan w:val="2"/>
          </w:tcPr>
          <w:p w:rsidR="00FA1BFE" w:rsidRPr="006D7947" w:rsidRDefault="00FA1BFE" w:rsidP="00FA1BFE">
            <w:pPr>
              <w:jc w:val="both"/>
              <w:rPr>
                <w:rFonts w:eastAsia="Calibri"/>
                <w:sz w:val="20"/>
                <w:lang w:val="fr-CA"/>
              </w:rPr>
            </w:pPr>
            <w:r w:rsidRPr="006D7947">
              <w:rPr>
                <w:rFonts w:eastAsia="Calibri"/>
                <w:sz w:val="20"/>
                <w:lang w:val="fr-CA"/>
              </w:rPr>
              <w:t>17 octobre 2011</w:t>
            </w:r>
          </w:p>
          <w:p w:rsidR="00FA1BFE" w:rsidRPr="006D7947" w:rsidRDefault="00FA1BFE" w:rsidP="00FA1BFE">
            <w:pPr>
              <w:jc w:val="both"/>
              <w:rPr>
                <w:rFonts w:eastAsia="Calibri"/>
                <w:sz w:val="20"/>
                <w:lang w:val="fr-CA"/>
              </w:rPr>
            </w:pPr>
            <w:r w:rsidRPr="006D7947">
              <w:rPr>
                <w:rFonts w:eastAsia="Calibri"/>
                <w:sz w:val="20"/>
                <w:lang w:val="fr-CA"/>
              </w:rPr>
              <w:t xml:space="preserve">Cour d'appel de l'Ontario </w:t>
            </w:r>
          </w:p>
          <w:p w:rsidR="00FA1BFE" w:rsidRPr="006D7947" w:rsidRDefault="00FA1BFE" w:rsidP="00FA1BFE">
            <w:pPr>
              <w:jc w:val="both"/>
              <w:rPr>
                <w:rFonts w:eastAsia="Calibri"/>
                <w:sz w:val="20"/>
                <w:lang w:val="fr-CA"/>
              </w:rPr>
            </w:pPr>
            <w:r w:rsidRPr="006D7947">
              <w:rPr>
                <w:rFonts w:eastAsia="Calibri"/>
                <w:sz w:val="20"/>
                <w:lang w:val="fr-CA"/>
              </w:rPr>
              <w:t>(Juges Laskin, Goudge et LaForme)</w:t>
            </w:r>
          </w:p>
          <w:p w:rsidR="00FA1BFE" w:rsidRPr="006D7947" w:rsidRDefault="00FA1BFE" w:rsidP="00FA1BFE">
            <w:pPr>
              <w:jc w:val="both"/>
              <w:rPr>
                <w:rFonts w:eastAsia="Calibri"/>
                <w:sz w:val="20"/>
                <w:lang w:val="fr-CA"/>
              </w:rPr>
            </w:pPr>
            <w:r w:rsidRPr="006D7947">
              <w:rPr>
                <w:rFonts w:eastAsia="Calibri"/>
                <w:sz w:val="20"/>
                <w:lang w:val="fr-CA"/>
              </w:rPr>
              <w:t>2011 ONCA 646; C52300</w:t>
            </w:r>
          </w:p>
          <w:p w:rsidR="00FA1BFE" w:rsidRPr="006D7947" w:rsidRDefault="00FA1BFE" w:rsidP="00FA1BFE">
            <w:pPr>
              <w:jc w:val="both"/>
              <w:rPr>
                <w:rFonts w:eastAsia="Calibri"/>
                <w:sz w:val="20"/>
                <w:lang w:val="fr-CA"/>
              </w:rPr>
            </w:pPr>
          </w:p>
        </w:tc>
        <w:tc>
          <w:tcPr>
            <w:tcW w:w="243" w:type="pct"/>
          </w:tcPr>
          <w:p w:rsidR="00FA1BFE" w:rsidRPr="006D7947" w:rsidRDefault="00FA1BFE" w:rsidP="00FA1BFE">
            <w:pPr>
              <w:jc w:val="both"/>
              <w:rPr>
                <w:rFonts w:eastAsia="Calibri"/>
                <w:sz w:val="20"/>
                <w:lang w:val="fr-CA"/>
              </w:rPr>
            </w:pPr>
          </w:p>
        </w:tc>
        <w:tc>
          <w:tcPr>
            <w:tcW w:w="2330" w:type="pct"/>
          </w:tcPr>
          <w:p w:rsidR="00FA1BFE" w:rsidRPr="006D7947" w:rsidRDefault="00FA1BFE" w:rsidP="00FA1BFE">
            <w:pPr>
              <w:jc w:val="both"/>
              <w:rPr>
                <w:rFonts w:eastAsia="Calibri"/>
                <w:sz w:val="20"/>
                <w:lang w:val="fr-CA"/>
              </w:rPr>
            </w:pPr>
            <w:r w:rsidRPr="006D7947">
              <w:rPr>
                <w:rFonts w:eastAsia="Calibri"/>
                <w:sz w:val="20"/>
                <w:lang w:val="fr-CA"/>
              </w:rPr>
              <w:t>Appel de la déclaration de culpabilité, rejeté; autorisation d’appel de la peine accordée et appel accueilli</w:t>
            </w:r>
          </w:p>
          <w:p w:rsidR="00FA1BFE" w:rsidRPr="006D7947" w:rsidRDefault="00FA1BFE" w:rsidP="00FA1BFE">
            <w:pPr>
              <w:jc w:val="both"/>
              <w:rPr>
                <w:rFonts w:eastAsia="Calibri"/>
                <w:sz w:val="20"/>
                <w:lang w:val="fr-CA"/>
              </w:rPr>
            </w:pPr>
          </w:p>
        </w:tc>
      </w:tr>
      <w:tr w:rsidR="00FA1BFE" w:rsidRPr="006D7947" w:rsidTr="00FA1BFE">
        <w:tc>
          <w:tcPr>
            <w:tcW w:w="2427" w:type="pct"/>
            <w:gridSpan w:val="2"/>
          </w:tcPr>
          <w:p w:rsidR="00FA1BFE" w:rsidRPr="006D7947" w:rsidRDefault="00FA1BFE" w:rsidP="00FA1BFE">
            <w:pPr>
              <w:jc w:val="both"/>
              <w:rPr>
                <w:rFonts w:eastAsia="Calibri"/>
                <w:sz w:val="20"/>
                <w:lang w:val="fr-CA"/>
              </w:rPr>
            </w:pPr>
            <w:r w:rsidRPr="006D7947">
              <w:rPr>
                <w:rFonts w:eastAsia="Calibri"/>
                <w:sz w:val="20"/>
                <w:lang w:val="fr-CA"/>
              </w:rPr>
              <w:t>2 décembre 2011</w:t>
            </w:r>
          </w:p>
          <w:p w:rsidR="00FA1BFE" w:rsidRPr="006D7947" w:rsidRDefault="00FA1BFE" w:rsidP="00FA1BFE">
            <w:pPr>
              <w:jc w:val="both"/>
              <w:rPr>
                <w:rFonts w:eastAsia="Calibri"/>
                <w:sz w:val="20"/>
                <w:lang w:val="fr-CA"/>
              </w:rPr>
            </w:pPr>
            <w:r w:rsidRPr="006D7947">
              <w:rPr>
                <w:rFonts w:eastAsia="Calibri"/>
                <w:sz w:val="20"/>
                <w:lang w:val="fr-CA"/>
              </w:rPr>
              <w:t>Cour suprême du Canada</w:t>
            </w:r>
          </w:p>
        </w:tc>
        <w:tc>
          <w:tcPr>
            <w:tcW w:w="243" w:type="pct"/>
          </w:tcPr>
          <w:p w:rsidR="00FA1BFE" w:rsidRPr="006D7947" w:rsidRDefault="00FA1BFE" w:rsidP="00FA1BFE">
            <w:pPr>
              <w:jc w:val="both"/>
              <w:rPr>
                <w:rFonts w:eastAsia="Calibri"/>
                <w:sz w:val="20"/>
                <w:lang w:val="fr-CA"/>
              </w:rPr>
            </w:pPr>
          </w:p>
        </w:tc>
        <w:tc>
          <w:tcPr>
            <w:tcW w:w="2330" w:type="pct"/>
          </w:tcPr>
          <w:p w:rsidR="00FA1BFE" w:rsidRPr="006D7947" w:rsidRDefault="00FA1BFE" w:rsidP="00FA1BFE">
            <w:pPr>
              <w:jc w:val="both"/>
              <w:rPr>
                <w:rFonts w:eastAsia="Calibri"/>
                <w:sz w:val="20"/>
                <w:lang w:val="fr-CA"/>
              </w:rPr>
            </w:pPr>
            <w:r w:rsidRPr="006D7947">
              <w:rPr>
                <w:rFonts w:eastAsia="Calibri"/>
                <w:sz w:val="20"/>
                <w:lang w:val="fr-CA"/>
              </w:rPr>
              <w:t>Demande d'autorisation d'appel, déposée</w:t>
            </w:r>
          </w:p>
          <w:p w:rsidR="00FA1BFE" w:rsidRPr="006D7947" w:rsidRDefault="00FA1BFE" w:rsidP="00FA1BFE">
            <w:pPr>
              <w:jc w:val="both"/>
              <w:rPr>
                <w:rFonts w:eastAsia="Calibri"/>
                <w:sz w:val="20"/>
                <w:lang w:val="fr-CA"/>
              </w:rPr>
            </w:pPr>
          </w:p>
        </w:tc>
      </w:tr>
    </w:tbl>
    <w:p w:rsidR="00FA1BFE" w:rsidRDefault="00FA1BFE" w:rsidP="00FA1BFE">
      <w:pPr>
        <w:jc w:val="both"/>
        <w:rPr>
          <w:rFonts w:eastAsia="Calibri"/>
          <w:sz w:val="20"/>
          <w:lang w:val="fr-CA"/>
        </w:rPr>
      </w:pPr>
    </w:p>
    <w:p w:rsidR="006A0693" w:rsidRPr="006D7947" w:rsidRDefault="006A0693" w:rsidP="00FA1BFE">
      <w:pPr>
        <w:jc w:val="both"/>
        <w:rPr>
          <w:rFonts w:eastAsia="Calibr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FA1BFE" w:rsidRPr="006D7947" w:rsidTr="00FA1BFE">
        <w:tc>
          <w:tcPr>
            <w:tcW w:w="543" w:type="pct"/>
          </w:tcPr>
          <w:p w:rsidR="00FA1BFE" w:rsidRPr="006D7947" w:rsidRDefault="00FA1BFE" w:rsidP="00FA1BFE">
            <w:pPr>
              <w:jc w:val="both"/>
              <w:rPr>
                <w:rFonts w:eastAsiaTheme="minorHAnsi"/>
                <w:sz w:val="20"/>
                <w:lang w:val="en-CA"/>
              </w:rPr>
            </w:pPr>
            <w:r w:rsidRPr="006D7947">
              <w:rPr>
                <w:rFonts w:eastAsiaTheme="minorHAnsi"/>
                <w:b/>
                <w:sz w:val="20"/>
                <w:lang w:val="en-CA"/>
              </w:rPr>
              <w:t>34540</w:t>
            </w:r>
          </w:p>
        </w:tc>
        <w:tc>
          <w:tcPr>
            <w:tcW w:w="4457" w:type="pct"/>
            <w:gridSpan w:val="3"/>
          </w:tcPr>
          <w:p w:rsidR="00FA1BFE" w:rsidRPr="006D7947" w:rsidRDefault="00FA1BFE" w:rsidP="00FA1BFE">
            <w:pPr>
              <w:jc w:val="both"/>
              <w:rPr>
                <w:rFonts w:eastAsiaTheme="minorHAnsi"/>
                <w:b/>
                <w:sz w:val="20"/>
                <w:lang w:val="en-CA"/>
              </w:rPr>
            </w:pPr>
            <w:r w:rsidRPr="006D7947">
              <w:rPr>
                <w:rFonts w:eastAsiaTheme="minorHAnsi"/>
                <w:b/>
                <w:sz w:val="20"/>
                <w:lang w:val="en-CA"/>
              </w:rPr>
              <w:t>Simon Cadorette v. Her Majesty the Queen</w:t>
            </w:r>
          </w:p>
          <w:p w:rsidR="00FA1BFE" w:rsidRPr="006D7947" w:rsidRDefault="00FA1BFE" w:rsidP="006A0693">
            <w:pPr>
              <w:jc w:val="both"/>
              <w:rPr>
                <w:rFonts w:eastAsiaTheme="minorHAnsi"/>
                <w:sz w:val="20"/>
                <w:lang w:val="en-CA"/>
              </w:rPr>
            </w:pPr>
            <w:r w:rsidRPr="006D7947">
              <w:rPr>
                <w:rFonts w:eastAsiaTheme="minorHAnsi"/>
                <w:sz w:val="20"/>
                <w:lang w:val="en-CA"/>
              </w:rPr>
              <w:t>(Que.) (Criminal) (By Leave)</w:t>
            </w: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r w:rsidRPr="006D7947">
              <w:rPr>
                <w:rFonts w:eastAsiaTheme="minorHAnsi"/>
                <w:sz w:val="20"/>
                <w:lang w:val="en-CA"/>
              </w:rPr>
              <w:t xml:space="preserve">Criminal law – Evidence – Offences – Sexual assault – Assault – Absent evidence concerning </w:t>
            </w:r>
            <w:r w:rsidRPr="006D7947">
              <w:rPr>
                <w:rFonts w:eastAsiaTheme="minorHAnsi"/>
                <w:i/>
                <w:sz w:val="20"/>
                <w:lang w:val="en-CA"/>
              </w:rPr>
              <w:t>actus reus</w:t>
            </w:r>
            <w:r w:rsidRPr="006D7947">
              <w:rPr>
                <w:rFonts w:eastAsiaTheme="minorHAnsi"/>
                <w:sz w:val="20"/>
                <w:lang w:val="en-CA"/>
              </w:rPr>
              <w:t xml:space="preserve"> of offence, whether Quebec Court of Appeal erred in upholding trial judge’s guilty verdict even though verdict not supported by evidence.</w:t>
            </w: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r w:rsidRPr="006D7947">
              <w:rPr>
                <w:rFonts w:eastAsiaTheme="minorHAnsi"/>
                <w:sz w:val="20"/>
                <w:lang w:val="en-CA"/>
              </w:rPr>
              <w:t xml:space="preserve">On August 25, 2005, the victim and two friends, the applicant Mr. Cadorette and Mr. Larocque, celebrated the victim’s departure for Alberta.  Following a family party and a late night at a bar, where they all had a lot to drink, they went to a hotel to sleep.  A video recording from the hotel’s security cameras showed Mr. Cadorette holding the victim by the waist with his right arm and carrying her purse in his left hand.  When they arrived at the suite, the complainant began vomiting and had to go to the washroom.  The three individuals slept in the same bed.  The complainant had no recollection of the events that followed until early the next morning, when she woke up not wearing her pants or underwear but still wearing her sweater and bra.  Her </w:t>
            </w:r>
            <w:r w:rsidRPr="006D7947">
              <w:rPr>
                <w:rFonts w:eastAsiaTheme="minorHAnsi"/>
                <w:i/>
                <w:sz w:val="20"/>
                <w:lang w:val="en-CA"/>
              </w:rPr>
              <w:t>labia minora</w:t>
            </w:r>
            <w:r w:rsidRPr="006D7947">
              <w:rPr>
                <w:rFonts w:eastAsiaTheme="minorHAnsi"/>
                <w:sz w:val="20"/>
                <w:lang w:val="en-CA"/>
              </w:rPr>
              <w:t xml:space="preserve"> hurt.  Mr. Cadorette suggested to her that Mr. Larocque might be responsible.  When the complainant returned home, she told her parents that she had been sexually assaulted.  She noticed bruises on her thigh and knee.  An analysis of the DNA samples collected the same day showed that the sperm found in the vaginal and anal</w:t>
            </w:r>
            <w:r w:rsidRPr="006D7947">
              <w:rPr>
                <w:rFonts w:eastAsiaTheme="minorHAnsi"/>
                <w:sz w:val="20"/>
                <w:lang w:val="en-CA"/>
              </w:rPr>
              <w:noBreakHyphen/>
              <w:t>rectal samples and on the crotch of the complainant’s pants belonged to Mr. Cadorette and not Mr. Larocque.  Mr. Cadorette denied committing sexual acts against the complainant. He was charged with sexual assault causing bodily harm.</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October 6, 2008</w:t>
            </w:r>
          </w:p>
          <w:p w:rsidR="00FA1BFE" w:rsidRPr="006D7947" w:rsidRDefault="00FA1BFE" w:rsidP="00FA1BFE">
            <w:pPr>
              <w:jc w:val="both"/>
              <w:rPr>
                <w:rFonts w:eastAsiaTheme="minorHAnsi"/>
                <w:sz w:val="20"/>
                <w:lang w:val="en-CA"/>
              </w:rPr>
            </w:pPr>
            <w:r w:rsidRPr="006D7947">
              <w:rPr>
                <w:rFonts w:eastAsiaTheme="minorHAnsi"/>
                <w:sz w:val="20"/>
                <w:lang w:val="en-CA"/>
              </w:rPr>
              <w:t>Court of Québec</w:t>
            </w:r>
          </w:p>
          <w:p w:rsidR="00FA1BFE" w:rsidRPr="006D7947" w:rsidRDefault="00FA1BFE" w:rsidP="00FA1BFE">
            <w:pPr>
              <w:jc w:val="both"/>
              <w:rPr>
                <w:rFonts w:eastAsiaTheme="minorHAnsi"/>
                <w:sz w:val="20"/>
                <w:lang w:val="en-CA"/>
              </w:rPr>
            </w:pPr>
            <w:r w:rsidRPr="006D7947">
              <w:rPr>
                <w:rFonts w:eastAsiaTheme="minorHAnsi"/>
                <w:sz w:val="20"/>
                <w:lang w:val="en-CA"/>
              </w:rPr>
              <w:t>(Judge Bélisle)</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Applicant convicted of sexual assault causing bodily harm</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September 27, 2011</w:t>
            </w:r>
          </w:p>
          <w:p w:rsidR="00FA1BFE" w:rsidRPr="006D7947" w:rsidRDefault="00FA1BFE" w:rsidP="00FA1BFE">
            <w:pPr>
              <w:jc w:val="both"/>
              <w:rPr>
                <w:rFonts w:eastAsiaTheme="minorHAnsi"/>
                <w:sz w:val="20"/>
                <w:lang w:val="en-CA"/>
              </w:rPr>
            </w:pPr>
            <w:r w:rsidRPr="006D7947">
              <w:rPr>
                <w:rFonts w:eastAsiaTheme="minorHAnsi"/>
                <w:sz w:val="20"/>
                <w:lang w:val="en-CA"/>
              </w:rPr>
              <w:t>Quebec Court of Appeal (Montréal)</w:t>
            </w:r>
          </w:p>
          <w:p w:rsidR="00FA1BFE" w:rsidRPr="006D7947" w:rsidRDefault="00FA1BFE" w:rsidP="00FA1BFE">
            <w:pPr>
              <w:jc w:val="both"/>
              <w:rPr>
                <w:rFonts w:eastAsiaTheme="minorHAnsi"/>
                <w:sz w:val="20"/>
                <w:lang w:val="en-CA"/>
              </w:rPr>
            </w:pPr>
            <w:r w:rsidRPr="006D7947">
              <w:rPr>
                <w:rFonts w:eastAsiaTheme="minorHAnsi"/>
                <w:sz w:val="20"/>
                <w:lang w:val="en-CA"/>
              </w:rPr>
              <w:t>(Dufresne, Duval Hesler and Bouchard JJ.A.)</w:t>
            </w:r>
          </w:p>
          <w:p w:rsidR="00FA1BFE" w:rsidRPr="006D7947" w:rsidRDefault="00FA1BFE" w:rsidP="00FA1BFE">
            <w:pPr>
              <w:jc w:val="both"/>
              <w:rPr>
                <w:rFonts w:eastAsiaTheme="minorHAnsi"/>
                <w:sz w:val="20"/>
                <w:lang w:val="en-CA"/>
              </w:rPr>
            </w:pPr>
            <w:r w:rsidRPr="006D7947">
              <w:rPr>
                <w:rFonts w:eastAsiaTheme="minorHAnsi"/>
                <w:sz w:val="20"/>
                <w:lang w:val="en-CA"/>
              </w:rPr>
              <w:t>2011 QCCA 1792</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Appeal from verdict dismissed</w:t>
            </w:r>
          </w:p>
          <w:p w:rsidR="00FA1BFE" w:rsidRPr="006D7947" w:rsidRDefault="00FA1BFE" w:rsidP="00FA1BFE">
            <w:pPr>
              <w:jc w:val="both"/>
              <w:rPr>
                <w:rFonts w:eastAsiaTheme="minorHAnsi"/>
                <w:sz w:val="20"/>
                <w:lang w:val="en-CA"/>
              </w:rPr>
            </w:pP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November 25, 2011</w:t>
            </w:r>
          </w:p>
          <w:p w:rsidR="00FA1BFE" w:rsidRPr="006D7947" w:rsidRDefault="00FA1BFE" w:rsidP="00FA1BFE">
            <w:pPr>
              <w:jc w:val="both"/>
              <w:rPr>
                <w:rFonts w:eastAsiaTheme="minorHAnsi"/>
                <w:sz w:val="20"/>
                <w:lang w:val="en-CA"/>
              </w:rPr>
            </w:pPr>
            <w:r w:rsidRPr="006D7947">
              <w:rPr>
                <w:rFonts w:eastAsiaTheme="minorHAnsi"/>
                <w:sz w:val="20"/>
                <w:lang w:val="en-CA"/>
              </w:rPr>
              <w:t>Supreme Court of Canada</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Application for leave to appeal filed</w:t>
            </w:r>
          </w:p>
          <w:p w:rsidR="00FA1BFE" w:rsidRPr="006D7947" w:rsidRDefault="00FA1BFE" w:rsidP="00FA1BFE">
            <w:pPr>
              <w:jc w:val="both"/>
              <w:rPr>
                <w:rFonts w:eastAsiaTheme="minorHAnsi"/>
                <w:sz w:val="20"/>
                <w:lang w:val="en-CA"/>
              </w:rPr>
            </w:pPr>
          </w:p>
        </w:tc>
      </w:tr>
    </w:tbl>
    <w:p w:rsidR="00FA1BFE" w:rsidRPr="006D7947" w:rsidRDefault="00FA1BFE" w:rsidP="00FA1BFE">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FA1BFE" w:rsidRPr="006D7947" w:rsidTr="00FA1BFE">
        <w:tc>
          <w:tcPr>
            <w:tcW w:w="543" w:type="pct"/>
          </w:tcPr>
          <w:p w:rsidR="00FA1BFE" w:rsidRPr="006D7947" w:rsidRDefault="00FA1BFE" w:rsidP="00FA1BFE">
            <w:pPr>
              <w:jc w:val="both"/>
              <w:rPr>
                <w:rFonts w:eastAsiaTheme="minorHAnsi"/>
                <w:sz w:val="20"/>
                <w:lang w:val="fr-CA"/>
              </w:rPr>
            </w:pPr>
            <w:r w:rsidRPr="006D7947">
              <w:rPr>
                <w:rFonts w:eastAsiaTheme="minorHAnsi"/>
                <w:b/>
                <w:sz w:val="20"/>
                <w:lang w:val="en-CA"/>
              </w:rPr>
              <w:t>34540</w:t>
            </w:r>
          </w:p>
        </w:tc>
        <w:tc>
          <w:tcPr>
            <w:tcW w:w="4457" w:type="pct"/>
            <w:gridSpan w:val="3"/>
          </w:tcPr>
          <w:p w:rsidR="00FA1BFE" w:rsidRPr="006D7947" w:rsidRDefault="00FA1BFE" w:rsidP="00FA1BFE">
            <w:pPr>
              <w:jc w:val="both"/>
              <w:rPr>
                <w:rFonts w:eastAsiaTheme="minorHAnsi"/>
                <w:b/>
                <w:sz w:val="20"/>
                <w:lang w:val="fr-CA"/>
              </w:rPr>
            </w:pPr>
            <w:r w:rsidRPr="006D7947">
              <w:rPr>
                <w:rFonts w:eastAsiaTheme="minorHAnsi"/>
                <w:b/>
                <w:sz w:val="20"/>
                <w:lang w:val="fr-CA"/>
              </w:rPr>
              <w:t>Simon Cadorette c. Sa Majesté la Reine</w:t>
            </w:r>
          </w:p>
          <w:p w:rsidR="00FA1BFE" w:rsidRPr="006D7947" w:rsidRDefault="00FA1BFE" w:rsidP="00FA1BFE">
            <w:pPr>
              <w:jc w:val="both"/>
              <w:rPr>
                <w:rFonts w:eastAsiaTheme="minorHAnsi"/>
                <w:sz w:val="20"/>
                <w:lang w:val="fr-CA"/>
              </w:rPr>
            </w:pPr>
            <w:r w:rsidRPr="006D7947">
              <w:rPr>
                <w:rFonts w:eastAsiaTheme="minorHAnsi"/>
                <w:sz w:val="20"/>
                <w:lang w:val="fr-CA"/>
              </w:rPr>
              <w:t>(Qc) (Criminelle) (Autorisation)</w:t>
            </w:r>
          </w:p>
        </w:tc>
      </w:tr>
      <w:tr w:rsidR="00FA1BFE" w:rsidRPr="00433941" w:rsidTr="00FA1BFE">
        <w:tc>
          <w:tcPr>
            <w:tcW w:w="5000" w:type="pct"/>
            <w:gridSpan w:val="4"/>
          </w:tcPr>
          <w:p w:rsidR="00FA1BFE" w:rsidRPr="006D7947" w:rsidRDefault="00FA1BFE" w:rsidP="00FA1BFE">
            <w:pPr>
              <w:jc w:val="both"/>
              <w:rPr>
                <w:rFonts w:eastAsiaTheme="minorHAnsi"/>
                <w:sz w:val="20"/>
                <w:lang w:val="fr-CA"/>
              </w:rPr>
            </w:pPr>
            <w:r w:rsidRPr="006D7947">
              <w:rPr>
                <w:rFonts w:eastAsiaTheme="minorHAnsi"/>
                <w:sz w:val="20"/>
                <w:lang w:val="fr-CA"/>
              </w:rPr>
              <w:t xml:space="preserve">Droit criminel – Preuve – Infractions - Agression sexuelle – Voies de fait - En l’absence d’un élément de preuve relatif à </w:t>
            </w:r>
            <w:proofErr w:type="gramStart"/>
            <w:r w:rsidRPr="006D7947">
              <w:rPr>
                <w:rFonts w:eastAsiaTheme="minorHAnsi"/>
                <w:sz w:val="20"/>
                <w:lang w:val="fr-CA"/>
              </w:rPr>
              <w:t>l’</w:t>
            </w:r>
            <w:r w:rsidRPr="006D7947">
              <w:rPr>
                <w:rFonts w:eastAsiaTheme="minorHAnsi"/>
                <w:i/>
                <w:sz w:val="20"/>
                <w:lang w:val="fr-CA"/>
              </w:rPr>
              <w:t>actus</w:t>
            </w:r>
            <w:proofErr w:type="gramEnd"/>
            <w:r w:rsidRPr="006D7947">
              <w:rPr>
                <w:rFonts w:eastAsiaTheme="minorHAnsi"/>
                <w:i/>
                <w:sz w:val="20"/>
                <w:lang w:val="fr-CA"/>
              </w:rPr>
              <w:t xml:space="preserve"> reus</w:t>
            </w:r>
            <w:r w:rsidRPr="006D7947">
              <w:rPr>
                <w:rFonts w:eastAsiaTheme="minorHAnsi"/>
                <w:sz w:val="20"/>
                <w:lang w:val="fr-CA"/>
              </w:rPr>
              <w:t xml:space="preserve"> de l’infraction, la Cour d’appel du Québec a-t-elle erré en confirmant le verdict de culpabilité rendu par le juge de première instance alors que ce verdict ne trouvait pas appui dans la preuve.</w:t>
            </w:r>
          </w:p>
        </w:tc>
      </w:tr>
      <w:tr w:rsidR="00FA1BFE" w:rsidRPr="00433941" w:rsidTr="00FA1BFE">
        <w:tc>
          <w:tcPr>
            <w:tcW w:w="5000" w:type="pct"/>
            <w:gridSpan w:val="4"/>
          </w:tcPr>
          <w:p w:rsidR="00FA1BFE" w:rsidRPr="006D7947" w:rsidRDefault="00FA1BFE" w:rsidP="00FA1BFE">
            <w:pPr>
              <w:jc w:val="both"/>
              <w:rPr>
                <w:rFonts w:eastAsiaTheme="minorHAnsi"/>
                <w:sz w:val="20"/>
                <w:lang w:val="fr-CA"/>
              </w:rPr>
            </w:pPr>
          </w:p>
        </w:tc>
      </w:tr>
      <w:tr w:rsidR="00FA1BFE" w:rsidRPr="00686322" w:rsidTr="00FA1BFE">
        <w:tc>
          <w:tcPr>
            <w:tcW w:w="5000" w:type="pct"/>
            <w:gridSpan w:val="4"/>
          </w:tcPr>
          <w:p w:rsidR="00FA1BFE" w:rsidRDefault="006A0693" w:rsidP="00FA1BFE">
            <w:pPr>
              <w:jc w:val="both"/>
              <w:rPr>
                <w:rFonts w:eastAsiaTheme="minorHAnsi"/>
                <w:sz w:val="20"/>
                <w:lang w:val="fr-CA"/>
              </w:rPr>
            </w:pPr>
            <w:r>
              <w:rPr>
                <w:rFonts w:eastAsiaTheme="minorHAnsi"/>
                <w:sz w:val="20"/>
                <w:lang w:val="fr-CA"/>
              </w:rPr>
              <w:t>L</w:t>
            </w:r>
            <w:r w:rsidR="00FA1BFE" w:rsidRPr="006D7947">
              <w:rPr>
                <w:rFonts w:eastAsiaTheme="minorHAnsi"/>
                <w:sz w:val="20"/>
                <w:lang w:val="fr-CA"/>
              </w:rPr>
              <w:t>e 25 août 2005, la victime et deux amis, soit le demandeur M. Cadorette (« Cadorette ») et M. Larocque (« Larocque »), ont fêté le départ de cette dernière pour l’Alberta. Après une fête de famille et une fin de soirée à un bar ou les trois ont beaucoup bu, ils se sont rendus à un hôtel pour dormir. Une vidéo enregistrée par les caméras de sécurité de l’hôtel démontre que Cadorette tenait la victime par la taille avec son bras droit et qu’il transportait son sac à main avec sa main gauche. À son arrivée dans la suite, la plaignante, prise de vomissements, doit se rendre à la toilette. Les trois se couchent dans le même lit. La plaignante perd souvenance de la suite des évènements jusqu’au petit matin ou elle se réveille sans pantalon, ni sous-vêtements à l’exception de son chandail et soutien-gorge. Elle a mal aux lèvres inférieures du vagin. Cadorette lui laisse entendre que Larocque pourrait être responsable. Lorsqu’elle rentre chez elle, elle divulgue à ses parents avoir été victime d’une agression sexuelle. Elle remarque des ecchymoses sur sa cuisse et son genou. Une analyse des substances génétiques prélevées le même jour démontre que le sperme de Cadorette et non de Larocque se trouvait dans les prélèvements vaginaux, anaux-rectaux ainsi qu’à l’entrejambe du pantalon de la plaignante. Cadorette nie avoir commis des gestes de nature sexuelle envers elle.  Il est accusé d’agression sexuelle avec infliction de lésions corporelles.</w:t>
            </w:r>
          </w:p>
          <w:p w:rsidR="006A0693" w:rsidRPr="006D7947" w:rsidRDefault="006A0693" w:rsidP="00FA1BFE">
            <w:pPr>
              <w:jc w:val="both"/>
              <w:rPr>
                <w:rFonts w:eastAsiaTheme="minorHAnsi"/>
                <w:sz w:val="20"/>
                <w:lang w:val="fr-CA"/>
              </w:rPr>
            </w:pPr>
          </w:p>
        </w:tc>
      </w:tr>
      <w:tr w:rsidR="00FA1BFE" w:rsidRPr="00686322" w:rsidTr="00FA1BFE">
        <w:tc>
          <w:tcPr>
            <w:tcW w:w="2427" w:type="pct"/>
            <w:gridSpan w:val="2"/>
          </w:tcPr>
          <w:p w:rsidR="00FA1BFE" w:rsidRPr="006D7947" w:rsidRDefault="00FA1BFE" w:rsidP="00FA1BFE">
            <w:pPr>
              <w:jc w:val="both"/>
              <w:rPr>
                <w:rFonts w:eastAsiaTheme="minorHAnsi"/>
                <w:sz w:val="20"/>
                <w:lang w:val="fr-CA"/>
              </w:rPr>
            </w:pPr>
            <w:r w:rsidRPr="006D7947">
              <w:rPr>
                <w:rFonts w:eastAsiaTheme="minorHAnsi"/>
                <w:sz w:val="20"/>
                <w:lang w:val="fr-CA"/>
              </w:rPr>
              <w:t>Le 6 octobre 2008</w:t>
            </w:r>
          </w:p>
          <w:p w:rsidR="00FA1BFE" w:rsidRPr="006D7947" w:rsidRDefault="00FA1BFE" w:rsidP="00FA1BFE">
            <w:pPr>
              <w:jc w:val="both"/>
              <w:rPr>
                <w:rFonts w:eastAsiaTheme="minorHAnsi"/>
                <w:sz w:val="20"/>
                <w:lang w:val="fr-CA"/>
              </w:rPr>
            </w:pPr>
            <w:r w:rsidRPr="006D7947">
              <w:rPr>
                <w:rFonts w:eastAsiaTheme="minorHAnsi"/>
                <w:sz w:val="20"/>
                <w:lang w:val="fr-CA"/>
              </w:rPr>
              <w:t>Cour du Québec</w:t>
            </w:r>
          </w:p>
          <w:p w:rsidR="00FA1BFE" w:rsidRPr="006D7947" w:rsidRDefault="00FA1BFE" w:rsidP="00FA1BFE">
            <w:pPr>
              <w:jc w:val="both"/>
              <w:rPr>
                <w:rFonts w:eastAsiaTheme="minorHAnsi"/>
                <w:sz w:val="20"/>
                <w:lang w:val="fr-CA"/>
              </w:rPr>
            </w:pPr>
            <w:r w:rsidRPr="006D7947">
              <w:rPr>
                <w:rFonts w:eastAsiaTheme="minorHAnsi"/>
                <w:sz w:val="20"/>
                <w:lang w:val="fr-CA"/>
              </w:rPr>
              <w:t>(Le juge Bélisle)</w:t>
            </w:r>
          </w:p>
          <w:p w:rsidR="00FA1BFE" w:rsidRPr="006D7947" w:rsidRDefault="00FA1BFE" w:rsidP="00FA1BFE">
            <w:pPr>
              <w:jc w:val="both"/>
              <w:rPr>
                <w:rFonts w:eastAsiaTheme="minorHAnsi"/>
                <w:sz w:val="20"/>
                <w:lang w:val="fr-FR"/>
              </w:rPr>
            </w:pPr>
          </w:p>
        </w:tc>
        <w:tc>
          <w:tcPr>
            <w:tcW w:w="243" w:type="pct"/>
          </w:tcPr>
          <w:p w:rsidR="00FA1BFE" w:rsidRPr="006D7947" w:rsidRDefault="00FA1BFE" w:rsidP="00FA1BFE">
            <w:pPr>
              <w:jc w:val="both"/>
              <w:rPr>
                <w:rFonts w:eastAsiaTheme="minorHAnsi"/>
                <w:sz w:val="20"/>
                <w:lang w:val="fr-FR"/>
              </w:rPr>
            </w:pPr>
          </w:p>
        </w:tc>
        <w:tc>
          <w:tcPr>
            <w:tcW w:w="2330" w:type="pct"/>
          </w:tcPr>
          <w:p w:rsidR="00FA1BFE" w:rsidRPr="006D7947" w:rsidRDefault="00FA1BFE" w:rsidP="00FA1BFE">
            <w:pPr>
              <w:jc w:val="both"/>
              <w:rPr>
                <w:rFonts w:eastAsiaTheme="minorHAnsi"/>
                <w:sz w:val="20"/>
                <w:lang w:val="fr-CA"/>
              </w:rPr>
            </w:pPr>
            <w:r w:rsidRPr="006D7947">
              <w:rPr>
                <w:rFonts w:eastAsiaTheme="minorHAnsi"/>
                <w:sz w:val="20"/>
                <w:lang w:val="fr-CA"/>
              </w:rPr>
              <w:t>Déclaration de culpabilité : Agression sexuelle avec infliction de lésions corporelles</w:t>
            </w:r>
          </w:p>
          <w:p w:rsidR="00FA1BFE" w:rsidRPr="006D7947" w:rsidRDefault="00FA1BFE" w:rsidP="00FA1BFE">
            <w:pPr>
              <w:jc w:val="both"/>
              <w:rPr>
                <w:rFonts w:eastAsiaTheme="minorHAnsi"/>
                <w:sz w:val="20"/>
                <w:lang w:val="fr-CA"/>
              </w:rPr>
            </w:pPr>
          </w:p>
        </w:tc>
      </w:tr>
      <w:tr w:rsidR="00FA1BFE" w:rsidRPr="006D7947" w:rsidTr="00FA1BFE">
        <w:tc>
          <w:tcPr>
            <w:tcW w:w="2427" w:type="pct"/>
            <w:gridSpan w:val="2"/>
          </w:tcPr>
          <w:p w:rsidR="00FA1BFE" w:rsidRPr="006D7947" w:rsidRDefault="00FA1BFE" w:rsidP="00FA1BFE">
            <w:pPr>
              <w:jc w:val="both"/>
              <w:rPr>
                <w:rFonts w:eastAsiaTheme="minorHAnsi"/>
                <w:sz w:val="20"/>
                <w:lang w:val="fr-CA"/>
              </w:rPr>
            </w:pPr>
            <w:r w:rsidRPr="006D7947">
              <w:rPr>
                <w:rFonts w:eastAsiaTheme="minorHAnsi"/>
                <w:sz w:val="20"/>
                <w:lang w:val="fr-CA"/>
              </w:rPr>
              <w:t>Le 27 septembre 2011</w:t>
            </w:r>
          </w:p>
          <w:p w:rsidR="00FA1BFE" w:rsidRPr="006D7947" w:rsidRDefault="00FA1BFE" w:rsidP="00FA1BFE">
            <w:pPr>
              <w:jc w:val="both"/>
              <w:rPr>
                <w:rFonts w:eastAsiaTheme="minorHAnsi"/>
                <w:sz w:val="20"/>
                <w:lang w:val="fr-CA"/>
              </w:rPr>
            </w:pPr>
            <w:r w:rsidRPr="006D7947">
              <w:rPr>
                <w:rFonts w:eastAsiaTheme="minorHAnsi"/>
                <w:sz w:val="20"/>
                <w:lang w:val="fr-CA"/>
              </w:rPr>
              <w:t>Cour d’appel du Québec (Montréal)</w:t>
            </w:r>
          </w:p>
          <w:p w:rsidR="00FA1BFE" w:rsidRPr="006D7947" w:rsidRDefault="00FA1BFE" w:rsidP="00FA1BFE">
            <w:pPr>
              <w:jc w:val="both"/>
              <w:rPr>
                <w:rFonts w:eastAsiaTheme="minorHAnsi"/>
                <w:sz w:val="20"/>
                <w:lang w:val="fr-CA"/>
              </w:rPr>
            </w:pPr>
            <w:r w:rsidRPr="006D7947">
              <w:rPr>
                <w:rFonts w:eastAsiaTheme="minorHAnsi"/>
                <w:sz w:val="20"/>
                <w:lang w:val="fr-CA"/>
              </w:rPr>
              <w:t>(Les juges Dufresne, Duval Hesler et, Bouchard)</w:t>
            </w:r>
          </w:p>
          <w:p w:rsidR="00FA1BFE" w:rsidRPr="006D7947" w:rsidRDefault="00FA1BFE" w:rsidP="00FA1BFE">
            <w:pPr>
              <w:jc w:val="both"/>
              <w:rPr>
                <w:rFonts w:eastAsiaTheme="minorHAnsi"/>
                <w:sz w:val="20"/>
                <w:lang w:val="fr-CA"/>
              </w:rPr>
            </w:pPr>
            <w:r w:rsidRPr="006D7947">
              <w:rPr>
                <w:rFonts w:eastAsiaTheme="minorHAnsi"/>
                <w:sz w:val="20"/>
                <w:lang w:val="fr-CA"/>
              </w:rPr>
              <w:t>2011 QCCA 1792</w:t>
            </w:r>
          </w:p>
          <w:p w:rsidR="00FA1BFE" w:rsidRPr="006D7947" w:rsidRDefault="00FA1BFE" w:rsidP="00FA1BFE">
            <w:pPr>
              <w:jc w:val="both"/>
              <w:rPr>
                <w:rFonts w:eastAsiaTheme="minorHAnsi"/>
                <w:sz w:val="20"/>
                <w:lang w:val="fr-FR"/>
              </w:rPr>
            </w:pPr>
          </w:p>
        </w:tc>
        <w:tc>
          <w:tcPr>
            <w:tcW w:w="243" w:type="pct"/>
          </w:tcPr>
          <w:p w:rsidR="00FA1BFE" w:rsidRPr="006D7947" w:rsidRDefault="00FA1BFE" w:rsidP="00FA1BFE">
            <w:pPr>
              <w:jc w:val="both"/>
              <w:rPr>
                <w:rFonts w:eastAsiaTheme="minorHAnsi"/>
                <w:sz w:val="20"/>
                <w:lang w:val="fr-FR"/>
              </w:rPr>
            </w:pPr>
          </w:p>
        </w:tc>
        <w:tc>
          <w:tcPr>
            <w:tcW w:w="2330" w:type="pct"/>
          </w:tcPr>
          <w:p w:rsidR="00FA1BFE" w:rsidRPr="006D7947" w:rsidRDefault="00FA1BFE" w:rsidP="00FA1BFE">
            <w:pPr>
              <w:jc w:val="both"/>
              <w:rPr>
                <w:rFonts w:eastAsiaTheme="minorHAnsi"/>
                <w:sz w:val="20"/>
                <w:lang w:val="fr-CA"/>
              </w:rPr>
            </w:pPr>
            <w:r w:rsidRPr="006D7947">
              <w:rPr>
                <w:rFonts w:eastAsiaTheme="minorHAnsi"/>
                <w:sz w:val="20"/>
                <w:lang w:val="fr-CA"/>
              </w:rPr>
              <w:t>Appel du verdict rejeté</w:t>
            </w:r>
          </w:p>
          <w:p w:rsidR="00FA1BFE" w:rsidRPr="006D7947" w:rsidRDefault="00FA1BFE" w:rsidP="00FA1BFE">
            <w:pPr>
              <w:jc w:val="both"/>
              <w:rPr>
                <w:rFonts w:eastAsiaTheme="minorHAnsi"/>
                <w:sz w:val="20"/>
                <w:lang w:val="fr-CA"/>
              </w:rPr>
            </w:pPr>
          </w:p>
          <w:p w:rsidR="00FA1BFE" w:rsidRPr="006D7947" w:rsidRDefault="00FA1BFE" w:rsidP="00FA1BFE">
            <w:pPr>
              <w:jc w:val="both"/>
              <w:rPr>
                <w:rFonts w:eastAsiaTheme="minorHAnsi"/>
                <w:sz w:val="20"/>
                <w:lang w:val="fr-CA"/>
              </w:rPr>
            </w:pPr>
          </w:p>
        </w:tc>
      </w:tr>
      <w:tr w:rsidR="00FA1BFE" w:rsidRPr="006D7947" w:rsidTr="00FA1BFE">
        <w:tc>
          <w:tcPr>
            <w:tcW w:w="2427" w:type="pct"/>
            <w:gridSpan w:val="2"/>
          </w:tcPr>
          <w:p w:rsidR="00FA1BFE" w:rsidRPr="006D7947" w:rsidRDefault="00FA1BFE" w:rsidP="00FA1BFE">
            <w:pPr>
              <w:jc w:val="both"/>
              <w:rPr>
                <w:rFonts w:eastAsiaTheme="minorHAnsi"/>
                <w:sz w:val="20"/>
                <w:lang w:val="fr-CA"/>
              </w:rPr>
            </w:pPr>
            <w:r w:rsidRPr="006D7947">
              <w:rPr>
                <w:rFonts w:eastAsiaTheme="minorHAnsi"/>
                <w:sz w:val="20"/>
                <w:lang w:val="fr-CA"/>
              </w:rPr>
              <w:t>Le 25 novembre 2011</w:t>
            </w:r>
          </w:p>
          <w:p w:rsidR="00FA1BFE" w:rsidRPr="006D7947" w:rsidRDefault="00FA1BFE" w:rsidP="00FA1BFE">
            <w:pPr>
              <w:jc w:val="both"/>
              <w:rPr>
                <w:rFonts w:eastAsiaTheme="minorHAnsi"/>
                <w:sz w:val="20"/>
                <w:lang w:val="fr-CA"/>
              </w:rPr>
            </w:pPr>
            <w:r w:rsidRPr="006D7947">
              <w:rPr>
                <w:rFonts w:eastAsiaTheme="minorHAnsi"/>
                <w:sz w:val="20"/>
                <w:lang w:val="fr-CA"/>
              </w:rPr>
              <w:t>Cour suprême du Canada</w:t>
            </w:r>
          </w:p>
          <w:p w:rsidR="00FA1BFE" w:rsidRPr="006D7947" w:rsidRDefault="00FA1BFE" w:rsidP="00FA1BFE">
            <w:pPr>
              <w:jc w:val="both"/>
              <w:rPr>
                <w:rFonts w:eastAsiaTheme="minorHAnsi"/>
                <w:sz w:val="20"/>
                <w:lang w:val="fr-FR"/>
              </w:rPr>
            </w:pPr>
          </w:p>
        </w:tc>
        <w:tc>
          <w:tcPr>
            <w:tcW w:w="243" w:type="pct"/>
          </w:tcPr>
          <w:p w:rsidR="00FA1BFE" w:rsidRPr="006D7947" w:rsidRDefault="00FA1BFE" w:rsidP="00FA1BFE">
            <w:pPr>
              <w:jc w:val="both"/>
              <w:rPr>
                <w:rFonts w:eastAsiaTheme="minorHAnsi"/>
                <w:sz w:val="20"/>
                <w:lang w:val="fr-FR"/>
              </w:rPr>
            </w:pPr>
          </w:p>
        </w:tc>
        <w:tc>
          <w:tcPr>
            <w:tcW w:w="2330" w:type="pct"/>
          </w:tcPr>
          <w:p w:rsidR="00FA1BFE" w:rsidRPr="006D7947" w:rsidRDefault="00FA1BFE" w:rsidP="00FA1BFE">
            <w:pPr>
              <w:jc w:val="both"/>
              <w:rPr>
                <w:rFonts w:eastAsiaTheme="minorHAnsi"/>
                <w:sz w:val="20"/>
                <w:lang w:val="fr-CA"/>
              </w:rPr>
            </w:pPr>
            <w:r w:rsidRPr="006D7947">
              <w:rPr>
                <w:rFonts w:eastAsiaTheme="minorHAnsi"/>
                <w:sz w:val="20"/>
                <w:lang w:val="fr-CA"/>
              </w:rPr>
              <w:t>Demande d'autorisation d'appel déposée</w:t>
            </w:r>
          </w:p>
          <w:p w:rsidR="00FA1BFE" w:rsidRPr="006D7947" w:rsidRDefault="00FA1BFE" w:rsidP="00FA1BFE">
            <w:pPr>
              <w:jc w:val="both"/>
              <w:rPr>
                <w:rFonts w:eastAsiaTheme="minorHAnsi"/>
                <w:sz w:val="20"/>
                <w:lang w:val="fr-CA"/>
              </w:rPr>
            </w:pPr>
          </w:p>
        </w:tc>
      </w:tr>
    </w:tbl>
    <w:p w:rsidR="00FA1BFE" w:rsidRPr="006D7947" w:rsidRDefault="00FA1BFE" w:rsidP="00FA1BFE">
      <w:pPr>
        <w:jc w:val="both"/>
        <w:rPr>
          <w:rFonts w:eastAsiaTheme="minorHAns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FA1BFE" w:rsidRPr="006D7947" w:rsidTr="00FA1BFE">
        <w:tc>
          <w:tcPr>
            <w:tcW w:w="543" w:type="pct"/>
          </w:tcPr>
          <w:p w:rsidR="00FA1BFE" w:rsidRPr="006D7947" w:rsidRDefault="00FA1BFE" w:rsidP="00FA1BFE">
            <w:pPr>
              <w:jc w:val="both"/>
              <w:rPr>
                <w:rFonts w:eastAsiaTheme="minorHAnsi"/>
                <w:sz w:val="20"/>
                <w:lang w:val="en-CA"/>
              </w:rPr>
            </w:pPr>
            <w:r w:rsidRPr="006D7947">
              <w:rPr>
                <w:rFonts w:eastAsiaTheme="minorHAnsi"/>
                <w:b/>
                <w:sz w:val="20"/>
                <w:lang w:val="en-CA"/>
              </w:rPr>
              <w:t>34477</w:t>
            </w:r>
          </w:p>
        </w:tc>
        <w:tc>
          <w:tcPr>
            <w:tcW w:w="4457" w:type="pct"/>
            <w:gridSpan w:val="3"/>
          </w:tcPr>
          <w:p w:rsidR="00FA1BFE" w:rsidRPr="006D7947" w:rsidRDefault="00FA1BFE" w:rsidP="00FA1BFE">
            <w:pPr>
              <w:jc w:val="both"/>
              <w:rPr>
                <w:rFonts w:eastAsiaTheme="minorHAnsi"/>
                <w:b/>
                <w:sz w:val="20"/>
                <w:lang w:val="en-CA"/>
              </w:rPr>
            </w:pPr>
            <w:r w:rsidRPr="006D7947">
              <w:rPr>
                <w:rFonts w:eastAsiaTheme="minorHAnsi"/>
                <w:b/>
                <w:sz w:val="20"/>
                <w:lang w:val="en-CA"/>
              </w:rPr>
              <w:t>Kenneth E. Nelson, Matrix Marine Equipment Ltd. v. Inter-Pro Property (#2) Corporation (formerly known as 1153696 Alberta Ltd.)</w:t>
            </w:r>
          </w:p>
          <w:p w:rsidR="00FA1BFE" w:rsidRPr="006D7947" w:rsidRDefault="00FA1BFE" w:rsidP="006A0693">
            <w:pPr>
              <w:jc w:val="both"/>
              <w:rPr>
                <w:rFonts w:eastAsiaTheme="minorHAnsi"/>
                <w:sz w:val="20"/>
                <w:lang w:val="en-CA"/>
              </w:rPr>
            </w:pPr>
            <w:r w:rsidRPr="006D7947">
              <w:rPr>
                <w:rFonts w:eastAsiaTheme="minorHAnsi"/>
                <w:sz w:val="20"/>
                <w:lang w:val="en-CA"/>
              </w:rPr>
              <w:t>(Alta.) (Civil) (By Leave)</w:t>
            </w: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r w:rsidRPr="006D7947">
              <w:rPr>
                <w:rFonts w:eastAsiaTheme="minorHAnsi"/>
                <w:sz w:val="20"/>
                <w:lang w:val="en-CA"/>
              </w:rPr>
              <w:t>Property – Real property – Public highway – Ownership and use of private road –  Easements – Easement of necessity – Whether the Court of Appeal narrowed the scope of the doctrine of judicial knowledge so as to only apply in an aboriginal context – Whether the Court of Appeal dramatically increased the burden and due diligence requirement on purchasers of land by requiring them to ensure they have legally registered access to every parcel prior to concluding a sales transaction – Whether conflicts exist between provincial authorities on the application of the common law test for public road by dedication – Whether the Court of Appeal has made the test for admitting new evidence more stringent.</w:t>
            </w:r>
          </w:p>
          <w:p w:rsidR="00FA1BFE" w:rsidRPr="006D7947" w:rsidRDefault="00FA1BFE" w:rsidP="00FA1BFE">
            <w:pPr>
              <w:jc w:val="both"/>
              <w:rPr>
                <w:rFonts w:eastAsiaTheme="minorHAnsi"/>
                <w:sz w:val="20"/>
                <w:lang w:val="en-CA"/>
              </w:rPr>
            </w:pP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r w:rsidRPr="006D7947">
              <w:rPr>
                <w:rFonts w:eastAsiaTheme="minorHAnsi"/>
                <w:sz w:val="20"/>
                <w:lang w:val="en-CA"/>
              </w:rPr>
              <w:t xml:space="preserve">The application concerns the ownership and use of a road in the County of Leduc, Alberta. The road crosses the respondent's land and leads to two recreational facilities, one of which is owned and operated by the applicant, Kenneth Nelson. The road has been used by the patrons, employees and owners of both facilities for many years. There has never been any other road or land access to either facility.  Mr. Nelson became aware that the road was not a county-owned road after he purchased the property and received a development permit in 1985; a condition for the permit imposed by the county was that Nelson </w:t>
            </w:r>
            <w:proofErr w:type="gramStart"/>
            <w:r w:rsidRPr="006D7947">
              <w:rPr>
                <w:rFonts w:eastAsiaTheme="minorHAnsi"/>
                <w:sz w:val="20"/>
                <w:lang w:val="en-CA"/>
              </w:rPr>
              <w:t>obtain</w:t>
            </w:r>
            <w:proofErr w:type="gramEnd"/>
            <w:r w:rsidRPr="006D7947">
              <w:rPr>
                <w:rFonts w:eastAsiaTheme="minorHAnsi"/>
                <w:sz w:val="20"/>
                <w:lang w:val="en-CA"/>
              </w:rPr>
              <w:t xml:space="preserve"> approval from adjoining landowners for access to the site.  Between 1986 and 1989, Nelson had discussions with the then owner of the road for the purpose of negotiating an easement agreement for use of the road. No agreement was ever formalized. Meanwhile, Nelson had begun development, including building a home, a water-ski lake and a maintenance building.  Access to the development site and the subsequent use of the commercial water-ski operation was undertaken with the then road owner’s knowledge and acquiescence.  When the respondent bought the land in 2005, it asserted that the road was private and that Nelson and his patrons, staff and family were prohibited from using it. Nelson brought an application seeking declarations that the road had been dedicated to public use, or that he had gained an easement at common law or equity over the respondent's land.  </w:t>
            </w:r>
          </w:p>
          <w:p w:rsidR="00FA1BFE" w:rsidRPr="006D7947" w:rsidRDefault="00FA1BFE" w:rsidP="00FA1BFE">
            <w:pPr>
              <w:jc w:val="both"/>
              <w:rPr>
                <w:rFonts w:eastAsiaTheme="minorHAnsi"/>
                <w:sz w:val="20"/>
                <w:lang w:val="en-CA"/>
              </w:rPr>
            </w:pPr>
          </w:p>
          <w:p w:rsidR="00FA1BFE" w:rsidRPr="006D7947" w:rsidRDefault="00FA1BFE" w:rsidP="00FA1BFE">
            <w:pPr>
              <w:jc w:val="both"/>
              <w:rPr>
                <w:rFonts w:eastAsiaTheme="minorHAnsi"/>
                <w:sz w:val="20"/>
                <w:lang w:val="en-CA"/>
              </w:rPr>
            </w:pPr>
            <w:r w:rsidRPr="006D7947">
              <w:rPr>
                <w:rFonts w:eastAsiaTheme="minorHAnsi"/>
                <w:sz w:val="20"/>
                <w:lang w:val="en-CA"/>
              </w:rPr>
              <w:t>The Alberta Court of Queen’s Bench granted the application, declaring the road a public highway, however dismissed the application for a declaration that the applicants had an easement over the road.  A majority of the Court of Appeal allowed the respondent’s appeal, dismissing the applicants’ application to admit fresh evidence and cross-appeal for an easement.</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December 11, 2009</w:t>
            </w:r>
          </w:p>
          <w:p w:rsidR="00FA1BFE" w:rsidRPr="006D7947" w:rsidRDefault="00FA1BFE" w:rsidP="00FA1BFE">
            <w:pPr>
              <w:jc w:val="both"/>
              <w:rPr>
                <w:rFonts w:eastAsiaTheme="minorHAnsi"/>
                <w:sz w:val="20"/>
                <w:lang w:val="en-CA"/>
              </w:rPr>
            </w:pPr>
            <w:r w:rsidRPr="006D7947">
              <w:rPr>
                <w:rFonts w:eastAsiaTheme="minorHAnsi"/>
                <w:sz w:val="20"/>
                <w:lang w:val="en-CA"/>
              </w:rPr>
              <w:t>Court of Queen’s Bench of Alberta</w:t>
            </w:r>
          </w:p>
          <w:p w:rsidR="00FA1BFE" w:rsidRPr="006D7947" w:rsidRDefault="00FA1BFE" w:rsidP="00FA1BFE">
            <w:pPr>
              <w:jc w:val="both"/>
              <w:rPr>
                <w:rFonts w:eastAsiaTheme="minorHAnsi"/>
                <w:sz w:val="20"/>
                <w:lang w:val="en-CA"/>
              </w:rPr>
            </w:pPr>
            <w:r w:rsidRPr="006D7947">
              <w:rPr>
                <w:rFonts w:eastAsiaTheme="minorHAnsi"/>
                <w:sz w:val="20"/>
                <w:lang w:val="en-CA"/>
              </w:rPr>
              <w:t>(Moen J.)</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Applicants’ application for declaration road was public property, granted.  Applicants’ application for declaration of easement over respondent’s lands, dismissed.</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July 6, 2011</w:t>
            </w:r>
          </w:p>
          <w:p w:rsidR="00FA1BFE" w:rsidRPr="006D7947" w:rsidRDefault="00FA1BFE" w:rsidP="00FA1BFE">
            <w:pPr>
              <w:jc w:val="both"/>
              <w:rPr>
                <w:rFonts w:eastAsiaTheme="minorHAnsi"/>
                <w:sz w:val="20"/>
                <w:lang w:val="en-CA"/>
              </w:rPr>
            </w:pPr>
            <w:r w:rsidRPr="006D7947">
              <w:rPr>
                <w:rFonts w:eastAsiaTheme="minorHAnsi"/>
                <w:sz w:val="20"/>
                <w:lang w:val="en-CA"/>
              </w:rPr>
              <w:t>Court of Appeal of Alberta (Edmonton)</w:t>
            </w:r>
          </w:p>
          <w:p w:rsidR="00FA1BFE" w:rsidRDefault="00FA1BFE" w:rsidP="00FA1BFE">
            <w:pPr>
              <w:jc w:val="both"/>
              <w:rPr>
                <w:rFonts w:eastAsiaTheme="minorHAnsi"/>
                <w:sz w:val="20"/>
                <w:lang w:val="en-CA"/>
              </w:rPr>
            </w:pPr>
            <w:r w:rsidRPr="006D7947">
              <w:rPr>
                <w:rFonts w:eastAsiaTheme="minorHAnsi"/>
                <w:sz w:val="20"/>
                <w:lang w:val="en-CA"/>
              </w:rPr>
              <w:t>(Paperny (dissenting in part) and McDonald JJ.A. and Verville J.)</w:t>
            </w:r>
          </w:p>
          <w:p w:rsidR="006A0693" w:rsidRPr="006D7947" w:rsidRDefault="006A0693"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Respondent’s appeal, allowed; applicants’ application to admit fresh evidence and cross-appeal for easement, dismissed.</w:t>
            </w: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September 29, 2011</w:t>
            </w:r>
          </w:p>
          <w:p w:rsidR="00FA1BFE" w:rsidRDefault="00FA1BFE" w:rsidP="00FA1BFE">
            <w:pPr>
              <w:jc w:val="both"/>
              <w:rPr>
                <w:rFonts w:eastAsiaTheme="minorHAnsi"/>
                <w:sz w:val="20"/>
                <w:lang w:val="en-CA"/>
              </w:rPr>
            </w:pPr>
            <w:r w:rsidRPr="006D7947">
              <w:rPr>
                <w:rFonts w:eastAsiaTheme="minorHAnsi"/>
                <w:sz w:val="20"/>
                <w:lang w:val="en-CA"/>
              </w:rPr>
              <w:t>Supreme Court of Canada</w:t>
            </w:r>
          </w:p>
          <w:p w:rsidR="006A0693" w:rsidRPr="006D7947" w:rsidRDefault="006A0693"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Application for leave to appeal, filed.</w:t>
            </w:r>
          </w:p>
        </w:tc>
      </w:tr>
    </w:tbl>
    <w:p w:rsidR="00FA1BFE" w:rsidRPr="006D7947" w:rsidRDefault="00FA1BFE" w:rsidP="00FA1BFE">
      <w:pPr>
        <w:jc w:val="both"/>
        <w:rPr>
          <w:rFonts w:eastAsiaTheme="minorHAnsi"/>
          <w:sz w:val="20"/>
          <w:lang w:val="en-CA"/>
        </w:rPr>
      </w:pPr>
    </w:p>
    <w:tbl>
      <w:tblPr>
        <w:tblW w:w="4952" w:type="pct"/>
        <w:tblLayout w:type="fixed"/>
        <w:tblCellMar>
          <w:left w:w="0" w:type="dxa"/>
          <w:bottom w:w="99" w:type="dxa"/>
          <w:right w:w="0" w:type="dxa"/>
        </w:tblCellMar>
        <w:tblLook w:val="00A0"/>
      </w:tblPr>
      <w:tblGrid>
        <w:gridCol w:w="1006"/>
        <w:gridCol w:w="3493"/>
        <w:gridCol w:w="451"/>
        <w:gridCol w:w="4320"/>
      </w:tblGrid>
      <w:tr w:rsidR="00FA1BFE" w:rsidRPr="006D7947" w:rsidTr="00FA1BFE">
        <w:tc>
          <w:tcPr>
            <w:tcW w:w="543" w:type="pct"/>
          </w:tcPr>
          <w:p w:rsidR="00FA1BFE" w:rsidRPr="006D7947" w:rsidRDefault="00FA1BFE" w:rsidP="00FA1BFE">
            <w:pPr>
              <w:jc w:val="both"/>
              <w:rPr>
                <w:rFonts w:eastAsia="Calibri"/>
                <w:sz w:val="20"/>
                <w:lang w:val="fr-CA"/>
              </w:rPr>
            </w:pPr>
            <w:r w:rsidRPr="006D7947">
              <w:rPr>
                <w:rFonts w:eastAsia="Calibri"/>
                <w:b/>
                <w:sz w:val="20"/>
                <w:lang w:val="fr-CA"/>
              </w:rPr>
              <w:t>34477</w:t>
            </w:r>
          </w:p>
        </w:tc>
        <w:tc>
          <w:tcPr>
            <w:tcW w:w="4457" w:type="pct"/>
            <w:gridSpan w:val="3"/>
          </w:tcPr>
          <w:p w:rsidR="00FA1BFE" w:rsidRPr="006D7947" w:rsidRDefault="00FA1BFE" w:rsidP="00FA1BFE">
            <w:pPr>
              <w:jc w:val="both"/>
              <w:rPr>
                <w:rFonts w:eastAsia="Calibri"/>
                <w:b/>
                <w:sz w:val="20"/>
                <w:lang w:val="fr-CA"/>
              </w:rPr>
            </w:pPr>
            <w:r w:rsidRPr="006D7947">
              <w:rPr>
                <w:rFonts w:eastAsia="Calibri"/>
                <w:b/>
                <w:sz w:val="20"/>
                <w:lang w:val="fr-CA"/>
              </w:rPr>
              <w:t>Kenneth E. Nelson, Matrix Marine Equipment Ltd. c. Inter-Pro Property (#2) Corporation (auparavant connue sous le nom de 1153696 Alberta Ltd.)</w:t>
            </w:r>
          </w:p>
          <w:p w:rsidR="00FA1BFE" w:rsidRPr="006D7947" w:rsidRDefault="00FA1BFE" w:rsidP="00FA1BFE">
            <w:pPr>
              <w:jc w:val="both"/>
              <w:rPr>
                <w:rFonts w:eastAsia="Calibri"/>
                <w:sz w:val="20"/>
                <w:lang w:val="fr-CA"/>
              </w:rPr>
            </w:pPr>
            <w:r w:rsidRPr="006D7947">
              <w:rPr>
                <w:rFonts w:eastAsia="Calibri"/>
                <w:sz w:val="20"/>
                <w:lang w:val="fr-CA"/>
              </w:rPr>
              <w:t>(Alb.) (Civile) (Sur autorisation)</w:t>
            </w:r>
          </w:p>
        </w:tc>
      </w:tr>
      <w:tr w:rsidR="00FA1BFE" w:rsidRPr="00686322" w:rsidTr="00FA1BFE">
        <w:tc>
          <w:tcPr>
            <w:tcW w:w="5000" w:type="pct"/>
            <w:gridSpan w:val="4"/>
          </w:tcPr>
          <w:p w:rsidR="00FA1BFE" w:rsidRPr="006D7947" w:rsidRDefault="00FA1BFE" w:rsidP="00FA1BFE">
            <w:pPr>
              <w:jc w:val="both"/>
              <w:rPr>
                <w:rFonts w:eastAsia="Calibri"/>
                <w:sz w:val="20"/>
                <w:lang w:val="fr-CA"/>
              </w:rPr>
            </w:pPr>
            <w:r w:rsidRPr="006D7947">
              <w:rPr>
                <w:rFonts w:eastAsia="Calibri"/>
                <w:sz w:val="20"/>
                <w:lang w:val="fr-CA"/>
              </w:rPr>
              <w:t>Biens – Biens réels – Voie publique – Propriété et usage d'un chemin privé – Servitudes – Servitude de nécessité – La Cour d'appel a-t-elle limité la portée de la doctrine de la connaissance d'office pour qu'elle ne s'applique que dans le contexte autochtone? – La Cour d'appel a-t-elle radicalement augmenté le fardeau et l'obligation de diligence raisonnable qui incombent aux acheteurs de biens-fonds en les obligeant de s’assurer qu'ils ont un accès légalement inscrit à chacune des parcelles avant de conclure une opération de vente? – La jurisprudence des provinces est-elle contradictoire quant à l'application du critère de common law en matière de voie publique par affectation? – La Cour d'appel a-t-elle rendu le critère d'admission de nouveaux éléments de preuve plus rigoureux?</w:t>
            </w:r>
          </w:p>
          <w:p w:rsidR="00FA1BFE" w:rsidRPr="006D7947" w:rsidRDefault="00FA1BFE" w:rsidP="00FA1BFE">
            <w:pPr>
              <w:jc w:val="both"/>
              <w:rPr>
                <w:rFonts w:eastAsia="Calibri"/>
                <w:sz w:val="20"/>
                <w:lang w:val="fr-CA"/>
              </w:rPr>
            </w:pPr>
          </w:p>
        </w:tc>
      </w:tr>
      <w:tr w:rsidR="00FA1BFE" w:rsidRPr="00686322" w:rsidTr="00FA1BFE">
        <w:tc>
          <w:tcPr>
            <w:tcW w:w="5000" w:type="pct"/>
            <w:gridSpan w:val="4"/>
          </w:tcPr>
          <w:p w:rsidR="00FA1BFE" w:rsidRPr="006D7947" w:rsidRDefault="00FA1BFE" w:rsidP="00FA1BFE">
            <w:pPr>
              <w:jc w:val="both"/>
              <w:rPr>
                <w:rFonts w:eastAsia="Calibri"/>
                <w:sz w:val="20"/>
                <w:lang w:val="fr-CA"/>
              </w:rPr>
            </w:pPr>
            <w:r w:rsidRPr="006D7947">
              <w:rPr>
                <w:rFonts w:eastAsia="Calibri"/>
                <w:sz w:val="20"/>
                <w:lang w:val="fr-CA"/>
              </w:rPr>
              <w:t xml:space="preserve">La demande porte sur la propriété et l'usage d'un chemin dans le comté de Leduc, en Alberta. Le chemin traverse le bien-fonds de l'intimée et mène à deux installations récréatives, dont une est exploitée par le demandeur, Kenneth Nelson qui en est aussi le propriétaire. Le chemin a été utilisé par les clients, les employés et les propriétaires des deux installations pendant plusieurs années. Il n'y a jamais eu d'autres chemins ou droits de passage menant à l’une ou l’autre des installations. Monsieur Nelson a appris que le chemin n’était pas un chemin appartenant au comté après qu’il  a acheté </w:t>
            </w:r>
            <w:proofErr w:type="gramStart"/>
            <w:r w:rsidRPr="006D7947">
              <w:rPr>
                <w:rFonts w:eastAsia="Calibri"/>
                <w:sz w:val="20"/>
                <w:lang w:val="fr-CA"/>
              </w:rPr>
              <w:t>le</w:t>
            </w:r>
            <w:proofErr w:type="gramEnd"/>
            <w:r w:rsidRPr="006D7947">
              <w:rPr>
                <w:rFonts w:eastAsia="Calibri"/>
                <w:sz w:val="20"/>
                <w:lang w:val="fr-CA"/>
              </w:rPr>
              <w:t xml:space="preserve"> bien-fonds et qu’il a reçu un permis d’aménagement en 1985; une des conditions du permis imposées par le comté était que M. Nelson obtienne l'approbation des propriétaires de biens-fonds adjacents pour avoir accès à l'emplacement. Entre 1986 et 1989, M. Nelson a eu des discussions avec le propriétaire du chemin de l'époque afin de négocier une convention de servitude pour l'utilisation du chemin. Aucune convention n'a été formellement conclue. Entre-temps, M. Nelson a entrepris l'aménagement du bien-fonds, en y construisant notamment une maison, des installations de ski nautique et un bâtiment d'entretien. L'accès à l'emplacement aménagé et l'utilisation subséquente de l'exploitation commerciale de ski nautique ont été entrepris avec la connaissance et l'acquiescement du propriétaire du chemin de l'époque. Lorsque l'intimée a acheté le bien-fonds en 2005, elle a fait valoir que le chemin était privé et elle a interdit à M. Nelson et à ses clients, son personnel et sa famille de l'utiliser. Monsieur Nelson a présenté une demande de jugement déclarant que le chemin avait été affecté à l'usage public ou qu'il avait obtenu une servitude reconnue en common law ou en équité grevant le bien-fonds de l'intimée.  </w:t>
            </w:r>
          </w:p>
          <w:p w:rsidR="00FA1BFE" w:rsidRPr="006D7947" w:rsidRDefault="00FA1BFE" w:rsidP="00FA1BFE">
            <w:pPr>
              <w:jc w:val="both"/>
              <w:rPr>
                <w:rFonts w:eastAsia="Calibri"/>
                <w:sz w:val="20"/>
                <w:lang w:val="fr-CA"/>
              </w:rPr>
            </w:pPr>
          </w:p>
          <w:p w:rsidR="00FA1BFE" w:rsidRPr="006D7947" w:rsidRDefault="00FA1BFE" w:rsidP="00FA1BFE">
            <w:pPr>
              <w:jc w:val="both"/>
              <w:rPr>
                <w:rFonts w:eastAsia="Calibri"/>
                <w:sz w:val="20"/>
                <w:lang w:val="fr-CA"/>
              </w:rPr>
            </w:pPr>
            <w:r w:rsidRPr="006D7947">
              <w:rPr>
                <w:rFonts w:eastAsia="Calibri"/>
                <w:sz w:val="20"/>
                <w:lang w:val="fr-CA"/>
              </w:rPr>
              <w:t>La Cour du Banc de la Reine de l’Alberta a accueilli la demande, déclarant que le chemin était une voie publique, mais a rejeté la demande de jugement déclarant que les demandeurs avaient une servitude grevant le chemin. Les juges majoritaires de la Cour d'appel ont accueilli l'appel de l'intimée, rejetant la demande des demandeurs en vue d'admettre de nouveaux éléments de preuve et l'appel incident relatif à la servitude.</w:t>
            </w:r>
          </w:p>
          <w:p w:rsidR="00FA1BFE" w:rsidRPr="006D7947" w:rsidRDefault="00FA1BFE" w:rsidP="00FA1BFE">
            <w:pPr>
              <w:jc w:val="both"/>
              <w:rPr>
                <w:rFonts w:eastAsia="Calibri"/>
                <w:sz w:val="20"/>
                <w:lang w:val="fr-CA"/>
              </w:rPr>
            </w:pPr>
          </w:p>
        </w:tc>
      </w:tr>
      <w:tr w:rsidR="00FA1BFE" w:rsidRPr="00686322" w:rsidTr="00FA1BFE">
        <w:tc>
          <w:tcPr>
            <w:tcW w:w="2427" w:type="pct"/>
            <w:gridSpan w:val="2"/>
          </w:tcPr>
          <w:p w:rsidR="00FA1BFE" w:rsidRPr="006D7947" w:rsidRDefault="00FA1BFE" w:rsidP="00FA1BFE">
            <w:pPr>
              <w:jc w:val="both"/>
              <w:rPr>
                <w:rFonts w:eastAsia="Calibri"/>
                <w:sz w:val="20"/>
                <w:lang w:val="fr-CA"/>
              </w:rPr>
            </w:pPr>
            <w:r w:rsidRPr="006D7947">
              <w:rPr>
                <w:rFonts w:eastAsia="Calibri"/>
                <w:sz w:val="20"/>
                <w:lang w:val="fr-CA"/>
              </w:rPr>
              <w:t>11 décembre 2009</w:t>
            </w:r>
          </w:p>
          <w:p w:rsidR="00FA1BFE" w:rsidRPr="006D7947" w:rsidRDefault="00FA1BFE" w:rsidP="00FA1BFE">
            <w:pPr>
              <w:jc w:val="both"/>
              <w:rPr>
                <w:rFonts w:eastAsia="Calibri"/>
                <w:sz w:val="20"/>
                <w:lang w:val="fr-CA"/>
              </w:rPr>
            </w:pPr>
            <w:r w:rsidRPr="006D7947">
              <w:rPr>
                <w:rFonts w:eastAsia="Calibri"/>
                <w:sz w:val="20"/>
                <w:lang w:val="fr-CA"/>
              </w:rPr>
              <w:t xml:space="preserve">Cour du Banc de la Reine de l'Alberta </w:t>
            </w:r>
          </w:p>
          <w:p w:rsidR="00FA1BFE" w:rsidRPr="006D7947" w:rsidRDefault="00FA1BFE" w:rsidP="00FA1BFE">
            <w:pPr>
              <w:jc w:val="both"/>
              <w:rPr>
                <w:rFonts w:eastAsia="Calibri"/>
                <w:sz w:val="20"/>
                <w:lang w:val="fr-CA"/>
              </w:rPr>
            </w:pPr>
            <w:r w:rsidRPr="006D7947">
              <w:rPr>
                <w:rFonts w:eastAsia="Calibri"/>
                <w:sz w:val="20"/>
                <w:lang w:val="fr-CA"/>
              </w:rPr>
              <w:t>(Juge Moen)</w:t>
            </w:r>
          </w:p>
          <w:p w:rsidR="00FA1BFE" w:rsidRPr="006D7947" w:rsidRDefault="00FA1BFE" w:rsidP="00FA1BFE">
            <w:pPr>
              <w:jc w:val="both"/>
              <w:rPr>
                <w:rFonts w:eastAsia="Calibri"/>
                <w:sz w:val="20"/>
                <w:lang w:val="fr-CA"/>
              </w:rPr>
            </w:pPr>
          </w:p>
        </w:tc>
        <w:tc>
          <w:tcPr>
            <w:tcW w:w="243" w:type="pct"/>
          </w:tcPr>
          <w:p w:rsidR="00FA1BFE" w:rsidRPr="006D7947" w:rsidRDefault="00FA1BFE" w:rsidP="00FA1BFE">
            <w:pPr>
              <w:jc w:val="both"/>
              <w:rPr>
                <w:rFonts w:eastAsia="Calibri"/>
                <w:sz w:val="20"/>
                <w:lang w:val="fr-CA"/>
              </w:rPr>
            </w:pPr>
          </w:p>
        </w:tc>
        <w:tc>
          <w:tcPr>
            <w:tcW w:w="2330" w:type="pct"/>
          </w:tcPr>
          <w:p w:rsidR="00FA1BFE" w:rsidRPr="006D7947" w:rsidRDefault="00FA1BFE" w:rsidP="00FA1BFE">
            <w:pPr>
              <w:jc w:val="both"/>
              <w:rPr>
                <w:rFonts w:eastAsia="Calibri"/>
                <w:sz w:val="20"/>
                <w:lang w:val="fr-CA"/>
              </w:rPr>
            </w:pPr>
            <w:r w:rsidRPr="006D7947">
              <w:rPr>
                <w:rFonts w:eastAsia="Calibri"/>
                <w:sz w:val="20"/>
                <w:lang w:val="fr-CA"/>
              </w:rPr>
              <w:t>Demande des demandeurs de jugement déclarant que le chemin était un bien public, accueillie. Demande des demandeurs de jugement déclarant une servitude grevant les biens-fonds de l'intimé, rejetée.</w:t>
            </w:r>
          </w:p>
        </w:tc>
      </w:tr>
      <w:tr w:rsidR="00FA1BFE" w:rsidRPr="00686322" w:rsidTr="00FA1BFE">
        <w:tc>
          <w:tcPr>
            <w:tcW w:w="2427" w:type="pct"/>
            <w:gridSpan w:val="2"/>
          </w:tcPr>
          <w:p w:rsidR="00FA1BFE" w:rsidRPr="006D7947" w:rsidRDefault="00FA1BFE" w:rsidP="00FA1BFE">
            <w:pPr>
              <w:jc w:val="both"/>
              <w:rPr>
                <w:rFonts w:eastAsia="Calibri"/>
                <w:sz w:val="20"/>
                <w:lang w:val="fr-CA"/>
              </w:rPr>
            </w:pPr>
            <w:r w:rsidRPr="006D7947">
              <w:rPr>
                <w:rFonts w:eastAsia="Calibri"/>
                <w:sz w:val="20"/>
                <w:lang w:val="fr-CA"/>
              </w:rPr>
              <w:t>6 juillet 2011</w:t>
            </w:r>
          </w:p>
          <w:p w:rsidR="00FA1BFE" w:rsidRPr="006D7947" w:rsidRDefault="00FA1BFE" w:rsidP="00FA1BFE">
            <w:pPr>
              <w:jc w:val="both"/>
              <w:rPr>
                <w:rFonts w:eastAsia="Calibri"/>
                <w:sz w:val="20"/>
                <w:lang w:val="fr-CA"/>
              </w:rPr>
            </w:pPr>
            <w:r w:rsidRPr="006D7947">
              <w:rPr>
                <w:rFonts w:eastAsia="Calibri"/>
                <w:sz w:val="20"/>
                <w:lang w:val="fr-CA"/>
              </w:rPr>
              <w:t>Cour d'appel de l'Alberta (Edmonton)</w:t>
            </w:r>
          </w:p>
          <w:p w:rsidR="00FA1BFE" w:rsidRPr="006D7947" w:rsidRDefault="00FA1BFE" w:rsidP="00FA1BFE">
            <w:pPr>
              <w:jc w:val="both"/>
              <w:rPr>
                <w:rFonts w:eastAsia="Calibri"/>
                <w:sz w:val="20"/>
                <w:lang w:val="fr-CA"/>
              </w:rPr>
            </w:pPr>
            <w:r w:rsidRPr="006D7947">
              <w:rPr>
                <w:rFonts w:eastAsia="Calibri"/>
                <w:sz w:val="20"/>
                <w:lang w:val="fr-CA"/>
              </w:rPr>
              <w:t>(Juges Paperny (dissidente en partie), McDonald et Verville)</w:t>
            </w:r>
          </w:p>
        </w:tc>
        <w:tc>
          <w:tcPr>
            <w:tcW w:w="243" w:type="pct"/>
          </w:tcPr>
          <w:p w:rsidR="00FA1BFE" w:rsidRPr="006D7947" w:rsidRDefault="00FA1BFE" w:rsidP="00FA1BFE">
            <w:pPr>
              <w:jc w:val="both"/>
              <w:rPr>
                <w:rFonts w:eastAsia="Calibri"/>
                <w:sz w:val="20"/>
                <w:lang w:val="fr-CA"/>
              </w:rPr>
            </w:pPr>
          </w:p>
        </w:tc>
        <w:tc>
          <w:tcPr>
            <w:tcW w:w="2330" w:type="pct"/>
          </w:tcPr>
          <w:p w:rsidR="00FA1BFE" w:rsidRPr="006D7947" w:rsidRDefault="00FA1BFE" w:rsidP="00FA1BFE">
            <w:pPr>
              <w:jc w:val="both"/>
              <w:rPr>
                <w:rFonts w:eastAsia="Calibri"/>
                <w:sz w:val="20"/>
                <w:lang w:val="fr-CA"/>
              </w:rPr>
            </w:pPr>
            <w:r w:rsidRPr="006D7947">
              <w:rPr>
                <w:rFonts w:eastAsia="Calibri"/>
                <w:sz w:val="20"/>
                <w:lang w:val="fr-CA"/>
              </w:rPr>
              <w:t>Appel de l'intimée, accueilli; demande des demandeurs en vue d'admettre de nouveaux éléments de preuves et appel incident relatif à la servitude, rejetés.</w:t>
            </w:r>
          </w:p>
          <w:p w:rsidR="00FA1BFE" w:rsidRPr="006D7947" w:rsidRDefault="00FA1BFE" w:rsidP="00FA1BFE">
            <w:pPr>
              <w:jc w:val="both"/>
              <w:rPr>
                <w:rFonts w:eastAsia="Calibri"/>
                <w:sz w:val="20"/>
                <w:lang w:val="fr-CA"/>
              </w:rPr>
            </w:pPr>
          </w:p>
        </w:tc>
      </w:tr>
      <w:tr w:rsidR="00FA1BFE" w:rsidRPr="006D7947" w:rsidTr="00FA1BFE">
        <w:tc>
          <w:tcPr>
            <w:tcW w:w="2427" w:type="pct"/>
            <w:gridSpan w:val="2"/>
          </w:tcPr>
          <w:p w:rsidR="00FA1BFE" w:rsidRPr="006D7947" w:rsidRDefault="00FA1BFE" w:rsidP="00FA1BFE">
            <w:pPr>
              <w:jc w:val="both"/>
              <w:rPr>
                <w:rFonts w:eastAsia="Calibri"/>
                <w:sz w:val="20"/>
                <w:lang w:val="fr-CA"/>
              </w:rPr>
            </w:pPr>
            <w:r w:rsidRPr="006D7947">
              <w:rPr>
                <w:rFonts w:eastAsia="Calibri"/>
                <w:sz w:val="20"/>
                <w:lang w:val="fr-CA"/>
              </w:rPr>
              <w:t>29 septembre 2011</w:t>
            </w:r>
          </w:p>
          <w:p w:rsidR="00FA1BFE" w:rsidRPr="006D7947" w:rsidRDefault="00FA1BFE" w:rsidP="00FA1BFE">
            <w:pPr>
              <w:jc w:val="both"/>
              <w:rPr>
                <w:rFonts w:eastAsia="Calibri"/>
                <w:sz w:val="20"/>
                <w:lang w:val="fr-CA"/>
              </w:rPr>
            </w:pPr>
            <w:r w:rsidRPr="006D7947">
              <w:rPr>
                <w:rFonts w:eastAsia="Calibri"/>
                <w:sz w:val="20"/>
                <w:lang w:val="fr-CA"/>
              </w:rPr>
              <w:t>Cour suprême du Canada</w:t>
            </w:r>
          </w:p>
        </w:tc>
        <w:tc>
          <w:tcPr>
            <w:tcW w:w="243" w:type="pct"/>
          </w:tcPr>
          <w:p w:rsidR="00FA1BFE" w:rsidRPr="006D7947" w:rsidRDefault="00FA1BFE" w:rsidP="00FA1BFE">
            <w:pPr>
              <w:jc w:val="both"/>
              <w:rPr>
                <w:rFonts w:eastAsia="Calibri"/>
                <w:sz w:val="20"/>
                <w:lang w:val="fr-CA"/>
              </w:rPr>
            </w:pPr>
          </w:p>
        </w:tc>
        <w:tc>
          <w:tcPr>
            <w:tcW w:w="2330" w:type="pct"/>
          </w:tcPr>
          <w:p w:rsidR="00FA1BFE" w:rsidRPr="006D7947" w:rsidRDefault="00FA1BFE" w:rsidP="00FA1BFE">
            <w:pPr>
              <w:jc w:val="both"/>
              <w:rPr>
                <w:rFonts w:eastAsia="Calibri"/>
                <w:sz w:val="20"/>
                <w:lang w:val="fr-CA"/>
              </w:rPr>
            </w:pPr>
            <w:r w:rsidRPr="006D7947">
              <w:rPr>
                <w:rFonts w:eastAsia="Calibri"/>
                <w:sz w:val="20"/>
                <w:lang w:val="fr-CA"/>
              </w:rPr>
              <w:t>Demande d'autorisation d'appel, déposée.</w:t>
            </w:r>
          </w:p>
        </w:tc>
      </w:tr>
    </w:tbl>
    <w:p w:rsidR="00FA1BFE" w:rsidRDefault="00FA1BFE" w:rsidP="00FA1BFE">
      <w:pPr>
        <w:jc w:val="both"/>
        <w:rPr>
          <w:rFonts w:eastAsia="Calibri"/>
          <w:sz w:val="20"/>
          <w:lang w:val="fr-CA"/>
        </w:rPr>
      </w:pPr>
    </w:p>
    <w:p w:rsidR="006A0693" w:rsidRPr="006D7947" w:rsidRDefault="006A0693" w:rsidP="00FA1BFE">
      <w:pPr>
        <w:jc w:val="both"/>
        <w:rPr>
          <w:rFonts w:eastAsia="Calibr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FA1BFE" w:rsidRPr="006D7947" w:rsidTr="00FA1BFE">
        <w:tc>
          <w:tcPr>
            <w:tcW w:w="543" w:type="pct"/>
          </w:tcPr>
          <w:p w:rsidR="00FA1BFE" w:rsidRPr="006D7947" w:rsidRDefault="00FA1BFE" w:rsidP="00FA1BFE">
            <w:pPr>
              <w:jc w:val="both"/>
              <w:rPr>
                <w:rFonts w:eastAsiaTheme="minorHAnsi"/>
                <w:sz w:val="20"/>
                <w:lang w:val="en-CA"/>
              </w:rPr>
            </w:pPr>
            <w:r w:rsidRPr="006D7947">
              <w:rPr>
                <w:rFonts w:eastAsiaTheme="minorHAnsi"/>
                <w:b/>
                <w:sz w:val="20"/>
                <w:lang w:val="en-CA"/>
              </w:rPr>
              <w:t>34498</w:t>
            </w:r>
          </w:p>
        </w:tc>
        <w:tc>
          <w:tcPr>
            <w:tcW w:w="4457" w:type="pct"/>
            <w:gridSpan w:val="3"/>
          </w:tcPr>
          <w:p w:rsidR="00FA1BFE" w:rsidRPr="006D7947" w:rsidRDefault="00FA1BFE" w:rsidP="00FA1BFE">
            <w:pPr>
              <w:jc w:val="both"/>
              <w:rPr>
                <w:rFonts w:eastAsiaTheme="minorHAnsi"/>
                <w:b/>
                <w:sz w:val="20"/>
                <w:lang w:val="en-CA"/>
              </w:rPr>
            </w:pPr>
            <w:r w:rsidRPr="006D7947">
              <w:rPr>
                <w:rFonts w:eastAsiaTheme="minorHAnsi"/>
                <w:b/>
                <w:sz w:val="20"/>
                <w:lang w:val="en-CA"/>
              </w:rPr>
              <w:t>United Nurses of Alberta, Local 85 v. Capital Health Authority (Sturgeon Community Hospital)</w:t>
            </w:r>
          </w:p>
          <w:p w:rsidR="00FA1BFE" w:rsidRPr="006D7947" w:rsidRDefault="00FA1BFE" w:rsidP="006A0693">
            <w:pPr>
              <w:jc w:val="both"/>
              <w:rPr>
                <w:rFonts w:eastAsiaTheme="minorHAnsi"/>
                <w:sz w:val="20"/>
                <w:lang w:val="en-CA"/>
              </w:rPr>
            </w:pPr>
            <w:r w:rsidRPr="006D7947">
              <w:rPr>
                <w:rFonts w:eastAsiaTheme="minorHAnsi"/>
                <w:sz w:val="20"/>
                <w:lang w:val="en-CA"/>
              </w:rPr>
              <w:t>(Alta.) (Civil) (By Leave)</w:t>
            </w: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r w:rsidRPr="006D7947">
              <w:rPr>
                <w:rFonts w:eastAsiaTheme="minorHAnsi"/>
                <w:sz w:val="20"/>
                <w:lang w:val="en-CA"/>
              </w:rPr>
              <w:t>Labour relations – Collective agreements – Interpretation – Call-back pay – In the context of the standard of review of reasonableness in administrative law, what is reasonable and how is it applied – Whether deference is applied differently depending on the nature of the question – Whether courts can confine an applicant to making the same arguments as before the original tribunal – Whether the reasonableness standard has been consistently applied – Whether the issue of how to understand and apply the reasonableness standard of review raises an issue of public importance.</w:t>
            </w:r>
          </w:p>
        </w:tc>
      </w:tr>
      <w:tr w:rsidR="00FA1BFE" w:rsidRPr="006D7947" w:rsidTr="00FA1BFE">
        <w:tc>
          <w:tcPr>
            <w:tcW w:w="5000" w:type="pct"/>
            <w:gridSpan w:val="4"/>
          </w:tcPr>
          <w:p w:rsidR="00FA1BFE" w:rsidRPr="006D7947" w:rsidRDefault="00FA1BFE" w:rsidP="00FA1BFE">
            <w:pPr>
              <w:jc w:val="both"/>
              <w:rPr>
                <w:rFonts w:eastAsiaTheme="minorHAnsi"/>
                <w:sz w:val="20"/>
                <w:lang w:val="en-CA"/>
              </w:rPr>
            </w:pPr>
          </w:p>
        </w:tc>
      </w:tr>
      <w:tr w:rsidR="00FA1BFE" w:rsidRPr="006D7947" w:rsidTr="00FA1BFE">
        <w:tc>
          <w:tcPr>
            <w:tcW w:w="5000" w:type="pct"/>
            <w:gridSpan w:val="4"/>
          </w:tcPr>
          <w:p w:rsidR="00FA1BFE" w:rsidRPr="006D7947" w:rsidRDefault="00FA1BFE" w:rsidP="00FA1BFE">
            <w:pPr>
              <w:jc w:val="both"/>
              <w:rPr>
                <w:rFonts w:eastAsiaTheme="minorHAnsi"/>
                <w:sz w:val="20"/>
              </w:rPr>
            </w:pPr>
            <w:r w:rsidRPr="006D7947">
              <w:rPr>
                <w:rFonts w:eastAsiaTheme="minorHAnsi"/>
                <w:sz w:val="20"/>
              </w:rPr>
              <w:t xml:space="preserve">According to the agreed statement of facts, two nurses belonging to the applicant union were on call from 11:00 p.m. Thursday night until 7:30 a.m. Friday morning. Their regular shift began at 7:30 a.m. on the Friday morning and ended at 3:45 p.m. in the afternoon that same day. The nurses were called by the hospital's switchboard at approximately 6:30 a.m. and were asked to report for a surgical procedure to begin at approximately 7:00 a.m. They did so and assisted with the procedure until approximately 8:30 a.m. They then remained at work until 3:45 p.m.  The nurses sought the minimum three hours call-back compensation for the work performed while on call and before the start of their regular shift. The employer did not consider that the 30 minutes they worked prior to the start of their regular shift constituted call-back duty. Instead, the employer only compensated the nurses for 30 minutes of overtime. The employer's rationale was that the work the nurses performed was contiguous to their regular shift. </w:t>
            </w:r>
          </w:p>
          <w:p w:rsidR="00FA1BFE" w:rsidRPr="006D7947" w:rsidRDefault="00FA1BFE" w:rsidP="00FA1BFE">
            <w:pPr>
              <w:jc w:val="both"/>
              <w:rPr>
                <w:rFonts w:eastAsiaTheme="minorHAnsi"/>
                <w:sz w:val="20"/>
              </w:rPr>
            </w:pPr>
          </w:p>
          <w:p w:rsidR="00FA1BFE" w:rsidRPr="006D7947" w:rsidRDefault="00FA1BFE" w:rsidP="00FA1BFE">
            <w:pPr>
              <w:jc w:val="both"/>
              <w:rPr>
                <w:rFonts w:eastAsiaTheme="minorHAnsi"/>
                <w:sz w:val="20"/>
                <w:lang w:val="en-CA"/>
              </w:rPr>
            </w:pPr>
            <w:r w:rsidRPr="006D7947">
              <w:rPr>
                <w:rFonts w:eastAsiaTheme="minorHAnsi"/>
                <w:sz w:val="20"/>
              </w:rPr>
              <w:t>Based on its interpretation of the collective agreement, a majority of t</w:t>
            </w:r>
            <w:r w:rsidRPr="006D7947">
              <w:rPr>
                <w:rFonts w:eastAsiaTheme="minorHAnsi"/>
                <w:sz w:val="20"/>
                <w:lang w:val="en-CA"/>
              </w:rPr>
              <w:t xml:space="preserve">he arbitration board dismissed the union’s grievance, ruling </w:t>
            </w:r>
            <w:r w:rsidRPr="006D7947">
              <w:rPr>
                <w:rFonts w:eastAsiaTheme="minorHAnsi"/>
                <w:sz w:val="20"/>
              </w:rPr>
              <w:t>that no call-back pay is payable when employees are required to work hours contiguous to the start of their regular shift</w:t>
            </w:r>
            <w:r w:rsidRPr="006D7947">
              <w:rPr>
                <w:rFonts w:eastAsiaTheme="minorHAnsi"/>
                <w:sz w:val="20"/>
                <w:lang w:val="en-CA"/>
              </w:rPr>
              <w:t>.  The Alberta Court of Queen’s Bench allowed the union’s application for judicial review.  The Court of Appeal allowed the employer’s appeal, O’Ferrall J.A. dissenting.</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February 25, 2010</w:t>
            </w:r>
          </w:p>
          <w:p w:rsidR="00FA1BFE" w:rsidRPr="006D7947" w:rsidRDefault="00FA1BFE" w:rsidP="00FA1BFE">
            <w:pPr>
              <w:jc w:val="both"/>
              <w:rPr>
                <w:rFonts w:eastAsiaTheme="minorHAnsi"/>
                <w:sz w:val="20"/>
                <w:lang w:val="en-CA"/>
              </w:rPr>
            </w:pPr>
            <w:r w:rsidRPr="006D7947">
              <w:rPr>
                <w:rFonts w:eastAsiaTheme="minorHAnsi"/>
                <w:sz w:val="20"/>
                <w:lang w:val="en-CA"/>
              </w:rPr>
              <w:t>Court of Queen’s Bench of Alberta</w:t>
            </w:r>
          </w:p>
          <w:p w:rsidR="00FA1BFE" w:rsidRPr="006D7947" w:rsidRDefault="00FA1BFE" w:rsidP="00FA1BFE">
            <w:pPr>
              <w:jc w:val="both"/>
              <w:rPr>
                <w:rFonts w:eastAsiaTheme="minorHAnsi"/>
                <w:sz w:val="20"/>
                <w:lang w:val="en-CA"/>
              </w:rPr>
            </w:pPr>
            <w:r w:rsidRPr="006D7947">
              <w:rPr>
                <w:rFonts w:eastAsiaTheme="minorHAnsi"/>
                <w:sz w:val="20"/>
                <w:lang w:val="en-CA"/>
              </w:rPr>
              <w:t>(Acton J.)</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Applicant’s application for judicial review, granted; arbitration board decision quashed.</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August 16, 2011</w:t>
            </w:r>
          </w:p>
          <w:p w:rsidR="00FA1BFE" w:rsidRPr="006D7947" w:rsidRDefault="00FA1BFE" w:rsidP="00FA1BFE">
            <w:pPr>
              <w:jc w:val="both"/>
              <w:rPr>
                <w:rFonts w:eastAsiaTheme="minorHAnsi"/>
                <w:sz w:val="20"/>
                <w:lang w:val="en-CA"/>
              </w:rPr>
            </w:pPr>
            <w:r w:rsidRPr="006D7947">
              <w:rPr>
                <w:rFonts w:eastAsiaTheme="minorHAnsi"/>
                <w:sz w:val="20"/>
                <w:lang w:val="en-CA"/>
              </w:rPr>
              <w:t>Court of Appeal of Alberta (Edmonton)</w:t>
            </w:r>
          </w:p>
          <w:p w:rsidR="00FA1BFE" w:rsidRPr="006D7947" w:rsidRDefault="00FA1BFE" w:rsidP="00FA1BFE">
            <w:pPr>
              <w:jc w:val="both"/>
              <w:rPr>
                <w:rFonts w:eastAsiaTheme="minorHAnsi"/>
                <w:sz w:val="20"/>
                <w:lang w:val="en-CA"/>
              </w:rPr>
            </w:pPr>
            <w:r w:rsidRPr="006D7947">
              <w:rPr>
                <w:rFonts w:eastAsiaTheme="minorHAnsi"/>
                <w:sz w:val="20"/>
                <w:lang w:val="en-CA"/>
              </w:rPr>
              <w:t>(O'Brien, Bielby and O'Ferrall (dissenting) JJ.A.)</w:t>
            </w:r>
          </w:p>
          <w:p w:rsidR="00FA1BFE" w:rsidRPr="006D7947" w:rsidRDefault="00FA1BFE" w:rsidP="00FA1BFE">
            <w:pPr>
              <w:jc w:val="both"/>
              <w:rPr>
                <w:rFonts w:eastAsiaTheme="minorHAnsi"/>
                <w:sz w:val="20"/>
                <w:lang w:val="en-CA"/>
              </w:rPr>
            </w:pP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Respondent’s appeal, allowed.</w:t>
            </w:r>
          </w:p>
          <w:p w:rsidR="00FA1BFE" w:rsidRPr="006D7947" w:rsidRDefault="00FA1BFE" w:rsidP="00FA1BFE">
            <w:pPr>
              <w:jc w:val="both"/>
              <w:rPr>
                <w:rFonts w:eastAsiaTheme="minorHAnsi"/>
                <w:sz w:val="20"/>
                <w:lang w:val="en-CA"/>
              </w:rPr>
            </w:pPr>
          </w:p>
        </w:tc>
      </w:tr>
      <w:tr w:rsidR="00FA1BFE" w:rsidRPr="006D7947" w:rsidTr="00FA1BFE">
        <w:tc>
          <w:tcPr>
            <w:tcW w:w="2427" w:type="pct"/>
            <w:gridSpan w:val="2"/>
          </w:tcPr>
          <w:p w:rsidR="00FA1BFE" w:rsidRPr="006D7947" w:rsidRDefault="00FA1BFE" w:rsidP="00FA1BFE">
            <w:pPr>
              <w:jc w:val="both"/>
              <w:rPr>
                <w:rFonts w:eastAsiaTheme="minorHAnsi"/>
                <w:sz w:val="20"/>
                <w:lang w:val="en-CA"/>
              </w:rPr>
            </w:pPr>
            <w:r w:rsidRPr="006D7947">
              <w:rPr>
                <w:rFonts w:eastAsiaTheme="minorHAnsi"/>
                <w:sz w:val="20"/>
                <w:lang w:val="en-CA"/>
              </w:rPr>
              <w:t>October 14, 2011</w:t>
            </w:r>
          </w:p>
          <w:p w:rsidR="00FA1BFE" w:rsidRPr="006D7947" w:rsidRDefault="00FA1BFE" w:rsidP="00FA1BFE">
            <w:pPr>
              <w:jc w:val="both"/>
              <w:rPr>
                <w:rFonts w:eastAsiaTheme="minorHAnsi"/>
                <w:sz w:val="20"/>
                <w:lang w:val="en-CA"/>
              </w:rPr>
            </w:pPr>
            <w:r w:rsidRPr="006D7947">
              <w:rPr>
                <w:rFonts w:eastAsiaTheme="minorHAnsi"/>
                <w:sz w:val="20"/>
                <w:lang w:val="en-CA"/>
              </w:rPr>
              <w:t>Supreme Court of Canada</w:t>
            </w:r>
          </w:p>
        </w:tc>
        <w:tc>
          <w:tcPr>
            <w:tcW w:w="243" w:type="pct"/>
          </w:tcPr>
          <w:p w:rsidR="00FA1BFE" w:rsidRPr="006D7947" w:rsidRDefault="00FA1BFE" w:rsidP="00FA1BFE">
            <w:pPr>
              <w:jc w:val="both"/>
              <w:rPr>
                <w:rFonts w:eastAsiaTheme="minorHAnsi"/>
                <w:sz w:val="20"/>
                <w:lang w:val="en-CA"/>
              </w:rPr>
            </w:pPr>
          </w:p>
        </w:tc>
        <w:tc>
          <w:tcPr>
            <w:tcW w:w="2330" w:type="pct"/>
          </w:tcPr>
          <w:p w:rsidR="00FA1BFE" w:rsidRPr="006D7947" w:rsidRDefault="00FA1BFE" w:rsidP="00FA1BFE">
            <w:pPr>
              <w:jc w:val="both"/>
              <w:rPr>
                <w:rFonts w:eastAsiaTheme="minorHAnsi"/>
                <w:sz w:val="20"/>
                <w:lang w:val="en-CA"/>
              </w:rPr>
            </w:pPr>
            <w:r w:rsidRPr="006D7947">
              <w:rPr>
                <w:rFonts w:eastAsiaTheme="minorHAnsi"/>
                <w:sz w:val="20"/>
                <w:lang w:val="en-CA"/>
              </w:rPr>
              <w:t>Application for leave to appeal, filed.</w:t>
            </w:r>
          </w:p>
          <w:p w:rsidR="00FA1BFE" w:rsidRPr="006D7947" w:rsidRDefault="00FA1BFE" w:rsidP="00FA1BFE">
            <w:pPr>
              <w:jc w:val="both"/>
              <w:rPr>
                <w:rFonts w:eastAsiaTheme="minorHAnsi"/>
                <w:sz w:val="20"/>
                <w:lang w:val="en-CA"/>
              </w:rPr>
            </w:pPr>
          </w:p>
        </w:tc>
      </w:tr>
    </w:tbl>
    <w:p w:rsidR="00FA1BFE" w:rsidRDefault="00FA1BFE" w:rsidP="00FA1BFE">
      <w:pPr>
        <w:jc w:val="both"/>
        <w:rPr>
          <w:rFonts w:eastAsiaTheme="minorHAnsi"/>
          <w:sz w:val="20"/>
          <w:lang w:val="en-CA"/>
        </w:rPr>
      </w:pPr>
    </w:p>
    <w:p w:rsidR="006A0693" w:rsidRPr="006D7947" w:rsidRDefault="006A0693" w:rsidP="00FA1BFE">
      <w:pPr>
        <w:jc w:val="both"/>
        <w:rPr>
          <w:rFonts w:eastAsiaTheme="minorHAnsi"/>
          <w:sz w:val="20"/>
          <w:lang w:val="en-CA"/>
        </w:rPr>
      </w:pPr>
    </w:p>
    <w:tbl>
      <w:tblPr>
        <w:tblW w:w="4952" w:type="pct"/>
        <w:tblLayout w:type="fixed"/>
        <w:tblCellMar>
          <w:left w:w="0" w:type="dxa"/>
          <w:bottom w:w="99" w:type="dxa"/>
          <w:right w:w="0" w:type="dxa"/>
        </w:tblCellMar>
        <w:tblLook w:val="00A0"/>
      </w:tblPr>
      <w:tblGrid>
        <w:gridCol w:w="1006"/>
        <w:gridCol w:w="3493"/>
        <w:gridCol w:w="451"/>
        <w:gridCol w:w="4320"/>
      </w:tblGrid>
      <w:tr w:rsidR="00FA1BFE" w:rsidRPr="006D7947" w:rsidTr="00FA1BFE">
        <w:tc>
          <w:tcPr>
            <w:tcW w:w="543" w:type="pct"/>
          </w:tcPr>
          <w:p w:rsidR="00FA1BFE" w:rsidRPr="006D7947" w:rsidRDefault="00FA1BFE" w:rsidP="00FA1BFE">
            <w:pPr>
              <w:jc w:val="both"/>
              <w:rPr>
                <w:rFonts w:eastAsia="Calibri"/>
                <w:sz w:val="20"/>
                <w:lang w:val="fr-CA"/>
              </w:rPr>
            </w:pPr>
            <w:r w:rsidRPr="006D7947">
              <w:rPr>
                <w:rFonts w:eastAsia="Calibri"/>
                <w:b/>
                <w:sz w:val="20"/>
                <w:lang w:val="fr-CA"/>
              </w:rPr>
              <w:t>34498</w:t>
            </w:r>
          </w:p>
        </w:tc>
        <w:tc>
          <w:tcPr>
            <w:tcW w:w="4457" w:type="pct"/>
            <w:gridSpan w:val="3"/>
          </w:tcPr>
          <w:p w:rsidR="00FA1BFE" w:rsidRPr="006D7947" w:rsidRDefault="00FA1BFE" w:rsidP="00FA1BFE">
            <w:pPr>
              <w:jc w:val="both"/>
              <w:rPr>
                <w:rFonts w:eastAsia="Calibri"/>
                <w:b/>
                <w:sz w:val="20"/>
              </w:rPr>
            </w:pPr>
            <w:r w:rsidRPr="006D7947">
              <w:rPr>
                <w:rFonts w:eastAsia="Calibri"/>
                <w:b/>
                <w:sz w:val="20"/>
              </w:rPr>
              <w:t>United Nurses of Alberta, Local 85 c. Capital Health Authority (Sturgeon Community Hospital)</w:t>
            </w:r>
          </w:p>
          <w:p w:rsidR="00FA1BFE" w:rsidRPr="006D7947" w:rsidRDefault="00FA1BFE" w:rsidP="006A0693">
            <w:pPr>
              <w:jc w:val="both"/>
              <w:rPr>
                <w:rFonts w:eastAsia="Calibri"/>
                <w:sz w:val="20"/>
                <w:lang w:val="fr-CA"/>
              </w:rPr>
            </w:pPr>
            <w:r w:rsidRPr="006D7947">
              <w:rPr>
                <w:rFonts w:eastAsia="Calibri"/>
                <w:sz w:val="20"/>
                <w:lang w:val="fr-CA"/>
              </w:rPr>
              <w:t>(Alb.) (Civile) (Sur autorisation)</w:t>
            </w:r>
          </w:p>
        </w:tc>
      </w:tr>
      <w:tr w:rsidR="00FA1BFE" w:rsidRPr="00686322" w:rsidTr="00FA1BFE">
        <w:tc>
          <w:tcPr>
            <w:tcW w:w="5000" w:type="pct"/>
            <w:gridSpan w:val="4"/>
          </w:tcPr>
          <w:p w:rsidR="00FA1BFE" w:rsidRPr="006D7947" w:rsidRDefault="00FA1BFE" w:rsidP="00FA1BFE">
            <w:pPr>
              <w:jc w:val="both"/>
              <w:rPr>
                <w:rFonts w:eastAsia="Calibri"/>
                <w:sz w:val="20"/>
                <w:lang w:val="fr-CA"/>
              </w:rPr>
            </w:pPr>
            <w:r w:rsidRPr="006D7947">
              <w:rPr>
                <w:rFonts w:eastAsia="Calibri"/>
                <w:sz w:val="20"/>
                <w:lang w:val="fr-CA"/>
              </w:rPr>
              <w:t>Relations du travail – Conventions collectives – Interprétation – Indemnité de rappel – Dans le contexte de la norme de contrôle de la raisonnabilité en droit administratif, qu'est</w:t>
            </w:r>
            <w:r w:rsidRPr="006D7947">
              <w:rPr>
                <w:rFonts w:eastAsia="Calibri"/>
                <w:sz w:val="20"/>
                <w:lang w:val="fr-CA"/>
              </w:rPr>
              <w:noBreakHyphen/>
              <w:t>ce qui est raisonnable et comment ce critères est</w:t>
            </w:r>
            <w:r w:rsidRPr="006D7947">
              <w:rPr>
                <w:rFonts w:eastAsia="Calibri"/>
                <w:sz w:val="20"/>
                <w:lang w:val="fr-CA"/>
              </w:rPr>
              <w:noBreakHyphen/>
              <w:t>il appliqué? – La déférence est</w:t>
            </w:r>
            <w:r w:rsidRPr="006D7947">
              <w:rPr>
                <w:rFonts w:eastAsia="Calibri"/>
                <w:sz w:val="20"/>
                <w:lang w:val="fr-CA"/>
              </w:rPr>
              <w:noBreakHyphen/>
              <w:t>elle appliquée de façon différente selon la nature de la question? – Les tribunaux peuvent</w:t>
            </w:r>
            <w:r w:rsidRPr="006D7947">
              <w:rPr>
                <w:rFonts w:eastAsia="Calibri"/>
                <w:sz w:val="20"/>
                <w:lang w:val="fr-CA"/>
              </w:rPr>
              <w:noBreakHyphen/>
              <w:t>ils obliger un demandeur à se limiter à présenter les mêmes arguments que ceux qu'il a présentés en première instance? – La norme de la raisonnabilité a</w:t>
            </w:r>
            <w:r w:rsidRPr="006D7947">
              <w:rPr>
                <w:rFonts w:eastAsia="Calibri"/>
                <w:sz w:val="20"/>
                <w:lang w:val="fr-CA"/>
              </w:rPr>
              <w:noBreakHyphen/>
              <w:t>t</w:t>
            </w:r>
            <w:r w:rsidRPr="006D7947">
              <w:rPr>
                <w:rFonts w:eastAsia="Calibri"/>
                <w:sz w:val="20"/>
                <w:lang w:val="fr-CA"/>
              </w:rPr>
              <w:noBreakHyphen/>
              <w:t>elle été appliquée de façon uniforme? – La manière de comprendre et d’appliquer la norme de contrôle de la raisonnabilité soulève</w:t>
            </w:r>
            <w:r w:rsidRPr="006D7947">
              <w:rPr>
                <w:rFonts w:eastAsia="Calibri"/>
                <w:sz w:val="20"/>
                <w:lang w:val="fr-CA"/>
              </w:rPr>
              <w:noBreakHyphen/>
              <w:t>t</w:t>
            </w:r>
            <w:r w:rsidRPr="006D7947">
              <w:rPr>
                <w:rFonts w:eastAsia="Calibri"/>
                <w:sz w:val="20"/>
                <w:lang w:val="fr-CA"/>
              </w:rPr>
              <w:noBreakHyphen/>
              <w:t>elle une question d'importance pour le public?</w:t>
            </w:r>
          </w:p>
        </w:tc>
      </w:tr>
      <w:tr w:rsidR="00FA1BFE" w:rsidRPr="00686322" w:rsidTr="00FA1BFE">
        <w:tc>
          <w:tcPr>
            <w:tcW w:w="5000" w:type="pct"/>
            <w:gridSpan w:val="4"/>
          </w:tcPr>
          <w:p w:rsidR="00FA1BFE" w:rsidRPr="006D7947" w:rsidRDefault="00FA1BFE" w:rsidP="00FA1BFE">
            <w:pPr>
              <w:jc w:val="both"/>
              <w:rPr>
                <w:rFonts w:eastAsia="Calibri"/>
                <w:sz w:val="20"/>
                <w:lang w:val="fr-CA"/>
              </w:rPr>
            </w:pPr>
          </w:p>
        </w:tc>
      </w:tr>
      <w:tr w:rsidR="00FA1BFE" w:rsidRPr="00686322" w:rsidTr="00FA1BFE">
        <w:tc>
          <w:tcPr>
            <w:tcW w:w="5000" w:type="pct"/>
            <w:gridSpan w:val="4"/>
          </w:tcPr>
          <w:p w:rsidR="00FA1BFE" w:rsidRPr="006D7947" w:rsidRDefault="00FA1BFE" w:rsidP="00FA1BFE">
            <w:pPr>
              <w:jc w:val="both"/>
              <w:rPr>
                <w:rFonts w:eastAsia="Calibri"/>
                <w:sz w:val="20"/>
                <w:lang w:val="fr-CA"/>
              </w:rPr>
            </w:pPr>
            <w:r w:rsidRPr="006D7947">
              <w:rPr>
                <w:rFonts w:eastAsia="Calibri"/>
                <w:sz w:val="20"/>
                <w:lang w:val="fr-CA"/>
              </w:rPr>
              <w:t>Selon l'exposé conjoint des faits, deux infirmières membres du syndicat demandeur étaient de garde de 23 h le jeudi soir jusqu'à 7 h 30 le vendredi matin. Leur quart de travail normal commençait à 7 h 30 le vendredi matin et prenait fin à 15 h 45 de l'après</w:t>
            </w:r>
            <w:r w:rsidRPr="006D7947">
              <w:rPr>
                <w:rFonts w:eastAsia="Calibri"/>
                <w:sz w:val="20"/>
                <w:lang w:val="fr-CA"/>
              </w:rPr>
              <w:noBreakHyphen/>
              <w:t>midi du même jour. Les infirmières ont été appelées par le standard téléphonique de l'hôpital à environ 6 h 30 et on leur a demandé de se présenter pour une intervention chirurgicale qui devait commencer vers 7 h. Elles l'ont fait et elles ont aidé à l'intervention jusqu'à environ 8 h 30. Elles sont ensuite demeurées au travail jusqu'à 15 h 45. Les infirmières ont demandé l'indemnité de rappel minimal de trois heures pour le travail effectué pendant qu'elles étaient de garde et avant le début de leur quart de travail normal. L'employeur a estimé que les 30 minutes qu'elles avaient travaillées avant le début de leur quart de travail normal ne constituaient pas un rappel au travail. L'employeur s'est plutôt limité à rémunérer les infirmières pour 30 minutes de temps supplémentaire. L'employeur était d'avis que le travail effectué par les infirmières était contigu à leur quart de travail normal. </w:t>
            </w:r>
          </w:p>
          <w:p w:rsidR="00FA1BFE" w:rsidRPr="006D7947" w:rsidRDefault="00FA1BFE" w:rsidP="00FA1BFE">
            <w:pPr>
              <w:jc w:val="both"/>
              <w:rPr>
                <w:rFonts w:eastAsia="Calibri"/>
                <w:sz w:val="20"/>
                <w:lang w:val="fr-CA"/>
              </w:rPr>
            </w:pPr>
          </w:p>
          <w:p w:rsidR="00FA1BFE" w:rsidRPr="006D7947" w:rsidRDefault="00FA1BFE" w:rsidP="00FA1BFE">
            <w:pPr>
              <w:jc w:val="both"/>
              <w:rPr>
                <w:rFonts w:eastAsia="Calibri"/>
                <w:sz w:val="20"/>
                <w:lang w:val="fr-CA"/>
              </w:rPr>
            </w:pPr>
            <w:r w:rsidRPr="006D7947">
              <w:rPr>
                <w:rFonts w:eastAsia="Calibri"/>
                <w:sz w:val="20"/>
                <w:lang w:val="fr-CA"/>
              </w:rPr>
              <w:t>En se fondant sur son interprétation de la convention collective, les membres majoritaires du conseil d'arbitrage ont rejeté les griefs du syndicat, statuant qu'aucune indemnité de rappel n'était payable lorsque les employés sont tenus de travailler des heures contiguës au commencement de leur quart de travail normal. La Cour du Banc de la Reine de l'Alberta a accueilli la demande de contrôle judiciaire du syndicat. La Cour d'appel a accueilli l'appel de l'employeur, le juge O’Ferrall étant dissident.</w:t>
            </w:r>
          </w:p>
          <w:p w:rsidR="00FA1BFE" w:rsidRPr="006D7947" w:rsidRDefault="00FA1BFE" w:rsidP="00FA1BFE">
            <w:pPr>
              <w:jc w:val="both"/>
              <w:rPr>
                <w:rFonts w:eastAsia="Calibri"/>
                <w:sz w:val="20"/>
                <w:lang w:val="fr-CA"/>
              </w:rPr>
            </w:pPr>
          </w:p>
        </w:tc>
      </w:tr>
      <w:tr w:rsidR="00FA1BFE" w:rsidRPr="00686322" w:rsidTr="00FA1BFE">
        <w:tc>
          <w:tcPr>
            <w:tcW w:w="2427" w:type="pct"/>
            <w:gridSpan w:val="2"/>
          </w:tcPr>
          <w:p w:rsidR="00FA1BFE" w:rsidRPr="006D7947" w:rsidRDefault="00FA1BFE" w:rsidP="00FA1BFE">
            <w:pPr>
              <w:jc w:val="both"/>
              <w:rPr>
                <w:rFonts w:eastAsia="Calibri"/>
                <w:sz w:val="20"/>
                <w:lang w:val="fr-CA"/>
              </w:rPr>
            </w:pPr>
            <w:r w:rsidRPr="006D7947">
              <w:rPr>
                <w:rFonts w:eastAsia="Calibri"/>
                <w:sz w:val="20"/>
                <w:lang w:val="fr-CA"/>
              </w:rPr>
              <w:t>25 février 2010</w:t>
            </w:r>
          </w:p>
          <w:p w:rsidR="00FA1BFE" w:rsidRPr="006D7947" w:rsidRDefault="00FA1BFE" w:rsidP="00FA1BFE">
            <w:pPr>
              <w:jc w:val="both"/>
              <w:rPr>
                <w:rFonts w:eastAsia="Calibri"/>
                <w:sz w:val="20"/>
                <w:lang w:val="fr-CA"/>
              </w:rPr>
            </w:pPr>
            <w:r w:rsidRPr="006D7947">
              <w:rPr>
                <w:rFonts w:eastAsia="Calibri"/>
                <w:sz w:val="20"/>
                <w:lang w:val="fr-CA"/>
              </w:rPr>
              <w:t xml:space="preserve">Cour du Banc de la Reine de l'Alberta </w:t>
            </w:r>
          </w:p>
          <w:p w:rsidR="00FA1BFE" w:rsidRPr="006D7947" w:rsidRDefault="00FA1BFE" w:rsidP="00FA1BFE">
            <w:pPr>
              <w:jc w:val="both"/>
              <w:rPr>
                <w:rFonts w:eastAsia="Calibri"/>
                <w:sz w:val="20"/>
                <w:lang w:val="fr-CA"/>
              </w:rPr>
            </w:pPr>
            <w:r w:rsidRPr="006D7947">
              <w:rPr>
                <w:rFonts w:eastAsia="Calibri"/>
                <w:sz w:val="20"/>
                <w:lang w:val="fr-CA"/>
              </w:rPr>
              <w:t>(Juge Acton)</w:t>
            </w:r>
          </w:p>
          <w:p w:rsidR="00FA1BFE" w:rsidRPr="006D7947" w:rsidRDefault="00FA1BFE" w:rsidP="00FA1BFE">
            <w:pPr>
              <w:jc w:val="both"/>
              <w:rPr>
                <w:rFonts w:eastAsia="Calibri"/>
                <w:sz w:val="20"/>
                <w:lang w:val="fr-CA"/>
              </w:rPr>
            </w:pPr>
          </w:p>
        </w:tc>
        <w:tc>
          <w:tcPr>
            <w:tcW w:w="243" w:type="pct"/>
          </w:tcPr>
          <w:p w:rsidR="00FA1BFE" w:rsidRPr="006D7947" w:rsidRDefault="00FA1BFE" w:rsidP="00FA1BFE">
            <w:pPr>
              <w:jc w:val="both"/>
              <w:rPr>
                <w:rFonts w:eastAsia="Calibri"/>
                <w:sz w:val="20"/>
                <w:lang w:val="fr-CA"/>
              </w:rPr>
            </w:pPr>
          </w:p>
        </w:tc>
        <w:tc>
          <w:tcPr>
            <w:tcW w:w="2330" w:type="pct"/>
          </w:tcPr>
          <w:p w:rsidR="00FA1BFE" w:rsidRPr="006D7947" w:rsidRDefault="00FA1BFE" w:rsidP="00FA1BFE">
            <w:pPr>
              <w:jc w:val="both"/>
              <w:rPr>
                <w:rFonts w:eastAsia="Calibri"/>
                <w:sz w:val="20"/>
                <w:lang w:val="fr-CA"/>
              </w:rPr>
            </w:pPr>
            <w:r w:rsidRPr="006D7947">
              <w:rPr>
                <w:rFonts w:eastAsia="Calibri"/>
                <w:sz w:val="20"/>
                <w:lang w:val="fr-CA"/>
              </w:rPr>
              <w:t>Demande de contrôle judiciaire présentée par le demandeur, accueillie; décision du conseil d'arbitrage, annulée.</w:t>
            </w:r>
          </w:p>
          <w:p w:rsidR="00FA1BFE" w:rsidRPr="006D7947" w:rsidRDefault="00FA1BFE" w:rsidP="00FA1BFE">
            <w:pPr>
              <w:jc w:val="both"/>
              <w:rPr>
                <w:rFonts w:eastAsia="Calibri"/>
                <w:sz w:val="20"/>
                <w:lang w:val="fr-CA"/>
              </w:rPr>
            </w:pPr>
          </w:p>
        </w:tc>
      </w:tr>
      <w:tr w:rsidR="00FA1BFE" w:rsidRPr="006D7947" w:rsidTr="00FA1BFE">
        <w:tc>
          <w:tcPr>
            <w:tcW w:w="2427" w:type="pct"/>
            <w:gridSpan w:val="2"/>
          </w:tcPr>
          <w:p w:rsidR="00FA1BFE" w:rsidRPr="006D7947" w:rsidRDefault="00FA1BFE" w:rsidP="00FA1BFE">
            <w:pPr>
              <w:jc w:val="both"/>
              <w:rPr>
                <w:rFonts w:eastAsia="Calibri"/>
                <w:sz w:val="20"/>
                <w:lang w:val="fr-CA"/>
              </w:rPr>
            </w:pPr>
            <w:r w:rsidRPr="006D7947">
              <w:rPr>
                <w:rFonts w:eastAsia="Calibri"/>
                <w:sz w:val="20"/>
                <w:lang w:val="fr-CA"/>
              </w:rPr>
              <w:t>16 août 2011</w:t>
            </w:r>
          </w:p>
          <w:p w:rsidR="00FA1BFE" w:rsidRPr="006D7947" w:rsidRDefault="00FA1BFE" w:rsidP="00FA1BFE">
            <w:pPr>
              <w:jc w:val="both"/>
              <w:rPr>
                <w:rFonts w:eastAsia="Calibri"/>
                <w:sz w:val="20"/>
                <w:lang w:val="fr-CA"/>
              </w:rPr>
            </w:pPr>
            <w:r w:rsidRPr="006D7947">
              <w:rPr>
                <w:rFonts w:eastAsia="Calibri"/>
                <w:sz w:val="20"/>
                <w:lang w:val="fr-CA"/>
              </w:rPr>
              <w:t>Cour d'appel de l'Alberta (Edmonton)</w:t>
            </w:r>
          </w:p>
          <w:p w:rsidR="00FA1BFE" w:rsidRPr="006D7947" w:rsidRDefault="00FA1BFE" w:rsidP="00FA1BFE">
            <w:pPr>
              <w:jc w:val="both"/>
              <w:rPr>
                <w:rFonts w:eastAsia="Calibri"/>
                <w:sz w:val="20"/>
                <w:lang w:val="fr-CA"/>
              </w:rPr>
            </w:pPr>
            <w:r w:rsidRPr="006D7947">
              <w:rPr>
                <w:rFonts w:eastAsia="Calibri"/>
                <w:sz w:val="20"/>
                <w:lang w:val="fr-CA"/>
              </w:rPr>
              <w:t>(Juges O'Brien, Bielby et O'Ferrall (dissident))</w:t>
            </w:r>
          </w:p>
          <w:p w:rsidR="00FA1BFE" w:rsidRPr="006D7947" w:rsidRDefault="00FA1BFE" w:rsidP="00FA1BFE">
            <w:pPr>
              <w:jc w:val="both"/>
              <w:rPr>
                <w:rFonts w:eastAsia="Calibri"/>
                <w:sz w:val="20"/>
                <w:lang w:val="fr-CA"/>
              </w:rPr>
            </w:pPr>
          </w:p>
        </w:tc>
        <w:tc>
          <w:tcPr>
            <w:tcW w:w="243" w:type="pct"/>
          </w:tcPr>
          <w:p w:rsidR="00FA1BFE" w:rsidRPr="006D7947" w:rsidRDefault="00FA1BFE" w:rsidP="00FA1BFE">
            <w:pPr>
              <w:jc w:val="both"/>
              <w:rPr>
                <w:rFonts w:eastAsia="Calibri"/>
                <w:sz w:val="20"/>
                <w:lang w:val="fr-CA"/>
              </w:rPr>
            </w:pPr>
          </w:p>
        </w:tc>
        <w:tc>
          <w:tcPr>
            <w:tcW w:w="2330" w:type="pct"/>
          </w:tcPr>
          <w:p w:rsidR="00FA1BFE" w:rsidRPr="006D7947" w:rsidRDefault="00FA1BFE" w:rsidP="00FA1BFE">
            <w:pPr>
              <w:jc w:val="both"/>
              <w:rPr>
                <w:rFonts w:eastAsia="Calibri"/>
                <w:sz w:val="20"/>
                <w:lang w:val="fr-CA"/>
              </w:rPr>
            </w:pPr>
            <w:r w:rsidRPr="006D7947">
              <w:rPr>
                <w:rFonts w:eastAsia="Calibri"/>
                <w:sz w:val="20"/>
                <w:lang w:val="fr-CA"/>
              </w:rPr>
              <w:t>Appel de l'intimée, accueilli.</w:t>
            </w:r>
          </w:p>
          <w:p w:rsidR="00FA1BFE" w:rsidRPr="006D7947" w:rsidRDefault="00FA1BFE" w:rsidP="00FA1BFE">
            <w:pPr>
              <w:jc w:val="both"/>
              <w:rPr>
                <w:rFonts w:eastAsia="Calibri"/>
                <w:sz w:val="20"/>
                <w:lang w:val="fr-CA"/>
              </w:rPr>
            </w:pPr>
          </w:p>
          <w:p w:rsidR="00FA1BFE" w:rsidRPr="006D7947" w:rsidRDefault="00FA1BFE" w:rsidP="00FA1BFE">
            <w:pPr>
              <w:jc w:val="both"/>
              <w:rPr>
                <w:rFonts w:eastAsia="Calibri"/>
                <w:sz w:val="20"/>
                <w:lang w:val="fr-CA"/>
              </w:rPr>
            </w:pPr>
          </w:p>
        </w:tc>
      </w:tr>
      <w:tr w:rsidR="00FA1BFE" w:rsidRPr="006D7947" w:rsidTr="00FA1BFE">
        <w:tc>
          <w:tcPr>
            <w:tcW w:w="2427" w:type="pct"/>
            <w:gridSpan w:val="2"/>
          </w:tcPr>
          <w:p w:rsidR="00FA1BFE" w:rsidRPr="006D7947" w:rsidRDefault="00FA1BFE" w:rsidP="00FA1BFE">
            <w:pPr>
              <w:jc w:val="both"/>
              <w:rPr>
                <w:rFonts w:eastAsia="Calibri"/>
                <w:sz w:val="20"/>
                <w:lang w:val="fr-CA"/>
              </w:rPr>
            </w:pPr>
            <w:r w:rsidRPr="006D7947">
              <w:rPr>
                <w:rFonts w:eastAsia="Calibri"/>
                <w:sz w:val="20"/>
                <w:lang w:val="fr-CA"/>
              </w:rPr>
              <w:t>14 octobre 2011</w:t>
            </w:r>
          </w:p>
          <w:p w:rsidR="00FA1BFE" w:rsidRPr="006D7947" w:rsidRDefault="00FA1BFE" w:rsidP="00FA1BFE">
            <w:pPr>
              <w:jc w:val="both"/>
              <w:rPr>
                <w:rFonts w:eastAsia="Calibri"/>
                <w:sz w:val="20"/>
                <w:lang w:val="fr-CA"/>
              </w:rPr>
            </w:pPr>
            <w:r w:rsidRPr="006D7947">
              <w:rPr>
                <w:rFonts w:eastAsia="Calibri"/>
                <w:sz w:val="20"/>
                <w:lang w:val="fr-CA"/>
              </w:rPr>
              <w:t>Cour suprême du Canada</w:t>
            </w:r>
          </w:p>
        </w:tc>
        <w:tc>
          <w:tcPr>
            <w:tcW w:w="243" w:type="pct"/>
          </w:tcPr>
          <w:p w:rsidR="00FA1BFE" w:rsidRPr="006D7947" w:rsidRDefault="00FA1BFE" w:rsidP="00FA1BFE">
            <w:pPr>
              <w:jc w:val="both"/>
              <w:rPr>
                <w:rFonts w:eastAsia="Calibri"/>
                <w:sz w:val="20"/>
                <w:lang w:val="fr-CA"/>
              </w:rPr>
            </w:pPr>
          </w:p>
        </w:tc>
        <w:tc>
          <w:tcPr>
            <w:tcW w:w="2330" w:type="pct"/>
          </w:tcPr>
          <w:p w:rsidR="00FA1BFE" w:rsidRPr="006D7947" w:rsidRDefault="00FA1BFE" w:rsidP="00FA1BFE">
            <w:pPr>
              <w:jc w:val="both"/>
              <w:rPr>
                <w:rFonts w:eastAsia="Calibri"/>
                <w:sz w:val="20"/>
                <w:lang w:val="fr-CA"/>
              </w:rPr>
            </w:pPr>
            <w:r w:rsidRPr="006D7947">
              <w:rPr>
                <w:rFonts w:eastAsia="Calibri"/>
                <w:sz w:val="20"/>
                <w:lang w:val="fr-CA"/>
              </w:rPr>
              <w:t>Demande d'autorisation d'appel, déposée.</w:t>
            </w:r>
          </w:p>
          <w:p w:rsidR="00FA1BFE" w:rsidRPr="006D7947" w:rsidRDefault="00FA1BFE" w:rsidP="00FA1BFE">
            <w:pPr>
              <w:jc w:val="both"/>
              <w:rPr>
                <w:rFonts w:eastAsia="Calibri"/>
                <w:sz w:val="20"/>
                <w:lang w:val="fr-CA"/>
              </w:rPr>
            </w:pPr>
          </w:p>
        </w:tc>
      </w:tr>
    </w:tbl>
    <w:p w:rsidR="00FA1BFE" w:rsidRDefault="00FA1BFE" w:rsidP="00FA1BFE">
      <w:pPr>
        <w:jc w:val="both"/>
        <w:rPr>
          <w:rFonts w:eastAsia="Calibri"/>
          <w:sz w:val="20"/>
          <w:lang w:val="fr-CA"/>
        </w:rPr>
      </w:pPr>
    </w:p>
    <w:p w:rsidR="006A0693" w:rsidRPr="006D7947" w:rsidRDefault="006A0693" w:rsidP="00FA1BFE">
      <w:pPr>
        <w:jc w:val="both"/>
        <w:rPr>
          <w:rFonts w:eastAsia="Calibr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C52967" w:rsidRPr="006D7947" w:rsidTr="004D5A62">
        <w:tc>
          <w:tcPr>
            <w:tcW w:w="543" w:type="pct"/>
          </w:tcPr>
          <w:p w:rsidR="00C52967" w:rsidRPr="006D7947" w:rsidRDefault="00C52967" w:rsidP="00C52967">
            <w:pPr>
              <w:jc w:val="both"/>
              <w:rPr>
                <w:rFonts w:eastAsiaTheme="minorHAnsi"/>
                <w:sz w:val="20"/>
                <w:lang w:val="en-CA"/>
              </w:rPr>
            </w:pPr>
            <w:r w:rsidRPr="006D7947">
              <w:rPr>
                <w:rFonts w:eastAsiaTheme="minorHAnsi"/>
                <w:b/>
                <w:sz w:val="20"/>
                <w:lang w:val="en-CA"/>
              </w:rPr>
              <w:t>34257</w:t>
            </w:r>
          </w:p>
        </w:tc>
        <w:tc>
          <w:tcPr>
            <w:tcW w:w="4457" w:type="pct"/>
            <w:gridSpan w:val="3"/>
          </w:tcPr>
          <w:p w:rsidR="00C52967" w:rsidRPr="006D7947" w:rsidRDefault="00C52967" w:rsidP="00C52967">
            <w:pPr>
              <w:jc w:val="both"/>
              <w:rPr>
                <w:rFonts w:eastAsiaTheme="minorHAnsi"/>
                <w:b/>
                <w:sz w:val="20"/>
                <w:lang w:val="en-CA"/>
              </w:rPr>
            </w:pPr>
            <w:r w:rsidRPr="006D7947">
              <w:rPr>
                <w:rFonts w:eastAsiaTheme="minorHAnsi"/>
                <w:b/>
                <w:sz w:val="20"/>
                <w:lang w:val="en-CA"/>
              </w:rPr>
              <w:t>John Frederick Carten, Karen Audrey Gibbs v. Her Majesty the Queen in Right of Canada, Jean Chrétien, Eddie Goldenberg, Sergio Marchi, Lloyd Axworthy, Pierre Pettigrew, John Manley, Bill Graham, Jim Peterson, Paul Martin, David Emerson, Tim Murphy, Her Majesty the Queen in Right of British Columbia, Michael Harcourt, Glen Clark, Ujjal Dosanjh, Gordon Campbell, Attorney General of Canada, Allan Rock, Anne McLellan, Martin Cauchon, Irwin Cotler, Attorney General of British Columbia, Colin Gableman, Geoff Plant, Wally Oppal, Canadian Judicial Council, Jeannie Thomas, Norman Sabourin, Antonio Lamer (deceased), Beverley Mclachlin, Allan McEachern, Patrick Dohm, Donald Brenner, Bryan Williams, Jeffery Oliphant, John Morden, Joseph Daigle, Themis Program Management and Consulting Ltd., Law Society of British Columbia, Law Society of Alberta, David Vickers (deceased), Robert Edwards (deceased), John Bouck (deceased),  James Shabbits, Howard Skipp, Cyril Ross Lander, Ralph Hutchinson (deceased), Michael Halfyard, Harry Boyle, Sid Clark (deceased), Allan Gould, Robert Metzger, Brian Kalver, John Major, John Horn, Barbara Romaine, Adele Kent, Sal Lovecchio, Donald Wilkins, Roy Victor Deyell, Timothy Leadem, William Pearce, Lisa Shendroff, Ann Wilson, Richard Meyers, Gillian Wallace, Maureen Maloney, Brenda Edwards, Stephen Owen, Don Chiasson, Craig Jones, James Mattison, McCarthy Tétrault L.L.P., Herman Van Ommen, Steve Kline, Lang Michener L.L.P., Corporation of the City of Victoria, John Doe and Jane Doe</w:t>
            </w:r>
          </w:p>
          <w:p w:rsidR="00C52967" w:rsidRPr="006D7947" w:rsidRDefault="00C52967" w:rsidP="006A0693">
            <w:pPr>
              <w:jc w:val="both"/>
              <w:rPr>
                <w:rFonts w:eastAsiaTheme="minorHAnsi"/>
                <w:sz w:val="20"/>
                <w:lang w:val="en-CA"/>
              </w:rPr>
            </w:pPr>
            <w:r w:rsidRPr="006D7947">
              <w:rPr>
                <w:rFonts w:eastAsiaTheme="minorHAnsi"/>
                <w:sz w:val="20"/>
                <w:lang w:val="en-CA"/>
              </w:rPr>
              <w:t>(FC) (Civil) (By Leave)</w:t>
            </w: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r w:rsidRPr="006D7947">
              <w:rPr>
                <w:rFonts w:eastAsiaTheme="minorHAnsi"/>
                <w:sz w:val="20"/>
                <w:lang w:val="en-CA"/>
              </w:rPr>
              <w:t>Civil procedure – Appeals – Costs – Security for costs – Applicants ordered to post security for costs after appeals from order striking statement of claim – Whether Respondents obtained orders appealed from for an improper purpose as part of scheme to conceal criminal activity by government - Whether Applicants denied access to a remedy – Whether lower court justices acted with bias towards Applicants and abused their power</w:t>
            </w:r>
          </w:p>
          <w:p w:rsidR="00C52967" w:rsidRPr="006D7947" w:rsidRDefault="00C52967" w:rsidP="00C52967">
            <w:pPr>
              <w:jc w:val="both"/>
              <w:rPr>
                <w:rFonts w:eastAsiaTheme="minorHAnsi"/>
                <w:sz w:val="20"/>
                <w:lang w:val="en-CA"/>
              </w:rPr>
            </w:pP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r w:rsidRPr="006D7947">
              <w:rPr>
                <w:rFonts w:eastAsiaTheme="minorHAnsi"/>
                <w:sz w:val="20"/>
                <w:lang w:val="en-CA"/>
              </w:rPr>
              <w:t>The Applicants filed a civil action seeking damages for alleged acts and omissions by the Federal Crown in preserving and protecting secrets related to the issue of bulk water export policies of Canada and British Columbia.  The other Respondents, including the province of British Columbia, politicians and public servants, were sued on the basis that they acted as agents or employees of the Federal Crown.  The Prothonotary struck out the statement of claim without leave to amend, with costs.  The Applicants’ appeal of this order was dismissed, also with costs.  On February 8, 2011, several of the Respondents obtained an order from the Federal Court of Appeal requiring the Applicants to post security for costs in the amount of $10,000, payable within six months of the order.  The Applicants sought leave to appeal from that decision but their application was dismissed by the Court on October 13, 2011.  The Federal Court of Appeal issued a Notice of Status Review requiring the Applicants to serve and file representations stating why their appeal should not be dismissed for the delay, justifying the delay and proposing a timetable for the completion of the steps necessary to advance their appeal expeditiously.</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December 1, 2009</w:t>
            </w:r>
          </w:p>
          <w:p w:rsidR="00C52967" w:rsidRPr="006D7947" w:rsidRDefault="00C52967" w:rsidP="00C52967">
            <w:pPr>
              <w:jc w:val="both"/>
              <w:rPr>
                <w:rFonts w:eastAsiaTheme="minorHAnsi"/>
                <w:sz w:val="20"/>
                <w:lang w:val="en-CA"/>
              </w:rPr>
            </w:pPr>
            <w:r w:rsidRPr="006D7947">
              <w:rPr>
                <w:rFonts w:eastAsiaTheme="minorHAnsi"/>
                <w:sz w:val="20"/>
                <w:lang w:val="en-CA"/>
              </w:rPr>
              <w:t>Federal Court</w:t>
            </w:r>
          </w:p>
          <w:p w:rsidR="00C52967" w:rsidRPr="006D7947" w:rsidRDefault="00C52967" w:rsidP="00C52967">
            <w:pPr>
              <w:jc w:val="both"/>
              <w:rPr>
                <w:rFonts w:eastAsiaTheme="minorHAnsi"/>
                <w:sz w:val="20"/>
                <w:lang w:val="en-CA"/>
              </w:rPr>
            </w:pPr>
            <w:r w:rsidRPr="006D7947">
              <w:rPr>
                <w:rFonts w:eastAsiaTheme="minorHAnsi"/>
                <w:sz w:val="20"/>
                <w:lang w:val="en-CA"/>
              </w:rPr>
              <w:t>(Lafrenière Prothonotary)</w:t>
            </w:r>
          </w:p>
          <w:p w:rsidR="00C52967" w:rsidRPr="006D7947" w:rsidRDefault="00C52967" w:rsidP="00C52967">
            <w:pPr>
              <w:jc w:val="both"/>
              <w:rPr>
                <w:rFonts w:eastAsiaTheme="minorHAnsi"/>
                <w:sz w:val="20"/>
                <w:lang w:val="en-CA"/>
              </w:rPr>
            </w:pPr>
            <w:r w:rsidRPr="006D7947">
              <w:rPr>
                <w:rFonts w:eastAsiaTheme="minorHAnsi"/>
                <w:sz w:val="20"/>
                <w:lang w:val="en-CA"/>
              </w:rPr>
              <w:t>2009 FC 1233</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Order striking Applicants’ statement of claim</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August 27, 2010</w:t>
            </w:r>
          </w:p>
          <w:p w:rsidR="00C52967" w:rsidRPr="006D7947" w:rsidRDefault="00C52967" w:rsidP="00C52967">
            <w:pPr>
              <w:jc w:val="both"/>
              <w:rPr>
                <w:rFonts w:eastAsiaTheme="minorHAnsi"/>
                <w:sz w:val="20"/>
                <w:lang w:val="en-CA"/>
              </w:rPr>
            </w:pPr>
            <w:r w:rsidRPr="006D7947">
              <w:rPr>
                <w:rFonts w:eastAsiaTheme="minorHAnsi"/>
                <w:sz w:val="20"/>
                <w:lang w:val="en-CA"/>
              </w:rPr>
              <w:t>Federal Court</w:t>
            </w:r>
          </w:p>
          <w:p w:rsidR="00C52967" w:rsidRPr="006D7947" w:rsidRDefault="00C52967" w:rsidP="00C52967">
            <w:pPr>
              <w:jc w:val="both"/>
              <w:rPr>
                <w:rFonts w:eastAsiaTheme="minorHAnsi"/>
                <w:sz w:val="20"/>
                <w:lang w:val="en-CA"/>
              </w:rPr>
            </w:pPr>
            <w:r w:rsidRPr="006D7947">
              <w:rPr>
                <w:rFonts w:eastAsiaTheme="minorHAnsi"/>
                <w:sz w:val="20"/>
                <w:lang w:val="en-CA"/>
              </w:rPr>
              <w:t>(Gauthier J.)</w:t>
            </w:r>
          </w:p>
          <w:p w:rsidR="00C52967" w:rsidRPr="006D7947" w:rsidRDefault="00C52967" w:rsidP="00C52967">
            <w:pPr>
              <w:jc w:val="both"/>
              <w:rPr>
                <w:rFonts w:eastAsiaTheme="minorHAnsi"/>
                <w:sz w:val="20"/>
                <w:lang w:val="en-CA"/>
              </w:rPr>
            </w:pPr>
            <w:r w:rsidRPr="006D7947">
              <w:rPr>
                <w:rFonts w:eastAsiaTheme="minorHAnsi"/>
                <w:sz w:val="20"/>
                <w:lang w:val="en-CA"/>
              </w:rPr>
              <w:t>2010 FC 857</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Applicants’ appeal dismissed with costs of $750 payable to each Respondent</w:t>
            </w:r>
          </w:p>
          <w:p w:rsidR="00C52967" w:rsidRPr="006D7947" w:rsidRDefault="00C52967" w:rsidP="00C52967">
            <w:pPr>
              <w:jc w:val="both"/>
              <w:rPr>
                <w:rFonts w:eastAsiaTheme="minorHAnsi"/>
                <w:sz w:val="20"/>
                <w:lang w:val="en-CA"/>
              </w:rPr>
            </w:pPr>
          </w:p>
        </w:tc>
      </w:tr>
      <w:tr w:rsidR="000061D5" w:rsidRPr="006D7947" w:rsidTr="000061D5">
        <w:trPr>
          <w:trHeight w:val="615"/>
        </w:trPr>
        <w:tc>
          <w:tcPr>
            <w:tcW w:w="2427" w:type="pct"/>
            <w:gridSpan w:val="2"/>
          </w:tcPr>
          <w:p w:rsidR="000061D5" w:rsidRPr="006D7947" w:rsidRDefault="000061D5" w:rsidP="00C52967">
            <w:pPr>
              <w:jc w:val="both"/>
              <w:rPr>
                <w:rFonts w:eastAsiaTheme="minorHAnsi"/>
                <w:sz w:val="20"/>
                <w:lang w:val="en-CA"/>
              </w:rPr>
            </w:pPr>
            <w:r w:rsidRPr="006D7947">
              <w:rPr>
                <w:rFonts w:eastAsiaTheme="minorHAnsi"/>
                <w:sz w:val="20"/>
                <w:lang w:val="en-CA"/>
              </w:rPr>
              <w:t>February 8, 2011</w:t>
            </w:r>
          </w:p>
          <w:p w:rsidR="000061D5" w:rsidRPr="006D7947" w:rsidRDefault="000061D5" w:rsidP="00C52967">
            <w:pPr>
              <w:jc w:val="both"/>
              <w:rPr>
                <w:rFonts w:eastAsiaTheme="minorHAnsi"/>
                <w:sz w:val="20"/>
                <w:lang w:val="en-CA"/>
              </w:rPr>
            </w:pPr>
            <w:r w:rsidRPr="006D7947">
              <w:rPr>
                <w:rFonts w:eastAsiaTheme="minorHAnsi"/>
                <w:sz w:val="20"/>
                <w:lang w:val="en-CA"/>
              </w:rPr>
              <w:t>Federal Court of Appeal</w:t>
            </w:r>
          </w:p>
          <w:p w:rsidR="000061D5" w:rsidRPr="006D7947" w:rsidRDefault="000061D5" w:rsidP="00C52967">
            <w:pPr>
              <w:jc w:val="both"/>
              <w:rPr>
                <w:rFonts w:eastAsiaTheme="minorHAnsi"/>
                <w:sz w:val="20"/>
                <w:lang w:val="en-CA"/>
              </w:rPr>
            </w:pPr>
            <w:r w:rsidRPr="006D7947">
              <w:rPr>
                <w:rFonts w:eastAsiaTheme="minorHAnsi"/>
                <w:sz w:val="20"/>
                <w:lang w:val="en-CA"/>
              </w:rPr>
              <w:t>(Layden-Stevenson J.A.)</w:t>
            </w:r>
          </w:p>
          <w:p w:rsidR="000061D5" w:rsidRPr="006D7947" w:rsidRDefault="000061D5" w:rsidP="00C52967">
            <w:pPr>
              <w:jc w:val="both"/>
              <w:rPr>
                <w:rFonts w:eastAsiaTheme="minorHAnsi"/>
                <w:sz w:val="20"/>
                <w:lang w:val="en-CA"/>
              </w:rPr>
            </w:pPr>
            <w:r w:rsidRPr="006D7947">
              <w:rPr>
                <w:rFonts w:eastAsiaTheme="minorHAnsi"/>
                <w:sz w:val="20"/>
                <w:lang w:val="en-CA"/>
              </w:rPr>
              <w:t xml:space="preserve">2011 FCA 48 </w:t>
            </w:r>
          </w:p>
          <w:p w:rsidR="000061D5" w:rsidRPr="006D7947" w:rsidRDefault="000061D5" w:rsidP="000061D5">
            <w:pPr>
              <w:jc w:val="both"/>
              <w:rPr>
                <w:rFonts w:eastAsiaTheme="minorHAnsi"/>
                <w:sz w:val="20"/>
                <w:lang w:val="en-CA"/>
              </w:rPr>
            </w:pPr>
          </w:p>
        </w:tc>
        <w:tc>
          <w:tcPr>
            <w:tcW w:w="243" w:type="pct"/>
          </w:tcPr>
          <w:p w:rsidR="000061D5" w:rsidRPr="006D7947" w:rsidRDefault="000061D5" w:rsidP="00C52967">
            <w:pPr>
              <w:jc w:val="both"/>
              <w:rPr>
                <w:rFonts w:eastAsiaTheme="minorHAnsi"/>
                <w:sz w:val="20"/>
                <w:lang w:val="en-CA"/>
              </w:rPr>
            </w:pPr>
          </w:p>
        </w:tc>
        <w:tc>
          <w:tcPr>
            <w:tcW w:w="2330" w:type="pct"/>
          </w:tcPr>
          <w:p w:rsidR="000061D5" w:rsidRPr="006D7947" w:rsidRDefault="000061D5" w:rsidP="00C52967">
            <w:pPr>
              <w:jc w:val="both"/>
              <w:rPr>
                <w:rFonts w:eastAsiaTheme="minorHAnsi"/>
                <w:sz w:val="20"/>
                <w:lang w:val="en-CA"/>
              </w:rPr>
            </w:pPr>
            <w:r w:rsidRPr="006D7947">
              <w:rPr>
                <w:rFonts w:eastAsiaTheme="minorHAnsi"/>
                <w:sz w:val="20"/>
                <w:lang w:val="en-CA"/>
              </w:rPr>
              <w:t>Motions by several Respondents to have Applicants pay security for costs granted;  Applicants ordered to pay $10,000 within six months</w:t>
            </w:r>
          </w:p>
          <w:p w:rsidR="000061D5" w:rsidRPr="006D7947" w:rsidRDefault="000061D5" w:rsidP="00C52967">
            <w:pPr>
              <w:jc w:val="both"/>
              <w:rPr>
                <w:rFonts w:eastAsiaTheme="minorHAnsi"/>
                <w:sz w:val="20"/>
                <w:lang w:val="en-CA"/>
              </w:rPr>
            </w:pPr>
          </w:p>
        </w:tc>
      </w:tr>
      <w:tr w:rsidR="000061D5" w:rsidRPr="006D7947" w:rsidTr="004D5A62">
        <w:trPr>
          <w:trHeight w:val="615"/>
        </w:trPr>
        <w:tc>
          <w:tcPr>
            <w:tcW w:w="2427" w:type="pct"/>
            <w:gridSpan w:val="2"/>
          </w:tcPr>
          <w:p w:rsidR="000061D5" w:rsidRPr="006D7947" w:rsidRDefault="000061D5" w:rsidP="000061D5">
            <w:pPr>
              <w:jc w:val="both"/>
              <w:rPr>
                <w:rFonts w:eastAsiaTheme="minorHAnsi"/>
                <w:sz w:val="20"/>
                <w:lang w:val="en-CA"/>
              </w:rPr>
            </w:pPr>
            <w:r w:rsidRPr="006D7947">
              <w:rPr>
                <w:rFonts w:eastAsiaTheme="minorHAnsi"/>
                <w:sz w:val="20"/>
                <w:lang w:val="en-CA"/>
              </w:rPr>
              <w:t>October 13, 2011</w:t>
            </w:r>
          </w:p>
          <w:p w:rsidR="000061D5" w:rsidRPr="006D7947" w:rsidRDefault="000061D5" w:rsidP="000061D5">
            <w:pPr>
              <w:jc w:val="both"/>
              <w:rPr>
                <w:rFonts w:eastAsiaTheme="minorHAnsi"/>
                <w:sz w:val="20"/>
                <w:lang w:val="en-CA"/>
              </w:rPr>
            </w:pPr>
            <w:r w:rsidRPr="006D7947">
              <w:rPr>
                <w:rFonts w:eastAsiaTheme="minorHAnsi"/>
                <w:sz w:val="20"/>
                <w:lang w:val="en-CA"/>
              </w:rPr>
              <w:t>Supreme Court of Canada</w:t>
            </w:r>
          </w:p>
          <w:p w:rsidR="000061D5" w:rsidRPr="006D7947" w:rsidRDefault="000061D5" w:rsidP="00C52967">
            <w:pPr>
              <w:jc w:val="both"/>
              <w:rPr>
                <w:rFonts w:eastAsiaTheme="minorHAnsi"/>
                <w:sz w:val="20"/>
                <w:lang w:val="en-CA"/>
              </w:rPr>
            </w:pPr>
          </w:p>
        </w:tc>
        <w:tc>
          <w:tcPr>
            <w:tcW w:w="243" w:type="pct"/>
          </w:tcPr>
          <w:p w:rsidR="000061D5" w:rsidRPr="006D7947" w:rsidRDefault="000061D5" w:rsidP="00C52967">
            <w:pPr>
              <w:jc w:val="both"/>
              <w:rPr>
                <w:rFonts w:eastAsiaTheme="minorHAnsi"/>
                <w:sz w:val="20"/>
                <w:lang w:val="en-CA"/>
              </w:rPr>
            </w:pPr>
          </w:p>
        </w:tc>
        <w:tc>
          <w:tcPr>
            <w:tcW w:w="2330" w:type="pct"/>
          </w:tcPr>
          <w:p w:rsidR="000061D5" w:rsidRPr="006D7947" w:rsidRDefault="000061D5" w:rsidP="00C52967">
            <w:pPr>
              <w:jc w:val="both"/>
              <w:rPr>
                <w:rFonts w:eastAsiaTheme="minorHAnsi"/>
                <w:sz w:val="20"/>
                <w:lang w:val="en-CA"/>
              </w:rPr>
            </w:pPr>
            <w:r w:rsidRPr="006D7947">
              <w:rPr>
                <w:rFonts w:eastAsiaTheme="minorHAnsi"/>
                <w:sz w:val="20"/>
                <w:lang w:val="en-CA"/>
              </w:rPr>
              <w:t>Applicants’ application for leave to appeal dismissed</w:t>
            </w: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October 19, 2011</w:t>
            </w:r>
          </w:p>
          <w:p w:rsidR="00C52967" w:rsidRPr="006D7947" w:rsidRDefault="00C52967" w:rsidP="00C52967">
            <w:pPr>
              <w:jc w:val="both"/>
              <w:rPr>
                <w:rFonts w:eastAsiaTheme="minorHAnsi"/>
                <w:sz w:val="20"/>
                <w:lang w:val="en-CA"/>
              </w:rPr>
            </w:pPr>
            <w:r w:rsidRPr="006D7947">
              <w:rPr>
                <w:rFonts w:eastAsiaTheme="minorHAnsi"/>
                <w:sz w:val="20"/>
                <w:lang w:val="en-CA"/>
              </w:rPr>
              <w:t>Federal Court of Appeal</w:t>
            </w:r>
          </w:p>
          <w:p w:rsidR="00C52967" w:rsidRPr="006D7947" w:rsidRDefault="00C52967" w:rsidP="00C52967">
            <w:pPr>
              <w:jc w:val="both"/>
              <w:rPr>
                <w:rFonts w:eastAsiaTheme="minorHAnsi"/>
                <w:sz w:val="20"/>
                <w:lang w:val="en-CA"/>
              </w:rPr>
            </w:pPr>
            <w:r w:rsidRPr="006D7947">
              <w:rPr>
                <w:rFonts w:eastAsiaTheme="minorHAnsi"/>
                <w:sz w:val="20"/>
                <w:lang w:val="en-CA"/>
              </w:rPr>
              <w:t>(Nadon, Sharlow and Dawson JJ.A.)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Applicants’ appeal pursuant to Notice of Status Review dismissed</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December 13, 2011</w:t>
            </w:r>
          </w:p>
          <w:p w:rsidR="00C52967" w:rsidRPr="006D7947" w:rsidRDefault="00C52967" w:rsidP="00C52967">
            <w:pPr>
              <w:jc w:val="both"/>
              <w:rPr>
                <w:rFonts w:eastAsiaTheme="minorHAnsi"/>
                <w:sz w:val="20"/>
                <w:lang w:val="en-CA"/>
              </w:rPr>
            </w:pPr>
            <w:r w:rsidRPr="006D7947">
              <w:rPr>
                <w:rFonts w:eastAsiaTheme="minorHAnsi"/>
                <w:sz w:val="20"/>
                <w:lang w:val="en-CA"/>
              </w:rPr>
              <w:t>Supreme Court of Canada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Application for leave to appeal filed</w:t>
            </w:r>
          </w:p>
          <w:p w:rsidR="00C52967" w:rsidRPr="006D7947" w:rsidRDefault="00C52967" w:rsidP="00C52967">
            <w:pPr>
              <w:jc w:val="both"/>
              <w:rPr>
                <w:rFonts w:eastAsiaTheme="minorHAnsi"/>
                <w:sz w:val="20"/>
                <w:lang w:val="en-CA"/>
              </w:rPr>
            </w:pPr>
          </w:p>
        </w:tc>
      </w:tr>
    </w:tbl>
    <w:p w:rsidR="00C52967" w:rsidRPr="006D7947" w:rsidRDefault="00C52967" w:rsidP="00C52967">
      <w:pPr>
        <w:jc w:val="both"/>
        <w:rPr>
          <w:rFonts w:eastAsiaTheme="minorHAnsi"/>
          <w:sz w:val="20"/>
          <w:lang w:val="en-CA"/>
        </w:rPr>
      </w:pPr>
    </w:p>
    <w:tbl>
      <w:tblPr>
        <w:tblW w:w="4952" w:type="pct"/>
        <w:tblLayout w:type="fixed"/>
        <w:tblCellMar>
          <w:left w:w="0" w:type="dxa"/>
          <w:bottom w:w="99" w:type="dxa"/>
          <w:right w:w="0" w:type="dxa"/>
        </w:tblCellMar>
        <w:tblLook w:val="00A0"/>
      </w:tblPr>
      <w:tblGrid>
        <w:gridCol w:w="1006"/>
        <w:gridCol w:w="3493"/>
        <w:gridCol w:w="451"/>
        <w:gridCol w:w="4320"/>
      </w:tblGrid>
      <w:tr w:rsidR="00C52967" w:rsidRPr="006D7947" w:rsidTr="004D5A62">
        <w:tc>
          <w:tcPr>
            <w:tcW w:w="543" w:type="pct"/>
          </w:tcPr>
          <w:p w:rsidR="00C52967" w:rsidRPr="006D7947" w:rsidRDefault="00C52967" w:rsidP="00C52967">
            <w:pPr>
              <w:jc w:val="both"/>
              <w:rPr>
                <w:rFonts w:eastAsia="Calibri"/>
                <w:sz w:val="20"/>
                <w:lang w:val="fr-CA"/>
              </w:rPr>
            </w:pPr>
            <w:r w:rsidRPr="006D7947">
              <w:rPr>
                <w:rFonts w:eastAsia="Calibri"/>
                <w:b/>
                <w:sz w:val="20"/>
                <w:lang w:val="fr-CA"/>
              </w:rPr>
              <w:t>34257</w:t>
            </w:r>
          </w:p>
        </w:tc>
        <w:tc>
          <w:tcPr>
            <w:tcW w:w="4457" w:type="pct"/>
            <w:gridSpan w:val="3"/>
          </w:tcPr>
          <w:p w:rsidR="00C52967" w:rsidRPr="006D7947" w:rsidRDefault="00C52967" w:rsidP="00C52967">
            <w:pPr>
              <w:jc w:val="both"/>
              <w:rPr>
                <w:rFonts w:eastAsia="Calibri"/>
                <w:b/>
                <w:sz w:val="20"/>
              </w:rPr>
            </w:pPr>
            <w:r w:rsidRPr="006D7947">
              <w:rPr>
                <w:rFonts w:eastAsia="Calibri"/>
                <w:b/>
                <w:sz w:val="20"/>
              </w:rPr>
              <w:t>John Frederick Carten, Karen Audrey Gibbs c. Sa Majesté la Reine du chef du Canada, Jean Chrétien, Eddie Goldenberg, Sergio Marchi, Lloyd Axworthy, Pierre Pettigrew, John Manley, Bill Graham, Jim Peterson, Paul Martin, David Emerson, Tim Murphy, Sa Majesté la Reine du chef de la Colombie</w:t>
            </w:r>
            <w:r w:rsidRPr="006D7947">
              <w:rPr>
                <w:rFonts w:eastAsia="Calibri"/>
                <w:b/>
                <w:sz w:val="20"/>
              </w:rPr>
              <w:noBreakHyphen/>
              <w:t>Britannique, Michael Harcourt, Glen Clark, Ujjal Dosanjh, Gordon Campbell, procureur général du Canada, Allan Rock, Anne McLellan, Martin Cauchon, Irwin Cotler, procureur général de la Colombie</w:t>
            </w:r>
            <w:r w:rsidRPr="006D7947">
              <w:rPr>
                <w:rFonts w:eastAsia="Calibri"/>
                <w:b/>
                <w:sz w:val="20"/>
              </w:rPr>
              <w:noBreakHyphen/>
              <w:t>Britannique, Colin Gableman, Geoff Plant, Wally Oppal, Conseil canadien de la magistrature, Jeannie Thomas, Norman Sabourin, Antonio Lamer (défunt), Beverley Mclachlin, Allan McEachern, Patrick Dohm, Donald Brenner, Bryan Williams, Jeffery Oliphant, John Morden, Joseph Daigle, Themis Program Management and Consulting Ltd., Law Society of British Columbia, Law Society of Alberta, David Vickers (défunt), Robert Edwards (défunt), John Bouck (défunt),  James Shabbits, Howard Skipp, Cyril Ross Lander, Ralph Hutchinson (défunt), Michael Halfyard, Harry Boyle, Sid Clark (défunt), Allan Gould, Robert Metzger, Brian Kalver, John Major, John Horn, Barbara Romaine, Adele Kent, Sal Lovecchio, Donald Wilkins, Roy Victor Deyell, Timothy Leadem, William Pearce, Lisa Shendroff, Ann Wilson, Richard Meyers, Gillian Wallace, Maureen Maloney, Brenda Edwards, Stephen Owen, Don Chiasson, Craig Jones, James Mattison, McCarthy Tétrault s.r.l., Herman Van Ommen, Steve Kline, Lang Michener s.r.l., Corporation of the City of Victoria, M. Untel et Mme Unetelle</w:t>
            </w:r>
          </w:p>
          <w:p w:rsidR="00C52967" w:rsidRPr="006D7947" w:rsidRDefault="00C52967" w:rsidP="000061D5">
            <w:pPr>
              <w:jc w:val="both"/>
              <w:rPr>
                <w:rFonts w:eastAsia="Calibri"/>
                <w:sz w:val="20"/>
                <w:lang w:val="fr-CA"/>
              </w:rPr>
            </w:pPr>
            <w:r w:rsidRPr="006D7947">
              <w:rPr>
                <w:rFonts w:eastAsia="Calibri"/>
                <w:sz w:val="20"/>
                <w:lang w:val="fr-CA"/>
              </w:rPr>
              <w:t>(CF) (Civile) (Sur autorisation)</w:t>
            </w:r>
          </w:p>
        </w:tc>
      </w:tr>
      <w:tr w:rsidR="00C52967" w:rsidRPr="00686322" w:rsidTr="004D5A62">
        <w:tc>
          <w:tcPr>
            <w:tcW w:w="5000" w:type="pct"/>
            <w:gridSpan w:val="4"/>
          </w:tcPr>
          <w:p w:rsidR="00C52967" w:rsidRPr="006D7947" w:rsidRDefault="00C52967" w:rsidP="00C52967">
            <w:pPr>
              <w:jc w:val="both"/>
              <w:rPr>
                <w:rFonts w:eastAsia="Calibri"/>
                <w:sz w:val="20"/>
                <w:lang w:val="fr-CA"/>
              </w:rPr>
            </w:pPr>
            <w:r w:rsidRPr="006D7947">
              <w:rPr>
                <w:rFonts w:eastAsia="Calibri"/>
                <w:sz w:val="20"/>
                <w:lang w:val="fr-CA"/>
              </w:rPr>
              <w:t>Procédure civile – Appels – Dépens – Cautionnement pour dépens – Les demandeurs se sont vu ordonner de fournir un cautionnement pour dépens après qu'ils eurent interjeté appel d'une ordonnance radiant la déclaration – Les intimés ont</w:t>
            </w:r>
            <w:r w:rsidRPr="006D7947">
              <w:rPr>
                <w:rFonts w:eastAsia="Calibri"/>
                <w:sz w:val="20"/>
                <w:lang w:val="fr-CA"/>
              </w:rPr>
              <w:noBreakHyphen/>
              <w:t>ils obtenu les ordonnances portées en appel dans un but illégitime dans le cadre d'un stratagème visant à dissimuler une activité criminelle du gouvernement? – Les demandeurs se sont</w:t>
            </w:r>
            <w:r w:rsidRPr="006D7947">
              <w:rPr>
                <w:rFonts w:eastAsia="Calibri"/>
                <w:sz w:val="20"/>
                <w:lang w:val="fr-CA"/>
              </w:rPr>
              <w:noBreakHyphen/>
              <w:t>ils vu priver d'accès à un recours? – Les juges des tribunaux d'instance inférieure ont</w:t>
            </w:r>
            <w:r w:rsidRPr="006D7947">
              <w:rPr>
                <w:rFonts w:eastAsia="Calibri"/>
                <w:sz w:val="20"/>
                <w:lang w:val="fr-CA"/>
              </w:rPr>
              <w:noBreakHyphen/>
              <w:t>ils agi avec partialité envers les demandeurs et ont</w:t>
            </w:r>
            <w:r w:rsidRPr="006D7947">
              <w:rPr>
                <w:rFonts w:eastAsia="Calibri"/>
                <w:sz w:val="20"/>
                <w:lang w:val="fr-CA"/>
              </w:rPr>
              <w:noBreakHyphen/>
              <w:t>ils abusé de leur pouvoir?</w:t>
            </w:r>
          </w:p>
          <w:p w:rsidR="00C52967" w:rsidRPr="006D7947" w:rsidRDefault="00C52967" w:rsidP="00C52967">
            <w:pPr>
              <w:jc w:val="both"/>
              <w:rPr>
                <w:rFonts w:eastAsia="Calibri"/>
                <w:sz w:val="20"/>
                <w:lang w:val="fr-CA"/>
              </w:rPr>
            </w:pPr>
          </w:p>
        </w:tc>
      </w:tr>
      <w:tr w:rsidR="00C52967" w:rsidRPr="00686322" w:rsidTr="004D5A62">
        <w:tc>
          <w:tcPr>
            <w:tcW w:w="5000" w:type="pct"/>
            <w:gridSpan w:val="4"/>
          </w:tcPr>
          <w:p w:rsidR="00C52967" w:rsidRPr="006D7947" w:rsidRDefault="00C52967" w:rsidP="00C52967">
            <w:pPr>
              <w:jc w:val="both"/>
              <w:rPr>
                <w:rFonts w:eastAsia="Calibri"/>
                <w:sz w:val="20"/>
                <w:lang w:val="fr-CA"/>
              </w:rPr>
            </w:pPr>
            <w:r w:rsidRPr="006D7947">
              <w:rPr>
                <w:rFonts w:eastAsia="Calibri"/>
                <w:sz w:val="20"/>
                <w:lang w:val="fr-CA"/>
              </w:rPr>
              <w:t>Les demandeurs ont déposé une action au civil en dommages</w:t>
            </w:r>
            <w:r w:rsidRPr="006D7947">
              <w:rPr>
                <w:rFonts w:eastAsia="Calibri"/>
                <w:sz w:val="20"/>
                <w:lang w:val="fr-CA"/>
              </w:rPr>
              <w:noBreakHyphen/>
              <w:t>intérêts, fondée sur des actes et des omissions présumés de la Couronne fédérale dans la conservation et la protection de secrets liés à la question des politiques d'exportation de l'eau en vrac du Canada et de la Colombie</w:t>
            </w:r>
            <w:r w:rsidRPr="006D7947">
              <w:rPr>
                <w:rFonts w:eastAsia="Calibri"/>
                <w:sz w:val="20"/>
                <w:lang w:val="fr-CA"/>
              </w:rPr>
              <w:noBreakHyphen/>
              <w:t>Britannique. Les autres intimés, y compris la province de la Colombie</w:t>
            </w:r>
            <w:r w:rsidRPr="006D7947">
              <w:rPr>
                <w:rFonts w:eastAsia="Calibri"/>
                <w:sz w:val="20"/>
                <w:lang w:val="fr-CA"/>
              </w:rPr>
              <w:noBreakHyphen/>
              <w:t>Britannique, des politiciens et des fonctionnaires ont été poursuivis parce qu'ils auraient agi comme mandataires ou employés de la Couronne fédérale. Le protonotaire a radié la déclaration sans donner l’autorisation de la modifier, avec dépens. L'appel de cette ordonnance interjetée par les demandeurs a été rejeté avec dépens. Le 8 février 2011, plusieurs intimés ont obtenu une ordonnance de la Cour d'appel fédérale obligeant les demandeurs à fourni un cautionnement pour dépens d'un montant de 10 000 $, payable dans les six mois de l'ordonnance. Les demandeurs ont sollicité l'autorisation d'en appeler de cette décision, mais leur demande a été rejetée par la Cour le 13 octobre 2011. La Cour d'appel fédérale a établi un examen de l’état de l’instance, obligeant les demandeurs à déposer et à signifier des observations exposant les raisons pour lesquelles leur appel ne devrait pas être rejeté pour cause de retard et leur enjoignant de justifier leur retard et de proposer un échéancier des étapes requises pour faire progresser le déroulement de l’appel d’une manière expéditive.</w:t>
            </w:r>
          </w:p>
          <w:p w:rsidR="00C52967" w:rsidRPr="006D7947" w:rsidRDefault="00C52967" w:rsidP="00C52967">
            <w:pPr>
              <w:jc w:val="both"/>
              <w:rPr>
                <w:rFonts w:eastAsia="Calibri"/>
                <w:sz w:val="20"/>
                <w:lang w:val="fr-CA"/>
              </w:rPr>
            </w:pPr>
          </w:p>
        </w:tc>
      </w:tr>
      <w:tr w:rsidR="00C52967" w:rsidRPr="00686322" w:rsidTr="004D5A62">
        <w:tc>
          <w:tcPr>
            <w:tcW w:w="2427" w:type="pct"/>
            <w:gridSpan w:val="2"/>
          </w:tcPr>
          <w:p w:rsidR="00C52967" w:rsidRPr="006D7947" w:rsidRDefault="00C52967" w:rsidP="00C52967">
            <w:pPr>
              <w:jc w:val="both"/>
              <w:rPr>
                <w:rFonts w:eastAsia="Calibri"/>
                <w:sz w:val="20"/>
                <w:lang w:val="fr-CA"/>
              </w:rPr>
            </w:pPr>
            <w:r w:rsidRPr="006D7947">
              <w:rPr>
                <w:rFonts w:eastAsia="Calibri"/>
                <w:sz w:val="20"/>
                <w:lang w:val="fr-CA"/>
              </w:rPr>
              <w:t>1</w:t>
            </w:r>
            <w:r w:rsidRPr="006D7947">
              <w:rPr>
                <w:rFonts w:eastAsia="Calibri"/>
                <w:sz w:val="20"/>
                <w:vertAlign w:val="superscript"/>
                <w:lang w:val="fr-CA"/>
              </w:rPr>
              <w:t>er</w:t>
            </w:r>
            <w:r w:rsidRPr="006D7947">
              <w:rPr>
                <w:rFonts w:eastAsia="Calibri"/>
                <w:sz w:val="20"/>
                <w:lang w:val="fr-CA"/>
              </w:rPr>
              <w:t xml:space="preserve"> décembre 2009</w:t>
            </w:r>
          </w:p>
          <w:p w:rsidR="00C52967" w:rsidRPr="006D7947" w:rsidRDefault="00C52967" w:rsidP="00C52967">
            <w:pPr>
              <w:jc w:val="both"/>
              <w:rPr>
                <w:rFonts w:eastAsia="Calibri"/>
                <w:sz w:val="20"/>
                <w:lang w:val="fr-CA"/>
              </w:rPr>
            </w:pPr>
            <w:r w:rsidRPr="006D7947">
              <w:rPr>
                <w:rFonts w:eastAsia="Calibri"/>
                <w:sz w:val="20"/>
                <w:lang w:val="fr-CA"/>
              </w:rPr>
              <w:t xml:space="preserve">Cour fédérale </w:t>
            </w:r>
          </w:p>
          <w:p w:rsidR="00C52967" w:rsidRPr="006D7947" w:rsidRDefault="00C52967" w:rsidP="00C52967">
            <w:pPr>
              <w:jc w:val="both"/>
              <w:rPr>
                <w:rFonts w:eastAsia="Calibri"/>
                <w:sz w:val="20"/>
                <w:lang w:val="fr-CA"/>
              </w:rPr>
            </w:pPr>
            <w:r w:rsidRPr="006D7947">
              <w:rPr>
                <w:rFonts w:eastAsia="Calibri"/>
                <w:sz w:val="20"/>
                <w:lang w:val="fr-CA"/>
              </w:rPr>
              <w:t>(Protonotaire Lafrenière)</w:t>
            </w:r>
          </w:p>
          <w:p w:rsidR="00C52967" w:rsidRPr="006D7947" w:rsidRDefault="00C52967" w:rsidP="00C52967">
            <w:pPr>
              <w:jc w:val="both"/>
              <w:rPr>
                <w:rFonts w:eastAsia="Calibri"/>
                <w:sz w:val="20"/>
                <w:lang w:val="fr-CA"/>
              </w:rPr>
            </w:pPr>
            <w:r w:rsidRPr="006D7947">
              <w:rPr>
                <w:rFonts w:eastAsia="Calibri"/>
                <w:sz w:val="20"/>
                <w:lang w:val="fr-CA"/>
              </w:rPr>
              <w:t>2009 FC 1233</w:t>
            </w:r>
          </w:p>
          <w:p w:rsidR="00C52967" w:rsidRPr="006D7947" w:rsidRDefault="00C52967" w:rsidP="00C52967">
            <w:pPr>
              <w:jc w:val="both"/>
              <w:rPr>
                <w:rFonts w:eastAsia="Calibri"/>
                <w:sz w:val="20"/>
                <w:lang w:val="fr-CA"/>
              </w:rPr>
            </w:pPr>
          </w:p>
        </w:tc>
        <w:tc>
          <w:tcPr>
            <w:tcW w:w="243" w:type="pct"/>
          </w:tcPr>
          <w:p w:rsidR="00C52967" w:rsidRPr="006D7947" w:rsidRDefault="00C52967" w:rsidP="00C52967">
            <w:pPr>
              <w:jc w:val="both"/>
              <w:rPr>
                <w:rFonts w:eastAsia="Calibri"/>
                <w:sz w:val="20"/>
                <w:lang w:val="fr-CA"/>
              </w:rPr>
            </w:pPr>
          </w:p>
        </w:tc>
        <w:tc>
          <w:tcPr>
            <w:tcW w:w="2330" w:type="pct"/>
          </w:tcPr>
          <w:p w:rsidR="00C52967" w:rsidRPr="006D7947" w:rsidRDefault="00C52967" w:rsidP="00C52967">
            <w:pPr>
              <w:jc w:val="both"/>
              <w:rPr>
                <w:rFonts w:eastAsia="Calibri"/>
                <w:sz w:val="20"/>
                <w:lang w:val="fr-CA"/>
              </w:rPr>
            </w:pPr>
            <w:r w:rsidRPr="006D7947">
              <w:rPr>
                <w:rFonts w:eastAsia="Calibri"/>
                <w:sz w:val="20"/>
                <w:lang w:val="fr-CA"/>
              </w:rPr>
              <w:t>Ordonnance radiant la déclaration des demandeurs</w:t>
            </w:r>
          </w:p>
          <w:p w:rsidR="00C52967" w:rsidRPr="006D7947" w:rsidRDefault="00C52967" w:rsidP="00C52967">
            <w:pPr>
              <w:jc w:val="both"/>
              <w:rPr>
                <w:rFonts w:eastAsia="Calibri"/>
                <w:sz w:val="20"/>
                <w:lang w:val="fr-CA"/>
              </w:rPr>
            </w:pPr>
          </w:p>
        </w:tc>
      </w:tr>
      <w:tr w:rsidR="00C52967" w:rsidRPr="00686322" w:rsidTr="004D5A62">
        <w:tc>
          <w:tcPr>
            <w:tcW w:w="2427" w:type="pct"/>
            <w:gridSpan w:val="2"/>
          </w:tcPr>
          <w:p w:rsidR="00C52967" w:rsidRPr="006D7947" w:rsidRDefault="00C52967" w:rsidP="00C52967">
            <w:pPr>
              <w:jc w:val="both"/>
              <w:rPr>
                <w:rFonts w:eastAsia="Calibri"/>
                <w:sz w:val="20"/>
                <w:lang w:val="fr-CA"/>
              </w:rPr>
            </w:pPr>
            <w:r w:rsidRPr="006D7947">
              <w:rPr>
                <w:rFonts w:eastAsia="Calibri"/>
                <w:sz w:val="20"/>
                <w:lang w:val="fr-CA"/>
              </w:rPr>
              <w:t>27 août 2010</w:t>
            </w:r>
          </w:p>
          <w:p w:rsidR="00C52967" w:rsidRPr="006D7947" w:rsidRDefault="00C52967" w:rsidP="00C52967">
            <w:pPr>
              <w:jc w:val="both"/>
              <w:rPr>
                <w:rFonts w:eastAsia="Calibri"/>
                <w:sz w:val="20"/>
                <w:lang w:val="fr-CA"/>
              </w:rPr>
            </w:pPr>
            <w:r w:rsidRPr="006D7947">
              <w:rPr>
                <w:rFonts w:eastAsia="Calibri"/>
                <w:sz w:val="20"/>
                <w:lang w:val="fr-CA"/>
              </w:rPr>
              <w:t xml:space="preserve">Cour fédérale </w:t>
            </w:r>
          </w:p>
          <w:p w:rsidR="00C52967" w:rsidRPr="006D7947" w:rsidRDefault="00C52967" w:rsidP="00C52967">
            <w:pPr>
              <w:jc w:val="both"/>
              <w:rPr>
                <w:rFonts w:eastAsia="Calibri"/>
                <w:sz w:val="20"/>
                <w:lang w:val="fr-CA"/>
              </w:rPr>
            </w:pPr>
            <w:r w:rsidRPr="006D7947">
              <w:rPr>
                <w:rFonts w:eastAsia="Calibri"/>
                <w:sz w:val="20"/>
                <w:lang w:val="fr-CA"/>
              </w:rPr>
              <w:t>(Juge Gauthier)</w:t>
            </w:r>
          </w:p>
          <w:p w:rsidR="00C52967" w:rsidRPr="006D7947" w:rsidRDefault="00C52967" w:rsidP="00C52967">
            <w:pPr>
              <w:jc w:val="both"/>
              <w:rPr>
                <w:rFonts w:eastAsia="Calibri"/>
                <w:sz w:val="20"/>
                <w:lang w:val="fr-CA"/>
              </w:rPr>
            </w:pPr>
            <w:r w:rsidRPr="006D7947">
              <w:rPr>
                <w:rFonts w:eastAsia="Calibri"/>
                <w:sz w:val="20"/>
                <w:lang w:val="fr-CA"/>
              </w:rPr>
              <w:t>2010 FC 857</w:t>
            </w:r>
          </w:p>
          <w:p w:rsidR="00C52967" w:rsidRPr="006D7947" w:rsidRDefault="00C52967" w:rsidP="00C52967">
            <w:pPr>
              <w:jc w:val="both"/>
              <w:rPr>
                <w:rFonts w:eastAsia="Calibri"/>
                <w:sz w:val="20"/>
                <w:lang w:val="fr-CA"/>
              </w:rPr>
            </w:pPr>
          </w:p>
        </w:tc>
        <w:tc>
          <w:tcPr>
            <w:tcW w:w="243" w:type="pct"/>
          </w:tcPr>
          <w:p w:rsidR="00C52967" w:rsidRPr="006D7947" w:rsidRDefault="00C52967" w:rsidP="00C52967">
            <w:pPr>
              <w:jc w:val="both"/>
              <w:rPr>
                <w:rFonts w:eastAsia="Calibri"/>
                <w:sz w:val="20"/>
                <w:lang w:val="fr-CA"/>
              </w:rPr>
            </w:pPr>
          </w:p>
        </w:tc>
        <w:tc>
          <w:tcPr>
            <w:tcW w:w="2330" w:type="pct"/>
          </w:tcPr>
          <w:p w:rsidR="00C52967" w:rsidRPr="006D7947" w:rsidRDefault="00C52967" w:rsidP="00C52967">
            <w:pPr>
              <w:jc w:val="both"/>
              <w:rPr>
                <w:rFonts w:eastAsia="Calibri"/>
                <w:sz w:val="20"/>
                <w:lang w:val="fr-CA"/>
              </w:rPr>
            </w:pPr>
            <w:r w:rsidRPr="006D7947">
              <w:rPr>
                <w:rFonts w:eastAsia="Calibri"/>
                <w:sz w:val="20"/>
                <w:lang w:val="fr-CA"/>
              </w:rPr>
              <w:t>Appel des demandeurs rejeté avec dépens de 750 $ payables à chaque intimé</w:t>
            </w:r>
          </w:p>
          <w:p w:rsidR="00C52967" w:rsidRPr="006D7947" w:rsidRDefault="00C52967" w:rsidP="00C52967">
            <w:pPr>
              <w:jc w:val="both"/>
              <w:rPr>
                <w:rFonts w:eastAsia="Calibri"/>
                <w:sz w:val="20"/>
                <w:lang w:val="fr-CA"/>
              </w:rPr>
            </w:pPr>
          </w:p>
        </w:tc>
      </w:tr>
      <w:tr w:rsidR="000061D5" w:rsidRPr="00686322" w:rsidTr="000061D5">
        <w:trPr>
          <w:trHeight w:val="690"/>
        </w:trPr>
        <w:tc>
          <w:tcPr>
            <w:tcW w:w="2427" w:type="pct"/>
            <w:gridSpan w:val="2"/>
          </w:tcPr>
          <w:p w:rsidR="000061D5" w:rsidRPr="006D7947" w:rsidRDefault="000061D5" w:rsidP="00C52967">
            <w:pPr>
              <w:jc w:val="both"/>
              <w:rPr>
                <w:rFonts w:eastAsia="Calibri"/>
                <w:sz w:val="20"/>
                <w:lang w:val="fr-CA"/>
              </w:rPr>
            </w:pPr>
            <w:r w:rsidRPr="006D7947">
              <w:rPr>
                <w:rFonts w:eastAsia="Calibri"/>
                <w:sz w:val="20"/>
                <w:lang w:val="fr-CA"/>
              </w:rPr>
              <w:t>8 février 2011</w:t>
            </w:r>
          </w:p>
          <w:p w:rsidR="000061D5" w:rsidRPr="006D7947" w:rsidRDefault="000061D5" w:rsidP="00C52967">
            <w:pPr>
              <w:jc w:val="both"/>
              <w:rPr>
                <w:rFonts w:eastAsia="Calibri"/>
                <w:sz w:val="20"/>
                <w:lang w:val="fr-CA"/>
              </w:rPr>
            </w:pPr>
            <w:r w:rsidRPr="006D7947">
              <w:rPr>
                <w:rFonts w:eastAsia="Calibri"/>
                <w:sz w:val="20"/>
                <w:lang w:val="fr-CA"/>
              </w:rPr>
              <w:t xml:space="preserve">Cour d'appel fédérale </w:t>
            </w:r>
          </w:p>
          <w:p w:rsidR="000061D5" w:rsidRPr="006D7947" w:rsidRDefault="000061D5" w:rsidP="00C52967">
            <w:pPr>
              <w:jc w:val="both"/>
              <w:rPr>
                <w:rFonts w:eastAsia="Calibri"/>
                <w:sz w:val="20"/>
                <w:lang w:val="fr-CA"/>
              </w:rPr>
            </w:pPr>
            <w:r w:rsidRPr="006D7947">
              <w:rPr>
                <w:rFonts w:eastAsia="Calibri"/>
                <w:sz w:val="20"/>
                <w:lang w:val="fr-CA"/>
              </w:rPr>
              <w:t>(Juge Layden</w:t>
            </w:r>
            <w:r w:rsidRPr="006D7947">
              <w:rPr>
                <w:rFonts w:eastAsia="Calibri"/>
                <w:sz w:val="20"/>
                <w:lang w:val="fr-CA"/>
              </w:rPr>
              <w:noBreakHyphen/>
              <w:t>Stevenson)</w:t>
            </w:r>
          </w:p>
          <w:p w:rsidR="000061D5" w:rsidRPr="006D7947" w:rsidRDefault="000061D5" w:rsidP="00C52967">
            <w:pPr>
              <w:jc w:val="both"/>
              <w:rPr>
                <w:rFonts w:eastAsia="Calibri"/>
                <w:sz w:val="20"/>
                <w:lang w:val="fr-CA"/>
              </w:rPr>
            </w:pPr>
            <w:r w:rsidRPr="006D7947">
              <w:rPr>
                <w:rFonts w:eastAsia="Calibri"/>
                <w:sz w:val="20"/>
                <w:lang w:val="fr-CA"/>
              </w:rPr>
              <w:t xml:space="preserve">2011 FCA 48 </w:t>
            </w:r>
          </w:p>
          <w:p w:rsidR="000061D5" w:rsidRPr="006D7947" w:rsidRDefault="000061D5" w:rsidP="000061D5">
            <w:pPr>
              <w:jc w:val="both"/>
              <w:rPr>
                <w:rFonts w:eastAsia="Calibri"/>
                <w:sz w:val="20"/>
                <w:lang w:val="fr-CA"/>
              </w:rPr>
            </w:pPr>
          </w:p>
        </w:tc>
        <w:tc>
          <w:tcPr>
            <w:tcW w:w="243" w:type="pct"/>
          </w:tcPr>
          <w:p w:rsidR="000061D5" w:rsidRPr="006D7947" w:rsidRDefault="000061D5" w:rsidP="00C52967">
            <w:pPr>
              <w:jc w:val="both"/>
              <w:rPr>
                <w:rFonts w:eastAsia="Calibri"/>
                <w:sz w:val="20"/>
                <w:lang w:val="fr-CA"/>
              </w:rPr>
            </w:pPr>
          </w:p>
        </w:tc>
        <w:tc>
          <w:tcPr>
            <w:tcW w:w="2330" w:type="pct"/>
          </w:tcPr>
          <w:p w:rsidR="000061D5" w:rsidRPr="006D7947" w:rsidRDefault="000061D5" w:rsidP="00C52967">
            <w:pPr>
              <w:jc w:val="both"/>
              <w:rPr>
                <w:rFonts w:eastAsia="Calibri"/>
                <w:sz w:val="20"/>
                <w:lang w:val="fr-CA"/>
              </w:rPr>
            </w:pPr>
            <w:r w:rsidRPr="006D7947">
              <w:rPr>
                <w:rFonts w:eastAsia="Calibri"/>
                <w:sz w:val="20"/>
                <w:lang w:val="fr-CA"/>
              </w:rPr>
              <w:t>Requêtes de plusieurs intimés pour obliger les demandeurs à verser un cautionnement pour dépens, accueillies; le juge ordonne aux demandeurs de payer 10 000 $ dans un délai de six mois</w:t>
            </w:r>
          </w:p>
          <w:p w:rsidR="000061D5" w:rsidRPr="006D7947" w:rsidRDefault="000061D5" w:rsidP="00C52967">
            <w:pPr>
              <w:jc w:val="both"/>
              <w:rPr>
                <w:rFonts w:eastAsia="Calibri"/>
                <w:sz w:val="20"/>
                <w:lang w:val="fr-CA"/>
              </w:rPr>
            </w:pPr>
          </w:p>
        </w:tc>
      </w:tr>
      <w:tr w:rsidR="000061D5" w:rsidRPr="00686322" w:rsidTr="004D5A62">
        <w:trPr>
          <w:trHeight w:val="690"/>
        </w:trPr>
        <w:tc>
          <w:tcPr>
            <w:tcW w:w="2427" w:type="pct"/>
            <w:gridSpan w:val="2"/>
          </w:tcPr>
          <w:p w:rsidR="000061D5" w:rsidRPr="006D7947" w:rsidRDefault="000061D5" w:rsidP="000061D5">
            <w:pPr>
              <w:jc w:val="both"/>
              <w:rPr>
                <w:rFonts w:eastAsia="Calibri"/>
                <w:sz w:val="20"/>
                <w:lang w:val="fr-CA"/>
              </w:rPr>
            </w:pPr>
            <w:r w:rsidRPr="006D7947">
              <w:rPr>
                <w:rFonts w:eastAsia="Calibri"/>
                <w:sz w:val="20"/>
                <w:lang w:val="fr-CA"/>
              </w:rPr>
              <w:t>13 octobre 2011</w:t>
            </w:r>
          </w:p>
          <w:p w:rsidR="000061D5" w:rsidRPr="006D7947" w:rsidRDefault="000061D5" w:rsidP="000061D5">
            <w:pPr>
              <w:jc w:val="both"/>
              <w:rPr>
                <w:rFonts w:eastAsia="Calibri"/>
                <w:sz w:val="20"/>
                <w:lang w:val="fr-CA"/>
              </w:rPr>
            </w:pPr>
            <w:r w:rsidRPr="006D7947">
              <w:rPr>
                <w:rFonts w:eastAsia="Calibri"/>
                <w:sz w:val="20"/>
                <w:lang w:val="fr-CA"/>
              </w:rPr>
              <w:t>Cour suprême du Canada</w:t>
            </w:r>
          </w:p>
          <w:p w:rsidR="000061D5" w:rsidRPr="006D7947" w:rsidRDefault="000061D5" w:rsidP="00C52967">
            <w:pPr>
              <w:jc w:val="both"/>
              <w:rPr>
                <w:rFonts w:eastAsia="Calibri"/>
                <w:sz w:val="20"/>
                <w:lang w:val="fr-CA"/>
              </w:rPr>
            </w:pPr>
          </w:p>
        </w:tc>
        <w:tc>
          <w:tcPr>
            <w:tcW w:w="243" w:type="pct"/>
          </w:tcPr>
          <w:p w:rsidR="000061D5" w:rsidRPr="006D7947" w:rsidRDefault="000061D5" w:rsidP="00C52967">
            <w:pPr>
              <w:jc w:val="both"/>
              <w:rPr>
                <w:rFonts w:eastAsia="Calibri"/>
                <w:sz w:val="20"/>
                <w:lang w:val="fr-CA"/>
              </w:rPr>
            </w:pPr>
          </w:p>
        </w:tc>
        <w:tc>
          <w:tcPr>
            <w:tcW w:w="2330" w:type="pct"/>
          </w:tcPr>
          <w:p w:rsidR="000061D5" w:rsidRPr="006D7947" w:rsidRDefault="000061D5" w:rsidP="00C52967">
            <w:pPr>
              <w:jc w:val="both"/>
              <w:rPr>
                <w:rFonts w:eastAsia="Calibri"/>
                <w:sz w:val="20"/>
                <w:lang w:val="fr-CA"/>
              </w:rPr>
            </w:pPr>
            <w:r w:rsidRPr="006D7947">
              <w:rPr>
                <w:rFonts w:eastAsia="Calibri"/>
                <w:sz w:val="20"/>
                <w:lang w:val="fr-CA"/>
              </w:rPr>
              <w:t>Demande d'autorisation d'appel des demandeurs, rejetée</w:t>
            </w:r>
          </w:p>
        </w:tc>
      </w:tr>
      <w:tr w:rsidR="00C52967" w:rsidRPr="00686322" w:rsidTr="004D5A62">
        <w:tc>
          <w:tcPr>
            <w:tcW w:w="2427" w:type="pct"/>
            <w:gridSpan w:val="2"/>
          </w:tcPr>
          <w:p w:rsidR="00C52967" w:rsidRPr="006D7947" w:rsidRDefault="00C52967" w:rsidP="00C52967">
            <w:pPr>
              <w:jc w:val="both"/>
              <w:rPr>
                <w:rFonts w:eastAsia="Calibri"/>
                <w:sz w:val="20"/>
                <w:lang w:val="fr-CA"/>
              </w:rPr>
            </w:pPr>
            <w:r w:rsidRPr="006D7947">
              <w:rPr>
                <w:rFonts w:eastAsia="Calibri"/>
                <w:sz w:val="20"/>
                <w:lang w:val="fr-CA"/>
              </w:rPr>
              <w:t>19 octobre 2011</w:t>
            </w:r>
          </w:p>
          <w:p w:rsidR="00C52967" w:rsidRPr="006D7947" w:rsidRDefault="00C52967" w:rsidP="00C52967">
            <w:pPr>
              <w:jc w:val="both"/>
              <w:rPr>
                <w:rFonts w:eastAsia="Calibri"/>
                <w:sz w:val="20"/>
                <w:lang w:val="fr-CA"/>
              </w:rPr>
            </w:pPr>
            <w:r w:rsidRPr="006D7947">
              <w:rPr>
                <w:rFonts w:eastAsia="Calibri"/>
                <w:sz w:val="20"/>
                <w:lang w:val="fr-CA"/>
              </w:rPr>
              <w:t xml:space="preserve">Cour d'appel fédérale </w:t>
            </w:r>
          </w:p>
          <w:p w:rsidR="00C52967" w:rsidRPr="006D7947" w:rsidRDefault="00C52967" w:rsidP="00C52967">
            <w:pPr>
              <w:jc w:val="both"/>
              <w:rPr>
                <w:rFonts w:eastAsia="Calibri"/>
                <w:sz w:val="20"/>
                <w:lang w:val="fr-CA"/>
              </w:rPr>
            </w:pPr>
            <w:r w:rsidRPr="006D7947">
              <w:rPr>
                <w:rFonts w:eastAsia="Calibri"/>
                <w:sz w:val="20"/>
                <w:lang w:val="fr-CA"/>
              </w:rPr>
              <w:t>(Juges Nadon, Sharlow et Dawson)</w:t>
            </w:r>
          </w:p>
          <w:p w:rsidR="00C52967" w:rsidRPr="006D7947" w:rsidRDefault="00C52967" w:rsidP="00C52967">
            <w:pPr>
              <w:jc w:val="both"/>
              <w:rPr>
                <w:rFonts w:eastAsia="Calibri"/>
                <w:sz w:val="20"/>
                <w:lang w:val="fr-CA"/>
              </w:rPr>
            </w:pPr>
          </w:p>
        </w:tc>
        <w:tc>
          <w:tcPr>
            <w:tcW w:w="243" w:type="pct"/>
          </w:tcPr>
          <w:p w:rsidR="00C52967" w:rsidRPr="006D7947" w:rsidRDefault="00C52967" w:rsidP="00C52967">
            <w:pPr>
              <w:jc w:val="both"/>
              <w:rPr>
                <w:rFonts w:eastAsia="Calibri"/>
                <w:sz w:val="20"/>
                <w:lang w:val="fr-CA"/>
              </w:rPr>
            </w:pPr>
          </w:p>
        </w:tc>
        <w:tc>
          <w:tcPr>
            <w:tcW w:w="2330" w:type="pct"/>
          </w:tcPr>
          <w:p w:rsidR="00C52967" w:rsidRPr="006D7947" w:rsidRDefault="00C52967" w:rsidP="00C52967">
            <w:pPr>
              <w:jc w:val="both"/>
              <w:rPr>
                <w:rFonts w:eastAsia="Calibri"/>
                <w:sz w:val="20"/>
                <w:lang w:val="fr-CA"/>
              </w:rPr>
            </w:pPr>
            <w:r w:rsidRPr="006D7947">
              <w:rPr>
                <w:rFonts w:eastAsia="Calibri"/>
                <w:sz w:val="20"/>
                <w:lang w:val="fr-CA"/>
              </w:rPr>
              <w:t>Appel des demandeurs à la suite de l'examen de l’état de l’instance, rejeté</w:t>
            </w:r>
          </w:p>
          <w:p w:rsidR="00C52967" w:rsidRPr="006D7947" w:rsidRDefault="00C52967" w:rsidP="00C52967">
            <w:pPr>
              <w:jc w:val="both"/>
              <w:rPr>
                <w:rFonts w:eastAsia="Calibri"/>
                <w:sz w:val="20"/>
                <w:lang w:val="fr-CA"/>
              </w:rPr>
            </w:pPr>
          </w:p>
        </w:tc>
      </w:tr>
      <w:tr w:rsidR="00C52967" w:rsidRPr="006D7947" w:rsidTr="004D5A62">
        <w:tc>
          <w:tcPr>
            <w:tcW w:w="2427" w:type="pct"/>
            <w:gridSpan w:val="2"/>
          </w:tcPr>
          <w:p w:rsidR="00C52967" w:rsidRPr="006D7947" w:rsidRDefault="00C52967" w:rsidP="00C52967">
            <w:pPr>
              <w:jc w:val="both"/>
              <w:rPr>
                <w:rFonts w:eastAsia="Calibri"/>
                <w:sz w:val="20"/>
                <w:lang w:val="fr-CA"/>
              </w:rPr>
            </w:pPr>
            <w:r w:rsidRPr="006D7947">
              <w:rPr>
                <w:rFonts w:eastAsia="Calibri"/>
                <w:sz w:val="20"/>
                <w:lang w:val="fr-CA"/>
              </w:rPr>
              <w:t>13 décembre 2011</w:t>
            </w:r>
          </w:p>
          <w:p w:rsidR="00C52967" w:rsidRPr="006D7947" w:rsidRDefault="00C52967" w:rsidP="00C52967">
            <w:pPr>
              <w:jc w:val="both"/>
              <w:rPr>
                <w:rFonts w:eastAsia="Calibri"/>
                <w:sz w:val="20"/>
                <w:lang w:val="fr-CA"/>
              </w:rPr>
            </w:pPr>
            <w:r w:rsidRPr="006D7947">
              <w:rPr>
                <w:rFonts w:eastAsia="Calibri"/>
                <w:sz w:val="20"/>
                <w:lang w:val="fr-CA"/>
              </w:rPr>
              <w:t>Cour suprême du Canada</w:t>
            </w:r>
          </w:p>
          <w:p w:rsidR="00C52967" w:rsidRPr="006D7947" w:rsidRDefault="00C52967" w:rsidP="00C52967">
            <w:pPr>
              <w:jc w:val="both"/>
              <w:rPr>
                <w:rFonts w:eastAsia="Calibri"/>
                <w:sz w:val="20"/>
                <w:lang w:val="fr-CA"/>
              </w:rPr>
            </w:pPr>
          </w:p>
        </w:tc>
        <w:tc>
          <w:tcPr>
            <w:tcW w:w="243" w:type="pct"/>
          </w:tcPr>
          <w:p w:rsidR="00C52967" w:rsidRPr="006D7947" w:rsidRDefault="00C52967" w:rsidP="00C52967">
            <w:pPr>
              <w:jc w:val="both"/>
              <w:rPr>
                <w:rFonts w:eastAsia="Calibri"/>
                <w:sz w:val="20"/>
                <w:lang w:val="fr-CA"/>
              </w:rPr>
            </w:pPr>
          </w:p>
        </w:tc>
        <w:tc>
          <w:tcPr>
            <w:tcW w:w="2330" w:type="pct"/>
          </w:tcPr>
          <w:p w:rsidR="00C52967" w:rsidRPr="006D7947" w:rsidRDefault="00C52967" w:rsidP="00C52967">
            <w:pPr>
              <w:jc w:val="both"/>
              <w:rPr>
                <w:rFonts w:eastAsia="Calibri"/>
                <w:sz w:val="20"/>
                <w:lang w:val="fr-CA"/>
              </w:rPr>
            </w:pPr>
            <w:r w:rsidRPr="006D7947">
              <w:rPr>
                <w:rFonts w:eastAsia="Calibri"/>
                <w:sz w:val="20"/>
                <w:lang w:val="fr-CA"/>
              </w:rPr>
              <w:t>Demande d'autorisation d'appel, déposée</w:t>
            </w:r>
          </w:p>
          <w:p w:rsidR="00C52967" w:rsidRPr="006D7947" w:rsidRDefault="00C52967" w:rsidP="00C52967">
            <w:pPr>
              <w:jc w:val="both"/>
              <w:rPr>
                <w:rFonts w:eastAsia="Calibri"/>
                <w:sz w:val="20"/>
                <w:lang w:val="fr-CA"/>
              </w:rPr>
            </w:pPr>
          </w:p>
        </w:tc>
      </w:tr>
    </w:tbl>
    <w:p w:rsidR="00C52967" w:rsidRPr="006D7947" w:rsidRDefault="00C52967" w:rsidP="00C52967">
      <w:pPr>
        <w:jc w:val="both"/>
        <w:rPr>
          <w:rFonts w:eastAsia="Calibr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C52967" w:rsidRPr="006D7947" w:rsidTr="004D5A62">
        <w:tc>
          <w:tcPr>
            <w:tcW w:w="543" w:type="pct"/>
          </w:tcPr>
          <w:p w:rsidR="00C52967" w:rsidRPr="006D7947" w:rsidRDefault="00C52967" w:rsidP="00C52967">
            <w:pPr>
              <w:jc w:val="both"/>
              <w:rPr>
                <w:rFonts w:eastAsiaTheme="minorHAnsi"/>
                <w:sz w:val="20"/>
                <w:lang w:val="en-CA"/>
              </w:rPr>
            </w:pPr>
            <w:r w:rsidRPr="006D7947">
              <w:rPr>
                <w:rFonts w:eastAsiaTheme="minorHAnsi"/>
                <w:b/>
                <w:sz w:val="20"/>
                <w:lang w:val="en-CA"/>
              </w:rPr>
              <w:t>34589</w:t>
            </w:r>
          </w:p>
        </w:tc>
        <w:tc>
          <w:tcPr>
            <w:tcW w:w="4457" w:type="pct"/>
            <w:gridSpan w:val="3"/>
          </w:tcPr>
          <w:p w:rsidR="00C52967" w:rsidRPr="006D7947" w:rsidRDefault="00C52967" w:rsidP="00C52967">
            <w:pPr>
              <w:jc w:val="both"/>
              <w:rPr>
                <w:rFonts w:eastAsiaTheme="minorHAnsi"/>
                <w:b/>
                <w:sz w:val="20"/>
                <w:lang w:val="en-CA"/>
              </w:rPr>
            </w:pPr>
            <w:r w:rsidRPr="006D7947">
              <w:rPr>
                <w:rFonts w:eastAsiaTheme="minorHAnsi"/>
                <w:b/>
                <w:sz w:val="20"/>
                <w:lang w:val="en-CA"/>
              </w:rPr>
              <w:t>Wayne Foster Yates v. Her Majesty the Queen</w:t>
            </w:r>
          </w:p>
          <w:p w:rsidR="00C52967" w:rsidRPr="006D7947" w:rsidRDefault="00C52967" w:rsidP="00C52967">
            <w:pPr>
              <w:jc w:val="both"/>
              <w:rPr>
                <w:rFonts w:eastAsiaTheme="minorHAnsi"/>
                <w:sz w:val="20"/>
                <w:lang w:val="en-CA"/>
              </w:rPr>
            </w:pPr>
            <w:r w:rsidRPr="006D7947">
              <w:rPr>
                <w:rFonts w:eastAsiaTheme="minorHAnsi"/>
                <w:sz w:val="20"/>
                <w:lang w:val="en-CA"/>
              </w:rPr>
              <w:t>(Alta.) (Criminal) (By Leave)</w:t>
            </w: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r w:rsidRPr="006D7947">
              <w:rPr>
                <w:rFonts w:eastAsiaTheme="minorHAnsi"/>
                <w:sz w:val="20"/>
                <w:lang w:val="en-CA"/>
              </w:rPr>
              <w:t xml:space="preserve">Criminal law – Jury charge – Intoxication – Provocation –  Whether trial judge erred in law by failing to provide proper instructions to the jury regarding intoxication and provocation and whether such instructions cannot be adequate for the purposes of applying the curative proviso in s. 686(1)(b)(iii) of the </w:t>
            </w:r>
            <w:r w:rsidRPr="006D7947">
              <w:rPr>
                <w:rFonts w:eastAsiaTheme="minorHAnsi"/>
                <w:i/>
                <w:sz w:val="20"/>
                <w:lang w:val="en-CA"/>
              </w:rPr>
              <w:t>Criminal Code</w:t>
            </w: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r w:rsidRPr="006D7947">
              <w:rPr>
                <w:rFonts w:eastAsiaTheme="minorHAnsi"/>
                <w:sz w:val="20"/>
                <w:lang w:val="en-CA"/>
              </w:rPr>
              <w:t>Yates was convicted by a jury of the first degree murder of his roommate, James Brideau, who was killed by a gunshot wound to the back of his head fired at close range. Brideau’s trailer was set on fire after the shooting. Yates' position at trial was that he was guilty of manslaughter, not murder, because he was intoxicated at the time of the shooting and Brideau had provoked him by making crude, sexual remarks about Yates’ sister. He claimed that he did not recall setting the trailer on fire.  On appeal, he argued in part that the jury charge failed to adequately explain the defences of intoxication and provocation.</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February 18, 2009</w:t>
            </w:r>
          </w:p>
          <w:p w:rsidR="00C52967" w:rsidRPr="006D7947" w:rsidRDefault="00C52967" w:rsidP="00C52967">
            <w:pPr>
              <w:jc w:val="both"/>
              <w:rPr>
                <w:rFonts w:eastAsiaTheme="minorHAnsi"/>
                <w:sz w:val="20"/>
                <w:lang w:val="en-CA"/>
              </w:rPr>
            </w:pPr>
            <w:r w:rsidRPr="006D7947">
              <w:rPr>
                <w:rFonts w:eastAsiaTheme="minorHAnsi"/>
                <w:sz w:val="20"/>
                <w:lang w:val="en-CA"/>
              </w:rPr>
              <w:t>Court of Queen’s Bench of Alberta</w:t>
            </w:r>
          </w:p>
          <w:p w:rsidR="00C52967" w:rsidRPr="006D7947" w:rsidRDefault="00C52967" w:rsidP="00C52967">
            <w:pPr>
              <w:jc w:val="both"/>
              <w:rPr>
                <w:rFonts w:eastAsiaTheme="minorHAnsi"/>
                <w:sz w:val="20"/>
                <w:lang w:val="en-CA"/>
              </w:rPr>
            </w:pPr>
            <w:r w:rsidRPr="006D7947">
              <w:rPr>
                <w:rFonts w:eastAsiaTheme="minorHAnsi"/>
                <w:sz w:val="20"/>
                <w:lang w:val="en-CA"/>
              </w:rPr>
              <w:t>(Burrows J.)</w:t>
            </w:r>
          </w:p>
          <w:p w:rsidR="00C52967" w:rsidRPr="006D7947" w:rsidRDefault="00C52967" w:rsidP="00C52967">
            <w:pPr>
              <w:jc w:val="both"/>
              <w:rPr>
                <w:rFonts w:eastAsiaTheme="minorHAnsi"/>
                <w:sz w:val="20"/>
                <w:lang w:val="en-CA"/>
              </w:rPr>
            </w:pPr>
            <w:r w:rsidRPr="006D7947">
              <w:rPr>
                <w:rFonts w:eastAsiaTheme="minorHAnsi"/>
                <w:sz w:val="20"/>
                <w:lang w:val="en-CA"/>
              </w:rPr>
              <w:t xml:space="preserve"> </w:t>
            </w: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Conviction by jury for first degree murder</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February 7, 2011</w:t>
            </w:r>
          </w:p>
          <w:p w:rsidR="00C52967" w:rsidRPr="006D7947" w:rsidRDefault="00C52967" w:rsidP="00C52967">
            <w:pPr>
              <w:jc w:val="both"/>
              <w:rPr>
                <w:rFonts w:eastAsiaTheme="minorHAnsi"/>
                <w:sz w:val="20"/>
                <w:lang w:val="en-CA"/>
              </w:rPr>
            </w:pPr>
            <w:r w:rsidRPr="006D7947">
              <w:rPr>
                <w:rFonts w:eastAsiaTheme="minorHAnsi"/>
                <w:sz w:val="20"/>
                <w:lang w:val="en-CA"/>
              </w:rPr>
              <w:t>Court of Appeal of Alberta (Edmonton)</w:t>
            </w:r>
          </w:p>
          <w:p w:rsidR="00C52967" w:rsidRPr="006D7947" w:rsidRDefault="00C52967" w:rsidP="00C52967">
            <w:pPr>
              <w:jc w:val="both"/>
              <w:rPr>
                <w:rFonts w:eastAsiaTheme="minorHAnsi"/>
                <w:sz w:val="20"/>
                <w:lang w:val="en-CA"/>
              </w:rPr>
            </w:pPr>
            <w:r w:rsidRPr="006D7947">
              <w:rPr>
                <w:rFonts w:eastAsiaTheme="minorHAnsi"/>
                <w:sz w:val="20"/>
                <w:lang w:val="en-CA"/>
              </w:rPr>
              <w:t>(Costigan, Slatter, Rowbotham JJ.A.)</w:t>
            </w:r>
          </w:p>
          <w:p w:rsidR="00C52967" w:rsidRPr="006D7947" w:rsidRDefault="00C52967" w:rsidP="00C52967">
            <w:pPr>
              <w:jc w:val="both"/>
              <w:rPr>
                <w:rFonts w:eastAsiaTheme="minorHAnsi"/>
                <w:sz w:val="20"/>
                <w:lang w:val="en-CA"/>
              </w:rPr>
            </w:pPr>
            <w:r w:rsidRPr="006D7947">
              <w:rPr>
                <w:rFonts w:eastAsiaTheme="minorHAnsi"/>
                <w:sz w:val="20"/>
                <w:lang w:val="en-CA"/>
              </w:rPr>
              <w:t>2011 ABCA 43; 0903-0062-A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Appeal dismissed</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December 22, 2011</w:t>
            </w:r>
          </w:p>
          <w:p w:rsidR="00C52967" w:rsidRPr="006D7947" w:rsidRDefault="00C52967" w:rsidP="00C52967">
            <w:pPr>
              <w:jc w:val="both"/>
              <w:rPr>
                <w:rFonts w:eastAsiaTheme="minorHAnsi"/>
                <w:sz w:val="20"/>
                <w:lang w:val="en-CA"/>
              </w:rPr>
            </w:pPr>
            <w:r w:rsidRPr="006D7947">
              <w:rPr>
                <w:rFonts w:eastAsiaTheme="minorHAnsi"/>
                <w:sz w:val="20"/>
                <w:lang w:val="en-CA"/>
              </w:rPr>
              <w:t>Supreme Court of Canada</w:t>
            </w:r>
          </w:p>
        </w:tc>
        <w:tc>
          <w:tcPr>
            <w:tcW w:w="243" w:type="pct"/>
          </w:tcPr>
          <w:p w:rsidR="00C52967" w:rsidRPr="006D7947" w:rsidRDefault="00C52967" w:rsidP="00C52967">
            <w:pPr>
              <w:jc w:val="both"/>
              <w:rPr>
                <w:rFonts w:eastAsiaTheme="minorHAnsi"/>
                <w:sz w:val="20"/>
                <w:lang w:val="en-CA"/>
              </w:rPr>
            </w:pPr>
          </w:p>
        </w:tc>
        <w:tc>
          <w:tcPr>
            <w:tcW w:w="2330" w:type="pct"/>
          </w:tcPr>
          <w:p w:rsidR="00C52967" w:rsidRDefault="00C52967" w:rsidP="00C52967">
            <w:pPr>
              <w:jc w:val="both"/>
              <w:rPr>
                <w:rFonts w:eastAsiaTheme="minorHAnsi"/>
                <w:sz w:val="20"/>
                <w:lang w:val="en-CA"/>
              </w:rPr>
            </w:pPr>
            <w:r w:rsidRPr="006D7947">
              <w:rPr>
                <w:rFonts w:eastAsiaTheme="minorHAnsi"/>
                <w:sz w:val="20"/>
                <w:lang w:val="en-CA"/>
              </w:rPr>
              <w:t>Application for extension of time to serve and file application for leave to appeal  and Application for leave to appeal filed</w:t>
            </w:r>
          </w:p>
          <w:p w:rsidR="000061D5" w:rsidRPr="006D7947" w:rsidRDefault="000061D5" w:rsidP="00C52967">
            <w:pPr>
              <w:jc w:val="both"/>
              <w:rPr>
                <w:rFonts w:eastAsiaTheme="minorHAnsi"/>
                <w:sz w:val="20"/>
                <w:lang w:val="en-CA"/>
              </w:rPr>
            </w:pPr>
          </w:p>
        </w:tc>
      </w:tr>
    </w:tbl>
    <w:p w:rsidR="00C52967" w:rsidRPr="006D7947" w:rsidRDefault="00C52967" w:rsidP="00C52967">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C52967" w:rsidRPr="006D7947" w:rsidTr="004D5A62">
        <w:tc>
          <w:tcPr>
            <w:tcW w:w="543" w:type="pct"/>
          </w:tcPr>
          <w:p w:rsidR="00C52967" w:rsidRPr="006D7947" w:rsidRDefault="00C52967" w:rsidP="00C52967">
            <w:pPr>
              <w:jc w:val="both"/>
              <w:rPr>
                <w:rFonts w:eastAsiaTheme="minorHAnsi"/>
                <w:sz w:val="20"/>
                <w:lang w:val="en-CA"/>
              </w:rPr>
            </w:pPr>
            <w:r w:rsidRPr="006D7947">
              <w:rPr>
                <w:rFonts w:eastAsiaTheme="minorHAnsi"/>
                <w:b/>
                <w:sz w:val="20"/>
                <w:lang w:val="en-CA"/>
              </w:rPr>
              <w:t>34589</w:t>
            </w:r>
          </w:p>
        </w:tc>
        <w:tc>
          <w:tcPr>
            <w:tcW w:w="4457" w:type="pct"/>
            <w:gridSpan w:val="3"/>
          </w:tcPr>
          <w:p w:rsidR="00C52967" w:rsidRPr="006D7947" w:rsidRDefault="00C52967" w:rsidP="00C52967">
            <w:pPr>
              <w:jc w:val="both"/>
              <w:rPr>
                <w:rFonts w:eastAsiaTheme="minorHAnsi"/>
                <w:b/>
                <w:sz w:val="20"/>
                <w:lang w:val="en-CA"/>
              </w:rPr>
            </w:pPr>
            <w:r w:rsidRPr="006D7947">
              <w:rPr>
                <w:rFonts w:eastAsiaTheme="minorHAnsi"/>
                <w:b/>
                <w:sz w:val="20"/>
                <w:lang w:val="en-CA"/>
              </w:rPr>
              <w:t>Wayne Foster Yates c. Her Majesty the Queen</w:t>
            </w:r>
          </w:p>
          <w:p w:rsidR="00C52967" w:rsidRPr="006D7947" w:rsidRDefault="00C52967" w:rsidP="000061D5">
            <w:pPr>
              <w:jc w:val="both"/>
              <w:rPr>
                <w:rFonts w:eastAsiaTheme="minorHAnsi"/>
                <w:sz w:val="20"/>
                <w:lang w:val="en-CA"/>
              </w:rPr>
            </w:pPr>
            <w:r w:rsidRPr="006D7947">
              <w:rPr>
                <w:rFonts w:eastAsiaTheme="minorHAnsi"/>
                <w:sz w:val="20"/>
                <w:lang w:val="en-CA"/>
              </w:rPr>
              <w:t>(Alb.) (Criminelle) (Sur autorisation)</w:t>
            </w:r>
          </w:p>
        </w:tc>
      </w:tr>
      <w:tr w:rsidR="00C52967" w:rsidRPr="00433941" w:rsidTr="004D5A62">
        <w:tc>
          <w:tcPr>
            <w:tcW w:w="5000" w:type="pct"/>
            <w:gridSpan w:val="4"/>
          </w:tcPr>
          <w:p w:rsidR="00C52967" w:rsidRPr="006D7947" w:rsidRDefault="00C52967" w:rsidP="00C52967">
            <w:pPr>
              <w:jc w:val="both"/>
              <w:rPr>
                <w:rFonts w:eastAsiaTheme="minorHAnsi"/>
                <w:sz w:val="20"/>
                <w:lang w:val="fr-FR"/>
              </w:rPr>
            </w:pPr>
            <w:r w:rsidRPr="006D7947">
              <w:rPr>
                <w:rFonts w:eastAsiaTheme="minorHAnsi"/>
                <w:sz w:val="20"/>
                <w:lang w:val="fr-FR"/>
              </w:rPr>
              <w:t>Droit criminel – Exposé au jury – Intoxication – Provocation – Le juge du procès a-t-il commis une erreur de droit en ne donnant pas au jury des directives appropriées concernant l’intoxication et la provocation, et ces directives ne peuvent-elles pas être adéquates pour l’application de la disposition réparatrice prévue au sous</w:t>
            </w:r>
            <w:r w:rsidRPr="006D7947">
              <w:rPr>
                <w:rFonts w:eastAsiaTheme="minorHAnsi"/>
                <w:sz w:val="20"/>
                <w:lang w:val="fr-FR"/>
              </w:rPr>
              <w:noBreakHyphen/>
              <w:t>al. 686(1)</w:t>
            </w:r>
            <w:r w:rsidRPr="006D7947">
              <w:rPr>
                <w:rFonts w:eastAsiaTheme="minorHAnsi"/>
                <w:i/>
                <w:sz w:val="20"/>
                <w:lang w:val="fr-FR"/>
              </w:rPr>
              <w:t>b</w:t>
            </w:r>
            <w:proofErr w:type="gramStart"/>
            <w:r w:rsidRPr="006D7947">
              <w:rPr>
                <w:rFonts w:eastAsiaTheme="minorHAnsi"/>
                <w:sz w:val="20"/>
                <w:lang w:val="fr-FR"/>
              </w:rPr>
              <w:t>)(</w:t>
            </w:r>
            <w:proofErr w:type="gramEnd"/>
            <w:r w:rsidRPr="006D7947">
              <w:rPr>
                <w:rFonts w:eastAsiaTheme="minorHAnsi"/>
                <w:sz w:val="20"/>
                <w:lang w:val="fr-FR"/>
              </w:rPr>
              <w:t xml:space="preserve">iii) du </w:t>
            </w:r>
            <w:r w:rsidRPr="006D7947">
              <w:rPr>
                <w:rFonts w:eastAsiaTheme="minorHAnsi"/>
                <w:i/>
                <w:sz w:val="20"/>
                <w:lang w:val="fr-FR"/>
              </w:rPr>
              <w:t>Code criminel</w:t>
            </w:r>
            <w:r w:rsidRPr="006D7947">
              <w:rPr>
                <w:rFonts w:eastAsiaTheme="minorHAnsi"/>
                <w:sz w:val="20"/>
                <w:lang w:val="fr-FR"/>
              </w:rPr>
              <w:t>?</w:t>
            </w:r>
          </w:p>
        </w:tc>
      </w:tr>
      <w:tr w:rsidR="00C52967" w:rsidRPr="00433941" w:rsidTr="004D5A62">
        <w:tc>
          <w:tcPr>
            <w:tcW w:w="5000" w:type="pct"/>
            <w:gridSpan w:val="4"/>
          </w:tcPr>
          <w:p w:rsidR="00C52967" w:rsidRPr="006D7947" w:rsidRDefault="00C52967" w:rsidP="00C52967">
            <w:pPr>
              <w:jc w:val="both"/>
              <w:rPr>
                <w:rFonts w:eastAsiaTheme="minorHAnsi"/>
                <w:sz w:val="20"/>
                <w:lang w:val="fr-FR"/>
              </w:rPr>
            </w:pPr>
          </w:p>
        </w:tc>
      </w:tr>
      <w:tr w:rsidR="00C52967" w:rsidRPr="00686322" w:rsidTr="004D5A62">
        <w:tc>
          <w:tcPr>
            <w:tcW w:w="5000" w:type="pct"/>
            <w:gridSpan w:val="4"/>
          </w:tcPr>
          <w:p w:rsidR="00C52967" w:rsidRPr="006D7947" w:rsidRDefault="00C52967" w:rsidP="00C52967">
            <w:pPr>
              <w:jc w:val="both"/>
              <w:rPr>
                <w:rFonts w:eastAsiaTheme="minorHAnsi"/>
                <w:sz w:val="20"/>
                <w:lang w:val="fr-FR"/>
              </w:rPr>
            </w:pPr>
            <w:r w:rsidRPr="006D7947">
              <w:rPr>
                <w:rFonts w:eastAsiaTheme="minorHAnsi"/>
                <w:sz w:val="20"/>
                <w:lang w:val="fr-FR"/>
              </w:rPr>
              <w:t xml:space="preserve">Un jury a reconnu M. Yates coupable du meurtre au premier degré de son colocataire, James Bribeau, qui a été tué d’une balle tirée à bout portant derrière la tête. </w:t>
            </w:r>
            <w:r w:rsidRPr="006D7947">
              <w:rPr>
                <w:rFonts w:eastAsiaTheme="minorHAnsi"/>
                <w:sz w:val="20"/>
                <w:lang w:val="fr-CA"/>
              </w:rPr>
              <w:t xml:space="preserve">La remorque de James Bribeau a été incendiée après le coup de feu. </w:t>
            </w:r>
            <w:r w:rsidRPr="006D7947">
              <w:rPr>
                <w:rFonts w:eastAsiaTheme="minorHAnsi"/>
                <w:sz w:val="20"/>
                <w:lang w:val="fr-FR"/>
              </w:rPr>
              <w:t>Au procès, M. Yates a dit être coupable d’homicide involontaire coupable, et non de meurtre, parce qu’il était ivre au moment du coup de feu et que M. Bribeau l’avait provoqué en faisant des commentaires grossiers de nature sexuelle à l’endroit de sa sœur. Il a prétendu ne pas se souvenir d’avoir mis le feu à la remorque. En appel, il a soutenu en partie que l’exposé au jury expliquait mal les moyens de défense d’intoxication et de provocation.</w:t>
            </w:r>
          </w:p>
          <w:p w:rsidR="00C52967" w:rsidRPr="006D7947" w:rsidRDefault="00C52967" w:rsidP="00C52967">
            <w:pPr>
              <w:jc w:val="both"/>
              <w:rPr>
                <w:rFonts w:eastAsiaTheme="minorHAnsi"/>
                <w:sz w:val="20"/>
                <w:lang w:val="fr-FR"/>
              </w:rPr>
            </w:pPr>
          </w:p>
        </w:tc>
      </w:tr>
      <w:tr w:rsidR="00C52967" w:rsidRPr="00686322" w:rsidTr="004D5A62">
        <w:tc>
          <w:tcPr>
            <w:tcW w:w="2427" w:type="pct"/>
            <w:gridSpan w:val="2"/>
          </w:tcPr>
          <w:p w:rsidR="00C52967" w:rsidRPr="006D7947" w:rsidRDefault="00C52967" w:rsidP="00C52967">
            <w:pPr>
              <w:jc w:val="both"/>
              <w:rPr>
                <w:rFonts w:eastAsiaTheme="minorHAnsi"/>
                <w:sz w:val="20"/>
                <w:lang w:val="fr-FR"/>
              </w:rPr>
            </w:pPr>
            <w:r w:rsidRPr="006D7947">
              <w:rPr>
                <w:rFonts w:eastAsiaTheme="minorHAnsi"/>
                <w:sz w:val="20"/>
                <w:lang w:val="fr-FR"/>
              </w:rPr>
              <w:t>18 février 2009</w:t>
            </w:r>
          </w:p>
          <w:p w:rsidR="00C52967" w:rsidRPr="006D7947" w:rsidRDefault="00C52967" w:rsidP="00C52967">
            <w:pPr>
              <w:jc w:val="both"/>
              <w:rPr>
                <w:rFonts w:eastAsiaTheme="minorHAnsi"/>
                <w:sz w:val="20"/>
                <w:lang w:val="fr-FR"/>
              </w:rPr>
            </w:pPr>
            <w:r w:rsidRPr="006D7947">
              <w:rPr>
                <w:rFonts w:eastAsiaTheme="minorHAnsi"/>
                <w:sz w:val="20"/>
                <w:lang w:val="fr-FR"/>
              </w:rPr>
              <w:t>Cour du Banc de la Reine de l’Alberta</w:t>
            </w:r>
          </w:p>
          <w:p w:rsidR="00C52967" w:rsidRPr="006D7947" w:rsidRDefault="00C52967" w:rsidP="00C52967">
            <w:pPr>
              <w:jc w:val="both"/>
              <w:rPr>
                <w:rFonts w:eastAsiaTheme="minorHAnsi"/>
                <w:sz w:val="20"/>
                <w:lang w:val="en-CA"/>
              </w:rPr>
            </w:pPr>
            <w:r w:rsidRPr="006D7947">
              <w:rPr>
                <w:rFonts w:eastAsiaTheme="minorHAnsi"/>
                <w:sz w:val="20"/>
                <w:lang w:val="en-CA"/>
              </w:rPr>
              <w:t>(Juge Burrows)</w:t>
            </w:r>
          </w:p>
          <w:p w:rsidR="00C52967" w:rsidRPr="006D7947" w:rsidRDefault="00C52967" w:rsidP="00C52967">
            <w:pPr>
              <w:jc w:val="both"/>
              <w:rPr>
                <w:rFonts w:eastAsiaTheme="minorHAnsi"/>
                <w:sz w:val="20"/>
                <w:lang w:val="en-CA"/>
              </w:rPr>
            </w:pPr>
            <w:r w:rsidRPr="006D7947">
              <w:rPr>
                <w:rFonts w:eastAsiaTheme="minorHAnsi"/>
                <w:sz w:val="20"/>
                <w:lang w:val="en-CA"/>
              </w:rPr>
              <w:t xml:space="preserve"> </w:t>
            </w: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fr-FR"/>
              </w:rPr>
            </w:pPr>
            <w:r w:rsidRPr="006D7947">
              <w:rPr>
                <w:rFonts w:eastAsiaTheme="minorHAnsi"/>
                <w:sz w:val="20"/>
                <w:lang w:val="fr-FR"/>
              </w:rPr>
              <w:t>Reconnu coupable par le jury de meurtre au premier degré</w:t>
            </w:r>
          </w:p>
          <w:p w:rsidR="00C52967" w:rsidRPr="006D7947" w:rsidRDefault="00C52967" w:rsidP="00C52967">
            <w:pPr>
              <w:jc w:val="both"/>
              <w:rPr>
                <w:rFonts w:eastAsiaTheme="minorHAnsi"/>
                <w:sz w:val="20"/>
                <w:lang w:val="fr-FR"/>
              </w:rPr>
            </w:pPr>
          </w:p>
        </w:tc>
      </w:tr>
      <w:tr w:rsidR="00C52967" w:rsidRPr="006D7947" w:rsidTr="004D5A62">
        <w:tc>
          <w:tcPr>
            <w:tcW w:w="2427" w:type="pct"/>
            <w:gridSpan w:val="2"/>
          </w:tcPr>
          <w:p w:rsidR="00C52967" w:rsidRPr="006D7947" w:rsidRDefault="00C52967" w:rsidP="00C52967">
            <w:pPr>
              <w:jc w:val="both"/>
              <w:rPr>
                <w:rFonts w:eastAsiaTheme="minorHAnsi"/>
                <w:sz w:val="20"/>
                <w:lang w:val="fr-FR"/>
              </w:rPr>
            </w:pPr>
            <w:r w:rsidRPr="006D7947">
              <w:rPr>
                <w:rFonts w:eastAsiaTheme="minorHAnsi"/>
                <w:sz w:val="20"/>
                <w:lang w:val="fr-FR"/>
              </w:rPr>
              <w:t>7 février 2011</w:t>
            </w:r>
          </w:p>
          <w:p w:rsidR="00C52967" w:rsidRPr="006D7947" w:rsidRDefault="00C52967" w:rsidP="00C52967">
            <w:pPr>
              <w:jc w:val="both"/>
              <w:rPr>
                <w:rFonts w:eastAsiaTheme="minorHAnsi"/>
                <w:sz w:val="20"/>
                <w:lang w:val="fr-FR"/>
              </w:rPr>
            </w:pPr>
            <w:r w:rsidRPr="006D7947">
              <w:rPr>
                <w:rFonts w:eastAsiaTheme="minorHAnsi"/>
                <w:sz w:val="20"/>
                <w:lang w:val="fr-FR"/>
              </w:rPr>
              <w:t>Cour d’appel de l’Alberta (Edmonton)</w:t>
            </w:r>
          </w:p>
          <w:p w:rsidR="00C52967" w:rsidRPr="006D7947" w:rsidRDefault="00C52967" w:rsidP="00C52967">
            <w:pPr>
              <w:jc w:val="both"/>
              <w:rPr>
                <w:rFonts w:eastAsiaTheme="minorHAnsi"/>
                <w:sz w:val="20"/>
                <w:lang w:val="en-CA"/>
              </w:rPr>
            </w:pPr>
            <w:r w:rsidRPr="006D7947">
              <w:rPr>
                <w:rFonts w:eastAsiaTheme="minorHAnsi"/>
                <w:sz w:val="20"/>
                <w:lang w:val="en-CA"/>
              </w:rPr>
              <w:t>(Juges Costigan, Slatter et Rowbotham)</w:t>
            </w:r>
          </w:p>
          <w:p w:rsidR="00C52967" w:rsidRPr="006D7947" w:rsidRDefault="00C52967" w:rsidP="00C52967">
            <w:pPr>
              <w:jc w:val="both"/>
              <w:rPr>
                <w:rFonts w:eastAsiaTheme="minorHAnsi"/>
                <w:sz w:val="20"/>
                <w:lang w:val="en-CA"/>
              </w:rPr>
            </w:pPr>
            <w:r w:rsidRPr="006D7947">
              <w:rPr>
                <w:rFonts w:eastAsiaTheme="minorHAnsi"/>
                <w:sz w:val="20"/>
                <w:lang w:val="en-CA"/>
              </w:rPr>
              <w:t>2011 ABCA 43; 0903-0062-A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Appel rejeté</w:t>
            </w:r>
          </w:p>
          <w:p w:rsidR="00C52967" w:rsidRPr="006D7947" w:rsidRDefault="00C52967" w:rsidP="00C52967">
            <w:pPr>
              <w:jc w:val="both"/>
              <w:rPr>
                <w:rFonts w:eastAsiaTheme="minorHAnsi"/>
                <w:sz w:val="20"/>
                <w:lang w:val="en-CA"/>
              </w:rPr>
            </w:pPr>
          </w:p>
        </w:tc>
      </w:tr>
      <w:tr w:rsidR="00C52967" w:rsidRPr="00433941" w:rsidTr="004D5A62">
        <w:tc>
          <w:tcPr>
            <w:tcW w:w="2427" w:type="pct"/>
            <w:gridSpan w:val="2"/>
          </w:tcPr>
          <w:p w:rsidR="00C52967" w:rsidRPr="006D7947" w:rsidRDefault="00C52967" w:rsidP="00C52967">
            <w:pPr>
              <w:jc w:val="both"/>
              <w:rPr>
                <w:rFonts w:eastAsiaTheme="minorHAnsi"/>
                <w:sz w:val="20"/>
                <w:lang w:val="fr-FR"/>
              </w:rPr>
            </w:pPr>
            <w:r w:rsidRPr="006D7947">
              <w:rPr>
                <w:rFonts w:eastAsiaTheme="minorHAnsi"/>
                <w:sz w:val="20"/>
                <w:lang w:val="fr-FR"/>
              </w:rPr>
              <w:t>22 décembre 2011</w:t>
            </w:r>
          </w:p>
          <w:p w:rsidR="00C52967" w:rsidRPr="006D7947" w:rsidRDefault="00C52967" w:rsidP="00C52967">
            <w:pPr>
              <w:jc w:val="both"/>
              <w:rPr>
                <w:rFonts w:eastAsiaTheme="minorHAnsi"/>
                <w:sz w:val="20"/>
                <w:lang w:val="fr-FR"/>
              </w:rPr>
            </w:pPr>
            <w:r w:rsidRPr="006D7947">
              <w:rPr>
                <w:rFonts w:eastAsiaTheme="minorHAnsi"/>
                <w:sz w:val="20"/>
                <w:lang w:val="fr-FR"/>
              </w:rPr>
              <w:t>Cour suprême du Canada</w:t>
            </w:r>
          </w:p>
        </w:tc>
        <w:tc>
          <w:tcPr>
            <w:tcW w:w="243" w:type="pct"/>
          </w:tcPr>
          <w:p w:rsidR="00C52967" w:rsidRPr="006D7947" w:rsidRDefault="00C52967" w:rsidP="00C52967">
            <w:pPr>
              <w:jc w:val="both"/>
              <w:rPr>
                <w:rFonts w:eastAsiaTheme="minorHAnsi"/>
                <w:sz w:val="20"/>
                <w:lang w:val="fr-FR"/>
              </w:rPr>
            </w:pPr>
          </w:p>
        </w:tc>
        <w:tc>
          <w:tcPr>
            <w:tcW w:w="2330" w:type="pct"/>
          </w:tcPr>
          <w:p w:rsidR="00C52967" w:rsidRPr="006D7947" w:rsidRDefault="00C52967" w:rsidP="00C52967">
            <w:pPr>
              <w:jc w:val="both"/>
              <w:rPr>
                <w:rFonts w:eastAsiaTheme="minorHAnsi"/>
                <w:sz w:val="20"/>
                <w:lang w:val="fr-FR"/>
              </w:rPr>
            </w:pPr>
            <w:r w:rsidRPr="006D7947">
              <w:rPr>
                <w:rFonts w:eastAsiaTheme="minorHAnsi"/>
                <w:sz w:val="20"/>
                <w:lang w:val="fr-FR"/>
              </w:rPr>
              <w:t xml:space="preserve">Demande de prorogation de délai pour signifier et déposer la demande d’autorisation d’appel et demande d’autorisation </w:t>
            </w:r>
            <w:proofErr w:type="gramStart"/>
            <w:r w:rsidRPr="006D7947">
              <w:rPr>
                <w:rFonts w:eastAsiaTheme="minorHAnsi"/>
                <w:sz w:val="20"/>
                <w:lang w:val="fr-FR"/>
              </w:rPr>
              <w:t>d’appel déposées</w:t>
            </w:r>
            <w:proofErr w:type="gramEnd"/>
          </w:p>
        </w:tc>
      </w:tr>
    </w:tbl>
    <w:p w:rsidR="00C52967" w:rsidRDefault="00C52967" w:rsidP="00C52967">
      <w:pPr>
        <w:jc w:val="both"/>
        <w:rPr>
          <w:rFonts w:eastAsiaTheme="minorHAnsi"/>
          <w:sz w:val="20"/>
          <w:lang w:val="fr-FR"/>
        </w:rPr>
      </w:pPr>
    </w:p>
    <w:p w:rsidR="000061D5" w:rsidRPr="006D7947" w:rsidRDefault="000061D5" w:rsidP="00C52967">
      <w:pPr>
        <w:jc w:val="both"/>
        <w:rPr>
          <w:rFonts w:eastAsiaTheme="minorHAnsi"/>
          <w:sz w:val="20"/>
          <w:lang w:val="fr-FR"/>
        </w:rPr>
      </w:pPr>
    </w:p>
    <w:tbl>
      <w:tblPr>
        <w:tblW w:w="4952" w:type="pct"/>
        <w:tblLayout w:type="fixed"/>
        <w:tblCellMar>
          <w:left w:w="0" w:type="dxa"/>
          <w:bottom w:w="99" w:type="dxa"/>
          <w:right w:w="0" w:type="dxa"/>
        </w:tblCellMar>
        <w:tblLook w:val="04A0"/>
      </w:tblPr>
      <w:tblGrid>
        <w:gridCol w:w="1006"/>
        <w:gridCol w:w="3493"/>
        <w:gridCol w:w="451"/>
        <w:gridCol w:w="4320"/>
      </w:tblGrid>
      <w:tr w:rsidR="00C52967" w:rsidRPr="006D7947" w:rsidTr="004D5A62">
        <w:tc>
          <w:tcPr>
            <w:tcW w:w="543" w:type="pct"/>
          </w:tcPr>
          <w:p w:rsidR="00C52967" w:rsidRPr="006D7947" w:rsidRDefault="00C52967" w:rsidP="00C52967">
            <w:pPr>
              <w:jc w:val="both"/>
              <w:rPr>
                <w:rFonts w:eastAsiaTheme="minorHAnsi"/>
                <w:sz w:val="20"/>
                <w:lang w:val="en-CA"/>
              </w:rPr>
            </w:pPr>
            <w:r w:rsidRPr="006D7947">
              <w:rPr>
                <w:rFonts w:eastAsiaTheme="minorHAnsi"/>
                <w:b/>
                <w:sz w:val="20"/>
                <w:lang w:val="en-CA"/>
              </w:rPr>
              <w:t>34568</w:t>
            </w:r>
          </w:p>
        </w:tc>
        <w:tc>
          <w:tcPr>
            <w:tcW w:w="4457" w:type="pct"/>
            <w:gridSpan w:val="3"/>
          </w:tcPr>
          <w:p w:rsidR="00C52967" w:rsidRPr="006D7947" w:rsidRDefault="00C52967" w:rsidP="00C52967">
            <w:pPr>
              <w:jc w:val="both"/>
              <w:rPr>
                <w:rFonts w:eastAsiaTheme="minorHAnsi"/>
                <w:b/>
                <w:sz w:val="20"/>
                <w:lang w:val="en-CA"/>
              </w:rPr>
            </w:pPr>
            <w:r w:rsidRPr="006D7947">
              <w:rPr>
                <w:rFonts w:eastAsiaTheme="minorHAnsi"/>
                <w:b/>
                <w:sz w:val="20"/>
                <w:lang w:val="en-CA"/>
              </w:rPr>
              <w:t>1494203 Ontario Inc. v. Nabil Ashkar, Naifa Ashkar</w:t>
            </w:r>
          </w:p>
          <w:p w:rsidR="00C52967" w:rsidRPr="006D7947" w:rsidRDefault="00C52967" w:rsidP="000061D5">
            <w:pPr>
              <w:jc w:val="both"/>
              <w:rPr>
                <w:rFonts w:eastAsiaTheme="minorHAnsi"/>
                <w:sz w:val="20"/>
                <w:lang w:val="en-CA"/>
              </w:rPr>
            </w:pPr>
            <w:r w:rsidRPr="006D7947">
              <w:rPr>
                <w:rFonts w:eastAsiaTheme="minorHAnsi"/>
                <w:sz w:val="20"/>
                <w:lang w:val="en-CA"/>
              </w:rPr>
              <w:t>(Ont.) (Civil) (By Leave)</w:t>
            </w: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r w:rsidRPr="006D7947">
              <w:rPr>
                <w:rFonts w:eastAsiaTheme="minorHAnsi"/>
                <w:sz w:val="20"/>
                <w:lang w:val="en-CA"/>
              </w:rPr>
              <w:t xml:space="preserve">Commercial law – Loans – Limitations – Whether the Court of Appeal erred in law in applying </w:t>
            </w:r>
            <w:r w:rsidRPr="006D7947">
              <w:rPr>
                <w:rFonts w:eastAsiaTheme="minorHAnsi"/>
                <w:i/>
                <w:sz w:val="20"/>
                <w:lang w:val="en-CA"/>
              </w:rPr>
              <w:t>Hare v. Hare</w:t>
            </w:r>
            <w:r w:rsidRPr="006D7947">
              <w:rPr>
                <w:rFonts w:eastAsiaTheme="minorHAnsi"/>
                <w:sz w:val="20"/>
                <w:lang w:val="en-CA"/>
              </w:rPr>
              <w:t xml:space="preserve"> 2006 CanLII 41650, which dealt with a demand note/loan, one so payable on its face (not this case) to a loan for an indefinite period of time and not so payable on its fact (this case)? Whether in doing so it confused a demand note/loan with a loan payable on demand?</w:t>
            </w: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p>
        </w:tc>
      </w:tr>
      <w:tr w:rsidR="00C52967" w:rsidRPr="006D7947" w:rsidTr="004D5A62">
        <w:tc>
          <w:tcPr>
            <w:tcW w:w="5000" w:type="pct"/>
            <w:gridSpan w:val="4"/>
          </w:tcPr>
          <w:p w:rsidR="00C52967" w:rsidRDefault="00C52967" w:rsidP="00C52967">
            <w:pPr>
              <w:jc w:val="both"/>
              <w:rPr>
                <w:rFonts w:eastAsiaTheme="minorHAnsi"/>
                <w:sz w:val="20"/>
                <w:lang w:val="en-CA"/>
              </w:rPr>
            </w:pPr>
            <w:r w:rsidRPr="006D7947">
              <w:rPr>
                <w:rFonts w:eastAsiaTheme="minorHAnsi"/>
                <w:sz w:val="20"/>
                <w:lang w:val="en-CA"/>
              </w:rPr>
              <w:t xml:space="preserve">Commercial law – Loans – Limitations – Whether the Court of Appeal erred in law in applying </w:t>
            </w:r>
            <w:r w:rsidRPr="006D7947">
              <w:rPr>
                <w:rFonts w:eastAsiaTheme="minorHAnsi"/>
                <w:i/>
                <w:sz w:val="20"/>
                <w:lang w:val="en-CA"/>
              </w:rPr>
              <w:t>Hare v. Hare</w:t>
            </w:r>
            <w:r w:rsidRPr="006D7947">
              <w:rPr>
                <w:rFonts w:eastAsiaTheme="minorHAnsi"/>
                <w:sz w:val="20"/>
                <w:lang w:val="en-CA"/>
              </w:rPr>
              <w:t xml:space="preserve"> 2006 CanLII 41650, which dealt with a demand note/loan, one so payable on its face (not this case) to a loan for an indefinite period of time and not so payable on its fact (this case)? Whether in doing so it confused a demand note/loan with a loan payable on demand?</w:t>
            </w:r>
          </w:p>
          <w:p w:rsidR="00CF4702" w:rsidRPr="006D7947" w:rsidRDefault="00CF4702"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October 21, 2010</w:t>
            </w:r>
          </w:p>
          <w:p w:rsidR="00C52967" w:rsidRPr="006D7947" w:rsidRDefault="00C52967" w:rsidP="00C52967">
            <w:pPr>
              <w:jc w:val="both"/>
              <w:rPr>
                <w:rFonts w:eastAsiaTheme="minorHAnsi"/>
                <w:sz w:val="20"/>
                <w:lang w:val="en-CA"/>
              </w:rPr>
            </w:pPr>
            <w:r w:rsidRPr="006D7947">
              <w:rPr>
                <w:rFonts w:eastAsiaTheme="minorHAnsi"/>
                <w:sz w:val="20"/>
                <w:lang w:val="en-CA"/>
              </w:rPr>
              <w:t>Ontario Superior Court of Justice</w:t>
            </w:r>
          </w:p>
          <w:p w:rsidR="00C52967" w:rsidRPr="006D7947" w:rsidRDefault="00C52967" w:rsidP="00C52967">
            <w:pPr>
              <w:jc w:val="both"/>
              <w:rPr>
                <w:rFonts w:eastAsiaTheme="minorHAnsi"/>
                <w:sz w:val="20"/>
                <w:lang w:val="en-CA"/>
              </w:rPr>
            </w:pPr>
            <w:r w:rsidRPr="006D7947">
              <w:rPr>
                <w:rFonts w:eastAsiaTheme="minorHAnsi"/>
                <w:sz w:val="20"/>
                <w:lang w:val="en-CA"/>
              </w:rPr>
              <w:t>(Chapnik J.)</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Applicant’s motion for order striking statement of claim as statute-barred, allowed</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October 12, 2011</w:t>
            </w:r>
          </w:p>
          <w:p w:rsidR="00C52967" w:rsidRPr="006D7947" w:rsidRDefault="00C52967" w:rsidP="00C52967">
            <w:pPr>
              <w:jc w:val="both"/>
              <w:rPr>
                <w:rFonts w:eastAsiaTheme="minorHAnsi"/>
                <w:sz w:val="20"/>
                <w:lang w:val="en-CA"/>
              </w:rPr>
            </w:pPr>
            <w:r w:rsidRPr="006D7947">
              <w:rPr>
                <w:rFonts w:eastAsiaTheme="minorHAnsi"/>
                <w:sz w:val="20"/>
                <w:lang w:val="en-CA"/>
              </w:rPr>
              <w:t>Court of Appeal for Ontario</w:t>
            </w:r>
          </w:p>
          <w:p w:rsidR="00C52967" w:rsidRPr="006D7947" w:rsidRDefault="00C52967" w:rsidP="00C52967">
            <w:pPr>
              <w:jc w:val="both"/>
              <w:rPr>
                <w:rFonts w:eastAsiaTheme="minorHAnsi"/>
                <w:sz w:val="20"/>
                <w:lang w:val="en-CA"/>
              </w:rPr>
            </w:pPr>
            <w:r w:rsidRPr="006D7947">
              <w:rPr>
                <w:rFonts w:eastAsiaTheme="minorHAnsi"/>
                <w:sz w:val="20"/>
                <w:lang w:val="en-CA"/>
              </w:rPr>
              <w:t>(Blair, LaForme and Benotto JJ.A.)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Appeal dismissed</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December 9, 2011</w:t>
            </w:r>
          </w:p>
          <w:p w:rsidR="00C52967" w:rsidRPr="006D7947" w:rsidRDefault="00C52967" w:rsidP="00C52967">
            <w:pPr>
              <w:jc w:val="both"/>
              <w:rPr>
                <w:rFonts w:eastAsiaTheme="minorHAnsi"/>
                <w:sz w:val="20"/>
                <w:lang w:val="en-CA"/>
              </w:rPr>
            </w:pPr>
            <w:r w:rsidRPr="006D7947">
              <w:rPr>
                <w:rFonts w:eastAsiaTheme="minorHAnsi"/>
                <w:sz w:val="20"/>
                <w:lang w:val="en-CA"/>
              </w:rPr>
              <w:t>Supreme Court of Canada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Application for leave to appeal filed</w:t>
            </w:r>
          </w:p>
          <w:p w:rsidR="00C52967" w:rsidRPr="006D7947" w:rsidRDefault="00C52967" w:rsidP="00C52967">
            <w:pPr>
              <w:jc w:val="both"/>
              <w:rPr>
                <w:rFonts w:eastAsiaTheme="minorHAnsi"/>
                <w:sz w:val="20"/>
                <w:lang w:val="en-CA"/>
              </w:rPr>
            </w:pPr>
          </w:p>
        </w:tc>
      </w:tr>
    </w:tbl>
    <w:p w:rsidR="00C52967" w:rsidRPr="006D7947" w:rsidRDefault="00C52967" w:rsidP="00C52967">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C52967" w:rsidRPr="00686322" w:rsidTr="004D5A62">
        <w:tc>
          <w:tcPr>
            <w:tcW w:w="543" w:type="pct"/>
          </w:tcPr>
          <w:p w:rsidR="00C52967" w:rsidRPr="006D7947" w:rsidRDefault="00C52967" w:rsidP="00C52967">
            <w:pPr>
              <w:jc w:val="both"/>
              <w:rPr>
                <w:rFonts w:eastAsiaTheme="minorHAnsi"/>
                <w:sz w:val="20"/>
                <w:lang w:val="en-CA"/>
              </w:rPr>
            </w:pPr>
            <w:r w:rsidRPr="006D7947">
              <w:rPr>
                <w:rFonts w:eastAsiaTheme="minorHAnsi"/>
                <w:b/>
                <w:sz w:val="20"/>
                <w:lang w:val="en-CA"/>
              </w:rPr>
              <w:t>34568</w:t>
            </w:r>
          </w:p>
        </w:tc>
        <w:tc>
          <w:tcPr>
            <w:tcW w:w="4457" w:type="pct"/>
            <w:gridSpan w:val="3"/>
          </w:tcPr>
          <w:p w:rsidR="00C52967" w:rsidRPr="006D7947" w:rsidRDefault="00C52967" w:rsidP="00C52967">
            <w:pPr>
              <w:jc w:val="both"/>
              <w:rPr>
                <w:rFonts w:eastAsiaTheme="minorHAnsi"/>
                <w:b/>
                <w:sz w:val="20"/>
                <w:lang w:val="fr-FR"/>
              </w:rPr>
            </w:pPr>
            <w:r w:rsidRPr="006D7947">
              <w:rPr>
                <w:rFonts w:eastAsiaTheme="minorHAnsi"/>
                <w:b/>
                <w:sz w:val="20"/>
                <w:lang w:val="fr-FR"/>
              </w:rPr>
              <w:t>1494203 Ontario Inc. c. Nabil Ashkar, Naifa Ashkar</w:t>
            </w:r>
          </w:p>
          <w:p w:rsidR="00C52967" w:rsidRPr="006D7947" w:rsidRDefault="00C52967" w:rsidP="00CF4702">
            <w:pPr>
              <w:jc w:val="both"/>
              <w:rPr>
                <w:rFonts w:eastAsiaTheme="minorHAnsi"/>
                <w:sz w:val="20"/>
                <w:lang w:val="fr-FR"/>
              </w:rPr>
            </w:pPr>
            <w:r w:rsidRPr="006D7947">
              <w:rPr>
                <w:rFonts w:eastAsiaTheme="minorHAnsi"/>
                <w:sz w:val="20"/>
                <w:lang w:val="fr-FR"/>
              </w:rPr>
              <w:t>(Ont.) (Civile) (Sur autorisation)</w:t>
            </w:r>
          </w:p>
        </w:tc>
      </w:tr>
      <w:tr w:rsidR="00C52967" w:rsidRPr="00686322" w:rsidTr="004D5A62">
        <w:tc>
          <w:tcPr>
            <w:tcW w:w="5000" w:type="pct"/>
            <w:gridSpan w:val="4"/>
          </w:tcPr>
          <w:p w:rsidR="00C52967" w:rsidRPr="006D7947" w:rsidRDefault="00C52967" w:rsidP="00C52967">
            <w:pPr>
              <w:jc w:val="both"/>
              <w:rPr>
                <w:rFonts w:eastAsiaTheme="minorHAnsi"/>
                <w:sz w:val="20"/>
                <w:lang w:val="fr-FR"/>
              </w:rPr>
            </w:pPr>
            <w:r w:rsidRPr="006D7947">
              <w:rPr>
                <w:rFonts w:eastAsiaTheme="minorHAnsi"/>
                <w:sz w:val="20"/>
                <w:lang w:val="fr-FR"/>
              </w:rPr>
              <w:t>Droit commercial – Prêts – Délais de prescription – La Cour d’appel a</w:t>
            </w:r>
            <w:r w:rsidRPr="006D7947">
              <w:rPr>
                <w:rFonts w:eastAsiaTheme="minorHAnsi"/>
                <w:sz w:val="20"/>
                <w:lang w:val="fr-FR"/>
              </w:rPr>
              <w:noBreakHyphen/>
              <w:t>t</w:t>
            </w:r>
            <w:r w:rsidRPr="006D7947">
              <w:rPr>
                <w:rFonts w:eastAsiaTheme="minorHAnsi"/>
                <w:sz w:val="20"/>
                <w:lang w:val="fr-FR"/>
              </w:rPr>
              <w:noBreakHyphen/>
              <w:t xml:space="preserve">elle commis une erreur de droit en appliquant la décision </w:t>
            </w:r>
            <w:r w:rsidRPr="006D7947">
              <w:rPr>
                <w:rFonts w:eastAsiaTheme="minorHAnsi"/>
                <w:i/>
                <w:sz w:val="20"/>
                <w:lang w:val="fr-FR"/>
              </w:rPr>
              <w:t>Hare c. Hare</w:t>
            </w:r>
            <w:r w:rsidRPr="006D7947">
              <w:rPr>
                <w:rFonts w:eastAsiaTheme="minorHAnsi"/>
                <w:sz w:val="20"/>
                <w:lang w:val="fr-FR"/>
              </w:rPr>
              <w:t>, 2006 CanLII 41650, qui portait sur un billet ou prêt à demande remboursable à vue (ce qui n’est pas le cas en l’espèce), à un prêt consenti pour un temps indéterminé et non remboursable à vue (en l’espèce)? A</w:t>
            </w:r>
            <w:r w:rsidRPr="006D7947">
              <w:rPr>
                <w:rFonts w:eastAsiaTheme="minorHAnsi"/>
                <w:sz w:val="20"/>
                <w:lang w:val="fr-FR"/>
              </w:rPr>
              <w:noBreakHyphen/>
              <w:t>t</w:t>
            </w:r>
            <w:r w:rsidRPr="006D7947">
              <w:rPr>
                <w:rFonts w:eastAsiaTheme="minorHAnsi"/>
                <w:sz w:val="20"/>
                <w:lang w:val="fr-FR"/>
              </w:rPr>
              <w:noBreakHyphen/>
              <w:t>elle confondu ainsi un billet ou prêt à demande et un prêt payable sur demande?</w:t>
            </w:r>
          </w:p>
        </w:tc>
      </w:tr>
      <w:tr w:rsidR="00C52967" w:rsidRPr="00686322" w:rsidTr="004D5A62">
        <w:tc>
          <w:tcPr>
            <w:tcW w:w="5000" w:type="pct"/>
            <w:gridSpan w:val="4"/>
          </w:tcPr>
          <w:p w:rsidR="00C52967" w:rsidRPr="006D7947" w:rsidRDefault="00C52967" w:rsidP="00C52967">
            <w:pPr>
              <w:jc w:val="both"/>
              <w:rPr>
                <w:rFonts w:eastAsiaTheme="minorHAnsi"/>
                <w:sz w:val="20"/>
                <w:lang w:val="fr-FR"/>
              </w:rPr>
            </w:pPr>
          </w:p>
        </w:tc>
      </w:tr>
      <w:tr w:rsidR="00C52967" w:rsidRPr="00686322" w:rsidTr="004D5A62">
        <w:tc>
          <w:tcPr>
            <w:tcW w:w="5000" w:type="pct"/>
            <w:gridSpan w:val="4"/>
          </w:tcPr>
          <w:p w:rsidR="00C52967" w:rsidRPr="006D7947" w:rsidRDefault="00C52967" w:rsidP="00C52967">
            <w:pPr>
              <w:jc w:val="both"/>
              <w:rPr>
                <w:rFonts w:eastAsiaTheme="minorHAnsi"/>
                <w:sz w:val="20"/>
                <w:lang w:val="fr-FR"/>
              </w:rPr>
            </w:pPr>
            <w:r w:rsidRPr="006D7947">
              <w:rPr>
                <w:rFonts w:eastAsiaTheme="minorHAnsi"/>
                <w:sz w:val="20"/>
                <w:lang w:val="fr-FR"/>
              </w:rPr>
              <w:t>Droit commercial – Prêts – Délais de prescription – La Cour d’appel a</w:t>
            </w:r>
            <w:r w:rsidRPr="006D7947">
              <w:rPr>
                <w:rFonts w:eastAsiaTheme="minorHAnsi"/>
                <w:sz w:val="20"/>
                <w:lang w:val="fr-FR"/>
              </w:rPr>
              <w:noBreakHyphen/>
              <w:t>t</w:t>
            </w:r>
            <w:r w:rsidRPr="006D7947">
              <w:rPr>
                <w:rFonts w:eastAsiaTheme="minorHAnsi"/>
                <w:sz w:val="20"/>
                <w:lang w:val="fr-FR"/>
              </w:rPr>
              <w:noBreakHyphen/>
              <w:t xml:space="preserve">elle commis une erreur de droit en appliquant la décision </w:t>
            </w:r>
            <w:r w:rsidRPr="006D7947">
              <w:rPr>
                <w:rFonts w:eastAsiaTheme="minorHAnsi"/>
                <w:i/>
                <w:sz w:val="20"/>
                <w:lang w:val="fr-FR"/>
              </w:rPr>
              <w:t>Hare c. Hare</w:t>
            </w:r>
            <w:r w:rsidRPr="006D7947">
              <w:rPr>
                <w:rFonts w:eastAsiaTheme="minorHAnsi"/>
                <w:sz w:val="20"/>
                <w:lang w:val="fr-FR"/>
              </w:rPr>
              <w:t>, 2006 CanLII 41650, qui portrait sur un billet ou prêt à demande remboursable à vue (ce qui n’est pas le cas en l’espèce), à un prêt consenti pour un temps indéterminé et non remboursable à vue (en l’espèce)? A</w:t>
            </w:r>
            <w:r w:rsidRPr="006D7947">
              <w:rPr>
                <w:rFonts w:eastAsiaTheme="minorHAnsi"/>
                <w:sz w:val="20"/>
                <w:lang w:val="fr-FR"/>
              </w:rPr>
              <w:noBreakHyphen/>
              <w:t>t</w:t>
            </w:r>
            <w:r w:rsidRPr="006D7947">
              <w:rPr>
                <w:rFonts w:eastAsiaTheme="minorHAnsi"/>
                <w:sz w:val="20"/>
                <w:lang w:val="fr-FR"/>
              </w:rPr>
              <w:noBreakHyphen/>
              <w:t xml:space="preserve">elle confondu ainsi un billet ou prêt à demande et un prêt payable sur demande? </w:t>
            </w:r>
          </w:p>
        </w:tc>
      </w:tr>
      <w:tr w:rsidR="00C52967" w:rsidRPr="00686322" w:rsidTr="004D5A62">
        <w:tc>
          <w:tcPr>
            <w:tcW w:w="5000" w:type="pct"/>
            <w:gridSpan w:val="4"/>
          </w:tcPr>
          <w:p w:rsidR="00C52967" w:rsidRPr="006D7947" w:rsidRDefault="00C52967" w:rsidP="00C52967">
            <w:pPr>
              <w:jc w:val="both"/>
              <w:rPr>
                <w:rFonts w:eastAsiaTheme="minorHAnsi"/>
                <w:sz w:val="20"/>
                <w:lang w:val="fr-FR"/>
              </w:rPr>
            </w:pPr>
          </w:p>
        </w:tc>
      </w:tr>
      <w:tr w:rsidR="00C52967" w:rsidRPr="00686322" w:rsidTr="004D5A62">
        <w:tc>
          <w:tcPr>
            <w:tcW w:w="2427" w:type="pct"/>
            <w:gridSpan w:val="2"/>
          </w:tcPr>
          <w:p w:rsidR="00C52967" w:rsidRPr="006D7947" w:rsidRDefault="00C52967" w:rsidP="00C52967">
            <w:pPr>
              <w:jc w:val="both"/>
              <w:rPr>
                <w:rFonts w:eastAsiaTheme="minorHAnsi"/>
                <w:sz w:val="20"/>
                <w:lang w:val="fr-FR"/>
              </w:rPr>
            </w:pPr>
            <w:r w:rsidRPr="006D7947">
              <w:rPr>
                <w:rFonts w:eastAsiaTheme="minorHAnsi"/>
                <w:sz w:val="20"/>
                <w:lang w:val="fr-FR"/>
              </w:rPr>
              <w:t>21 octobre 2010</w:t>
            </w:r>
          </w:p>
          <w:p w:rsidR="00C52967" w:rsidRPr="006D7947" w:rsidRDefault="00C52967" w:rsidP="00C52967">
            <w:pPr>
              <w:jc w:val="both"/>
              <w:rPr>
                <w:rFonts w:eastAsiaTheme="minorHAnsi"/>
                <w:sz w:val="20"/>
                <w:lang w:val="fr-FR"/>
              </w:rPr>
            </w:pPr>
            <w:r w:rsidRPr="006D7947">
              <w:rPr>
                <w:rFonts w:eastAsiaTheme="minorHAnsi"/>
                <w:sz w:val="20"/>
                <w:lang w:val="fr-FR"/>
              </w:rPr>
              <w:t xml:space="preserve">Cour supérieure de justice de l’Ontario </w:t>
            </w:r>
          </w:p>
          <w:p w:rsidR="00C52967" w:rsidRPr="006D7947" w:rsidRDefault="00C52967" w:rsidP="00C52967">
            <w:pPr>
              <w:jc w:val="both"/>
              <w:rPr>
                <w:rFonts w:eastAsiaTheme="minorHAnsi"/>
                <w:sz w:val="20"/>
                <w:lang w:val="en-CA"/>
              </w:rPr>
            </w:pPr>
            <w:r w:rsidRPr="006D7947">
              <w:rPr>
                <w:rFonts w:eastAsiaTheme="minorHAnsi"/>
                <w:sz w:val="20"/>
                <w:lang w:val="en-CA"/>
              </w:rPr>
              <w:t>(Juge Chapnik)</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fr-FR"/>
              </w:rPr>
            </w:pPr>
            <w:r w:rsidRPr="006D7947">
              <w:rPr>
                <w:rFonts w:eastAsiaTheme="minorHAnsi"/>
                <w:sz w:val="20"/>
                <w:lang w:val="fr-FR"/>
              </w:rPr>
              <w:t xml:space="preserve">Requête de la demanderesse en vue d’obtenir une ordonnance radiant la déclaration pour cause de prescription, accueillie </w:t>
            </w:r>
          </w:p>
          <w:p w:rsidR="00C52967" w:rsidRPr="006D7947" w:rsidRDefault="00C52967" w:rsidP="00C52967">
            <w:pPr>
              <w:jc w:val="both"/>
              <w:rPr>
                <w:rFonts w:eastAsiaTheme="minorHAnsi"/>
                <w:sz w:val="20"/>
                <w:lang w:val="fr-FR"/>
              </w:rPr>
            </w:pPr>
          </w:p>
        </w:tc>
      </w:tr>
      <w:tr w:rsidR="00C52967" w:rsidRPr="006D7947" w:rsidTr="004D5A62">
        <w:tc>
          <w:tcPr>
            <w:tcW w:w="2427" w:type="pct"/>
            <w:gridSpan w:val="2"/>
          </w:tcPr>
          <w:p w:rsidR="00C52967" w:rsidRPr="006D7947" w:rsidRDefault="00C52967" w:rsidP="00C52967">
            <w:pPr>
              <w:jc w:val="both"/>
              <w:rPr>
                <w:rFonts w:eastAsiaTheme="minorHAnsi"/>
                <w:sz w:val="20"/>
                <w:lang w:val="fr-FR"/>
              </w:rPr>
            </w:pPr>
            <w:r w:rsidRPr="006D7947">
              <w:rPr>
                <w:rFonts w:eastAsiaTheme="minorHAnsi"/>
                <w:sz w:val="20"/>
                <w:lang w:val="fr-FR"/>
              </w:rPr>
              <w:t>12 octobre 2011</w:t>
            </w:r>
          </w:p>
          <w:p w:rsidR="00C52967" w:rsidRPr="006D7947" w:rsidRDefault="00C52967" w:rsidP="00C52967">
            <w:pPr>
              <w:jc w:val="both"/>
              <w:rPr>
                <w:rFonts w:eastAsiaTheme="minorHAnsi"/>
                <w:sz w:val="20"/>
                <w:lang w:val="fr-FR"/>
              </w:rPr>
            </w:pPr>
            <w:r w:rsidRPr="006D7947">
              <w:rPr>
                <w:rFonts w:eastAsiaTheme="minorHAnsi"/>
                <w:sz w:val="20"/>
                <w:lang w:val="fr-FR"/>
              </w:rPr>
              <w:t>Cour d’appel de l’Ontario</w:t>
            </w:r>
          </w:p>
          <w:p w:rsidR="00C52967" w:rsidRPr="006D7947" w:rsidRDefault="00C52967" w:rsidP="00C52967">
            <w:pPr>
              <w:jc w:val="both"/>
              <w:rPr>
                <w:rFonts w:eastAsiaTheme="minorHAnsi"/>
                <w:sz w:val="20"/>
                <w:lang w:val="fr-FR"/>
              </w:rPr>
            </w:pPr>
            <w:r w:rsidRPr="006D7947">
              <w:rPr>
                <w:rFonts w:eastAsiaTheme="minorHAnsi"/>
                <w:sz w:val="20"/>
                <w:lang w:val="fr-FR"/>
              </w:rPr>
              <w:t>(Juges Blair, LaForme et Benotto)</w:t>
            </w:r>
          </w:p>
          <w:p w:rsidR="00C52967" w:rsidRPr="006D7947" w:rsidRDefault="00C52967" w:rsidP="00C52967">
            <w:pPr>
              <w:jc w:val="both"/>
              <w:rPr>
                <w:rFonts w:eastAsiaTheme="minorHAnsi"/>
                <w:sz w:val="20"/>
                <w:lang w:val="fr-FR"/>
              </w:rPr>
            </w:pPr>
          </w:p>
        </w:tc>
        <w:tc>
          <w:tcPr>
            <w:tcW w:w="243" w:type="pct"/>
          </w:tcPr>
          <w:p w:rsidR="00C52967" w:rsidRPr="006D7947" w:rsidRDefault="00C52967" w:rsidP="00C52967">
            <w:pPr>
              <w:jc w:val="both"/>
              <w:rPr>
                <w:rFonts w:eastAsiaTheme="minorHAnsi"/>
                <w:sz w:val="20"/>
                <w:lang w:val="fr-FR"/>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Appel rejeté</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9 décembre 2011</w:t>
            </w:r>
          </w:p>
          <w:p w:rsidR="00C52967" w:rsidRPr="006D7947" w:rsidRDefault="00C52967" w:rsidP="00C52967">
            <w:pPr>
              <w:jc w:val="both"/>
              <w:rPr>
                <w:rFonts w:eastAsiaTheme="minorHAnsi"/>
                <w:sz w:val="20"/>
                <w:lang w:val="en-CA"/>
              </w:rPr>
            </w:pPr>
            <w:r w:rsidRPr="006D7947">
              <w:rPr>
                <w:rFonts w:eastAsiaTheme="minorHAnsi"/>
                <w:sz w:val="20"/>
                <w:lang w:val="en-CA"/>
              </w:rPr>
              <w:t>Cour suprême du Canada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 xml:space="preserve">Demande d’autorisation d’appel déposée </w:t>
            </w:r>
          </w:p>
          <w:p w:rsidR="00C52967" w:rsidRPr="006D7947" w:rsidRDefault="00C52967" w:rsidP="00C52967">
            <w:pPr>
              <w:jc w:val="both"/>
              <w:rPr>
                <w:rFonts w:eastAsiaTheme="minorHAnsi"/>
                <w:sz w:val="20"/>
                <w:lang w:val="en-CA"/>
              </w:rPr>
            </w:pPr>
          </w:p>
        </w:tc>
      </w:tr>
    </w:tbl>
    <w:p w:rsidR="00C52967" w:rsidRPr="006D7947" w:rsidRDefault="00C52967" w:rsidP="00C52967">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C52967" w:rsidRPr="006D7947" w:rsidTr="004D5A62">
        <w:tc>
          <w:tcPr>
            <w:tcW w:w="543" w:type="pct"/>
          </w:tcPr>
          <w:p w:rsidR="00C52967" w:rsidRPr="006D7947" w:rsidRDefault="00C52967" w:rsidP="00C52967">
            <w:pPr>
              <w:jc w:val="both"/>
              <w:rPr>
                <w:rFonts w:eastAsiaTheme="minorHAnsi"/>
                <w:sz w:val="20"/>
                <w:lang w:val="en-CA"/>
              </w:rPr>
            </w:pPr>
            <w:r w:rsidRPr="006D7947">
              <w:rPr>
                <w:rFonts w:eastAsiaTheme="minorHAnsi"/>
                <w:b/>
                <w:sz w:val="20"/>
                <w:lang w:val="en-CA"/>
              </w:rPr>
              <w:t>34518</w:t>
            </w:r>
          </w:p>
        </w:tc>
        <w:tc>
          <w:tcPr>
            <w:tcW w:w="4457" w:type="pct"/>
            <w:gridSpan w:val="3"/>
          </w:tcPr>
          <w:p w:rsidR="00C52967" w:rsidRPr="006D7947" w:rsidRDefault="00C52967" w:rsidP="00C52967">
            <w:pPr>
              <w:jc w:val="both"/>
              <w:rPr>
                <w:rFonts w:eastAsiaTheme="minorHAnsi"/>
                <w:b/>
                <w:sz w:val="20"/>
                <w:lang w:val="en-CA"/>
              </w:rPr>
            </w:pPr>
            <w:r w:rsidRPr="006D7947">
              <w:rPr>
                <w:rFonts w:eastAsiaTheme="minorHAnsi"/>
                <w:b/>
                <w:sz w:val="20"/>
                <w:lang w:val="en-CA"/>
              </w:rPr>
              <w:t>Canadian Union of Public Employees, Local 1450, Canadian Union of Public Employees, Local 2808 v. Journal de Québec, Dominique Salgado, Bernard Plante, Geneviève Riel-Roberge, Hubert Lapointe, Marc-André Boivin, Reine-May Crescence, Mélanie Tremblay, Antoine Leclair, Geneviève Larivière, Yan Perron, Pierre Gauthier, Nathalie Bissonnette</w:t>
            </w:r>
          </w:p>
          <w:p w:rsidR="00C52967" w:rsidRPr="006D7947" w:rsidRDefault="00C52967" w:rsidP="00C52967">
            <w:pPr>
              <w:jc w:val="both"/>
              <w:rPr>
                <w:rFonts w:eastAsiaTheme="minorHAnsi"/>
                <w:b/>
                <w:sz w:val="20"/>
                <w:lang w:val="fr-CA"/>
              </w:rPr>
            </w:pPr>
            <w:r w:rsidRPr="006D7947">
              <w:rPr>
                <w:rFonts w:eastAsiaTheme="minorHAnsi"/>
                <w:b/>
                <w:sz w:val="20"/>
                <w:lang w:val="fr-CA"/>
              </w:rPr>
              <w:t>- and -</w:t>
            </w:r>
          </w:p>
          <w:p w:rsidR="00C52967" w:rsidRPr="006D7947" w:rsidRDefault="00C52967" w:rsidP="00C52967">
            <w:pPr>
              <w:jc w:val="both"/>
              <w:rPr>
                <w:rFonts w:eastAsiaTheme="minorHAnsi"/>
                <w:b/>
                <w:sz w:val="20"/>
                <w:lang w:val="fr-CA"/>
              </w:rPr>
            </w:pPr>
            <w:r w:rsidRPr="006D7947">
              <w:rPr>
                <w:rFonts w:eastAsiaTheme="minorHAnsi"/>
                <w:b/>
                <w:sz w:val="20"/>
                <w:lang w:val="fr-CA"/>
              </w:rPr>
              <w:t>Myriam Bédard, Commission des relations du travail</w:t>
            </w:r>
          </w:p>
          <w:p w:rsidR="00C52967" w:rsidRPr="006D7947" w:rsidRDefault="00C52967" w:rsidP="00C52967">
            <w:pPr>
              <w:jc w:val="both"/>
              <w:rPr>
                <w:rFonts w:eastAsiaTheme="minorHAnsi"/>
                <w:sz w:val="20"/>
                <w:lang w:val="en-CA"/>
              </w:rPr>
            </w:pPr>
            <w:r w:rsidRPr="006D7947">
              <w:rPr>
                <w:rFonts w:eastAsiaTheme="minorHAnsi"/>
                <w:sz w:val="20"/>
                <w:lang w:val="en-CA"/>
              </w:rPr>
              <w:t>(Que.) (Civil) (By Leave)</w:t>
            </w: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r w:rsidRPr="006D7947">
              <w:rPr>
                <w:rFonts w:eastAsiaTheme="minorHAnsi"/>
                <w:sz w:val="20"/>
                <w:lang w:val="en-CA"/>
              </w:rPr>
              <w:t>Labour relations – Anti</w:t>
            </w:r>
            <w:r w:rsidRPr="006D7947">
              <w:rPr>
                <w:rFonts w:eastAsiaTheme="minorHAnsi"/>
                <w:sz w:val="20"/>
                <w:lang w:val="en-CA"/>
              </w:rPr>
              <w:noBreakHyphen/>
              <w:t xml:space="preserve">strikebreaking provisions – Newspaper published despite lockout thanks to services provided by usual electronic means by persons and companies related to employer – Whether services performed in replacement of locked out or striking employees are unlawful only if performed in company’s building – Whether Court of Appeal called into question exclusive jurisdiction of Commission des relations du travail to interpret provision of its enabling statute whose application was central to its mission – Whether Court of Appeal limited fulfilment of purposes of legislation in light of modern realities relating to work organization – </w:t>
            </w:r>
            <w:r w:rsidRPr="006D7947">
              <w:rPr>
                <w:rFonts w:eastAsiaTheme="minorHAnsi"/>
                <w:i/>
                <w:sz w:val="20"/>
                <w:lang w:val="en-CA"/>
              </w:rPr>
              <w:t>Labour Code</w:t>
            </w:r>
            <w:r w:rsidRPr="006D7947">
              <w:rPr>
                <w:rFonts w:eastAsiaTheme="minorHAnsi"/>
                <w:sz w:val="20"/>
                <w:lang w:val="en-CA"/>
              </w:rPr>
              <w:t>, R.S.Q. c. C</w:t>
            </w:r>
            <w:r w:rsidRPr="006D7947">
              <w:rPr>
                <w:rFonts w:eastAsiaTheme="minorHAnsi"/>
                <w:sz w:val="20"/>
                <w:lang w:val="en-CA"/>
              </w:rPr>
              <w:noBreakHyphen/>
              <w:t>27, s. 109.1.</w:t>
            </w: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r w:rsidRPr="006D7947">
              <w:rPr>
                <w:rFonts w:eastAsiaTheme="minorHAnsi"/>
                <w:sz w:val="20"/>
                <w:lang w:val="en-CA"/>
              </w:rPr>
              <w:t xml:space="preserve">On April 22, 2007, the Journal de Québec locked out employees in two bargaining units that included reporters, photographers and messengers.  The newspaper continued to be published for the entire duration of the dispute, until August 7, 2008.  For that purpose, the employer did </w:t>
            </w:r>
            <w:proofErr w:type="gramStart"/>
            <w:r w:rsidRPr="006D7947">
              <w:rPr>
                <w:rFonts w:eastAsiaTheme="minorHAnsi"/>
                <w:sz w:val="20"/>
                <w:lang w:val="en-CA"/>
              </w:rPr>
              <w:t>business,</w:t>
            </w:r>
            <w:proofErr w:type="gramEnd"/>
            <w:r w:rsidRPr="006D7947">
              <w:rPr>
                <w:rFonts w:eastAsiaTheme="minorHAnsi"/>
                <w:sz w:val="20"/>
                <w:lang w:val="en-CA"/>
              </w:rPr>
              <w:t xml:space="preserve"> </w:t>
            </w:r>
            <w:r w:rsidRPr="006D7947">
              <w:rPr>
                <w:rFonts w:eastAsiaTheme="minorHAnsi"/>
                <w:i/>
                <w:sz w:val="20"/>
                <w:lang w:val="en-CA"/>
              </w:rPr>
              <w:t>inter alia</w:t>
            </w:r>
            <w:r w:rsidRPr="006D7947">
              <w:rPr>
                <w:rFonts w:eastAsiaTheme="minorHAnsi"/>
                <w:sz w:val="20"/>
                <w:lang w:val="en-CA"/>
              </w:rPr>
              <w:t>, with Canoe, an electronic media company, and Nomade, a news agency, which were two other Quebecor properties.  In the fall of 2007, the unions involved applied to the Commission des relations du travail for an order to prevent the Journal de Québec from using the services of replacements.  Since the dispute ended before the Commission made its decision, the proceeding continued for declaratory purposes.</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fr-CA"/>
              </w:rPr>
            </w:pPr>
            <w:r w:rsidRPr="006D7947">
              <w:rPr>
                <w:rFonts w:eastAsiaTheme="minorHAnsi"/>
                <w:sz w:val="20"/>
                <w:lang w:val="fr-CA"/>
              </w:rPr>
              <w:t>December 12, 2008</w:t>
            </w:r>
          </w:p>
          <w:p w:rsidR="00C52967" w:rsidRPr="006D7947" w:rsidRDefault="00C52967" w:rsidP="00C52967">
            <w:pPr>
              <w:jc w:val="both"/>
              <w:rPr>
                <w:rFonts w:eastAsiaTheme="minorHAnsi"/>
                <w:sz w:val="20"/>
                <w:lang w:val="fr-CA"/>
              </w:rPr>
            </w:pPr>
            <w:r w:rsidRPr="006D7947">
              <w:rPr>
                <w:rFonts w:eastAsiaTheme="minorHAnsi"/>
                <w:sz w:val="20"/>
                <w:lang w:val="fr-CA"/>
              </w:rPr>
              <w:t>Commission des relations du travail</w:t>
            </w:r>
          </w:p>
          <w:p w:rsidR="00C52967" w:rsidRPr="006D7947" w:rsidRDefault="00C52967" w:rsidP="00C52967">
            <w:pPr>
              <w:jc w:val="both"/>
              <w:rPr>
                <w:rFonts w:eastAsiaTheme="minorHAnsi"/>
                <w:sz w:val="20"/>
                <w:lang w:val="en-CA"/>
              </w:rPr>
            </w:pPr>
            <w:r w:rsidRPr="006D7947">
              <w:rPr>
                <w:rFonts w:eastAsiaTheme="minorHAnsi"/>
                <w:sz w:val="20"/>
                <w:lang w:val="en-CA"/>
              </w:rPr>
              <w:t>(Commissioner Bédard)</w:t>
            </w:r>
          </w:p>
          <w:p w:rsidR="00C52967" w:rsidRPr="006D7947" w:rsidRDefault="00C52967" w:rsidP="00C52967">
            <w:pPr>
              <w:jc w:val="both"/>
              <w:rPr>
                <w:rFonts w:eastAsiaTheme="minorHAnsi"/>
                <w:sz w:val="20"/>
                <w:lang w:val="en-CA"/>
              </w:rPr>
            </w:pPr>
            <w:r w:rsidRPr="006D7947">
              <w:rPr>
                <w:rFonts w:eastAsiaTheme="minorHAnsi"/>
                <w:sz w:val="20"/>
                <w:lang w:val="en-CA"/>
              </w:rPr>
              <w:t>Neutral citation: 2008 QCCRT 0534</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Use of replacement services by employer, Journal de Québec, declared unlawful</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September 11, 2009</w:t>
            </w:r>
          </w:p>
          <w:p w:rsidR="00C52967" w:rsidRPr="006D7947" w:rsidRDefault="00C52967" w:rsidP="00C52967">
            <w:pPr>
              <w:jc w:val="both"/>
              <w:rPr>
                <w:rFonts w:eastAsiaTheme="minorHAnsi"/>
                <w:sz w:val="20"/>
                <w:lang w:val="en-CA"/>
              </w:rPr>
            </w:pPr>
            <w:r w:rsidRPr="006D7947">
              <w:rPr>
                <w:rFonts w:eastAsiaTheme="minorHAnsi"/>
                <w:sz w:val="20"/>
                <w:lang w:val="en-CA"/>
              </w:rPr>
              <w:t>Quebec Superior Court</w:t>
            </w:r>
          </w:p>
          <w:p w:rsidR="00C52967" w:rsidRPr="006D7947" w:rsidRDefault="00C52967" w:rsidP="00C52967">
            <w:pPr>
              <w:jc w:val="both"/>
              <w:rPr>
                <w:rFonts w:eastAsiaTheme="minorHAnsi"/>
                <w:sz w:val="20"/>
                <w:lang w:val="en-CA"/>
              </w:rPr>
            </w:pPr>
            <w:r w:rsidRPr="006D7947">
              <w:rPr>
                <w:rFonts w:eastAsiaTheme="minorHAnsi"/>
                <w:sz w:val="20"/>
                <w:lang w:val="en-CA"/>
              </w:rPr>
              <w:t>(St-Pierre J.)</w:t>
            </w:r>
          </w:p>
          <w:p w:rsidR="00C52967" w:rsidRDefault="00C52967" w:rsidP="00C52967">
            <w:pPr>
              <w:jc w:val="both"/>
              <w:rPr>
                <w:rFonts w:eastAsiaTheme="minorHAnsi"/>
                <w:sz w:val="20"/>
                <w:lang w:val="en-CA"/>
              </w:rPr>
            </w:pPr>
            <w:r w:rsidRPr="006D7947">
              <w:rPr>
                <w:rFonts w:eastAsiaTheme="minorHAnsi"/>
                <w:sz w:val="20"/>
                <w:lang w:val="en-CA"/>
              </w:rPr>
              <w:t>Neutral citation: 2009 QCCS 4168</w:t>
            </w:r>
          </w:p>
          <w:p w:rsidR="00CF4702" w:rsidRPr="006D7947" w:rsidRDefault="00CF4702"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Commission’s decision set aside except in respect of one employee, messenger</w:t>
            </w: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September 14, 2011</w:t>
            </w:r>
          </w:p>
          <w:p w:rsidR="00C52967" w:rsidRPr="006D7947" w:rsidRDefault="00C52967" w:rsidP="00C52967">
            <w:pPr>
              <w:jc w:val="both"/>
              <w:rPr>
                <w:rFonts w:eastAsiaTheme="minorHAnsi"/>
                <w:sz w:val="20"/>
                <w:lang w:val="en-CA"/>
              </w:rPr>
            </w:pPr>
            <w:r w:rsidRPr="006D7947">
              <w:rPr>
                <w:rFonts w:eastAsiaTheme="minorHAnsi"/>
                <w:sz w:val="20"/>
                <w:lang w:val="en-CA"/>
              </w:rPr>
              <w:t>Quebec Court of Appeal (Québec)</w:t>
            </w:r>
          </w:p>
          <w:p w:rsidR="00C52967" w:rsidRPr="006D7947" w:rsidRDefault="00C52967" w:rsidP="00C52967">
            <w:pPr>
              <w:jc w:val="both"/>
              <w:rPr>
                <w:rFonts w:eastAsiaTheme="minorHAnsi"/>
                <w:sz w:val="20"/>
                <w:lang w:val="en-CA"/>
              </w:rPr>
            </w:pPr>
            <w:r w:rsidRPr="006D7947">
              <w:rPr>
                <w:rFonts w:eastAsiaTheme="minorHAnsi"/>
                <w:sz w:val="20"/>
                <w:lang w:val="en-CA"/>
              </w:rPr>
              <w:t>(Beauregard, Forget and Gagnon JJ.A.)</w:t>
            </w:r>
          </w:p>
          <w:p w:rsidR="00C52967" w:rsidRPr="006D7947" w:rsidRDefault="00C52967" w:rsidP="00C52967">
            <w:pPr>
              <w:jc w:val="both"/>
              <w:rPr>
                <w:rFonts w:eastAsiaTheme="minorHAnsi"/>
                <w:sz w:val="20"/>
                <w:lang w:val="en-CA"/>
              </w:rPr>
            </w:pPr>
            <w:r w:rsidRPr="006D7947">
              <w:rPr>
                <w:rFonts w:eastAsiaTheme="minorHAnsi"/>
                <w:sz w:val="20"/>
                <w:lang w:val="en-CA"/>
              </w:rPr>
              <w:t>Neutral citation: 2011 QCCA 1638</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Appeal dismissed</w:t>
            </w: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November 8, 2011</w:t>
            </w:r>
          </w:p>
          <w:p w:rsidR="00C52967" w:rsidRPr="006D7947" w:rsidRDefault="00C52967" w:rsidP="00C52967">
            <w:pPr>
              <w:jc w:val="both"/>
              <w:rPr>
                <w:rFonts w:eastAsiaTheme="minorHAnsi"/>
                <w:sz w:val="20"/>
                <w:lang w:val="en-CA"/>
              </w:rPr>
            </w:pPr>
            <w:r w:rsidRPr="006D7947">
              <w:rPr>
                <w:rFonts w:eastAsiaTheme="minorHAnsi"/>
                <w:sz w:val="20"/>
                <w:lang w:val="en-CA"/>
              </w:rPr>
              <w:t>Supreme Court of Canada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Application for leave to appeal filed</w:t>
            </w:r>
          </w:p>
        </w:tc>
      </w:tr>
    </w:tbl>
    <w:p w:rsidR="00C52967" w:rsidRPr="006D7947" w:rsidRDefault="00C52967" w:rsidP="00C52967">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C52967" w:rsidRPr="006D7947" w:rsidTr="004D5A62">
        <w:tc>
          <w:tcPr>
            <w:tcW w:w="543" w:type="pct"/>
          </w:tcPr>
          <w:p w:rsidR="00C52967" w:rsidRPr="006D7947" w:rsidRDefault="00C52967" w:rsidP="00C52967">
            <w:pPr>
              <w:jc w:val="both"/>
              <w:rPr>
                <w:rFonts w:eastAsiaTheme="minorHAnsi"/>
                <w:sz w:val="20"/>
                <w:lang w:val="fr-CA"/>
              </w:rPr>
            </w:pPr>
            <w:r w:rsidRPr="006D7947">
              <w:rPr>
                <w:rFonts w:eastAsiaTheme="minorHAnsi"/>
                <w:b/>
                <w:sz w:val="20"/>
                <w:lang w:val="en-CA"/>
              </w:rPr>
              <w:t>34518</w:t>
            </w:r>
          </w:p>
        </w:tc>
        <w:tc>
          <w:tcPr>
            <w:tcW w:w="4457" w:type="pct"/>
            <w:gridSpan w:val="3"/>
          </w:tcPr>
          <w:p w:rsidR="00C52967" w:rsidRPr="006D7947" w:rsidRDefault="00C52967" w:rsidP="00C52967">
            <w:pPr>
              <w:jc w:val="both"/>
              <w:rPr>
                <w:rFonts w:eastAsiaTheme="minorHAnsi"/>
                <w:b/>
                <w:sz w:val="20"/>
                <w:lang w:val="fr-CA"/>
              </w:rPr>
            </w:pPr>
            <w:r w:rsidRPr="006D7947">
              <w:rPr>
                <w:rFonts w:eastAsiaTheme="minorHAnsi"/>
                <w:b/>
                <w:sz w:val="20"/>
                <w:lang w:val="fr-CA"/>
              </w:rPr>
              <w:t>Syndicat canadien de la fonction publique, section locale 1450, Syndicat canadien de la fonction publique, section locale 2808 c. Journal de Québec, Dominique Salgado, Bernard Plante, Geneviève Riel</w:t>
            </w:r>
            <w:r w:rsidRPr="006D7947">
              <w:rPr>
                <w:rFonts w:eastAsiaTheme="minorHAnsi"/>
                <w:b/>
                <w:sz w:val="20"/>
                <w:lang w:val="fr-CA"/>
              </w:rPr>
              <w:noBreakHyphen/>
              <w:t>Roberge, Hubert Lapointe, Marc</w:t>
            </w:r>
            <w:r w:rsidRPr="006D7947">
              <w:rPr>
                <w:rFonts w:eastAsiaTheme="minorHAnsi"/>
                <w:b/>
                <w:sz w:val="20"/>
                <w:lang w:val="fr-CA"/>
              </w:rPr>
              <w:noBreakHyphen/>
              <w:t>André Boivin, Reine</w:t>
            </w:r>
            <w:r w:rsidRPr="006D7947">
              <w:rPr>
                <w:rFonts w:eastAsiaTheme="minorHAnsi"/>
                <w:b/>
                <w:sz w:val="20"/>
                <w:lang w:val="fr-CA"/>
              </w:rPr>
              <w:noBreakHyphen/>
              <w:t>May Crescence, Mélanie Tremblay, Antoine Leclair, Geneviève Larivière, Yan Perron, Pierre Gauthier, Nathalie Bissonnette</w:t>
            </w:r>
          </w:p>
          <w:p w:rsidR="00C52967" w:rsidRPr="006D7947" w:rsidRDefault="00C52967" w:rsidP="00C52967">
            <w:pPr>
              <w:jc w:val="both"/>
              <w:rPr>
                <w:rFonts w:eastAsiaTheme="minorHAnsi"/>
                <w:b/>
                <w:sz w:val="20"/>
                <w:lang w:val="fr-CA"/>
              </w:rPr>
            </w:pPr>
            <w:r w:rsidRPr="006D7947">
              <w:rPr>
                <w:rFonts w:eastAsiaTheme="minorHAnsi"/>
                <w:b/>
                <w:sz w:val="20"/>
                <w:lang w:val="fr-CA"/>
              </w:rPr>
              <w:noBreakHyphen/>
              <w:t xml:space="preserve"> et </w:t>
            </w:r>
            <w:r w:rsidRPr="006D7947">
              <w:rPr>
                <w:rFonts w:eastAsiaTheme="minorHAnsi"/>
                <w:b/>
                <w:sz w:val="20"/>
                <w:lang w:val="fr-CA"/>
              </w:rPr>
              <w:noBreakHyphen/>
            </w:r>
          </w:p>
          <w:p w:rsidR="00C52967" w:rsidRPr="006D7947" w:rsidRDefault="00C52967" w:rsidP="00C52967">
            <w:pPr>
              <w:jc w:val="both"/>
              <w:rPr>
                <w:rFonts w:eastAsiaTheme="minorHAnsi"/>
                <w:b/>
                <w:sz w:val="20"/>
                <w:lang w:val="fr-CA"/>
              </w:rPr>
            </w:pPr>
            <w:r w:rsidRPr="006D7947">
              <w:rPr>
                <w:rFonts w:eastAsiaTheme="minorHAnsi"/>
                <w:b/>
                <w:sz w:val="20"/>
                <w:lang w:val="fr-CA"/>
              </w:rPr>
              <w:t>Myriam Bédard, Commission des relations du travail</w:t>
            </w:r>
          </w:p>
          <w:p w:rsidR="00C52967" w:rsidRPr="006D7947" w:rsidRDefault="00C52967" w:rsidP="00CF4702">
            <w:pPr>
              <w:jc w:val="both"/>
              <w:rPr>
                <w:rFonts w:eastAsiaTheme="minorHAnsi"/>
                <w:sz w:val="20"/>
                <w:lang w:val="fr-CA"/>
              </w:rPr>
            </w:pPr>
            <w:r w:rsidRPr="006D7947">
              <w:rPr>
                <w:rFonts w:eastAsiaTheme="minorHAnsi"/>
                <w:sz w:val="20"/>
                <w:lang w:val="fr-CA"/>
              </w:rPr>
              <w:t>(Qc) (Civile) (Autorisation)</w:t>
            </w:r>
          </w:p>
        </w:tc>
      </w:tr>
      <w:tr w:rsidR="00C52967" w:rsidRPr="006D7947" w:rsidTr="004D5A62">
        <w:tc>
          <w:tcPr>
            <w:tcW w:w="5000" w:type="pct"/>
            <w:gridSpan w:val="4"/>
          </w:tcPr>
          <w:p w:rsidR="00C52967" w:rsidRPr="006D7947" w:rsidRDefault="00C52967" w:rsidP="00C52967">
            <w:pPr>
              <w:jc w:val="both"/>
              <w:rPr>
                <w:rFonts w:eastAsiaTheme="minorHAnsi"/>
                <w:sz w:val="20"/>
                <w:lang w:val="fr-CA"/>
              </w:rPr>
            </w:pPr>
            <w:r w:rsidRPr="006D7947">
              <w:rPr>
                <w:rFonts w:eastAsiaTheme="minorHAnsi"/>
                <w:sz w:val="20"/>
                <w:lang w:val="fr-CA"/>
              </w:rPr>
              <w:t>Relations de travail – Dispositions anti briseurs de grève – Parution d’un journal malgré un lock</w:t>
            </w:r>
            <w:r w:rsidRPr="006D7947">
              <w:rPr>
                <w:rFonts w:eastAsiaTheme="minorHAnsi"/>
                <w:sz w:val="20"/>
                <w:lang w:val="fr-CA"/>
              </w:rPr>
              <w:noBreakHyphen/>
              <w:t>out grâce aux services de personnes et compagnies liées à l’employeur fournis par les moyens électroniques habituels – Les services de remplacement de lock</w:t>
            </w:r>
            <w:r w:rsidRPr="006D7947">
              <w:rPr>
                <w:rFonts w:eastAsiaTheme="minorHAnsi"/>
                <w:sz w:val="20"/>
                <w:lang w:val="fr-CA"/>
              </w:rPr>
              <w:noBreakHyphen/>
              <w:t>outés ou grévistes doivent</w:t>
            </w:r>
            <w:r w:rsidRPr="006D7947">
              <w:rPr>
                <w:rFonts w:eastAsiaTheme="minorHAnsi"/>
                <w:sz w:val="20"/>
                <w:lang w:val="fr-CA"/>
              </w:rPr>
              <w:noBreakHyphen/>
              <w:t>ils être rendus dans l’immeuble de l’entreprise pour être illégaux? – La Cour d’appel  remet</w:t>
            </w:r>
            <w:r w:rsidRPr="006D7947">
              <w:rPr>
                <w:rFonts w:eastAsiaTheme="minorHAnsi"/>
                <w:sz w:val="20"/>
                <w:lang w:val="fr-CA"/>
              </w:rPr>
              <w:noBreakHyphen/>
              <w:t>elle en cause la compétence exclusive de la Commission des relations du travail pour interpréter une disposition de sa loi constitutive dont l’application se situe au cœur même de sa mission? – La Cour d’appel restreint</w:t>
            </w:r>
            <w:r w:rsidRPr="006D7947">
              <w:rPr>
                <w:rFonts w:eastAsiaTheme="minorHAnsi"/>
                <w:sz w:val="20"/>
                <w:lang w:val="fr-CA"/>
              </w:rPr>
              <w:noBreakHyphen/>
              <w:t xml:space="preserve">elle l’accomplissement des objets de la loi eu égard aux réalités actuelles de l’organisation du travail? – </w:t>
            </w:r>
            <w:r w:rsidRPr="006D7947">
              <w:rPr>
                <w:rFonts w:eastAsiaTheme="minorHAnsi"/>
                <w:i/>
                <w:sz w:val="20"/>
                <w:lang w:val="fr-CA"/>
              </w:rPr>
              <w:t>Code du travail</w:t>
            </w:r>
            <w:r w:rsidRPr="006D7947">
              <w:rPr>
                <w:rFonts w:eastAsiaTheme="minorHAnsi"/>
                <w:sz w:val="20"/>
                <w:lang w:val="fr-CA"/>
              </w:rPr>
              <w:t>, L.R.Q. ch. C</w:t>
            </w:r>
            <w:r w:rsidRPr="006D7947">
              <w:rPr>
                <w:rFonts w:eastAsiaTheme="minorHAnsi"/>
                <w:sz w:val="20"/>
                <w:lang w:val="fr-CA"/>
              </w:rPr>
              <w:noBreakHyphen/>
              <w:t>27, art. 109.1.</w:t>
            </w:r>
          </w:p>
        </w:tc>
      </w:tr>
      <w:tr w:rsidR="00C52967" w:rsidRPr="006D7947" w:rsidTr="004D5A62">
        <w:tc>
          <w:tcPr>
            <w:tcW w:w="5000" w:type="pct"/>
            <w:gridSpan w:val="4"/>
          </w:tcPr>
          <w:p w:rsidR="00C52967" w:rsidRPr="006D7947" w:rsidRDefault="00C52967" w:rsidP="00C52967">
            <w:pPr>
              <w:jc w:val="both"/>
              <w:rPr>
                <w:rFonts w:eastAsiaTheme="minorHAnsi"/>
                <w:sz w:val="20"/>
                <w:lang w:val="fr-CA"/>
              </w:rPr>
            </w:pPr>
          </w:p>
        </w:tc>
      </w:tr>
      <w:tr w:rsidR="00C52967" w:rsidRPr="00686322" w:rsidTr="004D5A62">
        <w:tc>
          <w:tcPr>
            <w:tcW w:w="5000" w:type="pct"/>
            <w:gridSpan w:val="4"/>
          </w:tcPr>
          <w:p w:rsidR="00C52967" w:rsidRPr="006D7947" w:rsidRDefault="00C52967" w:rsidP="00C52967">
            <w:pPr>
              <w:jc w:val="both"/>
              <w:rPr>
                <w:rFonts w:eastAsiaTheme="minorHAnsi"/>
                <w:sz w:val="20"/>
                <w:lang w:val="fr-CA"/>
              </w:rPr>
            </w:pPr>
            <w:r w:rsidRPr="006D7947">
              <w:rPr>
                <w:rFonts w:eastAsiaTheme="minorHAnsi"/>
                <w:sz w:val="20"/>
                <w:lang w:val="fr-CA"/>
              </w:rPr>
              <w:t>Le Journal de Québec décrète, le 22 avril 2007, le lock</w:t>
            </w:r>
            <w:r w:rsidRPr="006D7947">
              <w:rPr>
                <w:rFonts w:eastAsiaTheme="minorHAnsi"/>
                <w:sz w:val="20"/>
                <w:lang w:val="fr-CA"/>
              </w:rPr>
              <w:noBreakHyphen/>
              <w:t>out de ses salariés de deux unités de négociation comprenant les journalistes, les photographes et les messagers. Le journal continue d’être publié pendant toute la durée du conflit, jusqu’au 7 août 2008. À cette fin, l’employeur fait notamment affaire avec Canoë, un média électronique et Nomade, une agence de presse, deux autres propriétés de Québecor. À l’automne 2007, les syndicats impliqués s’adressent à la Commission des relations du travail pour obtenir une ordonnance empêchant le Journal de Québec d’utiliser les services de remplaçants. La fin du conflit étant survenue avant la décision, la procédure se poursuit dans un but déclaratoire.</w:t>
            </w:r>
          </w:p>
          <w:p w:rsidR="00C52967" w:rsidRPr="006D7947" w:rsidRDefault="00C52967" w:rsidP="00C52967">
            <w:pPr>
              <w:jc w:val="both"/>
              <w:rPr>
                <w:rFonts w:eastAsiaTheme="minorHAnsi"/>
                <w:sz w:val="20"/>
                <w:lang w:val="fr-CA"/>
              </w:rPr>
            </w:pPr>
          </w:p>
        </w:tc>
      </w:tr>
      <w:tr w:rsidR="00C52967" w:rsidRPr="00686322" w:rsidTr="004D5A62">
        <w:tc>
          <w:tcPr>
            <w:tcW w:w="2427" w:type="pct"/>
            <w:gridSpan w:val="2"/>
          </w:tcPr>
          <w:p w:rsidR="00C52967" w:rsidRPr="006D7947" w:rsidRDefault="00C52967" w:rsidP="00C52967">
            <w:pPr>
              <w:jc w:val="both"/>
              <w:rPr>
                <w:rFonts w:eastAsiaTheme="minorHAnsi"/>
                <w:sz w:val="20"/>
                <w:lang w:val="fr-CA"/>
              </w:rPr>
            </w:pPr>
            <w:r w:rsidRPr="006D7947">
              <w:rPr>
                <w:rFonts w:eastAsiaTheme="minorHAnsi"/>
                <w:sz w:val="20"/>
                <w:lang w:val="fr-CA"/>
              </w:rPr>
              <w:t>Le 12 décembre 2008</w:t>
            </w:r>
          </w:p>
          <w:p w:rsidR="00C52967" w:rsidRPr="006D7947" w:rsidRDefault="00C52967" w:rsidP="00C52967">
            <w:pPr>
              <w:jc w:val="both"/>
              <w:rPr>
                <w:rFonts w:eastAsiaTheme="minorHAnsi"/>
                <w:sz w:val="20"/>
                <w:lang w:val="fr-CA"/>
              </w:rPr>
            </w:pPr>
            <w:r w:rsidRPr="006D7947">
              <w:rPr>
                <w:rFonts w:eastAsiaTheme="minorHAnsi"/>
                <w:sz w:val="20"/>
                <w:lang w:val="fr-CA"/>
              </w:rPr>
              <w:t>Commission des relations du travail</w:t>
            </w:r>
          </w:p>
          <w:p w:rsidR="00C52967" w:rsidRPr="006D7947" w:rsidRDefault="00C52967" w:rsidP="00C52967">
            <w:pPr>
              <w:jc w:val="both"/>
              <w:rPr>
                <w:rFonts w:eastAsiaTheme="minorHAnsi"/>
                <w:sz w:val="20"/>
                <w:lang w:val="fr-CA"/>
              </w:rPr>
            </w:pPr>
            <w:r w:rsidRPr="006D7947">
              <w:rPr>
                <w:rFonts w:eastAsiaTheme="minorHAnsi"/>
                <w:sz w:val="20"/>
                <w:lang w:val="fr-CA"/>
              </w:rPr>
              <w:t>(La commissaire Bédard)</w:t>
            </w:r>
          </w:p>
          <w:p w:rsidR="00C52967" w:rsidRPr="006D7947" w:rsidRDefault="00C52967" w:rsidP="00C52967">
            <w:pPr>
              <w:jc w:val="both"/>
              <w:rPr>
                <w:rFonts w:eastAsiaTheme="minorHAnsi"/>
                <w:sz w:val="20"/>
                <w:lang w:val="fr-CA"/>
              </w:rPr>
            </w:pPr>
            <w:r w:rsidRPr="006D7947">
              <w:rPr>
                <w:rFonts w:eastAsiaTheme="minorHAnsi"/>
                <w:sz w:val="20"/>
                <w:lang w:val="fr-CA"/>
              </w:rPr>
              <w:t>Référence neutre : 2008 QCCRT 0534</w:t>
            </w:r>
          </w:p>
          <w:p w:rsidR="00C52967" w:rsidRPr="006D7947" w:rsidRDefault="00C52967" w:rsidP="00C52967">
            <w:pPr>
              <w:jc w:val="both"/>
              <w:rPr>
                <w:rFonts w:eastAsiaTheme="minorHAnsi"/>
                <w:sz w:val="20"/>
                <w:lang w:val="fr-CA"/>
              </w:rPr>
            </w:pPr>
          </w:p>
        </w:tc>
        <w:tc>
          <w:tcPr>
            <w:tcW w:w="243" w:type="pct"/>
          </w:tcPr>
          <w:p w:rsidR="00C52967" w:rsidRPr="006D7947" w:rsidRDefault="00C52967" w:rsidP="00C52967">
            <w:pPr>
              <w:jc w:val="both"/>
              <w:rPr>
                <w:rFonts w:eastAsiaTheme="minorHAnsi"/>
                <w:sz w:val="20"/>
                <w:lang w:val="fr-FR"/>
              </w:rPr>
            </w:pPr>
          </w:p>
        </w:tc>
        <w:tc>
          <w:tcPr>
            <w:tcW w:w="2330" w:type="pct"/>
          </w:tcPr>
          <w:p w:rsidR="00C52967" w:rsidRPr="006D7947" w:rsidRDefault="00C52967" w:rsidP="00C52967">
            <w:pPr>
              <w:jc w:val="both"/>
              <w:rPr>
                <w:rFonts w:eastAsiaTheme="minorHAnsi"/>
                <w:sz w:val="20"/>
                <w:lang w:val="fr-CA"/>
              </w:rPr>
            </w:pPr>
            <w:r w:rsidRPr="006D7947">
              <w:rPr>
                <w:rFonts w:eastAsiaTheme="minorHAnsi"/>
                <w:sz w:val="20"/>
                <w:lang w:val="fr-CA"/>
              </w:rPr>
              <w:t>Déclaration d’utilisation illégale de services de remplacement par l’employeur Journal de Québec.</w:t>
            </w:r>
          </w:p>
          <w:p w:rsidR="00C52967" w:rsidRPr="006D7947" w:rsidRDefault="00C52967" w:rsidP="00C52967">
            <w:pPr>
              <w:jc w:val="both"/>
              <w:rPr>
                <w:rFonts w:eastAsiaTheme="minorHAnsi"/>
                <w:sz w:val="20"/>
                <w:lang w:val="fr-CA"/>
              </w:rPr>
            </w:pPr>
          </w:p>
        </w:tc>
      </w:tr>
      <w:tr w:rsidR="00C52967" w:rsidRPr="00686322" w:rsidTr="004D5A62">
        <w:tc>
          <w:tcPr>
            <w:tcW w:w="2427" w:type="pct"/>
            <w:gridSpan w:val="2"/>
          </w:tcPr>
          <w:p w:rsidR="00C52967" w:rsidRPr="006D7947" w:rsidRDefault="00C52967" w:rsidP="00C52967">
            <w:pPr>
              <w:jc w:val="both"/>
              <w:rPr>
                <w:rFonts w:eastAsiaTheme="minorHAnsi"/>
                <w:sz w:val="20"/>
                <w:lang w:val="fr-CA"/>
              </w:rPr>
            </w:pPr>
            <w:r w:rsidRPr="006D7947">
              <w:rPr>
                <w:rFonts w:eastAsiaTheme="minorHAnsi"/>
                <w:sz w:val="20"/>
                <w:lang w:val="fr-CA"/>
              </w:rPr>
              <w:t>Le 11 septembre 2009</w:t>
            </w:r>
          </w:p>
          <w:p w:rsidR="00C52967" w:rsidRPr="006D7947" w:rsidRDefault="00C52967" w:rsidP="00C52967">
            <w:pPr>
              <w:jc w:val="both"/>
              <w:rPr>
                <w:rFonts w:eastAsiaTheme="minorHAnsi"/>
                <w:sz w:val="20"/>
                <w:lang w:val="fr-CA"/>
              </w:rPr>
            </w:pPr>
            <w:r w:rsidRPr="006D7947">
              <w:rPr>
                <w:rFonts w:eastAsiaTheme="minorHAnsi"/>
                <w:sz w:val="20"/>
                <w:lang w:val="fr-CA"/>
              </w:rPr>
              <w:t>Cour supérieure du Québec</w:t>
            </w:r>
          </w:p>
          <w:p w:rsidR="00C52967" w:rsidRPr="006D7947" w:rsidRDefault="00C52967" w:rsidP="00C52967">
            <w:pPr>
              <w:jc w:val="both"/>
              <w:rPr>
                <w:rFonts w:eastAsiaTheme="minorHAnsi"/>
                <w:sz w:val="20"/>
                <w:lang w:val="fr-CA"/>
              </w:rPr>
            </w:pPr>
            <w:r w:rsidRPr="006D7947">
              <w:rPr>
                <w:rFonts w:eastAsiaTheme="minorHAnsi"/>
                <w:sz w:val="20"/>
                <w:lang w:val="fr-CA"/>
              </w:rPr>
              <w:t>(Le juge St</w:t>
            </w:r>
            <w:r w:rsidRPr="006D7947">
              <w:rPr>
                <w:rFonts w:eastAsiaTheme="minorHAnsi"/>
                <w:sz w:val="20"/>
                <w:lang w:val="fr-CA"/>
              </w:rPr>
              <w:noBreakHyphen/>
              <w:t>Pierre)</w:t>
            </w:r>
          </w:p>
          <w:p w:rsidR="00C52967" w:rsidRPr="006D7947" w:rsidRDefault="00C52967" w:rsidP="00C52967">
            <w:pPr>
              <w:jc w:val="both"/>
              <w:rPr>
                <w:rFonts w:eastAsiaTheme="minorHAnsi"/>
                <w:sz w:val="20"/>
                <w:lang w:val="fr-CA"/>
              </w:rPr>
            </w:pPr>
            <w:r w:rsidRPr="006D7947">
              <w:rPr>
                <w:rFonts w:eastAsiaTheme="minorHAnsi"/>
                <w:sz w:val="20"/>
                <w:lang w:val="fr-CA"/>
              </w:rPr>
              <w:t>Référence neutre : 2009 QCCS 4168</w:t>
            </w:r>
          </w:p>
          <w:p w:rsidR="00C52967" w:rsidRPr="006D7947" w:rsidRDefault="00C52967" w:rsidP="00C52967">
            <w:pPr>
              <w:jc w:val="both"/>
              <w:rPr>
                <w:rFonts w:eastAsiaTheme="minorHAnsi"/>
                <w:sz w:val="20"/>
                <w:lang w:val="fr-CA"/>
              </w:rPr>
            </w:pPr>
          </w:p>
        </w:tc>
        <w:tc>
          <w:tcPr>
            <w:tcW w:w="243" w:type="pct"/>
          </w:tcPr>
          <w:p w:rsidR="00C52967" w:rsidRPr="006D7947" w:rsidRDefault="00C52967" w:rsidP="00C52967">
            <w:pPr>
              <w:jc w:val="both"/>
              <w:rPr>
                <w:rFonts w:eastAsiaTheme="minorHAnsi"/>
                <w:sz w:val="20"/>
                <w:lang w:val="fr-FR"/>
              </w:rPr>
            </w:pPr>
          </w:p>
        </w:tc>
        <w:tc>
          <w:tcPr>
            <w:tcW w:w="2330" w:type="pct"/>
          </w:tcPr>
          <w:p w:rsidR="00C52967" w:rsidRPr="006D7947" w:rsidRDefault="00C52967" w:rsidP="00C52967">
            <w:pPr>
              <w:jc w:val="both"/>
              <w:rPr>
                <w:rFonts w:eastAsiaTheme="minorHAnsi"/>
                <w:sz w:val="20"/>
                <w:lang w:val="fr-CA"/>
              </w:rPr>
            </w:pPr>
            <w:r w:rsidRPr="006D7947">
              <w:rPr>
                <w:rFonts w:eastAsiaTheme="minorHAnsi"/>
                <w:sz w:val="20"/>
                <w:lang w:val="fr-CA"/>
              </w:rPr>
              <w:t>Annulation de la décision de la commission, sauf à l’égard d’un employé, messager.</w:t>
            </w:r>
          </w:p>
        </w:tc>
      </w:tr>
      <w:tr w:rsidR="00C52967" w:rsidRPr="006D7947" w:rsidTr="004D5A62">
        <w:tc>
          <w:tcPr>
            <w:tcW w:w="2427" w:type="pct"/>
            <w:gridSpan w:val="2"/>
          </w:tcPr>
          <w:p w:rsidR="00C52967" w:rsidRPr="006D7947" w:rsidRDefault="00C52967" w:rsidP="00C52967">
            <w:pPr>
              <w:jc w:val="both"/>
              <w:rPr>
                <w:rFonts w:eastAsiaTheme="minorHAnsi"/>
                <w:sz w:val="20"/>
                <w:lang w:val="fr-CA"/>
              </w:rPr>
            </w:pPr>
            <w:r w:rsidRPr="006D7947">
              <w:rPr>
                <w:rFonts w:eastAsiaTheme="minorHAnsi"/>
                <w:sz w:val="20"/>
                <w:lang w:val="fr-CA"/>
              </w:rPr>
              <w:t>Le 14 septembre 2011</w:t>
            </w:r>
          </w:p>
          <w:p w:rsidR="00C52967" w:rsidRPr="006D7947" w:rsidRDefault="00C52967" w:rsidP="00C52967">
            <w:pPr>
              <w:jc w:val="both"/>
              <w:rPr>
                <w:rFonts w:eastAsiaTheme="minorHAnsi"/>
                <w:sz w:val="20"/>
                <w:lang w:val="fr-CA"/>
              </w:rPr>
            </w:pPr>
            <w:r w:rsidRPr="006D7947">
              <w:rPr>
                <w:rFonts w:eastAsiaTheme="minorHAnsi"/>
                <w:sz w:val="20"/>
                <w:lang w:val="fr-CA"/>
              </w:rPr>
              <w:t>Cour d’appel du Québec (Québec)</w:t>
            </w:r>
          </w:p>
          <w:p w:rsidR="00C52967" w:rsidRPr="006D7947" w:rsidRDefault="00C52967" w:rsidP="00C52967">
            <w:pPr>
              <w:jc w:val="both"/>
              <w:rPr>
                <w:rFonts w:eastAsiaTheme="minorHAnsi"/>
                <w:sz w:val="20"/>
                <w:lang w:val="fr-CA"/>
              </w:rPr>
            </w:pPr>
            <w:r w:rsidRPr="006D7947">
              <w:rPr>
                <w:rFonts w:eastAsiaTheme="minorHAnsi"/>
                <w:sz w:val="20"/>
                <w:lang w:val="fr-CA"/>
              </w:rPr>
              <w:t>(Les juges Beauregard, Forget et Gagnon)</w:t>
            </w:r>
          </w:p>
          <w:p w:rsidR="00C52967" w:rsidRPr="006D7947" w:rsidRDefault="00C52967" w:rsidP="00C52967">
            <w:pPr>
              <w:jc w:val="both"/>
              <w:rPr>
                <w:rFonts w:eastAsiaTheme="minorHAnsi"/>
                <w:sz w:val="20"/>
                <w:lang w:val="fr-CA"/>
              </w:rPr>
            </w:pPr>
            <w:r w:rsidRPr="006D7947">
              <w:rPr>
                <w:rFonts w:eastAsiaTheme="minorHAnsi"/>
                <w:sz w:val="20"/>
                <w:lang w:val="fr-CA"/>
              </w:rPr>
              <w:t>Référence neutre : 2011 QCCA 1638</w:t>
            </w:r>
          </w:p>
          <w:p w:rsidR="00C52967" w:rsidRPr="006D7947" w:rsidRDefault="00C52967" w:rsidP="00C52967">
            <w:pPr>
              <w:jc w:val="both"/>
              <w:rPr>
                <w:rFonts w:eastAsiaTheme="minorHAnsi"/>
                <w:sz w:val="20"/>
              </w:rPr>
            </w:pPr>
          </w:p>
        </w:tc>
        <w:tc>
          <w:tcPr>
            <w:tcW w:w="243" w:type="pct"/>
          </w:tcPr>
          <w:p w:rsidR="00C52967" w:rsidRPr="006D7947" w:rsidRDefault="00C52967" w:rsidP="00C52967">
            <w:pPr>
              <w:jc w:val="both"/>
              <w:rPr>
                <w:rFonts w:eastAsiaTheme="minorHAnsi"/>
                <w:sz w:val="20"/>
              </w:rPr>
            </w:pPr>
          </w:p>
        </w:tc>
        <w:tc>
          <w:tcPr>
            <w:tcW w:w="2330" w:type="pct"/>
          </w:tcPr>
          <w:p w:rsidR="00C52967" w:rsidRPr="006D7947" w:rsidRDefault="00C52967" w:rsidP="00C52967">
            <w:pPr>
              <w:jc w:val="both"/>
              <w:rPr>
                <w:rFonts w:eastAsiaTheme="minorHAnsi"/>
                <w:sz w:val="20"/>
                <w:lang w:val="fr-CA"/>
              </w:rPr>
            </w:pPr>
            <w:r w:rsidRPr="006D7947">
              <w:rPr>
                <w:rFonts w:eastAsiaTheme="minorHAnsi"/>
                <w:sz w:val="20"/>
                <w:lang w:val="fr-CA"/>
              </w:rPr>
              <w:t>Rejet de l’appel.</w:t>
            </w:r>
          </w:p>
        </w:tc>
      </w:tr>
      <w:tr w:rsidR="00C52967" w:rsidRPr="00686322" w:rsidTr="004D5A62">
        <w:tc>
          <w:tcPr>
            <w:tcW w:w="2427" w:type="pct"/>
            <w:gridSpan w:val="2"/>
          </w:tcPr>
          <w:p w:rsidR="00C52967" w:rsidRPr="006D7947" w:rsidRDefault="00C52967" w:rsidP="00C52967">
            <w:pPr>
              <w:jc w:val="both"/>
              <w:rPr>
                <w:rFonts w:eastAsiaTheme="minorHAnsi"/>
                <w:sz w:val="20"/>
                <w:lang w:val="fr-CA"/>
              </w:rPr>
            </w:pPr>
            <w:r w:rsidRPr="006D7947">
              <w:rPr>
                <w:rFonts w:eastAsiaTheme="minorHAnsi"/>
                <w:sz w:val="20"/>
                <w:lang w:val="fr-CA"/>
              </w:rPr>
              <w:t>Le 8 novembre 2011</w:t>
            </w:r>
          </w:p>
          <w:p w:rsidR="00C52967" w:rsidRPr="006D7947" w:rsidRDefault="00C52967" w:rsidP="00C52967">
            <w:pPr>
              <w:jc w:val="both"/>
              <w:rPr>
                <w:rFonts w:eastAsiaTheme="minorHAnsi"/>
                <w:sz w:val="20"/>
                <w:lang w:val="fr-FR"/>
              </w:rPr>
            </w:pPr>
            <w:r w:rsidRPr="006D7947">
              <w:rPr>
                <w:rFonts w:eastAsiaTheme="minorHAnsi"/>
                <w:sz w:val="20"/>
                <w:lang w:val="fr-CA"/>
              </w:rPr>
              <w:t>Cour suprême du Canada</w:t>
            </w:r>
          </w:p>
        </w:tc>
        <w:tc>
          <w:tcPr>
            <w:tcW w:w="243" w:type="pct"/>
          </w:tcPr>
          <w:p w:rsidR="00C52967" w:rsidRPr="006D7947" w:rsidRDefault="00C52967" w:rsidP="00C52967">
            <w:pPr>
              <w:jc w:val="both"/>
              <w:rPr>
                <w:rFonts w:eastAsiaTheme="minorHAnsi"/>
                <w:sz w:val="20"/>
                <w:lang w:val="fr-FR"/>
              </w:rPr>
            </w:pPr>
          </w:p>
        </w:tc>
        <w:tc>
          <w:tcPr>
            <w:tcW w:w="2330" w:type="pct"/>
          </w:tcPr>
          <w:p w:rsidR="00C52967" w:rsidRPr="006D7947" w:rsidRDefault="00C52967" w:rsidP="00C52967">
            <w:pPr>
              <w:jc w:val="both"/>
              <w:rPr>
                <w:rFonts w:eastAsiaTheme="minorHAnsi"/>
                <w:sz w:val="20"/>
                <w:lang w:val="fr-CA"/>
              </w:rPr>
            </w:pPr>
            <w:r w:rsidRPr="006D7947">
              <w:rPr>
                <w:rFonts w:eastAsiaTheme="minorHAnsi"/>
                <w:sz w:val="20"/>
                <w:lang w:val="fr-CA"/>
              </w:rPr>
              <w:t>Dépôt de la demande d’autorisation d’appel.</w:t>
            </w:r>
          </w:p>
        </w:tc>
      </w:tr>
    </w:tbl>
    <w:p w:rsidR="00C52967" w:rsidRDefault="00C52967" w:rsidP="00C52967">
      <w:pPr>
        <w:jc w:val="both"/>
        <w:rPr>
          <w:rFonts w:eastAsiaTheme="minorHAnsi"/>
          <w:sz w:val="20"/>
          <w:lang w:val="fr-CA"/>
        </w:rPr>
      </w:pPr>
    </w:p>
    <w:p w:rsidR="00CF4702" w:rsidRPr="006D7947" w:rsidRDefault="00CF4702" w:rsidP="00C52967">
      <w:pPr>
        <w:jc w:val="both"/>
        <w:rPr>
          <w:rFonts w:eastAsiaTheme="minorHAnsi"/>
          <w:sz w:val="20"/>
          <w:lang w:val="fr-CA"/>
        </w:rPr>
      </w:pPr>
    </w:p>
    <w:tbl>
      <w:tblPr>
        <w:tblW w:w="4952" w:type="pct"/>
        <w:tblLayout w:type="fixed"/>
        <w:tblCellMar>
          <w:left w:w="0" w:type="dxa"/>
          <w:bottom w:w="99" w:type="dxa"/>
          <w:right w:w="0" w:type="dxa"/>
        </w:tblCellMar>
        <w:tblLook w:val="04A0"/>
      </w:tblPr>
      <w:tblGrid>
        <w:gridCol w:w="1014"/>
        <w:gridCol w:w="3217"/>
        <w:gridCol w:w="271"/>
        <w:gridCol w:w="4768"/>
      </w:tblGrid>
      <w:tr w:rsidR="00C52967" w:rsidRPr="006D7947" w:rsidTr="00E1039A">
        <w:tc>
          <w:tcPr>
            <w:tcW w:w="547" w:type="pct"/>
          </w:tcPr>
          <w:p w:rsidR="00C52967" w:rsidRPr="006D7947" w:rsidRDefault="00C52967" w:rsidP="00C52967">
            <w:pPr>
              <w:jc w:val="both"/>
              <w:rPr>
                <w:rFonts w:eastAsiaTheme="minorHAnsi"/>
                <w:sz w:val="20"/>
                <w:lang w:val="en-CA"/>
              </w:rPr>
            </w:pPr>
            <w:r w:rsidRPr="006D7947">
              <w:rPr>
                <w:rFonts w:eastAsiaTheme="minorHAnsi"/>
                <w:b/>
                <w:sz w:val="20"/>
                <w:lang w:val="en-CA"/>
              </w:rPr>
              <w:t>34446</w:t>
            </w:r>
          </w:p>
        </w:tc>
        <w:tc>
          <w:tcPr>
            <w:tcW w:w="4453" w:type="pct"/>
            <w:gridSpan w:val="3"/>
          </w:tcPr>
          <w:p w:rsidR="00C52967" w:rsidRPr="006D7947" w:rsidRDefault="00C52967" w:rsidP="00C52967">
            <w:pPr>
              <w:jc w:val="both"/>
              <w:rPr>
                <w:rFonts w:eastAsiaTheme="minorHAnsi"/>
                <w:b/>
                <w:sz w:val="20"/>
                <w:lang w:val="en-CA"/>
              </w:rPr>
            </w:pPr>
            <w:r w:rsidRPr="006D7947">
              <w:rPr>
                <w:rFonts w:eastAsiaTheme="minorHAnsi"/>
                <w:b/>
                <w:sz w:val="20"/>
                <w:lang w:val="en-CA"/>
              </w:rPr>
              <w:t>Nell Toussaint v. Attorney General of Canada</w:t>
            </w:r>
          </w:p>
          <w:p w:rsidR="00C52967" w:rsidRPr="006D7947" w:rsidRDefault="00C52967" w:rsidP="00CF4702">
            <w:pPr>
              <w:jc w:val="both"/>
              <w:rPr>
                <w:rFonts w:eastAsiaTheme="minorHAnsi"/>
                <w:sz w:val="20"/>
                <w:lang w:val="en-CA"/>
              </w:rPr>
            </w:pPr>
            <w:r w:rsidRPr="006D7947">
              <w:rPr>
                <w:rFonts w:eastAsiaTheme="minorHAnsi"/>
                <w:sz w:val="20"/>
                <w:lang w:val="en-CA"/>
              </w:rPr>
              <w:t>(FC) (Civil) (By Leave)</w:t>
            </w:r>
          </w:p>
        </w:tc>
      </w:tr>
      <w:tr w:rsidR="00C52967" w:rsidRPr="006D7947" w:rsidTr="00E1039A">
        <w:tc>
          <w:tcPr>
            <w:tcW w:w="5000" w:type="pct"/>
            <w:gridSpan w:val="4"/>
          </w:tcPr>
          <w:p w:rsidR="00C52967" w:rsidRPr="006D7947" w:rsidRDefault="00C52967" w:rsidP="00C52967">
            <w:pPr>
              <w:jc w:val="both"/>
              <w:rPr>
                <w:rFonts w:eastAsiaTheme="minorHAnsi"/>
                <w:sz w:val="20"/>
                <w:lang w:val="en-CA"/>
              </w:rPr>
            </w:pPr>
            <w:r w:rsidRPr="006D7947">
              <w:rPr>
                <w:rFonts w:eastAsiaTheme="minorHAnsi"/>
                <w:i/>
                <w:sz w:val="20"/>
                <w:lang w:val="en-CA"/>
              </w:rPr>
              <w:t>Canadian Charter of Rights and Freedoms</w:t>
            </w:r>
            <w:r w:rsidRPr="006D7947">
              <w:rPr>
                <w:rFonts w:eastAsiaTheme="minorHAnsi"/>
                <w:sz w:val="20"/>
                <w:lang w:val="en-CA"/>
              </w:rPr>
              <w:t xml:space="preserve"> – Right to life, liberty and security of the person – Fundamental Justice – Right to equality – Discrimination based on immigration status – Health care coverage – Whether it is in accordance with principles of fundamental justice or in breach of s. 7 of the </w:t>
            </w:r>
            <w:r w:rsidRPr="006D7947">
              <w:rPr>
                <w:rFonts w:eastAsiaTheme="minorHAnsi"/>
                <w:i/>
                <w:sz w:val="20"/>
                <w:lang w:val="en-CA"/>
              </w:rPr>
              <w:t xml:space="preserve">Charter </w:t>
            </w:r>
            <w:r w:rsidRPr="006D7947">
              <w:rPr>
                <w:rFonts w:eastAsiaTheme="minorHAnsi"/>
                <w:sz w:val="20"/>
                <w:lang w:val="en-CA"/>
              </w:rPr>
              <w:t xml:space="preserve"> to deny coverage for health care to persons exposed to a serious risk to life and health in order to discourage illegal behaviour – Whether a law that excludes the applicant from health coverage because of her immigration status is in breach of s. 15(1) of the </w:t>
            </w:r>
            <w:r w:rsidRPr="006D7947">
              <w:rPr>
                <w:rFonts w:eastAsiaTheme="minorHAnsi"/>
                <w:i/>
                <w:sz w:val="20"/>
                <w:lang w:val="en-CA"/>
              </w:rPr>
              <w:t>Charter</w:t>
            </w:r>
            <w:r w:rsidRPr="006D7947">
              <w:rPr>
                <w:rFonts w:eastAsiaTheme="minorHAnsi"/>
                <w:sz w:val="20"/>
                <w:lang w:val="en-CA"/>
              </w:rPr>
              <w:t>.</w:t>
            </w:r>
          </w:p>
        </w:tc>
      </w:tr>
      <w:tr w:rsidR="00C52967" w:rsidRPr="006D7947" w:rsidTr="00E1039A">
        <w:tc>
          <w:tcPr>
            <w:tcW w:w="5000" w:type="pct"/>
            <w:gridSpan w:val="4"/>
          </w:tcPr>
          <w:p w:rsidR="00C52967" w:rsidRPr="006D7947" w:rsidRDefault="00C52967" w:rsidP="00C52967">
            <w:pPr>
              <w:jc w:val="both"/>
              <w:rPr>
                <w:rFonts w:eastAsiaTheme="minorHAnsi"/>
                <w:sz w:val="20"/>
                <w:lang w:val="en-CA"/>
              </w:rPr>
            </w:pPr>
          </w:p>
        </w:tc>
      </w:tr>
      <w:tr w:rsidR="00C52967" w:rsidRPr="006D7947" w:rsidTr="00E1039A">
        <w:tc>
          <w:tcPr>
            <w:tcW w:w="5000" w:type="pct"/>
            <w:gridSpan w:val="4"/>
          </w:tcPr>
          <w:p w:rsidR="00C52967" w:rsidRPr="006D7947" w:rsidRDefault="00C52967" w:rsidP="00C52967">
            <w:pPr>
              <w:jc w:val="both"/>
              <w:rPr>
                <w:rFonts w:eastAsiaTheme="minorHAnsi"/>
                <w:sz w:val="20"/>
                <w:lang w:val="en-CA"/>
              </w:rPr>
            </w:pPr>
            <w:r w:rsidRPr="006D7947">
              <w:rPr>
                <w:rFonts w:eastAsiaTheme="minorHAnsi"/>
                <w:sz w:val="20"/>
                <w:lang w:val="en-CA"/>
              </w:rPr>
              <w:t>The applicant, a citizen of Grenada, remained in Canada illegally after her temporary residence visa expired. She requires significant medical care.  In 2008, she began an application for temporary residency status but she challenged the requirement to pay application fees and her application remains unprocessed. In May 2009, she applied to Citizenship and Immigration Canada for medical coverage under the Interim Federal Health Program established by Order in Council, OIC 1957</w:t>
            </w:r>
            <w:r w:rsidRPr="006D7947">
              <w:rPr>
                <w:rFonts w:eastAsiaTheme="minorHAnsi"/>
                <w:sz w:val="20"/>
                <w:lang w:val="en-CA"/>
              </w:rPr>
              <w:noBreakHyphen/>
              <w:t xml:space="preserve">11/848.  Under this program, Citizenship and Immigration Canada covers the cost of emergency medical care for indigent persons that it has legally admitted to Canada if eligibility criteria are met. A Director with Citizenship and Immigration Canada denied coverage.  </w:t>
            </w:r>
          </w:p>
        </w:tc>
      </w:tr>
      <w:tr w:rsidR="00C52967" w:rsidRPr="006D7947" w:rsidTr="00E1039A">
        <w:tc>
          <w:tcPr>
            <w:tcW w:w="5000" w:type="pct"/>
            <w:gridSpan w:val="4"/>
          </w:tcPr>
          <w:p w:rsidR="00C52967" w:rsidRPr="006D7947" w:rsidRDefault="00C52967" w:rsidP="00C52967">
            <w:pPr>
              <w:jc w:val="both"/>
              <w:rPr>
                <w:rFonts w:eastAsiaTheme="minorHAnsi"/>
                <w:sz w:val="20"/>
                <w:lang w:val="en-CA"/>
              </w:rPr>
            </w:pPr>
          </w:p>
        </w:tc>
      </w:tr>
      <w:tr w:rsidR="00C52967" w:rsidRPr="006D7947" w:rsidTr="00E1039A">
        <w:trPr>
          <w:trHeight w:val="351"/>
        </w:trPr>
        <w:tc>
          <w:tcPr>
            <w:tcW w:w="2282"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August 6, 2010</w:t>
            </w:r>
          </w:p>
          <w:p w:rsidR="00C52967" w:rsidRPr="006D7947" w:rsidRDefault="00C52967" w:rsidP="00C52967">
            <w:pPr>
              <w:jc w:val="both"/>
              <w:rPr>
                <w:rFonts w:eastAsiaTheme="minorHAnsi"/>
                <w:sz w:val="20"/>
                <w:lang w:val="en-CA"/>
              </w:rPr>
            </w:pPr>
            <w:r w:rsidRPr="006D7947">
              <w:rPr>
                <w:rFonts w:eastAsiaTheme="minorHAnsi"/>
                <w:sz w:val="20"/>
                <w:lang w:val="en-CA"/>
              </w:rPr>
              <w:t>Federal Court</w:t>
            </w:r>
          </w:p>
          <w:p w:rsidR="00C52967" w:rsidRPr="006D7947" w:rsidRDefault="00C52967" w:rsidP="00C52967">
            <w:pPr>
              <w:jc w:val="both"/>
              <w:rPr>
                <w:rFonts w:eastAsiaTheme="minorHAnsi"/>
                <w:sz w:val="20"/>
                <w:lang w:val="en-CA"/>
              </w:rPr>
            </w:pPr>
            <w:r w:rsidRPr="006D7947">
              <w:rPr>
                <w:rFonts w:eastAsiaTheme="minorHAnsi"/>
                <w:sz w:val="20"/>
                <w:lang w:val="en-CA"/>
              </w:rPr>
              <w:t xml:space="preserve">(Zinn J.)  </w:t>
            </w:r>
          </w:p>
          <w:p w:rsidR="00C52967" w:rsidRPr="006D7947" w:rsidRDefault="00C52967" w:rsidP="00C52967">
            <w:pPr>
              <w:jc w:val="both"/>
              <w:rPr>
                <w:rFonts w:eastAsiaTheme="minorHAnsi"/>
                <w:sz w:val="20"/>
                <w:lang w:val="en-CA"/>
              </w:rPr>
            </w:pPr>
            <w:r w:rsidRPr="006D7947">
              <w:rPr>
                <w:rFonts w:eastAsiaTheme="minorHAnsi"/>
                <w:sz w:val="20"/>
                <w:lang w:val="en-CA"/>
              </w:rPr>
              <w:t>2010 FC 810</w:t>
            </w:r>
          </w:p>
          <w:p w:rsidR="00C52967" w:rsidRPr="006D7947" w:rsidRDefault="00C52967" w:rsidP="00C52967">
            <w:pPr>
              <w:jc w:val="both"/>
              <w:rPr>
                <w:rFonts w:eastAsiaTheme="minorHAnsi"/>
                <w:sz w:val="20"/>
                <w:lang w:val="en-CA"/>
              </w:rPr>
            </w:pPr>
          </w:p>
        </w:tc>
        <w:tc>
          <w:tcPr>
            <w:tcW w:w="146" w:type="pct"/>
          </w:tcPr>
          <w:p w:rsidR="00C52967" w:rsidRPr="006D7947" w:rsidRDefault="00C52967" w:rsidP="00C52967">
            <w:pPr>
              <w:jc w:val="both"/>
              <w:rPr>
                <w:rFonts w:eastAsiaTheme="minorHAnsi"/>
                <w:sz w:val="20"/>
                <w:lang w:val="en-CA"/>
              </w:rPr>
            </w:pPr>
          </w:p>
        </w:tc>
        <w:tc>
          <w:tcPr>
            <w:tcW w:w="2573" w:type="pct"/>
          </w:tcPr>
          <w:p w:rsidR="00C52967" w:rsidRPr="006D7947" w:rsidRDefault="00C52967" w:rsidP="00C52967">
            <w:pPr>
              <w:jc w:val="both"/>
              <w:rPr>
                <w:rFonts w:eastAsiaTheme="minorHAnsi"/>
                <w:sz w:val="20"/>
                <w:lang w:val="en-CA"/>
              </w:rPr>
            </w:pPr>
            <w:r w:rsidRPr="006D7947">
              <w:rPr>
                <w:rFonts w:eastAsiaTheme="minorHAnsi"/>
                <w:sz w:val="20"/>
                <w:lang w:val="en-CA"/>
              </w:rPr>
              <w:t xml:space="preserve">Application for judicial review dismissed </w:t>
            </w:r>
          </w:p>
        </w:tc>
      </w:tr>
      <w:tr w:rsidR="00C52967" w:rsidRPr="006D7947" w:rsidTr="00E1039A">
        <w:trPr>
          <w:trHeight w:val="348"/>
        </w:trPr>
        <w:tc>
          <w:tcPr>
            <w:tcW w:w="2282"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September 16, 2010</w:t>
            </w:r>
          </w:p>
          <w:p w:rsidR="00C52967" w:rsidRPr="006D7947" w:rsidRDefault="00C52967" w:rsidP="00C52967">
            <w:pPr>
              <w:jc w:val="both"/>
              <w:rPr>
                <w:rFonts w:eastAsiaTheme="minorHAnsi"/>
                <w:sz w:val="20"/>
                <w:lang w:val="en-CA"/>
              </w:rPr>
            </w:pPr>
            <w:r w:rsidRPr="006D7947">
              <w:rPr>
                <w:rFonts w:eastAsiaTheme="minorHAnsi"/>
                <w:sz w:val="20"/>
                <w:lang w:val="en-CA"/>
              </w:rPr>
              <w:t>Federal Court</w:t>
            </w:r>
          </w:p>
          <w:p w:rsidR="00C52967" w:rsidRPr="006D7947" w:rsidRDefault="00C52967" w:rsidP="00C52967">
            <w:pPr>
              <w:jc w:val="both"/>
              <w:rPr>
                <w:rFonts w:eastAsiaTheme="minorHAnsi"/>
                <w:sz w:val="20"/>
                <w:lang w:val="en-CA"/>
              </w:rPr>
            </w:pPr>
            <w:r w:rsidRPr="006D7947">
              <w:rPr>
                <w:rFonts w:eastAsiaTheme="minorHAnsi"/>
                <w:sz w:val="20"/>
                <w:lang w:val="en-CA"/>
              </w:rPr>
              <w:t xml:space="preserve">(Zinn J.) </w:t>
            </w:r>
          </w:p>
          <w:p w:rsidR="00C52967" w:rsidRPr="006D7947" w:rsidRDefault="00C52967" w:rsidP="00C52967">
            <w:pPr>
              <w:jc w:val="both"/>
              <w:rPr>
                <w:rFonts w:eastAsiaTheme="minorHAnsi"/>
                <w:sz w:val="20"/>
                <w:lang w:val="en-CA"/>
              </w:rPr>
            </w:pPr>
            <w:r w:rsidRPr="006D7947">
              <w:rPr>
                <w:rFonts w:eastAsiaTheme="minorHAnsi"/>
                <w:sz w:val="20"/>
                <w:lang w:val="en-CA"/>
              </w:rPr>
              <w:t>2010 FC 926</w:t>
            </w:r>
          </w:p>
          <w:p w:rsidR="00C52967" w:rsidRPr="006D7947" w:rsidRDefault="00C52967" w:rsidP="00C52967">
            <w:pPr>
              <w:jc w:val="both"/>
              <w:rPr>
                <w:rFonts w:eastAsiaTheme="minorHAnsi"/>
                <w:sz w:val="20"/>
                <w:lang w:val="en-CA"/>
              </w:rPr>
            </w:pPr>
          </w:p>
        </w:tc>
        <w:tc>
          <w:tcPr>
            <w:tcW w:w="146" w:type="pct"/>
          </w:tcPr>
          <w:p w:rsidR="00C52967" w:rsidRPr="006D7947" w:rsidRDefault="00C52967" w:rsidP="00C52967">
            <w:pPr>
              <w:jc w:val="both"/>
              <w:rPr>
                <w:rFonts w:eastAsiaTheme="minorHAnsi"/>
                <w:sz w:val="20"/>
                <w:lang w:val="en-CA"/>
              </w:rPr>
            </w:pPr>
          </w:p>
        </w:tc>
        <w:tc>
          <w:tcPr>
            <w:tcW w:w="2573" w:type="pct"/>
          </w:tcPr>
          <w:p w:rsidR="00C52967" w:rsidRPr="006D7947" w:rsidRDefault="00C52967" w:rsidP="00C52967">
            <w:pPr>
              <w:jc w:val="both"/>
              <w:rPr>
                <w:rFonts w:eastAsiaTheme="minorHAnsi"/>
                <w:sz w:val="20"/>
                <w:lang w:val="en-CA"/>
              </w:rPr>
            </w:pPr>
            <w:r w:rsidRPr="006D7947">
              <w:rPr>
                <w:rFonts w:eastAsiaTheme="minorHAnsi"/>
                <w:sz w:val="20"/>
                <w:lang w:val="en-CA"/>
              </w:rPr>
              <w:t xml:space="preserve">Motion for reconsideration dismissed </w:t>
            </w:r>
          </w:p>
        </w:tc>
      </w:tr>
      <w:tr w:rsidR="00C52967" w:rsidRPr="006D7947" w:rsidTr="00E1039A">
        <w:trPr>
          <w:trHeight w:val="348"/>
        </w:trPr>
        <w:tc>
          <w:tcPr>
            <w:tcW w:w="2282"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June 27, 2011</w:t>
            </w:r>
          </w:p>
          <w:p w:rsidR="00C52967" w:rsidRPr="006D7947" w:rsidRDefault="00C52967" w:rsidP="00C52967">
            <w:pPr>
              <w:jc w:val="both"/>
              <w:rPr>
                <w:rFonts w:eastAsiaTheme="minorHAnsi"/>
                <w:sz w:val="20"/>
                <w:lang w:val="en-CA"/>
              </w:rPr>
            </w:pPr>
            <w:r w:rsidRPr="006D7947">
              <w:rPr>
                <w:rFonts w:eastAsiaTheme="minorHAnsi"/>
                <w:sz w:val="20"/>
                <w:lang w:val="en-CA"/>
              </w:rPr>
              <w:t>Federal Court of Appeal</w:t>
            </w:r>
          </w:p>
          <w:p w:rsidR="00C52967" w:rsidRPr="006D7947" w:rsidRDefault="00C52967" w:rsidP="00C52967">
            <w:pPr>
              <w:jc w:val="both"/>
              <w:rPr>
                <w:rFonts w:eastAsiaTheme="minorHAnsi"/>
                <w:sz w:val="20"/>
              </w:rPr>
            </w:pPr>
            <w:r w:rsidRPr="006D7947">
              <w:rPr>
                <w:rFonts w:eastAsiaTheme="minorHAnsi"/>
                <w:sz w:val="20"/>
              </w:rPr>
              <w:t>(Blais, Nadon, Stratas JJ.A.)</w:t>
            </w:r>
          </w:p>
          <w:p w:rsidR="00C52967" w:rsidRPr="006D7947" w:rsidRDefault="00C52967" w:rsidP="00C52967">
            <w:pPr>
              <w:jc w:val="both"/>
              <w:rPr>
                <w:rFonts w:eastAsiaTheme="minorHAnsi"/>
                <w:sz w:val="20"/>
                <w:lang w:val="fr-CA"/>
              </w:rPr>
            </w:pPr>
            <w:r w:rsidRPr="006D7947">
              <w:rPr>
                <w:rFonts w:eastAsiaTheme="minorHAnsi"/>
                <w:sz w:val="20"/>
                <w:lang w:val="fr-CA"/>
              </w:rPr>
              <w:t>2011 FCA 213; A</w:t>
            </w:r>
            <w:r w:rsidRPr="006D7947">
              <w:rPr>
                <w:rFonts w:eastAsiaTheme="minorHAnsi"/>
                <w:sz w:val="20"/>
                <w:lang w:val="fr-CA"/>
              </w:rPr>
              <w:noBreakHyphen/>
              <w:t>362</w:t>
            </w:r>
            <w:r w:rsidRPr="006D7947">
              <w:rPr>
                <w:rFonts w:eastAsiaTheme="minorHAnsi"/>
                <w:sz w:val="20"/>
                <w:lang w:val="fr-CA"/>
              </w:rPr>
              <w:noBreakHyphen/>
              <w:t>10</w:t>
            </w:r>
          </w:p>
          <w:p w:rsidR="00C52967" w:rsidRPr="006D7947" w:rsidRDefault="00C52967" w:rsidP="00C52967">
            <w:pPr>
              <w:jc w:val="both"/>
              <w:rPr>
                <w:rFonts w:eastAsiaTheme="minorHAnsi"/>
                <w:sz w:val="20"/>
                <w:lang w:val="en-CA"/>
              </w:rPr>
            </w:pPr>
          </w:p>
        </w:tc>
        <w:tc>
          <w:tcPr>
            <w:tcW w:w="146" w:type="pct"/>
          </w:tcPr>
          <w:p w:rsidR="00C52967" w:rsidRPr="006D7947" w:rsidRDefault="00C52967" w:rsidP="00C52967">
            <w:pPr>
              <w:jc w:val="both"/>
              <w:rPr>
                <w:rFonts w:eastAsiaTheme="minorHAnsi"/>
                <w:sz w:val="20"/>
                <w:lang w:val="en-CA"/>
              </w:rPr>
            </w:pPr>
          </w:p>
        </w:tc>
        <w:tc>
          <w:tcPr>
            <w:tcW w:w="2573" w:type="pct"/>
          </w:tcPr>
          <w:p w:rsidR="00C52967" w:rsidRPr="006D7947" w:rsidRDefault="00C52967" w:rsidP="00C52967">
            <w:pPr>
              <w:jc w:val="both"/>
              <w:rPr>
                <w:rFonts w:eastAsiaTheme="minorHAnsi"/>
                <w:sz w:val="20"/>
                <w:lang w:val="en-CA"/>
              </w:rPr>
            </w:pPr>
            <w:r w:rsidRPr="006D7947">
              <w:rPr>
                <w:rFonts w:eastAsiaTheme="minorHAnsi"/>
                <w:sz w:val="20"/>
                <w:lang w:val="en-CA"/>
              </w:rPr>
              <w:t>Appeal dismissed</w:t>
            </w:r>
          </w:p>
          <w:p w:rsidR="00C52967" w:rsidRPr="006D7947" w:rsidRDefault="00C52967" w:rsidP="00C52967">
            <w:pPr>
              <w:jc w:val="both"/>
              <w:rPr>
                <w:rFonts w:eastAsiaTheme="minorHAnsi"/>
                <w:sz w:val="20"/>
                <w:lang w:val="en-CA"/>
              </w:rPr>
            </w:pPr>
          </w:p>
        </w:tc>
      </w:tr>
      <w:tr w:rsidR="00C52967" w:rsidRPr="006D7947" w:rsidTr="00E1039A">
        <w:trPr>
          <w:trHeight w:val="348"/>
        </w:trPr>
        <w:tc>
          <w:tcPr>
            <w:tcW w:w="2282"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September 26, 2011</w:t>
            </w:r>
          </w:p>
          <w:p w:rsidR="00C52967" w:rsidRPr="006D7947" w:rsidRDefault="00C52967" w:rsidP="00C52967">
            <w:pPr>
              <w:jc w:val="both"/>
              <w:rPr>
                <w:rFonts w:eastAsiaTheme="minorHAnsi"/>
                <w:sz w:val="20"/>
                <w:lang w:val="en-CA"/>
              </w:rPr>
            </w:pPr>
            <w:r w:rsidRPr="006D7947">
              <w:rPr>
                <w:rFonts w:eastAsiaTheme="minorHAnsi"/>
                <w:sz w:val="20"/>
                <w:lang w:val="en-CA"/>
              </w:rPr>
              <w:t>Supreme Court of Canada</w:t>
            </w:r>
          </w:p>
        </w:tc>
        <w:tc>
          <w:tcPr>
            <w:tcW w:w="146" w:type="pct"/>
          </w:tcPr>
          <w:p w:rsidR="00C52967" w:rsidRPr="006D7947" w:rsidRDefault="00C52967" w:rsidP="00C52967">
            <w:pPr>
              <w:jc w:val="both"/>
              <w:rPr>
                <w:rFonts w:eastAsiaTheme="minorHAnsi"/>
                <w:sz w:val="20"/>
                <w:lang w:val="en-CA"/>
              </w:rPr>
            </w:pPr>
          </w:p>
        </w:tc>
        <w:tc>
          <w:tcPr>
            <w:tcW w:w="2573" w:type="pct"/>
          </w:tcPr>
          <w:p w:rsidR="00C52967" w:rsidRPr="006D7947" w:rsidRDefault="00C52967" w:rsidP="00C52967">
            <w:pPr>
              <w:jc w:val="both"/>
              <w:rPr>
                <w:rFonts w:eastAsiaTheme="minorHAnsi"/>
                <w:sz w:val="20"/>
                <w:lang w:val="en-CA"/>
              </w:rPr>
            </w:pPr>
            <w:r w:rsidRPr="006D7947">
              <w:rPr>
                <w:rFonts w:eastAsiaTheme="minorHAnsi"/>
                <w:sz w:val="20"/>
                <w:lang w:val="en-CA"/>
              </w:rPr>
              <w:t>Application for leave to appeal filed</w:t>
            </w:r>
          </w:p>
          <w:p w:rsidR="00C52967" w:rsidRPr="006D7947" w:rsidRDefault="00C52967" w:rsidP="00C52967">
            <w:pPr>
              <w:jc w:val="both"/>
              <w:rPr>
                <w:rFonts w:eastAsiaTheme="minorHAnsi"/>
                <w:sz w:val="20"/>
                <w:lang w:val="en-CA"/>
              </w:rPr>
            </w:pPr>
          </w:p>
        </w:tc>
      </w:tr>
    </w:tbl>
    <w:p w:rsidR="00C52967" w:rsidRDefault="00C52967" w:rsidP="00C52967">
      <w:pPr>
        <w:jc w:val="both"/>
        <w:rPr>
          <w:rFonts w:eastAsiaTheme="minorHAnsi"/>
          <w:sz w:val="20"/>
          <w:lang w:val="en-CA"/>
        </w:rPr>
      </w:pPr>
    </w:p>
    <w:p w:rsidR="00CF4702" w:rsidRPr="006D7947" w:rsidRDefault="00CF4702" w:rsidP="00C52967">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14"/>
        <w:gridCol w:w="3217"/>
        <w:gridCol w:w="271"/>
        <w:gridCol w:w="4768"/>
      </w:tblGrid>
      <w:tr w:rsidR="00C52967" w:rsidRPr="006D7947" w:rsidTr="00E1039A">
        <w:tc>
          <w:tcPr>
            <w:tcW w:w="547" w:type="pct"/>
          </w:tcPr>
          <w:p w:rsidR="00C52967" w:rsidRPr="006D7947" w:rsidRDefault="00C52967" w:rsidP="00C52967">
            <w:pPr>
              <w:jc w:val="both"/>
              <w:rPr>
                <w:rFonts w:eastAsiaTheme="minorHAnsi"/>
                <w:sz w:val="20"/>
                <w:lang w:val="en-CA"/>
              </w:rPr>
            </w:pPr>
            <w:r w:rsidRPr="006D7947">
              <w:rPr>
                <w:rFonts w:eastAsiaTheme="minorHAnsi"/>
                <w:b/>
                <w:sz w:val="20"/>
                <w:lang w:val="en-CA"/>
              </w:rPr>
              <w:t>34446</w:t>
            </w:r>
          </w:p>
        </w:tc>
        <w:tc>
          <w:tcPr>
            <w:tcW w:w="4453" w:type="pct"/>
            <w:gridSpan w:val="3"/>
          </w:tcPr>
          <w:p w:rsidR="00C52967" w:rsidRPr="006D7947" w:rsidRDefault="00C52967" w:rsidP="00C52967">
            <w:pPr>
              <w:jc w:val="both"/>
              <w:rPr>
                <w:rFonts w:eastAsiaTheme="minorHAnsi"/>
                <w:b/>
                <w:sz w:val="20"/>
                <w:lang w:val="fr-FR"/>
              </w:rPr>
            </w:pPr>
            <w:r w:rsidRPr="006D7947">
              <w:rPr>
                <w:rFonts w:eastAsiaTheme="minorHAnsi"/>
                <w:b/>
                <w:sz w:val="20"/>
                <w:lang w:val="fr-FR"/>
              </w:rPr>
              <w:t>Nell Toussaint c. Procureur général du Canada</w:t>
            </w:r>
          </w:p>
          <w:p w:rsidR="00C52967" w:rsidRPr="006D7947" w:rsidRDefault="00C52967" w:rsidP="00CF4702">
            <w:pPr>
              <w:jc w:val="both"/>
              <w:rPr>
                <w:rFonts w:eastAsiaTheme="minorHAnsi"/>
                <w:sz w:val="20"/>
                <w:lang w:val="en-CA"/>
              </w:rPr>
            </w:pPr>
            <w:r w:rsidRPr="006D7947">
              <w:rPr>
                <w:rFonts w:eastAsiaTheme="minorHAnsi"/>
                <w:sz w:val="20"/>
                <w:lang w:val="en-CA"/>
              </w:rPr>
              <w:t>(CF) (Civile) (Sur autorisation)</w:t>
            </w:r>
          </w:p>
        </w:tc>
      </w:tr>
      <w:tr w:rsidR="00C52967" w:rsidRPr="00686322" w:rsidTr="00E1039A">
        <w:tc>
          <w:tcPr>
            <w:tcW w:w="5000" w:type="pct"/>
            <w:gridSpan w:val="4"/>
          </w:tcPr>
          <w:p w:rsidR="00C52967" w:rsidRPr="006D7947" w:rsidRDefault="00C52967" w:rsidP="00C52967">
            <w:pPr>
              <w:jc w:val="both"/>
              <w:rPr>
                <w:rFonts w:eastAsiaTheme="minorHAnsi"/>
                <w:sz w:val="20"/>
                <w:lang w:val="fr-FR"/>
              </w:rPr>
            </w:pPr>
            <w:r w:rsidRPr="006D7947">
              <w:rPr>
                <w:rFonts w:eastAsiaTheme="minorHAnsi"/>
                <w:i/>
                <w:sz w:val="20"/>
                <w:lang w:val="fr-FR"/>
              </w:rPr>
              <w:t>Charte canadienne des droits et libertés</w:t>
            </w:r>
            <w:r w:rsidRPr="006D7947">
              <w:rPr>
                <w:rFonts w:eastAsiaTheme="minorHAnsi"/>
                <w:sz w:val="20"/>
                <w:lang w:val="fr-FR"/>
              </w:rPr>
              <w:t xml:space="preserve"> – Droit à la vie, à la liberté et à la sécurité de la personne – Justice fondamentale – Droit à l’égalité – Discrimination fondée sur le statut en matière d’immigration – Protection offerte par le système de santé public – Est</w:t>
            </w:r>
            <w:r w:rsidRPr="006D7947">
              <w:rPr>
                <w:rFonts w:eastAsiaTheme="minorHAnsi"/>
                <w:sz w:val="20"/>
                <w:lang w:val="fr-FR"/>
              </w:rPr>
              <w:noBreakHyphen/>
              <w:t xml:space="preserve">il conforme aux principes de justice fondamentale ou contraire à l’art. 7 de la </w:t>
            </w:r>
            <w:r w:rsidRPr="006D7947">
              <w:rPr>
                <w:rFonts w:eastAsiaTheme="minorHAnsi"/>
                <w:i/>
                <w:sz w:val="20"/>
                <w:lang w:val="fr-FR"/>
              </w:rPr>
              <w:t xml:space="preserve">Charte </w:t>
            </w:r>
            <w:r w:rsidRPr="006D7947">
              <w:rPr>
                <w:rFonts w:eastAsiaTheme="minorHAnsi"/>
                <w:sz w:val="20"/>
                <w:lang w:val="fr-FR"/>
              </w:rPr>
              <w:t>de refuser de payer les soins de santé fournis aux personnes dont la vie et la santé sont sérieusement compromises afin de décourager les comportements illégaux? – Une loi qui refuse à la demanderesse une couverture d’assurance</w:t>
            </w:r>
            <w:r w:rsidRPr="006D7947">
              <w:rPr>
                <w:rFonts w:eastAsiaTheme="minorHAnsi"/>
                <w:sz w:val="20"/>
                <w:lang w:val="fr-FR"/>
              </w:rPr>
              <w:noBreakHyphen/>
              <w:t>maladie en raison de son statut d’immigrante viole</w:t>
            </w:r>
            <w:r w:rsidRPr="006D7947">
              <w:rPr>
                <w:rFonts w:eastAsiaTheme="minorHAnsi"/>
                <w:sz w:val="20"/>
                <w:lang w:val="fr-FR"/>
              </w:rPr>
              <w:noBreakHyphen/>
              <w:t>t</w:t>
            </w:r>
            <w:r w:rsidRPr="006D7947">
              <w:rPr>
                <w:rFonts w:eastAsiaTheme="minorHAnsi"/>
                <w:sz w:val="20"/>
                <w:lang w:val="fr-FR"/>
              </w:rPr>
              <w:noBreakHyphen/>
              <w:t xml:space="preserve">elle le par. 15(1) de la </w:t>
            </w:r>
            <w:r w:rsidRPr="006D7947">
              <w:rPr>
                <w:rFonts w:eastAsiaTheme="minorHAnsi"/>
                <w:i/>
                <w:sz w:val="20"/>
                <w:lang w:val="fr-FR"/>
              </w:rPr>
              <w:t>Charte</w:t>
            </w:r>
            <w:r w:rsidRPr="006D7947">
              <w:rPr>
                <w:rFonts w:eastAsiaTheme="minorHAnsi"/>
                <w:sz w:val="20"/>
                <w:lang w:val="fr-FR"/>
              </w:rPr>
              <w:t>?</w:t>
            </w:r>
          </w:p>
        </w:tc>
      </w:tr>
      <w:tr w:rsidR="00C52967" w:rsidRPr="00686322" w:rsidTr="00E1039A">
        <w:tc>
          <w:tcPr>
            <w:tcW w:w="5000" w:type="pct"/>
            <w:gridSpan w:val="4"/>
          </w:tcPr>
          <w:p w:rsidR="00C52967" w:rsidRPr="006D7947" w:rsidRDefault="00C52967" w:rsidP="00C52967">
            <w:pPr>
              <w:jc w:val="both"/>
              <w:rPr>
                <w:rFonts w:eastAsiaTheme="minorHAnsi"/>
                <w:sz w:val="20"/>
                <w:lang w:val="fr-FR"/>
              </w:rPr>
            </w:pPr>
          </w:p>
        </w:tc>
      </w:tr>
      <w:tr w:rsidR="00C52967" w:rsidRPr="00686322" w:rsidTr="00E1039A">
        <w:tc>
          <w:tcPr>
            <w:tcW w:w="5000" w:type="pct"/>
            <w:gridSpan w:val="4"/>
          </w:tcPr>
          <w:p w:rsidR="00CF4702" w:rsidRDefault="00C52967" w:rsidP="00C52967">
            <w:pPr>
              <w:jc w:val="both"/>
              <w:rPr>
                <w:rFonts w:eastAsiaTheme="minorHAnsi"/>
                <w:sz w:val="20"/>
                <w:lang w:val="fr-FR"/>
              </w:rPr>
            </w:pPr>
            <w:r w:rsidRPr="006D7947">
              <w:rPr>
                <w:rFonts w:eastAsiaTheme="minorHAnsi"/>
                <w:sz w:val="20"/>
                <w:lang w:val="fr-FR"/>
              </w:rPr>
              <w:t>La demanderesse, une citoyenne de la Grenade, est restée illégalement au Canada après l’expiration de son visa de résident temporaire. Elle a besoin de beaucoup de soins médicaux. La demanderesse a présenté une demande de résidence temporaire en 2008, mais elle a contesté l’obligation de payer des droits de demande, et sa demande n’a toujours pas été traitée. En mai 2009, elle a demandé à Citoyenneté et Immigration Canada de lui fournir une couverture d’assurance</w:t>
            </w:r>
            <w:r w:rsidRPr="006D7947">
              <w:rPr>
                <w:rFonts w:eastAsiaTheme="minorHAnsi"/>
                <w:sz w:val="20"/>
                <w:lang w:val="fr-FR"/>
              </w:rPr>
              <w:noBreakHyphen/>
              <w:t>maladie en vertu du Programme fédéral de santé intérimaire établi par le décret C.P. 1957</w:t>
            </w:r>
            <w:r w:rsidRPr="006D7947">
              <w:rPr>
                <w:rFonts w:eastAsiaTheme="minorHAnsi"/>
                <w:sz w:val="20"/>
                <w:lang w:val="fr-FR"/>
              </w:rPr>
              <w:noBreakHyphen/>
              <w:t>11/848. Selon ce programme, Citoyenneté et Immigration Canada paie les frais des soins médicaux d’urgence offerts à la personne sans ressources légalement admise au Canada qui répond aux critères d’admissibilité. Un directeur de Citoyenneté et Immigration Canada a refusé la demande de couverture.</w:t>
            </w:r>
          </w:p>
          <w:p w:rsidR="00C52967" w:rsidRPr="006D7947" w:rsidRDefault="00C52967" w:rsidP="00C52967">
            <w:pPr>
              <w:jc w:val="both"/>
              <w:rPr>
                <w:rFonts w:eastAsiaTheme="minorHAnsi"/>
                <w:sz w:val="20"/>
                <w:lang w:val="fr-FR"/>
              </w:rPr>
            </w:pPr>
            <w:r w:rsidRPr="006D7947">
              <w:rPr>
                <w:rFonts w:eastAsiaTheme="minorHAnsi"/>
                <w:sz w:val="20"/>
                <w:lang w:val="fr-FR"/>
              </w:rPr>
              <w:t xml:space="preserve">  </w:t>
            </w:r>
          </w:p>
        </w:tc>
      </w:tr>
      <w:tr w:rsidR="00C52967" w:rsidRPr="00686322" w:rsidTr="00E1039A">
        <w:trPr>
          <w:trHeight w:val="351"/>
        </w:trPr>
        <w:tc>
          <w:tcPr>
            <w:tcW w:w="2282" w:type="pct"/>
            <w:gridSpan w:val="2"/>
          </w:tcPr>
          <w:p w:rsidR="00C52967" w:rsidRPr="006D7947" w:rsidRDefault="00C52967" w:rsidP="00C52967">
            <w:pPr>
              <w:jc w:val="both"/>
              <w:rPr>
                <w:rFonts w:eastAsiaTheme="minorHAnsi"/>
                <w:sz w:val="20"/>
                <w:lang w:val="fr-CA"/>
              </w:rPr>
            </w:pPr>
            <w:r w:rsidRPr="006D7947">
              <w:rPr>
                <w:rFonts w:eastAsiaTheme="minorHAnsi"/>
                <w:sz w:val="20"/>
                <w:lang w:val="fr-CA"/>
              </w:rPr>
              <w:t>6 août 2010</w:t>
            </w:r>
          </w:p>
          <w:p w:rsidR="00C52967" w:rsidRPr="006D7947" w:rsidRDefault="00C52967" w:rsidP="00C52967">
            <w:pPr>
              <w:jc w:val="both"/>
              <w:rPr>
                <w:rFonts w:eastAsiaTheme="minorHAnsi"/>
                <w:sz w:val="20"/>
                <w:lang w:val="fr-CA"/>
              </w:rPr>
            </w:pPr>
            <w:r w:rsidRPr="006D7947">
              <w:rPr>
                <w:rFonts w:eastAsiaTheme="minorHAnsi"/>
                <w:sz w:val="20"/>
                <w:lang w:val="fr-CA"/>
              </w:rPr>
              <w:t>Cour fédérale</w:t>
            </w:r>
          </w:p>
          <w:p w:rsidR="00C52967" w:rsidRPr="006D7947" w:rsidRDefault="00C52967" w:rsidP="00C52967">
            <w:pPr>
              <w:jc w:val="both"/>
              <w:rPr>
                <w:rFonts w:eastAsiaTheme="minorHAnsi"/>
                <w:sz w:val="20"/>
                <w:lang w:val="fr-CA"/>
              </w:rPr>
            </w:pPr>
            <w:r w:rsidRPr="006D7947">
              <w:rPr>
                <w:rFonts w:eastAsiaTheme="minorHAnsi"/>
                <w:sz w:val="20"/>
                <w:lang w:val="fr-CA"/>
              </w:rPr>
              <w:t xml:space="preserve">(Juge Zinn)  </w:t>
            </w:r>
          </w:p>
          <w:p w:rsidR="00C52967" w:rsidRPr="006D7947" w:rsidRDefault="00C52967" w:rsidP="00C52967">
            <w:pPr>
              <w:jc w:val="both"/>
              <w:rPr>
                <w:rFonts w:eastAsiaTheme="minorHAnsi"/>
                <w:sz w:val="20"/>
                <w:lang w:val="en-CA"/>
              </w:rPr>
            </w:pPr>
            <w:r w:rsidRPr="006D7947">
              <w:rPr>
                <w:rFonts w:eastAsiaTheme="minorHAnsi"/>
                <w:sz w:val="20"/>
                <w:lang w:val="en-CA"/>
              </w:rPr>
              <w:t>2010 CF 810</w:t>
            </w:r>
          </w:p>
          <w:p w:rsidR="00C52967" w:rsidRPr="006D7947" w:rsidRDefault="00C52967" w:rsidP="00C52967">
            <w:pPr>
              <w:jc w:val="both"/>
              <w:rPr>
                <w:rFonts w:eastAsiaTheme="minorHAnsi"/>
                <w:sz w:val="20"/>
                <w:lang w:val="en-CA"/>
              </w:rPr>
            </w:pPr>
          </w:p>
        </w:tc>
        <w:tc>
          <w:tcPr>
            <w:tcW w:w="146" w:type="pct"/>
          </w:tcPr>
          <w:p w:rsidR="00C52967" w:rsidRPr="006D7947" w:rsidRDefault="00C52967" w:rsidP="00C52967">
            <w:pPr>
              <w:jc w:val="both"/>
              <w:rPr>
                <w:rFonts w:eastAsiaTheme="minorHAnsi"/>
                <w:sz w:val="20"/>
                <w:lang w:val="en-CA"/>
              </w:rPr>
            </w:pPr>
          </w:p>
        </w:tc>
        <w:tc>
          <w:tcPr>
            <w:tcW w:w="2573" w:type="pct"/>
          </w:tcPr>
          <w:p w:rsidR="00C52967" w:rsidRPr="006D7947" w:rsidRDefault="00C52967" w:rsidP="00C52967">
            <w:pPr>
              <w:jc w:val="both"/>
              <w:rPr>
                <w:rFonts w:eastAsiaTheme="minorHAnsi"/>
                <w:sz w:val="20"/>
                <w:lang w:val="fr-FR"/>
              </w:rPr>
            </w:pPr>
            <w:r w:rsidRPr="006D7947">
              <w:rPr>
                <w:rFonts w:eastAsiaTheme="minorHAnsi"/>
                <w:sz w:val="20"/>
                <w:lang w:val="fr-FR"/>
              </w:rPr>
              <w:t xml:space="preserve">Demande de contrôle judiciaire rejetée </w:t>
            </w:r>
          </w:p>
        </w:tc>
      </w:tr>
      <w:tr w:rsidR="00C52967" w:rsidRPr="006D7947" w:rsidTr="00E1039A">
        <w:trPr>
          <w:trHeight w:val="348"/>
        </w:trPr>
        <w:tc>
          <w:tcPr>
            <w:tcW w:w="2282" w:type="pct"/>
            <w:gridSpan w:val="2"/>
          </w:tcPr>
          <w:p w:rsidR="00C52967" w:rsidRPr="006D7947" w:rsidRDefault="00C52967" w:rsidP="00C52967">
            <w:pPr>
              <w:jc w:val="both"/>
              <w:rPr>
                <w:rFonts w:eastAsiaTheme="minorHAnsi"/>
                <w:sz w:val="20"/>
                <w:lang w:val="fr-FR"/>
              </w:rPr>
            </w:pPr>
            <w:r w:rsidRPr="006D7947">
              <w:rPr>
                <w:rFonts w:eastAsiaTheme="minorHAnsi"/>
                <w:sz w:val="20"/>
                <w:lang w:val="fr-FR"/>
              </w:rPr>
              <w:t>16 septembre 2010</w:t>
            </w:r>
          </w:p>
          <w:p w:rsidR="00C52967" w:rsidRPr="006D7947" w:rsidRDefault="00C52967" w:rsidP="00C52967">
            <w:pPr>
              <w:jc w:val="both"/>
              <w:rPr>
                <w:rFonts w:eastAsiaTheme="minorHAnsi"/>
                <w:sz w:val="20"/>
                <w:lang w:val="fr-FR"/>
              </w:rPr>
            </w:pPr>
            <w:r w:rsidRPr="006D7947">
              <w:rPr>
                <w:rFonts w:eastAsiaTheme="minorHAnsi"/>
                <w:sz w:val="20"/>
                <w:lang w:val="fr-FR"/>
              </w:rPr>
              <w:t>Cour fédérale</w:t>
            </w:r>
          </w:p>
          <w:p w:rsidR="00C52967" w:rsidRPr="006D7947" w:rsidRDefault="00C52967" w:rsidP="00C52967">
            <w:pPr>
              <w:jc w:val="both"/>
              <w:rPr>
                <w:rFonts w:eastAsiaTheme="minorHAnsi"/>
                <w:sz w:val="20"/>
                <w:lang w:val="fr-FR"/>
              </w:rPr>
            </w:pPr>
            <w:r w:rsidRPr="006D7947">
              <w:rPr>
                <w:rFonts w:eastAsiaTheme="minorHAnsi"/>
                <w:sz w:val="20"/>
                <w:lang w:val="fr-FR"/>
              </w:rPr>
              <w:t xml:space="preserve">(Juge Zinn) </w:t>
            </w:r>
          </w:p>
          <w:p w:rsidR="00C52967" w:rsidRPr="006D7947" w:rsidRDefault="00C52967" w:rsidP="00C52967">
            <w:pPr>
              <w:jc w:val="both"/>
              <w:rPr>
                <w:rFonts w:eastAsiaTheme="minorHAnsi"/>
                <w:sz w:val="20"/>
                <w:lang w:val="en-CA"/>
              </w:rPr>
            </w:pPr>
            <w:r w:rsidRPr="006D7947">
              <w:rPr>
                <w:rFonts w:eastAsiaTheme="minorHAnsi"/>
                <w:sz w:val="20"/>
                <w:lang w:val="en-CA"/>
              </w:rPr>
              <w:t>2010 CF 926</w:t>
            </w:r>
          </w:p>
          <w:p w:rsidR="00C52967" w:rsidRPr="006D7947" w:rsidRDefault="00C52967" w:rsidP="00C52967">
            <w:pPr>
              <w:jc w:val="both"/>
              <w:rPr>
                <w:rFonts w:eastAsiaTheme="minorHAnsi"/>
                <w:sz w:val="20"/>
                <w:lang w:val="en-CA"/>
              </w:rPr>
            </w:pPr>
          </w:p>
        </w:tc>
        <w:tc>
          <w:tcPr>
            <w:tcW w:w="146" w:type="pct"/>
          </w:tcPr>
          <w:p w:rsidR="00C52967" w:rsidRPr="006D7947" w:rsidRDefault="00C52967" w:rsidP="00C52967">
            <w:pPr>
              <w:jc w:val="both"/>
              <w:rPr>
                <w:rFonts w:eastAsiaTheme="minorHAnsi"/>
                <w:sz w:val="20"/>
                <w:lang w:val="en-CA"/>
              </w:rPr>
            </w:pPr>
          </w:p>
        </w:tc>
        <w:tc>
          <w:tcPr>
            <w:tcW w:w="2573" w:type="pct"/>
          </w:tcPr>
          <w:p w:rsidR="00C52967" w:rsidRPr="006D7947" w:rsidRDefault="00C52967" w:rsidP="00C52967">
            <w:pPr>
              <w:jc w:val="both"/>
              <w:rPr>
                <w:rFonts w:eastAsiaTheme="minorHAnsi"/>
                <w:sz w:val="20"/>
                <w:lang w:val="en-CA"/>
              </w:rPr>
            </w:pPr>
            <w:r w:rsidRPr="006D7947">
              <w:rPr>
                <w:rFonts w:eastAsiaTheme="minorHAnsi"/>
                <w:sz w:val="20"/>
                <w:lang w:val="en-CA"/>
              </w:rPr>
              <w:t xml:space="preserve">Requête en réexamen rejetée </w:t>
            </w:r>
          </w:p>
        </w:tc>
      </w:tr>
      <w:tr w:rsidR="00C52967" w:rsidRPr="006D7947" w:rsidTr="00E1039A">
        <w:trPr>
          <w:trHeight w:val="348"/>
        </w:trPr>
        <w:tc>
          <w:tcPr>
            <w:tcW w:w="2282" w:type="pct"/>
            <w:gridSpan w:val="2"/>
          </w:tcPr>
          <w:p w:rsidR="00C52967" w:rsidRPr="006D7947" w:rsidRDefault="00C52967" w:rsidP="00C52967">
            <w:pPr>
              <w:jc w:val="both"/>
              <w:rPr>
                <w:rFonts w:eastAsiaTheme="minorHAnsi"/>
                <w:sz w:val="20"/>
                <w:lang w:val="fr-CA"/>
              </w:rPr>
            </w:pPr>
            <w:r w:rsidRPr="006D7947">
              <w:rPr>
                <w:rFonts w:eastAsiaTheme="minorHAnsi"/>
                <w:sz w:val="20"/>
                <w:lang w:val="fr-CA"/>
              </w:rPr>
              <w:t>27 juin 2011</w:t>
            </w:r>
          </w:p>
          <w:p w:rsidR="00C52967" w:rsidRPr="006D7947" w:rsidRDefault="00C52967" w:rsidP="00C52967">
            <w:pPr>
              <w:jc w:val="both"/>
              <w:rPr>
                <w:rFonts w:eastAsiaTheme="minorHAnsi"/>
                <w:sz w:val="20"/>
                <w:lang w:val="fr-CA"/>
              </w:rPr>
            </w:pPr>
            <w:r w:rsidRPr="006D7947">
              <w:rPr>
                <w:rFonts w:eastAsiaTheme="minorHAnsi"/>
                <w:sz w:val="20"/>
                <w:lang w:val="fr-CA"/>
              </w:rPr>
              <w:t>Cour d’appel fédérale</w:t>
            </w:r>
          </w:p>
          <w:p w:rsidR="00C52967" w:rsidRPr="006D7947" w:rsidRDefault="00C52967" w:rsidP="00C52967">
            <w:pPr>
              <w:jc w:val="both"/>
              <w:rPr>
                <w:rFonts w:eastAsiaTheme="minorHAnsi"/>
                <w:sz w:val="20"/>
                <w:lang w:val="fr-FR"/>
              </w:rPr>
            </w:pPr>
            <w:r w:rsidRPr="006D7947">
              <w:rPr>
                <w:rFonts w:eastAsiaTheme="minorHAnsi"/>
                <w:sz w:val="20"/>
                <w:lang w:val="fr-FR"/>
              </w:rPr>
              <w:t>(Juges Blais, Nadon et Stratas)</w:t>
            </w:r>
          </w:p>
          <w:p w:rsidR="00C52967" w:rsidRPr="006D7947" w:rsidRDefault="00C52967" w:rsidP="00C52967">
            <w:pPr>
              <w:jc w:val="both"/>
              <w:rPr>
                <w:rFonts w:eastAsiaTheme="minorHAnsi"/>
                <w:sz w:val="20"/>
                <w:lang w:val="fr-CA"/>
              </w:rPr>
            </w:pPr>
            <w:r w:rsidRPr="006D7947">
              <w:rPr>
                <w:rFonts w:eastAsiaTheme="minorHAnsi"/>
                <w:sz w:val="20"/>
                <w:lang w:val="fr-CA"/>
              </w:rPr>
              <w:t>2011 CAF 213; A</w:t>
            </w:r>
            <w:r w:rsidRPr="006D7947">
              <w:rPr>
                <w:rFonts w:eastAsiaTheme="minorHAnsi"/>
                <w:sz w:val="20"/>
                <w:lang w:val="fr-CA"/>
              </w:rPr>
              <w:noBreakHyphen/>
              <w:t>362</w:t>
            </w:r>
            <w:r w:rsidRPr="006D7947">
              <w:rPr>
                <w:rFonts w:eastAsiaTheme="minorHAnsi"/>
                <w:sz w:val="20"/>
                <w:lang w:val="fr-CA"/>
              </w:rPr>
              <w:noBreakHyphen/>
              <w:t>10</w:t>
            </w:r>
          </w:p>
          <w:p w:rsidR="00C52967" w:rsidRPr="006D7947" w:rsidRDefault="00C52967" w:rsidP="00C52967">
            <w:pPr>
              <w:jc w:val="both"/>
              <w:rPr>
                <w:rFonts w:eastAsiaTheme="minorHAnsi"/>
                <w:sz w:val="20"/>
                <w:lang w:val="en-CA"/>
              </w:rPr>
            </w:pPr>
          </w:p>
        </w:tc>
        <w:tc>
          <w:tcPr>
            <w:tcW w:w="146" w:type="pct"/>
          </w:tcPr>
          <w:p w:rsidR="00C52967" w:rsidRPr="006D7947" w:rsidRDefault="00C52967" w:rsidP="00C52967">
            <w:pPr>
              <w:jc w:val="both"/>
              <w:rPr>
                <w:rFonts w:eastAsiaTheme="minorHAnsi"/>
                <w:sz w:val="20"/>
                <w:lang w:val="en-CA"/>
              </w:rPr>
            </w:pPr>
          </w:p>
        </w:tc>
        <w:tc>
          <w:tcPr>
            <w:tcW w:w="2573" w:type="pct"/>
          </w:tcPr>
          <w:p w:rsidR="00C52967" w:rsidRPr="006D7947" w:rsidRDefault="00C52967" w:rsidP="00C52967">
            <w:pPr>
              <w:jc w:val="both"/>
              <w:rPr>
                <w:rFonts w:eastAsiaTheme="minorHAnsi"/>
                <w:sz w:val="20"/>
                <w:lang w:val="en-CA"/>
              </w:rPr>
            </w:pPr>
            <w:r w:rsidRPr="006D7947">
              <w:rPr>
                <w:rFonts w:eastAsiaTheme="minorHAnsi"/>
                <w:sz w:val="20"/>
                <w:lang w:val="en-CA"/>
              </w:rPr>
              <w:t>Appel rejeté</w:t>
            </w:r>
          </w:p>
          <w:p w:rsidR="00C52967" w:rsidRPr="006D7947" w:rsidRDefault="00C52967" w:rsidP="00C52967">
            <w:pPr>
              <w:jc w:val="both"/>
              <w:rPr>
                <w:rFonts w:eastAsiaTheme="minorHAnsi"/>
                <w:sz w:val="20"/>
                <w:lang w:val="en-CA"/>
              </w:rPr>
            </w:pPr>
          </w:p>
        </w:tc>
      </w:tr>
      <w:tr w:rsidR="00C52967" w:rsidRPr="006D7947" w:rsidTr="00E1039A">
        <w:trPr>
          <w:trHeight w:val="348"/>
        </w:trPr>
        <w:tc>
          <w:tcPr>
            <w:tcW w:w="2282" w:type="pct"/>
            <w:gridSpan w:val="2"/>
          </w:tcPr>
          <w:p w:rsidR="00C52967" w:rsidRPr="006D7947" w:rsidRDefault="00C52967" w:rsidP="00C52967">
            <w:pPr>
              <w:jc w:val="both"/>
              <w:rPr>
                <w:rFonts w:eastAsiaTheme="minorHAnsi"/>
                <w:sz w:val="20"/>
                <w:lang w:val="fr-FR"/>
              </w:rPr>
            </w:pPr>
            <w:r w:rsidRPr="006D7947">
              <w:rPr>
                <w:rFonts w:eastAsiaTheme="minorHAnsi"/>
                <w:sz w:val="20"/>
                <w:lang w:val="fr-FR"/>
              </w:rPr>
              <w:t>26 septembre 2011</w:t>
            </w:r>
          </w:p>
          <w:p w:rsidR="00C52967" w:rsidRDefault="00C52967" w:rsidP="00C52967">
            <w:pPr>
              <w:jc w:val="both"/>
              <w:rPr>
                <w:rFonts w:eastAsiaTheme="minorHAnsi"/>
                <w:sz w:val="20"/>
                <w:lang w:val="fr-FR"/>
              </w:rPr>
            </w:pPr>
            <w:r w:rsidRPr="006D7947">
              <w:rPr>
                <w:rFonts w:eastAsiaTheme="minorHAnsi"/>
                <w:sz w:val="20"/>
                <w:lang w:val="fr-FR"/>
              </w:rPr>
              <w:t>Cour suprême du Canada</w:t>
            </w:r>
          </w:p>
          <w:p w:rsidR="00CF4702" w:rsidRPr="006D7947" w:rsidRDefault="00CF4702" w:rsidP="00C52967">
            <w:pPr>
              <w:jc w:val="both"/>
              <w:rPr>
                <w:rFonts w:eastAsiaTheme="minorHAnsi"/>
                <w:sz w:val="20"/>
                <w:lang w:val="fr-FR"/>
              </w:rPr>
            </w:pPr>
          </w:p>
        </w:tc>
        <w:tc>
          <w:tcPr>
            <w:tcW w:w="146" w:type="pct"/>
          </w:tcPr>
          <w:p w:rsidR="00C52967" w:rsidRPr="006D7947" w:rsidRDefault="00C52967" w:rsidP="00C52967">
            <w:pPr>
              <w:jc w:val="both"/>
              <w:rPr>
                <w:rFonts w:eastAsiaTheme="minorHAnsi"/>
                <w:sz w:val="20"/>
                <w:lang w:val="fr-FR"/>
              </w:rPr>
            </w:pPr>
          </w:p>
        </w:tc>
        <w:tc>
          <w:tcPr>
            <w:tcW w:w="2573" w:type="pct"/>
          </w:tcPr>
          <w:p w:rsidR="00C52967" w:rsidRPr="006D7947" w:rsidRDefault="00C52967" w:rsidP="00C52967">
            <w:pPr>
              <w:jc w:val="both"/>
              <w:rPr>
                <w:rFonts w:eastAsiaTheme="minorHAnsi"/>
                <w:sz w:val="20"/>
                <w:lang w:val="en-CA"/>
              </w:rPr>
            </w:pPr>
            <w:r w:rsidRPr="006D7947">
              <w:rPr>
                <w:rFonts w:eastAsiaTheme="minorHAnsi"/>
                <w:sz w:val="20"/>
                <w:lang w:val="en-CA"/>
              </w:rPr>
              <w:t>Demande d’autorisation d’appel déposée</w:t>
            </w:r>
          </w:p>
          <w:p w:rsidR="00C52967" w:rsidRPr="006D7947" w:rsidRDefault="00C52967" w:rsidP="00C52967">
            <w:pPr>
              <w:jc w:val="both"/>
              <w:rPr>
                <w:rFonts w:eastAsiaTheme="minorHAnsi"/>
                <w:sz w:val="20"/>
                <w:lang w:val="en-CA"/>
              </w:rPr>
            </w:pPr>
          </w:p>
        </w:tc>
      </w:tr>
    </w:tbl>
    <w:p w:rsidR="00C52967" w:rsidRPr="006D7947" w:rsidRDefault="00C52967" w:rsidP="00C52967">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C52967" w:rsidRPr="006D7947" w:rsidTr="004D5A62">
        <w:tc>
          <w:tcPr>
            <w:tcW w:w="543" w:type="pct"/>
          </w:tcPr>
          <w:p w:rsidR="00C52967" w:rsidRPr="006D7947" w:rsidRDefault="00C52967" w:rsidP="00C52967">
            <w:pPr>
              <w:jc w:val="both"/>
              <w:rPr>
                <w:rFonts w:eastAsiaTheme="minorHAnsi"/>
                <w:sz w:val="20"/>
                <w:lang w:val="en-CA"/>
              </w:rPr>
            </w:pPr>
            <w:r w:rsidRPr="006D7947">
              <w:rPr>
                <w:rFonts w:eastAsiaTheme="minorHAnsi"/>
                <w:b/>
                <w:sz w:val="20"/>
                <w:lang w:val="en-CA"/>
              </w:rPr>
              <w:t>34531</w:t>
            </w:r>
          </w:p>
        </w:tc>
        <w:tc>
          <w:tcPr>
            <w:tcW w:w="4457" w:type="pct"/>
            <w:gridSpan w:val="3"/>
          </w:tcPr>
          <w:p w:rsidR="00C52967" w:rsidRPr="006D7947" w:rsidRDefault="00C52967" w:rsidP="00C52967">
            <w:pPr>
              <w:jc w:val="both"/>
              <w:rPr>
                <w:rFonts w:eastAsiaTheme="minorHAnsi"/>
                <w:b/>
                <w:sz w:val="20"/>
                <w:lang w:val="en-CA"/>
              </w:rPr>
            </w:pPr>
            <w:r w:rsidRPr="006D7947">
              <w:rPr>
                <w:rFonts w:eastAsiaTheme="minorHAnsi"/>
                <w:b/>
                <w:sz w:val="20"/>
                <w:lang w:val="en-CA"/>
              </w:rPr>
              <w:t>Vytautas ("Chuck") Baltrusaitis v. Her Majesty the Queen in Right of Ontario, Attorney General of Ontario</w:t>
            </w:r>
          </w:p>
          <w:p w:rsidR="00C52967" w:rsidRPr="006D7947" w:rsidRDefault="00C52967" w:rsidP="00C52967">
            <w:pPr>
              <w:jc w:val="both"/>
              <w:rPr>
                <w:rFonts w:eastAsiaTheme="minorHAnsi"/>
                <w:sz w:val="20"/>
                <w:lang w:val="en-CA"/>
              </w:rPr>
            </w:pPr>
            <w:r w:rsidRPr="006D7947">
              <w:rPr>
                <w:rFonts w:eastAsiaTheme="minorHAnsi"/>
                <w:sz w:val="20"/>
                <w:lang w:val="en-CA"/>
              </w:rPr>
              <w:t>(Ont.) (Civil) (By Leave)</w:t>
            </w:r>
          </w:p>
        </w:tc>
      </w:tr>
      <w:tr w:rsidR="00C52967" w:rsidRPr="006D7947" w:rsidTr="004D5A62">
        <w:tc>
          <w:tcPr>
            <w:tcW w:w="5000" w:type="pct"/>
            <w:gridSpan w:val="4"/>
          </w:tcPr>
          <w:p w:rsidR="00C52967" w:rsidRPr="006D7947" w:rsidRDefault="00C52967" w:rsidP="00C52967">
            <w:pPr>
              <w:jc w:val="both"/>
              <w:rPr>
                <w:rFonts w:eastAsiaTheme="minorHAnsi"/>
                <w:i/>
                <w:sz w:val="20"/>
                <w:lang w:val="en-CA"/>
              </w:rPr>
            </w:pPr>
            <w:r w:rsidRPr="006D7947">
              <w:rPr>
                <w:rFonts w:eastAsiaTheme="minorHAnsi"/>
                <w:sz w:val="20"/>
                <w:lang w:val="en-CA"/>
              </w:rPr>
              <w:t xml:space="preserve">Charter of Rights – Constitutional law – Right to liberty – Right to equality – Damages – Limitation of actions – Jailhouse informant evidence – Whether the Court of Appeal erred in law in finding no merit to the </w:t>
            </w:r>
            <w:r w:rsidRPr="006D7947">
              <w:rPr>
                <w:rFonts w:eastAsiaTheme="minorHAnsi"/>
                <w:i/>
                <w:sz w:val="20"/>
                <w:lang w:val="en-CA"/>
              </w:rPr>
              <w:t>Charter</w:t>
            </w:r>
            <w:r w:rsidRPr="006D7947">
              <w:rPr>
                <w:rFonts w:eastAsiaTheme="minorHAnsi"/>
                <w:sz w:val="20"/>
                <w:lang w:val="en-CA"/>
              </w:rPr>
              <w:t xml:space="preserve"> claims – Whether errors of the Court of Appeal constitute issues of national and public importance – </w:t>
            </w:r>
            <w:r w:rsidRPr="006D7947">
              <w:rPr>
                <w:rFonts w:eastAsiaTheme="minorHAnsi"/>
                <w:i/>
                <w:sz w:val="20"/>
                <w:lang w:val="en-CA"/>
              </w:rPr>
              <w:t>Canadian Charter of Rights and Freedoms ss. 7,15, 24.</w:t>
            </w:r>
          </w:p>
          <w:p w:rsidR="00C52967" w:rsidRPr="006D7947" w:rsidRDefault="00C52967" w:rsidP="00C52967">
            <w:pPr>
              <w:jc w:val="both"/>
              <w:rPr>
                <w:rFonts w:eastAsiaTheme="minorHAnsi"/>
                <w:i/>
                <w:sz w:val="20"/>
                <w:lang w:val="en-CA"/>
              </w:rPr>
            </w:pPr>
          </w:p>
          <w:p w:rsidR="00C52967" w:rsidRPr="006D7947" w:rsidRDefault="00C52967" w:rsidP="00C52967">
            <w:pPr>
              <w:jc w:val="both"/>
              <w:rPr>
                <w:rFonts w:eastAsiaTheme="minorHAnsi"/>
                <w:sz w:val="20"/>
                <w:lang w:val="en-CA"/>
              </w:rPr>
            </w:pPr>
            <w:r w:rsidRPr="006D7947">
              <w:rPr>
                <w:rFonts w:eastAsiaTheme="minorHAnsi"/>
                <w:sz w:val="20"/>
                <w:lang w:val="en-CA"/>
              </w:rPr>
              <w:t xml:space="preserve">In September 1994, the applicant, “Chuck” Baltrusaitis, was arrested and charged with the murder of his brother.  He was convicted in 1996.  He successfully appealed his conviction and was acquitted after a second trial, however by that time he had spent nine and a half years in jail despite remaining innocent of any crime.  There is no indication that Mr. Baltrusaitis ever applied for bail.  He claimed that his incarceration without criminal responsibility was a breach of ss. 7 and 15 of the </w:t>
            </w:r>
            <w:r w:rsidRPr="006D7947">
              <w:rPr>
                <w:rFonts w:eastAsiaTheme="minorHAnsi"/>
                <w:i/>
                <w:sz w:val="20"/>
                <w:lang w:val="en-CA"/>
              </w:rPr>
              <w:t>Charter</w:t>
            </w:r>
            <w:r w:rsidRPr="006D7947">
              <w:rPr>
                <w:rFonts w:eastAsiaTheme="minorHAnsi"/>
                <w:sz w:val="20"/>
                <w:lang w:val="en-CA"/>
              </w:rPr>
              <w:t xml:space="preserve">, for which he sought damages under s. 24.  He also sought a declaration that the admissibility of jailhouse informant evidence is contrary to the </w:t>
            </w:r>
            <w:r w:rsidRPr="006D7947">
              <w:rPr>
                <w:rFonts w:eastAsiaTheme="minorHAnsi"/>
                <w:i/>
                <w:sz w:val="20"/>
                <w:lang w:val="en-CA"/>
              </w:rPr>
              <w:t>Charter</w:t>
            </w:r>
            <w:r w:rsidRPr="006D7947">
              <w:rPr>
                <w:rFonts w:eastAsiaTheme="minorHAnsi"/>
                <w:sz w:val="20"/>
                <w:lang w:val="en-CA"/>
              </w:rPr>
              <w:t xml:space="preserve">; the evidence of a jailhouse informant was admitted and relied upon by the Crown in the first trial but not in the second trial.  The Crown took the position that the action was statute barred. </w:t>
            </w:r>
          </w:p>
          <w:p w:rsidR="00C52967" w:rsidRPr="006D7947" w:rsidRDefault="00C52967" w:rsidP="00C52967">
            <w:pPr>
              <w:jc w:val="both"/>
              <w:rPr>
                <w:rFonts w:eastAsiaTheme="minorHAnsi"/>
                <w:sz w:val="20"/>
                <w:lang w:val="en-CA"/>
              </w:rPr>
            </w:pPr>
          </w:p>
          <w:p w:rsidR="00C52967" w:rsidRPr="006D7947" w:rsidRDefault="00C52967" w:rsidP="00C52967">
            <w:pPr>
              <w:jc w:val="both"/>
              <w:rPr>
                <w:rFonts w:eastAsiaTheme="minorHAnsi"/>
                <w:sz w:val="20"/>
                <w:lang w:val="en-CA"/>
              </w:rPr>
            </w:pPr>
            <w:r w:rsidRPr="006D7947">
              <w:rPr>
                <w:rFonts w:eastAsiaTheme="minorHAnsi"/>
                <w:sz w:val="20"/>
                <w:lang w:val="en-CA"/>
              </w:rPr>
              <w:t xml:space="preserve">The Ontario Superior Court of Justice dismissed the action and declined to make a declaration with respect to jailhouse informant evidence, finding the action was statute barred and, in any event, there was no merit to the </w:t>
            </w:r>
            <w:r w:rsidRPr="006D7947">
              <w:rPr>
                <w:rFonts w:eastAsiaTheme="minorHAnsi"/>
                <w:i/>
                <w:sz w:val="20"/>
                <w:lang w:val="en-CA"/>
              </w:rPr>
              <w:t>Charter</w:t>
            </w:r>
            <w:r w:rsidRPr="006D7947">
              <w:rPr>
                <w:rFonts w:eastAsiaTheme="minorHAnsi"/>
                <w:sz w:val="20"/>
                <w:lang w:val="en-CA"/>
              </w:rPr>
              <w:t xml:space="preserve"> claims.  The Ontario Court of Appeal dismissed the applicant’s appeal.</w:t>
            </w:r>
          </w:p>
        </w:tc>
      </w:tr>
      <w:tr w:rsidR="00C52967" w:rsidRPr="006D7947" w:rsidTr="004D5A62">
        <w:tc>
          <w:tcPr>
            <w:tcW w:w="5000" w:type="pct"/>
            <w:gridSpan w:val="4"/>
          </w:tcPr>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January 28, 2011</w:t>
            </w:r>
          </w:p>
          <w:p w:rsidR="00C52967" w:rsidRPr="006D7947" w:rsidRDefault="00C52967" w:rsidP="00C52967">
            <w:pPr>
              <w:jc w:val="both"/>
              <w:rPr>
                <w:rFonts w:eastAsiaTheme="minorHAnsi"/>
                <w:sz w:val="20"/>
                <w:lang w:val="en-CA"/>
              </w:rPr>
            </w:pPr>
            <w:r w:rsidRPr="006D7947">
              <w:rPr>
                <w:rFonts w:eastAsiaTheme="minorHAnsi"/>
                <w:sz w:val="20"/>
                <w:lang w:val="en-CA"/>
              </w:rPr>
              <w:t>Ontario Superior Court of Justice</w:t>
            </w:r>
          </w:p>
          <w:p w:rsidR="00C52967" w:rsidRPr="006D7947" w:rsidRDefault="00C52967" w:rsidP="00C52967">
            <w:pPr>
              <w:jc w:val="both"/>
              <w:rPr>
                <w:rFonts w:eastAsiaTheme="minorHAnsi"/>
                <w:sz w:val="20"/>
                <w:lang w:val="en-CA"/>
              </w:rPr>
            </w:pPr>
            <w:r w:rsidRPr="006D7947">
              <w:rPr>
                <w:rFonts w:eastAsiaTheme="minorHAnsi"/>
                <w:sz w:val="20"/>
                <w:lang w:val="en-CA"/>
              </w:rPr>
              <w:t>(Whitaker J.)</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 xml:space="preserve">Applicant’s action for breach of ss. 7 and 15 of the </w:t>
            </w:r>
            <w:r w:rsidRPr="006D7947">
              <w:rPr>
                <w:rFonts w:eastAsiaTheme="minorHAnsi"/>
                <w:i/>
                <w:sz w:val="20"/>
                <w:lang w:val="en-CA"/>
              </w:rPr>
              <w:t>Charter</w:t>
            </w:r>
            <w:r w:rsidRPr="006D7947">
              <w:rPr>
                <w:rFonts w:eastAsiaTheme="minorHAnsi"/>
                <w:sz w:val="20"/>
                <w:lang w:val="en-CA"/>
              </w:rPr>
              <w:t>, dismissed.</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February 8, 2011</w:t>
            </w:r>
          </w:p>
          <w:p w:rsidR="00C52967" w:rsidRPr="006D7947" w:rsidRDefault="00C52967" w:rsidP="00C52967">
            <w:pPr>
              <w:jc w:val="both"/>
              <w:rPr>
                <w:rFonts w:eastAsiaTheme="minorHAnsi"/>
                <w:sz w:val="20"/>
                <w:lang w:val="en-CA"/>
              </w:rPr>
            </w:pPr>
            <w:r w:rsidRPr="006D7947">
              <w:rPr>
                <w:rFonts w:eastAsiaTheme="minorHAnsi"/>
                <w:sz w:val="20"/>
                <w:lang w:val="en-CA"/>
              </w:rPr>
              <w:t>Ontario Superior Court of Justice</w:t>
            </w:r>
          </w:p>
          <w:p w:rsidR="00C52967" w:rsidRPr="006D7947" w:rsidRDefault="00C52967" w:rsidP="00C52967">
            <w:pPr>
              <w:jc w:val="both"/>
              <w:rPr>
                <w:rFonts w:eastAsiaTheme="minorHAnsi"/>
                <w:sz w:val="20"/>
                <w:lang w:val="en-CA"/>
              </w:rPr>
            </w:pPr>
            <w:r w:rsidRPr="006D7947">
              <w:rPr>
                <w:rFonts w:eastAsiaTheme="minorHAnsi"/>
                <w:sz w:val="20"/>
                <w:lang w:val="en-CA"/>
              </w:rPr>
              <w:t>(Whitaker J.)</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 xml:space="preserve">Costs granted to the respondent, fixed at $25,000. </w:t>
            </w:r>
          </w:p>
          <w:p w:rsidR="00C52967" w:rsidRPr="006D7947" w:rsidRDefault="00C52967" w:rsidP="00C52967">
            <w:pPr>
              <w:jc w:val="both"/>
              <w:rPr>
                <w:rFonts w:eastAsiaTheme="minorHAnsi"/>
                <w:sz w:val="20"/>
                <w:lang w:val="en-CA"/>
              </w:rPr>
            </w:pP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September 21, 2011</w:t>
            </w:r>
          </w:p>
          <w:p w:rsidR="00C52967" w:rsidRPr="006D7947" w:rsidRDefault="00C52967" w:rsidP="00C52967">
            <w:pPr>
              <w:jc w:val="both"/>
              <w:rPr>
                <w:rFonts w:eastAsiaTheme="minorHAnsi"/>
                <w:sz w:val="20"/>
                <w:lang w:val="en-CA"/>
              </w:rPr>
            </w:pPr>
            <w:r w:rsidRPr="006D7947">
              <w:rPr>
                <w:rFonts w:eastAsiaTheme="minorHAnsi"/>
                <w:sz w:val="20"/>
                <w:lang w:val="en-CA"/>
              </w:rPr>
              <w:t>Court of Appeal for Ontario</w:t>
            </w:r>
          </w:p>
          <w:p w:rsidR="00C52967" w:rsidRPr="006D7947" w:rsidRDefault="00C52967" w:rsidP="00C52967">
            <w:pPr>
              <w:jc w:val="both"/>
              <w:rPr>
                <w:rFonts w:eastAsiaTheme="minorHAnsi"/>
                <w:sz w:val="20"/>
                <w:lang w:val="en-CA"/>
              </w:rPr>
            </w:pPr>
            <w:r w:rsidRPr="006D7947">
              <w:rPr>
                <w:rFonts w:eastAsiaTheme="minorHAnsi"/>
                <w:sz w:val="20"/>
                <w:lang w:val="en-CA"/>
              </w:rPr>
              <w:t>(Doherty, Weiler and Laskin JJ.A.)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Applicant’s appeal, dismissed.</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November 18, 2011</w:t>
            </w:r>
          </w:p>
          <w:p w:rsidR="00C52967" w:rsidRPr="006D7947" w:rsidRDefault="00C52967" w:rsidP="00C52967">
            <w:pPr>
              <w:jc w:val="both"/>
              <w:rPr>
                <w:rFonts w:eastAsiaTheme="minorHAnsi"/>
                <w:sz w:val="20"/>
                <w:lang w:val="en-CA"/>
              </w:rPr>
            </w:pPr>
            <w:r w:rsidRPr="006D7947">
              <w:rPr>
                <w:rFonts w:eastAsiaTheme="minorHAnsi"/>
                <w:sz w:val="20"/>
                <w:lang w:val="en-CA"/>
              </w:rPr>
              <w:t>Supreme Court of Canada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Application for leave to appeal, filed.</w:t>
            </w:r>
          </w:p>
          <w:p w:rsidR="00C52967" w:rsidRPr="006D7947" w:rsidRDefault="00C52967" w:rsidP="00C52967">
            <w:pPr>
              <w:jc w:val="both"/>
              <w:rPr>
                <w:rFonts w:eastAsiaTheme="minorHAnsi"/>
                <w:sz w:val="20"/>
                <w:lang w:val="en-CA"/>
              </w:rPr>
            </w:pPr>
          </w:p>
        </w:tc>
      </w:tr>
    </w:tbl>
    <w:p w:rsidR="00C52967" w:rsidRPr="006D7947" w:rsidRDefault="00C52967" w:rsidP="00C52967">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C52967" w:rsidRPr="00EC5AAA" w:rsidTr="004D5A62">
        <w:tc>
          <w:tcPr>
            <w:tcW w:w="543" w:type="pct"/>
          </w:tcPr>
          <w:p w:rsidR="00C52967" w:rsidRPr="006D7947" w:rsidRDefault="00C52967" w:rsidP="00C52967">
            <w:pPr>
              <w:jc w:val="both"/>
              <w:rPr>
                <w:rFonts w:eastAsiaTheme="minorHAnsi"/>
                <w:sz w:val="20"/>
                <w:lang w:val="en-CA"/>
              </w:rPr>
            </w:pPr>
            <w:r w:rsidRPr="006D7947">
              <w:rPr>
                <w:rFonts w:eastAsiaTheme="minorHAnsi"/>
                <w:b/>
                <w:sz w:val="20"/>
                <w:lang w:val="en-CA"/>
              </w:rPr>
              <w:t>34531</w:t>
            </w:r>
          </w:p>
        </w:tc>
        <w:tc>
          <w:tcPr>
            <w:tcW w:w="4457" w:type="pct"/>
            <w:gridSpan w:val="3"/>
          </w:tcPr>
          <w:p w:rsidR="00C52967" w:rsidRPr="00EC5AAA" w:rsidRDefault="00C52967" w:rsidP="00C52967">
            <w:pPr>
              <w:jc w:val="both"/>
              <w:rPr>
                <w:rFonts w:eastAsiaTheme="minorHAnsi"/>
                <w:b/>
                <w:sz w:val="20"/>
                <w:lang w:val="fr-CA"/>
              </w:rPr>
            </w:pPr>
            <w:r w:rsidRPr="00EC5AAA">
              <w:rPr>
                <w:rFonts w:eastAsiaTheme="minorHAnsi"/>
                <w:b/>
                <w:sz w:val="20"/>
                <w:lang w:val="fr-CA"/>
              </w:rPr>
              <w:t xml:space="preserve">Vytautas ("Chuck") Baltrusaitis c. </w:t>
            </w:r>
            <w:r w:rsidR="00EC5AAA" w:rsidRPr="00EC5AAA">
              <w:rPr>
                <w:rFonts w:eastAsiaTheme="minorHAnsi"/>
                <w:b/>
                <w:sz w:val="20"/>
                <w:lang w:val="fr-CA"/>
              </w:rPr>
              <w:t xml:space="preserve">Sa </w:t>
            </w:r>
            <w:r w:rsidRPr="00EC5AAA">
              <w:rPr>
                <w:rFonts w:eastAsiaTheme="minorHAnsi"/>
                <w:b/>
                <w:sz w:val="20"/>
                <w:lang w:val="fr-CA"/>
              </w:rPr>
              <w:t>Majest</w:t>
            </w:r>
            <w:r w:rsidR="00EC5AAA" w:rsidRPr="00EC5AAA">
              <w:rPr>
                <w:rFonts w:eastAsiaTheme="minorHAnsi"/>
                <w:b/>
                <w:sz w:val="20"/>
                <w:lang w:val="fr-CA"/>
              </w:rPr>
              <w:t>é</w:t>
            </w:r>
            <w:r w:rsidRPr="00EC5AAA">
              <w:rPr>
                <w:rFonts w:eastAsiaTheme="minorHAnsi"/>
                <w:b/>
                <w:sz w:val="20"/>
                <w:lang w:val="fr-CA"/>
              </w:rPr>
              <w:t xml:space="preserve"> </w:t>
            </w:r>
            <w:r w:rsidR="00EC5AAA" w:rsidRPr="00EC5AAA">
              <w:rPr>
                <w:rFonts w:eastAsiaTheme="minorHAnsi"/>
                <w:b/>
                <w:sz w:val="20"/>
                <w:lang w:val="fr-CA"/>
              </w:rPr>
              <w:t>la Reine du chef de l’</w:t>
            </w:r>
            <w:r w:rsidRPr="00EC5AAA">
              <w:rPr>
                <w:rFonts w:eastAsiaTheme="minorHAnsi"/>
                <w:b/>
                <w:sz w:val="20"/>
                <w:lang w:val="fr-CA"/>
              </w:rPr>
              <w:t xml:space="preserve">Ontario, </w:t>
            </w:r>
            <w:r w:rsidR="00EC5AAA">
              <w:rPr>
                <w:rFonts w:eastAsiaTheme="minorHAnsi"/>
                <w:b/>
                <w:sz w:val="20"/>
                <w:lang w:val="fr-CA"/>
              </w:rPr>
              <w:t>Procureur général de l'Ontario</w:t>
            </w:r>
          </w:p>
          <w:p w:rsidR="00C52967" w:rsidRPr="00EC5AAA" w:rsidRDefault="00C52967" w:rsidP="00C52967">
            <w:pPr>
              <w:jc w:val="both"/>
              <w:rPr>
                <w:rFonts w:eastAsiaTheme="minorHAnsi"/>
                <w:sz w:val="20"/>
                <w:lang w:val="fr-CA"/>
              </w:rPr>
            </w:pPr>
            <w:r w:rsidRPr="00EC5AAA">
              <w:rPr>
                <w:rFonts w:eastAsiaTheme="minorHAnsi"/>
                <w:sz w:val="20"/>
                <w:lang w:val="fr-CA"/>
              </w:rPr>
              <w:t>(Ont.) (Civile) (Sur autorisation)</w:t>
            </w:r>
          </w:p>
        </w:tc>
      </w:tr>
      <w:tr w:rsidR="00C52967" w:rsidRPr="00686322" w:rsidTr="004D5A62">
        <w:tc>
          <w:tcPr>
            <w:tcW w:w="5000" w:type="pct"/>
            <w:gridSpan w:val="4"/>
          </w:tcPr>
          <w:p w:rsidR="00C52967" w:rsidRPr="006D7947" w:rsidRDefault="00C52967" w:rsidP="00C52967">
            <w:pPr>
              <w:jc w:val="both"/>
              <w:rPr>
                <w:rFonts w:eastAsiaTheme="minorHAnsi"/>
                <w:i/>
                <w:sz w:val="20"/>
                <w:lang w:val="fr-FR"/>
              </w:rPr>
            </w:pPr>
            <w:r w:rsidRPr="006D7947">
              <w:rPr>
                <w:rFonts w:eastAsiaTheme="minorHAnsi"/>
                <w:sz w:val="20"/>
                <w:lang w:val="fr-FR"/>
              </w:rPr>
              <w:t xml:space="preserve">Charte des droits – Droit constitutionnel – Droit à la liberté – Droit à l’égalité – Dommages-intérêts – Prescription des actions – Preuve d’un indicateur incarcéré – La Cour d’appel a-t-elle commis une erreur de droit en n’attribuant aucun fondement aux demandes reposant sur la </w:t>
            </w:r>
            <w:r w:rsidRPr="006D7947">
              <w:rPr>
                <w:rFonts w:eastAsiaTheme="minorHAnsi"/>
                <w:i/>
                <w:sz w:val="20"/>
                <w:lang w:val="fr-FR"/>
              </w:rPr>
              <w:t>Charte</w:t>
            </w:r>
            <w:r w:rsidRPr="006D7947">
              <w:rPr>
                <w:rFonts w:eastAsiaTheme="minorHAnsi"/>
                <w:sz w:val="20"/>
                <w:lang w:val="fr-FR"/>
              </w:rPr>
              <w:t xml:space="preserve">? – Les erreurs reprochées à la Cour d’appel constituent-elles des questions d’importance nationale et publique? – </w:t>
            </w:r>
            <w:r w:rsidRPr="006D7947">
              <w:rPr>
                <w:rFonts w:eastAsiaTheme="minorHAnsi"/>
                <w:i/>
                <w:sz w:val="20"/>
                <w:lang w:val="fr-FR"/>
              </w:rPr>
              <w:t>Charte canadienne des droits et libertés</w:t>
            </w:r>
            <w:r w:rsidRPr="006D7947">
              <w:rPr>
                <w:rFonts w:eastAsiaTheme="minorHAnsi"/>
                <w:sz w:val="20"/>
                <w:lang w:val="fr-FR"/>
              </w:rPr>
              <w:t>, art. 7, 15 et 24.</w:t>
            </w:r>
          </w:p>
          <w:p w:rsidR="00C52967" w:rsidRPr="006D7947" w:rsidRDefault="00C52967" w:rsidP="00C52967">
            <w:pPr>
              <w:jc w:val="both"/>
              <w:rPr>
                <w:rFonts w:eastAsiaTheme="minorHAnsi"/>
                <w:i/>
                <w:sz w:val="20"/>
                <w:lang w:val="fr-FR"/>
              </w:rPr>
            </w:pPr>
          </w:p>
          <w:p w:rsidR="00C52967" w:rsidRPr="006D7947" w:rsidRDefault="00C52967" w:rsidP="00C52967">
            <w:pPr>
              <w:jc w:val="both"/>
              <w:rPr>
                <w:rFonts w:eastAsiaTheme="minorHAnsi"/>
                <w:sz w:val="20"/>
                <w:lang w:val="fr-FR"/>
              </w:rPr>
            </w:pPr>
            <w:r w:rsidRPr="006D7947">
              <w:rPr>
                <w:rFonts w:eastAsiaTheme="minorHAnsi"/>
                <w:sz w:val="20"/>
                <w:lang w:val="fr-FR"/>
              </w:rPr>
              <w:t xml:space="preserve">En septembre 1994, le demandeur, « Chuck » Baltrusaitis, a été arrêté et accusé du meurtre de son frère.  Il a été reconnu coupable en 1996.  Il a fait appel avec succès de sa déclaration de culpabilité et a été acquitté à la suite d’un deuxième procès.  Il avait toutefois passé entre-temps neuf ans et demi en prison même s’il avait toujours été innocent de quelque crime que ce soit.  Rien n’indique que M. Baltrusaitis a demandé à un moment ou l’autre sa mise en liberté sous caution.  Il a prétendu que le fait de l’avoir incarcéré malgré sa non-responsabilité criminelle contrevenait </w:t>
            </w:r>
            <w:proofErr w:type="gramStart"/>
            <w:r w:rsidRPr="006D7947">
              <w:rPr>
                <w:rFonts w:eastAsiaTheme="minorHAnsi"/>
                <w:sz w:val="20"/>
                <w:lang w:val="fr-FR"/>
              </w:rPr>
              <w:t>aux art</w:t>
            </w:r>
            <w:proofErr w:type="gramEnd"/>
            <w:r w:rsidRPr="006D7947">
              <w:rPr>
                <w:rFonts w:eastAsiaTheme="minorHAnsi"/>
                <w:sz w:val="20"/>
                <w:lang w:val="fr-FR"/>
              </w:rPr>
              <w:t xml:space="preserve">. 7 et 15 de la </w:t>
            </w:r>
            <w:r w:rsidRPr="006D7947">
              <w:rPr>
                <w:rFonts w:eastAsiaTheme="minorHAnsi"/>
                <w:i/>
                <w:sz w:val="20"/>
                <w:lang w:val="fr-FR"/>
              </w:rPr>
              <w:t>Charte</w:t>
            </w:r>
            <w:r w:rsidRPr="006D7947">
              <w:rPr>
                <w:rFonts w:eastAsiaTheme="minorHAnsi"/>
                <w:sz w:val="20"/>
                <w:lang w:val="fr-FR"/>
              </w:rPr>
              <w:t xml:space="preserve">, une contravention pour laquelle il a réclamé des dommages-intérêts en vertu de l’art. 24.  Il a aussi demandé un jugement déclarant que l’admissibilité de la preuve d’un indicateur incarcéré est contraire à la </w:t>
            </w:r>
            <w:r w:rsidRPr="006D7947">
              <w:rPr>
                <w:rFonts w:eastAsiaTheme="minorHAnsi"/>
                <w:i/>
                <w:sz w:val="20"/>
                <w:lang w:val="fr-FR"/>
              </w:rPr>
              <w:t>Charte</w:t>
            </w:r>
            <w:r w:rsidRPr="006D7947">
              <w:rPr>
                <w:rFonts w:eastAsiaTheme="minorHAnsi"/>
                <w:sz w:val="20"/>
                <w:lang w:val="fr-FR"/>
              </w:rPr>
              <w:t xml:space="preserve">; la preuve de l’indicateur incarcéré en cause a été admise, et le ministère public l’a invoquée au premier procès, mais non lors du second.  Le ministère public s’est dit d’avis que l’action était prescrite. </w:t>
            </w:r>
          </w:p>
          <w:p w:rsidR="00C52967" w:rsidRPr="006D7947" w:rsidRDefault="00C52967" w:rsidP="00C52967">
            <w:pPr>
              <w:jc w:val="both"/>
              <w:rPr>
                <w:rFonts w:eastAsiaTheme="minorHAnsi"/>
                <w:sz w:val="20"/>
                <w:lang w:val="fr-FR"/>
              </w:rPr>
            </w:pPr>
          </w:p>
          <w:p w:rsidR="00C52967" w:rsidRPr="006D7947" w:rsidRDefault="00C52967" w:rsidP="00C52967">
            <w:pPr>
              <w:jc w:val="both"/>
              <w:rPr>
                <w:rFonts w:eastAsiaTheme="minorHAnsi"/>
                <w:sz w:val="20"/>
                <w:lang w:val="fr-FR"/>
              </w:rPr>
            </w:pPr>
            <w:r w:rsidRPr="006D7947">
              <w:rPr>
                <w:rFonts w:eastAsiaTheme="minorHAnsi"/>
                <w:sz w:val="20"/>
                <w:lang w:val="fr-FR"/>
              </w:rPr>
              <w:t xml:space="preserve">La Cour supérieure de justice de l’Ontario a rejeté l’action et refusé de rendre un jugement déclaratoire quant à la preuve d’un indicateur incarcéré, concluant que l’action était prescrite et qu’en tout état de cause, les demandes reposant sur la </w:t>
            </w:r>
            <w:r w:rsidRPr="006D7947">
              <w:rPr>
                <w:rFonts w:eastAsiaTheme="minorHAnsi"/>
                <w:i/>
                <w:sz w:val="20"/>
                <w:lang w:val="fr-FR"/>
              </w:rPr>
              <w:t>Charte</w:t>
            </w:r>
            <w:r w:rsidRPr="006D7947">
              <w:rPr>
                <w:rFonts w:eastAsiaTheme="minorHAnsi"/>
                <w:sz w:val="20"/>
                <w:lang w:val="fr-FR"/>
              </w:rPr>
              <w:t xml:space="preserve"> étaient dépourvues de fondement.  La Cour d’appel de l’Ontario a rejeté l’appel du demandeur.</w:t>
            </w:r>
          </w:p>
        </w:tc>
      </w:tr>
      <w:tr w:rsidR="00C52967" w:rsidRPr="00686322" w:rsidTr="004D5A62">
        <w:tc>
          <w:tcPr>
            <w:tcW w:w="5000" w:type="pct"/>
            <w:gridSpan w:val="4"/>
          </w:tcPr>
          <w:p w:rsidR="00C52967" w:rsidRPr="006D7947" w:rsidRDefault="00C52967" w:rsidP="00C52967">
            <w:pPr>
              <w:jc w:val="both"/>
              <w:rPr>
                <w:rFonts w:eastAsiaTheme="minorHAnsi"/>
                <w:sz w:val="20"/>
                <w:lang w:val="fr-FR"/>
              </w:rPr>
            </w:pPr>
          </w:p>
        </w:tc>
      </w:tr>
      <w:tr w:rsidR="00C52967" w:rsidRPr="00433941" w:rsidTr="004D5A62">
        <w:tc>
          <w:tcPr>
            <w:tcW w:w="2427" w:type="pct"/>
            <w:gridSpan w:val="2"/>
          </w:tcPr>
          <w:p w:rsidR="00C52967" w:rsidRPr="006D7947" w:rsidRDefault="00C52967" w:rsidP="00C52967">
            <w:pPr>
              <w:jc w:val="both"/>
              <w:rPr>
                <w:rFonts w:eastAsiaTheme="minorHAnsi"/>
                <w:sz w:val="20"/>
                <w:lang w:val="fr-FR"/>
              </w:rPr>
            </w:pPr>
            <w:r w:rsidRPr="006D7947">
              <w:rPr>
                <w:rFonts w:eastAsiaTheme="minorHAnsi"/>
                <w:sz w:val="20"/>
                <w:lang w:val="fr-FR"/>
              </w:rPr>
              <w:t>28 janvier 2011</w:t>
            </w:r>
          </w:p>
          <w:p w:rsidR="00C52967" w:rsidRPr="006D7947" w:rsidRDefault="00C52967" w:rsidP="00C52967">
            <w:pPr>
              <w:jc w:val="both"/>
              <w:rPr>
                <w:rFonts w:eastAsiaTheme="minorHAnsi"/>
                <w:sz w:val="20"/>
                <w:lang w:val="fr-FR"/>
              </w:rPr>
            </w:pPr>
            <w:r w:rsidRPr="006D7947">
              <w:rPr>
                <w:rFonts w:eastAsiaTheme="minorHAnsi"/>
                <w:sz w:val="20"/>
                <w:lang w:val="fr-FR"/>
              </w:rPr>
              <w:t xml:space="preserve">Cour supérieure de justice de l’Ontario </w:t>
            </w:r>
          </w:p>
          <w:p w:rsidR="00C52967" w:rsidRPr="006D7947" w:rsidRDefault="00C52967" w:rsidP="00C52967">
            <w:pPr>
              <w:jc w:val="both"/>
              <w:rPr>
                <w:rFonts w:eastAsiaTheme="minorHAnsi"/>
                <w:sz w:val="20"/>
                <w:lang w:val="en-CA"/>
              </w:rPr>
            </w:pPr>
            <w:r w:rsidRPr="006D7947">
              <w:rPr>
                <w:rFonts w:eastAsiaTheme="minorHAnsi"/>
                <w:sz w:val="20"/>
                <w:lang w:val="en-CA"/>
              </w:rPr>
              <w:t>(Juge Whitaker)</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fr-FR"/>
              </w:rPr>
            </w:pPr>
            <w:r w:rsidRPr="006D7947">
              <w:rPr>
                <w:rFonts w:eastAsiaTheme="minorHAnsi"/>
                <w:sz w:val="20"/>
                <w:lang w:val="fr-FR"/>
              </w:rPr>
              <w:t xml:space="preserve">Action intentée par le demandeur pour violation </w:t>
            </w:r>
            <w:proofErr w:type="gramStart"/>
            <w:r w:rsidRPr="006D7947">
              <w:rPr>
                <w:rFonts w:eastAsiaTheme="minorHAnsi"/>
                <w:sz w:val="20"/>
                <w:lang w:val="fr-FR"/>
              </w:rPr>
              <w:t>des art</w:t>
            </w:r>
            <w:proofErr w:type="gramEnd"/>
            <w:r w:rsidRPr="006D7947">
              <w:rPr>
                <w:rFonts w:eastAsiaTheme="minorHAnsi"/>
                <w:sz w:val="20"/>
                <w:lang w:val="fr-FR"/>
              </w:rPr>
              <w:t xml:space="preserve">. 7 et 15 de la </w:t>
            </w:r>
            <w:r w:rsidRPr="006D7947">
              <w:rPr>
                <w:rFonts w:eastAsiaTheme="minorHAnsi"/>
                <w:i/>
                <w:sz w:val="20"/>
                <w:lang w:val="fr-FR"/>
              </w:rPr>
              <w:t>Charte</w:t>
            </w:r>
            <w:r w:rsidRPr="006D7947">
              <w:rPr>
                <w:rFonts w:eastAsiaTheme="minorHAnsi"/>
                <w:sz w:val="20"/>
                <w:lang w:val="fr-FR"/>
              </w:rPr>
              <w:t>, rejetée.</w:t>
            </w:r>
          </w:p>
          <w:p w:rsidR="00C52967" w:rsidRPr="006D7947" w:rsidRDefault="00C52967" w:rsidP="00C52967">
            <w:pPr>
              <w:jc w:val="both"/>
              <w:rPr>
                <w:rFonts w:eastAsiaTheme="minorHAnsi"/>
                <w:sz w:val="20"/>
                <w:lang w:val="fr-FR"/>
              </w:rPr>
            </w:pPr>
          </w:p>
        </w:tc>
      </w:tr>
      <w:tr w:rsidR="00C52967" w:rsidRPr="00686322" w:rsidTr="004D5A62">
        <w:tc>
          <w:tcPr>
            <w:tcW w:w="2427" w:type="pct"/>
            <w:gridSpan w:val="2"/>
          </w:tcPr>
          <w:p w:rsidR="00C52967" w:rsidRPr="006D7947" w:rsidRDefault="00C52967" w:rsidP="00C52967">
            <w:pPr>
              <w:jc w:val="both"/>
              <w:rPr>
                <w:rFonts w:eastAsiaTheme="minorHAnsi"/>
                <w:sz w:val="20"/>
                <w:lang w:val="fr-FR"/>
              </w:rPr>
            </w:pPr>
            <w:r w:rsidRPr="006D7947">
              <w:rPr>
                <w:rFonts w:eastAsiaTheme="minorHAnsi"/>
                <w:sz w:val="20"/>
                <w:lang w:val="fr-FR"/>
              </w:rPr>
              <w:t>8 février 2011</w:t>
            </w:r>
          </w:p>
          <w:p w:rsidR="00C52967" w:rsidRPr="006D7947" w:rsidRDefault="00C52967" w:rsidP="00C52967">
            <w:pPr>
              <w:jc w:val="both"/>
              <w:rPr>
                <w:rFonts w:eastAsiaTheme="minorHAnsi"/>
                <w:sz w:val="20"/>
                <w:lang w:val="fr-FR"/>
              </w:rPr>
            </w:pPr>
            <w:r w:rsidRPr="006D7947">
              <w:rPr>
                <w:rFonts w:eastAsiaTheme="minorHAnsi"/>
                <w:sz w:val="20"/>
                <w:lang w:val="fr-FR"/>
              </w:rPr>
              <w:t xml:space="preserve">Cour supérieure de justice de l’Ontario </w:t>
            </w:r>
          </w:p>
          <w:p w:rsidR="00C52967" w:rsidRPr="006D7947" w:rsidRDefault="00C52967" w:rsidP="00C52967">
            <w:pPr>
              <w:jc w:val="both"/>
              <w:rPr>
                <w:rFonts w:eastAsiaTheme="minorHAnsi"/>
                <w:sz w:val="20"/>
                <w:lang w:val="en-CA"/>
              </w:rPr>
            </w:pPr>
            <w:r w:rsidRPr="006D7947">
              <w:rPr>
                <w:rFonts w:eastAsiaTheme="minorHAnsi"/>
                <w:sz w:val="20"/>
                <w:lang w:val="en-CA"/>
              </w:rPr>
              <w:t>(Juge Whitaker)</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fr-FR"/>
              </w:rPr>
            </w:pPr>
            <w:r w:rsidRPr="006D7947">
              <w:rPr>
                <w:rFonts w:eastAsiaTheme="minorHAnsi"/>
                <w:sz w:val="20"/>
                <w:lang w:val="fr-FR"/>
              </w:rPr>
              <w:t xml:space="preserve">Dépens de 25 000 $ accordés à la partie intimée. </w:t>
            </w:r>
          </w:p>
          <w:p w:rsidR="00C52967" w:rsidRPr="006D7947" w:rsidRDefault="00C52967" w:rsidP="00C52967">
            <w:pPr>
              <w:jc w:val="both"/>
              <w:rPr>
                <w:rFonts w:eastAsiaTheme="minorHAnsi"/>
                <w:sz w:val="20"/>
                <w:lang w:val="fr-FR"/>
              </w:rPr>
            </w:pPr>
          </w:p>
        </w:tc>
      </w:tr>
      <w:tr w:rsidR="00C52967" w:rsidRPr="006D7947" w:rsidTr="004D5A62">
        <w:tc>
          <w:tcPr>
            <w:tcW w:w="2427" w:type="pct"/>
            <w:gridSpan w:val="2"/>
          </w:tcPr>
          <w:p w:rsidR="00C52967" w:rsidRPr="006D7947" w:rsidRDefault="00C52967" w:rsidP="00C52967">
            <w:pPr>
              <w:jc w:val="both"/>
              <w:rPr>
                <w:rFonts w:eastAsiaTheme="minorHAnsi"/>
                <w:sz w:val="20"/>
                <w:lang w:val="fr-FR"/>
              </w:rPr>
            </w:pPr>
            <w:r w:rsidRPr="006D7947">
              <w:rPr>
                <w:rFonts w:eastAsiaTheme="minorHAnsi"/>
                <w:sz w:val="20"/>
                <w:lang w:val="fr-FR"/>
              </w:rPr>
              <w:t>21 septembre 2011</w:t>
            </w:r>
          </w:p>
          <w:p w:rsidR="00C52967" w:rsidRPr="006D7947" w:rsidRDefault="00C52967" w:rsidP="00C52967">
            <w:pPr>
              <w:jc w:val="both"/>
              <w:rPr>
                <w:rFonts w:eastAsiaTheme="minorHAnsi"/>
                <w:sz w:val="20"/>
                <w:lang w:val="fr-FR"/>
              </w:rPr>
            </w:pPr>
            <w:r w:rsidRPr="006D7947">
              <w:rPr>
                <w:rFonts w:eastAsiaTheme="minorHAnsi"/>
                <w:sz w:val="20"/>
                <w:lang w:val="fr-FR"/>
              </w:rPr>
              <w:t>Cour d’appel de l’Ontario</w:t>
            </w:r>
          </w:p>
          <w:p w:rsidR="00C52967" w:rsidRPr="006D7947" w:rsidRDefault="00C52967" w:rsidP="00C52967">
            <w:pPr>
              <w:jc w:val="both"/>
              <w:rPr>
                <w:rFonts w:eastAsiaTheme="minorHAnsi"/>
                <w:sz w:val="20"/>
                <w:lang w:val="fr-FR"/>
              </w:rPr>
            </w:pPr>
            <w:r w:rsidRPr="006D7947">
              <w:rPr>
                <w:rFonts w:eastAsiaTheme="minorHAnsi"/>
                <w:sz w:val="20"/>
                <w:lang w:val="fr-FR"/>
              </w:rPr>
              <w:t>(Juges Doherty, Weiler et Laskin)</w:t>
            </w:r>
          </w:p>
          <w:p w:rsidR="00C52967" w:rsidRPr="006D7947" w:rsidRDefault="00C52967" w:rsidP="00C52967">
            <w:pPr>
              <w:jc w:val="both"/>
              <w:rPr>
                <w:rFonts w:eastAsiaTheme="minorHAnsi"/>
                <w:sz w:val="20"/>
                <w:lang w:val="fr-FR"/>
              </w:rPr>
            </w:pPr>
          </w:p>
        </w:tc>
        <w:tc>
          <w:tcPr>
            <w:tcW w:w="243" w:type="pct"/>
          </w:tcPr>
          <w:p w:rsidR="00C52967" w:rsidRPr="006D7947" w:rsidRDefault="00C52967" w:rsidP="00C52967">
            <w:pPr>
              <w:jc w:val="both"/>
              <w:rPr>
                <w:rFonts w:eastAsiaTheme="minorHAnsi"/>
                <w:sz w:val="20"/>
                <w:lang w:val="fr-FR"/>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Appel du demandeur rejeté.</w:t>
            </w:r>
          </w:p>
          <w:p w:rsidR="00C52967" w:rsidRPr="006D7947" w:rsidRDefault="00C52967" w:rsidP="00C52967">
            <w:pPr>
              <w:jc w:val="both"/>
              <w:rPr>
                <w:rFonts w:eastAsiaTheme="minorHAnsi"/>
                <w:sz w:val="20"/>
                <w:lang w:val="en-CA"/>
              </w:rPr>
            </w:pPr>
          </w:p>
        </w:tc>
      </w:tr>
      <w:tr w:rsidR="00C52967" w:rsidRPr="006D7947" w:rsidTr="004D5A62">
        <w:tc>
          <w:tcPr>
            <w:tcW w:w="2427" w:type="pct"/>
            <w:gridSpan w:val="2"/>
          </w:tcPr>
          <w:p w:rsidR="00C52967" w:rsidRPr="006D7947" w:rsidRDefault="00C52967" w:rsidP="00C52967">
            <w:pPr>
              <w:jc w:val="both"/>
              <w:rPr>
                <w:rFonts w:eastAsiaTheme="minorHAnsi"/>
                <w:sz w:val="20"/>
                <w:lang w:val="en-CA"/>
              </w:rPr>
            </w:pPr>
            <w:r w:rsidRPr="006D7947">
              <w:rPr>
                <w:rFonts w:eastAsiaTheme="minorHAnsi"/>
                <w:sz w:val="20"/>
                <w:lang w:val="en-CA"/>
              </w:rPr>
              <w:t>18 novembre 2011</w:t>
            </w:r>
          </w:p>
          <w:p w:rsidR="00C52967" w:rsidRPr="006D7947" w:rsidRDefault="00C52967" w:rsidP="00C52967">
            <w:pPr>
              <w:jc w:val="both"/>
              <w:rPr>
                <w:rFonts w:eastAsiaTheme="minorHAnsi"/>
                <w:sz w:val="20"/>
                <w:lang w:val="en-CA"/>
              </w:rPr>
            </w:pPr>
            <w:r w:rsidRPr="006D7947">
              <w:rPr>
                <w:rFonts w:eastAsiaTheme="minorHAnsi"/>
                <w:sz w:val="20"/>
                <w:lang w:val="en-CA"/>
              </w:rPr>
              <w:t>Cour suprême du Canada</w:t>
            </w:r>
          </w:p>
          <w:p w:rsidR="00C52967" w:rsidRPr="006D7947" w:rsidRDefault="00C52967" w:rsidP="00C52967">
            <w:pPr>
              <w:jc w:val="both"/>
              <w:rPr>
                <w:rFonts w:eastAsiaTheme="minorHAnsi"/>
                <w:sz w:val="20"/>
                <w:lang w:val="en-CA"/>
              </w:rPr>
            </w:pPr>
          </w:p>
        </w:tc>
        <w:tc>
          <w:tcPr>
            <w:tcW w:w="243" w:type="pct"/>
          </w:tcPr>
          <w:p w:rsidR="00C52967" w:rsidRPr="006D7947" w:rsidRDefault="00C52967" w:rsidP="00C52967">
            <w:pPr>
              <w:jc w:val="both"/>
              <w:rPr>
                <w:rFonts w:eastAsiaTheme="minorHAnsi"/>
                <w:sz w:val="20"/>
                <w:lang w:val="en-CA"/>
              </w:rPr>
            </w:pPr>
          </w:p>
        </w:tc>
        <w:tc>
          <w:tcPr>
            <w:tcW w:w="2330" w:type="pct"/>
          </w:tcPr>
          <w:p w:rsidR="00C52967" w:rsidRPr="006D7947" w:rsidRDefault="00C52967" w:rsidP="00C52967">
            <w:pPr>
              <w:jc w:val="both"/>
              <w:rPr>
                <w:rFonts w:eastAsiaTheme="minorHAnsi"/>
                <w:sz w:val="20"/>
                <w:lang w:val="en-CA"/>
              </w:rPr>
            </w:pPr>
            <w:r w:rsidRPr="006D7947">
              <w:rPr>
                <w:rFonts w:eastAsiaTheme="minorHAnsi"/>
                <w:sz w:val="20"/>
                <w:lang w:val="en-CA"/>
              </w:rPr>
              <w:t>Demande d’autorisation d’appel déposée.</w:t>
            </w:r>
          </w:p>
          <w:p w:rsidR="00C52967" w:rsidRPr="006D7947" w:rsidRDefault="00C52967" w:rsidP="00C52967">
            <w:pPr>
              <w:jc w:val="both"/>
              <w:rPr>
                <w:rFonts w:eastAsiaTheme="minorHAnsi"/>
                <w:sz w:val="20"/>
                <w:lang w:val="en-CA"/>
              </w:rPr>
            </w:pPr>
          </w:p>
        </w:tc>
      </w:tr>
    </w:tbl>
    <w:p w:rsidR="00C52967" w:rsidRPr="006D7947" w:rsidRDefault="00C52967" w:rsidP="00C52967">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4D5A62" w:rsidRPr="006D7947" w:rsidTr="004D5A62">
        <w:tc>
          <w:tcPr>
            <w:tcW w:w="543" w:type="pct"/>
          </w:tcPr>
          <w:p w:rsidR="004D5A62" w:rsidRPr="006D7947" w:rsidRDefault="004D5A62" w:rsidP="004D5A62">
            <w:pPr>
              <w:jc w:val="both"/>
              <w:rPr>
                <w:rFonts w:eastAsiaTheme="minorHAnsi"/>
                <w:sz w:val="20"/>
                <w:lang w:val="en-CA"/>
              </w:rPr>
            </w:pPr>
            <w:r w:rsidRPr="006D7947">
              <w:rPr>
                <w:rFonts w:eastAsiaTheme="minorHAnsi"/>
                <w:b/>
                <w:sz w:val="20"/>
                <w:lang w:val="en-CA"/>
              </w:rPr>
              <w:t>34602</w:t>
            </w:r>
          </w:p>
        </w:tc>
        <w:tc>
          <w:tcPr>
            <w:tcW w:w="4457" w:type="pct"/>
            <w:gridSpan w:val="3"/>
          </w:tcPr>
          <w:p w:rsidR="004D5A62" w:rsidRPr="006D7947" w:rsidRDefault="004D5A62" w:rsidP="004D5A62">
            <w:pPr>
              <w:jc w:val="both"/>
              <w:rPr>
                <w:rFonts w:eastAsiaTheme="minorHAnsi"/>
                <w:b/>
                <w:sz w:val="20"/>
                <w:lang w:val="en-CA"/>
              </w:rPr>
            </w:pPr>
            <w:r w:rsidRPr="006D7947">
              <w:rPr>
                <w:rFonts w:eastAsiaTheme="minorHAnsi"/>
                <w:b/>
                <w:sz w:val="20"/>
                <w:lang w:val="en-CA"/>
              </w:rPr>
              <w:t>Richard Raîche v. Her Majesty the Queen</w:t>
            </w:r>
          </w:p>
          <w:p w:rsidR="004D5A62" w:rsidRPr="006D7947" w:rsidRDefault="004D5A62" w:rsidP="00CF4702">
            <w:pPr>
              <w:jc w:val="both"/>
              <w:rPr>
                <w:rFonts w:eastAsiaTheme="minorHAnsi"/>
                <w:sz w:val="20"/>
                <w:lang w:val="en-CA"/>
              </w:rPr>
            </w:pPr>
            <w:r w:rsidRPr="006D7947">
              <w:rPr>
                <w:rFonts w:eastAsiaTheme="minorHAnsi"/>
                <w:sz w:val="20"/>
                <w:lang w:val="en-CA"/>
              </w:rPr>
              <w:t>(Que.) (Criminal) (By Leave)</w:t>
            </w:r>
          </w:p>
        </w:tc>
      </w:tr>
      <w:tr w:rsidR="004D5A62" w:rsidRPr="006D7947" w:rsidTr="004D5A62">
        <w:tc>
          <w:tcPr>
            <w:tcW w:w="5000" w:type="pct"/>
            <w:gridSpan w:val="4"/>
          </w:tcPr>
          <w:p w:rsidR="004D5A62" w:rsidRPr="006D7947" w:rsidRDefault="004D5A62" w:rsidP="004D5A62">
            <w:pPr>
              <w:jc w:val="both"/>
              <w:rPr>
                <w:rFonts w:eastAsiaTheme="minorHAnsi"/>
                <w:smallCaps/>
                <w:sz w:val="20"/>
                <w:lang w:val="en-CA"/>
              </w:rPr>
            </w:pPr>
            <w:r w:rsidRPr="006D7947">
              <w:rPr>
                <w:rFonts w:eastAsiaTheme="minorHAnsi"/>
                <w:smallCaps/>
                <w:sz w:val="20"/>
                <w:lang w:val="en-CA"/>
              </w:rPr>
              <w:t>(Sealing Order)</w:t>
            </w:r>
          </w:p>
          <w:p w:rsidR="004D5A62" w:rsidRPr="006D7947" w:rsidRDefault="004D5A62" w:rsidP="004D5A62">
            <w:pPr>
              <w:jc w:val="both"/>
              <w:rPr>
                <w:rFonts w:eastAsiaTheme="minorHAnsi"/>
                <w:sz w:val="20"/>
                <w:lang w:val="en-CA"/>
              </w:rPr>
            </w:pPr>
          </w:p>
          <w:p w:rsidR="004D5A62" w:rsidRPr="006D7947" w:rsidRDefault="004D5A62" w:rsidP="004D5A62">
            <w:pPr>
              <w:jc w:val="both"/>
              <w:rPr>
                <w:rFonts w:eastAsiaTheme="minorHAnsi"/>
                <w:sz w:val="20"/>
                <w:lang w:val="en-CA"/>
              </w:rPr>
            </w:pPr>
            <w:r w:rsidRPr="006D7947">
              <w:rPr>
                <w:rFonts w:eastAsiaTheme="minorHAnsi"/>
                <w:sz w:val="20"/>
                <w:lang w:val="en-CA"/>
              </w:rPr>
              <w:t>Civil procedure – Appeal – Judge requiring applicant to apply for leave from Chief Justice of Superior Court to exercise all his rights of action in Superior Court – Whether motion filed in Superior Court required leave of Chief Justice of Superior Court.</w:t>
            </w:r>
          </w:p>
          <w:p w:rsidR="004D5A62" w:rsidRPr="006D7947" w:rsidRDefault="004D5A62" w:rsidP="004D5A62">
            <w:pPr>
              <w:jc w:val="both"/>
              <w:rPr>
                <w:rFonts w:eastAsiaTheme="minorHAnsi"/>
                <w:sz w:val="20"/>
                <w:lang w:val="en-CA"/>
              </w:rPr>
            </w:pPr>
          </w:p>
        </w:tc>
      </w:tr>
      <w:tr w:rsidR="004D5A62" w:rsidRPr="006D7947" w:rsidTr="004D5A62">
        <w:tc>
          <w:tcPr>
            <w:tcW w:w="5000" w:type="pct"/>
            <w:gridSpan w:val="4"/>
          </w:tcPr>
          <w:p w:rsidR="004D5A62" w:rsidRPr="006D7947" w:rsidRDefault="004D5A62" w:rsidP="004D5A62">
            <w:pPr>
              <w:jc w:val="both"/>
              <w:rPr>
                <w:rFonts w:eastAsiaTheme="minorHAnsi"/>
                <w:sz w:val="20"/>
                <w:lang w:val="en-CA"/>
              </w:rPr>
            </w:pPr>
            <w:r w:rsidRPr="006D7947">
              <w:rPr>
                <w:rFonts w:eastAsiaTheme="minorHAnsi"/>
                <w:sz w:val="20"/>
                <w:lang w:val="en-CA"/>
              </w:rPr>
              <w:t>On January 15, 2004, Mr. Justice Israël Mass declared Mr. Raîche to be a vexatious litigant.  At the same time, he ordered Mr. Raîche not to file any proceeding to institute a suit without written leave from the Chief Justice of the Superior Court or a judge designated by him.  The order also required Mr. Raîche to apply for such leave in order to institute any incidental or interlocutory proceeding, whether directly or indirectly, and to exercise all his rights of action in the Superior Court.  The applicant subsequently tried to present several motions and to have the order for a final stay of proceedings set aside.</w:t>
            </w:r>
          </w:p>
          <w:p w:rsidR="004D5A62" w:rsidRPr="006D7947" w:rsidRDefault="004D5A62"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September 23, 2010</w:t>
            </w:r>
          </w:p>
          <w:p w:rsidR="004D5A62" w:rsidRPr="006D7947" w:rsidRDefault="004D5A62" w:rsidP="004D5A62">
            <w:pPr>
              <w:jc w:val="both"/>
              <w:rPr>
                <w:rFonts w:eastAsiaTheme="minorHAnsi"/>
                <w:sz w:val="20"/>
                <w:lang w:val="en-CA"/>
              </w:rPr>
            </w:pPr>
            <w:r w:rsidRPr="006D7947">
              <w:rPr>
                <w:rFonts w:eastAsiaTheme="minorHAnsi"/>
                <w:sz w:val="20"/>
                <w:lang w:val="en-CA"/>
              </w:rPr>
              <w:t>Quebec Superior Court (Criminal Division)</w:t>
            </w:r>
          </w:p>
          <w:p w:rsidR="004D5A62" w:rsidRPr="006D7947" w:rsidRDefault="004D5A62" w:rsidP="004D5A62">
            <w:pPr>
              <w:jc w:val="both"/>
              <w:rPr>
                <w:rFonts w:eastAsiaTheme="minorHAnsi"/>
                <w:sz w:val="20"/>
                <w:lang w:val="en-CA"/>
              </w:rPr>
            </w:pPr>
            <w:r w:rsidRPr="006D7947">
              <w:rPr>
                <w:rFonts w:eastAsiaTheme="minorHAnsi"/>
                <w:sz w:val="20"/>
                <w:lang w:val="en-CA"/>
              </w:rPr>
              <w:t>Wilbrod Décarie J.</w:t>
            </w:r>
          </w:p>
        </w:tc>
        <w:tc>
          <w:tcPr>
            <w:tcW w:w="243" w:type="pct"/>
          </w:tcPr>
          <w:p w:rsidR="004D5A62" w:rsidRPr="006D7947" w:rsidRDefault="004D5A62" w:rsidP="004D5A62">
            <w:pPr>
              <w:jc w:val="both"/>
              <w:rPr>
                <w:rFonts w:eastAsiaTheme="minorHAnsi"/>
                <w:sz w:val="20"/>
                <w:lang w:val="en-CA"/>
              </w:rPr>
            </w:pPr>
          </w:p>
        </w:tc>
        <w:tc>
          <w:tcPr>
            <w:tcW w:w="2330" w:type="pct"/>
          </w:tcPr>
          <w:p w:rsidR="004D5A62" w:rsidRDefault="004D5A62" w:rsidP="004D5A62">
            <w:pPr>
              <w:jc w:val="both"/>
              <w:rPr>
                <w:rFonts w:eastAsiaTheme="minorHAnsi"/>
                <w:sz w:val="20"/>
                <w:lang w:val="en-CA"/>
              </w:rPr>
            </w:pPr>
            <w:r w:rsidRPr="006D7947">
              <w:rPr>
                <w:rFonts w:eastAsiaTheme="minorHAnsi"/>
                <w:sz w:val="20"/>
                <w:lang w:val="en-CA"/>
              </w:rPr>
              <w:t>Applications for leave dated April 22, 2010 (to present motion of March 22, 2010) and May 13, 2010 (to set aside order for final stay of proceedings) dismissed</w:t>
            </w:r>
          </w:p>
          <w:p w:rsidR="0079598A" w:rsidRPr="006D7947" w:rsidRDefault="0079598A"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August 19, 2011</w:t>
            </w:r>
          </w:p>
          <w:p w:rsidR="004D5A62" w:rsidRPr="006D7947" w:rsidRDefault="004D5A62" w:rsidP="004D5A62">
            <w:pPr>
              <w:jc w:val="both"/>
              <w:rPr>
                <w:rFonts w:eastAsiaTheme="minorHAnsi"/>
                <w:sz w:val="20"/>
                <w:lang w:val="en-CA"/>
              </w:rPr>
            </w:pPr>
            <w:r w:rsidRPr="006D7947">
              <w:rPr>
                <w:rFonts w:eastAsiaTheme="minorHAnsi"/>
                <w:sz w:val="20"/>
                <w:lang w:val="en-CA"/>
              </w:rPr>
              <w:t>Quebec Superior Court</w:t>
            </w:r>
          </w:p>
          <w:p w:rsidR="004D5A62" w:rsidRPr="006D7947" w:rsidRDefault="004D5A62" w:rsidP="004D5A62">
            <w:pPr>
              <w:jc w:val="both"/>
              <w:rPr>
                <w:rFonts w:eastAsiaTheme="minorHAnsi"/>
                <w:sz w:val="20"/>
                <w:lang w:val="en-CA"/>
              </w:rPr>
            </w:pPr>
            <w:r w:rsidRPr="006D7947">
              <w:rPr>
                <w:rFonts w:eastAsiaTheme="minorHAnsi"/>
                <w:sz w:val="20"/>
                <w:lang w:val="en-CA"/>
              </w:rPr>
              <w:t>(Charbonneau J.)</w:t>
            </w:r>
          </w:p>
          <w:p w:rsidR="004D5A62" w:rsidRPr="006D7947" w:rsidRDefault="004D5A62" w:rsidP="004D5A62">
            <w:pPr>
              <w:jc w:val="both"/>
              <w:rPr>
                <w:rFonts w:eastAsiaTheme="minorHAnsi"/>
                <w:sz w:val="20"/>
                <w:lang w:val="en-CA"/>
              </w:rPr>
            </w:pPr>
          </w:p>
        </w:tc>
        <w:tc>
          <w:tcPr>
            <w:tcW w:w="243" w:type="pct"/>
          </w:tcPr>
          <w:p w:rsidR="004D5A62" w:rsidRPr="006D7947" w:rsidRDefault="004D5A62" w:rsidP="004D5A62">
            <w:pPr>
              <w:jc w:val="both"/>
              <w:rPr>
                <w:rFonts w:eastAsiaTheme="minorHAnsi"/>
                <w:sz w:val="20"/>
                <w:lang w:val="en-CA"/>
              </w:rPr>
            </w:pPr>
          </w:p>
        </w:tc>
        <w:tc>
          <w:tcPr>
            <w:tcW w:w="2330" w:type="pct"/>
          </w:tcPr>
          <w:p w:rsidR="004D5A62" w:rsidRPr="006D7947" w:rsidRDefault="004D5A62" w:rsidP="004D5A62">
            <w:pPr>
              <w:jc w:val="both"/>
              <w:rPr>
                <w:rFonts w:eastAsiaTheme="minorHAnsi"/>
                <w:sz w:val="20"/>
                <w:lang w:val="en-CA"/>
              </w:rPr>
            </w:pPr>
            <w:r w:rsidRPr="006D7947">
              <w:rPr>
                <w:rFonts w:eastAsiaTheme="minorHAnsi"/>
                <w:sz w:val="20"/>
                <w:lang w:val="en-CA"/>
              </w:rPr>
              <w:t>Motion to reopen pre</w:t>
            </w:r>
            <w:r w:rsidRPr="006D7947">
              <w:rPr>
                <w:rFonts w:eastAsiaTheme="minorHAnsi"/>
                <w:sz w:val="20"/>
                <w:lang w:val="en-CA"/>
              </w:rPr>
              <w:noBreakHyphen/>
              <w:t>inquiry declared non</w:t>
            </w:r>
            <w:r w:rsidRPr="006D7947">
              <w:rPr>
                <w:rFonts w:eastAsiaTheme="minorHAnsi"/>
                <w:sz w:val="20"/>
                <w:lang w:val="en-CA"/>
              </w:rPr>
              <w:noBreakHyphen/>
              <w:t>existent</w:t>
            </w:r>
          </w:p>
          <w:p w:rsidR="004D5A62" w:rsidRPr="006D7947" w:rsidRDefault="004D5A62"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October 6, 2011</w:t>
            </w:r>
          </w:p>
          <w:p w:rsidR="004D5A62" w:rsidRPr="006D7947" w:rsidRDefault="004D5A62" w:rsidP="004D5A62">
            <w:pPr>
              <w:jc w:val="both"/>
              <w:rPr>
                <w:rFonts w:eastAsiaTheme="minorHAnsi"/>
                <w:sz w:val="20"/>
                <w:lang w:val="en-CA"/>
              </w:rPr>
            </w:pPr>
            <w:r w:rsidRPr="006D7947">
              <w:rPr>
                <w:rFonts w:eastAsiaTheme="minorHAnsi"/>
                <w:sz w:val="20"/>
                <w:lang w:val="en-CA"/>
              </w:rPr>
              <w:t>Quebec Court of Appeal (Montréal)</w:t>
            </w:r>
          </w:p>
          <w:p w:rsidR="004D5A62" w:rsidRPr="006D7947" w:rsidRDefault="004D5A62" w:rsidP="004D5A62">
            <w:pPr>
              <w:jc w:val="both"/>
              <w:rPr>
                <w:rFonts w:eastAsiaTheme="minorHAnsi"/>
                <w:sz w:val="20"/>
                <w:lang w:val="en-CA"/>
              </w:rPr>
            </w:pPr>
            <w:r w:rsidRPr="006D7947">
              <w:rPr>
                <w:rFonts w:eastAsiaTheme="minorHAnsi"/>
                <w:sz w:val="20"/>
                <w:lang w:val="en-CA"/>
              </w:rPr>
              <w:t>(Beauregard, Rochon and Wagner JJ.A. (500</w:t>
            </w:r>
            <w:r w:rsidRPr="006D7947">
              <w:rPr>
                <w:rFonts w:eastAsiaTheme="minorHAnsi"/>
                <w:sz w:val="20"/>
                <w:lang w:val="en-CA"/>
              </w:rPr>
              <w:noBreakHyphen/>
              <w:t>10-004996-104))</w:t>
            </w:r>
          </w:p>
          <w:p w:rsidR="004D5A62" w:rsidRPr="006D7947" w:rsidRDefault="004D5A62" w:rsidP="004D5A62">
            <w:pPr>
              <w:jc w:val="both"/>
              <w:rPr>
                <w:rFonts w:eastAsiaTheme="minorHAnsi"/>
                <w:sz w:val="20"/>
                <w:lang w:val="en-CA"/>
              </w:rPr>
            </w:pPr>
            <w:r w:rsidRPr="006D7947">
              <w:rPr>
                <w:rFonts w:eastAsiaTheme="minorHAnsi"/>
                <w:sz w:val="20"/>
                <w:lang w:val="en-CA"/>
              </w:rPr>
              <w:t>2011 QCCA 1897</w:t>
            </w:r>
          </w:p>
          <w:p w:rsidR="004D5A62" w:rsidRPr="006D7947" w:rsidRDefault="004D5A62" w:rsidP="004D5A62">
            <w:pPr>
              <w:jc w:val="both"/>
              <w:rPr>
                <w:rFonts w:eastAsiaTheme="minorHAnsi"/>
                <w:sz w:val="20"/>
                <w:lang w:val="en-CA"/>
              </w:rPr>
            </w:pPr>
          </w:p>
        </w:tc>
        <w:tc>
          <w:tcPr>
            <w:tcW w:w="243" w:type="pct"/>
          </w:tcPr>
          <w:p w:rsidR="004D5A62" w:rsidRPr="006D7947" w:rsidRDefault="004D5A62" w:rsidP="004D5A62">
            <w:pPr>
              <w:jc w:val="both"/>
              <w:rPr>
                <w:rFonts w:eastAsiaTheme="minorHAnsi"/>
                <w:sz w:val="20"/>
                <w:lang w:val="en-CA"/>
              </w:rPr>
            </w:pPr>
          </w:p>
        </w:tc>
        <w:tc>
          <w:tcPr>
            <w:tcW w:w="2330" w:type="pct"/>
          </w:tcPr>
          <w:p w:rsidR="004D5A62" w:rsidRPr="006D7947" w:rsidRDefault="004D5A62" w:rsidP="004D5A62">
            <w:pPr>
              <w:jc w:val="both"/>
              <w:rPr>
                <w:rFonts w:eastAsiaTheme="minorHAnsi"/>
                <w:sz w:val="20"/>
                <w:lang w:val="en-CA"/>
              </w:rPr>
            </w:pPr>
            <w:r w:rsidRPr="006D7947">
              <w:rPr>
                <w:rFonts w:eastAsiaTheme="minorHAnsi"/>
                <w:sz w:val="20"/>
                <w:lang w:val="en-CA"/>
              </w:rPr>
              <w:t>Appeal dismissed</w:t>
            </w:r>
          </w:p>
          <w:p w:rsidR="004D5A62" w:rsidRPr="006D7947" w:rsidRDefault="004D5A62"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December 20, 2011</w:t>
            </w:r>
          </w:p>
          <w:p w:rsidR="004D5A62" w:rsidRPr="006D7947" w:rsidRDefault="004D5A62" w:rsidP="004D5A62">
            <w:pPr>
              <w:jc w:val="both"/>
              <w:rPr>
                <w:rFonts w:eastAsiaTheme="minorHAnsi"/>
                <w:sz w:val="20"/>
                <w:lang w:val="en-CA"/>
              </w:rPr>
            </w:pPr>
            <w:r w:rsidRPr="006D7947">
              <w:rPr>
                <w:rFonts w:eastAsiaTheme="minorHAnsi"/>
                <w:sz w:val="20"/>
                <w:lang w:val="en-CA"/>
              </w:rPr>
              <w:t>Supreme Court of Canada</w:t>
            </w:r>
          </w:p>
          <w:p w:rsidR="004D5A62" w:rsidRPr="006D7947" w:rsidRDefault="004D5A62" w:rsidP="004D5A62">
            <w:pPr>
              <w:jc w:val="both"/>
              <w:rPr>
                <w:rFonts w:eastAsiaTheme="minorHAnsi"/>
                <w:sz w:val="20"/>
                <w:lang w:val="en-CA"/>
              </w:rPr>
            </w:pPr>
          </w:p>
        </w:tc>
        <w:tc>
          <w:tcPr>
            <w:tcW w:w="243" w:type="pct"/>
          </w:tcPr>
          <w:p w:rsidR="004D5A62" w:rsidRPr="006D7947" w:rsidRDefault="004D5A62" w:rsidP="004D5A62">
            <w:pPr>
              <w:jc w:val="both"/>
              <w:rPr>
                <w:rFonts w:eastAsiaTheme="minorHAnsi"/>
                <w:sz w:val="20"/>
                <w:lang w:val="en-CA"/>
              </w:rPr>
            </w:pPr>
          </w:p>
        </w:tc>
        <w:tc>
          <w:tcPr>
            <w:tcW w:w="2330" w:type="pct"/>
          </w:tcPr>
          <w:p w:rsidR="004D5A62" w:rsidRPr="006D7947" w:rsidRDefault="004D5A62" w:rsidP="004D5A62">
            <w:pPr>
              <w:jc w:val="both"/>
              <w:rPr>
                <w:rFonts w:eastAsiaTheme="minorHAnsi"/>
                <w:sz w:val="20"/>
                <w:lang w:val="en-CA"/>
              </w:rPr>
            </w:pPr>
            <w:r w:rsidRPr="006D7947">
              <w:rPr>
                <w:rFonts w:eastAsiaTheme="minorHAnsi"/>
                <w:sz w:val="20"/>
                <w:lang w:val="en-CA"/>
              </w:rPr>
              <w:t>Applications to extend time to serve and file application for leave and application for leave to appeal filed</w:t>
            </w:r>
          </w:p>
          <w:p w:rsidR="004D5A62" w:rsidRPr="006D7947" w:rsidRDefault="004D5A62" w:rsidP="004D5A62">
            <w:pPr>
              <w:jc w:val="both"/>
              <w:rPr>
                <w:rFonts w:eastAsiaTheme="minorHAnsi"/>
                <w:sz w:val="20"/>
                <w:lang w:val="en-CA"/>
              </w:rPr>
            </w:pPr>
          </w:p>
        </w:tc>
      </w:tr>
    </w:tbl>
    <w:p w:rsidR="004D5A62" w:rsidRPr="006D7947" w:rsidRDefault="004D5A62" w:rsidP="004D5A62">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4D5A62" w:rsidRPr="006D7947" w:rsidTr="004D5A62">
        <w:tc>
          <w:tcPr>
            <w:tcW w:w="543" w:type="pct"/>
          </w:tcPr>
          <w:p w:rsidR="004D5A62" w:rsidRPr="006D7947" w:rsidRDefault="004D5A62" w:rsidP="004D5A62">
            <w:pPr>
              <w:jc w:val="both"/>
              <w:rPr>
                <w:rFonts w:eastAsiaTheme="minorHAnsi"/>
                <w:sz w:val="20"/>
                <w:lang w:val="fr-CA"/>
              </w:rPr>
            </w:pPr>
            <w:r w:rsidRPr="006D7947">
              <w:rPr>
                <w:rFonts w:eastAsiaTheme="minorHAnsi"/>
                <w:b/>
                <w:sz w:val="20"/>
                <w:lang w:val="en-CA"/>
              </w:rPr>
              <w:t>34602</w:t>
            </w:r>
          </w:p>
        </w:tc>
        <w:tc>
          <w:tcPr>
            <w:tcW w:w="4457" w:type="pct"/>
            <w:gridSpan w:val="3"/>
          </w:tcPr>
          <w:p w:rsidR="004D5A62" w:rsidRPr="006D7947" w:rsidRDefault="004D5A62" w:rsidP="004D5A62">
            <w:pPr>
              <w:jc w:val="both"/>
              <w:rPr>
                <w:rFonts w:eastAsiaTheme="minorHAnsi"/>
                <w:b/>
                <w:sz w:val="20"/>
                <w:lang w:val="fr-CA"/>
              </w:rPr>
            </w:pPr>
            <w:r w:rsidRPr="006D7947">
              <w:rPr>
                <w:rFonts w:eastAsiaTheme="minorHAnsi"/>
                <w:b/>
                <w:sz w:val="20"/>
                <w:lang w:val="fr-CA"/>
              </w:rPr>
              <w:t>Richard Raîche c. Sa Majesté la Reine</w:t>
            </w:r>
          </w:p>
          <w:p w:rsidR="004D5A62" w:rsidRPr="006D7947" w:rsidRDefault="004D5A62" w:rsidP="004D5A62">
            <w:pPr>
              <w:jc w:val="both"/>
              <w:rPr>
                <w:rFonts w:eastAsiaTheme="minorHAnsi"/>
                <w:sz w:val="20"/>
                <w:lang w:val="fr-CA"/>
              </w:rPr>
            </w:pPr>
            <w:r w:rsidRPr="006D7947">
              <w:rPr>
                <w:rFonts w:eastAsiaTheme="minorHAnsi"/>
                <w:sz w:val="20"/>
                <w:lang w:val="fr-CA"/>
              </w:rPr>
              <w:t>(Qc) (Criminelle) (Autorisation)</w:t>
            </w:r>
          </w:p>
        </w:tc>
      </w:tr>
      <w:tr w:rsidR="004D5A62" w:rsidRPr="00686322" w:rsidTr="004D5A62">
        <w:tc>
          <w:tcPr>
            <w:tcW w:w="5000" w:type="pct"/>
            <w:gridSpan w:val="4"/>
          </w:tcPr>
          <w:p w:rsidR="004D5A62" w:rsidRPr="006D7947" w:rsidRDefault="004D5A62" w:rsidP="004D5A62">
            <w:pPr>
              <w:jc w:val="both"/>
              <w:rPr>
                <w:rFonts w:eastAsiaTheme="minorHAnsi"/>
                <w:smallCaps/>
                <w:sz w:val="20"/>
                <w:lang w:val="fr-CA"/>
              </w:rPr>
            </w:pPr>
            <w:r w:rsidRPr="006D7947">
              <w:rPr>
                <w:rFonts w:eastAsiaTheme="minorHAnsi"/>
                <w:smallCaps/>
                <w:sz w:val="20"/>
                <w:lang w:val="fr-CA"/>
              </w:rPr>
              <w:t>(Ordonnance de mise sous scellés)</w:t>
            </w:r>
          </w:p>
          <w:p w:rsidR="004D5A62" w:rsidRPr="006D7947" w:rsidRDefault="004D5A62" w:rsidP="004D5A62">
            <w:pPr>
              <w:jc w:val="both"/>
              <w:rPr>
                <w:rFonts w:eastAsiaTheme="minorHAnsi"/>
                <w:sz w:val="20"/>
                <w:lang w:val="fr-CA"/>
              </w:rPr>
            </w:pPr>
          </w:p>
          <w:p w:rsidR="004D5A62" w:rsidRPr="006D7947" w:rsidRDefault="004D5A62" w:rsidP="004D5A62">
            <w:pPr>
              <w:jc w:val="both"/>
              <w:rPr>
                <w:rFonts w:eastAsiaTheme="minorHAnsi"/>
                <w:sz w:val="20"/>
                <w:lang w:val="fr-CA"/>
              </w:rPr>
            </w:pPr>
            <w:r w:rsidRPr="006D7947">
              <w:rPr>
                <w:rFonts w:eastAsiaTheme="minorHAnsi"/>
                <w:sz w:val="20"/>
                <w:lang w:val="fr-CA"/>
              </w:rPr>
              <w:t>Procédure civile – Appel  - Un juge a imposé au demandeur de demander la permission au juge en chef de la Cour supérieure pour exercer tous ses droits d’ester devant la Cour supérieure – Est-ce que la requête déposée en Cour supérieure nécessitait la permission du juge en chef de la Cour supérieure.</w:t>
            </w:r>
          </w:p>
          <w:p w:rsidR="004D5A62" w:rsidRPr="006D7947" w:rsidRDefault="004D5A62" w:rsidP="004D5A62">
            <w:pPr>
              <w:jc w:val="both"/>
              <w:rPr>
                <w:rFonts w:eastAsiaTheme="minorHAnsi"/>
                <w:sz w:val="20"/>
                <w:lang w:val="fr-CA"/>
              </w:rPr>
            </w:pPr>
          </w:p>
        </w:tc>
      </w:tr>
      <w:tr w:rsidR="004D5A62" w:rsidRPr="00686322" w:rsidTr="004D5A62">
        <w:tc>
          <w:tcPr>
            <w:tcW w:w="5000" w:type="pct"/>
            <w:gridSpan w:val="4"/>
          </w:tcPr>
          <w:p w:rsidR="004D5A62" w:rsidRPr="006D7947" w:rsidRDefault="004D5A62" w:rsidP="004D5A62">
            <w:pPr>
              <w:jc w:val="both"/>
              <w:rPr>
                <w:rFonts w:eastAsiaTheme="minorHAnsi"/>
                <w:sz w:val="20"/>
                <w:lang w:val="fr-CA"/>
              </w:rPr>
            </w:pPr>
            <w:r w:rsidRPr="006D7947">
              <w:rPr>
                <w:rFonts w:eastAsiaTheme="minorHAnsi"/>
                <w:sz w:val="20"/>
                <w:lang w:val="fr-CA"/>
              </w:rPr>
              <w:t>Le 15 janvier 2004, le juge Israël Mass déclare M. Raîche  plaideur vexatoire. Par la même occasion, il ordonne à M. Raîche de n’intenter aucune procédure introductive d’instance sans l’autorisation écrite du juge en chef de la Cour supérieure ou d’un juge désigné par lui. L’ordonnance imposait également à M.  Raîche  de demander cette  permission pour toute procédure incidente, interlocutoire, directement ou indirectement et afin d’exercer tous ses droits d’ester devant la Cour supérieure. Le demandeur tente  subséquemment de présenter plusieurs requêtes et d’annuler l’ordonnance de l’arrêt définitif des procédures.</w:t>
            </w:r>
          </w:p>
          <w:p w:rsidR="004D5A62" w:rsidRPr="006D7947" w:rsidRDefault="004D5A62" w:rsidP="004D5A62">
            <w:pPr>
              <w:jc w:val="both"/>
              <w:rPr>
                <w:rFonts w:eastAsiaTheme="minorHAnsi"/>
                <w:sz w:val="20"/>
                <w:lang w:val="fr-CA"/>
              </w:rPr>
            </w:pPr>
          </w:p>
        </w:tc>
      </w:tr>
      <w:tr w:rsidR="004D5A62" w:rsidRPr="00686322"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23 septembre 2010</w:t>
            </w:r>
          </w:p>
          <w:p w:rsidR="004D5A62" w:rsidRPr="006D7947" w:rsidRDefault="004D5A62" w:rsidP="004D5A62">
            <w:pPr>
              <w:jc w:val="both"/>
              <w:rPr>
                <w:rFonts w:eastAsiaTheme="minorHAnsi"/>
                <w:sz w:val="20"/>
                <w:lang w:val="fr-CA"/>
              </w:rPr>
            </w:pPr>
            <w:r w:rsidRPr="006D7947">
              <w:rPr>
                <w:rFonts w:eastAsiaTheme="minorHAnsi"/>
                <w:sz w:val="20"/>
                <w:lang w:val="fr-CA"/>
              </w:rPr>
              <w:t>Cour supérieure du Québec (Chambre criminelle)</w:t>
            </w:r>
          </w:p>
          <w:p w:rsidR="004D5A62" w:rsidRPr="006D7947" w:rsidRDefault="004D5A62" w:rsidP="004D5A62">
            <w:pPr>
              <w:jc w:val="both"/>
              <w:rPr>
                <w:rFonts w:eastAsiaTheme="minorHAnsi"/>
                <w:sz w:val="20"/>
                <w:lang w:val="fr-CA"/>
              </w:rPr>
            </w:pPr>
            <w:r w:rsidRPr="006D7947">
              <w:rPr>
                <w:rFonts w:eastAsiaTheme="minorHAnsi"/>
                <w:sz w:val="20"/>
                <w:lang w:val="fr-CA"/>
              </w:rPr>
              <w:t>Le juge Wilbrod Décarie</w:t>
            </w:r>
          </w:p>
        </w:tc>
        <w:tc>
          <w:tcPr>
            <w:tcW w:w="243" w:type="pct"/>
          </w:tcPr>
          <w:p w:rsidR="004D5A62" w:rsidRPr="006D7947" w:rsidRDefault="004D5A62" w:rsidP="004D5A62">
            <w:pPr>
              <w:jc w:val="both"/>
              <w:rPr>
                <w:rFonts w:eastAsiaTheme="minorHAnsi"/>
                <w:sz w:val="20"/>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Rejette les demandes d’autorisation datées du 22 avril (pour être autorisé à présenter requête du 22 mars  2010) et du 13 mai 2010 (visant l’annulation de l’ordonnance de l’arrêt définitif des procédures).</w:t>
            </w:r>
          </w:p>
          <w:p w:rsidR="004D5A62" w:rsidRPr="006D7947" w:rsidRDefault="004D5A62" w:rsidP="004D5A62">
            <w:pPr>
              <w:jc w:val="both"/>
              <w:rPr>
                <w:rFonts w:eastAsiaTheme="minorHAnsi"/>
                <w:sz w:val="20"/>
                <w:lang w:val="fr-CA"/>
              </w:rPr>
            </w:pPr>
          </w:p>
        </w:tc>
      </w:tr>
      <w:tr w:rsidR="004D5A62" w:rsidRPr="00686322"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19 août 2011</w:t>
            </w:r>
          </w:p>
          <w:p w:rsidR="004D5A62" w:rsidRPr="006D7947" w:rsidRDefault="004D5A62" w:rsidP="004D5A62">
            <w:pPr>
              <w:jc w:val="both"/>
              <w:rPr>
                <w:rFonts w:eastAsiaTheme="minorHAnsi"/>
                <w:sz w:val="20"/>
                <w:lang w:val="fr-CA"/>
              </w:rPr>
            </w:pPr>
            <w:r w:rsidRPr="006D7947">
              <w:rPr>
                <w:rFonts w:eastAsiaTheme="minorHAnsi"/>
                <w:sz w:val="20"/>
                <w:lang w:val="fr-CA"/>
              </w:rPr>
              <w:t>Cour supérieure du Québec</w:t>
            </w:r>
          </w:p>
          <w:p w:rsidR="004D5A62" w:rsidRPr="006D7947" w:rsidRDefault="004D5A62" w:rsidP="004D5A62">
            <w:pPr>
              <w:jc w:val="both"/>
              <w:rPr>
                <w:rFonts w:eastAsiaTheme="minorHAnsi"/>
                <w:sz w:val="20"/>
                <w:lang w:val="fr-CA"/>
              </w:rPr>
            </w:pPr>
            <w:r w:rsidRPr="006D7947">
              <w:rPr>
                <w:rFonts w:eastAsiaTheme="minorHAnsi"/>
                <w:sz w:val="20"/>
                <w:lang w:val="fr-CA"/>
              </w:rPr>
              <w:t>(La juge Charbonneau)</w:t>
            </w:r>
          </w:p>
          <w:p w:rsidR="004D5A62" w:rsidRPr="006D7947" w:rsidRDefault="004D5A62" w:rsidP="004D5A62">
            <w:pPr>
              <w:jc w:val="both"/>
              <w:rPr>
                <w:rFonts w:eastAsiaTheme="minorHAnsi"/>
                <w:sz w:val="20"/>
              </w:rPr>
            </w:pPr>
          </w:p>
        </w:tc>
        <w:tc>
          <w:tcPr>
            <w:tcW w:w="243" w:type="pct"/>
          </w:tcPr>
          <w:p w:rsidR="004D5A62" w:rsidRPr="006D7947" w:rsidRDefault="004D5A62" w:rsidP="004D5A62">
            <w:pPr>
              <w:jc w:val="both"/>
              <w:rPr>
                <w:rFonts w:eastAsiaTheme="minorHAnsi"/>
                <w:sz w:val="20"/>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Requête pour la ré-ouverture d’une pré-enquête déclarée inexistante</w:t>
            </w:r>
          </w:p>
          <w:p w:rsidR="004D5A62" w:rsidRPr="006D7947" w:rsidRDefault="004D5A62" w:rsidP="004D5A62">
            <w:pPr>
              <w:jc w:val="both"/>
              <w:rPr>
                <w:rFonts w:eastAsiaTheme="minorHAnsi"/>
                <w:sz w:val="20"/>
                <w:lang w:val="fr-CA"/>
              </w:rPr>
            </w:pPr>
          </w:p>
        </w:tc>
      </w:tr>
      <w:tr w:rsidR="004D5A62" w:rsidRPr="006D7947"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6 octobre 2011</w:t>
            </w:r>
          </w:p>
          <w:p w:rsidR="004D5A62" w:rsidRPr="006D7947" w:rsidRDefault="004D5A62" w:rsidP="004D5A62">
            <w:pPr>
              <w:jc w:val="both"/>
              <w:rPr>
                <w:rFonts w:eastAsiaTheme="minorHAnsi"/>
                <w:sz w:val="20"/>
                <w:lang w:val="fr-CA"/>
              </w:rPr>
            </w:pPr>
            <w:r w:rsidRPr="006D7947">
              <w:rPr>
                <w:rFonts w:eastAsiaTheme="minorHAnsi"/>
                <w:sz w:val="20"/>
                <w:lang w:val="fr-CA"/>
              </w:rPr>
              <w:t>Cour d’appel du Québec (Montréal)</w:t>
            </w:r>
          </w:p>
          <w:p w:rsidR="004D5A62" w:rsidRPr="006D7947" w:rsidRDefault="004D5A62" w:rsidP="004D5A62">
            <w:pPr>
              <w:jc w:val="both"/>
              <w:rPr>
                <w:rFonts w:eastAsiaTheme="minorHAnsi"/>
                <w:sz w:val="20"/>
                <w:lang w:val="fr-CA"/>
              </w:rPr>
            </w:pPr>
            <w:r w:rsidRPr="006D7947">
              <w:rPr>
                <w:rFonts w:eastAsiaTheme="minorHAnsi"/>
                <w:sz w:val="20"/>
                <w:lang w:val="fr-CA"/>
              </w:rPr>
              <w:t>(Les juges Beauregard, Rochon et, Wagner (500-10-004996-104)</w:t>
            </w:r>
          </w:p>
          <w:p w:rsidR="004D5A62" w:rsidRPr="006D7947" w:rsidRDefault="004D5A62" w:rsidP="004D5A62">
            <w:pPr>
              <w:jc w:val="both"/>
              <w:rPr>
                <w:rFonts w:eastAsiaTheme="minorHAnsi"/>
                <w:sz w:val="20"/>
                <w:lang w:val="fr-CA"/>
              </w:rPr>
            </w:pPr>
            <w:r w:rsidRPr="006D7947">
              <w:rPr>
                <w:rFonts w:eastAsiaTheme="minorHAnsi"/>
                <w:sz w:val="20"/>
                <w:lang w:val="fr-CA"/>
              </w:rPr>
              <w:t>2011 QCCA 1897</w:t>
            </w:r>
          </w:p>
          <w:p w:rsidR="004D5A62" w:rsidRPr="006D7947" w:rsidRDefault="004D5A62" w:rsidP="004D5A62">
            <w:pPr>
              <w:jc w:val="both"/>
              <w:rPr>
                <w:rFonts w:eastAsiaTheme="minorHAnsi"/>
                <w:sz w:val="20"/>
                <w:lang w:val="fr-FR"/>
              </w:rPr>
            </w:pPr>
          </w:p>
        </w:tc>
        <w:tc>
          <w:tcPr>
            <w:tcW w:w="243" w:type="pct"/>
          </w:tcPr>
          <w:p w:rsidR="004D5A62" w:rsidRPr="006D7947" w:rsidRDefault="004D5A62" w:rsidP="004D5A62">
            <w:pPr>
              <w:jc w:val="both"/>
              <w:rPr>
                <w:rFonts w:eastAsiaTheme="minorHAnsi"/>
                <w:sz w:val="20"/>
                <w:lang w:val="fr-FR"/>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Appel rejeté</w:t>
            </w:r>
          </w:p>
          <w:p w:rsidR="004D5A62" w:rsidRPr="006D7947" w:rsidRDefault="004D5A62" w:rsidP="004D5A62">
            <w:pPr>
              <w:jc w:val="both"/>
              <w:rPr>
                <w:rFonts w:eastAsiaTheme="minorHAnsi"/>
                <w:sz w:val="20"/>
                <w:lang w:val="fr-CA"/>
              </w:rPr>
            </w:pPr>
          </w:p>
        </w:tc>
      </w:tr>
      <w:tr w:rsidR="004D5A62" w:rsidRPr="00686322"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20 décembre 2011</w:t>
            </w:r>
          </w:p>
          <w:p w:rsidR="004D5A62" w:rsidRPr="006D7947" w:rsidRDefault="004D5A62" w:rsidP="004D5A62">
            <w:pPr>
              <w:jc w:val="both"/>
              <w:rPr>
                <w:rFonts w:eastAsiaTheme="minorHAnsi"/>
                <w:sz w:val="20"/>
                <w:lang w:val="fr-CA"/>
              </w:rPr>
            </w:pPr>
            <w:r w:rsidRPr="006D7947">
              <w:rPr>
                <w:rFonts w:eastAsiaTheme="minorHAnsi"/>
                <w:sz w:val="20"/>
                <w:lang w:val="fr-CA"/>
              </w:rPr>
              <w:t>Cour suprême du Canada</w:t>
            </w:r>
          </w:p>
          <w:p w:rsidR="004D5A62" w:rsidRPr="006D7947" w:rsidRDefault="004D5A62" w:rsidP="004D5A62">
            <w:pPr>
              <w:jc w:val="both"/>
              <w:rPr>
                <w:rFonts w:eastAsiaTheme="minorHAnsi"/>
                <w:sz w:val="20"/>
                <w:lang w:val="fr-FR"/>
              </w:rPr>
            </w:pPr>
          </w:p>
        </w:tc>
        <w:tc>
          <w:tcPr>
            <w:tcW w:w="243" w:type="pct"/>
          </w:tcPr>
          <w:p w:rsidR="004D5A62" w:rsidRPr="006D7947" w:rsidRDefault="004D5A62" w:rsidP="004D5A62">
            <w:pPr>
              <w:jc w:val="both"/>
              <w:rPr>
                <w:rFonts w:eastAsiaTheme="minorHAnsi"/>
                <w:sz w:val="20"/>
                <w:lang w:val="fr-FR"/>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Demandes de prorogation de délai pour signifier et déposer demande d’autorisation et demande d'autorisation d'appel déposées</w:t>
            </w:r>
          </w:p>
          <w:p w:rsidR="004D5A62" w:rsidRPr="006D7947" w:rsidRDefault="004D5A62" w:rsidP="004D5A62">
            <w:pPr>
              <w:jc w:val="both"/>
              <w:rPr>
                <w:rFonts w:eastAsiaTheme="minorHAnsi"/>
                <w:sz w:val="20"/>
                <w:lang w:val="fr-CA"/>
              </w:rPr>
            </w:pPr>
          </w:p>
        </w:tc>
      </w:tr>
    </w:tbl>
    <w:p w:rsidR="004D5A62" w:rsidRPr="006D7947" w:rsidRDefault="004D5A62" w:rsidP="004D5A62">
      <w:pPr>
        <w:jc w:val="both"/>
        <w:rPr>
          <w:rFonts w:eastAsiaTheme="minorHAns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4D5A62" w:rsidRPr="006D7947" w:rsidTr="004D5A62">
        <w:tc>
          <w:tcPr>
            <w:tcW w:w="543" w:type="pct"/>
          </w:tcPr>
          <w:p w:rsidR="004D5A62" w:rsidRPr="006D7947" w:rsidRDefault="004D5A62" w:rsidP="004D5A62">
            <w:pPr>
              <w:jc w:val="both"/>
              <w:rPr>
                <w:rFonts w:eastAsiaTheme="minorHAnsi"/>
                <w:sz w:val="20"/>
                <w:lang w:val="en-CA"/>
              </w:rPr>
            </w:pPr>
            <w:r w:rsidRPr="006D7947">
              <w:rPr>
                <w:rFonts w:eastAsiaTheme="minorHAnsi"/>
                <w:b/>
                <w:sz w:val="20"/>
                <w:lang w:val="en-CA"/>
              </w:rPr>
              <w:t>34603</w:t>
            </w:r>
          </w:p>
        </w:tc>
        <w:tc>
          <w:tcPr>
            <w:tcW w:w="4457" w:type="pct"/>
            <w:gridSpan w:val="3"/>
          </w:tcPr>
          <w:p w:rsidR="004D5A62" w:rsidRPr="006D7947" w:rsidRDefault="004D5A62" w:rsidP="004D5A62">
            <w:pPr>
              <w:jc w:val="both"/>
              <w:rPr>
                <w:rFonts w:eastAsiaTheme="minorHAnsi"/>
                <w:b/>
                <w:sz w:val="20"/>
                <w:lang w:val="en-CA"/>
              </w:rPr>
            </w:pPr>
            <w:r w:rsidRPr="006D7947">
              <w:rPr>
                <w:rFonts w:eastAsiaTheme="minorHAnsi"/>
                <w:b/>
                <w:sz w:val="20"/>
                <w:lang w:val="en-CA"/>
              </w:rPr>
              <w:t>Richard Raîche v. Her Majesty the Queen</w:t>
            </w:r>
          </w:p>
          <w:p w:rsidR="004D5A62" w:rsidRPr="006D7947" w:rsidRDefault="004D5A62" w:rsidP="0079598A">
            <w:pPr>
              <w:jc w:val="both"/>
              <w:rPr>
                <w:rFonts w:eastAsiaTheme="minorHAnsi"/>
                <w:sz w:val="20"/>
                <w:lang w:val="en-CA"/>
              </w:rPr>
            </w:pPr>
            <w:r w:rsidRPr="006D7947">
              <w:rPr>
                <w:rFonts w:eastAsiaTheme="minorHAnsi"/>
                <w:sz w:val="20"/>
                <w:lang w:val="en-CA"/>
              </w:rPr>
              <w:t>(Que.) (Criminal) (By Leave)</w:t>
            </w:r>
          </w:p>
        </w:tc>
      </w:tr>
      <w:tr w:rsidR="004D5A62" w:rsidRPr="006D7947" w:rsidTr="004D5A62">
        <w:tc>
          <w:tcPr>
            <w:tcW w:w="5000" w:type="pct"/>
            <w:gridSpan w:val="4"/>
          </w:tcPr>
          <w:p w:rsidR="004D5A62" w:rsidRPr="006D7947" w:rsidRDefault="004D5A62" w:rsidP="004D5A62">
            <w:pPr>
              <w:jc w:val="both"/>
              <w:rPr>
                <w:rFonts w:eastAsiaTheme="minorHAnsi"/>
                <w:smallCaps/>
                <w:sz w:val="20"/>
                <w:lang w:val="en-CA"/>
              </w:rPr>
            </w:pPr>
            <w:r w:rsidRPr="006D7947">
              <w:rPr>
                <w:rFonts w:eastAsiaTheme="minorHAnsi"/>
                <w:smallCaps/>
                <w:sz w:val="20"/>
                <w:lang w:val="en-CA"/>
              </w:rPr>
              <w:t>(Sealing Order)</w:t>
            </w:r>
          </w:p>
          <w:p w:rsidR="004D5A62" w:rsidRPr="006D7947" w:rsidRDefault="004D5A62" w:rsidP="004D5A62">
            <w:pPr>
              <w:jc w:val="both"/>
              <w:rPr>
                <w:rFonts w:eastAsiaTheme="minorHAnsi"/>
                <w:sz w:val="20"/>
                <w:lang w:val="en-CA"/>
              </w:rPr>
            </w:pPr>
          </w:p>
          <w:p w:rsidR="004D5A62" w:rsidRPr="006D7947" w:rsidRDefault="004D5A62" w:rsidP="004D5A62">
            <w:pPr>
              <w:jc w:val="both"/>
              <w:rPr>
                <w:rFonts w:eastAsiaTheme="minorHAnsi"/>
                <w:sz w:val="20"/>
                <w:lang w:val="en-CA"/>
              </w:rPr>
            </w:pPr>
            <w:r w:rsidRPr="006D7947">
              <w:rPr>
                <w:rFonts w:eastAsiaTheme="minorHAnsi"/>
                <w:sz w:val="20"/>
                <w:lang w:val="en-CA"/>
              </w:rPr>
              <w:t>Civil procedure – Appeal – Judge requiring applicant to apply for leave from Chief Justice of Superior Court to exercise all his rights of action in Superior Court – Whether motion filed in Superior Court required leave of Chief Justice of Superior Court.</w:t>
            </w:r>
          </w:p>
        </w:tc>
      </w:tr>
      <w:tr w:rsidR="004D5A62" w:rsidRPr="006D7947" w:rsidTr="004D5A62">
        <w:tc>
          <w:tcPr>
            <w:tcW w:w="5000" w:type="pct"/>
            <w:gridSpan w:val="4"/>
          </w:tcPr>
          <w:p w:rsidR="004D5A62" w:rsidRPr="006D7947" w:rsidRDefault="004D5A62" w:rsidP="004D5A62">
            <w:pPr>
              <w:jc w:val="both"/>
              <w:rPr>
                <w:rFonts w:eastAsiaTheme="minorHAnsi"/>
                <w:sz w:val="20"/>
                <w:lang w:val="en-CA"/>
              </w:rPr>
            </w:pPr>
          </w:p>
        </w:tc>
      </w:tr>
      <w:tr w:rsidR="004D5A62" w:rsidRPr="006D7947" w:rsidTr="004D5A62">
        <w:tc>
          <w:tcPr>
            <w:tcW w:w="5000" w:type="pct"/>
            <w:gridSpan w:val="4"/>
          </w:tcPr>
          <w:p w:rsidR="004D5A62" w:rsidRPr="006D7947" w:rsidRDefault="004D5A62" w:rsidP="004D5A62">
            <w:pPr>
              <w:jc w:val="both"/>
              <w:rPr>
                <w:rFonts w:eastAsiaTheme="minorHAnsi"/>
                <w:sz w:val="20"/>
                <w:lang w:val="en-CA"/>
              </w:rPr>
            </w:pPr>
            <w:r w:rsidRPr="006D7947">
              <w:rPr>
                <w:rFonts w:eastAsiaTheme="minorHAnsi"/>
                <w:sz w:val="20"/>
                <w:lang w:val="en-CA"/>
              </w:rPr>
              <w:t>On January 15, 2004, Mr. Justice Israël Mass declared Mr. Raîche to be a vexatious litigant.  At the same time, he ordered Mr. Raîche not to file any proceeding to institute a suit without written leave from the Chief Justice of the Superior Court or a judge designated by him.  The order also required Mr. Raîche to apply for such leave in order to institute any incidental or interlocutory proceeding, whether directly or indirectly, and to exercise all his rights of action in the Superior Court.  The applicant subsequently tried to present several motions and to have the order for a final stay of proceedings set aside.</w:t>
            </w:r>
          </w:p>
          <w:p w:rsidR="004D5A62" w:rsidRPr="006D7947" w:rsidRDefault="004D5A62"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September 23, 2010</w:t>
            </w:r>
          </w:p>
          <w:p w:rsidR="004D5A62" w:rsidRPr="006D7947" w:rsidRDefault="004D5A62" w:rsidP="004D5A62">
            <w:pPr>
              <w:jc w:val="both"/>
              <w:rPr>
                <w:rFonts w:eastAsiaTheme="minorHAnsi"/>
                <w:sz w:val="20"/>
                <w:lang w:val="en-CA"/>
              </w:rPr>
            </w:pPr>
            <w:r w:rsidRPr="006D7947">
              <w:rPr>
                <w:rFonts w:eastAsiaTheme="minorHAnsi"/>
                <w:sz w:val="20"/>
                <w:lang w:val="en-CA"/>
              </w:rPr>
              <w:t>Quebec Superior Court (Criminal Division)</w:t>
            </w:r>
          </w:p>
          <w:p w:rsidR="004D5A62" w:rsidRPr="006D7947" w:rsidRDefault="004D5A62" w:rsidP="004D5A62">
            <w:pPr>
              <w:jc w:val="both"/>
              <w:rPr>
                <w:rFonts w:eastAsiaTheme="minorHAnsi"/>
                <w:sz w:val="20"/>
                <w:lang w:val="en-CA"/>
              </w:rPr>
            </w:pPr>
            <w:r w:rsidRPr="006D7947">
              <w:rPr>
                <w:rFonts w:eastAsiaTheme="minorHAnsi"/>
                <w:sz w:val="20"/>
                <w:lang w:val="en-CA"/>
              </w:rPr>
              <w:t>Wilbrod Décarie J.</w:t>
            </w:r>
          </w:p>
        </w:tc>
        <w:tc>
          <w:tcPr>
            <w:tcW w:w="243" w:type="pct"/>
          </w:tcPr>
          <w:p w:rsidR="004D5A62" w:rsidRPr="006D7947" w:rsidRDefault="004D5A62" w:rsidP="004D5A62">
            <w:pPr>
              <w:jc w:val="both"/>
              <w:rPr>
                <w:rFonts w:eastAsiaTheme="minorHAnsi"/>
                <w:sz w:val="20"/>
                <w:lang w:val="en-CA"/>
              </w:rPr>
            </w:pPr>
          </w:p>
        </w:tc>
        <w:tc>
          <w:tcPr>
            <w:tcW w:w="2330" w:type="pct"/>
          </w:tcPr>
          <w:p w:rsidR="004D5A62" w:rsidRPr="006D7947" w:rsidRDefault="004D5A62" w:rsidP="004D5A62">
            <w:pPr>
              <w:jc w:val="both"/>
              <w:rPr>
                <w:rFonts w:eastAsiaTheme="minorHAnsi"/>
                <w:sz w:val="20"/>
                <w:lang w:val="en-CA"/>
              </w:rPr>
            </w:pPr>
            <w:r w:rsidRPr="006D7947">
              <w:rPr>
                <w:rFonts w:eastAsiaTheme="minorHAnsi"/>
                <w:sz w:val="20"/>
                <w:lang w:val="en-CA"/>
              </w:rPr>
              <w:t>Applications for leave dated April 22, 2010 (to present motion of March 22, 2010) and May 13, 2010 (to set aside order for final stay of proceedings) dismissed</w:t>
            </w:r>
          </w:p>
          <w:p w:rsidR="004D5A62" w:rsidRPr="006D7947" w:rsidRDefault="004D5A62"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August 19, 2011</w:t>
            </w:r>
          </w:p>
          <w:p w:rsidR="004D5A62" w:rsidRPr="006D7947" w:rsidRDefault="004D5A62" w:rsidP="004D5A62">
            <w:pPr>
              <w:jc w:val="both"/>
              <w:rPr>
                <w:rFonts w:eastAsiaTheme="minorHAnsi"/>
                <w:sz w:val="20"/>
                <w:lang w:val="en-CA"/>
              </w:rPr>
            </w:pPr>
            <w:r w:rsidRPr="006D7947">
              <w:rPr>
                <w:rFonts w:eastAsiaTheme="minorHAnsi"/>
                <w:sz w:val="20"/>
                <w:lang w:val="en-CA"/>
              </w:rPr>
              <w:t>Quebec Superior Court</w:t>
            </w:r>
          </w:p>
          <w:p w:rsidR="004D5A62" w:rsidRPr="006D7947" w:rsidRDefault="004D5A62" w:rsidP="004D5A62">
            <w:pPr>
              <w:jc w:val="both"/>
              <w:rPr>
                <w:rFonts w:eastAsiaTheme="minorHAnsi"/>
                <w:sz w:val="20"/>
                <w:lang w:val="en-CA"/>
              </w:rPr>
            </w:pPr>
            <w:r w:rsidRPr="006D7947">
              <w:rPr>
                <w:rFonts w:eastAsiaTheme="minorHAnsi"/>
                <w:sz w:val="20"/>
                <w:lang w:val="en-CA"/>
              </w:rPr>
              <w:t>(Charbonneau J.)</w:t>
            </w:r>
          </w:p>
          <w:p w:rsidR="004D5A62" w:rsidRPr="006D7947" w:rsidRDefault="004D5A62" w:rsidP="004D5A62">
            <w:pPr>
              <w:jc w:val="both"/>
              <w:rPr>
                <w:rFonts w:eastAsiaTheme="minorHAnsi"/>
                <w:sz w:val="20"/>
                <w:lang w:val="en-CA"/>
              </w:rPr>
            </w:pPr>
          </w:p>
        </w:tc>
        <w:tc>
          <w:tcPr>
            <w:tcW w:w="243" w:type="pct"/>
          </w:tcPr>
          <w:p w:rsidR="004D5A62" w:rsidRPr="006D7947" w:rsidRDefault="004D5A62" w:rsidP="004D5A62">
            <w:pPr>
              <w:jc w:val="both"/>
              <w:rPr>
                <w:rFonts w:eastAsiaTheme="minorHAnsi"/>
                <w:sz w:val="20"/>
                <w:lang w:val="en-CA"/>
              </w:rPr>
            </w:pPr>
          </w:p>
        </w:tc>
        <w:tc>
          <w:tcPr>
            <w:tcW w:w="2330" w:type="pct"/>
          </w:tcPr>
          <w:p w:rsidR="004D5A62" w:rsidRPr="006D7947" w:rsidRDefault="004D5A62" w:rsidP="004D5A62">
            <w:pPr>
              <w:jc w:val="both"/>
              <w:rPr>
                <w:rFonts w:eastAsiaTheme="minorHAnsi"/>
                <w:sz w:val="20"/>
                <w:lang w:val="en-CA"/>
              </w:rPr>
            </w:pPr>
            <w:r w:rsidRPr="006D7947">
              <w:rPr>
                <w:rFonts w:eastAsiaTheme="minorHAnsi"/>
                <w:sz w:val="20"/>
                <w:lang w:val="en-CA"/>
              </w:rPr>
              <w:t>Motion to reopen pre</w:t>
            </w:r>
            <w:r w:rsidRPr="006D7947">
              <w:rPr>
                <w:rFonts w:eastAsiaTheme="minorHAnsi"/>
                <w:sz w:val="20"/>
                <w:lang w:val="en-CA"/>
              </w:rPr>
              <w:noBreakHyphen/>
              <w:t>inquiry declared non</w:t>
            </w:r>
            <w:r w:rsidRPr="006D7947">
              <w:rPr>
                <w:rFonts w:eastAsiaTheme="minorHAnsi"/>
                <w:sz w:val="20"/>
                <w:lang w:val="en-CA"/>
              </w:rPr>
              <w:noBreakHyphen/>
              <w:t>existent</w:t>
            </w:r>
          </w:p>
          <w:p w:rsidR="004D5A62" w:rsidRPr="006D7947" w:rsidRDefault="004D5A62"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October 6, 2011</w:t>
            </w:r>
          </w:p>
          <w:p w:rsidR="004D5A62" w:rsidRPr="006D7947" w:rsidRDefault="004D5A62" w:rsidP="004D5A62">
            <w:pPr>
              <w:jc w:val="both"/>
              <w:rPr>
                <w:rFonts w:eastAsiaTheme="minorHAnsi"/>
                <w:sz w:val="20"/>
                <w:lang w:val="en-CA"/>
              </w:rPr>
            </w:pPr>
            <w:r w:rsidRPr="006D7947">
              <w:rPr>
                <w:rFonts w:eastAsiaTheme="minorHAnsi"/>
                <w:sz w:val="20"/>
                <w:lang w:val="en-CA"/>
              </w:rPr>
              <w:t>Quebec Court of Appeal (Montréal)</w:t>
            </w:r>
          </w:p>
          <w:p w:rsidR="004D5A62" w:rsidRPr="006D7947" w:rsidRDefault="004D5A62" w:rsidP="004D5A62">
            <w:pPr>
              <w:jc w:val="both"/>
              <w:rPr>
                <w:rFonts w:eastAsiaTheme="minorHAnsi"/>
                <w:sz w:val="20"/>
                <w:lang w:val="en-CA"/>
              </w:rPr>
            </w:pPr>
            <w:r w:rsidRPr="006D7947">
              <w:rPr>
                <w:rFonts w:eastAsiaTheme="minorHAnsi"/>
                <w:sz w:val="20"/>
                <w:lang w:val="en-CA"/>
              </w:rPr>
              <w:t>(Beauregard, Rochon and Wagner JJ.A.)</w:t>
            </w:r>
          </w:p>
          <w:p w:rsidR="004D5A62" w:rsidRPr="006D7947" w:rsidRDefault="004D5A62" w:rsidP="004D5A62">
            <w:pPr>
              <w:jc w:val="both"/>
              <w:rPr>
                <w:rFonts w:eastAsiaTheme="minorHAnsi"/>
                <w:sz w:val="20"/>
                <w:lang w:val="en-CA"/>
              </w:rPr>
            </w:pPr>
          </w:p>
        </w:tc>
        <w:tc>
          <w:tcPr>
            <w:tcW w:w="243" w:type="pct"/>
          </w:tcPr>
          <w:p w:rsidR="004D5A62" w:rsidRPr="006D7947" w:rsidRDefault="004D5A62" w:rsidP="004D5A62">
            <w:pPr>
              <w:jc w:val="both"/>
              <w:rPr>
                <w:rFonts w:eastAsiaTheme="minorHAnsi"/>
                <w:sz w:val="20"/>
                <w:lang w:val="en-CA"/>
              </w:rPr>
            </w:pPr>
          </w:p>
        </w:tc>
        <w:tc>
          <w:tcPr>
            <w:tcW w:w="2330" w:type="pct"/>
          </w:tcPr>
          <w:p w:rsidR="004D5A62" w:rsidRPr="006D7947" w:rsidRDefault="004D5A62" w:rsidP="004D5A62">
            <w:pPr>
              <w:jc w:val="both"/>
              <w:rPr>
                <w:rFonts w:eastAsiaTheme="minorHAnsi"/>
                <w:sz w:val="20"/>
                <w:lang w:val="en-CA"/>
              </w:rPr>
            </w:pPr>
            <w:r w:rsidRPr="006D7947">
              <w:rPr>
                <w:rFonts w:eastAsiaTheme="minorHAnsi"/>
                <w:sz w:val="20"/>
                <w:lang w:val="en-CA"/>
              </w:rPr>
              <w:t>Appeal dismissed</w:t>
            </w:r>
          </w:p>
          <w:p w:rsidR="004D5A62" w:rsidRPr="006D7947" w:rsidRDefault="004D5A62"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December 20, 2011</w:t>
            </w:r>
          </w:p>
          <w:p w:rsidR="004D5A62" w:rsidRPr="006D7947" w:rsidRDefault="004D5A62" w:rsidP="004D5A62">
            <w:pPr>
              <w:jc w:val="both"/>
              <w:rPr>
                <w:rFonts w:eastAsiaTheme="minorHAnsi"/>
                <w:sz w:val="20"/>
                <w:lang w:val="en-CA"/>
              </w:rPr>
            </w:pPr>
            <w:r w:rsidRPr="006D7947">
              <w:rPr>
                <w:rFonts w:eastAsiaTheme="minorHAnsi"/>
                <w:sz w:val="20"/>
                <w:lang w:val="en-CA"/>
              </w:rPr>
              <w:t>Supreme Court of Canada</w:t>
            </w:r>
          </w:p>
          <w:p w:rsidR="004D5A62" w:rsidRPr="006D7947" w:rsidRDefault="004D5A62" w:rsidP="004D5A62">
            <w:pPr>
              <w:jc w:val="both"/>
              <w:rPr>
                <w:rFonts w:eastAsiaTheme="minorHAnsi"/>
                <w:sz w:val="20"/>
                <w:lang w:val="en-CA"/>
              </w:rPr>
            </w:pPr>
          </w:p>
        </w:tc>
        <w:tc>
          <w:tcPr>
            <w:tcW w:w="243" w:type="pct"/>
          </w:tcPr>
          <w:p w:rsidR="004D5A62" w:rsidRPr="006D7947" w:rsidRDefault="004D5A62" w:rsidP="004D5A62">
            <w:pPr>
              <w:jc w:val="both"/>
              <w:rPr>
                <w:rFonts w:eastAsiaTheme="minorHAnsi"/>
                <w:sz w:val="20"/>
                <w:lang w:val="en-CA"/>
              </w:rPr>
            </w:pPr>
          </w:p>
        </w:tc>
        <w:tc>
          <w:tcPr>
            <w:tcW w:w="2330" w:type="pct"/>
          </w:tcPr>
          <w:p w:rsidR="004D5A62" w:rsidRPr="006D7947" w:rsidRDefault="004D5A62" w:rsidP="004D5A62">
            <w:pPr>
              <w:jc w:val="both"/>
              <w:rPr>
                <w:rFonts w:eastAsiaTheme="minorHAnsi"/>
                <w:sz w:val="20"/>
                <w:lang w:val="en-CA"/>
              </w:rPr>
            </w:pPr>
            <w:r w:rsidRPr="006D7947">
              <w:rPr>
                <w:rFonts w:eastAsiaTheme="minorHAnsi"/>
                <w:sz w:val="20"/>
                <w:lang w:val="en-CA"/>
              </w:rPr>
              <w:t>Applications to extend time to serve and file application for leave to appeal and application for leave to appeal filed</w:t>
            </w:r>
          </w:p>
          <w:p w:rsidR="004D5A62" w:rsidRPr="006D7947" w:rsidRDefault="004D5A62" w:rsidP="004D5A62">
            <w:pPr>
              <w:jc w:val="both"/>
              <w:rPr>
                <w:rFonts w:eastAsiaTheme="minorHAnsi"/>
                <w:sz w:val="20"/>
                <w:lang w:val="en-CA"/>
              </w:rPr>
            </w:pPr>
          </w:p>
        </w:tc>
      </w:tr>
    </w:tbl>
    <w:p w:rsidR="004D5A62" w:rsidRPr="006D7947" w:rsidRDefault="004D5A62" w:rsidP="004D5A62">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4D5A62" w:rsidRPr="006D7947" w:rsidTr="004D5A62">
        <w:tc>
          <w:tcPr>
            <w:tcW w:w="543" w:type="pct"/>
          </w:tcPr>
          <w:p w:rsidR="004D5A62" w:rsidRPr="006D7947" w:rsidRDefault="004D5A62" w:rsidP="004D5A62">
            <w:pPr>
              <w:jc w:val="both"/>
              <w:rPr>
                <w:rFonts w:eastAsiaTheme="minorHAnsi"/>
                <w:sz w:val="20"/>
                <w:lang w:val="fr-CA"/>
              </w:rPr>
            </w:pPr>
            <w:r w:rsidRPr="006D7947">
              <w:rPr>
                <w:rFonts w:eastAsiaTheme="minorHAnsi"/>
                <w:b/>
                <w:sz w:val="20"/>
                <w:lang w:val="en-CA"/>
              </w:rPr>
              <w:t>34603</w:t>
            </w:r>
          </w:p>
        </w:tc>
        <w:tc>
          <w:tcPr>
            <w:tcW w:w="4457" w:type="pct"/>
            <w:gridSpan w:val="3"/>
          </w:tcPr>
          <w:p w:rsidR="004D5A62" w:rsidRPr="006D7947" w:rsidRDefault="004D5A62" w:rsidP="004D5A62">
            <w:pPr>
              <w:jc w:val="both"/>
              <w:rPr>
                <w:rFonts w:eastAsiaTheme="minorHAnsi"/>
                <w:b/>
                <w:sz w:val="20"/>
                <w:lang w:val="fr-CA"/>
              </w:rPr>
            </w:pPr>
            <w:r w:rsidRPr="006D7947">
              <w:rPr>
                <w:rFonts w:eastAsiaTheme="minorHAnsi"/>
                <w:b/>
                <w:sz w:val="20"/>
                <w:lang w:val="fr-CA"/>
              </w:rPr>
              <w:t>Richard Raîche c. Sa Majesté la Reine</w:t>
            </w:r>
          </w:p>
          <w:p w:rsidR="004D5A62" w:rsidRPr="006D7947" w:rsidRDefault="004D5A62" w:rsidP="004D5A62">
            <w:pPr>
              <w:jc w:val="both"/>
              <w:rPr>
                <w:rFonts w:eastAsiaTheme="minorHAnsi"/>
                <w:sz w:val="20"/>
                <w:lang w:val="fr-CA"/>
              </w:rPr>
            </w:pPr>
            <w:r w:rsidRPr="006D7947">
              <w:rPr>
                <w:rFonts w:eastAsiaTheme="minorHAnsi"/>
                <w:sz w:val="20"/>
                <w:lang w:val="fr-CA"/>
              </w:rPr>
              <w:t>(Qc) (Criminelle) (Autorisation)</w:t>
            </w:r>
          </w:p>
        </w:tc>
      </w:tr>
      <w:tr w:rsidR="004D5A62" w:rsidRPr="00686322" w:rsidTr="004D5A62">
        <w:tc>
          <w:tcPr>
            <w:tcW w:w="5000" w:type="pct"/>
            <w:gridSpan w:val="4"/>
          </w:tcPr>
          <w:p w:rsidR="004D5A62" w:rsidRPr="006D7947" w:rsidRDefault="004D5A62" w:rsidP="004D5A62">
            <w:pPr>
              <w:jc w:val="both"/>
              <w:rPr>
                <w:rFonts w:eastAsiaTheme="minorHAnsi"/>
                <w:smallCaps/>
                <w:sz w:val="20"/>
                <w:lang w:val="fr-CA"/>
              </w:rPr>
            </w:pPr>
            <w:r w:rsidRPr="006D7947">
              <w:rPr>
                <w:rFonts w:eastAsiaTheme="minorHAnsi"/>
                <w:smallCaps/>
                <w:sz w:val="20"/>
                <w:lang w:val="fr-CA"/>
              </w:rPr>
              <w:t>(Ordonnance de mise sous scellés)</w:t>
            </w:r>
          </w:p>
          <w:p w:rsidR="004D5A62" w:rsidRPr="006D7947" w:rsidRDefault="004D5A62" w:rsidP="004D5A62">
            <w:pPr>
              <w:jc w:val="both"/>
              <w:rPr>
                <w:rFonts w:eastAsiaTheme="minorHAnsi"/>
                <w:sz w:val="20"/>
                <w:lang w:val="fr-CA"/>
              </w:rPr>
            </w:pPr>
          </w:p>
          <w:p w:rsidR="004D5A62" w:rsidRPr="006D7947" w:rsidRDefault="004D5A62" w:rsidP="004D5A62">
            <w:pPr>
              <w:jc w:val="both"/>
              <w:rPr>
                <w:rFonts w:eastAsiaTheme="minorHAnsi"/>
                <w:sz w:val="20"/>
                <w:lang w:val="fr-CA"/>
              </w:rPr>
            </w:pPr>
            <w:r w:rsidRPr="006D7947">
              <w:rPr>
                <w:rFonts w:eastAsiaTheme="minorHAnsi"/>
                <w:sz w:val="20"/>
                <w:lang w:val="fr-CA"/>
              </w:rPr>
              <w:t>Procédure civile – Appel – Un juge a imposé au demandeur de demander la permission au juge en chef de la Cour supérieure pour exercer tous ses droits d’ester devant la Cour supérieure – Est-ce que la requête déposée en Cour supérieure nécessitait la permission du juge en chef de la Cour supérieure.</w:t>
            </w:r>
          </w:p>
        </w:tc>
      </w:tr>
      <w:tr w:rsidR="004D5A62" w:rsidRPr="00686322" w:rsidTr="004D5A62">
        <w:tc>
          <w:tcPr>
            <w:tcW w:w="5000" w:type="pct"/>
            <w:gridSpan w:val="4"/>
          </w:tcPr>
          <w:p w:rsidR="004D5A62" w:rsidRPr="006D7947" w:rsidRDefault="004D5A62" w:rsidP="004D5A62">
            <w:pPr>
              <w:jc w:val="both"/>
              <w:rPr>
                <w:rFonts w:eastAsiaTheme="minorHAnsi"/>
                <w:sz w:val="20"/>
                <w:lang w:val="fr-CA"/>
              </w:rPr>
            </w:pPr>
          </w:p>
        </w:tc>
      </w:tr>
      <w:tr w:rsidR="004D5A62" w:rsidRPr="00686322" w:rsidTr="004D5A62">
        <w:tc>
          <w:tcPr>
            <w:tcW w:w="5000" w:type="pct"/>
            <w:gridSpan w:val="4"/>
          </w:tcPr>
          <w:p w:rsidR="004D5A62" w:rsidRPr="006D7947" w:rsidRDefault="004D5A62" w:rsidP="004D5A62">
            <w:pPr>
              <w:jc w:val="both"/>
              <w:rPr>
                <w:rFonts w:eastAsiaTheme="minorHAnsi"/>
                <w:sz w:val="20"/>
                <w:lang w:val="fr-CA"/>
              </w:rPr>
            </w:pPr>
            <w:r w:rsidRPr="006D7947">
              <w:rPr>
                <w:rFonts w:eastAsiaTheme="minorHAnsi"/>
                <w:sz w:val="20"/>
                <w:lang w:val="fr-CA"/>
              </w:rPr>
              <w:t>Le 15 janvier 2004, le juge Israël Mass déclare M. Raîche  plaideur vexatoire. Par la même occasion, il ordonne à M. Raîche de n’intenter aucune procédure introductive d’instance sans l’autorisation écrite du juge en chef de la Cour supérieure ou d’un juge désigné par lui. L’ordonnance imposait également à M.  Raîche  de demander cette  permission pour toute procédure incidente, interlocutoire, directement ou indirectement et afin d’exercer tous ses droits d’ester devant la Cour supérieure. Le demandeur tente  subséquemment de présenter plusieurs requêtes et d’annuler l’ordonnance de l’arrêt définitif des procédures.</w:t>
            </w:r>
          </w:p>
          <w:p w:rsidR="004D5A62" w:rsidRPr="006D7947" w:rsidRDefault="004D5A62" w:rsidP="004D5A62">
            <w:pPr>
              <w:jc w:val="both"/>
              <w:rPr>
                <w:rFonts w:eastAsiaTheme="minorHAnsi"/>
                <w:sz w:val="20"/>
                <w:lang w:val="fr-CA"/>
              </w:rPr>
            </w:pPr>
          </w:p>
        </w:tc>
      </w:tr>
      <w:tr w:rsidR="004D5A62" w:rsidRPr="00686322"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23 septembre 2010</w:t>
            </w:r>
          </w:p>
          <w:p w:rsidR="004D5A62" w:rsidRPr="006D7947" w:rsidRDefault="004D5A62" w:rsidP="004D5A62">
            <w:pPr>
              <w:jc w:val="both"/>
              <w:rPr>
                <w:rFonts w:eastAsiaTheme="minorHAnsi"/>
                <w:sz w:val="20"/>
                <w:lang w:val="fr-CA"/>
              </w:rPr>
            </w:pPr>
            <w:r w:rsidRPr="006D7947">
              <w:rPr>
                <w:rFonts w:eastAsiaTheme="minorHAnsi"/>
                <w:sz w:val="20"/>
                <w:lang w:val="fr-CA"/>
              </w:rPr>
              <w:t>Cour supérieure du Québec (Chambre criminelle)</w:t>
            </w:r>
          </w:p>
          <w:p w:rsidR="004D5A62" w:rsidRPr="006D7947" w:rsidRDefault="004D5A62" w:rsidP="004D5A62">
            <w:pPr>
              <w:jc w:val="both"/>
              <w:rPr>
                <w:rFonts w:eastAsiaTheme="minorHAnsi"/>
                <w:sz w:val="20"/>
                <w:lang w:val="fr-CA"/>
              </w:rPr>
            </w:pPr>
            <w:r w:rsidRPr="006D7947">
              <w:rPr>
                <w:rFonts w:eastAsiaTheme="minorHAnsi"/>
                <w:sz w:val="20"/>
                <w:lang w:val="fr-CA"/>
              </w:rPr>
              <w:t>Le juge Wilbrod Décarie</w:t>
            </w:r>
          </w:p>
        </w:tc>
        <w:tc>
          <w:tcPr>
            <w:tcW w:w="243" w:type="pct"/>
          </w:tcPr>
          <w:p w:rsidR="004D5A62" w:rsidRPr="006D7947" w:rsidRDefault="004D5A62" w:rsidP="004D5A62">
            <w:pPr>
              <w:jc w:val="both"/>
              <w:rPr>
                <w:rFonts w:eastAsiaTheme="minorHAnsi"/>
                <w:sz w:val="20"/>
                <w:lang w:val="fr-FR"/>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Rejette les demandes d’autorisation datées du 22 avril (pour être autorisé à présenter requête du 22 mars  2010) et du 13 mai 2010 (visant l’annulation de l’ordonnance de l’arrêt définitif des procédures).</w:t>
            </w:r>
          </w:p>
          <w:p w:rsidR="004D5A62" w:rsidRPr="006D7947" w:rsidRDefault="004D5A62" w:rsidP="004D5A62">
            <w:pPr>
              <w:jc w:val="both"/>
              <w:rPr>
                <w:rFonts w:eastAsiaTheme="minorHAnsi"/>
                <w:sz w:val="20"/>
                <w:lang w:val="fr-CA"/>
              </w:rPr>
            </w:pPr>
          </w:p>
        </w:tc>
      </w:tr>
      <w:tr w:rsidR="004D5A62" w:rsidRPr="00686322"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19 août 2011</w:t>
            </w:r>
          </w:p>
          <w:p w:rsidR="004D5A62" w:rsidRPr="006D7947" w:rsidRDefault="004D5A62" w:rsidP="004D5A62">
            <w:pPr>
              <w:jc w:val="both"/>
              <w:rPr>
                <w:rFonts w:eastAsiaTheme="minorHAnsi"/>
                <w:sz w:val="20"/>
                <w:lang w:val="fr-CA"/>
              </w:rPr>
            </w:pPr>
            <w:r w:rsidRPr="006D7947">
              <w:rPr>
                <w:rFonts w:eastAsiaTheme="minorHAnsi"/>
                <w:sz w:val="20"/>
                <w:lang w:val="fr-CA"/>
              </w:rPr>
              <w:t>Cour supérieure du Québec</w:t>
            </w:r>
          </w:p>
          <w:p w:rsidR="004D5A62" w:rsidRPr="006D7947" w:rsidRDefault="004D5A62" w:rsidP="004D5A62">
            <w:pPr>
              <w:jc w:val="both"/>
              <w:rPr>
                <w:rFonts w:eastAsiaTheme="minorHAnsi"/>
                <w:sz w:val="20"/>
                <w:lang w:val="fr-CA"/>
              </w:rPr>
            </w:pPr>
            <w:r w:rsidRPr="006D7947">
              <w:rPr>
                <w:rFonts w:eastAsiaTheme="minorHAnsi"/>
                <w:sz w:val="20"/>
                <w:lang w:val="fr-CA"/>
              </w:rPr>
              <w:t>(La juge Charbonneau)</w:t>
            </w:r>
          </w:p>
          <w:p w:rsidR="004D5A62" w:rsidRPr="006D7947" w:rsidRDefault="004D5A62" w:rsidP="004D5A62">
            <w:pPr>
              <w:jc w:val="both"/>
              <w:rPr>
                <w:rFonts w:eastAsiaTheme="minorHAnsi"/>
                <w:sz w:val="20"/>
                <w:lang w:val="fr-CA"/>
              </w:rPr>
            </w:pPr>
          </w:p>
        </w:tc>
        <w:tc>
          <w:tcPr>
            <w:tcW w:w="243" w:type="pct"/>
          </w:tcPr>
          <w:p w:rsidR="004D5A62" w:rsidRPr="006D7947" w:rsidRDefault="004D5A62" w:rsidP="004D5A62">
            <w:pPr>
              <w:jc w:val="both"/>
              <w:rPr>
                <w:rFonts w:eastAsiaTheme="minorHAnsi"/>
                <w:sz w:val="20"/>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Requête pour la ré-ouverture d’une pré-enquête déclarée inexistante</w:t>
            </w:r>
          </w:p>
          <w:p w:rsidR="004D5A62" w:rsidRPr="006D7947" w:rsidRDefault="004D5A62" w:rsidP="004D5A62">
            <w:pPr>
              <w:jc w:val="both"/>
              <w:rPr>
                <w:rFonts w:eastAsiaTheme="minorHAnsi"/>
                <w:sz w:val="20"/>
                <w:lang w:val="fr-CA"/>
              </w:rPr>
            </w:pPr>
          </w:p>
        </w:tc>
      </w:tr>
      <w:tr w:rsidR="004D5A62" w:rsidRPr="006D7947"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6 octobre 2011</w:t>
            </w:r>
          </w:p>
          <w:p w:rsidR="004D5A62" w:rsidRPr="006D7947" w:rsidRDefault="004D5A62" w:rsidP="004D5A62">
            <w:pPr>
              <w:jc w:val="both"/>
              <w:rPr>
                <w:rFonts w:eastAsiaTheme="minorHAnsi"/>
                <w:sz w:val="20"/>
                <w:lang w:val="fr-CA"/>
              </w:rPr>
            </w:pPr>
            <w:r w:rsidRPr="006D7947">
              <w:rPr>
                <w:rFonts w:eastAsiaTheme="minorHAnsi"/>
                <w:sz w:val="20"/>
                <w:lang w:val="fr-CA"/>
              </w:rPr>
              <w:t>Cour d’appel du Québec (Montréal)</w:t>
            </w:r>
          </w:p>
          <w:p w:rsidR="004D5A62" w:rsidRPr="006D7947" w:rsidRDefault="004D5A62" w:rsidP="004D5A62">
            <w:pPr>
              <w:jc w:val="both"/>
              <w:rPr>
                <w:rFonts w:eastAsiaTheme="minorHAnsi"/>
                <w:sz w:val="20"/>
                <w:lang w:val="fr-CA"/>
              </w:rPr>
            </w:pPr>
            <w:r w:rsidRPr="006D7947">
              <w:rPr>
                <w:rFonts w:eastAsiaTheme="minorHAnsi"/>
                <w:sz w:val="20"/>
                <w:lang w:val="fr-CA"/>
              </w:rPr>
              <w:t xml:space="preserve">(Les juges Beauregard, Rocho et </w:t>
            </w:r>
            <w:proofErr w:type="gramStart"/>
            <w:r w:rsidRPr="006D7947">
              <w:rPr>
                <w:rFonts w:eastAsiaTheme="minorHAnsi"/>
                <w:sz w:val="20"/>
                <w:lang w:val="fr-CA"/>
              </w:rPr>
              <w:t>Wagner )</w:t>
            </w:r>
            <w:proofErr w:type="gramEnd"/>
          </w:p>
          <w:p w:rsidR="004D5A62" w:rsidRPr="006D7947" w:rsidRDefault="004D5A62" w:rsidP="004D5A62">
            <w:pPr>
              <w:jc w:val="both"/>
              <w:rPr>
                <w:rFonts w:eastAsiaTheme="minorHAnsi"/>
                <w:sz w:val="20"/>
                <w:lang w:val="fr-FR"/>
              </w:rPr>
            </w:pPr>
          </w:p>
        </w:tc>
        <w:tc>
          <w:tcPr>
            <w:tcW w:w="243" w:type="pct"/>
          </w:tcPr>
          <w:p w:rsidR="004D5A62" w:rsidRPr="006D7947" w:rsidRDefault="004D5A62" w:rsidP="004D5A62">
            <w:pPr>
              <w:jc w:val="both"/>
              <w:rPr>
                <w:rFonts w:eastAsiaTheme="minorHAnsi"/>
                <w:sz w:val="20"/>
                <w:lang w:val="fr-FR"/>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Appel rejeté</w:t>
            </w:r>
          </w:p>
          <w:p w:rsidR="004D5A62" w:rsidRPr="006D7947" w:rsidRDefault="004D5A62" w:rsidP="004D5A62">
            <w:pPr>
              <w:jc w:val="both"/>
              <w:rPr>
                <w:rFonts w:eastAsiaTheme="minorHAnsi"/>
                <w:sz w:val="20"/>
                <w:lang w:val="fr-CA"/>
              </w:rPr>
            </w:pPr>
          </w:p>
        </w:tc>
      </w:tr>
      <w:tr w:rsidR="004D5A62" w:rsidRPr="00686322"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20 décembre 2011</w:t>
            </w:r>
          </w:p>
          <w:p w:rsidR="004D5A62" w:rsidRPr="006D7947" w:rsidRDefault="004D5A62" w:rsidP="004D5A62">
            <w:pPr>
              <w:jc w:val="both"/>
              <w:rPr>
                <w:rFonts w:eastAsiaTheme="minorHAnsi"/>
                <w:sz w:val="20"/>
                <w:lang w:val="fr-CA"/>
              </w:rPr>
            </w:pPr>
            <w:r w:rsidRPr="006D7947">
              <w:rPr>
                <w:rFonts w:eastAsiaTheme="minorHAnsi"/>
                <w:sz w:val="20"/>
                <w:lang w:val="fr-CA"/>
              </w:rPr>
              <w:t>Cour suprême du Canada</w:t>
            </w:r>
          </w:p>
          <w:p w:rsidR="004D5A62" w:rsidRPr="006D7947" w:rsidRDefault="004D5A62" w:rsidP="004D5A62">
            <w:pPr>
              <w:jc w:val="both"/>
              <w:rPr>
                <w:rFonts w:eastAsiaTheme="minorHAnsi"/>
                <w:sz w:val="20"/>
                <w:lang w:val="fr-FR"/>
              </w:rPr>
            </w:pPr>
          </w:p>
        </w:tc>
        <w:tc>
          <w:tcPr>
            <w:tcW w:w="243" w:type="pct"/>
          </w:tcPr>
          <w:p w:rsidR="004D5A62" w:rsidRPr="006D7947" w:rsidRDefault="004D5A62" w:rsidP="004D5A62">
            <w:pPr>
              <w:jc w:val="both"/>
              <w:rPr>
                <w:rFonts w:eastAsiaTheme="minorHAnsi"/>
                <w:sz w:val="20"/>
                <w:lang w:val="fr-FR"/>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Demandes de prorogation de délai pour signifier et déposer demande d'autorisation d'appel  et demande d’autorisation d’appel déposées.</w:t>
            </w:r>
          </w:p>
          <w:p w:rsidR="004D5A62" w:rsidRPr="006D7947" w:rsidRDefault="004D5A62" w:rsidP="004D5A62">
            <w:pPr>
              <w:jc w:val="both"/>
              <w:rPr>
                <w:rFonts w:eastAsiaTheme="minorHAnsi"/>
                <w:sz w:val="20"/>
                <w:lang w:val="fr-CA"/>
              </w:rPr>
            </w:pPr>
          </w:p>
        </w:tc>
      </w:tr>
    </w:tbl>
    <w:p w:rsidR="004D5A62" w:rsidRPr="006D7947" w:rsidRDefault="004D5A62" w:rsidP="004D5A62">
      <w:pPr>
        <w:jc w:val="both"/>
        <w:rPr>
          <w:rFonts w:eastAsiaTheme="minorHAns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4D5A62" w:rsidRPr="006D7947" w:rsidTr="004D5A62">
        <w:tc>
          <w:tcPr>
            <w:tcW w:w="543" w:type="pct"/>
          </w:tcPr>
          <w:p w:rsidR="004D5A62" w:rsidRPr="006D7947" w:rsidRDefault="004D5A62" w:rsidP="004D5A62">
            <w:pPr>
              <w:jc w:val="both"/>
              <w:rPr>
                <w:rFonts w:eastAsiaTheme="minorHAnsi"/>
                <w:sz w:val="20"/>
                <w:lang w:val="en-CA"/>
              </w:rPr>
            </w:pPr>
            <w:r w:rsidRPr="006D7947">
              <w:rPr>
                <w:rFonts w:eastAsiaTheme="minorHAnsi"/>
                <w:b/>
                <w:sz w:val="20"/>
                <w:lang w:val="en-CA"/>
              </w:rPr>
              <w:t>34221</w:t>
            </w:r>
          </w:p>
        </w:tc>
        <w:tc>
          <w:tcPr>
            <w:tcW w:w="4457" w:type="pct"/>
            <w:gridSpan w:val="3"/>
          </w:tcPr>
          <w:p w:rsidR="004D5A62" w:rsidRPr="006D7947" w:rsidRDefault="004D5A62" w:rsidP="004D5A62">
            <w:pPr>
              <w:jc w:val="both"/>
              <w:rPr>
                <w:rFonts w:eastAsiaTheme="minorHAnsi"/>
                <w:b/>
                <w:sz w:val="20"/>
                <w:lang w:val="en-CA"/>
              </w:rPr>
            </w:pPr>
            <w:r w:rsidRPr="006D7947">
              <w:rPr>
                <w:rFonts w:eastAsiaTheme="minorHAnsi"/>
                <w:b/>
                <w:sz w:val="20"/>
                <w:lang w:val="en-CA"/>
              </w:rPr>
              <w:t>Marc-Antoine Gagné v. Her Majesty the Queen</w:t>
            </w:r>
          </w:p>
          <w:p w:rsidR="004D5A62" w:rsidRPr="006D7947" w:rsidRDefault="004D5A62" w:rsidP="004D5A62">
            <w:pPr>
              <w:jc w:val="both"/>
              <w:rPr>
                <w:rFonts w:eastAsiaTheme="minorHAnsi"/>
                <w:b/>
                <w:sz w:val="20"/>
                <w:lang w:val="en-CA"/>
              </w:rPr>
            </w:pPr>
            <w:r w:rsidRPr="006D7947">
              <w:rPr>
                <w:rFonts w:eastAsiaTheme="minorHAnsi"/>
                <w:b/>
                <w:sz w:val="20"/>
                <w:lang w:val="en-CA"/>
              </w:rPr>
              <w:t>- and between -</w:t>
            </w:r>
          </w:p>
          <w:p w:rsidR="004D5A62" w:rsidRPr="006D7947" w:rsidRDefault="004D5A62" w:rsidP="004D5A62">
            <w:pPr>
              <w:jc w:val="both"/>
              <w:rPr>
                <w:rFonts w:eastAsiaTheme="minorHAnsi"/>
                <w:b/>
                <w:sz w:val="20"/>
                <w:lang w:val="en-CA"/>
              </w:rPr>
            </w:pPr>
            <w:r w:rsidRPr="006D7947">
              <w:rPr>
                <w:rFonts w:eastAsiaTheme="minorHAnsi"/>
                <w:b/>
                <w:sz w:val="20"/>
                <w:lang w:val="en-CA"/>
              </w:rPr>
              <w:t>Marc-Antoine Gagné v. Her Majesty the Queen</w:t>
            </w:r>
          </w:p>
          <w:p w:rsidR="004D5A62" w:rsidRPr="006D7947" w:rsidRDefault="004D5A62" w:rsidP="004D5A62">
            <w:pPr>
              <w:jc w:val="both"/>
              <w:rPr>
                <w:rFonts w:eastAsiaTheme="minorHAnsi"/>
                <w:b/>
                <w:sz w:val="20"/>
                <w:lang w:val="en-CA"/>
              </w:rPr>
            </w:pPr>
            <w:r w:rsidRPr="006D7947">
              <w:rPr>
                <w:rFonts w:eastAsiaTheme="minorHAnsi"/>
                <w:b/>
                <w:sz w:val="20"/>
                <w:lang w:val="en-CA"/>
              </w:rPr>
              <w:t>- and -</w:t>
            </w:r>
          </w:p>
          <w:p w:rsidR="004D5A62" w:rsidRPr="006D7947" w:rsidRDefault="004D5A62" w:rsidP="004D5A62">
            <w:pPr>
              <w:jc w:val="both"/>
              <w:rPr>
                <w:rFonts w:eastAsiaTheme="minorHAnsi"/>
                <w:b/>
                <w:sz w:val="20"/>
                <w:lang w:val="en-CA"/>
              </w:rPr>
            </w:pPr>
            <w:r w:rsidRPr="006D7947">
              <w:rPr>
                <w:rFonts w:eastAsiaTheme="minorHAnsi"/>
                <w:b/>
                <w:sz w:val="20"/>
                <w:lang w:val="en-CA"/>
              </w:rPr>
              <w:t>Court of Québec, Attorney General of Quebec</w:t>
            </w:r>
          </w:p>
          <w:p w:rsidR="004D5A62" w:rsidRPr="006D7947" w:rsidRDefault="004D5A62" w:rsidP="0079598A">
            <w:pPr>
              <w:jc w:val="both"/>
              <w:rPr>
                <w:rFonts w:eastAsiaTheme="minorHAnsi"/>
                <w:sz w:val="20"/>
                <w:lang w:val="en-CA"/>
              </w:rPr>
            </w:pPr>
            <w:r w:rsidRPr="006D7947">
              <w:rPr>
                <w:rFonts w:eastAsiaTheme="minorHAnsi"/>
                <w:sz w:val="20"/>
                <w:lang w:val="en-CA"/>
              </w:rPr>
              <w:t>(Que.) (Criminal) (By Leave)</w:t>
            </w:r>
          </w:p>
        </w:tc>
      </w:tr>
      <w:tr w:rsidR="004D5A62" w:rsidRPr="006D7947" w:rsidTr="004D5A62">
        <w:tc>
          <w:tcPr>
            <w:tcW w:w="5000" w:type="pct"/>
            <w:gridSpan w:val="4"/>
          </w:tcPr>
          <w:p w:rsidR="004D5A62" w:rsidRPr="006D7947" w:rsidRDefault="004D5A62" w:rsidP="004D5A62">
            <w:pPr>
              <w:jc w:val="both"/>
              <w:rPr>
                <w:rFonts w:eastAsiaTheme="minorHAnsi"/>
                <w:sz w:val="20"/>
                <w:lang w:val="en-CA"/>
              </w:rPr>
            </w:pPr>
            <w:r w:rsidRPr="006D7947">
              <w:rPr>
                <w:rFonts w:eastAsiaTheme="minorHAnsi"/>
                <w:sz w:val="20"/>
                <w:lang w:val="en-CA"/>
              </w:rPr>
              <w:t>Criminal law – Probation – Procedure – Motion to change conditions of probation for duration of proceedings – Motion by Attorney General to dismiss notice of intention to raise constitutional questions – Whether Court of Appeal should have changed conditions of probation or permitted applicant to raise constitutional questions.</w:t>
            </w:r>
          </w:p>
        </w:tc>
      </w:tr>
      <w:tr w:rsidR="004D5A62" w:rsidRPr="006D7947" w:rsidTr="004D5A62">
        <w:tc>
          <w:tcPr>
            <w:tcW w:w="5000" w:type="pct"/>
            <w:gridSpan w:val="4"/>
          </w:tcPr>
          <w:p w:rsidR="004D5A62" w:rsidRPr="006D7947" w:rsidRDefault="004D5A62" w:rsidP="004D5A62">
            <w:pPr>
              <w:jc w:val="both"/>
              <w:rPr>
                <w:rFonts w:eastAsiaTheme="minorHAnsi"/>
                <w:sz w:val="20"/>
                <w:lang w:val="en-CA"/>
              </w:rPr>
            </w:pPr>
          </w:p>
        </w:tc>
      </w:tr>
      <w:tr w:rsidR="004D5A62" w:rsidRPr="006D7947" w:rsidTr="004D5A62">
        <w:tc>
          <w:tcPr>
            <w:tcW w:w="5000" w:type="pct"/>
            <w:gridSpan w:val="4"/>
          </w:tcPr>
          <w:p w:rsidR="004D5A62" w:rsidRPr="006D7947" w:rsidRDefault="004D5A62" w:rsidP="004D5A62">
            <w:pPr>
              <w:jc w:val="both"/>
              <w:rPr>
                <w:rFonts w:eastAsiaTheme="minorHAnsi"/>
                <w:sz w:val="20"/>
                <w:lang w:val="en-CA"/>
              </w:rPr>
            </w:pPr>
            <w:r w:rsidRPr="006D7947">
              <w:rPr>
                <w:rFonts w:eastAsiaTheme="minorHAnsi"/>
                <w:sz w:val="20"/>
                <w:lang w:val="en-CA"/>
              </w:rPr>
              <w:t xml:space="preserve">In 2008, the applicant, Mr. Gagné, pleaded guilty to sexual offences committed mainly via the Internet against minors. He was sentenced to two years of imprisonment and three years of probation. The optional conditions imposed with the probation order included prohibitions against possessing and using a computer or equipment providing access to the Internet and against residing or being in a place where such access was possible.  Mr. Gagné brought a motion in the Court of Québec to have those conditions changed, but the motion was dismissed.  He then applied unsuccessfully to the Superior Court for </w:t>
            </w:r>
            <w:r w:rsidRPr="006D7947">
              <w:rPr>
                <w:rFonts w:eastAsiaTheme="minorHAnsi"/>
                <w:i/>
                <w:sz w:val="20"/>
                <w:lang w:val="en-CA"/>
              </w:rPr>
              <w:t>certiorari</w:t>
            </w:r>
            <w:r w:rsidRPr="006D7947">
              <w:rPr>
                <w:rFonts w:eastAsiaTheme="minorHAnsi"/>
                <w:sz w:val="20"/>
                <w:lang w:val="en-CA"/>
              </w:rPr>
              <w:t>.  He appealed that judgment, and the appeal is still pending.</w:t>
            </w:r>
          </w:p>
          <w:p w:rsidR="004D5A62" w:rsidRPr="006D7947" w:rsidRDefault="004D5A62" w:rsidP="004D5A62">
            <w:pPr>
              <w:jc w:val="both"/>
              <w:rPr>
                <w:rFonts w:eastAsiaTheme="minorHAnsi"/>
                <w:sz w:val="20"/>
                <w:lang w:val="en-CA"/>
              </w:rPr>
            </w:pPr>
          </w:p>
          <w:p w:rsidR="004D5A62" w:rsidRPr="006D7947" w:rsidRDefault="004D5A62" w:rsidP="004D5A62">
            <w:pPr>
              <w:jc w:val="both"/>
              <w:rPr>
                <w:rFonts w:eastAsiaTheme="minorHAnsi"/>
                <w:sz w:val="20"/>
                <w:lang w:val="en-CA"/>
              </w:rPr>
            </w:pPr>
            <w:r w:rsidRPr="006D7947">
              <w:rPr>
                <w:rFonts w:eastAsiaTheme="minorHAnsi"/>
                <w:sz w:val="20"/>
                <w:lang w:val="en-CA"/>
              </w:rPr>
              <w:t xml:space="preserve">Mr. Gagné subsequently notified the Attorney General of Quebec under art. 95 of the </w:t>
            </w:r>
            <w:r w:rsidRPr="006D7947">
              <w:rPr>
                <w:rFonts w:eastAsiaTheme="minorHAnsi"/>
                <w:i/>
                <w:sz w:val="20"/>
                <w:lang w:val="en-CA"/>
              </w:rPr>
              <w:t>Code of Civil Procedure</w:t>
            </w:r>
            <w:r w:rsidRPr="006D7947">
              <w:rPr>
                <w:rFonts w:eastAsiaTheme="minorHAnsi"/>
                <w:sz w:val="20"/>
                <w:lang w:val="en-CA"/>
              </w:rPr>
              <w:t xml:space="preserve"> of his intention to argue during the appeal that ss. 731 </w:t>
            </w:r>
            <w:r w:rsidRPr="006D7947">
              <w:rPr>
                <w:rFonts w:eastAsiaTheme="minorHAnsi"/>
                <w:i/>
                <w:sz w:val="20"/>
                <w:lang w:val="en-CA"/>
              </w:rPr>
              <w:t>et seq.</w:t>
            </w:r>
            <w:r w:rsidRPr="006D7947">
              <w:rPr>
                <w:rFonts w:eastAsiaTheme="minorHAnsi"/>
                <w:sz w:val="20"/>
                <w:lang w:val="en-CA"/>
              </w:rPr>
              <w:t xml:space="preserve"> (probation orders) and 342.1(2) (unauthorized use of computer) Cr.C. were unconstitutional.  He also brought a motion in the Court of Appeal seeking to have the conditions of probation changed for the duration of the appeal proceedings.  The Court of Appeal allowed a motion by the Attorney General to dismiss Mr. Gagné’s notice concerning the constitutional questions.  It subsequently dismissed Mr. Gagné’s motion to change his conditions of probation. </w:t>
            </w:r>
          </w:p>
          <w:p w:rsidR="004D5A62" w:rsidRPr="006D7947" w:rsidRDefault="004D5A62"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November 7, 2011</w:t>
            </w:r>
          </w:p>
          <w:p w:rsidR="004D5A62" w:rsidRPr="006D7947" w:rsidRDefault="004D5A62" w:rsidP="004D5A62">
            <w:pPr>
              <w:jc w:val="both"/>
              <w:rPr>
                <w:rFonts w:eastAsiaTheme="minorHAnsi"/>
                <w:sz w:val="20"/>
                <w:lang w:val="en-CA"/>
              </w:rPr>
            </w:pPr>
            <w:r w:rsidRPr="006D7947">
              <w:rPr>
                <w:rFonts w:eastAsiaTheme="minorHAnsi"/>
                <w:sz w:val="20"/>
                <w:lang w:val="en-CA"/>
              </w:rPr>
              <w:t>Quebec Court of Appeal (Montréal)</w:t>
            </w:r>
          </w:p>
          <w:p w:rsidR="004D5A62" w:rsidRPr="006D7947" w:rsidRDefault="004D5A62" w:rsidP="004D5A62">
            <w:pPr>
              <w:jc w:val="both"/>
              <w:rPr>
                <w:rFonts w:eastAsiaTheme="minorHAnsi"/>
                <w:sz w:val="20"/>
                <w:lang w:val="en-CA"/>
              </w:rPr>
            </w:pPr>
            <w:r w:rsidRPr="006D7947">
              <w:rPr>
                <w:rFonts w:eastAsiaTheme="minorHAnsi"/>
                <w:sz w:val="20"/>
                <w:lang w:val="en-CA"/>
              </w:rPr>
              <w:t>(Forget, Rochon and Fournier JJ.A.)</w:t>
            </w:r>
          </w:p>
          <w:p w:rsidR="004D5A62" w:rsidRPr="006D7947" w:rsidRDefault="004D5A62" w:rsidP="004D5A62">
            <w:pPr>
              <w:jc w:val="both"/>
              <w:rPr>
                <w:rFonts w:eastAsiaTheme="minorHAnsi"/>
                <w:sz w:val="20"/>
                <w:lang w:val="en-CA"/>
              </w:rPr>
            </w:pPr>
            <w:r w:rsidRPr="006D7947">
              <w:rPr>
                <w:rFonts w:eastAsiaTheme="minorHAnsi"/>
                <w:sz w:val="20"/>
                <w:lang w:val="en-CA"/>
              </w:rPr>
              <w:t>2011 QCCA 2084</w:t>
            </w:r>
          </w:p>
          <w:p w:rsidR="004D5A62" w:rsidRPr="006D7947" w:rsidRDefault="004D5A62" w:rsidP="004D5A62">
            <w:pPr>
              <w:jc w:val="both"/>
              <w:rPr>
                <w:rFonts w:eastAsiaTheme="minorHAnsi"/>
                <w:sz w:val="20"/>
                <w:lang w:val="en-CA"/>
              </w:rPr>
            </w:pPr>
          </w:p>
        </w:tc>
        <w:tc>
          <w:tcPr>
            <w:tcW w:w="243" w:type="pct"/>
          </w:tcPr>
          <w:p w:rsidR="004D5A62" w:rsidRPr="006D7947" w:rsidRDefault="004D5A62" w:rsidP="004D5A62">
            <w:pPr>
              <w:jc w:val="both"/>
              <w:rPr>
                <w:rFonts w:eastAsiaTheme="minorHAnsi"/>
                <w:sz w:val="20"/>
                <w:lang w:val="en-CA"/>
              </w:rPr>
            </w:pPr>
          </w:p>
        </w:tc>
        <w:tc>
          <w:tcPr>
            <w:tcW w:w="2330" w:type="pct"/>
          </w:tcPr>
          <w:p w:rsidR="004D5A62" w:rsidRPr="006D7947" w:rsidRDefault="004D5A62" w:rsidP="004D5A62">
            <w:pPr>
              <w:jc w:val="both"/>
              <w:rPr>
                <w:rFonts w:eastAsiaTheme="minorHAnsi"/>
                <w:sz w:val="20"/>
                <w:lang w:val="en-CA"/>
              </w:rPr>
            </w:pPr>
            <w:r w:rsidRPr="006D7947">
              <w:rPr>
                <w:rFonts w:eastAsiaTheme="minorHAnsi"/>
                <w:sz w:val="20"/>
                <w:lang w:val="en-CA"/>
              </w:rPr>
              <w:t>Motion to dismiss notice of intention to raise constitutional questions allowed</w:t>
            </w:r>
          </w:p>
          <w:p w:rsidR="004D5A62" w:rsidRPr="006D7947" w:rsidRDefault="004D5A62"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November 15, 2011</w:t>
            </w:r>
          </w:p>
          <w:p w:rsidR="004D5A62" w:rsidRPr="006D7947" w:rsidRDefault="004D5A62" w:rsidP="004D5A62">
            <w:pPr>
              <w:jc w:val="both"/>
              <w:rPr>
                <w:rFonts w:eastAsiaTheme="minorHAnsi"/>
                <w:sz w:val="20"/>
                <w:lang w:val="en-CA"/>
              </w:rPr>
            </w:pPr>
            <w:r w:rsidRPr="006D7947">
              <w:rPr>
                <w:rFonts w:eastAsiaTheme="minorHAnsi"/>
                <w:sz w:val="20"/>
                <w:lang w:val="en-CA"/>
              </w:rPr>
              <w:t>Quebec Court of Appeal (Montréal)</w:t>
            </w:r>
          </w:p>
          <w:p w:rsidR="004D5A62" w:rsidRPr="006D7947" w:rsidRDefault="004D5A62" w:rsidP="004D5A62">
            <w:pPr>
              <w:jc w:val="both"/>
              <w:rPr>
                <w:rFonts w:eastAsiaTheme="minorHAnsi"/>
                <w:sz w:val="20"/>
                <w:lang w:val="en-CA"/>
              </w:rPr>
            </w:pPr>
            <w:r w:rsidRPr="006D7947">
              <w:rPr>
                <w:rFonts w:eastAsiaTheme="minorHAnsi"/>
                <w:sz w:val="20"/>
                <w:lang w:val="en-CA"/>
              </w:rPr>
              <w:t>(Pelletier, Dutil and Dufresne JJ.A.)</w:t>
            </w:r>
          </w:p>
          <w:p w:rsidR="004D5A62" w:rsidRPr="006D7947" w:rsidRDefault="004D5A62" w:rsidP="004D5A62">
            <w:pPr>
              <w:jc w:val="both"/>
              <w:rPr>
                <w:rFonts w:eastAsiaTheme="minorHAnsi"/>
                <w:sz w:val="20"/>
                <w:lang w:val="en-CA"/>
              </w:rPr>
            </w:pPr>
            <w:r w:rsidRPr="006D7947">
              <w:rPr>
                <w:rFonts w:eastAsiaTheme="minorHAnsi"/>
                <w:sz w:val="20"/>
                <w:lang w:val="en-CA"/>
              </w:rPr>
              <w:t>2011 QCCA 2138</w:t>
            </w:r>
          </w:p>
          <w:p w:rsidR="004D5A62" w:rsidRPr="006D7947" w:rsidRDefault="004D5A62" w:rsidP="004D5A62">
            <w:pPr>
              <w:jc w:val="both"/>
              <w:rPr>
                <w:rFonts w:eastAsiaTheme="minorHAnsi"/>
                <w:sz w:val="20"/>
                <w:lang w:val="en-CA"/>
              </w:rPr>
            </w:pPr>
          </w:p>
        </w:tc>
        <w:tc>
          <w:tcPr>
            <w:tcW w:w="243" w:type="pct"/>
          </w:tcPr>
          <w:p w:rsidR="004D5A62" w:rsidRPr="006D7947" w:rsidRDefault="004D5A62" w:rsidP="004D5A62">
            <w:pPr>
              <w:jc w:val="both"/>
              <w:rPr>
                <w:rFonts w:eastAsiaTheme="minorHAnsi"/>
                <w:sz w:val="20"/>
                <w:lang w:val="en-CA"/>
              </w:rPr>
            </w:pPr>
          </w:p>
        </w:tc>
        <w:tc>
          <w:tcPr>
            <w:tcW w:w="2330" w:type="pct"/>
          </w:tcPr>
          <w:p w:rsidR="004D5A62" w:rsidRPr="006D7947" w:rsidRDefault="004D5A62" w:rsidP="004D5A62">
            <w:pPr>
              <w:jc w:val="both"/>
              <w:rPr>
                <w:rFonts w:eastAsiaTheme="minorHAnsi"/>
                <w:sz w:val="20"/>
                <w:lang w:val="en-CA"/>
              </w:rPr>
            </w:pPr>
            <w:r w:rsidRPr="006D7947">
              <w:rPr>
                <w:rFonts w:eastAsiaTheme="minorHAnsi"/>
                <w:sz w:val="20"/>
                <w:lang w:val="en-CA"/>
              </w:rPr>
              <w:t>Motion to change conditions of probation for duration of proceedings dismissed</w:t>
            </w:r>
          </w:p>
          <w:p w:rsidR="004D5A62" w:rsidRPr="006D7947" w:rsidRDefault="004D5A62" w:rsidP="004D5A62">
            <w:pPr>
              <w:jc w:val="both"/>
              <w:rPr>
                <w:rFonts w:eastAsiaTheme="minorHAnsi"/>
                <w:sz w:val="20"/>
                <w:lang w:val="en-CA"/>
              </w:rPr>
            </w:pPr>
          </w:p>
        </w:tc>
      </w:tr>
      <w:tr w:rsidR="004D5A62" w:rsidRPr="006D7947" w:rsidTr="004D5A62">
        <w:tc>
          <w:tcPr>
            <w:tcW w:w="2427" w:type="pct"/>
            <w:gridSpan w:val="2"/>
          </w:tcPr>
          <w:p w:rsidR="004D5A62" w:rsidRPr="006D7947" w:rsidRDefault="004D5A62" w:rsidP="004D5A62">
            <w:pPr>
              <w:jc w:val="both"/>
              <w:rPr>
                <w:rFonts w:eastAsiaTheme="minorHAnsi"/>
                <w:sz w:val="20"/>
                <w:lang w:val="en-CA"/>
              </w:rPr>
            </w:pPr>
            <w:r w:rsidRPr="006D7947">
              <w:rPr>
                <w:rFonts w:eastAsiaTheme="minorHAnsi"/>
                <w:sz w:val="20"/>
                <w:lang w:val="en-CA"/>
              </w:rPr>
              <w:t>December 30, 2011</w:t>
            </w:r>
          </w:p>
          <w:p w:rsidR="004D5A62" w:rsidRPr="006D7947" w:rsidRDefault="004D5A62" w:rsidP="004D5A62">
            <w:pPr>
              <w:jc w:val="both"/>
              <w:rPr>
                <w:rFonts w:eastAsiaTheme="minorHAnsi"/>
                <w:sz w:val="20"/>
                <w:lang w:val="en-CA"/>
              </w:rPr>
            </w:pPr>
            <w:r w:rsidRPr="006D7947">
              <w:rPr>
                <w:rFonts w:eastAsiaTheme="minorHAnsi"/>
                <w:sz w:val="20"/>
                <w:lang w:val="en-CA"/>
              </w:rPr>
              <w:t>Supreme Court of Canada</w:t>
            </w:r>
          </w:p>
        </w:tc>
        <w:tc>
          <w:tcPr>
            <w:tcW w:w="243" w:type="pct"/>
          </w:tcPr>
          <w:p w:rsidR="004D5A62" w:rsidRPr="006D7947" w:rsidRDefault="004D5A62" w:rsidP="004D5A62">
            <w:pPr>
              <w:jc w:val="both"/>
              <w:rPr>
                <w:rFonts w:eastAsiaTheme="minorHAnsi"/>
                <w:sz w:val="20"/>
                <w:lang w:val="en-CA"/>
              </w:rPr>
            </w:pPr>
          </w:p>
        </w:tc>
        <w:tc>
          <w:tcPr>
            <w:tcW w:w="2330" w:type="pct"/>
          </w:tcPr>
          <w:p w:rsidR="004D5A62" w:rsidRPr="006D7947" w:rsidRDefault="004D5A62" w:rsidP="004D5A62">
            <w:pPr>
              <w:jc w:val="both"/>
              <w:rPr>
                <w:rFonts w:eastAsiaTheme="minorHAnsi"/>
                <w:sz w:val="20"/>
                <w:lang w:val="en-CA"/>
              </w:rPr>
            </w:pPr>
            <w:r w:rsidRPr="006D7947">
              <w:rPr>
                <w:rFonts w:eastAsiaTheme="minorHAnsi"/>
                <w:sz w:val="20"/>
                <w:lang w:val="en-CA"/>
              </w:rPr>
              <w:t>Application for leave to appeal filed</w:t>
            </w:r>
          </w:p>
          <w:p w:rsidR="004D5A62" w:rsidRPr="006D7947" w:rsidRDefault="004D5A62" w:rsidP="004D5A62">
            <w:pPr>
              <w:jc w:val="both"/>
              <w:rPr>
                <w:rFonts w:eastAsiaTheme="minorHAnsi"/>
                <w:sz w:val="20"/>
                <w:lang w:val="en-CA"/>
              </w:rPr>
            </w:pPr>
          </w:p>
        </w:tc>
      </w:tr>
    </w:tbl>
    <w:p w:rsidR="004D5A62" w:rsidRDefault="004D5A62" w:rsidP="004D5A62">
      <w:pPr>
        <w:jc w:val="both"/>
        <w:rPr>
          <w:rFonts w:eastAsiaTheme="minorHAnsi"/>
          <w:sz w:val="20"/>
          <w:lang w:val="en-CA"/>
        </w:rPr>
      </w:pPr>
    </w:p>
    <w:p w:rsidR="0079598A" w:rsidRPr="006D7947" w:rsidRDefault="0079598A" w:rsidP="004D5A62">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4D5A62" w:rsidRPr="006D7947" w:rsidTr="004D5A62">
        <w:tc>
          <w:tcPr>
            <w:tcW w:w="543" w:type="pct"/>
          </w:tcPr>
          <w:p w:rsidR="004D5A62" w:rsidRPr="006D7947" w:rsidRDefault="004D5A62" w:rsidP="004D5A62">
            <w:pPr>
              <w:jc w:val="both"/>
              <w:rPr>
                <w:rFonts w:eastAsiaTheme="minorHAnsi"/>
                <w:sz w:val="20"/>
                <w:lang w:val="fr-CA"/>
              </w:rPr>
            </w:pPr>
            <w:r w:rsidRPr="006D7947">
              <w:rPr>
                <w:rFonts w:eastAsiaTheme="minorHAnsi"/>
                <w:b/>
                <w:sz w:val="20"/>
                <w:lang w:val="en-CA"/>
              </w:rPr>
              <w:t>34221</w:t>
            </w:r>
          </w:p>
        </w:tc>
        <w:tc>
          <w:tcPr>
            <w:tcW w:w="4457" w:type="pct"/>
            <w:gridSpan w:val="3"/>
          </w:tcPr>
          <w:p w:rsidR="004D5A62" w:rsidRPr="006D7947" w:rsidRDefault="004D5A62" w:rsidP="004D5A62">
            <w:pPr>
              <w:jc w:val="both"/>
              <w:rPr>
                <w:rFonts w:eastAsiaTheme="minorHAnsi"/>
                <w:b/>
                <w:sz w:val="20"/>
                <w:lang w:val="fr-CA"/>
              </w:rPr>
            </w:pPr>
            <w:r w:rsidRPr="006D7947">
              <w:rPr>
                <w:rFonts w:eastAsiaTheme="minorHAnsi"/>
                <w:b/>
                <w:sz w:val="20"/>
                <w:lang w:val="fr-CA"/>
              </w:rPr>
              <w:t>Marc-Antoine Gagné c. Sa Majesté la Reine</w:t>
            </w:r>
          </w:p>
          <w:p w:rsidR="004D5A62" w:rsidRPr="006D7947" w:rsidRDefault="004D5A62" w:rsidP="004D5A62">
            <w:pPr>
              <w:jc w:val="both"/>
              <w:rPr>
                <w:rFonts w:eastAsiaTheme="minorHAnsi"/>
                <w:b/>
                <w:sz w:val="20"/>
                <w:lang w:val="fr-CA"/>
              </w:rPr>
            </w:pPr>
            <w:r w:rsidRPr="006D7947">
              <w:rPr>
                <w:rFonts w:eastAsiaTheme="minorHAnsi"/>
                <w:b/>
                <w:sz w:val="20"/>
                <w:lang w:val="fr-CA"/>
              </w:rPr>
              <w:t>- et entre -</w:t>
            </w:r>
          </w:p>
          <w:p w:rsidR="004D5A62" w:rsidRPr="006D7947" w:rsidRDefault="004D5A62" w:rsidP="004D5A62">
            <w:pPr>
              <w:jc w:val="both"/>
              <w:rPr>
                <w:rFonts w:eastAsiaTheme="minorHAnsi"/>
                <w:b/>
                <w:sz w:val="20"/>
                <w:lang w:val="fr-CA"/>
              </w:rPr>
            </w:pPr>
            <w:r w:rsidRPr="006D7947">
              <w:rPr>
                <w:rFonts w:eastAsiaTheme="minorHAnsi"/>
                <w:b/>
                <w:sz w:val="20"/>
                <w:lang w:val="fr-CA"/>
              </w:rPr>
              <w:t>Marc-Antoine Gagné c. Sa Majesté la Reine</w:t>
            </w:r>
          </w:p>
          <w:p w:rsidR="004D5A62" w:rsidRPr="006D7947" w:rsidRDefault="004D5A62" w:rsidP="004D5A62">
            <w:pPr>
              <w:jc w:val="both"/>
              <w:rPr>
                <w:rFonts w:eastAsiaTheme="minorHAnsi"/>
                <w:b/>
                <w:sz w:val="20"/>
                <w:lang w:val="fr-CA"/>
              </w:rPr>
            </w:pPr>
            <w:r w:rsidRPr="006D7947">
              <w:rPr>
                <w:rFonts w:eastAsiaTheme="minorHAnsi"/>
                <w:b/>
                <w:sz w:val="20"/>
                <w:lang w:val="fr-CA"/>
              </w:rPr>
              <w:t>- et -</w:t>
            </w:r>
          </w:p>
          <w:p w:rsidR="004D5A62" w:rsidRPr="006D7947" w:rsidRDefault="004D5A62" w:rsidP="004D5A62">
            <w:pPr>
              <w:jc w:val="both"/>
              <w:rPr>
                <w:rFonts w:eastAsiaTheme="minorHAnsi"/>
                <w:b/>
                <w:sz w:val="20"/>
                <w:lang w:val="fr-CA"/>
              </w:rPr>
            </w:pPr>
            <w:r w:rsidRPr="006D7947">
              <w:rPr>
                <w:rFonts w:eastAsiaTheme="minorHAnsi"/>
                <w:b/>
                <w:sz w:val="20"/>
                <w:lang w:val="fr-CA"/>
              </w:rPr>
              <w:t>Cour du Québec, Procureur général du Québec</w:t>
            </w:r>
          </w:p>
          <w:p w:rsidR="004D5A62" w:rsidRPr="006D7947" w:rsidRDefault="004D5A62" w:rsidP="0079598A">
            <w:pPr>
              <w:jc w:val="both"/>
              <w:rPr>
                <w:rFonts w:eastAsiaTheme="minorHAnsi"/>
                <w:sz w:val="20"/>
                <w:lang w:val="fr-CA"/>
              </w:rPr>
            </w:pPr>
            <w:r w:rsidRPr="006D7947">
              <w:rPr>
                <w:rFonts w:eastAsiaTheme="minorHAnsi"/>
                <w:sz w:val="20"/>
                <w:lang w:val="fr-CA"/>
              </w:rPr>
              <w:t>(Qc) (Criminelle) (Autorisation)</w:t>
            </w:r>
          </w:p>
        </w:tc>
      </w:tr>
      <w:tr w:rsidR="004D5A62" w:rsidRPr="00686322" w:rsidTr="004D5A62">
        <w:tc>
          <w:tcPr>
            <w:tcW w:w="5000" w:type="pct"/>
            <w:gridSpan w:val="4"/>
          </w:tcPr>
          <w:p w:rsidR="004D5A62" w:rsidRPr="006D7947" w:rsidRDefault="004D5A62" w:rsidP="004D5A62">
            <w:pPr>
              <w:jc w:val="both"/>
              <w:rPr>
                <w:rFonts w:eastAsiaTheme="minorHAnsi"/>
                <w:sz w:val="20"/>
                <w:lang w:val="fr-CA"/>
              </w:rPr>
            </w:pPr>
            <w:r w:rsidRPr="006D7947">
              <w:rPr>
                <w:rFonts w:eastAsiaTheme="minorHAnsi"/>
                <w:sz w:val="20"/>
                <w:lang w:val="fr-CA"/>
              </w:rPr>
              <w:t>Droit criminel – Probation – Procédure – Requête en modification de conditions de probation pour la durée de procédures – Requête du procureur général pour faire rejeter un avis d’intention de soulever des questions constitutionnelles – La Cour d’appel aurait-elle dû modifier les conditions de probation ou permettre au demandeur de soulever des questions constitutionnelles?</w:t>
            </w:r>
          </w:p>
        </w:tc>
      </w:tr>
      <w:tr w:rsidR="004D5A62" w:rsidRPr="00686322" w:rsidTr="004D5A62">
        <w:tc>
          <w:tcPr>
            <w:tcW w:w="5000" w:type="pct"/>
            <w:gridSpan w:val="4"/>
          </w:tcPr>
          <w:p w:rsidR="004D5A62" w:rsidRPr="006D7947" w:rsidRDefault="004D5A62" w:rsidP="004D5A62">
            <w:pPr>
              <w:jc w:val="both"/>
              <w:rPr>
                <w:rFonts w:eastAsiaTheme="minorHAnsi"/>
                <w:sz w:val="20"/>
                <w:lang w:val="fr-CA"/>
              </w:rPr>
            </w:pPr>
          </w:p>
        </w:tc>
      </w:tr>
      <w:tr w:rsidR="004D5A62" w:rsidRPr="00686322" w:rsidTr="004D5A62">
        <w:tc>
          <w:tcPr>
            <w:tcW w:w="5000" w:type="pct"/>
            <w:gridSpan w:val="4"/>
          </w:tcPr>
          <w:p w:rsidR="004D5A62" w:rsidRPr="006D7947" w:rsidRDefault="004D5A62" w:rsidP="004D5A62">
            <w:pPr>
              <w:jc w:val="both"/>
              <w:rPr>
                <w:rFonts w:eastAsiaTheme="minorHAnsi"/>
                <w:sz w:val="20"/>
                <w:lang w:val="fr-CA"/>
              </w:rPr>
            </w:pPr>
            <w:r w:rsidRPr="006D7947">
              <w:rPr>
                <w:rFonts w:eastAsiaTheme="minorHAnsi"/>
                <w:sz w:val="20"/>
                <w:lang w:val="fr-CA"/>
              </w:rPr>
              <w:t xml:space="preserve">En 2008, le demandeur, M. Gagné, plaide coupable à des infractions d’ordre sexuel commises principalement via l’Internet à l’endroit de mineurs. Il reçoit une peine d’emprisonnement de deux ans, assortie d’une ordonnance de probation de trois ans. Parmi les conditions facultatives imposées dans le cadre de cette ordonnance figurent les interdictions de posséder et d’utiliser un ordinateur ou un équipement permettant l’accès à l’Internet et de résider ou de se trouver dans un endroit où un tel accès est possible. M. Gagné s’adresse à la Cour du Québec afin de faire modifier ces conditions. Sa requête est rejetée. Il s’adresse alors à la Cour supérieure par voie de </w:t>
            </w:r>
            <w:r w:rsidRPr="006D7947">
              <w:rPr>
                <w:rFonts w:eastAsiaTheme="minorHAnsi"/>
                <w:i/>
                <w:sz w:val="20"/>
                <w:lang w:val="fr-CA"/>
              </w:rPr>
              <w:t>certiorari</w:t>
            </w:r>
            <w:r w:rsidRPr="006D7947">
              <w:rPr>
                <w:rFonts w:eastAsiaTheme="minorHAnsi"/>
                <w:sz w:val="20"/>
                <w:lang w:val="fr-CA"/>
              </w:rPr>
              <w:t>, mais en vain. M. Gagné inscrit alors ce jugement en appel. L’appel est toujours pendant.</w:t>
            </w:r>
          </w:p>
          <w:p w:rsidR="004D5A62" w:rsidRPr="006D7947" w:rsidRDefault="004D5A62" w:rsidP="004D5A62">
            <w:pPr>
              <w:jc w:val="both"/>
              <w:rPr>
                <w:rFonts w:eastAsiaTheme="minorHAnsi"/>
                <w:sz w:val="20"/>
                <w:lang w:val="fr-CA"/>
              </w:rPr>
            </w:pPr>
          </w:p>
          <w:p w:rsidR="004D5A62" w:rsidRPr="006D7947" w:rsidRDefault="004D5A62" w:rsidP="004D5A62">
            <w:pPr>
              <w:jc w:val="both"/>
              <w:rPr>
                <w:rFonts w:eastAsiaTheme="minorHAnsi"/>
                <w:sz w:val="20"/>
                <w:lang w:val="fr-CA"/>
              </w:rPr>
            </w:pPr>
            <w:r w:rsidRPr="006D7947">
              <w:rPr>
                <w:rFonts w:eastAsiaTheme="minorHAnsi"/>
                <w:sz w:val="20"/>
                <w:lang w:val="fr-CA"/>
              </w:rPr>
              <w:t xml:space="preserve">Par la suite, M. Gagné avise le Procureur général du Québec, en vertu de l’art. 95 du </w:t>
            </w:r>
            <w:r w:rsidRPr="006D7947">
              <w:rPr>
                <w:rFonts w:eastAsiaTheme="minorHAnsi"/>
                <w:i/>
                <w:sz w:val="20"/>
                <w:lang w:val="fr-CA"/>
              </w:rPr>
              <w:t>Code de procédure civile</w:t>
            </w:r>
            <w:r w:rsidRPr="006D7947">
              <w:rPr>
                <w:rFonts w:eastAsiaTheme="minorHAnsi"/>
                <w:sz w:val="20"/>
                <w:lang w:val="fr-CA"/>
              </w:rPr>
              <w:t xml:space="preserve">, de son intention de plaider l’inconstitutionnalité </w:t>
            </w:r>
            <w:proofErr w:type="gramStart"/>
            <w:r w:rsidRPr="006D7947">
              <w:rPr>
                <w:rFonts w:eastAsiaTheme="minorHAnsi"/>
                <w:sz w:val="20"/>
                <w:lang w:val="fr-CA"/>
              </w:rPr>
              <w:t>des art</w:t>
            </w:r>
            <w:proofErr w:type="gramEnd"/>
            <w:r w:rsidRPr="006D7947">
              <w:rPr>
                <w:rFonts w:eastAsiaTheme="minorHAnsi"/>
                <w:sz w:val="20"/>
                <w:lang w:val="fr-CA"/>
              </w:rPr>
              <w:t>. 731 et ss. (ordonnances de probation) et 342.1(2) (utilisation non autorisée d’un ordinateur) C. cr. lors de l’appel. Il s’adresse aussi à la Cour d’appel, par requête, pour faire modifier les conditions de probation pour la durée des procédures en appel. La Cour d’appel accueille une requête du procureur général pour faire rejeter l’avis de M. Gagné relatif aux questions constitutionnelles. Elle rejette par la suite la requête de M. Gagné pour faire modifier ses conditions de probation.</w:t>
            </w:r>
          </w:p>
          <w:p w:rsidR="004D5A62" w:rsidRPr="006D7947" w:rsidRDefault="004D5A62" w:rsidP="004D5A62">
            <w:pPr>
              <w:jc w:val="both"/>
              <w:rPr>
                <w:rFonts w:eastAsiaTheme="minorHAnsi"/>
                <w:sz w:val="20"/>
                <w:lang w:val="fr-CA"/>
              </w:rPr>
            </w:pPr>
          </w:p>
        </w:tc>
      </w:tr>
      <w:tr w:rsidR="004D5A62" w:rsidRPr="00686322"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7 novembre 2011</w:t>
            </w:r>
          </w:p>
          <w:p w:rsidR="004D5A62" w:rsidRPr="006D7947" w:rsidRDefault="004D5A62" w:rsidP="004D5A62">
            <w:pPr>
              <w:jc w:val="both"/>
              <w:rPr>
                <w:rFonts w:eastAsiaTheme="minorHAnsi"/>
                <w:sz w:val="20"/>
                <w:lang w:val="fr-CA"/>
              </w:rPr>
            </w:pPr>
            <w:r w:rsidRPr="006D7947">
              <w:rPr>
                <w:rFonts w:eastAsiaTheme="minorHAnsi"/>
                <w:sz w:val="20"/>
                <w:lang w:val="fr-CA"/>
              </w:rPr>
              <w:t>Cour d’appel du Québec (Montréal)</w:t>
            </w:r>
          </w:p>
          <w:p w:rsidR="004D5A62" w:rsidRPr="006D7947" w:rsidRDefault="004D5A62" w:rsidP="004D5A62">
            <w:pPr>
              <w:jc w:val="both"/>
              <w:rPr>
                <w:rFonts w:eastAsiaTheme="minorHAnsi"/>
                <w:sz w:val="20"/>
                <w:lang w:val="fr-CA"/>
              </w:rPr>
            </w:pPr>
            <w:r w:rsidRPr="006D7947">
              <w:rPr>
                <w:rFonts w:eastAsiaTheme="minorHAnsi"/>
                <w:sz w:val="20"/>
                <w:lang w:val="fr-CA"/>
              </w:rPr>
              <w:t>(Les juges Forget, Rochon et Fournier)</w:t>
            </w:r>
          </w:p>
          <w:p w:rsidR="004D5A62" w:rsidRPr="006D7947" w:rsidRDefault="004D5A62" w:rsidP="004D5A62">
            <w:pPr>
              <w:jc w:val="both"/>
              <w:rPr>
                <w:rFonts w:eastAsiaTheme="minorHAnsi"/>
                <w:sz w:val="20"/>
                <w:lang w:val="fr-CA"/>
              </w:rPr>
            </w:pPr>
            <w:r w:rsidRPr="006D7947">
              <w:rPr>
                <w:rFonts w:eastAsiaTheme="minorHAnsi"/>
                <w:sz w:val="20"/>
                <w:lang w:val="fr-CA"/>
              </w:rPr>
              <w:t>2011 QCCA 2084</w:t>
            </w:r>
          </w:p>
          <w:p w:rsidR="004D5A62" w:rsidRPr="006D7947" w:rsidRDefault="004D5A62" w:rsidP="004D5A62">
            <w:pPr>
              <w:jc w:val="both"/>
              <w:rPr>
                <w:rFonts w:eastAsiaTheme="minorHAnsi"/>
                <w:sz w:val="20"/>
              </w:rPr>
            </w:pPr>
          </w:p>
        </w:tc>
        <w:tc>
          <w:tcPr>
            <w:tcW w:w="243" w:type="pct"/>
          </w:tcPr>
          <w:p w:rsidR="004D5A62" w:rsidRPr="006D7947" w:rsidRDefault="004D5A62" w:rsidP="004D5A62">
            <w:pPr>
              <w:jc w:val="both"/>
              <w:rPr>
                <w:rFonts w:eastAsiaTheme="minorHAnsi"/>
                <w:sz w:val="20"/>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Requête en rejet d’un avis d’intention de soulever des questions constitutionnelles accueillie</w:t>
            </w:r>
          </w:p>
          <w:p w:rsidR="004D5A62" w:rsidRPr="006D7947" w:rsidRDefault="004D5A62" w:rsidP="004D5A62">
            <w:pPr>
              <w:jc w:val="both"/>
              <w:rPr>
                <w:rFonts w:eastAsiaTheme="minorHAnsi"/>
                <w:sz w:val="20"/>
                <w:lang w:val="fr-CA"/>
              </w:rPr>
            </w:pPr>
          </w:p>
        </w:tc>
      </w:tr>
      <w:tr w:rsidR="004D5A62" w:rsidRPr="00686322"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15 novembre 2011</w:t>
            </w:r>
          </w:p>
          <w:p w:rsidR="004D5A62" w:rsidRPr="006D7947" w:rsidRDefault="004D5A62" w:rsidP="004D5A62">
            <w:pPr>
              <w:jc w:val="both"/>
              <w:rPr>
                <w:rFonts w:eastAsiaTheme="minorHAnsi"/>
                <w:sz w:val="20"/>
                <w:lang w:val="fr-CA"/>
              </w:rPr>
            </w:pPr>
            <w:r w:rsidRPr="006D7947">
              <w:rPr>
                <w:rFonts w:eastAsiaTheme="minorHAnsi"/>
                <w:sz w:val="20"/>
                <w:lang w:val="fr-CA"/>
              </w:rPr>
              <w:t>Cour d’appel du Québec (Montréal)</w:t>
            </w:r>
          </w:p>
          <w:p w:rsidR="004D5A62" w:rsidRPr="006D7947" w:rsidRDefault="004D5A62" w:rsidP="004D5A62">
            <w:pPr>
              <w:jc w:val="both"/>
              <w:rPr>
                <w:rFonts w:eastAsiaTheme="minorHAnsi"/>
                <w:sz w:val="20"/>
                <w:lang w:val="fr-CA"/>
              </w:rPr>
            </w:pPr>
            <w:r w:rsidRPr="006D7947">
              <w:rPr>
                <w:rFonts w:eastAsiaTheme="minorHAnsi"/>
                <w:sz w:val="20"/>
                <w:lang w:val="fr-CA"/>
              </w:rPr>
              <w:t>(Les juges Pelletier, Dutil et Dufresne)</w:t>
            </w:r>
          </w:p>
          <w:p w:rsidR="004D5A62" w:rsidRPr="006D7947" w:rsidRDefault="004D5A62" w:rsidP="004D5A62">
            <w:pPr>
              <w:jc w:val="both"/>
              <w:rPr>
                <w:rFonts w:eastAsiaTheme="minorHAnsi"/>
                <w:sz w:val="20"/>
                <w:lang w:val="fr-CA"/>
              </w:rPr>
            </w:pPr>
            <w:r w:rsidRPr="006D7947">
              <w:rPr>
                <w:rFonts w:eastAsiaTheme="minorHAnsi"/>
                <w:sz w:val="20"/>
                <w:lang w:val="fr-CA"/>
              </w:rPr>
              <w:t>2011 QCCA 2138</w:t>
            </w:r>
          </w:p>
          <w:p w:rsidR="004D5A62" w:rsidRPr="006D7947" w:rsidRDefault="004D5A62" w:rsidP="004D5A62">
            <w:pPr>
              <w:jc w:val="both"/>
              <w:rPr>
                <w:rFonts w:eastAsiaTheme="minorHAnsi"/>
                <w:sz w:val="20"/>
                <w:lang w:val="fr-CA"/>
              </w:rPr>
            </w:pPr>
          </w:p>
        </w:tc>
        <w:tc>
          <w:tcPr>
            <w:tcW w:w="243" w:type="pct"/>
          </w:tcPr>
          <w:p w:rsidR="004D5A62" w:rsidRPr="006D7947" w:rsidRDefault="004D5A62" w:rsidP="004D5A62">
            <w:pPr>
              <w:jc w:val="both"/>
              <w:rPr>
                <w:rFonts w:eastAsiaTheme="minorHAnsi"/>
                <w:sz w:val="20"/>
                <w:lang w:val="fr-CA"/>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Requête en modification de conditions de probation pour la durée de procédures rejetée</w:t>
            </w:r>
          </w:p>
          <w:p w:rsidR="004D5A62" w:rsidRPr="006D7947" w:rsidRDefault="004D5A62" w:rsidP="004D5A62">
            <w:pPr>
              <w:jc w:val="both"/>
              <w:rPr>
                <w:rFonts w:eastAsiaTheme="minorHAnsi"/>
                <w:sz w:val="20"/>
                <w:lang w:val="fr-CA"/>
              </w:rPr>
            </w:pPr>
          </w:p>
        </w:tc>
      </w:tr>
      <w:tr w:rsidR="004D5A62" w:rsidRPr="006D7947" w:rsidTr="004D5A62">
        <w:tc>
          <w:tcPr>
            <w:tcW w:w="2427" w:type="pct"/>
            <w:gridSpan w:val="2"/>
          </w:tcPr>
          <w:p w:rsidR="004D5A62" w:rsidRPr="006D7947" w:rsidRDefault="004D5A62" w:rsidP="004D5A62">
            <w:pPr>
              <w:jc w:val="both"/>
              <w:rPr>
                <w:rFonts w:eastAsiaTheme="minorHAnsi"/>
                <w:sz w:val="20"/>
                <w:lang w:val="fr-CA"/>
              </w:rPr>
            </w:pPr>
            <w:r w:rsidRPr="006D7947">
              <w:rPr>
                <w:rFonts w:eastAsiaTheme="minorHAnsi"/>
                <w:sz w:val="20"/>
                <w:lang w:val="fr-CA"/>
              </w:rPr>
              <w:t>Le 30 décembre 2011</w:t>
            </w:r>
          </w:p>
          <w:p w:rsidR="004D5A62" w:rsidRPr="006D7947" w:rsidRDefault="004D5A62" w:rsidP="004D5A62">
            <w:pPr>
              <w:jc w:val="both"/>
              <w:rPr>
                <w:rFonts w:eastAsiaTheme="minorHAnsi"/>
                <w:sz w:val="20"/>
                <w:lang w:val="fr-CA"/>
              </w:rPr>
            </w:pPr>
            <w:r w:rsidRPr="006D7947">
              <w:rPr>
                <w:rFonts w:eastAsiaTheme="minorHAnsi"/>
                <w:sz w:val="20"/>
                <w:lang w:val="fr-CA"/>
              </w:rPr>
              <w:t>Cour suprême du Canada</w:t>
            </w:r>
          </w:p>
        </w:tc>
        <w:tc>
          <w:tcPr>
            <w:tcW w:w="243" w:type="pct"/>
          </w:tcPr>
          <w:p w:rsidR="004D5A62" w:rsidRPr="006D7947" w:rsidRDefault="004D5A62" w:rsidP="004D5A62">
            <w:pPr>
              <w:jc w:val="both"/>
              <w:rPr>
                <w:rFonts w:eastAsiaTheme="minorHAnsi"/>
                <w:sz w:val="20"/>
                <w:lang w:val="fr-CA"/>
              </w:rPr>
            </w:pPr>
          </w:p>
        </w:tc>
        <w:tc>
          <w:tcPr>
            <w:tcW w:w="2330" w:type="pct"/>
          </w:tcPr>
          <w:p w:rsidR="004D5A62" w:rsidRPr="006D7947" w:rsidRDefault="004D5A62" w:rsidP="004D5A62">
            <w:pPr>
              <w:jc w:val="both"/>
              <w:rPr>
                <w:rFonts w:eastAsiaTheme="minorHAnsi"/>
                <w:sz w:val="20"/>
                <w:lang w:val="fr-CA"/>
              </w:rPr>
            </w:pPr>
            <w:r w:rsidRPr="006D7947">
              <w:rPr>
                <w:rFonts w:eastAsiaTheme="minorHAnsi"/>
                <w:sz w:val="20"/>
                <w:lang w:val="fr-CA"/>
              </w:rPr>
              <w:t>Demande d'autorisation d'appel déposée</w:t>
            </w:r>
          </w:p>
          <w:p w:rsidR="004D5A62" w:rsidRPr="006D7947" w:rsidRDefault="004D5A62" w:rsidP="004D5A62">
            <w:pPr>
              <w:jc w:val="both"/>
              <w:rPr>
                <w:rFonts w:eastAsiaTheme="minorHAnsi"/>
                <w:sz w:val="20"/>
                <w:lang w:val="fr-CA"/>
              </w:rPr>
            </w:pPr>
          </w:p>
        </w:tc>
      </w:tr>
    </w:tbl>
    <w:p w:rsidR="004D5A62" w:rsidRDefault="004D5A62" w:rsidP="004D5A62">
      <w:pPr>
        <w:jc w:val="both"/>
        <w:rPr>
          <w:rFonts w:eastAsiaTheme="minorHAnsi"/>
          <w:sz w:val="20"/>
          <w:lang w:val="fr-CA"/>
        </w:rPr>
      </w:pPr>
    </w:p>
    <w:p w:rsidR="0079598A" w:rsidRPr="006D7947" w:rsidRDefault="0079598A" w:rsidP="004D5A62">
      <w:pPr>
        <w:jc w:val="both"/>
        <w:rPr>
          <w:rFonts w:eastAsiaTheme="minorHAns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7F1345" w:rsidRPr="007F1345" w:rsidTr="006D7947">
        <w:tc>
          <w:tcPr>
            <w:tcW w:w="543" w:type="pct"/>
          </w:tcPr>
          <w:p w:rsidR="007F1345" w:rsidRPr="007F1345" w:rsidRDefault="007F1345" w:rsidP="007F1345">
            <w:pPr>
              <w:jc w:val="both"/>
              <w:rPr>
                <w:rFonts w:eastAsiaTheme="minorHAnsi"/>
                <w:sz w:val="20"/>
                <w:lang w:val="en-CA"/>
              </w:rPr>
            </w:pPr>
            <w:r w:rsidRPr="006D7947">
              <w:rPr>
                <w:rFonts w:eastAsiaTheme="minorHAnsi"/>
                <w:b/>
                <w:sz w:val="20"/>
                <w:lang w:val="en-CA"/>
              </w:rPr>
              <w:t>34494</w:t>
            </w:r>
          </w:p>
        </w:tc>
        <w:tc>
          <w:tcPr>
            <w:tcW w:w="4457" w:type="pct"/>
            <w:gridSpan w:val="3"/>
          </w:tcPr>
          <w:p w:rsidR="007F1345" w:rsidRPr="007F1345" w:rsidRDefault="007F1345" w:rsidP="007F1345">
            <w:pPr>
              <w:jc w:val="both"/>
              <w:rPr>
                <w:rFonts w:eastAsiaTheme="minorHAnsi"/>
                <w:b/>
                <w:sz w:val="20"/>
                <w:lang w:val="en-CA"/>
              </w:rPr>
            </w:pPr>
            <w:r w:rsidRPr="007F1345">
              <w:rPr>
                <w:rFonts w:eastAsiaTheme="minorHAnsi"/>
                <w:b/>
                <w:sz w:val="20"/>
                <w:lang w:val="en-CA"/>
              </w:rPr>
              <w:t>City of Calgary v. Jim Christensen and Her Majesty the Queen in Right of Alberta</w:t>
            </w:r>
          </w:p>
          <w:p w:rsidR="007F1345" w:rsidRPr="007F1345" w:rsidRDefault="007F1345" w:rsidP="007F1345">
            <w:pPr>
              <w:jc w:val="both"/>
              <w:rPr>
                <w:rFonts w:eastAsiaTheme="minorHAnsi"/>
                <w:b/>
                <w:sz w:val="20"/>
                <w:lang w:val="en-CA"/>
              </w:rPr>
            </w:pPr>
            <w:r w:rsidRPr="007F1345">
              <w:rPr>
                <w:rFonts w:eastAsiaTheme="minorHAnsi"/>
                <w:b/>
                <w:sz w:val="20"/>
                <w:lang w:val="en-CA"/>
              </w:rPr>
              <w:noBreakHyphen/>
              <w:t xml:space="preserve"> and between </w:t>
            </w:r>
            <w:r w:rsidRPr="007F1345">
              <w:rPr>
                <w:rFonts w:eastAsiaTheme="minorHAnsi"/>
                <w:b/>
                <w:sz w:val="20"/>
                <w:lang w:val="en-CA"/>
              </w:rPr>
              <w:noBreakHyphen/>
            </w:r>
          </w:p>
          <w:p w:rsidR="007F1345" w:rsidRPr="007F1345" w:rsidRDefault="007F1345" w:rsidP="007F1345">
            <w:pPr>
              <w:jc w:val="both"/>
              <w:rPr>
                <w:rFonts w:eastAsiaTheme="minorHAnsi"/>
                <w:b/>
                <w:sz w:val="20"/>
                <w:lang w:val="en-CA"/>
              </w:rPr>
            </w:pPr>
            <w:r w:rsidRPr="007F1345">
              <w:rPr>
                <w:rFonts w:eastAsiaTheme="minorHAnsi"/>
                <w:b/>
                <w:sz w:val="20"/>
                <w:lang w:val="en-CA"/>
              </w:rPr>
              <w:t>City of Calgary v. Stephen Neil Gaston and Her Majesty the Queen in Right of Alberta</w:t>
            </w:r>
          </w:p>
          <w:p w:rsidR="007F1345" w:rsidRPr="007F1345" w:rsidRDefault="007F1345" w:rsidP="007F1345">
            <w:pPr>
              <w:jc w:val="both"/>
              <w:rPr>
                <w:rFonts w:eastAsiaTheme="minorHAnsi"/>
                <w:sz w:val="20"/>
                <w:lang w:val="en-CA"/>
              </w:rPr>
            </w:pPr>
            <w:r w:rsidRPr="007F1345">
              <w:rPr>
                <w:rFonts w:eastAsiaTheme="minorHAnsi"/>
                <w:sz w:val="20"/>
                <w:lang w:val="en-CA"/>
              </w:rPr>
              <w:t>(Alta.) (Civil) (By Leave)</w:t>
            </w:r>
          </w:p>
        </w:tc>
      </w:tr>
      <w:tr w:rsidR="007F1345" w:rsidRPr="007F1345" w:rsidTr="006D7947">
        <w:tc>
          <w:tcPr>
            <w:tcW w:w="5000" w:type="pct"/>
            <w:gridSpan w:val="4"/>
          </w:tcPr>
          <w:p w:rsidR="007F1345" w:rsidRPr="007F1345" w:rsidRDefault="007F1345" w:rsidP="007F1345">
            <w:pPr>
              <w:jc w:val="both"/>
              <w:rPr>
                <w:rFonts w:eastAsiaTheme="minorHAnsi"/>
                <w:sz w:val="20"/>
                <w:lang w:val="en-CA"/>
              </w:rPr>
            </w:pPr>
            <w:r w:rsidRPr="007F1345">
              <w:rPr>
                <w:rFonts w:eastAsiaTheme="minorHAnsi"/>
                <w:sz w:val="20"/>
                <w:lang w:val="en-CA"/>
              </w:rPr>
              <w:t xml:space="preserve">Torts — Negligence — Occupiers’ liability — Standard of care — Respondents bringing claim against applicant City under </w:t>
            </w:r>
            <w:r w:rsidRPr="007F1345">
              <w:rPr>
                <w:rFonts w:eastAsiaTheme="minorHAnsi"/>
                <w:i/>
                <w:sz w:val="20"/>
                <w:lang w:val="en-CA"/>
              </w:rPr>
              <w:t>Occupiers' Liability Act</w:t>
            </w:r>
            <w:r w:rsidRPr="007F1345">
              <w:rPr>
                <w:rFonts w:eastAsiaTheme="minorHAnsi"/>
                <w:sz w:val="20"/>
                <w:lang w:val="en-CA"/>
              </w:rPr>
              <w:t xml:space="preserve"> after they were injured while in</w:t>
            </w:r>
            <w:r w:rsidRPr="007F1345">
              <w:rPr>
                <w:rFonts w:eastAsiaTheme="minorHAnsi"/>
                <w:sz w:val="20"/>
                <w:lang w:val="en-CA"/>
              </w:rPr>
              <w:noBreakHyphen/>
              <w:t xml:space="preserve">line skating on a recreational pathway — City arguing that respondents had failed to establish requisite standard of care — Trial judge ruling in favour of respondents and Court of Appeal upholding ruling — Whether the Occupiers’ Liability legislation in place in six of the 10 provinces negates a plaintiff’s burden of establishing the reasonable standard of care required of an occupier — </w:t>
            </w:r>
            <w:r w:rsidRPr="007F1345">
              <w:rPr>
                <w:rFonts w:eastAsiaTheme="minorHAnsi"/>
                <w:i/>
                <w:sz w:val="20"/>
                <w:lang w:val="en-CA"/>
              </w:rPr>
              <w:t>Occupiers' Liability Act</w:t>
            </w:r>
            <w:r w:rsidRPr="007F1345">
              <w:rPr>
                <w:rFonts w:eastAsiaTheme="minorHAnsi"/>
                <w:sz w:val="20"/>
                <w:lang w:val="en-CA"/>
              </w:rPr>
              <w:t>, R.S.A. 2000, c. O</w:t>
            </w:r>
            <w:r w:rsidRPr="007F1345">
              <w:rPr>
                <w:rFonts w:eastAsiaTheme="minorHAnsi"/>
                <w:sz w:val="20"/>
                <w:lang w:val="en-CA"/>
              </w:rPr>
              <w:noBreakHyphen/>
              <w:t>4, ss. 5, 9.</w:t>
            </w:r>
          </w:p>
        </w:tc>
      </w:tr>
      <w:tr w:rsidR="007F1345" w:rsidRPr="007F1345" w:rsidTr="006D7947">
        <w:tc>
          <w:tcPr>
            <w:tcW w:w="5000" w:type="pct"/>
            <w:gridSpan w:val="4"/>
          </w:tcPr>
          <w:p w:rsidR="007F1345" w:rsidRPr="007F1345" w:rsidRDefault="007F1345" w:rsidP="007F1345">
            <w:pPr>
              <w:jc w:val="both"/>
              <w:rPr>
                <w:rFonts w:eastAsiaTheme="minorHAnsi"/>
                <w:sz w:val="20"/>
                <w:lang w:val="en-CA"/>
              </w:rPr>
            </w:pPr>
          </w:p>
        </w:tc>
      </w:tr>
      <w:tr w:rsidR="007F1345" w:rsidRPr="007F1345" w:rsidTr="006D7947">
        <w:tc>
          <w:tcPr>
            <w:tcW w:w="5000" w:type="pct"/>
            <w:gridSpan w:val="4"/>
          </w:tcPr>
          <w:p w:rsidR="007F1345" w:rsidRPr="007F1345" w:rsidRDefault="007F1345" w:rsidP="007F1345">
            <w:pPr>
              <w:jc w:val="both"/>
              <w:rPr>
                <w:rFonts w:eastAsiaTheme="minorHAnsi"/>
                <w:sz w:val="20"/>
                <w:lang w:val="en-CA"/>
              </w:rPr>
            </w:pPr>
            <w:r w:rsidRPr="007F1345">
              <w:rPr>
                <w:rFonts w:eastAsiaTheme="minorHAnsi"/>
                <w:sz w:val="20"/>
                <w:lang w:val="en-CA"/>
              </w:rPr>
              <w:t>The respondents were injured in two separate accidents that occurred when they were in</w:t>
            </w:r>
            <w:r w:rsidRPr="007F1345">
              <w:rPr>
                <w:rFonts w:eastAsiaTheme="minorHAnsi"/>
                <w:sz w:val="20"/>
                <w:lang w:val="en-CA"/>
              </w:rPr>
              <w:noBreakHyphen/>
              <w:t>line skating on public land specifically designed by the applicant City for recreational use in a variety of activities.  The accidents took place on a steep hill.  The issue of liability went to trial.  The trial judge ruled in favour of the respondents, but found each of them contributorily negligent, assessing 10 percent to Mr. Christensen and 25 percent to Mr. Gaston.  The Court of Appeal, in a majority judgment, dismissed the City’s appeal.</w:t>
            </w:r>
          </w:p>
          <w:p w:rsidR="007F1345" w:rsidRPr="007F1345" w:rsidRDefault="007F1345" w:rsidP="007F1345">
            <w:pPr>
              <w:jc w:val="both"/>
              <w:rPr>
                <w:rFonts w:eastAsiaTheme="minorHAnsi"/>
                <w:sz w:val="20"/>
                <w:lang w:val="en-CA"/>
              </w:rPr>
            </w:pPr>
          </w:p>
        </w:tc>
      </w:tr>
      <w:tr w:rsidR="007F1345" w:rsidRPr="007F1345" w:rsidTr="006D7947">
        <w:tc>
          <w:tcPr>
            <w:tcW w:w="2427" w:type="pct"/>
            <w:gridSpan w:val="2"/>
          </w:tcPr>
          <w:p w:rsidR="007F1345" w:rsidRPr="007F1345" w:rsidRDefault="007F1345" w:rsidP="007F1345">
            <w:pPr>
              <w:jc w:val="both"/>
              <w:rPr>
                <w:rFonts w:eastAsiaTheme="minorHAnsi"/>
                <w:sz w:val="20"/>
                <w:lang w:val="en-CA"/>
              </w:rPr>
            </w:pPr>
            <w:r w:rsidRPr="007F1345">
              <w:rPr>
                <w:rFonts w:eastAsiaTheme="minorHAnsi"/>
                <w:sz w:val="20"/>
                <w:lang w:val="en-CA"/>
              </w:rPr>
              <w:t>July 7, 2010</w:t>
            </w:r>
          </w:p>
          <w:p w:rsidR="007F1345" w:rsidRPr="007F1345" w:rsidRDefault="007F1345" w:rsidP="007F1345">
            <w:pPr>
              <w:jc w:val="both"/>
              <w:rPr>
                <w:rFonts w:eastAsiaTheme="minorHAnsi"/>
                <w:sz w:val="20"/>
                <w:lang w:val="en-CA"/>
              </w:rPr>
            </w:pPr>
            <w:r w:rsidRPr="007F1345">
              <w:rPr>
                <w:rFonts w:eastAsiaTheme="minorHAnsi"/>
                <w:sz w:val="20"/>
                <w:lang w:val="en-CA"/>
              </w:rPr>
              <w:t>Court of Queen’s Bench of Alberta</w:t>
            </w:r>
          </w:p>
          <w:p w:rsidR="007F1345" w:rsidRPr="007F1345" w:rsidRDefault="007F1345" w:rsidP="007F1345">
            <w:pPr>
              <w:jc w:val="both"/>
              <w:rPr>
                <w:rFonts w:eastAsiaTheme="minorHAnsi"/>
                <w:sz w:val="20"/>
                <w:lang w:val="en-CA"/>
              </w:rPr>
            </w:pPr>
            <w:r w:rsidRPr="007F1345">
              <w:rPr>
                <w:rFonts w:eastAsiaTheme="minorHAnsi"/>
                <w:sz w:val="20"/>
                <w:lang w:val="en-CA"/>
              </w:rPr>
              <w:t>(Martin J.)</w:t>
            </w:r>
          </w:p>
          <w:p w:rsidR="007F1345" w:rsidRPr="007F1345" w:rsidRDefault="007F1345" w:rsidP="007F1345">
            <w:pPr>
              <w:jc w:val="both"/>
              <w:rPr>
                <w:rFonts w:eastAsiaTheme="minorHAnsi"/>
                <w:sz w:val="20"/>
                <w:lang w:val="en-CA"/>
              </w:rPr>
            </w:pPr>
          </w:p>
        </w:tc>
        <w:tc>
          <w:tcPr>
            <w:tcW w:w="243" w:type="pct"/>
          </w:tcPr>
          <w:p w:rsidR="007F1345" w:rsidRPr="007F1345" w:rsidRDefault="007F1345" w:rsidP="007F1345">
            <w:pPr>
              <w:jc w:val="both"/>
              <w:rPr>
                <w:rFonts w:eastAsiaTheme="minorHAnsi"/>
                <w:sz w:val="20"/>
                <w:lang w:val="en-CA"/>
              </w:rPr>
            </w:pPr>
          </w:p>
        </w:tc>
        <w:tc>
          <w:tcPr>
            <w:tcW w:w="2330" w:type="pct"/>
          </w:tcPr>
          <w:p w:rsidR="007F1345" w:rsidRPr="007F1345" w:rsidRDefault="007F1345" w:rsidP="007F1345">
            <w:pPr>
              <w:jc w:val="both"/>
              <w:rPr>
                <w:rFonts w:eastAsiaTheme="minorHAnsi"/>
                <w:sz w:val="20"/>
                <w:lang w:val="en-CA"/>
              </w:rPr>
            </w:pPr>
            <w:r w:rsidRPr="007F1345">
              <w:rPr>
                <w:rFonts w:eastAsiaTheme="minorHAnsi"/>
                <w:sz w:val="20"/>
                <w:lang w:val="en-CA"/>
              </w:rPr>
              <w:t xml:space="preserve">Applicant City found liable under </w:t>
            </w:r>
            <w:r w:rsidRPr="007F1345">
              <w:rPr>
                <w:rFonts w:eastAsiaTheme="minorHAnsi"/>
                <w:i/>
                <w:sz w:val="20"/>
                <w:lang w:val="en-CA"/>
              </w:rPr>
              <w:t>Occupiers’ Liability Act</w:t>
            </w:r>
          </w:p>
          <w:p w:rsidR="007F1345" w:rsidRPr="007F1345" w:rsidRDefault="007F1345" w:rsidP="007F1345">
            <w:pPr>
              <w:jc w:val="both"/>
              <w:rPr>
                <w:rFonts w:eastAsiaTheme="minorHAnsi"/>
                <w:sz w:val="20"/>
                <w:lang w:val="en-CA"/>
              </w:rPr>
            </w:pPr>
          </w:p>
        </w:tc>
      </w:tr>
      <w:tr w:rsidR="007F1345" w:rsidRPr="007F1345" w:rsidTr="006D7947">
        <w:tc>
          <w:tcPr>
            <w:tcW w:w="2427" w:type="pct"/>
            <w:gridSpan w:val="2"/>
          </w:tcPr>
          <w:p w:rsidR="007F1345" w:rsidRPr="007F1345" w:rsidRDefault="007F1345" w:rsidP="007F1345">
            <w:pPr>
              <w:jc w:val="both"/>
              <w:rPr>
                <w:rFonts w:eastAsiaTheme="minorHAnsi"/>
                <w:sz w:val="20"/>
                <w:lang w:val="en-CA"/>
              </w:rPr>
            </w:pPr>
            <w:r w:rsidRPr="007F1345">
              <w:rPr>
                <w:rFonts w:eastAsiaTheme="minorHAnsi"/>
                <w:sz w:val="20"/>
                <w:lang w:val="en-CA"/>
              </w:rPr>
              <w:t>August 19, 2011</w:t>
            </w:r>
          </w:p>
          <w:p w:rsidR="007F1345" w:rsidRPr="007F1345" w:rsidRDefault="007F1345" w:rsidP="007F1345">
            <w:pPr>
              <w:jc w:val="both"/>
              <w:rPr>
                <w:rFonts w:eastAsiaTheme="minorHAnsi"/>
                <w:sz w:val="20"/>
                <w:lang w:val="en-CA"/>
              </w:rPr>
            </w:pPr>
            <w:r w:rsidRPr="007F1345">
              <w:rPr>
                <w:rFonts w:eastAsiaTheme="minorHAnsi"/>
                <w:sz w:val="20"/>
                <w:lang w:val="en-CA"/>
              </w:rPr>
              <w:t>Court of Appeal of Alberta</w:t>
            </w:r>
          </w:p>
          <w:p w:rsidR="007F1345" w:rsidRPr="007F1345" w:rsidRDefault="007F1345" w:rsidP="007F1345">
            <w:pPr>
              <w:jc w:val="both"/>
              <w:rPr>
                <w:rFonts w:eastAsiaTheme="minorHAnsi"/>
                <w:sz w:val="20"/>
                <w:lang w:val="en-CA"/>
              </w:rPr>
            </w:pPr>
            <w:r w:rsidRPr="007F1345">
              <w:rPr>
                <w:rFonts w:eastAsiaTheme="minorHAnsi"/>
                <w:sz w:val="20"/>
                <w:lang w:val="en-CA"/>
              </w:rPr>
              <w:t>(Conrad, Berger and McDonald (dissenting) JJ.A.)</w:t>
            </w:r>
          </w:p>
          <w:p w:rsidR="007F1345" w:rsidRPr="007F1345" w:rsidRDefault="007F1345" w:rsidP="007F1345">
            <w:pPr>
              <w:jc w:val="both"/>
              <w:rPr>
                <w:rFonts w:eastAsiaTheme="minorHAnsi"/>
                <w:sz w:val="20"/>
                <w:lang w:val="en-CA"/>
              </w:rPr>
            </w:pPr>
            <w:r w:rsidRPr="007F1345">
              <w:rPr>
                <w:rFonts w:eastAsiaTheme="minorHAnsi"/>
                <w:sz w:val="20"/>
                <w:lang w:val="en-CA"/>
              </w:rPr>
              <w:t>2011 ABCA 244</w:t>
            </w:r>
          </w:p>
          <w:p w:rsidR="007F1345" w:rsidRPr="007F1345" w:rsidRDefault="007F1345" w:rsidP="007F1345">
            <w:pPr>
              <w:jc w:val="both"/>
              <w:rPr>
                <w:rFonts w:eastAsiaTheme="minorHAnsi"/>
                <w:sz w:val="20"/>
                <w:lang w:val="en-CA"/>
              </w:rPr>
            </w:pPr>
          </w:p>
        </w:tc>
        <w:tc>
          <w:tcPr>
            <w:tcW w:w="243" w:type="pct"/>
          </w:tcPr>
          <w:p w:rsidR="007F1345" w:rsidRPr="007F1345" w:rsidRDefault="007F1345" w:rsidP="007F1345">
            <w:pPr>
              <w:jc w:val="both"/>
              <w:rPr>
                <w:rFonts w:eastAsiaTheme="minorHAnsi"/>
                <w:sz w:val="20"/>
                <w:lang w:val="en-CA"/>
              </w:rPr>
            </w:pPr>
          </w:p>
        </w:tc>
        <w:tc>
          <w:tcPr>
            <w:tcW w:w="2330" w:type="pct"/>
          </w:tcPr>
          <w:p w:rsidR="007F1345" w:rsidRPr="007F1345" w:rsidRDefault="007F1345" w:rsidP="007F1345">
            <w:pPr>
              <w:jc w:val="both"/>
              <w:rPr>
                <w:rFonts w:eastAsiaTheme="minorHAnsi"/>
                <w:sz w:val="20"/>
                <w:lang w:val="en-CA"/>
              </w:rPr>
            </w:pPr>
            <w:r w:rsidRPr="007F1345">
              <w:rPr>
                <w:rFonts w:eastAsiaTheme="minorHAnsi"/>
                <w:sz w:val="20"/>
                <w:lang w:val="en-CA"/>
              </w:rPr>
              <w:t>Appeal dismissed</w:t>
            </w:r>
          </w:p>
          <w:p w:rsidR="007F1345" w:rsidRPr="007F1345" w:rsidRDefault="007F1345" w:rsidP="007F1345">
            <w:pPr>
              <w:jc w:val="both"/>
              <w:rPr>
                <w:rFonts w:eastAsiaTheme="minorHAnsi"/>
                <w:sz w:val="20"/>
                <w:lang w:val="en-CA"/>
              </w:rPr>
            </w:pPr>
          </w:p>
        </w:tc>
      </w:tr>
      <w:tr w:rsidR="007F1345" w:rsidRPr="007F1345" w:rsidTr="006D7947">
        <w:tc>
          <w:tcPr>
            <w:tcW w:w="2427" w:type="pct"/>
            <w:gridSpan w:val="2"/>
          </w:tcPr>
          <w:p w:rsidR="007F1345" w:rsidRPr="007F1345" w:rsidRDefault="007F1345" w:rsidP="007F1345">
            <w:pPr>
              <w:jc w:val="both"/>
              <w:rPr>
                <w:rFonts w:eastAsiaTheme="minorHAnsi"/>
                <w:sz w:val="20"/>
                <w:lang w:val="en-CA"/>
              </w:rPr>
            </w:pPr>
            <w:r w:rsidRPr="007F1345">
              <w:rPr>
                <w:rFonts w:eastAsiaTheme="minorHAnsi"/>
                <w:sz w:val="20"/>
                <w:lang w:val="en-CA"/>
              </w:rPr>
              <w:t>October 18, 2011</w:t>
            </w:r>
          </w:p>
          <w:p w:rsidR="007F1345" w:rsidRPr="007F1345" w:rsidRDefault="007F1345" w:rsidP="007F1345">
            <w:pPr>
              <w:jc w:val="both"/>
              <w:rPr>
                <w:rFonts w:eastAsiaTheme="minorHAnsi"/>
                <w:sz w:val="20"/>
                <w:lang w:val="en-CA"/>
              </w:rPr>
            </w:pPr>
            <w:r w:rsidRPr="007F1345">
              <w:rPr>
                <w:rFonts w:eastAsiaTheme="minorHAnsi"/>
                <w:sz w:val="20"/>
                <w:lang w:val="en-CA"/>
              </w:rPr>
              <w:t>Supreme Court of Canada</w:t>
            </w:r>
          </w:p>
          <w:p w:rsidR="007F1345" w:rsidRPr="007F1345" w:rsidRDefault="007F1345" w:rsidP="007F1345">
            <w:pPr>
              <w:jc w:val="both"/>
              <w:rPr>
                <w:rFonts w:eastAsiaTheme="minorHAnsi"/>
                <w:sz w:val="20"/>
                <w:lang w:val="en-CA"/>
              </w:rPr>
            </w:pPr>
          </w:p>
        </w:tc>
        <w:tc>
          <w:tcPr>
            <w:tcW w:w="243" w:type="pct"/>
          </w:tcPr>
          <w:p w:rsidR="007F1345" w:rsidRPr="007F1345" w:rsidRDefault="007F1345" w:rsidP="007F1345">
            <w:pPr>
              <w:jc w:val="both"/>
              <w:rPr>
                <w:rFonts w:eastAsiaTheme="minorHAnsi"/>
                <w:sz w:val="20"/>
                <w:lang w:val="en-CA"/>
              </w:rPr>
            </w:pPr>
          </w:p>
        </w:tc>
        <w:tc>
          <w:tcPr>
            <w:tcW w:w="2330" w:type="pct"/>
          </w:tcPr>
          <w:p w:rsidR="007F1345" w:rsidRPr="007F1345" w:rsidRDefault="007F1345" w:rsidP="007F1345">
            <w:pPr>
              <w:jc w:val="both"/>
              <w:rPr>
                <w:rFonts w:eastAsiaTheme="minorHAnsi"/>
                <w:sz w:val="20"/>
                <w:lang w:val="en-CA"/>
              </w:rPr>
            </w:pPr>
            <w:r w:rsidRPr="007F1345">
              <w:rPr>
                <w:rFonts w:eastAsiaTheme="minorHAnsi"/>
                <w:sz w:val="20"/>
                <w:lang w:val="en-CA"/>
              </w:rPr>
              <w:t>Application for leave to appeal filed</w:t>
            </w:r>
          </w:p>
          <w:p w:rsidR="007F1345" w:rsidRPr="007F1345" w:rsidRDefault="007F1345" w:rsidP="007F1345">
            <w:pPr>
              <w:jc w:val="both"/>
              <w:rPr>
                <w:rFonts w:eastAsiaTheme="minorHAnsi"/>
                <w:sz w:val="20"/>
                <w:lang w:val="en-CA"/>
              </w:rPr>
            </w:pPr>
          </w:p>
        </w:tc>
      </w:tr>
    </w:tbl>
    <w:p w:rsidR="007F1345" w:rsidRPr="007F1345" w:rsidRDefault="007F1345" w:rsidP="007F1345">
      <w:pPr>
        <w:jc w:val="both"/>
        <w:rPr>
          <w:rFonts w:eastAsiaTheme="minorHAnsi"/>
          <w:sz w:val="20"/>
          <w:lang w:val="en-CA"/>
        </w:rPr>
      </w:pPr>
    </w:p>
    <w:tbl>
      <w:tblPr>
        <w:tblW w:w="4952" w:type="pct"/>
        <w:tblLayout w:type="fixed"/>
        <w:tblCellMar>
          <w:left w:w="0" w:type="dxa"/>
          <w:bottom w:w="99" w:type="dxa"/>
          <w:right w:w="0" w:type="dxa"/>
        </w:tblCellMar>
        <w:tblLook w:val="04A0"/>
      </w:tblPr>
      <w:tblGrid>
        <w:gridCol w:w="1006"/>
        <w:gridCol w:w="3493"/>
        <w:gridCol w:w="451"/>
        <w:gridCol w:w="4320"/>
      </w:tblGrid>
      <w:tr w:rsidR="007F1345" w:rsidRPr="007F1345" w:rsidTr="006D7947">
        <w:tc>
          <w:tcPr>
            <w:tcW w:w="543" w:type="pct"/>
          </w:tcPr>
          <w:p w:rsidR="007F1345" w:rsidRPr="007F1345" w:rsidRDefault="007F1345" w:rsidP="007F1345">
            <w:pPr>
              <w:jc w:val="both"/>
              <w:rPr>
                <w:rFonts w:eastAsiaTheme="minorHAnsi"/>
                <w:sz w:val="20"/>
                <w:lang w:val="fr-CA"/>
              </w:rPr>
            </w:pPr>
            <w:r w:rsidRPr="006D7947">
              <w:rPr>
                <w:rFonts w:eastAsiaTheme="minorHAnsi"/>
                <w:b/>
                <w:sz w:val="20"/>
                <w:lang w:val="fr-CA"/>
              </w:rPr>
              <w:t>34494</w:t>
            </w:r>
          </w:p>
        </w:tc>
        <w:tc>
          <w:tcPr>
            <w:tcW w:w="4457" w:type="pct"/>
            <w:gridSpan w:val="3"/>
          </w:tcPr>
          <w:p w:rsidR="007F1345" w:rsidRPr="007F1345" w:rsidRDefault="007F1345" w:rsidP="007F1345">
            <w:pPr>
              <w:jc w:val="both"/>
              <w:rPr>
                <w:rFonts w:eastAsiaTheme="minorHAnsi"/>
                <w:b/>
                <w:sz w:val="20"/>
                <w:lang w:val="fr-CA"/>
              </w:rPr>
            </w:pPr>
            <w:r w:rsidRPr="007F1345">
              <w:rPr>
                <w:rFonts w:eastAsiaTheme="minorHAnsi"/>
                <w:b/>
                <w:sz w:val="20"/>
                <w:lang w:val="fr-CA"/>
              </w:rPr>
              <w:t>Ville de Calgary c. Jim Christensen et Sa Majesté la Reine du chef de l’Alberta</w:t>
            </w:r>
          </w:p>
          <w:p w:rsidR="007F1345" w:rsidRPr="007F1345" w:rsidRDefault="007F1345" w:rsidP="007F1345">
            <w:pPr>
              <w:jc w:val="both"/>
              <w:rPr>
                <w:rFonts w:eastAsiaTheme="minorHAnsi"/>
                <w:b/>
                <w:sz w:val="20"/>
                <w:lang w:val="fr-CA"/>
              </w:rPr>
            </w:pPr>
            <w:r w:rsidRPr="007F1345">
              <w:rPr>
                <w:rFonts w:eastAsiaTheme="minorHAnsi"/>
                <w:b/>
                <w:sz w:val="20"/>
                <w:lang w:val="fr-CA"/>
              </w:rPr>
              <w:noBreakHyphen/>
              <w:t xml:space="preserve"> et entre </w:t>
            </w:r>
            <w:r w:rsidRPr="007F1345">
              <w:rPr>
                <w:rFonts w:eastAsiaTheme="minorHAnsi"/>
                <w:b/>
                <w:sz w:val="20"/>
                <w:lang w:val="fr-CA"/>
              </w:rPr>
              <w:noBreakHyphen/>
            </w:r>
          </w:p>
          <w:p w:rsidR="007F1345" w:rsidRPr="007F1345" w:rsidRDefault="007F1345" w:rsidP="007F1345">
            <w:pPr>
              <w:jc w:val="both"/>
              <w:rPr>
                <w:rFonts w:eastAsiaTheme="minorHAnsi"/>
                <w:b/>
                <w:sz w:val="20"/>
                <w:lang w:val="fr-CA"/>
              </w:rPr>
            </w:pPr>
            <w:r w:rsidRPr="007F1345">
              <w:rPr>
                <w:rFonts w:eastAsiaTheme="minorHAnsi"/>
                <w:b/>
                <w:sz w:val="20"/>
                <w:lang w:val="fr-CA"/>
              </w:rPr>
              <w:t xml:space="preserve">Ville de Calgary c. Stephen Neil Gaston et Sa Majesté la Reine du chef de l’Alberta </w:t>
            </w:r>
          </w:p>
          <w:p w:rsidR="007F1345" w:rsidRPr="007F1345" w:rsidRDefault="007F1345" w:rsidP="007F1345">
            <w:pPr>
              <w:jc w:val="both"/>
              <w:rPr>
                <w:rFonts w:eastAsiaTheme="minorHAnsi"/>
                <w:sz w:val="20"/>
                <w:lang w:val="fr-CA"/>
              </w:rPr>
            </w:pPr>
            <w:r w:rsidRPr="007F1345">
              <w:rPr>
                <w:rFonts w:eastAsiaTheme="minorHAnsi"/>
                <w:sz w:val="20"/>
                <w:lang w:val="fr-CA"/>
              </w:rPr>
              <w:t>(Alb.) (Civile) (Sur autorisation)</w:t>
            </w:r>
          </w:p>
        </w:tc>
      </w:tr>
      <w:tr w:rsidR="007F1345" w:rsidRPr="0079598A" w:rsidTr="006D7947">
        <w:tc>
          <w:tcPr>
            <w:tcW w:w="5000" w:type="pct"/>
            <w:gridSpan w:val="4"/>
          </w:tcPr>
          <w:p w:rsidR="007F1345" w:rsidRPr="007F1345" w:rsidRDefault="007F1345" w:rsidP="007F1345">
            <w:pPr>
              <w:jc w:val="both"/>
              <w:rPr>
                <w:rFonts w:eastAsiaTheme="minorHAnsi"/>
                <w:sz w:val="20"/>
                <w:lang w:val="fr-CA"/>
              </w:rPr>
            </w:pPr>
            <w:r w:rsidRPr="007F1345">
              <w:rPr>
                <w:rFonts w:eastAsiaTheme="minorHAnsi"/>
                <w:sz w:val="20"/>
                <w:lang w:val="fr-CA"/>
              </w:rPr>
              <w:t>Responsabilité délictuelle — Négligence — Responsabilité de l’occupant — Norme de diligence — Poursuites intentées par les défendeurs contre la ville demanderesse sur le fondement de l’</w:t>
            </w:r>
            <w:r w:rsidRPr="007F1345">
              <w:rPr>
                <w:rFonts w:eastAsiaTheme="minorHAnsi"/>
                <w:i/>
                <w:sz w:val="20"/>
                <w:lang w:val="fr-CA"/>
              </w:rPr>
              <w:t>Occupiers' Liability Act</w:t>
            </w:r>
            <w:r w:rsidRPr="007F1345">
              <w:rPr>
                <w:rFonts w:eastAsiaTheme="minorHAnsi"/>
                <w:sz w:val="20"/>
                <w:lang w:val="fr-CA"/>
              </w:rPr>
              <w:t xml:space="preserve"> après que ces derniers eurent été blessés en s’adonnant au patin à roues alignées dans un sentier récréatif — La ville a soutenu que les défendeurs n’avaient pas établi la norme de diligence requise — La juge de première instance a tranché en faveur des défendeurs, et la Cour d’appel a confirmé son jugement — Les dispositions sur la responsabilité de l’occupant qui s’appliquent dans six des dix provinces ont</w:t>
            </w:r>
            <w:r w:rsidRPr="007F1345">
              <w:rPr>
                <w:rFonts w:eastAsiaTheme="minorHAnsi"/>
                <w:sz w:val="20"/>
                <w:lang w:val="fr-CA"/>
              </w:rPr>
              <w:noBreakHyphen/>
              <w:t xml:space="preserve">elles pour effet de soustraire un demandeur à l’obligation d’établir la norme de diligence raisonnable requise d’un occupant? — </w:t>
            </w:r>
            <w:r w:rsidRPr="007F1345">
              <w:rPr>
                <w:rFonts w:eastAsiaTheme="minorHAnsi"/>
                <w:i/>
                <w:sz w:val="20"/>
                <w:lang w:val="fr-CA"/>
              </w:rPr>
              <w:t>Occupiers' Liability Act</w:t>
            </w:r>
            <w:r w:rsidRPr="007F1345">
              <w:rPr>
                <w:rFonts w:eastAsiaTheme="minorHAnsi"/>
                <w:sz w:val="20"/>
                <w:lang w:val="fr-CA"/>
              </w:rPr>
              <w:t>, R.S.A. 2000, ch. O</w:t>
            </w:r>
            <w:r w:rsidRPr="007F1345">
              <w:rPr>
                <w:rFonts w:eastAsiaTheme="minorHAnsi"/>
                <w:sz w:val="20"/>
                <w:lang w:val="fr-CA"/>
              </w:rPr>
              <w:noBreakHyphen/>
              <w:t>4, art. 5, 9.</w:t>
            </w:r>
          </w:p>
        </w:tc>
      </w:tr>
      <w:tr w:rsidR="007F1345" w:rsidRPr="0079598A" w:rsidTr="006D7947">
        <w:tc>
          <w:tcPr>
            <w:tcW w:w="5000" w:type="pct"/>
            <w:gridSpan w:val="4"/>
          </w:tcPr>
          <w:p w:rsidR="007F1345" w:rsidRPr="007F1345" w:rsidRDefault="007F1345" w:rsidP="007F1345">
            <w:pPr>
              <w:jc w:val="both"/>
              <w:rPr>
                <w:rFonts w:eastAsiaTheme="minorHAnsi"/>
                <w:sz w:val="20"/>
                <w:lang w:val="fr-CA"/>
              </w:rPr>
            </w:pPr>
          </w:p>
        </w:tc>
      </w:tr>
      <w:tr w:rsidR="007F1345" w:rsidRPr="00686322" w:rsidTr="006D7947">
        <w:tc>
          <w:tcPr>
            <w:tcW w:w="5000" w:type="pct"/>
            <w:gridSpan w:val="4"/>
          </w:tcPr>
          <w:p w:rsidR="007F1345" w:rsidRPr="007F1345" w:rsidRDefault="007F1345" w:rsidP="007F1345">
            <w:pPr>
              <w:jc w:val="both"/>
              <w:rPr>
                <w:rFonts w:eastAsiaTheme="minorHAnsi"/>
                <w:sz w:val="20"/>
                <w:lang w:val="fr-CA"/>
              </w:rPr>
            </w:pPr>
            <w:r w:rsidRPr="007F1345">
              <w:rPr>
                <w:rFonts w:eastAsiaTheme="minorHAnsi"/>
                <w:sz w:val="20"/>
                <w:lang w:val="fr-CA"/>
              </w:rPr>
              <w:t>Les défendeurs ont subi des blessures à l’occasion de deux accidents distincts survenus tandis qu’ils s’adonnaient au patin à roues alignées dans un lieu public spécialement aménagé par la ville demanderesse pour la pratique de différentes activités récréatives.  Les accidents se sont produits sur une pente abrupte.  La question de la responsabilité a donné lieu à la tenue d’un procès.  La juge de première instance a tranché en faveur des défendeurs, mais elle a attribué à chacun une négligence contributive, à raison de 10 p. cent pour M. Christensen et de 25 p. cent pour M. Gaston.  Les juges majoritaires de la Cour d’appel ont rejeté l’appel de la ville.</w:t>
            </w:r>
          </w:p>
          <w:p w:rsidR="007F1345" w:rsidRPr="007F1345" w:rsidRDefault="007F1345" w:rsidP="007F1345">
            <w:pPr>
              <w:jc w:val="both"/>
              <w:rPr>
                <w:rFonts w:eastAsiaTheme="minorHAnsi"/>
                <w:sz w:val="20"/>
                <w:lang w:val="fr-CA"/>
              </w:rPr>
            </w:pPr>
          </w:p>
        </w:tc>
      </w:tr>
      <w:tr w:rsidR="007F1345" w:rsidRPr="00686322" w:rsidTr="006D7947">
        <w:tc>
          <w:tcPr>
            <w:tcW w:w="2427" w:type="pct"/>
            <w:gridSpan w:val="2"/>
          </w:tcPr>
          <w:p w:rsidR="007F1345" w:rsidRPr="007F1345" w:rsidRDefault="007F1345" w:rsidP="007F1345">
            <w:pPr>
              <w:jc w:val="both"/>
              <w:rPr>
                <w:rFonts w:eastAsiaTheme="minorHAnsi"/>
                <w:sz w:val="20"/>
                <w:lang w:val="fr-CA"/>
              </w:rPr>
            </w:pPr>
            <w:r w:rsidRPr="007F1345">
              <w:rPr>
                <w:rFonts w:eastAsiaTheme="minorHAnsi"/>
                <w:sz w:val="20"/>
                <w:lang w:val="fr-CA"/>
              </w:rPr>
              <w:t>7 juillet 2010</w:t>
            </w:r>
          </w:p>
          <w:p w:rsidR="007F1345" w:rsidRPr="007F1345" w:rsidRDefault="007F1345" w:rsidP="007F1345">
            <w:pPr>
              <w:jc w:val="both"/>
              <w:rPr>
                <w:rFonts w:eastAsiaTheme="minorHAnsi"/>
                <w:sz w:val="20"/>
                <w:lang w:val="fr-CA"/>
              </w:rPr>
            </w:pPr>
            <w:r w:rsidRPr="007F1345">
              <w:rPr>
                <w:rFonts w:eastAsiaTheme="minorHAnsi"/>
                <w:sz w:val="20"/>
                <w:lang w:val="fr-CA"/>
              </w:rPr>
              <w:t>Cour du Banc de la Reine de l’Alberta</w:t>
            </w:r>
          </w:p>
          <w:p w:rsidR="007F1345" w:rsidRPr="007F1345" w:rsidRDefault="007F1345" w:rsidP="007F1345">
            <w:pPr>
              <w:jc w:val="both"/>
              <w:rPr>
                <w:rFonts w:eastAsiaTheme="minorHAnsi"/>
                <w:sz w:val="20"/>
                <w:lang w:val="fr-CA"/>
              </w:rPr>
            </w:pPr>
            <w:r w:rsidRPr="007F1345">
              <w:rPr>
                <w:rFonts w:eastAsiaTheme="minorHAnsi"/>
                <w:sz w:val="20"/>
                <w:lang w:val="fr-CA"/>
              </w:rPr>
              <w:t xml:space="preserve">(Juge </w:t>
            </w:r>
            <w:proofErr w:type="gramStart"/>
            <w:r w:rsidRPr="007F1345">
              <w:rPr>
                <w:rFonts w:eastAsiaTheme="minorHAnsi"/>
                <w:sz w:val="20"/>
                <w:lang w:val="fr-CA"/>
              </w:rPr>
              <w:t>Martin )</w:t>
            </w:r>
            <w:proofErr w:type="gramEnd"/>
          </w:p>
          <w:p w:rsidR="007F1345" w:rsidRPr="007F1345" w:rsidRDefault="007F1345" w:rsidP="007F1345">
            <w:pPr>
              <w:jc w:val="both"/>
              <w:rPr>
                <w:rFonts w:eastAsiaTheme="minorHAnsi"/>
                <w:sz w:val="20"/>
                <w:lang w:val="fr-CA"/>
              </w:rPr>
            </w:pPr>
          </w:p>
        </w:tc>
        <w:tc>
          <w:tcPr>
            <w:tcW w:w="243" w:type="pct"/>
          </w:tcPr>
          <w:p w:rsidR="007F1345" w:rsidRPr="007F1345" w:rsidRDefault="007F1345" w:rsidP="007F1345">
            <w:pPr>
              <w:jc w:val="both"/>
              <w:rPr>
                <w:rFonts w:eastAsiaTheme="minorHAnsi"/>
                <w:sz w:val="20"/>
                <w:lang w:val="fr-CA"/>
              </w:rPr>
            </w:pPr>
          </w:p>
        </w:tc>
        <w:tc>
          <w:tcPr>
            <w:tcW w:w="2330" w:type="pct"/>
          </w:tcPr>
          <w:p w:rsidR="007F1345" w:rsidRPr="007F1345" w:rsidRDefault="007F1345" w:rsidP="007F1345">
            <w:pPr>
              <w:jc w:val="both"/>
              <w:rPr>
                <w:rFonts w:eastAsiaTheme="minorHAnsi"/>
                <w:sz w:val="20"/>
                <w:lang w:val="fr-CA"/>
              </w:rPr>
            </w:pPr>
            <w:r w:rsidRPr="007F1345">
              <w:rPr>
                <w:rFonts w:eastAsiaTheme="minorHAnsi"/>
                <w:sz w:val="20"/>
                <w:lang w:val="fr-CA"/>
              </w:rPr>
              <w:t>Ville demanderesse tenue responsable suivant l’</w:t>
            </w:r>
            <w:r w:rsidRPr="007F1345">
              <w:rPr>
                <w:rFonts w:eastAsiaTheme="minorHAnsi"/>
                <w:i/>
                <w:sz w:val="20"/>
                <w:lang w:val="fr-CA"/>
              </w:rPr>
              <w:t>Occupiers’ Liability Act</w:t>
            </w:r>
          </w:p>
          <w:p w:rsidR="007F1345" w:rsidRPr="007F1345" w:rsidRDefault="007F1345" w:rsidP="007F1345">
            <w:pPr>
              <w:jc w:val="both"/>
              <w:rPr>
                <w:rFonts w:eastAsiaTheme="minorHAnsi"/>
                <w:sz w:val="20"/>
                <w:lang w:val="fr-CA"/>
              </w:rPr>
            </w:pPr>
          </w:p>
        </w:tc>
      </w:tr>
      <w:tr w:rsidR="007F1345" w:rsidRPr="007F1345" w:rsidTr="006D7947">
        <w:tc>
          <w:tcPr>
            <w:tcW w:w="2427" w:type="pct"/>
            <w:gridSpan w:val="2"/>
          </w:tcPr>
          <w:p w:rsidR="007F1345" w:rsidRPr="007F1345" w:rsidRDefault="007F1345" w:rsidP="007F1345">
            <w:pPr>
              <w:jc w:val="both"/>
              <w:rPr>
                <w:rFonts w:eastAsiaTheme="minorHAnsi"/>
                <w:sz w:val="20"/>
                <w:lang w:val="fr-CA"/>
              </w:rPr>
            </w:pPr>
            <w:r w:rsidRPr="007F1345">
              <w:rPr>
                <w:rFonts w:eastAsiaTheme="minorHAnsi"/>
                <w:sz w:val="20"/>
                <w:lang w:val="fr-CA"/>
              </w:rPr>
              <w:t>19 août 2011</w:t>
            </w:r>
          </w:p>
          <w:p w:rsidR="007F1345" w:rsidRPr="007F1345" w:rsidRDefault="007F1345" w:rsidP="007F1345">
            <w:pPr>
              <w:jc w:val="both"/>
              <w:rPr>
                <w:rFonts w:eastAsiaTheme="minorHAnsi"/>
                <w:sz w:val="20"/>
                <w:lang w:val="fr-CA"/>
              </w:rPr>
            </w:pPr>
            <w:r w:rsidRPr="007F1345">
              <w:rPr>
                <w:rFonts w:eastAsiaTheme="minorHAnsi"/>
                <w:sz w:val="20"/>
                <w:lang w:val="fr-CA"/>
              </w:rPr>
              <w:t>Cour d’appel de l’Alberta</w:t>
            </w:r>
          </w:p>
          <w:p w:rsidR="007F1345" w:rsidRPr="007F1345" w:rsidRDefault="007F1345" w:rsidP="007F1345">
            <w:pPr>
              <w:jc w:val="both"/>
              <w:rPr>
                <w:rFonts w:eastAsiaTheme="minorHAnsi"/>
                <w:sz w:val="20"/>
                <w:lang w:val="fr-CA"/>
              </w:rPr>
            </w:pPr>
            <w:r w:rsidRPr="007F1345">
              <w:rPr>
                <w:rFonts w:eastAsiaTheme="minorHAnsi"/>
                <w:sz w:val="20"/>
                <w:lang w:val="fr-CA"/>
              </w:rPr>
              <w:t>(Juges Conrad et Berger, et juge McDonald, dissident)</w:t>
            </w:r>
          </w:p>
          <w:p w:rsidR="007F1345" w:rsidRPr="007F1345" w:rsidRDefault="007F1345" w:rsidP="007F1345">
            <w:pPr>
              <w:jc w:val="both"/>
              <w:rPr>
                <w:rFonts w:eastAsiaTheme="minorHAnsi"/>
                <w:sz w:val="20"/>
                <w:lang w:val="fr-CA"/>
              </w:rPr>
            </w:pPr>
            <w:r w:rsidRPr="007F1345">
              <w:rPr>
                <w:rFonts w:eastAsiaTheme="minorHAnsi"/>
                <w:sz w:val="20"/>
                <w:lang w:val="fr-CA"/>
              </w:rPr>
              <w:t>2011 ABCA 244</w:t>
            </w:r>
          </w:p>
          <w:p w:rsidR="007F1345" w:rsidRPr="007F1345" w:rsidRDefault="007F1345" w:rsidP="007F1345">
            <w:pPr>
              <w:jc w:val="both"/>
              <w:rPr>
                <w:rFonts w:eastAsiaTheme="minorHAnsi"/>
                <w:sz w:val="20"/>
                <w:lang w:val="fr-CA"/>
              </w:rPr>
            </w:pPr>
          </w:p>
        </w:tc>
        <w:tc>
          <w:tcPr>
            <w:tcW w:w="243" w:type="pct"/>
          </w:tcPr>
          <w:p w:rsidR="007F1345" w:rsidRPr="007F1345" w:rsidRDefault="007F1345" w:rsidP="007F1345">
            <w:pPr>
              <w:jc w:val="both"/>
              <w:rPr>
                <w:rFonts w:eastAsiaTheme="minorHAnsi"/>
                <w:sz w:val="20"/>
                <w:lang w:val="fr-CA"/>
              </w:rPr>
            </w:pPr>
          </w:p>
        </w:tc>
        <w:tc>
          <w:tcPr>
            <w:tcW w:w="2330" w:type="pct"/>
          </w:tcPr>
          <w:p w:rsidR="007F1345" w:rsidRPr="007F1345" w:rsidRDefault="007F1345" w:rsidP="007F1345">
            <w:pPr>
              <w:jc w:val="both"/>
              <w:rPr>
                <w:rFonts w:eastAsiaTheme="minorHAnsi"/>
                <w:sz w:val="20"/>
                <w:lang w:val="fr-CA"/>
              </w:rPr>
            </w:pPr>
            <w:r w:rsidRPr="007F1345">
              <w:rPr>
                <w:rFonts w:eastAsiaTheme="minorHAnsi"/>
                <w:sz w:val="20"/>
                <w:lang w:val="fr-CA"/>
              </w:rPr>
              <w:t>Appel rejeté</w:t>
            </w:r>
          </w:p>
          <w:p w:rsidR="007F1345" w:rsidRPr="007F1345" w:rsidRDefault="007F1345" w:rsidP="007F1345">
            <w:pPr>
              <w:jc w:val="both"/>
              <w:rPr>
                <w:rFonts w:eastAsiaTheme="minorHAnsi"/>
                <w:sz w:val="20"/>
                <w:lang w:val="fr-CA"/>
              </w:rPr>
            </w:pPr>
          </w:p>
        </w:tc>
      </w:tr>
      <w:tr w:rsidR="007F1345" w:rsidRPr="007F1345" w:rsidTr="006D7947">
        <w:tc>
          <w:tcPr>
            <w:tcW w:w="2427" w:type="pct"/>
            <w:gridSpan w:val="2"/>
          </w:tcPr>
          <w:p w:rsidR="007F1345" w:rsidRPr="007F1345" w:rsidRDefault="007F1345" w:rsidP="007F1345">
            <w:pPr>
              <w:jc w:val="both"/>
              <w:rPr>
                <w:rFonts w:eastAsiaTheme="minorHAnsi"/>
                <w:sz w:val="20"/>
                <w:lang w:val="fr-CA"/>
              </w:rPr>
            </w:pPr>
            <w:r w:rsidRPr="007F1345">
              <w:rPr>
                <w:rFonts w:eastAsiaTheme="minorHAnsi"/>
                <w:sz w:val="20"/>
                <w:lang w:val="fr-CA"/>
              </w:rPr>
              <w:t>18 octobre 2011</w:t>
            </w:r>
          </w:p>
          <w:p w:rsidR="007F1345" w:rsidRPr="007F1345" w:rsidRDefault="007F1345" w:rsidP="007F1345">
            <w:pPr>
              <w:jc w:val="both"/>
              <w:rPr>
                <w:rFonts w:eastAsiaTheme="minorHAnsi"/>
                <w:sz w:val="20"/>
                <w:lang w:val="fr-CA"/>
              </w:rPr>
            </w:pPr>
            <w:r w:rsidRPr="007F1345">
              <w:rPr>
                <w:rFonts w:eastAsiaTheme="minorHAnsi"/>
                <w:sz w:val="20"/>
                <w:lang w:val="fr-CA"/>
              </w:rPr>
              <w:t>Cour suprême du Canada</w:t>
            </w:r>
          </w:p>
          <w:p w:rsidR="007F1345" w:rsidRPr="007F1345" w:rsidRDefault="007F1345" w:rsidP="007F1345">
            <w:pPr>
              <w:jc w:val="both"/>
              <w:rPr>
                <w:rFonts w:eastAsiaTheme="minorHAnsi"/>
                <w:sz w:val="20"/>
                <w:lang w:val="fr-CA"/>
              </w:rPr>
            </w:pPr>
          </w:p>
        </w:tc>
        <w:tc>
          <w:tcPr>
            <w:tcW w:w="243" w:type="pct"/>
          </w:tcPr>
          <w:p w:rsidR="007F1345" w:rsidRPr="007F1345" w:rsidRDefault="007F1345" w:rsidP="007F1345">
            <w:pPr>
              <w:jc w:val="both"/>
              <w:rPr>
                <w:rFonts w:eastAsiaTheme="minorHAnsi"/>
                <w:sz w:val="20"/>
                <w:lang w:val="fr-CA"/>
              </w:rPr>
            </w:pPr>
          </w:p>
        </w:tc>
        <w:tc>
          <w:tcPr>
            <w:tcW w:w="2330" w:type="pct"/>
          </w:tcPr>
          <w:p w:rsidR="007F1345" w:rsidRPr="007F1345" w:rsidRDefault="007F1345" w:rsidP="007F1345">
            <w:pPr>
              <w:jc w:val="both"/>
              <w:rPr>
                <w:rFonts w:eastAsiaTheme="minorHAnsi"/>
                <w:sz w:val="20"/>
                <w:lang w:val="fr-CA"/>
              </w:rPr>
            </w:pPr>
            <w:r w:rsidRPr="007F1345">
              <w:rPr>
                <w:rFonts w:eastAsiaTheme="minorHAnsi"/>
                <w:sz w:val="20"/>
                <w:lang w:val="fr-CA"/>
              </w:rPr>
              <w:t>Demande d’autorisation d’appel déposée</w:t>
            </w:r>
          </w:p>
          <w:p w:rsidR="007F1345" w:rsidRPr="007F1345" w:rsidRDefault="007F1345" w:rsidP="007F1345">
            <w:pPr>
              <w:jc w:val="both"/>
              <w:rPr>
                <w:rFonts w:eastAsiaTheme="minorHAnsi"/>
                <w:sz w:val="20"/>
                <w:lang w:val="fr-CA"/>
              </w:rPr>
            </w:pPr>
          </w:p>
        </w:tc>
      </w:tr>
    </w:tbl>
    <w:p w:rsidR="007F1345" w:rsidRPr="007F1345" w:rsidRDefault="007F1345" w:rsidP="007F1345">
      <w:pPr>
        <w:jc w:val="both"/>
        <w:rPr>
          <w:rFonts w:eastAsiaTheme="minorHAnsi"/>
          <w:sz w:val="20"/>
          <w:lang w:val="fr-CA"/>
        </w:rPr>
      </w:pPr>
    </w:p>
    <w:tbl>
      <w:tblPr>
        <w:tblW w:w="4952" w:type="pct"/>
        <w:tblLayout w:type="fixed"/>
        <w:tblCellMar>
          <w:left w:w="0" w:type="dxa"/>
          <w:bottom w:w="99" w:type="dxa"/>
          <w:right w:w="0" w:type="dxa"/>
        </w:tblCellMar>
        <w:tblLook w:val="04A0"/>
      </w:tblPr>
      <w:tblGrid>
        <w:gridCol w:w="1006"/>
        <w:gridCol w:w="3493"/>
        <w:gridCol w:w="451"/>
        <w:gridCol w:w="4320"/>
      </w:tblGrid>
      <w:tr w:rsidR="007F1345" w:rsidRPr="007F1345" w:rsidTr="006D7947">
        <w:tc>
          <w:tcPr>
            <w:tcW w:w="543" w:type="pct"/>
          </w:tcPr>
          <w:p w:rsidR="007F1345" w:rsidRPr="007F1345" w:rsidRDefault="007F1345" w:rsidP="007F1345">
            <w:pPr>
              <w:jc w:val="both"/>
              <w:rPr>
                <w:rFonts w:eastAsiaTheme="minorHAnsi"/>
                <w:sz w:val="20"/>
                <w:lang w:val="en-CA"/>
              </w:rPr>
            </w:pPr>
            <w:r w:rsidRPr="006D7947">
              <w:rPr>
                <w:rFonts w:eastAsiaTheme="minorHAnsi"/>
                <w:b/>
                <w:sz w:val="20"/>
                <w:lang w:val="en-CA"/>
              </w:rPr>
              <w:t>34546</w:t>
            </w:r>
          </w:p>
        </w:tc>
        <w:tc>
          <w:tcPr>
            <w:tcW w:w="4457" w:type="pct"/>
            <w:gridSpan w:val="3"/>
          </w:tcPr>
          <w:p w:rsidR="007F1345" w:rsidRPr="007F1345" w:rsidRDefault="007F1345" w:rsidP="007F1345">
            <w:pPr>
              <w:jc w:val="both"/>
              <w:rPr>
                <w:rFonts w:eastAsiaTheme="minorHAnsi"/>
                <w:b/>
                <w:sz w:val="20"/>
                <w:lang w:val="en-CA"/>
              </w:rPr>
            </w:pPr>
            <w:r w:rsidRPr="007F1345">
              <w:rPr>
                <w:rFonts w:eastAsiaTheme="minorHAnsi"/>
                <w:b/>
                <w:sz w:val="20"/>
                <w:lang w:val="en-CA"/>
              </w:rPr>
              <w:t>Ian Verner Macdonald v. Canadian Broadcasting Corporation, Warren Kinsella</w:t>
            </w:r>
          </w:p>
          <w:p w:rsidR="007F1345" w:rsidRPr="007F1345" w:rsidRDefault="007F1345" w:rsidP="0079598A">
            <w:pPr>
              <w:jc w:val="both"/>
              <w:rPr>
                <w:rFonts w:eastAsiaTheme="minorHAnsi"/>
                <w:sz w:val="20"/>
                <w:lang w:val="en-CA"/>
              </w:rPr>
            </w:pPr>
            <w:r w:rsidRPr="007F1345">
              <w:rPr>
                <w:rFonts w:eastAsiaTheme="minorHAnsi"/>
                <w:sz w:val="20"/>
                <w:lang w:val="en-CA"/>
              </w:rPr>
              <w:t>(Ont.) (Civil) (By Leave)</w:t>
            </w:r>
          </w:p>
        </w:tc>
      </w:tr>
      <w:tr w:rsidR="007F1345" w:rsidRPr="007F1345" w:rsidTr="006D7947">
        <w:tc>
          <w:tcPr>
            <w:tcW w:w="5000" w:type="pct"/>
            <w:gridSpan w:val="4"/>
          </w:tcPr>
          <w:p w:rsidR="007F1345" w:rsidRPr="007F1345" w:rsidRDefault="007F1345" w:rsidP="007F1345">
            <w:pPr>
              <w:jc w:val="both"/>
              <w:rPr>
                <w:rFonts w:eastAsiaTheme="minorHAnsi"/>
                <w:sz w:val="20"/>
                <w:lang w:val="en-CA"/>
              </w:rPr>
            </w:pPr>
            <w:r w:rsidRPr="007F1345">
              <w:rPr>
                <w:rFonts w:eastAsiaTheme="minorHAnsi"/>
                <w:sz w:val="20"/>
                <w:lang w:val="en-CA"/>
              </w:rPr>
              <w:t xml:space="preserve">Torts – Libel and slander – Notice period – Respondent, Mr. Kinsella, making comment regarding Applicant on a television broadcast – Applicant allegedly serving Respondents with notice required under the </w:t>
            </w:r>
            <w:r w:rsidRPr="007F1345">
              <w:rPr>
                <w:rFonts w:eastAsiaTheme="minorHAnsi"/>
                <w:i/>
                <w:sz w:val="20"/>
                <w:lang w:val="en-CA"/>
              </w:rPr>
              <w:t>Libel and Slander Act</w:t>
            </w:r>
            <w:r w:rsidRPr="007F1345">
              <w:rPr>
                <w:rFonts w:eastAsiaTheme="minorHAnsi"/>
                <w:sz w:val="20"/>
                <w:lang w:val="en-CA"/>
              </w:rPr>
              <w:t>, R.S.O. 1990, c. L-12 outside of the notice period – Whether Court of Appeal erred in dismissing the claim on the basis of notice failure.</w:t>
            </w:r>
          </w:p>
          <w:p w:rsidR="007F1345" w:rsidRPr="007F1345" w:rsidRDefault="007F1345" w:rsidP="007F1345">
            <w:pPr>
              <w:jc w:val="both"/>
              <w:rPr>
                <w:rFonts w:eastAsiaTheme="minorHAnsi"/>
                <w:sz w:val="20"/>
                <w:lang w:val="en-CA"/>
              </w:rPr>
            </w:pPr>
          </w:p>
        </w:tc>
      </w:tr>
      <w:tr w:rsidR="007F1345" w:rsidRPr="007F1345" w:rsidTr="006D7947">
        <w:tc>
          <w:tcPr>
            <w:tcW w:w="5000" w:type="pct"/>
            <w:gridSpan w:val="4"/>
          </w:tcPr>
          <w:p w:rsidR="007F1345" w:rsidRPr="007F1345" w:rsidRDefault="007F1345" w:rsidP="007F1345">
            <w:pPr>
              <w:jc w:val="both"/>
              <w:rPr>
                <w:rFonts w:eastAsiaTheme="minorHAnsi"/>
                <w:sz w:val="20"/>
                <w:lang w:val="en-CA"/>
              </w:rPr>
            </w:pPr>
            <w:r w:rsidRPr="007F1345">
              <w:rPr>
                <w:rFonts w:eastAsiaTheme="minorHAnsi"/>
                <w:sz w:val="20"/>
                <w:lang w:val="en-CA"/>
              </w:rPr>
              <w:t xml:space="preserve">The Canadian Broadcasting Corporation (“CBC”) aired a television program on April 19, 1996, on the one year anniversary of the Oklahoma bombing.  Mr. Kinsella was a guest on the program and took questions from callers on the general topic of what the public needed to know about right wing militia groups.  The program started with two introductory segments, depicting disturbing scenes from the Oklahoma bombing site, totalling 27 seconds in length.  Mr. Kinsella was asked the question of whether elements in the “moderate right” could be providing funds to the extreme right.  In answering this question, Mr. Kinsella referred to his book, </w:t>
            </w:r>
            <w:r w:rsidRPr="007F1345">
              <w:rPr>
                <w:rFonts w:eastAsiaTheme="minorHAnsi"/>
                <w:i/>
                <w:sz w:val="20"/>
                <w:lang w:val="en-CA"/>
              </w:rPr>
              <w:t>Web of Hate</w:t>
            </w:r>
            <w:r w:rsidRPr="007F1345">
              <w:rPr>
                <w:rFonts w:eastAsiaTheme="minorHAnsi"/>
                <w:sz w:val="20"/>
                <w:lang w:val="en-CA"/>
              </w:rPr>
              <w:t xml:space="preserve"> and mentioned Mr. Macdonald as a “very wealthy landowner in Ottawa, a former high-ranking diplomat...who for many years provided rhetorical and material support to the Canadian Knights of the Ku Klux Klan” (“KKK”).  He also mentioned that Mr. Macdonald had provided connections between KKK leaders and the government of Libya.  Further, he stated that it was well-documented that Libya had provided funding to far-right groups in Canada to carry out illegal acts.  Mr. Macdonald learned about this broadcast from a friend in mid-May 1996 and was advised that Mr. Kinsella may have said that Mr. Macdonald was a financial backer of the KKK.  On July 17, 1996, Mr. Macdonald attempted to order a copy of the show from the CBC but was advised that his order could not be filled.  He also attempted to get a copy from the CRTC but was advised on August 14, 1996 that the CRTC could not provide one.  In the end, he obtained a copy of the program from the same friend who had advised him about the show.  He served the CBC with a libel and slander notice on September 16, 1996 and Mr. Kinsella on October 2, 1996.  </w:t>
            </w:r>
          </w:p>
          <w:p w:rsidR="007F1345" w:rsidRPr="007F1345" w:rsidRDefault="007F1345" w:rsidP="007F1345">
            <w:pPr>
              <w:jc w:val="both"/>
              <w:rPr>
                <w:rFonts w:eastAsiaTheme="minorHAnsi"/>
                <w:sz w:val="20"/>
                <w:lang w:val="en-CA"/>
              </w:rPr>
            </w:pPr>
          </w:p>
        </w:tc>
      </w:tr>
      <w:tr w:rsidR="007F1345" w:rsidRPr="007F1345" w:rsidTr="006D7947">
        <w:tc>
          <w:tcPr>
            <w:tcW w:w="2427" w:type="pct"/>
            <w:gridSpan w:val="2"/>
          </w:tcPr>
          <w:p w:rsidR="007F1345" w:rsidRPr="007F1345" w:rsidRDefault="007F1345" w:rsidP="007F1345">
            <w:pPr>
              <w:jc w:val="both"/>
              <w:rPr>
                <w:rFonts w:eastAsiaTheme="minorHAnsi"/>
                <w:sz w:val="20"/>
                <w:lang w:val="en-CA"/>
              </w:rPr>
            </w:pPr>
            <w:r w:rsidRPr="007F1345">
              <w:rPr>
                <w:rFonts w:eastAsiaTheme="minorHAnsi"/>
                <w:sz w:val="20"/>
                <w:lang w:val="en-CA"/>
              </w:rPr>
              <w:t>June 25, 2009</w:t>
            </w:r>
          </w:p>
          <w:p w:rsidR="007F1345" w:rsidRPr="007F1345" w:rsidRDefault="007F1345" w:rsidP="007F1345">
            <w:pPr>
              <w:jc w:val="both"/>
              <w:rPr>
                <w:rFonts w:eastAsiaTheme="minorHAnsi"/>
                <w:sz w:val="20"/>
                <w:lang w:val="en-CA"/>
              </w:rPr>
            </w:pPr>
            <w:r w:rsidRPr="007F1345">
              <w:rPr>
                <w:rFonts w:eastAsiaTheme="minorHAnsi"/>
                <w:sz w:val="20"/>
                <w:lang w:val="en-CA"/>
              </w:rPr>
              <w:t>Ontario Superior Court of Justice</w:t>
            </w:r>
          </w:p>
          <w:p w:rsidR="007F1345" w:rsidRPr="007F1345" w:rsidRDefault="007F1345" w:rsidP="007F1345">
            <w:pPr>
              <w:jc w:val="both"/>
              <w:rPr>
                <w:rFonts w:eastAsiaTheme="minorHAnsi"/>
                <w:sz w:val="20"/>
                <w:lang w:val="en-CA"/>
              </w:rPr>
            </w:pPr>
            <w:r w:rsidRPr="007F1345">
              <w:rPr>
                <w:rFonts w:eastAsiaTheme="minorHAnsi"/>
                <w:sz w:val="20"/>
                <w:lang w:val="en-CA"/>
              </w:rPr>
              <w:t>(Métivier J.)</w:t>
            </w:r>
          </w:p>
          <w:p w:rsidR="007F1345" w:rsidRPr="007F1345" w:rsidRDefault="007F1345" w:rsidP="007F1345">
            <w:pPr>
              <w:jc w:val="both"/>
              <w:rPr>
                <w:rFonts w:eastAsiaTheme="minorHAnsi"/>
                <w:sz w:val="20"/>
                <w:lang w:val="en-CA"/>
              </w:rPr>
            </w:pPr>
            <w:r w:rsidRPr="007F1345">
              <w:rPr>
                <w:rFonts w:eastAsiaTheme="minorHAnsi"/>
                <w:sz w:val="20"/>
                <w:lang w:val="en-CA"/>
              </w:rPr>
              <w:t>Unreported</w:t>
            </w:r>
          </w:p>
          <w:p w:rsidR="007F1345" w:rsidRPr="007F1345" w:rsidRDefault="007F1345" w:rsidP="007F1345">
            <w:pPr>
              <w:jc w:val="both"/>
              <w:rPr>
                <w:rFonts w:eastAsiaTheme="minorHAnsi"/>
                <w:sz w:val="20"/>
                <w:lang w:val="en-CA"/>
              </w:rPr>
            </w:pPr>
          </w:p>
        </w:tc>
        <w:tc>
          <w:tcPr>
            <w:tcW w:w="243" w:type="pct"/>
          </w:tcPr>
          <w:p w:rsidR="007F1345" w:rsidRPr="007F1345" w:rsidRDefault="007F1345" w:rsidP="007F1345">
            <w:pPr>
              <w:jc w:val="both"/>
              <w:rPr>
                <w:rFonts w:eastAsiaTheme="minorHAnsi"/>
                <w:sz w:val="20"/>
                <w:lang w:val="en-CA"/>
              </w:rPr>
            </w:pPr>
          </w:p>
        </w:tc>
        <w:tc>
          <w:tcPr>
            <w:tcW w:w="2330" w:type="pct"/>
          </w:tcPr>
          <w:p w:rsidR="007F1345" w:rsidRPr="007F1345" w:rsidRDefault="007F1345" w:rsidP="007F1345">
            <w:pPr>
              <w:jc w:val="both"/>
              <w:rPr>
                <w:rFonts w:eastAsiaTheme="minorHAnsi"/>
                <w:sz w:val="20"/>
                <w:lang w:val="en-CA"/>
              </w:rPr>
            </w:pPr>
            <w:r w:rsidRPr="007F1345">
              <w:rPr>
                <w:rFonts w:eastAsiaTheme="minorHAnsi"/>
                <w:sz w:val="20"/>
                <w:lang w:val="en-CA"/>
              </w:rPr>
              <w:t>Applicant’s libel action dismissed</w:t>
            </w:r>
          </w:p>
          <w:p w:rsidR="007F1345" w:rsidRPr="007F1345" w:rsidRDefault="007F1345" w:rsidP="007F1345">
            <w:pPr>
              <w:jc w:val="both"/>
              <w:rPr>
                <w:rFonts w:eastAsiaTheme="minorHAnsi"/>
                <w:sz w:val="20"/>
                <w:lang w:val="en-CA"/>
              </w:rPr>
            </w:pPr>
          </w:p>
        </w:tc>
      </w:tr>
      <w:tr w:rsidR="007F1345" w:rsidRPr="007F1345" w:rsidTr="006D7947">
        <w:tc>
          <w:tcPr>
            <w:tcW w:w="2427" w:type="pct"/>
            <w:gridSpan w:val="2"/>
          </w:tcPr>
          <w:p w:rsidR="007F1345" w:rsidRPr="007F1345" w:rsidRDefault="007F1345" w:rsidP="007F1345">
            <w:pPr>
              <w:jc w:val="both"/>
              <w:rPr>
                <w:rFonts w:eastAsiaTheme="minorHAnsi"/>
                <w:sz w:val="20"/>
                <w:lang w:val="en-CA"/>
              </w:rPr>
            </w:pPr>
            <w:r w:rsidRPr="007F1345">
              <w:rPr>
                <w:rFonts w:eastAsiaTheme="minorHAnsi"/>
                <w:sz w:val="20"/>
                <w:lang w:val="en-CA"/>
              </w:rPr>
              <w:t>October 19, 2011</w:t>
            </w:r>
          </w:p>
          <w:p w:rsidR="007F1345" w:rsidRPr="007F1345" w:rsidRDefault="007F1345" w:rsidP="007F1345">
            <w:pPr>
              <w:jc w:val="both"/>
              <w:rPr>
                <w:rFonts w:eastAsiaTheme="minorHAnsi"/>
                <w:sz w:val="20"/>
                <w:lang w:val="en-CA"/>
              </w:rPr>
            </w:pPr>
            <w:r w:rsidRPr="007F1345">
              <w:rPr>
                <w:rFonts w:eastAsiaTheme="minorHAnsi"/>
                <w:sz w:val="20"/>
                <w:lang w:val="en-CA"/>
              </w:rPr>
              <w:t>Court of Appeal for Ontario</w:t>
            </w:r>
          </w:p>
          <w:p w:rsidR="007F1345" w:rsidRPr="007F1345" w:rsidRDefault="007F1345" w:rsidP="007F1345">
            <w:pPr>
              <w:jc w:val="both"/>
              <w:rPr>
                <w:rFonts w:eastAsiaTheme="minorHAnsi"/>
                <w:sz w:val="20"/>
                <w:lang w:val="en-CA"/>
              </w:rPr>
            </w:pPr>
            <w:r w:rsidRPr="007F1345">
              <w:rPr>
                <w:rFonts w:eastAsiaTheme="minorHAnsi"/>
                <w:sz w:val="20"/>
                <w:lang w:val="en-CA"/>
              </w:rPr>
              <w:t>(Winkler, Sharpe and Cunningham JJ.A.)</w:t>
            </w:r>
          </w:p>
          <w:p w:rsidR="007F1345" w:rsidRPr="007F1345" w:rsidRDefault="007F1345" w:rsidP="007F1345">
            <w:pPr>
              <w:jc w:val="both"/>
              <w:rPr>
                <w:rFonts w:eastAsiaTheme="minorHAnsi"/>
                <w:sz w:val="20"/>
                <w:lang w:val="en-CA"/>
              </w:rPr>
            </w:pPr>
            <w:r w:rsidRPr="007F1345">
              <w:rPr>
                <w:rFonts w:eastAsiaTheme="minorHAnsi"/>
                <w:sz w:val="20"/>
                <w:lang w:val="en-CA"/>
              </w:rPr>
              <w:t xml:space="preserve">2011 ONCA 652 </w:t>
            </w:r>
          </w:p>
          <w:p w:rsidR="007F1345" w:rsidRPr="007F1345" w:rsidRDefault="007F1345" w:rsidP="007F1345">
            <w:pPr>
              <w:jc w:val="both"/>
              <w:rPr>
                <w:rFonts w:eastAsiaTheme="minorHAnsi"/>
                <w:sz w:val="20"/>
                <w:lang w:val="en-CA"/>
              </w:rPr>
            </w:pPr>
          </w:p>
        </w:tc>
        <w:tc>
          <w:tcPr>
            <w:tcW w:w="243" w:type="pct"/>
          </w:tcPr>
          <w:p w:rsidR="007F1345" w:rsidRPr="007F1345" w:rsidRDefault="007F1345" w:rsidP="007F1345">
            <w:pPr>
              <w:jc w:val="both"/>
              <w:rPr>
                <w:rFonts w:eastAsiaTheme="minorHAnsi"/>
                <w:sz w:val="20"/>
                <w:lang w:val="en-CA"/>
              </w:rPr>
            </w:pPr>
          </w:p>
        </w:tc>
        <w:tc>
          <w:tcPr>
            <w:tcW w:w="2330" w:type="pct"/>
          </w:tcPr>
          <w:p w:rsidR="007F1345" w:rsidRPr="007F1345" w:rsidRDefault="007F1345" w:rsidP="007F1345">
            <w:pPr>
              <w:jc w:val="both"/>
              <w:rPr>
                <w:rFonts w:eastAsiaTheme="minorHAnsi"/>
                <w:sz w:val="20"/>
                <w:lang w:val="en-CA"/>
              </w:rPr>
            </w:pPr>
            <w:r w:rsidRPr="007F1345">
              <w:rPr>
                <w:rFonts w:eastAsiaTheme="minorHAnsi"/>
                <w:sz w:val="20"/>
                <w:lang w:val="en-CA"/>
              </w:rPr>
              <w:t>Appeal dismissed</w:t>
            </w:r>
          </w:p>
          <w:p w:rsidR="007F1345" w:rsidRPr="007F1345" w:rsidRDefault="007F1345" w:rsidP="007F1345">
            <w:pPr>
              <w:jc w:val="both"/>
              <w:rPr>
                <w:rFonts w:eastAsiaTheme="minorHAnsi"/>
                <w:sz w:val="20"/>
                <w:lang w:val="en-CA"/>
              </w:rPr>
            </w:pPr>
          </w:p>
        </w:tc>
      </w:tr>
      <w:tr w:rsidR="007F1345" w:rsidRPr="007F1345" w:rsidTr="006D7947">
        <w:tc>
          <w:tcPr>
            <w:tcW w:w="2427" w:type="pct"/>
            <w:gridSpan w:val="2"/>
          </w:tcPr>
          <w:p w:rsidR="007F1345" w:rsidRPr="007F1345" w:rsidRDefault="007F1345" w:rsidP="007F1345">
            <w:pPr>
              <w:jc w:val="both"/>
              <w:rPr>
                <w:rFonts w:eastAsiaTheme="minorHAnsi"/>
                <w:sz w:val="20"/>
                <w:lang w:val="en-CA"/>
              </w:rPr>
            </w:pPr>
            <w:r w:rsidRPr="007F1345">
              <w:rPr>
                <w:rFonts w:eastAsiaTheme="minorHAnsi"/>
                <w:sz w:val="20"/>
                <w:lang w:val="en-CA"/>
              </w:rPr>
              <w:t>November 29, 2011</w:t>
            </w:r>
          </w:p>
          <w:p w:rsidR="007F1345" w:rsidRPr="007F1345" w:rsidRDefault="007F1345" w:rsidP="007F1345">
            <w:pPr>
              <w:jc w:val="both"/>
              <w:rPr>
                <w:rFonts w:eastAsiaTheme="minorHAnsi"/>
                <w:sz w:val="20"/>
                <w:lang w:val="en-CA"/>
              </w:rPr>
            </w:pPr>
            <w:r w:rsidRPr="007F1345">
              <w:rPr>
                <w:rFonts w:eastAsiaTheme="minorHAnsi"/>
                <w:sz w:val="20"/>
                <w:lang w:val="en-CA"/>
              </w:rPr>
              <w:t>Supreme Court of Canada</w:t>
            </w:r>
          </w:p>
          <w:p w:rsidR="007F1345" w:rsidRPr="007F1345" w:rsidRDefault="007F1345" w:rsidP="007F1345">
            <w:pPr>
              <w:jc w:val="both"/>
              <w:rPr>
                <w:rFonts w:eastAsiaTheme="minorHAnsi"/>
                <w:sz w:val="20"/>
                <w:lang w:val="en-CA"/>
              </w:rPr>
            </w:pPr>
          </w:p>
        </w:tc>
        <w:tc>
          <w:tcPr>
            <w:tcW w:w="243" w:type="pct"/>
          </w:tcPr>
          <w:p w:rsidR="007F1345" w:rsidRPr="007F1345" w:rsidRDefault="007F1345" w:rsidP="007F1345">
            <w:pPr>
              <w:jc w:val="both"/>
              <w:rPr>
                <w:rFonts w:eastAsiaTheme="minorHAnsi"/>
                <w:sz w:val="20"/>
                <w:lang w:val="en-CA"/>
              </w:rPr>
            </w:pPr>
          </w:p>
        </w:tc>
        <w:tc>
          <w:tcPr>
            <w:tcW w:w="2330" w:type="pct"/>
          </w:tcPr>
          <w:p w:rsidR="007F1345" w:rsidRPr="007F1345" w:rsidRDefault="007F1345" w:rsidP="007F1345">
            <w:pPr>
              <w:jc w:val="both"/>
              <w:rPr>
                <w:rFonts w:eastAsiaTheme="minorHAnsi"/>
                <w:sz w:val="20"/>
                <w:lang w:val="en-CA"/>
              </w:rPr>
            </w:pPr>
            <w:r w:rsidRPr="007F1345">
              <w:rPr>
                <w:rFonts w:eastAsiaTheme="minorHAnsi"/>
                <w:sz w:val="20"/>
                <w:lang w:val="en-CA"/>
              </w:rPr>
              <w:t>Application for leave to appeal filed</w:t>
            </w:r>
          </w:p>
          <w:p w:rsidR="007F1345" w:rsidRPr="007F1345" w:rsidRDefault="007F1345" w:rsidP="007F1345">
            <w:pPr>
              <w:jc w:val="both"/>
              <w:rPr>
                <w:rFonts w:eastAsiaTheme="minorHAnsi"/>
                <w:sz w:val="20"/>
                <w:lang w:val="en-CA"/>
              </w:rPr>
            </w:pPr>
          </w:p>
        </w:tc>
      </w:tr>
    </w:tbl>
    <w:p w:rsidR="007F1345" w:rsidRPr="007F1345" w:rsidRDefault="007F1345" w:rsidP="007F1345">
      <w:pPr>
        <w:jc w:val="both"/>
        <w:rPr>
          <w:rFonts w:eastAsiaTheme="minorHAnsi"/>
          <w:sz w:val="20"/>
          <w:lang w:val="en-CA"/>
        </w:rPr>
      </w:pPr>
    </w:p>
    <w:tbl>
      <w:tblPr>
        <w:tblW w:w="4952" w:type="pct"/>
        <w:tblLayout w:type="fixed"/>
        <w:tblCellMar>
          <w:left w:w="0" w:type="dxa"/>
          <w:bottom w:w="99" w:type="dxa"/>
          <w:right w:w="0" w:type="dxa"/>
        </w:tblCellMar>
        <w:tblLook w:val="00A0"/>
      </w:tblPr>
      <w:tblGrid>
        <w:gridCol w:w="1006"/>
        <w:gridCol w:w="3493"/>
        <w:gridCol w:w="451"/>
        <w:gridCol w:w="4320"/>
      </w:tblGrid>
      <w:tr w:rsidR="007F1345" w:rsidRPr="007F1345" w:rsidTr="006D7947">
        <w:tc>
          <w:tcPr>
            <w:tcW w:w="543" w:type="pct"/>
          </w:tcPr>
          <w:p w:rsidR="007F1345" w:rsidRPr="007F1345" w:rsidRDefault="007F1345" w:rsidP="007F1345">
            <w:pPr>
              <w:jc w:val="both"/>
              <w:rPr>
                <w:rFonts w:eastAsia="Calibri"/>
                <w:sz w:val="20"/>
                <w:lang w:val="fr-CA"/>
              </w:rPr>
            </w:pPr>
            <w:r w:rsidRPr="006D7947">
              <w:rPr>
                <w:rFonts w:eastAsia="Calibri"/>
                <w:b/>
                <w:sz w:val="20"/>
                <w:lang w:val="fr-CA"/>
              </w:rPr>
              <w:t>34546</w:t>
            </w:r>
          </w:p>
        </w:tc>
        <w:tc>
          <w:tcPr>
            <w:tcW w:w="4457" w:type="pct"/>
            <w:gridSpan w:val="3"/>
          </w:tcPr>
          <w:p w:rsidR="007F1345" w:rsidRPr="007F1345" w:rsidRDefault="007F1345" w:rsidP="007F1345">
            <w:pPr>
              <w:jc w:val="both"/>
              <w:rPr>
                <w:rFonts w:eastAsia="Calibri"/>
                <w:b/>
                <w:sz w:val="20"/>
              </w:rPr>
            </w:pPr>
            <w:r w:rsidRPr="007F1345">
              <w:rPr>
                <w:rFonts w:eastAsia="Calibri"/>
                <w:b/>
                <w:sz w:val="20"/>
              </w:rPr>
              <w:t>Ian Verner Macdonald c. Société Radio</w:t>
            </w:r>
            <w:r w:rsidRPr="007F1345">
              <w:rPr>
                <w:rFonts w:eastAsia="Calibri"/>
                <w:b/>
                <w:sz w:val="20"/>
              </w:rPr>
              <w:noBreakHyphen/>
              <w:t>Canada, Warren Kinsella</w:t>
            </w:r>
          </w:p>
          <w:p w:rsidR="007F1345" w:rsidRPr="007F1345" w:rsidRDefault="007F1345" w:rsidP="007F1345">
            <w:pPr>
              <w:jc w:val="both"/>
              <w:rPr>
                <w:rFonts w:eastAsia="Calibri"/>
                <w:sz w:val="20"/>
                <w:lang w:val="fr-CA"/>
              </w:rPr>
            </w:pPr>
            <w:r w:rsidRPr="007F1345">
              <w:rPr>
                <w:rFonts w:eastAsia="Calibri"/>
                <w:sz w:val="20"/>
                <w:lang w:val="fr-CA"/>
              </w:rPr>
              <w:t>(Ont.) (Civile) (Sur autorisation)</w:t>
            </w:r>
          </w:p>
        </w:tc>
      </w:tr>
      <w:tr w:rsidR="007F1345" w:rsidRPr="00686322" w:rsidTr="006D7947">
        <w:tc>
          <w:tcPr>
            <w:tcW w:w="5000" w:type="pct"/>
            <w:gridSpan w:val="4"/>
          </w:tcPr>
          <w:p w:rsidR="007F1345" w:rsidRPr="007F1345" w:rsidRDefault="007F1345" w:rsidP="007F1345">
            <w:pPr>
              <w:jc w:val="both"/>
              <w:rPr>
                <w:rFonts w:eastAsia="Calibri"/>
                <w:sz w:val="20"/>
                <w:lang w:val="fr-CA"/>
              </w:rPr>
            </w:pPr>
            <w:r w:rsidRPr="007F1345">
              <w:rPr>
                <w:rFonts w:eastAsia="Calibri"/>
                <w:sz w:val="20"/>
                <w:lang w:val="fr-CA"/>
              </w:rPr>
              <w:t>Responsabilité délictuelle – Diffamation – Délai d’avis – L'intimé, M. Kinsella, a fait un commentaire sur le demandeur à une émission de télévision – Le demandeur aurait censément signifié aux intimés l’avis prescrit par la</w:t>
            </w:r>
            <w:r w:rsidRPr="007F1345">
              <w:rPr>
                <w:rFonts w:eastAsia="Calibri"/>
                <w:i/>
                <w:sz w:val="20"/>
                <w:lang w:val="fr-CA"/>
              </w:rPr>
              <w:t xml:space="preserve"> Loi sur la diffamation</w:t>
            </w:r>
            <w:r w:rsidRPr="007F1345">
              <w:rPr>
                <w:rFonts w:eastAsia="Calibri"/>
                <w:sz w:val="20"/>
                <w:lang w:val="fr-CA"/>
              </w:rPr>
              <w:t>, L.R.O. 1990, ch. L</w:t>
            </w:r>
            <w:r w:rsidRPr="007F1345">
              <w:rPr>
                <w:rFonts w:eastAsia="Calibri"/>
                <w:sz w:val="20"/>
                <w:lang w:val="fr-CA"/>
              </w:rPr>
              <w:noBreakHyphen/>
              <w:t>12 en dehors du délai prescrit – La Cour d'appel a</w:t>
            </w:r>
            <w:r w:rsidRPr="007F1345">
              <w:rPr>
                <w:rFonts w:eastAsia="Calibri"/>
                <w:sz w:val="20"/>
                <w:lang w:val="fr-CA"/>
              </w:rPr>
              <w:noBreakHyphen/>
              <w:t>t</w:t>
            </w:r>
            <w:r w:rsidRPr="007F1345">
              <w:rPr>
                <w:rFonts w:eastAsia="Calibri"/>
                <w:sz w:val="20"/>
                <w:lang w:val="fr-CA"/>
              </w:rPr>
              <w:noBreakHyphen/>
              <w:t>elle eu tort de rejeter la demande pour absence d’avis?</w:t>
            </w:r>
          </w:p>
          <w:p w:rsidR="007F1345" w:rsidRPr="007F1345" w:rsidRDefault="007F1345" w:rsidP="007F1345">
            <w:pPr>
              <w:jc w:val="both"/>
              <w:rPr>
                <w:rFonts w:eastAsia="Calibri"/>
                <w:sz w:val="20"/>
                <w:lang w:val="fr-CA"/>
              </w:rPr>
            </w:pPr>
          </w:p>
        </w:tc>
      </w:tr>
      <w:tr w:rsidR="007F1345" w:rsidRPr="00686322" w:rsidTr="006D7947">
        <w:tc>
          <w:tcPr>
            <w:tcW w:w="5000" w:type="pct"/>
            <w:gridSpan w:val="4"/>
          </w:tcPr>
          <w:p w:rsidR="007F1345" w:rsidRPr="007F1345" w:rsidRDefault="007F1345" w:rsidP="007F1345">
            <w:pPr>
              <w:jc w:val="both"/>
              <w:rPr>
                <w:rFonts w:eastAsia="Calibri"/>
                <w:sz w:val="20"/>
                <w:lang w:val="fr-CA"/>
              </w:rPr>
            </w:pPr>
            <w:r w:rsidRPr="007F1345">
              <w:rPr>
                <w:rFonts w:eastAsia="Calibri"/>
                <w:sz w:val="20"/>
                <w:lang w:val="fr-CA"/>
              </w:rPr>
              <w:t>La Société Radio</w:t>
            </w:r>
            <w:r w:rsidRPr="007F1345">
              <w:rPr>
                <w:rFonts w:eastAsia="Calibri"/>
                <w:sz w:val="20"/>
                <w:lang w:val="fr-CA"/>
              </w:rPr>
              <w:noBreakHyphen/>
              <w:t xml:space="preserve">Canada (« SRC ») a diffusé une émission de télévision le 19 avril 1996, le premier anniversaire de l'attentat à la bombe d’Oklahoma.  Monsieur Kinsella était invité à l'émission et il répondait à des questions posées dans le cadre d’une tribune téléphonique sur le sujet général de ce que le public devait savoir sur les groupes de milices de droite. L'émission a commencé avec deux segments introductifs, montrant des scènes troublantes prises à l'emplacement de l'attentat à la bombe d’Oklahoma, d'une durée totale de 27 secondes.  On a demandé à Monsieur Kinsella s'il était possible que des éléments de la « droite modérée » procurent de l'argent à l'extrême </w:t>
            </w:r>
            <w:proofErr w:type="gramStart"/>
            <w:r w:rsidRPr="007F1345">
              <w:rPr>
                <w:rFonts w:eastAsia="Calibri"/>
                <w:sz w:val="20"/>
                <w:lang w:val="fr-CA"/>
              </w:rPr>
              <w:t>droite</w:t>
            </w:r>
            <w:proofErr w:type="gramEnd"/>
            <w:r w:rsidRPr="007F1345">
              <w:rPr>
                <w:rFonts w:eastAsia="Calibri"/>
                <w:sz w:val="20"/>
                <w:lang w:val="fr-CA"/>
              </w:rPr>
              <w:t xml:space="preserve">. En répondant à cette question, M. Kinsella a fait référence à son livre, </w:t>
            </w:r>
            <w:r w:rsidRPr="007F1345">
              <w:rPr>
                <w:rFonts w:eastAsia="Calibri"/>
                <w:i/>
                <w:sz w:val="20"/>
                <w:lang w:val="fr-CA"/>
              </w:rPr>
              <w:t>Web of Hate</w:t>
            </w:r>
            <w:r w:rsidRPr="007F1345">
              <w:rPr>
                <w:rFonts w:eastAsia="Calibri"/>
                <w:sz w:val="20"/>
                <w:lang w:val="fr-CA"/>
              </w:rPr>
              <w:t xml:space="preserve"> et a mentionné que M. Macdonald était [</w:t>
            </w:r>
            <w:r w:rsidRPr="007F1345">
              <w:rPr>
                <w:rFonts w:eastAsia="Calibri"/>
                <w:smallCaps/>
                <w:sz w:val="20"/>
                <w:lang w:val="fr-CA"/>
              </w:rPr>
              <w:t>traduction</w:t>
            </w:r>
            <w:r w:rsidRPr="007F1345">
              <w:rPr>
                <w:rFonts w:eastAsia="Calibri"/>
                <w:sz w:val="20"/>
                <w:lang w:val="fr-CA"/>
              </w:rPr>
              <w:t>] « un richissime propriétaire foncier d'Ottawa, un ancien diplomate de haut niveau [. . .] qui, pendant plusieurs années, a appuyé  par ses propos et son soutien matériel les Chevaliers canadiens du Ku Klux Klan » (« KKK »). Il a également mentionné que M. Macdonald avait fourni des liens entre les chefs du KKK et le gouvernement de la Libye. En outre, il a affirmé qu'il était bien documenté que la Libye fournissait du financement à des groupes d'extrême</w:t>
            </w:r>
            <w:r w:rsidRPr="007F1345">
              <w:rPr>
                <w:rFonts w:eastAsia="Calibri"/>
                <w:sz w:val="20"/>
                <w:lang w:val="fr-CA"/>
              </w:rPr>
              <w:noBreakHyphen/>
              <w:t xml:space="preserve">droite au Canada pour commettre des actes illégaux. Monsieur Macdonald a eu vent de cette émission par un ami au milieu du mois de mai 1996 et on l'a informé que M. Kinsella a pu dire que M. Macdonald était un bailleur de fonds du KKK. Le 17 juillet 1996, M. Macdonald a tenté de commander une copie de l'émission de la SRC, mais il a été informé que sa commande ne pouvait être exécutée. Il a également tenté d'obtenir une copie du CRTC mais il a été informé, le 14 août 1996, que le CRTC ne pouvait pas lui en fournir une. Il a finalement obtenu une copie de l'émission du même ami qui lui en avait parlé. Il a signifié un avis de diffamation à la SRC le 16 septembre 1996 et à M. Kinsella le 2 octobre 1996.  </w:t>
            </w:r>
          </w:p>
          <w:p w:rsidR="007F1345" w:rsidRPr="007F1345" w:rsidRDefault="007F1345" w:rsidP="007F1345">
            <w:pPr>
              <w:jc w:val="both"/>
              <w:rPr>
                <w:rFonts w:eastAsia="Calibri"/>
                <w:sz w:val="20"/>
                <w:lang w:val="fr-CA"/>
              </w:rPr>
            </w:pPr>
          </w:p>
        </w:tc>
      </w:tr>
      <w:tr w:rsidR="007F1345" w:rsidRPr="00686322" w:rsidTr="006D7947">
        <w:tc>
          <w:tcPr>
            <w:tcW w:w="2427" w:type="pct"/>
            <w:gridSpan w:val="2"/>
          </w:tcPr>
          <w:p w:rsidR="007F1345" w:rsidRPr="007F1345" w:rsidRDefault="007F1345" w:rsidP="007F1345">
            <w:pPr>
              <w:jc w:val="both"/>
              <w:rPr>
                <w:rFonts w:eastAsia="Calibri"/>
                <w:sz w:val="20"/>
                <w:lang w:val="fr-CA"/>
              </w:rPr>
            </w:pPr>
            <w:r w:rsidRPr="007F1345">
              <w:rPr>
                <w:rFonts w:eastAsia="Calibri"/>
                <w:sz w:val="20"/>
                <w:lang w:val="fr-CA"/>
              </w:rPr>
              <w:t>25 juin 2009</w:t>
            </w:r>
          </w:p>
          <w:p w:rsidR="007F1345" w:rsidRPr="007F1345" w:rsidRDefault="007F1345" w:rsidP="007F1345">
            <w:pPr>
              <w:jc w:val="both"/>
              <w:rPr>
                <w:rFonts w:eastAsia="Calibri"/>
                <w:sz w:val="20"/>
                <w:lang w:val="fr-CA"/>
              </w:rPr>
            </w:pPr>
            <w:r w:rsidRPr="007F1345">
              <w:rPr>
                <w:rFonts w:eastAsia="Calibri"/>
                <w:sz w:val="20"/>
                <w:lang w:val="fr-CA"/>
              </w:rPr>
              <w:t xml:space="preserve">Cour supérieure de justice de l'Ontario </w:t>
            </w:r>
          </w:p>
          <w:p w:rsidR="007F1345" w:rsidRPr="007F1345" w:rsidRDefault="007F1345" w:rsidP="007F1345">
            <w:pPr>
              <w:jc w:val="both"/>
              <w:rPr>
                <w:rFonts w:eastAsia="Calibri"/>
                <w:sz w:val="20"/>
                <w:lang w:val="fr-CA"/>
              </w:rPr>
            </w:pPr>
            <w:r w:rsidRPr="007F1345">
              <w:rPr>
                <w:rFonts w:eastAsia="Calibri"/>
                <w:sz w:val="20"/>
                <w:lang w:val="fr-CA"/>
              </w:rPr>
              <w:t>(Juge Métivier)</w:t>
            </w:r>
          </w:p>
          <w:p w:rsidR="007F1345" w:rsidRPr="007F1345" w:rsidRDefault="007F1345" w:rsidP="007F1345">
            <w:pPr>
              <w:jc w:val="both"/>
              <w:rPr>
                <w:rFonts w:eastAsia="Calibri"/>
                <w:sz w:val="20"/>
                <w:lang w:val="fr-CA"/>
              </w:rPr>
            </w:pPr>
            <w:r w:rsidRPr="007F1345">
              <w:rPr>
                <w:rFonts w:eastAsia="Calibri"/>
                <w:sz w:val="20"/>
                <w:lang w:val="fr-CA"/>
              </w:rPr>
              <w:t>Non publié</w:t>
            </w:r>
          </w:p>
          <w:p w:rsidR="007F1345" w:rsidRPr="007F1345" w:rsidRDefault="007F1345" w:rsidP="007F1345">
            <w:pPr>
              <w:jc w:val="both"/>
              <w:rPr>
                <w:rFonts w:eastAsia="Calibri"/>
                <w:sz w:val="20"/>
                <w:lang w:val="fr-CA"/>
              </w:rPr>
            </w:pPr>
          </w:p>
        </w:tc>
        <w:tc>
          <w:tcPr>
            <w:tcW w:w="243" w:type="pct"/>
          </w:tcPr>
          <w:p w:rsidR="007F1345" w:rsidRPr="007F1345" w:rsidRDefault="007F1345" w:rsidP="007F1345">
            <w:pPr>
              <w:jc w:val="both"/>
              <w:rPr>
                <w:rFonts w:eastAsia="Calibri"/>
                <w:sz w:val="20"/>
                <w:lang w:val="fr-CA"/>
              </w:rPr>
            </w:pPr>
          </w:p>
        </w:tc>
        <w:tc>
          <w:tcPr>
            <w:tcW w:w="2330" w:type="pct"/>
          </w:tcPr>
          <w:p w:rsidR="007F1345" w:rsidRPr="007F1345" w:rsidRDefault="007F1345" w:rsidP="007F1345">
            <w:pPr>
              <w:jc w:val="both"/>
              <w:rPr>
                <w:rFonts w:eastAsia="Calibri"/>
                <w:sz w:val="20"/>
                <w:lang w:val="fr-CA"/>
              </w:rPr>
            </w:pPr>
            <w:r w:rsidRPr="007F1345">
              <w:rPr>
                <w:rFonts w:eastAsia="Calibri"/>
                <w:sz w:val="20"/>
                <w:lang w:val="fr-CA"/>
              </w:rPr>
              <w:t>Action du demandeur en diffamation, rejetée</w:t>
            </w:r>
          </w:p>
          <w:p w:rsidR="007F1345" w:rsidRPr="007F1345" w:rsidRDefault="007F1345" w:rsidP="007F1345">
            <w:pPr>
              <w:jc w:val="both"/>
              <w:rPr>
                <w:rFonts w:eastAsia="Calibri"/>
                <w:sz w:val="20"/>
                <w:lang w:val="fr-CA"/>
              </w:rPr>
            </w:pPr>
          </w:p>
        </w:tc>
      </w:tr>
      <w:tr w:rsidR="007F1345" w:rsidRPr="007F1345" w:rsidTr="006D7947">
        <w:tc>
          <w:tcPr>
            <w:tcW w:w="2427" w:type="pct"/>
            <w:gridSpan w:val="2"/>
          </w:tcPr>
          <w:p w:rsidR="007F1345" w:rsidRPr="007F1345" w:rsidRDefault="007F1345" w:rsidP="007F1345">
            <w:pPr>
              <w:jc w:val="both"/>
              <w:rPr>
                <w:rFonts w:eastAsia="Calibri"/>
                <w:sz w:val="20"/>
                <w:lang w:val="fr-CA"/>
              </w:rPr>
            </w:pPr>
            <w:r w:rsidRPr="007F1345">
              <w:rPr>
                <w:rFonts w:eastAsia="Calibri"/>
                <w:sz w:val="20"/>
                <w:lang w:val="fr-CA"/>
              </w:rPr>
              <w:t>19 octobre 2011</w:t>
            </w:r>
          </w:p>
          <w:p w:rsidR="007F1345" w:rsidRPr="007F1345" w:rsidRDefault="007F1345" w:rsidP="007F1345">
            <w:pPr>
              <w:jc w:val="both"/>
              <w:rPr>
                <w:rFonts w:eastAsia="Calibri"/>
                <w:sz w:val="20"/>
                <w:lang w:val="fr-CA"/>
              </w:rPr>
            </w:pPr>
            <w:r w:rsidRPr="007F1345">
              <w:rPr>
                <w:rFonts w:eastAsia="Calibri"/>
                <w:sz w:val="20"/>
                <w:lang w:val="fr-CA"/>
              </w:rPr>
              <w:t xml:space="preserve">Cour d'appel de l'Ontario </w:t>
            </w:r>
          </w:p>
          <w:p w:rsidR="007F1345" w:rsidRPr="007F1345" w:rsidRDefault="007F1345" w:rsidP="007F1345">
            <w:pPr>
              <w:jc w:val="both"/>
              <w:rPr>
                <w:rFonts w:eastAsia="Calibri"/>
                <w:sz w:val="20"/>
                <w:lang w:val="fr-CA"/>
              </w:rPr>
            </w:pPr>
            <w:r w:rsidRPr="007F1345">
              <w:rPr>
                <w:rFonts w:eastAsia="Calibri"/>
                <w:sz w:val="20"/>
                <w:lang w:val="fr-CA"/>
              </w:rPr>
              <w:t>(Juges Winkler, Sharpe et Cunningham)</w:t>
            </w:r>
          </w:p>
          <w:p w:rsidR="007F1345" w:rsidRPr="007F1345" w:rsidRDefault="007F1345" w:rsidP="007F1345">
            <w:pPr>
              <w:jc w:val="both"/>
              <w:rPr>
                <w:rFonts w:eastAsia="Calibri"/>
                <w:sz w:val="20"/>
                <w:lang w:val="fr-CA"/>
              </w:rPr>
            </w:pPr>
            <w:r w:rsidRPr="007F1345">
              <w:rPr>
                <w:rFonts w:eastAsia="Calibri"/>
                <w:sz w:val="20"/>
                <w:lang w:val="fr-CA"/>
              </w:rPr>
              <w:t xml:space="preserve">2011 ONCA 652 </w:t>
            </w:r>
          </w:p>
          <w:p w:rsidR="007F1345" w:rsidRPr="007F1345" w:rsidRDefault="007F1345" w:rsidP="007F1345">
            <w:pPr>
              <w:jc w:val="both"/>
              <w:rPr>
                <w:rFonts w:eastAsia="Calibri"/>
                <w:sz w:val="20"/>
                <w:lang w:val="fr-CA"/>
              </w:rPr>
            </w:pPr>
          </w:p>
        </w:tc>
        <w:tc>
          <w:tcPr>
            <w:tcW w:w="243" w:type="pct"/>
          </w:tcPr>
          <w:p w:rsidR="007F1345" w:rsidRPr="007F1345" w:rsidRDefault="007F1345" w:rsidP="007F1345">
            <w:pPr>
              <w:jc w:val="both"/>
              <w:rPr>
                <w:rFonts w:eastAsia="Calibri"/>
                <w:sz w:val="20"/>
                <w:lang w:val="fr-CA"/>
              </w:rPr>
            </w:pPr>
          </w:p>
        </w:tc>
        <w:tc>
          <w:tcPr>
            <w:tcW w:w="2330" w:type="pct"/>
          </w:tcPr>
          <w:p w:rsidR="007F1345" w:rsidRPr="007F1345" w:rsidRDefault="007F1345" w:rsidP="007F1345">
            <w:pPr>
              <w:jc w:val="both"/>
              <w:rPr>
                <w:rFonts w:eastAsia="Calibri"/>
                <w:sz w:val="20"/>
                <w:lang w:val="fr-CA"/>
              </w:rPr>
            </w:pPr>
            <w:r w:rsidRPr="007F1345">
              <w:rPr>
                <w:rFonts w:eastAsia="Calibri"/>
                <w:sz w:val="20"/>
                <w:lang w:val="fr-CA"/>
              </w:rPr>
              <w:t>Appel rejeté</w:t>
            </w:r>
          </w:p>
          <w:p w:rsidR="007F1345" w:rsidRPr="007F1345" w:rsidRDefault="007F1345" w:rsidP="007F1345">
            <w:pPr>
              <w:jc w:val="both"/>
              <w:rPr>
                <w:rFonts w:eastAsia="Calibri"/>
                <w:sz w:val="20"/>
                <w:lang w:val="fr-CA"/>
              </w:rPr>
            </w:pPr>
          </w:p>
        </w:tc>
      </w:tr>
      <w:tr w:rsidR="007F1345" w:rsidRPr="007F1345" w:rsidTr="006D7947">
        <w:tc>
          <w:tcPr>
            <w:tcW w:w="2427" w:type="pct"/>
            <w:gridSpan w:val="2"/>
          </w:tcPr>
          <w:p w:rsidR="007F1345" w:rsidRPr="007F1345" w:rsidRDefault="007F1345" w:rsidP="007F1345">
            <w:pPr>
              <w:jc w:val="both"/>
              <w:rPr>
                <w:rFonts w:eastAsia="Calibri"/>
                <w:sz w:val="20"/>
                <w:lang w:val="fr-CA"/>
              </w:rPr>
            </w:pPr>
            <w:r w:rsidRPr="007F1345">
              <w:rPr>
                <w:rFonts w:eastAsia="Calibri"/>
                <w:sz w:val="20"/>
                <w:lang w:val="fr-CA"/>
              </w:rPr>
              <w:t>Le 29 novembre 2011</w:t>
            </w:r>
          </w:p>
          <w:p w:rsidR="007F1345" w:rsidRPr="007F1345" w:rsidRDefault="007F1345" w:rsidP="007F1345">
            <w:pPr>
              <w:jc w:val="both"/>
              <w:rPr>
                <w:rFonts w:eastAsia="Calibri"/>
                <w:sz w:val="20"/>
                <w:lang w:val="fr-CA"/>
              </w:rPr>
            </w:pPr>
            <w:r w:rsidRPr="007F1345">
              <w:rPr>
                <w:rFonts w:eastAsia="Calibri"/>
                <w:sz w:val="20"/>
                <w:lang w:val="fr-CA"/>
              </w:rPr>
              <w:t>Cour suprême du Canada</w:t>
            </w:r>
          </w:p>
          <w:p w:rsidR="007F1345" w:rsidRPr="007F1345" w:rsidRDefault="007F1345" w:rsidP="007F1345">
            <w:pPr>
              <w:jc w:val="both"/>
              <w:rPr>
                <w:rFonts w:eastAsia="Calibri"/>
                <w:sz w:val="20"/>
                <w:lang w:val="fr-CA"/>
              </w:rPr>
            </w:pPr>
          </w:p>
        </w:tc>
        <w:tc>
          <w:tcPr>
            <w:tcW w:w="243" w:type="pct"/>
          </w:tcPr>
          <w:p w:rsidR="007F1345" w:rsidRPr="007F1345" w:rsidRDefault="007F1345" w:rsidP="007F1345">
            <w:pPr>
              <w:jc w:val="both"/>
              <w:rPr>
                <w:rFonts w:eastAsia="Calibri"/>
                <w:sz w:val="20"/>
                <w:lang w:val="fr-CA"/>
              </w:rPr>
            </w:pPr>
          </w:p>
        </w:tc>
        <w:tc>
          <w:tcPr>
            <w:tcW w:w="2330" w:type="pct"/>
          </w:tcPr>
          <w:p w:rsidR="007F1345" w:rsidRPr="007F1345" w:rsidRDefault="007F1345" w:rsidP="007F1345">
            <w:pPr>
              <w:jc w:val="both"/>
              <w:rPr>
                <w:rFonts w:eastAsia="Calibri"/>
                <w:sz w:val="20"/>
                <w:lang w:val="fr-CA"/>
              </w:rPr>
            </w:pPr>
            <w:r w:rsidRPr="007F1345">
              <w:rPr>
                <w:rFonts w:eastAsia="Calibri"/>
                <w:sz w:val="20"/>
                <w:lang w:val="fr-CA"/>
              </w:rPr>
              <w:t>Demande d'autorisation d'appel, déposée</w:t>
            </w:r>
          </w:p>
          <w:p w:rsidR="007F1345" w:rsidRPr="007F1345" w:rsidRDefault="007F1345" w:rsidP="007F1345">
            <w:pPr>
              <w:jc w:val="both"/>
              <w:rPr>
                <w:rFonts w:eastAsia="Calibri"/>
                <w:sz w:val="20"/>
                <w:lang w:val="fr-CA"/>
              </w:rPr>
            </w:pPr>
          </w:p>
        </w:tc>
      </w:tr>
    </w:tbl>
    <w:p w:rsidR="007F1345" w:rsidRPr="007F1345" w:rsidRDefault="007F1345" w:rsidP="007F1345">
      <w:pPr>
        <w:jc w:val="both"/>
        <w:rPr>
          <w:rFonts w:eastAsia="Calibri"/>
          <w:sz w:val="20"/>
          <w:lang w:val="fr-CA"/>
        </w:rPr>
      </w:pPr>
    </w:p>
    <w:p w:rsidR="006F7E3B" w:rsidRPr="006D7947" w:rsidRDefault="006F7E3B" w:rsidP="006F7E3B">
      <w:pPr>
        <w:widowControl w:val="0"/>
        <w:rPr>
          <w:sz w:val="20"/>
          <w:lang w:val="en-CA"/>
        </w:rPr>
      </w:pPr>
    </w:p>
    <w:sectPr w:rsidR="006F7E3B" w:rsidRPr="006D7947" w:rsidSect="00B4078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22" w:rsidRDefault="00686322" w:rsidP="0034178A">
      <w:r>
        <w:separator/>
      </w:r>
    </w:p>
  </w:endnote>
  <w:endnote w:type="continuationSeparator" w:id="0">
    <w:p w:rsidR="00686322" w:rsidRDefault="00686322" w:rsidP="00341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22" w:rsidRDefault="006863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22" w:rsidRDefault="006863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22" w:rsidRDefault="00686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22" w:rsidRDefault="00686322" w:rsidP="0034178A">
      <w:r>
        <w:separator/>
      </w:r>
    </w:p>
  </w:footnote>
  <w:footnote w:type="continuationSeparator" w:id="0">
    <w:p w:rsidR="00686322" w:rsidRDefault="00686322" w:rsidP="00341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22" w:rsidRDefault="00686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22" w:rsidRDefault="006863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22" w:rsidRDefault="00686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D3E"/>
    <w:multiLevelType w:val="hybridMultilevel"/>
    <w:tmpl w:val="E898AC02"/>
    <w:lvl w:ilvl="0" w:tplc="3C26D17C">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381471"/>
    <w:multiLevelType w:val="hybridMultilevel"/>
    <w:tmpl w:val="481CA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147DF"/>
    <w:multiLevelType w:val="hybridMultilevel"/>
    <w:tmpl w:val="07EE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467D5"/>
    <w:multiLevelType w:val="hybridMultilevel"/>
    <w:tmpl w:val="4E824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5E5E"/>
    <w:multiLevelType w:val="hybridMultilevel"/>
    <w:tmpl w:val="22FC8036"/>
    <w:lvl w:ilvl="0" w:tplc="D32E36D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E6C2A"/>
    <w:multiLevelType w:val="hybridMultilevel"/>
    <w:tmpl w:val="D9AC4AAE"/>
    <w:lvl w:ilvl="0" w:tplc="6BC85B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82FA7"/>
    <w:multiLevelType w:val="hybridMultilevel"/>
    <w:tmpl w:val="A8F4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80C70"/>
    <w:multiLevelType w:val="hybridMultilevel"/>
    <w:tmpl w:val="20C2016E"/>
    <w:lvl w:ilvl="0" w:tplc="43625CE8">
      <w:start w:val="1"/>
      <w:numFmt w:val="decimal"/>
      <w:lvlText w:val="%1."/>
      <w:lvlJc w:val="left"/>
      <w:pPr>
        <w:ind w:left="720" w:hanging="360"/>
      </w:pPr>
      <w:rPr>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53707"/>
    <w:multiLevelType w:val="hybridMultilevel"/>
    <w:tmpl w:val="C144FDBC"/>
    <w:lvl w:ilvl="0" w:tplc="A9884A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26793"/>
    <w:multiLevelType w:val="hybridMultilevel"/>
    <w:tmpl w:val="8350F388"/>
    <w:lvl w:ilvl="0" w:tplc="1FF8E80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F72620F"/>
    <w:multiLevelType w:val="hybridMultilevel"/>
    <w:tmpl w:val="40CC2FE8"/>
    <w:lvl w:ilvl="0" w:tplc="5902338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E1019"/>
    <w:multiLevelType w:val="hybridMultilevel"/>
    <w:tmpl w:val="7C1A66E6"/>
    <w:lvl w:ilvl="0" w:tplc="E7E6E7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06E96"/>
    <w:multiLevelType w:val="hybridMultilevel"/>
    <w:tmpl w:val="9E02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4397B"/>
    <w:multiLevelType w:val="hybridMultilevel"/>
    <w:tmpl w:val="E04C64CE"/>
    <w:lvl w:ilvl="0" w:tplc="559A506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CE7F19"/>
    <w:multiLevelType w:val="hybridMultilevel"/>
    <w:tmpl w:val="7670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D6E97"/>
    <w:multiLevelType w:val="hybridMultilevel"/>
    <w:tmpl w:val="CFD0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67C5A"/>
    <w:multiLevelType w:val="hybridMultilevel"/>
    <w:tmpl w:val="5328BD10"/>
    <w:lvl w:ilvl="0" w:tplc="8B48B9E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791F8F"/>
    <w:multiLevelType w:val="hybridMultilevel"/>
    <w:tmpl w:val="F490E8B8"/>
    <w:lvl w:ilvl="0" w:tplc="35A8BE7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9050650"/>
    <w:multiLevelType w:val="hybridMultilevel"/>
    <w:tmpl w:val="27764CC6"/>
    <w:lvl w:ilvl="0" w:tplc="D32E36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49004B"/>
    <w:multiLevelType w:val="hybridMultilevel"/>
    <w:tmpl w:val="C374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2C3C73"/>
    <w:multiLevelType w:val="hybridMultilevel"/>
    <w:tmpl w:val="97A2C898"/>
    <w:lvl w:ilvl="0" w:tplc="4F827D6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0E57841"/>
    <w:multiLevelType w:val="hybridMultilevel"/>
    <w:tmpl w:val="79CAE068"/>
    <w:lvl w:ilvl="0" w:tplc="D32E36D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E3DFF"/>
    <w:multiLevelType w:val="hybridMultilevel"/>
    <w:tmpl w:val="1D8C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F16F8"/>
    <w:multiLevelType w:val="hybridMultilevel"/>
    <w:tmpl w:val="C2826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EE2C0F"/>
    <w:multiLevelType w:val="hybridMultilevel"/>
    <w:tmpl w:val="F872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91C92"/>
    <w:multiLevelType w:val="hybridMultilevel"/>
    <w:tmpl w:val="77F2E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0"/>
  </w:num>
  <w:num w:numId="4">
    <w:abstractNumId w:val="4"/>
  </w:num>
  <w:num w:numId="5">
    <w:abstractNumId w:val="2"/>
  </w:num>
  <w:num w:numId="6">
    <w:abstractNumId w:val="21"/>
  </w:num>
  <w:num w:numId="7">
    <w:abstractNumId w:val="5"/>
  </w:num>
  <w:num w:numId="8">
    <w:abstractNumId w:val="16"/>
  </w:num>
  <w:num w:numId="9">
    <w:abstractNumId w:val="24"/>
  </w:num>
  <w:num w:numId="10">
    <w:abstractNumId w:val="17"/>
  </w:num>
  <w:num w:numId="11">
    <w:abstractNumId w:val="25"/>
  </w:num>
  <w:num w:numId="12">
    <w:abstractNumId w:val="12"/>
  </w:num>
  <w:num w:numId="1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20"/>
  </w:num>
  <w:num w:numId="17">
    <w:abstractNumId w:val="6"/>
  </w:num>
  <w:num w:numId="18">
    <w:abstractNumId w:val="15"/>
  </w:num>
  <w:num w:numId="19">
    <w:abstractNumId w:val="13"/>
  </w:num>
  <w:num w:numId="20">
    <w:abstractNumId w:val="19"/>
  </w:num>
  <w:num w:numId="21">
    <w:abstractNumId w:val="8"/>
  </w:num>
  <w:num w:numId="22">
    <w:abstractNumId w:val="14"/>
  </w:num>
  <w:num w:numId="23">
    <w:abstractNumId w:val="22"/>
  </w:num>
  <w:num w:numId="24">
    <w:abstractNumId w:val="0"/>
  </w:num>
  <w:num w:numId="25">
    <w:abstractNumId w:val="3"/>
  </w:num>
  <w:num w:numId="26">
    <w:abstractNumId w:val="7"/>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grammar="clean"/>
  <w:defaultTabStop w:val="720"/>
  <w:characterSpacingControl w:val="doNotCompress"/>
  <w:hdrShapeDefaults>
    <o:shapedefaults v:ext="edit" spidmax="13313"/>
  </w:hdrShapeDefaults>
  <w:footnotePr>
    <w:footnote w:id="-1"/>
    <w:footnote w:id="0"/>
  </w:footnotePr>
  <w:endnotePr>
    <w:endnote w:id="-1"/>
    <w:endnote w:id="0"/>
  </w:endnotePr>
  <w:compat/>
  <w:rsids>
    <w:rsidRoot w:val="002A5C41"/>
    <w:rsid w:val="000018E3"/>
    <w:rsid w:val="000061D5"/>
    <w:rsid w:val="000136CC"/>
    <w:rsid w:val="000164DB"/>
    <w:rsid w:val="00020797"/>
    <w:rsid w:val="00020816"/>
    <w:rsid w:val="0002267C"/>
    <w:rsid w:val="00024962"/>
    <w:rsid w:val="00033D28"/>
    <w:rsid w:val="00034A7F"/>
    <w:rsid w:val="00051DE6"/>
    <w:rsid w:val="000577D9"/>
    <w:rsid w:val="00067F50"/>
    <w:rsid w:val="000912CB"/>
    <w:rsid w:val="000A0444"/>
    <w:rsid w:val="000A245A"/>
    <w:rsid w:val="000A4311"/>
    <w:rsid w:val="000D13CD"/>
    <w:rsid w:val="000E5407"/>
    <w:rsid w:val="00101E4B"/>
    <w:rsid w:val="00102F8F"/>
    <w:rsid w:val="001068F5"/>
    <w:rsid w:val="00107219"/>
    <w:rsid w:val="001203F7"/>
    <w:rsid w:val="0012101A"/>
    <w:rsid w:val="00132D23"/>
    <w:rsid w:val="0014243F"/>
    <w:rsid w:val="00144111"/>
    <w:rsid w:val="0015605D"/>
    <w:rsid w:val="00173B3A"/>
    <w:rsid w:val="001813C3"/>
    <w:rsid w:val="001866BF"/>
    <w:rsid w:val="00186884"/>
    <w:rsid w:val="0019030D"/>
    <w:rsid w:val="001947C1"/>
    <w:rsid w:val="001A06DE"/>
    <w:rsid w:val="001A562F"/>
    <w:rsid w:val="001D2555"/>
    <w:rsid w:val="001D7749"/>
    <w:rsid w:val="001E3BCD"/>
    <w:rsid w:val="001F27B1"/>
    <w:rsid w:val="001F5B11"/>
    <w:rsid w:val="00200F31"/>
    <w:rsid w:val="0020221F"/>
    <w:rsid w:val="00207C7F"/>
    <w:rsid w:val="00223B83"/>
    <w:rsid w:val="00233057"/>
    <w:rsid w:val="00244CDD"/>
    <w:rsid w:val="00245D73"/>
    <w:rsid w:val="00254FAA"/>
    <w:rsid w:val="002613AC"/>
    <w:rsid w:val="00262C42"/>
    <w:rsid w:val="002858BA"/>
    <w:rsid w:val="002A5C41"/>
    <w:rsid w:val="002D2553"/>
    <w:rsid w:val="002F3830"/>
    <w:rsid w:val="002F7E97"/>
    <w:rsid w:val="00313652"/>
    <w:rsid w:val="003151B5"/>
    <w:rsid w:val="0033535C"/>
    <w:rsid w:val="00340D7B"/>
    <w:rsid w:val="0034178A"/>
    <w:rsid w:val="00360FCE"/>
    <w:rsid w:val="00362E82"/>
    <w:rsid w:val="00364001"/>
    <w:rsid w:val="00366CD7"/>
    <w:rsid w:val="003710CD"/>
    <w:rsid w:val="00372FD5"/>
    <w:rsid w:val="00376958"/>
    <w:rsid w:val="0038547C"/>
    <w:rsid w:val="003A00C9"/>
    <w:rsid w:val="003A1F69"/>
    <w:rsid w:val="003B1455"/>
    <w:rsid w:val="003B39D7"/>
    <w:rsid w:val="003B6E18"/>
    <w:rsid w:val="003E5DD5"/>
    <w:rsid w:val="003F1E6F"/>
    <w:rsid w:val="00427F4F"/>
    <w:rsid w:val="00433941"/>
    <w:rsid w:val="00444072"/>
    <w:rsid w:val="0045235F"/>
    <w:rsid w:val="004542A8"/>
    <w:rsid w:val="00460794"/>
    <w:rsid w:val="004672B7"/>
    <w:rsid w:val="004957BA"/>
    <w:rsid w:val="004C0544"/>
    <w:rsid w:val="004C2585"/>
    <w:rsid w:val="004C281D"/>
    <w:rsid w:val="004C7FC6"/>
    <w:rsid w:val="004D5A62"/>
    <w:rsid w:val="004E1B3F"/>
    <w:rsid w:val="00503196"/>
    <w:rsid w:val="005208AC"/>
    <w:rsid w:val="00521EFA"/>
    <w:rsid w:val="00532EB0"/>
    <w:rsid w:val="00535A60"/>
    <w:rsid w:val="00561B18"/>
    <w:rsid w:val="00587914"/>
    <w:rsid w:val="00597224"/>
    <w:rsid w:val="005A1B7D"/>
    <w:rsid w:val="005A4082"/>
    <w:rsid w:val="005D3069"/>
    <w:rsid w:val="006067DB"/>
    <w:rsid w:val="0061282A"/>
    <w:rsid w:val="006721DF"/>
    <w:rsid w:val="00686322"/>
    <w:rsid w:val="00690B95"/>
    <w:rsid w:val="00693751"/>
    <w:rsid w:val="00693CE6"/>
    <w:rsid w:val="006A0693"/>
    <w:rsid w:val="006A21CC"/>
    <w:rsid w:val="006B293F"/>
    <w:rsid w:val="006B40C1"/>
    <w:rsid w:val="006B6A20"/>
    <w:rsid w:val="006C477E"/>
    <w:rsid w:val="006D7947"/>
    <w:rsid w:val="006E7F81"/>
    <w:rsid w:val="006F7E3B"/>
    <w:rsid w:val="00704CDE"/>
    <w:rsid w:val="007226F3"/>
    <w:rsid w:val="007301CB"/>
    <w:rsid w:val="00737D1D"/>
    <w:rsid w:val="00741002"/>
    <w:rsid w:val="00741637"/>
    <w:rsid w:val="00744F24"/>
    <w:rsid w:val="00747C5A"/>
    <w:rsid w:val="00766983"/>
    <w:rsid w:val="00775FEC"/>
    <w:rsid w:val="0079598A"/>
    <w:rsid w:val="007A10D6"/>
    <w:rsid w:val="007A57B6"/>
    <w:rsid w:val="007A7F7F"/>
    <w:rsid w:val="007B09DF"/>
    <w:rsid w:val="007B567F"/>
    <w:rsid w:val="007B57E8"/>
    <w:rsid w:val="007C6187"/>
    <w:rsid w:val="007C67EE"/>
    <w:rsid w:val="007D42D5"/>
    <w:rsid w:val="007D4BFC"/>
    <w:rsid w:val="007D6193"/>
    <w:rsid w:val="007E70BF"/>
    <w:rsid w:val="007E735A"/>
    <w:rsid w:val="007F0F01"/>
    <w:rsid w:val="007F1345"/>
    <w:rsid w:val="007F4F42"/>
    <w:rsid w:val="00800DF8"/>
    <w:rsid w:val="008021FD"/>
    <w:rsid w:val="008036BE"/>
    <w:rsid w:val="00807EB6"/>
    <w:rsid w:val="00815D1B"/>
    <w:rsid w:val="00816C1F"/>
    <w:rsid w:val="00823610"/>
    <w:rsid w:val="0084161A"/>
    <w:rsid w:val="00853C98"/>
    <w:rsid w:val="0085543E"/>
    <w:rsid w:val="00861CAB"/>
    <w:rsid w:val="00866A27"/>
    <w:rsid w:val="0087081B"/>
    <w:rsid w:val="00874308"/>
    <w:rsid w:val="008836A7"/>
    <w:rsid w:val="008A3884"/>
    <w:rsid w:val="008B0108"/>
    <w:rsid w:val="008B4157"/>
    <w:rsid w:val="008F302C"/>
    <w:rsid w:val="009035A2"/>
    <w:rsid w:val="009340AB"/>
    <w:rsid w:val="00941DA3"/>
    <w:rsid w:val="00942A08"/>
    <w:rsid w:val="00943363"/>
    <w:rsid w:val="00957C00"/>
    <w:rsid w:val="0097114B"/>
    <w:rsid w:val="00971F36"/>
    <w:rsid w:val="0098122A"/>
    <w:rsid w:val="00997705"/>
    <w:rsid w:val="009A1215"/>
    <w:rsid w:val="009A2448"/>
    <w:rsid w:val="009A6F9E"/>
    <w:rsid w:val="009B0602"/>
    <w:rsid w:val="009B38BC"/>
    <w:rsid w:val="009C205F"/>
    <w:rsid w:val="009C3B2A"/>
    <w:rsid w:val="009C5124"/>
    <w:rsid w:val="009D2D62"/>
    <w:rsid w:val="009D7121"/>
    <w:rsid w:val="009F161C"/>
    <w:rsid w:val="009F4EF8"/>
    <w:rsid w:val="009F4F1B"/>
    <w:rsid w:val="00A041C7"/>
    <w:rsid w:val="00A06B3C"/>
    <w:rsid w:val="00A2060D"/>
    <w:rsid w:val="00A242EA"/>
    <w:rsid w:val="00A2504D"/>
    <w:rsid w:val="00A42042"/>
    <w:rsid w:val="00A466AC"/>
    <w:rsid w:val="00A54818"/>
    <w:rsid w:val="00A70197"/>
    <w:rsid w:val="00A8418C"/>
    <w:rsid w:val="00A97F4E"/>
    <w:rsid w:val="00AC3779"/>
    <w:rsid w:val="00AD020B"/>
    <w:rsid w:val="00AD52A6"/>
    <w:rsid w:val="00AE42F5"/>
    <w:rsid w:val="00AE747B"/>
    <w:rsid w:val="00AF1653"/>
    <w:rsid w:val="00B037AA"/>
    <w:rsid w:val="00B10AFA"/>
    <w:rsid w:val="00B25FB2"/>
    <w:rsid w:val="00B35194"/>
    <w:rsid w:val="00B4078C"/>
    <w:rsid w:val="00B4191E"/>
    <w:rsid w:val="00B45B27"/>
    <w:rsid w:val="00B543D4"/>
    <w:rsid w:val="00B6581A"/>
    <w:rsid w:val="00B7733B"/>
    <w:rsid w:val="00B85E8B"/>
    <w:rsid w:val="00B9309E"/>
    <w:rsid w:val="00BA3460"/>
    <w:rsid w:val="00BC1E6F"/>
    <w:rsid w:val="00BC471A"/>
    <w:rsid w:val="00BC6F58"/>
    <w:rsid w:val="00BD14CE"/>
    <w:rsid w:val="00BE17E6"/>
    <w:rsid w:val="00BF1FCA"/>
    <w:rsid w:val="00BF2EA0"/>
    <w:rsid w:val="00C03932"/>
    <w:rsid w:val="00C264D9"/>
    <w:rsid w:val="00C31C5A"/>
    <w:rsid w:val="00C3269C"/>
    <w:rsid w:val="00C342CA"/>
    <w:rsid w:val="00C34515"/>
    <w:rsid w:val="00C36C08"/>
    <w:rsid w:val="00C419F7"/>
    <w:rsid w:val="00C4698C"/>
    <w:rsid w:val="00C5207F"/>
    <w:rsid w:val="00C52967"/>
    <w:rsid w:val="00C573B1"/>
    <w:rsid w:val="00C70513"/>
    <w:rsid w:val="00C7351D"/>
    <w:rsid w:val="00C935F6"/>
    <w:rsid w:val="00C9788C"/>
    <w:rsid w:val="00CB5DBA"/>
    <w:rsid w:val="00CF4702"/>
    <w:rsid w:val="00CF732A"/>
    <w:rsid w:val="00D0250E"/>
    <w:rsid w:val="00D07526"/>
    <w:rsid w:val="00D1308F"/>
    <w:rsid w:val="00D240C0"/>
    <w:rsid w:val="00D36BE9"/>
    <w:rsid w:val="00D3722A"/>
    <w:rsid w:val="00D5501F"/>
    <w:rsid w:val="00D55807"/>
    <w:rsid w:val="00DA2C00"/>
    <w:rsid w:val="00DB27AF"/>
    <w:rsid w:val="00DB3966"/>
    <w:rsid w:val="00DB5A3F"/>
    <w:rsid w:val="00DC2354"/>
    <w:rsid w:val="00E02941"/>
    <w:rsid w:val="00E03081"/>
    <w:rsid w:val="00E1039A"/>
    <w:rsid w:val="00E150E0"/>
    <w:rsid w:val="00E31BA9"/>
    <w:rsid w:val="00E337E8"/>
    <w:rsid w:val="00E42B30"/>
    <w:rsid w:val="00E45E6B"/>
    <w:rsid w:val="00E54925"/>
    <w:rsid w:val="00E65A41"/>
    <w:rsid w:val="00E9032B"/>
    <w:rsid w:val="00EC2990"/>
    <w:rsid w:val="00EC4FBB"/>
    <w:rsid w:val="00EC5AAA"/>
    <w:rsid w:val="00ED2E12"/>
    <w:rsid w:val="00EE24D6"/>
    <w:rsid w:val="00EF1864"/>
    <w:rsid w:val="00EF26B4"/>
    <w:rsid w:val="00F02E36"/>
    <w:rsid w:val="00F14403"/>
    <w:rsid w:val="00F35C22"/>
    <w:rsid w:val="00F5608F"/>
    <w:rsid w:val="00F76A83"/>
    <w:rsid w:val="00F857B4"/>
    <w:rsid w:val="00F86C88"/>
    <w:rsid w:val="00FA0210"/>
    <w:rsid w:val="00FA1BFE"/>
    <w:rsid w:val="00FA5D62"/>
    <w:rsid w:val="00FB08CC"/>
    <w:rsid w:val="00FB3686"/>
    <w:rsid w:val="00FB4545"/>
    <w:rsid w:val="00FB578C"/>
    <w:rsid w:val="00FC39EA"/>
    <w:rsid w:val="00FD0C78"/>
    <w:rsid w:val="00FD7F01"/>
    <w:rsid w:val="00FE4FD0"/>
    <w:rsid w:val="00FF6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semiHidden/>
    <w:unhideWhenUsed/>
    <w:rsid w:val="0034178A"/>
    <w:pPr>
      <w:tabs>
        <w:tab w:val="center" w:pos="4680"/>
        <w:tab w:val="right" w:pos="9360"/>
      </w:tabs>
    </w:pPr>
  </w:style>
  <w:style w:type="character" w:customStyle="1" w:styleId="HeaderChar">
    <w:name w:val="Header Char"/>
    <w:basedOn w:val="DefaultParagraphFont"/>
    <w:link w:val="Header"/>
    <w:uiPriority w:val="99"/>
    <w:semiHidden/>
    <w:rsid w:val="0034178A"/>
    <w:rPr>
      <w:rFonts w:ascii="Times New Roman" w:eastAsia="Times New Roman" w:hAnsi="Times New Roman"/>
      <w:sz w:val="24"/>
    </w:rPr>
  </w:style>
  <w:style w:type="paragraph" w:styleId="Footer">
    <w:name w:val="footer"/>
    <w:basedOn w:val="Normal"/>
    <w:link w:val="FooterChar"/>
    <w:uiPriority w:val="99"/>
    <w:semiHidden/>
    <w:unhideWhenUsed/>
    <w:rsid w:val="0034178A"/>
    <w:pPr>
      <w:tabs>
        <w:tab w:val="center" w:pos="4680"/>
        <w:tab w:val="right" w:pos="9360"/>
      </w:tabs>
    </w:pPr>
  </w:style>
  <w:style w:type="character" w:customStyle="1" w:styleId="FooterChar">
    <w:name w:val="Footer Char"/>
    <w:basedOn w:val="DefaultParagraphFont"/>
    <w:link w:val="Footer"/>
    <w:uiPriority w:val="99"/>
    <w:semiHidden/>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s>
</file>

<file path=word/webSettings.xml><?xml version="1.0" encoding="utf-8"?>
<w:webSettings xmlns:r="http://schemas.openxmlformats.org/officeDocument/2006/relationships" xmlns:w="http://schemas.openxmlformats.org/wordprocessingml/2006/main">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gc.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lexum.org/fr/news_release/2012/12-04-02.2a/12-04-02.2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g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c.lexum.org/en/news_release/2012/12-04-02.2a/12-04-02.2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9E83-7C4D-4537-9A89-7B431864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16852</Words>
  <Characters>96059</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112686</CharactersWithSpaces>
  <SharedDoc>false</SharedDoc>
  <HLinks>
    <vt:vector size="30" baseType="variant">
      <vt:variant>
        <vt:i4>3801160</vt:i4>
      </vt:variant>
      <vt:variant>
        <vt:i4>14</vt:i4>
      </vt:variant>
      <vt:variant>
        <vt:i4>0</vt:i4>
      </vt:variant>
      <vt:variant>
        <vt:i4>5</vt:i4>
      </vt:variant>
      <vt:variant>
        <vt:lpwstr>http://scc.lexum.org/fr/news_release/2012/12-03-26.2a/12-03-26.2a.html</vt:lpwstr>
      </vt:variant>
      <vt:variant>
        <vt:lpwstr/>
      </vt:variant>
      <vt:variant>
        <vt:i4>1245251</vt:i4>
      </vt:variant>
      <vt:variant>
        <vt:i4>11</vt:i4>
      </vt:variant>
      <vt:variant>
        <vt:i4>0</vt:i4>
      </vt:variant>
      <vt:variant>
        <vt:i4>5</vt:i4>
      </vt:variant>
      <vt:variant>
        <vt:lpwstr>http://www.scc-csc.gc.ca/</vt:lpwstr>
      </vt:variant>
      <vt:variant>
        <vt:lpwstr/>
      </vt:variant>
      <vt:variant>
        <vt:i4>3735636</vt:i4>
      </vt:variant>
      <vt:variant>
        <vt:i4>8</vt:i4>
      </vt:variant>
      <vt:variant>
        <vt:i4>0</vt:i4>
      </vt:variant>
      <vt:variant>
        <vt:i4>5</vt:i4>
      </vt:variant>
      <vt:variant>
        <vt:lpwstr>http://scc.lexum.org/en/news_release/2012/12-03-26.2a/12-03-26.2a.html</vt:lpwstr>
      </vt:variant>
      <vt:variant>
        <vt:lpwstr/>
      </vt:variant>
      <vt:variant>
        <vt:i4>1245251</vt:i4>
      </vt:variant>
      <vt:variant>
        <vt:i4>5</vt:i4>
      </vt:variant>
      <vt:variant>
        <vt:i4>0</vt:i4>
      </vt:variant>
      <vt:variant>
        <vt:i4>5</vt:i4>
      </vt:variant>
      <vt:variant>
        <vt:lpwstr>http://www.scc-csc.gc.ca/</vt:lpwstr>
      </vt:variant>
      <vt:variant>
        <vt:lpwstr/>
      </vt:variant>
      <vt:variant>
        <vt:i4>6553621</vt:i4>
      </vt:variant>
      <vt:variant>
        <vt:i4>2</vt:i4>
      </vt:variant>
      <vt:variant>
        <vt:i4>0</vt:i4>
      </vt:variant>
      <vt:variant>
        <vt:i4>5</vt:i4>
      </vt:variant>
      <vt:variant>
        <vt:lpwstr>mailto:comments-commentaires@scc-csc.gc.ca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2012-03-30T17:01:00Z</dcterms:created>
  <dcterms:modified xsi:type="dcterms:W3CDTF">2012-04-05T13:42:00Z</dcterms:modified>
</cp:coreProperties>
</file>