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E672F1"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E672F1"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E672F1"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E672F1"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E672F1" w:rsidTr="002E5576">
        <w:tc>
          <w:tcPr>
            <w:tcW w:w="4518" w:type="dxa"/>
          </w:tcPr>
          <w:p w:rsidR="00BF25F3" w:rsidRPr="002E2327" w:rsidRDefault="000505AD"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505AD"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E672F1"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E672F1"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w:t>
              </w:r>
              <w:r w:rsidR="00E672F1">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w:t>
              </w:r>
              <w:r w:rsidR="00E672F1">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7E512D" w:rsidP="00F0068D">
      <w:pPr>
        <w:pBdr>
          <w:bottom w:val="single" w:sz="6" w:space="1" w:color="auto"/>
        </w:pBdr>
        <w:tabs>
          <w:tab w:val="center" w:pos="4680"/>
          <w:tab w:val="right" w:pos="9360"/>
        </w:tabs>
        <w:rPr>
          <w:lang w:val="fr-CA"/>
        </w:rPr>
      </w:pPr>
      <w:r>
        <w:rPr>
          <w:lang w:val="fr-CA"/>
        </w:rPr>
        <w:t>Decembe</w:t>
      </w:r>
      <w:r w:rsidR="00C73D06">
        <w:rPr>
          <w:lang w:val="fr-CA"/>
        </w:rPr>
        <w:t>r</w:t>
      </w:r>
      <w:r w:rsidR="00440E24" w:rsidRPr="00675479">
        <w:rPr>
          <w:lang w:val="fr-CA"/>
        </w:rPr>
        <w:t xml:space="preserve"> </w:t>
      </w:r>
      <w:r w:rsidR="009E771B">
        <w:rPr>
          <w:lang w:val="fr-CA"/>
        </w:rPr>
        <w:t>13</w:t>
      </w:r>
      <w:r w:rsidR="00440E24" w:rsidRPr="00675479">
        <w:rPr>
          <w:lang w:val="fr-CA"/>
        </w:rPr>
        <w:t>, 201</w:t>
      </w:r>
      <w:r w:rsidR="00F761A3">
        <w:rPr>
          <w:lang w:val="fr-CA"/>
        </w:rPr>
        <w:t>3</w:t>
      </w:r>
      <w:r w:rsidR="00F0068D" w:rsidRPr="00675479">
        <w:rPr>
          <w:lang w:val="fr-CA"/>
        </w:rPr>
        <w:tab/>
        <w:t>1</w:t>
      </w:r>
      <w:r>
        <w:rPr>
          <w:lang w:val="fr-CA"/>
        </w:rPr>
        <w:t>9</w:t>
      </w:r>
      <w:r w:rsidR="00BE278E">
        <w:rPr>
          <w:lang w:val="fr-CA"/>
        </w:rPr>
        <w:t>93</w:t>
      </w:r>
      <w:r w:rsidR="00F0068D" w:rsidRPr="00675479">
        <w:rPr>
          <w:lang w:val="fr-CA"/>
        </w:rPr>
        <w:t xml:space="preserve"> - </w:t>
      </w:r>
      <w:r w:rsidR="008A1275">
        <w:rPr>
          <w:lang w:val="fr-CA"/>
        </w:rPr>
        <w:t>2038</w:t>
      </w:r>
      <w:r w:rsidR="00440E24" w:rsidRPr="00675479">
        <w:rPr>
          <w:lang w:val="fr-CA"/>
        </w:rPr>
        <w:tab/>
      </w:r>
      <w:r w:rsidR="00440E24" w:rsidRPr="002E2327">
        <w:rPr>
          <w:lang w:val="fr-CA"/>
        </w:rPr>
        <w:t>Le</w:t>
      </w:r>
      <w:r w:rsidR="00C73D06">
        <w:rPr>
          <w:lang w:val="fr-CA"/>
        </w:rPr>
        <w:t xml:space="preserve"> </w:t>
      </w:r>
      <w:r w:rsidR="009E771B">
        <w:rPr>
          <w:lang w:val="fr-CA"/>
        </w:rPr>
        <w:t>13</w:t>
      </w:r>
      <w:r w:rsidR="00C73D06">
        <w:rPr>
          <w:lang w:val="fr-CA"/>
        </w:rPr>
        <w:t xml:space="preserve"> </w:t>
      </w:r>
      <w:r>
        <w:rPr>
          <w:lang w:val="fr-CA"/>
        </w:rPr>
        <w:t>déc</w:t>
      </w:r>
      <w:r w:rsidR="00C73D06">
        <w:rPr>
          <w:lang w:val="fr-CA"/>
        </w:rPr>
        <w:t>e</w:t>
      </w:r>
      <w:r>
        <w:rPr>
          <w:lang w:val="fr-CA"/>
        </w:rPr>
        <w:t>mb</w:t>
      </w:r>
      <w:r w:rsidR="00C73D06">
        <w:rPr>
          <w:lang w:val="fr-CA"/>
        </w:rPr>
        <w:t>r</w:t>
      </w:r>
      <w:r>
        <w:rPr>
          <w:lang w:val="fr-CA"/>
        </w:rPr>
        <w:t>e</w:t>
      </w:r>
      <w:r w:rsidR="00440E24" w:rsidRPr="002E2327">
        <w:rPr>
          <w:lang w:val="fr-CA"/>
        </w:rPr>
        <w:t xml:space="preserve"> 201</w:t>
      </w:r>
      <w:r w:rsidR="00F761A3">
        <w:rPr>
          <w:lang w:val="fr-CA"/>
        </w:rPr>
        <w:t>3</w:t>
      </w:r>
    </w:p>
    <w:p w:rsidR="00440E24" w:rsidRPr="00675479" w:rsidRDefault="00440E24" w:rsidP="00440E24">
      <w:pPr>
        <w:pBdr>
          <w:bottom w:val="single" w:sz="6" w:space="1" w:color="auto"/>
        </w:pBdr>
        <w:tabs>
          <w:tab w:val="right" w:pos="9360"/>
        </w:tabs>
        <w:rPr>
          <w:lang w:val="fr-CA"/>
        </w:rPr>
      </w:pPr>
    </w:p>
    <w:p w:rsidR="00440E24" w:rsidRPr="007E512D" w:rsidRDefault="00440E24" w:rsidP="00440E24">
      <w:pPr>
        <w:pBdr>
          <w:bottom w:val="single" w:sz="6" w:space="1" w:color="auto"/>
        </w:pBdr>
        <w:tabs>
          <w:tab w:val="right" w:pos="9360"/>
        </w:tabs>
        <w:rPr>
          <w:sz w:val="18"/>
          <w:szCs w:val="18"/>
          <w:lang w:val="fr-CA"/>
        </w:rPr>
      </w:pPr>
      <w:r w:rsidRPr="007E512D">
        <w:rPr>
          <w:sz w:val="18"/>
          <w:szCs w:val="18"/>
          <w:lang w:val="fr-CA"/>
        </w:rPr>
        <w:lastRenderedPageBreak/>
        <w:t>© Supreme Court of Canada (201</w:t>
      </w:r>
      <w:r w:rsidR="00F761A3" w:rsidRPr="007E512D">
        <w:rPr>
          <w:sz w:val="18"/>
          <w:szCs w:val="18"/>
          <w:lang w:val="fr-CA"/>
        </w:rPr>
        <w:t>3</w:t>
      </w:r>
      <w:r w:rsidRPr="007E512D">
        <w:rPr>
          <w:sz w:val="18"/>
          <w:szCs w:val="18"/>
          <w:lang w:val="fr-CA"/>
        </w:rPr>
        <w:t>)</w:t>
      </w:r>
      <w:r w:rsidRPr="007E512D">
        <w:rPr>
          <w:sz w:val="18"/>
          <w:szCs w:val="18"/>
          <w:lang w:val="fr-CA"/>
        </w:rPr>
        <w:tab/>
        <w:t>© Cour suprême du Canada (201</w:t>
      </w:r>
      <w:r w:rsidR="00F761A3" w:rsidRPr="007E512D">
        <w:rPr>
          <w:sz w:val="18"/>
          <w:szCs w:val="18"/>
          <w:lang w:val="fr-CA"/>
        </w:rPr>
        <w:t>3</w:t>
      </w:r>
      <w:r w:rsidRPr="007E512D">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E672F1"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Judgments reported in S.C.R.</w:t>
            </w:r>
          </w:p>
          <w:p w:rsidR="00A87207" w:rsidRPr="002E2327" w:rsidRDefault="00A87207" w:rsidP="00CF0A0F">
            <w:pPr>
              <w:tabs>
                <w:tab w:val="right" w:pos="9360"/>
              </w:tabs>
              <w:rPr>
                <w:rFonts w:cs="Times New Roman"/>
                <w:sz w:val="20"/>
                <w:szCs w:val="20"/>
              </w:rPr>
            </w:pPr>
          </w:p>
        </w:tc>
        <w:tc>
          <w:tcPr>
            <w:tcW w:w="1980" w:type="dxa"/>
          </w:tcPr>
          <w:p w:rsidR="0095096B" w:rsidRPr="002E2327" w:rsidRDefault="007E512D" w:rsidP="0095096B">
            <w:pPr>
              <w:jc w:val="center"/>
              <w:rPr>
                <w:rFonts w:cs="Times New Roman"/>
                <w:sz w:val="20"/>
                <w:szCs w:val="20"/>
              </w:rPr>
            </w:pPr>
            <w:r>
              <w:rPr>
                <w:rFonts w:cs="Times New Roman"/>
                <w:sz w:val="20"/>
                <w:szCs w:val="20"/>
              </w:rPr>
              <w:t>19</w:t>
            </w:r>
            <w:r w:rsidR="00A32E41">
              <w:rPr>
                <w:rFonts w:cs="Times New Roman"/>
                <w:sz w:val="20"/>
                <w:szCs w:val="20"/>
              </w:rPr>
              <w:t>93</w:t>
            </w:r>
            <w:r w:rsidR="000505AD" w:rsidRPr="002E2327">
              <w:rPr>
                <w:rFonts w:cs="Times New Roman"/>
                <w:sz w:val="20"/>
                <w:szCs w:val="20"/>
              </w:rPr>
              <w:fldChar w:fldCharType="begin"/>
            </w:r>
            <w:r w:rsidR="0095096B" w:rsidRPr="002E2327">
              <w:rPr>
                <w:rFonts w:cs="Times New Roman"/>
                <w:sz w:val="20"/>
                <w:szCs w:val="20"/>
              </w:rPr>
              <w:instrText xml:space="preserve"> SEQ CHAPTER \h \r 1</w:instrText>
            </w:r>
            <w:r w:rsidR="000505AD"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46451" w:rsidP="0095096B">
            <w:pPr>
              <w:jc w:val="center"/>
              <w:rPr>
                <w:rFonts w:cs="Times New Roman"/>
                <w:sz w:val="20"/>
                <w:szCs w:val="20"/>
              </w:rPr>
            </w:pPr>
            <w:r>
              <w:rPr>
                <w:rFonts w:cs="Times New Roman"/>
                <w:sz w:val="20"/>
                <w:szCs w:val="20"/>
              </w:rPr>
              <w:t>19</w:t>
            </w:r>
            <w:r w:rsidR="00A32E41">
              <w:rPr>
                <w:rFonts w:cs="Times New Roman"/>
                <w:sz w:val="20"/>
                <w:szCs w:val="20"/>
              </w:rPr>
              <w:t>94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542E5" w:rsidP="0095096B">
            <w:pPr>
              <w:jc w:val="center"/>
              <w:rPr>
                <w:rFonts w:cs="Times New Roman"/>
                <w:sz w:val="20"/>
                <w:szCs w:val="20"/>
              </w:rPr>
            </w:pPr>
            <w:r>
              <w:rPr>
                <w:rFonts w:cs="Times New Roman"/>
                <w:sz w:val="20"/>
                <w:szCs w:val="20"/>
              </w:rPr>
              <w:t>19</w:t>
            </w:r>
            <w:r w:rsidR="00A32E41">
              <w:rPr>
                <w:rFonts w:cs="Times New Roman"/>
                <w:sz w:val="20"/>
                <w:szCs w:val="20"/>
              </w:rPr>
              <w:t>95</w:t>
            </w:r>
            <w:r>
              <w:rPr>
                <w:rFonts w:cs="Times New Roman"/>
                <w:sz w:val="20"/>
                <w:szCs w:val="20"/>
              </w:rPr>
              <w:t xml:space="preserve"> </w:t>
            </w:r>
            <w:r w:rsidR="0095096B" w:rsidRPr="002E2327">
              <w:rPr>
                <w:rFonts w:cs="Times New Roman"/>
                <w:sz w:val="20"/>
                <w:szCs w:val="20"/>
              </w:rPr>
              <w:t>-</w:t>
            </w:r>
            <w:r w:rsidR="00A32E41">
              <w:rPr>
                <w:rFonts w:cs="Times New Roman"/>
                <w:sz w:val="20"/>
                <w:szCs w:val="20"/>
              </w:rPr>
              <w:t xml:space="preserve"> 2012</w:t>
            </w:r>
          </w:p>
          <w:p w:rsidR="0095096B" w:rsidRDefault="0095096B" w:rsidP="0095096B">
            <w:pPr>
              <w:jc w:val="center"/>
              <w:rPr>
                <w:rFonts w:cs="Times New Roman"/>
                <w:sz w:val="20"/>
                <w:szCs w:val="20"/>
              </w:rPr>
            </w:pPr>
          </w:p>
          <w:p w:rsidR="00CF0A0F" w:rsidRPr="002E2327" w:rsidRDefault="00CF0A0F" w:rsidP="0095096B">
            <w:pPr>
              <w:jc w:val="center"/>
              <w:rPr>
                <w:rFonts w:cs="Times New Roman"/>
                <w:sz w:val="20"/>
                <w:szCs w:val="20"/>
              </w:rPr>
            </w:pPr>
          </w:p>
          <w:p w:rsidR="0095096B" w:rsidRPr="002E2327" w:rsidRDefault="00A32E41" w:rsidP="0095096B">
            <w:pPr>
              <w:jc w:val="center"/>
              <w:rPr>
                <w:rFonts w:cs="Times New Roman"/>
                <w:sz w:val="20"/>
                <w:szCs w:val="20"/>
              </w:rPr>
            </w:pPr>
            <w:r>
              <w:rPr>
                <w:rFonts w:cs="Times New Roman"/>
                <w:sz w:val="20"/>
                <w:szCs w:val="20"/>
              </w:rPr>
              <w:t xml:space="preserve">2013 </w:t>
            </w:r>
            <w:r w:rsidR="0095096B" w:rsidRPr="002E2327">
              <w:rPr>
                <w:rFonts w:cs="Times New Roman"/>
                <w:sz w:val="20"/>
                <w:szCs w:val="20"/>
              </w:rPr>
              <w:t>-</w:t>
            </w:r>
            <w:r>
              <w:rPr>
                <w:rFonts w:cs="Times New Roman"/>
                <w:sz w:val="20"/>
                <w:szCs w:val="20"/>
              </w:rPr>
              <w:t xml:space="preserve"> 2020</w:t>
            </w:r>
          </w:p>
          <w:p w:rsidR="0095096B" w:rsidRPr="002E2327" w:rsidRDefault="0095096B" w:rsidP="0095096B">
            <w:pPr>
              <w:jc w:val="center"/>
              <w:rPr>
                <w:rFonts w:cs="Times New Roman"/>
                <w:sz w:val="20"/>
                <w:szCs w:val="20"/>
              </w:rPr>
            </w:pPr>
          </w:p>
          <w:p w:rsidR="0095096B" w:rsidRPr="002E2327" w:rsidRDefault="00A32E41" w:rsidP="0095096B">
            <w:pPr>
              <w:jc w:val="center"/>
              <w:rPr>
                <w:rFonts w:cs="Times New Roman"/>
                <w:sz w:val="20"/>
                <w:szCs w:val="20"/>
              </w:rPr>
            </w:pPr>
            <w:r>
              <w:rPr>
                <w:rFonts w:cs="Times New Roman"/>
                <w:sz w:val="20"/>
                <w:szCs w:val="20"/>
              </w:rPr>
              <w:t xml:space="preserve">2021 </w:t>
            </w:r>
            <w:r w:rsidR="0095096B" w:rsidRPr="002E2327">
              <w:rPr>
                <w:rFonts w:cs="Times New Roman"/>
                <w:sz w:val="20"/>
                <w:szCs w:val="20"/>
              </w:rPr>
              <w:t>-</w:t>
            </w:r>
            <w:r w:rsidR="000F7500">
              <w:rPr>
                <w:rFonts w:cs="Times New Roman"/>
                <w:sz w:val="20"/>
                <w:szCs w:val="20"/>
              </w:rPr>
              <w:t xml:space="preserve"> 2025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F7500" w:rsidP="0095096B">
            <w:pPr>
              <w:jc w:val="center"/>
              <w:rPr>
                <w:rFonts w:cs="Times New Roman"/>
                <w:sz w:val="20"/>
                <w:szCs w:val="20"/>
              </w:rPr>
            </w:pPr>
            <w:r>
              <w:rPr>
                <w:rFonts w:cs="Times New Roman"/>
                <w:sz w:val="20"/>
                <w:szCs w:val="20"/>
              </w:rPr>
              <w:t>2026</w:t>
            </w:r>
          </w:p>
          <w:p w:rsidR="0095096B" w:rsidRDefault="0095096B" w:rsidP="0095096B">
            <w:pPr>
              <w:jc w:val="center"/>
              <w:rPr>
                <w:rFonts w:cs="Times New Roman"/>
                <w:sz w:val="20"/>
                <w:szCs w:val="20"/>
              </w:rPr>
            </w:pPr>
          </w:p>
          <w:p w:rsidR="00CF0A0F" w:rsidRPr="002E2327" w:rsidRDefault="00CF0A0F" w:rsidP="0095096B">
            <w:pPr>
              <w:jc w:val="center"/>
              <w:rPr>
                <w:rFonts w:cs="Times New Roman"/>
                <w:sz w:val="20"/>
                <w:szCs w:val="20"/>
              </w:rPr>
            </w:pPr>
          </w:p>
          <w:p w:rsidR="0095096B" w:rsidRPr="002E2327" w:rsidRDefault="000F7500" w:rsidP="0095096B">
            <w:pPr>
              <w:jc w:val="center"/>
              <w:rPr>
                <w:rFonts w:cs="Times New Roman"/>
                <w:sz w:val="20"/>
                <w:szCs w:val="20"/>
              </w:rPr>
            </w:pPr>
            <w:r>
              <w:rPr>
                <w:rFonts w:cs="Times New Roman"/>
                <w:sz w:val="20"/>
                <w:szCs w:val="20"/>
              </w:rPr>
              <w:t xml:space="preserve">2027 </w:t>
            </w:r>
            <w:r w:rsidR="0095096B" w:rsidRPr="002E2327">
              <w:rPr>
                <w:rFonts w:cs="Times New Roman"/>
                <w:sz w:val="20"/>
                <w:szCs w:val="20"/>
              </w:rPr>
              <w:t>-</w:t>
            </w:r>
            <w:r>
              <w:rPr>
                <w:rFonts w:cs="Times New Roman"/>
                <w:sz w:val="20"/>
                <w:szCs w:val="20"/>
              </w:rPr>
              <w:t xml:space="preserve"> </w:t>
            </w:r>
            <w:r w:rsidR="008A1275">
              <w:rPr>
                <w:rFonts w:cs="Times New Roman"/>
                <w:sz w:val="20"/>
                <w:szCs w:val="20"/>
              </w:rPr>
              <w:t>2037</w:t>
            </w:r>
          </w:p>
          <w:p w:rsidR="0095096B" w:rsidRPr="002E2327" w:rsidRDefault="0095096B" w:rsidP="0095096B">
            <w:pPr>
              <w:jc w:val="center"/>
              <w:rPr>
                <w:rFonts w:cs="Times New Roman"/>
                <w:sz w:val="20"/>
                <w:szCs w:val="20"/>
              </w:rPr>
            </w:pPr>
          </w:p>
          <w:p w:rsidR="0095096B" w:rsidRPr="002E2327" w:rsidRDefault="008A1275" w:rsidP="0095096B">
            <w:pPr>
              <w:jc w:val="center"/>
              <w:rPr>
                <w:rFonts w:cs="Times New Roman"/>
                <w:sz w:val="20"/>
                <w:szCs w:val="20"/>
              </w:rPr>
            </w:pPr>
            <w:r>
              <w:rPr>
                <w:rFonts w:cs="Times New Roman"/>
                <w:sz w:val="20"/>
                <w:szCs w:val="20"/>
              </w:rPr>
              <w:t>2038</w:t>
            </w:r>
          </w:p>
          <w:p w:rsidR="00A87207" w:rsidRPr="002E2327" w:rsidRDefault="00A87207" w:rsidP="00CF0A0F">
            <w:pPr>
              <w:jc w:val="center"/>
              <w:rPr>
                <w:rFonts w:cs="Times New Roman"/>
                <w:sz w:val="20"/>
                <w:szCs w:val="20"/>
              </w:rPr>
            </w:pPr>
          </w:p>
        </w:tc>
        <w:tc>
          <w:tcPr>
            <w:tcW w:w="3888" w:type="dxa"/>
          </w:tcPr>
          <w:p w:rsidR="0095096B" w:rsidRPr="002E2327" w:rsidRDefault="000505AD"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tabs>
                <w:tab w:val="right" w:pos="9360"/>
              </w:tabs>
              <w:rPr>
                <w:rFonts w:cs="Times New Roman"/>
                <w:sz w:val="20"/>
                <w:szCs w:val="20"/>
                <w:lang w:val="fr-CA"/>
              </w:rPr>
            </w:pPr>
            <w:r w:rsidRPr="002E2327">
              <w:rPr>
                <w:rFonts w:cs="Times New Roman"/>
                <w:sz w:val="20"/>
                <w:szCs w:val="20"/>
                <w:lang w:val="fr-CA"/>
              </w:rPr>
              <w:t>Jugements publiés au R.C.S.</w:t>
            </w:r>
          </w:p>
          <w:p w:rsidR="00A87207" w:rsidRPr="002E2327" w:rsidRDefault="00A87207" w:rsidP="00CF0A0F">
            <w:pPr>
              <w:tabs>
                <w:tab w:val="right" w:pos="9360"/>
              </w:tabs>
              <w:rPr>
                <w:rFonts w:cs="Times New Roman"/>
                <w:sz w:val="20"/>
                <w:szCs w:val="20"/>
                <w:lang w:val="fr-CA"/>
              </w:rPr>
            </w:pPr>
          </w:p>
        </w:tc>
      </w:tr>
    </w:tbl>
    <w:p w:rsidR="0095096B" w:rsidRPr="00957B79" w:rsidRDefault="0095096B" w:rsidP="0095096B">
      <w:pPr>
        <w:tabs>
          <w:tab w:val="right" w:pos="9360"/>
        </w:tabs>
        <w:rPr>
          <w:lang w:val="fr-CA"/>
        </w:rPr>
      </w:pPr>
    </w:p>
    <w:p w:rsidR="00B00C6C" w:rsidRPr="00957B79" w:rsidRDefault="00B00C6C" w:rsidP="0095096B">
      <w:pPr>
        <w:tabs>
          <w:tab w:val="right" w:pos="9360"/>
        </w:tabs>
        <w:rPr>
          <w:lang w:val="fr-CA"/>
        </w:rPr>
      </w:pPr>
    </w:p>
    <w:p w:rsidR="00B00C6C" w:rsidRPr="00957B79" w:rsidRDefault="00B00C6C" w:rsidP="0095096B">
      <w:pPr>
        <w:tabs>
          <w:tab w:val="right" w:pos="9360"/>
        </w:tabs>
        <w:rPr>
          <w:lang w:val="fr-CA"/>
        </w:rPr>
      </w:pPr>
    </w:p>
    <w:p w:rsidR="00B00C6C" w:rsidRPr="00957B79" w:rsidRDefault="00B00C6C" w:rsidP="0095096B">
      <w:pPr>
        <w:tabs>
          <w:tab w:val="right" w:pos="9360"/>
        </w:tabs>
        <w:rPr>
          <w:lang w:val="fr-CA"/>
        </w:rPr>
      </w:pPr>
    </w:p>
    <w:p w:rsidR="00B00C6C" w:rsidRPr="00957B79" w:rsidRDefault="00B00C6C"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E672F1"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242AEE" w:rsidRPr="0026587A" w:rsidTr="003B3977">
        <w:tc>
          <w:tcPr>
            <w:tcW w:w="4320" w:type="dxa"/>
            <w:shd w:val="clear" w:color="auto" w:fill="auto"/>
          </w:tcPr>
          <w:p w:rsidR="00242AEE" w:rsidRPr="00A935AA" w:rsidRDefault="0026587A" w:rsidP="003B3977">
            <w:pPr>
              <w:rPr>
                <w:b/>
                <w:sz w:val="20"/>
                <w:szCs w:val="20"/>
              </w:rPr>
            </w:pPr>
            <w:r>
              <w:rPr>
                <w:b/>
                <w:sz w:val="20"/>
                <w:szCs w:val="20"/>
              </w:rPr>
              <w:t>Paul Montgrand</w:t>
            </w:r>
          </w:p>
          <w:p w:rsidR="00242AEE" w:rsidRPr="00A935AA" w:rsidRDefault="00242AEE" w:rsidP="003B3977">
            <w:pPr>
              <w:tabs>
                <w:tab w:val="left" w:pos="-1440"/>
                <w:tab w:val="left" w:pos="-720"/>
              </w:tabs>
              <w:rPr>
                <w:sz w:val="20"/>
                <w:szCs w:val="20"/>
              </w:rPr>
            </w:pPr>
            <w:r w:rsidRPr="00A935AA">
              <w:rPr>
                <w:sz w:val="20"/>
                <w:szCs w:val="20"/>
              </w:rPr>
              <w:tab/>
            </w:r>
            <w:r w:rsidR="0026587A">
              <w:rPr>
                <w:sz w:val="20"/>
                <w:szCs w:val="20"/>
              </w:rPr>
              <w:t>Paul Montgrand</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7E512D">
              <w:rPr>
                <w:sz w:val="20"/>
                <w:szCs w:val="20"/>
              </w:rPr>
              <w:t>5</w:t>
            </w:r>
            <w:r w:rsidR="0026587A">
              <w:rPr>
                <w:sz w:val="20"/>
                <w:szCs w:val="20"/>
              </w:rPr>
              <w:t>628</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26587A" w:rsidP="003B3977">
            <w:pPr>
              <w:tabs>
                <w:tab w:val="left" w:pos="-1440"/>
                <w:tab w:val="left" w:pos="-720"/>
              </w:tabs>
              <w:rPr>
                <w:b/>
                <w:sz w:val="20"/>
                <w:szCs w:val="20"/>
              </w:rPr>
            </w:pPr>
            <w:r>
              <w:rPr>
                <w:b/>
                <w:sz w:val="20"/>
                <w:szCs w:val="20"/>
              </w:rPr>
              <w:t xml:space="preserve">Her Majesty the Queen </w:t>
            </w:r>
            <w:r w:rsidR="00242AEE" w:rsidRPr="00A935AA">
              <w:rPr>
                <w:b/>
                <w:sz w:val="20"/>
                <w:szCs w:val="20"/>
              </w:rPr>
              <w:t>(</w:t>
            </w:r>
            <w:r>
              <w:rPr>
                <w:b/>
                <w:sz w:val="20"/>
                <w:szCs w:val="20"/>
              </w:rPr>
              <w:t>Sask.</w:t>
            </w:r>
            <w:r w:rsidR="00242AEE" w:rsidRPr="00A935AA">
              <w:rPr>
                <w:b/>
                <w:sz w:val="20"/>
                <w:szCs w:val="20"/>
              </w:rPr>
              <w:t>)</w:t>
            </w:r>
          </w:p>
          <w:p w:rsidR="00242AEE" w:rsidRPr="00A935AA" w:rsidRDefault="00242AEE" w:rsidP="003B3977">
            <w:pPr>
              <w:tabs>
                <w:tab w:val="left" w:pos="-1440"/>
                <w:tab w:val="left" w:pos="-720"/>
              </w:tabs>
              <w:rPr>
                <w:sz w:val="20"/>
                <w:szCs w:val="20"/>
              </w:rPr>
            </w:pPr>
            <w:r w:rsidRPr="00A935AA">
              <w:rPr>
                <w:sz w:val="20"/>
                <w:szCs w:val="20"/>
              </w:rPr>
              <w:tab/>
            </w:r>
            <w:r w:rsidR="0026587A">
              <w:rPr>
                <w:sz w:val="20"/>
                <w:szCs w:val="20"/>
              </w:rPr>
              <w:t>W. Dean Sinclair</w:t>
            </w:r>
          </w:p>
          <w:p w:rsidR="00242AEE" w:rsidRPr="00A935AA" w:rsidRDefault="00242AEE" w:rsidP="003B3977">
            <w:pPr>
              <w:tabs>
                <w:tab w:val="left" w:pos="-1440"/>
                <w:tab w:val="left" w:pos="-720"/>
              </w:tabs>
              <w:rPr>
                <w:sz w:val="20"/>
                <w:szCs w:val="20"/>
              </w:rPr>
            </w:pPr>
            <w:r w:rsidRPr="00A935AA">
              <w:rPr>
                <w:sz w:val="20"/>
                <w:szCs w:val="20"/>
              </w:rPr>
              <w:tab/>
            </w:r>
            <w:r w:rsidR="0026587A">
              <w:rPr>
                <w:sz w:val="20"/>
                <w:szCs w:val="20"/>
              </w:rPr>
              <w:t>A.G. of Saskatchewan</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FILING DATE: 2</w:t>
            </w:r>
            <w:r w:rsidR="0026587A">
              <w:rPr>
                <w:sz w:val="20"/>
                <w:szCs w:val="20"/>
              </w:rPr>
              <w:t>1</w:t>
            </w:r>
            <w:r w:rsidRPr="00A935AA">
              <w:rPr>
                <w:sz w:val="20"/>
                <w:szCs w:val="20"/>
              </w:rPr>
              <w:t>.</w:t>
            </w:r>
            <w:r w:rsidR="007E512D">
              <w:rPr>
                <w:sz w:val="20"/>
                <w:szCs w:val="20"/>
              </w:rPr>
              <w:t>1</w:t>
            </w:r>
            <w:r w:rsidR="0026587A">
              <w:rPr>
                <w:sz w:val="20"/>
                <w:szCs w:val="20"/>
              </w:rPr>
              <w:t>0</w:t>
            </w:r>
            <w:r w:rsidRPr="00A935AA">
              <w:rPr>
                <w:sz w:val="20"/>
                <w:szCs w:val="20"/>
              </w:rPr>
              <w:t>.201</w:t>
            </w:r>
            <w:r w:rsidR="007E512D">
              <w:rPr>
                <w:sz w:val="20"/>
                <w:szCs w:val="20"/>
              </w:rPr>
              <w:t>3</w:t>
            </w:r>
          </w:p>
          <w:p w:rsidR="00242AEE" w:rsidRPr="00A935AA" w:rsidRDefault="00E672F1" w:rsidP="003B3977">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26587A" w:rsidP="003B3977">
            <w:pPr>
              <w:keepNext/>
              <w:keepLines/>
              <w:tabs>
                <w:tab w:val="left" w:pos="-1440"/>
                <w:tab w:val="left" w:pos="-720"/>
              </w:tabs>
              <w:rPr>
                <w:b/>
                <w:sz w:val="20"/>
                <w:szCs w:val="20"/>
              </w:rPr>
            </w:pPr>
            <w:r>
              <w:rPr>
                <w:b/>
                <w:sz w:val="20"/>
                <w:szCs w:val="20"/>
              </w:rPr>
              <w:t>C.J.R.</w:t>
            </w:r>
          </w:p>
          <w:p w:rsidR="00242AEE" w:rsidRPr="00A935AA" w:rsidRDefault="007E512D" w:rsidP="003B3977">
            <w:pPr>
              <w:keepNext/>
              <w:keepLines/>
              <w:tabs>
                <w:tab w:val="left" w:pos="-1440"/>
                <w:tab w:val="left" w:pos="-720"/>
              </w:tabs>
              <w:rPr>
                <w:sz w:val="20"/>
                <w:szCs w:val="20"/>
              </w:rPr>
            </w:pPr>
            <w:r>
              <w:rPr>
                <w:sz w:val="20"/>
                <w:szCs w:val="20"/>
              </w:rPr>
              <w:tab/>
            </w:r>
            <w:r w:rsidR="0026587A">
              <w:rPr>
                <w:sz w:val="20"/>
                <w:szCs w:val="20"/>
              </w:rPr>
              <w:t>C.J.R.</w:t>
            </w:r>
          </w:p>
          <w:p w:rsidR="00242AEE" w:rsidRPr="00A935AA" w:rsidRDefault="00242AEE" w:rsidP="003B3977">
            <w:pPr>
              <w:keepNext/>
              <w:keepLines/>
              <w:tabs>
                <w:tab w:val="left" w:pos="-1440"/>
                <w:tab w:val="left" w:pos="-720"/>
              </w:tabs>
              <w:rPr>
                <w:sz w:val="20"/>
                <w:szCs w:val="20"/>
              </w:rPr>
            </w:pPr>
          </w:p>
          <w:p w:rsidR="00242AEE" w:rsidRPr="00600976" w:rsidRDefault="00242AEE" w:rsidP="003B3977">
            <w:pPr>
              <w:keepNext/>
              <w:keepLines/>
              <w:tabs>
                <w:tab w:val="left" w:pos="-1440"/>
                <w:tab w:val="left" w:pos="-720"/>
              </w:tabs>
              <w:rPr>
                <w:sz w:val="20"/>
                <w:szCs w:val="20"/>
              </w:rPr>
            </w:pPr>
            <w:r w:rsidRPr="00A935AA">
              <w:rPr>
                <w:sz w:val="20"/>
                <w:szCs w:val="20"/>
              </w:rPr>
              <w:tab/>
            </w:r>
            <w:r w:rsidR="0026587A" w:rsidRPr="00600976">
              <w:rPr>
                <w:sz w:val="20"/>
                <w:szCs w:val="20"/>
              </w:rPr>
              <w:t>c</w:t>
            </w:r>
            <w:r w:rsidRPr="00600976">
              <w:rPr>
                <w:sz w:val="20"/>
                <w:szCs w:val="20"/>
              </w:rPr>
              <w:t>. (3</w:t>
            </w:r>
            <w:r w:rsidR="007E512D" w:rsidRPr="00600976">
              <w:rPr>
                <w:sz w:val="20"/>
                <w:szCs w:val="20"/>
              </w:rPr>
              <w:t>5</w:t>
            </w:r>
            <w:r w:rsidR="0026587A" w:rsidRPr="00600976">
              <w:rPr>
                <w:sz w:val="20"/>
                <w:szCs w:val="20"/>
              </w:rPr>
              <w:t>617</w:t>
            </w:r>
            <w:r w:rsidRPr="00600976">
              <w:rPr>
                <w:sz w:val="20"/>
                <w:szCs w:val="20"/>
              </w:rPr>
              <w:t>)</w:t>
            </w:r>
          </w:p>
          <w:p w:rsidR="00242AEE" w:rsidRPr="00600976" w:rsidRDefault="00242AEE" w:rsidP="003B3977">
            <w:pPr>
              <w:keepNext/>
              <w:keepLines/>
              <w:tabs>
                <w:tab w:val="left" w:pos="-1440"/>
                <w:tab w:val="left" w:pos="-720"/>
              </w:tabs>
              <w:rPr>
                <w:sz w:val="20"/>
                <w:szCs w:val="20"/>
              </w:rPr>
            </w:pPr>
          </w:p>
          <w:p w:rsidR="00242AEE" w:rsidRPr="00600976" w:rsidRDefault="0026587A" w:rsidP="003B3977">
            <w:pPr>
              <w:keepNext/>
              <w:keepLines/>
              <w:tabs>
                <w:tab w:val="left" w:pos="-1440"/>
                <w:tab w:val="left" w:pos="-720"/>
              </w:tabs>
              <w:rPr>
                <w:b/>
                <w:sz w:val="20"/>
                <w:szCs w:val="20"/>
              </w:rPr>
            </w:pPr>
            <w:r w:rsidRPr="00600976">
              <w:rPr>
                <w:b/>
                <w:sz w:val="20"/>
                <w:szCs w:val="20"/>
              </w:rPr>
              <w:t xml:space="preserve">I.A.C. </w:t>
            </w:r>
            <w:r w:rsidR="00242AEE" w:rsidRPr="00600976">
              <w:rPr>
                <w:b/>
                <w:sz w:val="20"/>
                <w:szCs w:val="20"/>
              </w:rPr>
              <w:t>(</w:t>
            </w:r>
            <w:r w:rsidRPr="00600976">
              <w:rPr>
                <w:b/>
                <w:sz w:val="20"/>
                <w:szCs w:val="20"/>
              </w:rPr>
              <w:t>Qc</w:t>
            </w:r>
            <w:r w:rsidR="00242AEE" w:rsidRPr="00600976">
              <w:rPr>
                <w:b/>
                <w:sz w:val="20"/>
                <w:szCs w:val="20"/>
              </w:rPr>
              <w:t>)</w:t>
            </w:r>
          </w:p>
          <w:p w:rsidR="00242AEE" w:rsidRPr="00A935AA" w:rsidRDefault="00242AEE" w:rsidP="003B3977">
            <w:pPr>
              <w:keepNext/>
              <w:keepLines/>
              <w:tabs>
                <w:tab w:val="left" w:pos="-1440"/>
                <w:tab w:val="left" w:pos="-720"/>
              </w:tabs>
              <w:rPr>
                <w:sz w:val="20"/>
                <w:szCs w:val="20"/>
                <w:lang w:val="fr-CA"/>
              </w:rPr>
            </w:pPr>
            <w:r w:rsidRPr="00600976">
              <w:rPr>
                <w:sz w:val="20"/>
                <w:szCs w:val="20"/>
              </w:rPr>
              <w:tab/>
            </w:r>
            <w:r w:rsidR="0026587A">
              <w:rPr>
                <w:sz w:val="20"/>
                <w:szCs w:val="20"/>
                <w:lang w:val="fr-CA"/>
              </w:rPr>
              <w:t>Sylvain Paquin</w:t>
            </w:r>
          </w:p>
          <w:p w:rsidR="00242AEE" w:rsidRPr="00A935AA" w:rsidRDefault="00242AEE" w:rsidP="003B3977">
            <w:pPr>
              <w:keepNext/>
              <w:keepLines/>
              <w:tabs>
                <w:tab w:val="left" w:pos="-1440"/>
                <w:tab w:val="left" w:pos="-720"/>
              </w:tabs>
              <w:rPr>
                <w:sz w:val="20"/>
                <w:szCs w:val="20"/>
                <w:lang w:val="fr-CA"/>
              </w:rPr>
            </w:pPr>
            <w:r w:rsidRPr="00A935AA">
              <w:rPr>
                <w:sz w:val="20"/>
                <w:szCs w:val="20"/>
                <w:lang w:val="fr-CA"/>
              </w:rPr>
              <w:tab/>
            </w:r>
            <w:r w:rsidR="0026587A">
              <w:rPr>
                <w:sz w:val="20"/>
                <w:szCs w:val="20"/>
                <w:lang w:val="fr-CA"/>
              </w:rPr>
              <w:t>Legault, Brunet, Paquin, avocats</w:t>
            </w:r>
          </w:p>
          <w:p w:rsidR="00242AEE" w:rsidRPr="00A935AA" w:rsidRDefault="00242AEE" w:rsidP="003B3977">
            <w:pPr>
              <w:keepNext/>
              <w:keepLines/>
              <w:tabs>
                <w:tab w:val="left" w:pos="-1440"/>
                <w:tab w:val="left" w:pos="-720"/>
              </w:tabs>
              <w:rPr>
                <w:sz w:val="20"/>
                <w:szCs w:val="20"/>
                <w:lang w:val="fr-CA"/>
              </w:rPr>
            </w:pPr>
          </w:p>
          <w:p w:rsidR="00242AEE" w:rsidRPr="0026587A" w:rsidRDefault="00242AEE" w:rsidP="0026587A">
            <w:pPr>
              <w:rPr>
                <w:sz w:val="20"/>
                <w:szCs w:val="20"/>
                <w:lang w:val="fr-CA"/>
              </w:rPr>
            </w:pPr>
            <w:r w:rsidRPr="0026587A">
              <w:rPr>
                <w:sz w:val="20"/>
                <w:szCs w:val="20"/>
                <w:lang w:val="fr-CA"/>
              </w:rPr>
              <w:t>DATE</w:t>
            </w:r>
            <w:r w:rsidR="0026587A" w:rsidRPr="0026587A">
              <w:rPr>
                <w:sz w:val="20"/>
                <w:szCs w:val="20"/>
                <w:lang w:val="fr-CA"/>
              </w:rPr>
              <w:t xml:space="preserve"> DE PRODUCTION </w:t>
            </w:r>
            <w:r w:rsidRPr="0026587A">
              <w:rPr>
                <w:sz w:val="20"/>
                <w:szCs w:val="20"/>
                <w:lang w:val="fr-CA"/>
              </w:rPr>
              <w:t xml:space="preserve">: </w:t>
            </w:r>
            <w:r w:rsidR="0026587A" w:rsidRPr="0026587A">
              <w:rPr>
                <w:sz w:val="20"/>
                <w:szCs w:val="20"/>
                <w:lang w:val="fr-CA"/>
              </w:rPr>
              <w:t>0</w:t>
            </w:r>
            <w:r w:rsidRPr="0026587A">
              <w:rPr>
                <w:sz w:val="20"/>
                <w:szCs w:val="20"/>
                <w:lang w:val="fr-CA"/>
              </w:rPr>
              <w:t>8.</w:t>
            </w:r>
            <w:r w:rsidR="004C2672" w:rsidRPr="0026587A">
              <w:rPr>
                <w:sz w:val="20"/>
                <w:szCs w:val="20"/>
                <w:lang w:val="fr-CA"/>
              </w:rPr>
              <w:t>11</w:t>
            </w:r>
            <w:r w:rsidRPr="0026587A">
              <w:rPr>
                <w:sz w:val="20"/>
                <w:szCs w:val="20"/>
                <w:lang w:val="fr-CA"/>
              </w:rPr>
              <w:t>.201</w:t>
            </w:r>
            <w:r w:rsidR="004C2672" w:rsidRPr="0026587A">
              <w:rPr>
                <w:sz w:val="20"/>
                <w:szCs w:val="20"/>
                <w:lang w:val="fr-CA"/>
              </w:rPr>
              <w:t>3</w:t>
            </w:r>
            <w:r w:rsidR="00E672F1">
              <w:rPr>
                <w:sz w:val="20"/>
                <w:szCs w:val="20"/>
                <w:lang w:val="fr-CA"/>
              </w:rPr>
              <w:pict>
                <v:rect id="_x0000_i1026" style="width:108pt;height:1pt" o:hrpct="0" o:hralign="center" o:hrstd="t" o:hrnoshade="t" o:hr="t" fillcolor="black [3213]" stroked="f"/>
              </w:pict>
            </w:r>
          </w:p>
        </w:tc>
      </w:tr>
      <w:tr w:rsidR="004C2672" w:rsidRPr="00811DF9" w:rsidTr="003B3977">
        <w:tc>
          <w:tcPr>
            <w:tcW w:w="4320" w:type="dxa"/>
            <w:shd w:val="clear" w:color="auto" w:fill="auto"/>
          </w:tcPr>
          <w:p w:rsidR="004C2672" w:rsidRPr="0026587A" w:rsidRDefault="0026587A" w:rsidP="004C2672">
            <w:pPr>
              <w:rPr>
                <w:b/>
                <w:sz w:val="20"/>
                <w:szCs w:val="20"/>
                <w:lang w:val="fr-CA"/>
              </w:rPr>
            </w:pPr>
            <w:r>
              <w:rPr>
                <w:b/>
                <w:sz w:val="20"/>
                <w:szCs w:val="20"/>
                <w:lang w:val="fr-CA"/>
              </w:rPr>
              <w:t>Syndicat des infirmières, infirmières auxiliaires et inhalothérapeutes de l’Est du Québec</w:t>
            </w:r>
          </w:p>
          <w:p w:rsidR="004C2672" w:rsidRPr="0026587A" w:rsidRDefault="004C2672" w:rsidP="004C2672">
            <w:pPr>
              <w:tabs>
                <w:tab w:val="left" w:pos="-1440"/>
                <w:tab w:val="left" w:pos="-720"/>
              </w:tabs>
              <w:rPr>
                <w:sz w:val="20"/>
                <w:szCs w:val="20"/>
                <w:lang w:val="fr-CA"/>
              </w:rPr>
            </w:pPr>
            <w:r w:rsidRPr="0026587A">
              <w:rPr>
                <w:sz w:val="20"/>
                <w:szCs w:val="20"/>
                <w:lang w:val="fr-CA"/>
              </w:rPr>
              <w:tab/>
            </w:r>
            <w:r w:rsidR="0026587A">
              <w:rPr>
                <w:sz w:val="20"/>
                <w:szCs w:val="20"/>
                <w:lang w:val="fr-CA"/>
              </w:rPr>
              <w:t>Michel Boucher</w:t>
            </w:r>
          </w:p>
          <w:p w:rsidR="004C2672" w:rsidRPr="0026587A" w:rsidRDefault="004C2672" w:rsidP="004C2672">
            <w:pPr>
              <w:tabs>
                <w:tab w:val="left" w:pos="-1440"/>
                <w:tab w:val="left" w:pos="-720"/>
              </w:tabs>
              <w:rPr>
                <w:sz w:val="20"/>
                <w:szCs w:val="20"/>
                <w:lang w:val="fr-CA"/>
              </w:rPr>
            </w:pPr>
          </w:p>
          <w:p w:rsidR="004C2672" w:rsidRPr="0026587A" w:rsidRDefault="004C2672" w:rsidP="004C2672">
            <w:pPr>
              <w:tabs>
                <w:tab w:val="left" w:pos="-1440"/>
                <w:tab w:val="left" w:pos="-720"/>
              </w:tabs>
              <w:rPr>
                <w:sz w:val="20"/>
                <w:szCs w:val="20"/>
                <w:lang w:val="fr-CA"/>
              </w:rPr>
            </w:pPr>
            <w:r w:rsidRPr="0026587A">
              <w:rPr>
                <w:sz w:val="20"/>
                <w:szCs w:val="20"/>
                <w:lang w:val="fr-CA"/>
              </w:rPr>
              <w:tab/>
            </w:r>
            <w:r w:rsidR="0026587A">
              <w:rPr>
                <w:sz w:val="20"/>
                <w:szCs w:val="20"/>
                <w:lang w:val="fr-CA"/>
              </w:rPr>
              <w:t>c</w:t>
            </w:r>
            <w:r w:rsidRPr="0026587A">
              <w:rPr>
                <w:sz w:val="20"/>
                <w:szCs w:val="20"/>
                <w:lang w:val="fr-CA"/>
              </w:rPr>
              <w:t>. (35</w:t>
            </w:r>
            <w:r w:rsidR="0026587A">
              <w:rPr>
                <w:sz w:val="20"/>
                <w:szCs w:val="20"/>
                <w:lang w:val="fr-CA"/>
              </w:rPr>
              <w:t>629</w:t>
            </w:r>
            <w:r w:rsidRPr="0026587A">
              <w:rPr>
                <w:sz w:val="20"/>
                <w:szCs w:val="20"/>
                <w:lang w:val="fr-CA"/>
              </w:rPr>
              <w:t>)</w:t>
            </w:r>
          </w:p>
          <w:p w:rsidR="004C2672" w:rsidRPr="0026587A" w:rsidRDefault="004C2672" w:rsidP="004C2672">
            <w:pPr>
              <w:tabs>
                <w:tab w:val="left" w:pos="-1440"/>
                <w:tab w:val="left" w:pos="-720"/>
              </w:tabs>
              <w:rPr>
                <w:sz w:val="20"/>
                <w:szCs w:val="20"/>
                <w:lang w:val="fr-CA"/>
              </w:rPr>
            </w:pPr>
          </w:p>
          <w:p w:rsidR="004C2672" w:rsidRPr="0026587A" w:rsidRDefault="0026587A" w:rsidP="004C2672">
            <w:pPr>
              <w:tabs>
                <w:tab w:val="left" w:pos="-1440"/>
                <w:tab w:val="left" w:pos="-720"/>
              </w:tabs>
              <w:rPr>
                <w:b/>
                <w:sz w:val="20"/>
                <w:szCs w:val="20"/>
                <w:lang w:val="fr-CA"/>
              </w:rPr>
            </w:pPr>
            <w:r>
              <w:rPr>
                <w:b/>
                <w:sz w:val="20"/>
                <w:szCs w:val="20"/>
                <w:lang w:val="fr-CA"/>
              </w:rPr>
              <w:t xml:space="preserve">Centre de santé et de services sociaux de la Côte-de-Gaspé </w:t>
            </w:r>
            <w:r w:rsidR="004C2672" w:rsidRPr="0026587A">
              <w:rPr>
                <w:b/>
                <w:sz w:val="20"/>
                <w:szCs w:val="20"/>
                <w:lang w:val="fr-CA"/>
              </w:rPr>
              <w:t>(</w:t>
            </w:r>
            <w:r>
              <w:rPr>
                <w:b/>
                <w:sz w:val="20"/>
                <w:szCs w:val="20"/>
                <w:lang w:val="fr-CA"/>
              </w:rPr>
              <w:t>Qc</w:t>
            </w:r>
            <w:r w:rsidR="004C2672" w:rsidRPr="0026587A">
              <w:rPr>
                <w:b/>
                <w:sz w:val="20"/>
                <w:szCs w:val="20"/>
                <w:lang w:val="fr-CA"/>
              </w:rPr>
              <w:t>)</w:t>
            </w:r>
          </w:p>
          <w:p w:rsidR="004C2672" w:rsidRPr="0026587A" w:rsidRDefault="004C2672" w:rsidP="004C2672">
            <w:pPr>
              <w:tabs>
                <w:tab w:val="left" w:pos="-1440"/>
                <w:tab w:val="left" w:pos="-720"/>
              </w:tabs>
              <w:rPr>
                <w:sz w:val="20"/>
                <w:szCs w:val="20"/>
                <w:lang w:val="fr-CA"/>
              </w:rPr>
            </w:pPr>
            <w:r w:rsidRPr="0026587A">
              <w:rPr>
                <w:sz w:val="20"/>
                <w:szCs w:val="20"/>
                <w:lang w:val="fr-CA"/>
              </w:rPr>
              <w:tab/>
            </w:r>
            <w:r w:rsidR="0026587A">
              <w:rPr>
                <w:sz w:val="20"/>
                <w:szCs w:val="20"/>
                <w:lang w:val="fr-CA"/>
              </w:rPr>
              <w:t>Bruno Lepage</w:t>
            </w:r>
          </w:p>
          <w:p w:rsidR="004C2672" w:rsidRPr="0026587A" w:rsidRDefault="004C2672" w:rsidP="004C2672">
            <w:pPr>
              <w:tabs>
                <w:tab w:val="left" w:pos="-1440"/>
                <w:tab w:val="left" w:pos="-720"/>
              </w:tabs>
              <w:rPr>
                <w:sz w:val="20"/>
                <w:szCs w:val="20"/>
                <w:lang w:val="fr-CA"/>
              </w:rPr>
            </w:pPr>
            <w:r w:rsidRPr="0026587A">
              <w:rPr>
                <w:sz w:val="20"/>
                <w:szCs w:val="20"/>
                <w:lang w:val="fr-CA"/>
              </w:rPr>
              <w:tab/>
            </w:r>
            <w:r w:rsidR="0026587A">
              <w:rPr>
                <w:sz w:val="20"/>
                <w:szCs w:val="20"/>
                <w:lang w:val="fr-CA"/>
              </w:rPr>
              <w:t>Beauvais, Truchon, s.e.n.c.</w:t>
            </w:r>
          </w:p>
          <w:p w:rsidR="004C2672" w:rsidRPr="0026587A" w:rsidRDefault="004C2672" w:rsidP="004C2672">
            <w:pPr>
              <w:tabs>
                <w:tab w:val="left" w:pos="-1440"/>
                <w:tab w:val="left" w:pos="-720"/>
              </w:tabs>
              <w:rPr>
                <w:sz w:val="20"/>
                <w:szCs w:val="20"/>
                <w:lang w:val="fr-CA"/>
              </w:rPr>
            </w:pPr>
          </w:p>
          <w:p w:rsidR="004C2672" w:rsidRPr="0026587A" w:rsidRDefault="004C2672" w:rsidP="004C2672">
            <w:pPr>
              <w:rPr>
                <w:sz w:val="20"/>
                <w:szCs w:val="20"/>
                <w:lang w:val="fr-CA"/>
              </w:rPr>
            </w:pPr>
            <w:r w:rsidRPr="0026587A">
              <w:rPr>
                <w:sz w:val="20"/>
                <w:szCs w:val="20"/>
                <w:lang w:val="fr-CA"/>
              </w:rPr>
              <w:t>DATE</w:t>
            </w:r>
            <w:r w:rsidR="0026587A">
              <w:rPr>
                <w:sz w:val="20"/>
                <w:szCs w:val="20"/>
                <w:lang w:val="fr-CA"/>
              </w:rPr>
              <w:t xml:space="preserve"> </w:t>
            </w:r>
            <w:r w:rsidR="0026587A" w:rsidRPr="0026587A">
              <w:rPr>
                <w:sz w:val="20"/>
                <w:szCs w:val="20"/>
                <w:lang w:val="fr-CA"/>
              </w:rPr>
              <w:t>DE PRODUCTION</w:t>
            </w:r>
            <w:r w:rsidRPr="0026587A">
              <w:rPr>
                <w:sz w:val="20"/>
                <w:szCs w:val="20"/>
                <w:lang w:val="fr-CA"/>
              </w:rPr>
              <w:t>: 2</w:t>
            </w:r>
            <w:r w:rsidR="0026587A">
              <w:rPr>
                <w:sz w:val="20"/>
                <w:szCs w:val="20"/>
                <w:lang w:val="fr-CA"/>
              </w:rPr>
              <w:t>2</w:t>
            </w:r>
            <w:r w:rsidRPr="0026587A">
              <w:rPr>
                <w:sz w:val="20"/>
                <w:szCs w:val="20"/>
                <w:lang w:val="fr-CA"/>
              </w:rPr>
              <w:t>.11.2013</w:t>
            </w:r>
          </w:p>
          <w:p w:rsidR="004C2672" w:rsidRPr="0026587A" w:rsidRDefault="00E672F1" w:rsidP="004C2672">
            <w:pPr>
              <w:rPr>
                <w:sz w:val="20"/>
                <w:szCs w:val="20"/>
                <w:lang w:val="fr-CA"/>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4C2672" w:rsidRPr="0026587A" w:rsidRDefault="004C2672" w:rsidP="00242AEE">
            <w:pPr>
              <w:jc w:val="center"/>
              <w:rPr>
                <w:sz w:val="20"/>
                <w:szCs w:val="20"/>
                <w:lang w:val="fr-CA"/>
              </w:rPr>
            </w:pPr>
          </w:p>
          <w:p w:rsidR="004C2672" w:rsidRPr="0026587A" w:rsidRDefault="004C2672" w:rsidP="00242AEE">
            <w:pPr>
              <w:jc w:val="center"/>
              <w:rPr>
                <w:sz w:val="20"/>
                <w:szCs w:val="20"/>
                <w:lang w:val="fr-CA"/>
              </w:rPr>
            </w:pPr>
          </w:p>
          <w:p w:rsidR="004C2672" w:rsidRPr="0026587A" w:rsidRDefault="004C2672" w:rsidP="00242AEE">
            <w:pPr>
              <w:jc w:val="center"/>
              <w:rPr>
                <w:sz w:val="20"/>
                <w:szCs w:val="20"/>
                <w:lang w:val="fr-CA"/>
              </w:rPr>
            </w:pPr>
          </w:p>
          <w:p w:rsidR="004C2672" w:rsidRPr="0026587A" w:rsidRDefault="004C2672" w:rsidP="00242AEE">
            <w:pPr>
              <w:jc w:val="center"/>
              <w:rPr>
                <w:sz w:val="20"/>
                <w:szCs w:val="20"/>
                <w:lang w:val="fr-CA"/>
              </w:rPr>
            </w:pPr>
          </w:p>
          <w:p w:rsidR="004C2672" w:rsidRPr="0026587A" w:rsidRDefault="004C2672" w:rsidP="00242AEE">
            <w:pPr>
              <w:jc w:val="center"/>
              <w:rPr>
                <w:sz w:val="20"/>
                <w:szCs w:val="20"/>
                <w:lang w:val="fr-CA"/>
              </w:rPr>
            </w:pPr>
          </w:p>
          <w:p w:rsidR="004C2672" w:rsidRPr="0026587A" w:rsidRDefault="004C2672" w:rsidP="00242AEE">
            <w:pPr>
              <w:jc w:val="center"/>
              <w:rPr>
                <w:sz w:val="20"/>
                <w:szCs w:val="20"/>
                <w:lang w:val="fr-CA"/>
              </w:rPr>
            </w:pPr>
          </w:p>
          <w:p w:rsidR="004C2672" w:rsidRPr="0026587A" w:rsidRDefault="004C2672" w:rsidP="00242AEE">
            <w:pPr>
              <w:jc w:val="center"/>
              <w:rPr>
                <w:sz w:val="20"/>
                <w:szCs w:val="20"/>
                <w:lang w:val="fr-CA"/>
              </w:rPr>
            </w:pPr>
          </w:p>
          <w:p w:rsidR="004C2672" w:rsidRPr="0026587A" w:rsidRDefault="004C2672" w:rsidP="00242AEE">
            <w:pPr>
              <w:jc w:val="center"/>
              <w:rPr>
                <w:sz w:val="20"/>
                <w:szCs w:val="20"/>
                <w:lang w:val="fr-CA"/>
              </w:rPr>
            </w:pPr>
          </w:p>
          <w:p w:rsidR="004C2672" w:rsidRPr="0026587A" w:rsidRDefault="004C2672" w:rsidP="00242AEE">
            <w:pPr>
              <w:jc w:val="center"/>
              <w:rPr>
                <w:sz w:val="20"/>
                <w:szCs w:val="20"/>
                <w:lang w:val="fr-CA"/>
              </w:rPr>
            </w:pPr>
          </w:p>
          <w:p w:rsidR="004C2672" w:rsidRPr="0026587A" w:rsidRDefault="004C2672" w:rsidP="00242AEE">
            <w:pPr>
              <w:jc w:val="center"/>
              <w:rPr>
                <w:sz w:val="20"/>
                <w:szCs w:val="20"/>
                <w:lang w:val="fr-CA"/>
              </w:rPr>
            </w:pPr>
          </w:p>
          <w:p w:rsidR="004C2672" w:rsidRPr="0026587A" w:rsidRDefault="004C2672" w:rsidP="00242AEE">
            <w:pPr>
              <w:jc w:val="center"/>
              <w:rPr>
                <w:sz w:val="20"/>
                <w:szCs w:val="20"/>
                <w:lang w:val="fr-CA"/>
              </w:rPr>
            </w:pPr>
          </w:p>
          <w:p w:rsidR="004C2672" w:rsidRDefault="004C2672" w:rsidP="00242AEE">
            <w:pPr>
              <w:jc w:val="center"/>
              <w:rPr>
                <w:sz w:val="20"/>
                <w:szCs w:val="20"/>
                <w:lang w:val="fr-CA"/>
              </w:rPr>
            </w:pPr>
          </w:p>
          <w:p w:rsidR="00811DF9" w:rsidRPr="0026587A" w:rsidRDefault="00811DF9" w:rsidP="00242AEE">
            <w:pPr>
              <w:jc w:val="center"/>
              <w:rPr>
                <w:sz w:val="20"/>
                <w:szCs w:val="20"/>
                <w:lang w:val="fr-CA"/>
              </w:rPr>
            </w:pPr>
          </w:p>
          <w:p w:rsidR="004C2672" w:rsidRPr="0026587A" w:rsidRDefault="004C2672" w:rsidP="00242AEE">
            <w:pPr>
              <w:jc w:val="center"/>
              <w:rPr>
                <w:sz w:val="20"/>
                <w:szCs w:val="20"/>
                <w:lang w:val="fr-CA"/>
              </w:rPr>
            </w:pPr>
          </w:p>
        </w:tc>
        <w:tc>
          <w:tcPr>
            <w:tcW w:w="4320" w:type="dxa"/>
            <w:shd w:val="clear" w:color="auto" w:fill="auto"/>
          </w:tcPr>
          <w:p w:rsidR="004C2672" w:rsidRPr="00811DF9" w:rsidRDefault="0026587A" w:rsidP="004C2672">
            <w:pPr>
              <w:keepNext/>
              <w:keepLines/>
              <w:tabs>
                <w:tab w:val="left" w:pos="-1440"/>
                <w:tab w:val="left" w:pos="-720"/>
              </w:tabs>
              <w:rPr>
                <w:b/>
                <w:sz w:val="20"/>
                <w:szCs w:val="20"/>
              </w:rPr>
            </w:pPr>
            <w:r w:rsidRPr="00811DF9">
              <w:rPr>
                <w:b/>
                <w:sz w:val="20"/>
                <w:szCs w:val="20"/>
              </w:rPr>
              <w:t>Daniel Aaron Willick</w:t>
            </w:r>
          </w:p>
          <w:p w:rsidR="004C2672" w:rsidRPr="00811DF9" w:rsidRDefault="004C2672" w:rsidP="004C2672">
            <w:pPr>
              <w:keepNext/>
              <w:keepLines/>
              <w:tabs>
                <w:tab w:val="left" w:pos="-1440"/>
                <w:tab w:val="left" w:pos="-720"/>
              </w:tabs>
              <w:rPr>
                <w:sz w:val="20"/>
                <w:szCs w:val="20"/>
              </w:rPr>
            </w:pPr>
            <w:r w:rsidRPr="00811DF9">
              <w:rPr>
                <w:sz w:val="20"/>
                <w:szCs w:val="20"/>
              </w:rPr>
              <w:tab/>
            </w:r>
            <w:r w:rsidR="00811DF9">
              <w:rPr>
                <w:sz w:val="20"/>
                <w:szCs w:val="20"/>
              </w:rPr>
              <w:t>Mark C. Halfyard</w:t>
            </w:r>
          </w:p>
          <w:p w:rsidR="004C2672" w:rsidRPr="00811DF9" w:rsidRDefault="004C2672" w:rsidP="004C2672">
            <w:pPr>
              <w:keepNext/>
              <w:keepLines/>
              <w:tabs>
                <w:tab w:val="left" w:pos="-1440"/>
                <w:tab w:val="left" w:pos="-720"/>
              </w:tabs>
              <w:rPr>
                <w:sz w:val="20"/>
                <w:szCs w:val="20"/>
              </w:rPr>
            </w:pPr>
            <w:r w:rsidRPr="00811DF9">
              <w:rPr>
                <w:sz w:val="20"/>
                <w:szCs w:val="20"/>
              </w:rPr>
              <w:tab/>
            </w:r>
            <w:r w:rsidR="00811DF9">
              <w:rPr>
                <w:sz w:val="20"/>
                <w:szCs w:val="20"/>
              </w:rPr>
              <w:t>Rusonik, O’Connor, Rob</w:t>
            </w:r>
            <w:r w:rsidR="00F55BBC">
              <w:rPr>
                <w:sz w:val="20"/>
                <w:szCs w:val="20"/>
              </w:rPr>
              <w:t>b</w:t>
            </w:r>
            <w:r w:rsidR="00811DF9">
              <w:rPr>
                <w:sz w:val="20"/>
                <w:szCs w:val="20"/>
              </w:rPr>
              <w:t xml:space="preserve">ins, Ross, </w:t>
            </w:r>
            <w:r w:rsidR="00811DF9">
              <w:rPr>
                <w:sz w:val="20"/>
                <w:szCs w:val="20"/>
              </w:rPr>
              <w:tab/>
              <w:t>Gorman &amp; Angelini LLP</w:t>
            </w:r>
          </w:p>
          <w:p w:rsidR="004C2672" w:rsidRPr="00811DF9" w:rsidRDefault="004C2672" w:rsidP="004C2672">
            <w:pPr>
              <w:keepNext/>
              <w:keepLines/>
              <w:tabs>
                <w:tab w:val="left" w:pos="-1440"/>
                <w:tab w:val="left" w:pos="-720"/>
              </w:tabs>
              <w:rPr>
                <w:sz w:val="20"/>
                <w:szCs w:val="20"/>
              </w:rPr>
            </w:pPr>
          </w:p>
          <w:p w:rsidR="004C2672" w:rsidRPr="00811DF9" w:rsidRDefault="004C2672" w:rsidP="004C2672">
            <w:pPr>
              <w:keepNext/>
              <w:keepLines/>
              <w:tabs>
                <w:tab w:val="left" w:pos="-1440"/>
                <w:tab w:val="left" w:pos="-720"/>
              </w:tabs>
              <w:rPr>
                <w:sz w:val="20"/>
                <w:szCs w:val="20"/>
              </w:rPr>
            </w:pPr>
            <w:r w:rsidRPr="00811DF9">
              <w:rPr>
                <w:sz w:val="20"/>
                <w:szCs w:val="20"/>
              </w:rPr>
              <w:tab/>
              <w:t>v. (35</w:t>
            </w:r>
            <w:r w:rsidR="00811DF9">
              <w:rPr>
                <w:sz w:val="20"/>
                <w:szCs w:val="20"/>
              </w:rPr>
              <w:t>632</w:t>
            </w:r>
            <w:r w:rsidRPr="00811DF9">
              <w:rPr>
                <w:sz w:val="20"/>
                <w:szCs w:val="20"/>
              </w:rPr>
              <w:t>)</w:t>
            </w:r>
          </w:p>
          <w:p w:rsidR="004C2672" w:rsidRPr="00811DF9" w:rsidRDefault="004C2672" w:rsidP="004C2672">
            <w:pPr>
              <w:keepNext/>
              <w:keepLines/>
              <w:tabs>
                <w:tab w:val="left" w:pos="-1440"/>
                <w:tab w:val="left" w:pos="-720"/>
              </w:tabs>
              <w:rPr>
                <w:sz w:val="20"/>
                <w:szCs w:val="20"/>
              </w:rPr>
            </w:pPr>
          </w:p>
          <w:p w:rsidR="004C2672" w:rsidRPr="00811DF9" w:rsidRDefault="0026587A" w:rsidP="004C2672">
            <w:pPr>
              <w:keepNext/>
              <w:keepLines/>
              <w:tabs>
                <w:tab w:val="left" w:pos="-1440"/>
                <w:tab w:val="left" w:pos="-720"/>
              </w:tabs>
              <w:rPr>
                <w:b/>
                <w:sz w:val="20"/>
                <w:szCs w:val="20"/>
              </w:rPr>
            </w:pPr>
            <w:r w:rsidRPr="00811DF9">
              <w:rPr>
                <w:b/>
                <w:sz w:val="20"/>
                <w:szCs w:val="20"/>
              </w:rPr>
              <w:t xml:space="preserve">Her Majesty the Queen </w:t>
            </w:r>
            <w:r w:rsidR="004C2672" w:rsidRPr="00811DF9">
              <w:rPr>
                <w:b/>
                <w:sz w:val="20"/>
                <w:szCs w:val="20"/>
              </w:rPr>
              <w:t>(Ont.)</w:t>
            </w:r>
          </w:p>
          <w:p w:rsidR="004C2672" w:rsidRPr="00811DF9" w:rsidRDefault="004C2672" w:rsidP="004C2672">
            <w:pPr>
              <w:keepNext/>
              <w:keepLines/>
              <w:tabs>
                <w:tab w:val="left" w:pos="-1440"/>
                <w:tab w:val="left" w:pos="-720"/>
              </w:tabs>
              <w:rPr>
                <w:sz w:val="20"/>
                <w:szCs w:val="20"/>
              </w:rPr>
            </w:pPr>
            <w:r w:rsidRPr="00811DF9">
              <w:rPr>
                <w:sz w:val="20"/>
                <w:szCs w:val="20"/>
              </w:rPr>
              <w:tab/>
            </w:r>
            <w:r w:rsidR="00811DF9">
              <w:rPr>
                <w:sz w:val="20"/>
                <w:szCs w:val="20"/>
              </w:rPr>
              <w:t>Karen Shai</w:t>
            </w:r>
          </w:p>
          <w:p w:rsidR="004C2672" w:rsidRPr="00811DF9" w:rsidRDefault="004C2672" w:rsidP="004C2672">
            <w:pPr>
              <w:keepNext/>
              <w:keepLines/>
              <w:tabs>
                <w:tab w:val="left" w:pos="-1440"/>
                <w:tab w:val="left" w:pos="-720"/>
              </w:tabs>
              <w:rPr>
                <w:sz w:val="20"/>
                <w:szCs w:val="20"/>
              </w:rPr>
            </w:pPr>
            <w:r w:rsidRPr="00811DF9">
              <w:rPr>
                <w:sz w:val="20"/>
                <w:szCs w:val="20"/>
              </w:rPr>
              <w:tab/>
            </w:r>
            <w:r w:rsidR="00811DF9">
              <w:rPr>
                <w:sz w:val="20"/>
                <w:szCs w:val="20"/>
              </w:rPr>
              <w:t>A.G. of Ontario</w:t>
            </w:r>
          </w:p>
          <w:p w:rsidR="004C2672" w:rsidRPr="00811DF9" w:rsidRDefault="004C2672" w:rsidP="004C2672">
            <w:pPr>
              <w:keepNext/>
              <w:keepLines/>
              <w:tabs>
                <w:tab w:val="left" w:pos="-1440"/>
                <w:tab w:val="left" w:pos="-720"/>
              </w:tabs>
              <w:rPr>
                <w:sz w:val="20"/>
                <w:szCs w:val="20"/>
              </w:rPr>
            </w:pPr>
          </w:p>
          <w:p w:rsidR="004C2672" w:rsidRPr="00811DF9" w:rsidRDefault="004C2672" w:rsidP="00811DF9">
            <w:pPr>
              <w:rPr>
                <w:sz w:val="20"/>
                <w:szCs w:val="20"/>
              </w:rPr>
            </w:pPr>
            <w:r w:rsidRPr="00811DF9">
              <w:rPr>
                <w:sz w:val="20"/>
                <w:szCs w:val="20"/>
              </w:rPr>
              <w:t>FILING DATE: 2</w:t>
            </w:r>
            <w:r w:rsidR="00811DF9">
              <w:rPr>
                <w:sz w:val="20"/>
                <w:szCs w:val="20"/>
              </w:rPr>
              <w:t>6</w:t>
            </w:r>
            <w:r w:rsidRPr="00811DF9">
              <w:rPr>
                <w:sz w:val="20"/>
                <w:szCs w:val="20"/>
              </w:rPr>
              <w:t>.11.2013</w:t>
            </w:r>
            <w:r w:rsidR="00E672F1">
              <w:rPr>
                <w:sz w:val="20"/>
                <w:szCs w:val="20"/>
                <w:lang w:val="fr-CA"/>
              </w:rPr>
              <w:pict>
                <v:rect id="_x0000_i1028" style="width:108pt;height:1pt" o:hrpct="0" o:hralign="center" o:hrstd="t" o:hrnoshade="t" o:hr="t" fillcolor="black [3213]" stroked="f"/>
              </w:pict>
            </w:r>
          </w:p>
        </w:tc>
      </w:tr>
      <w:tr w:rsidR="004C2672" w:rsidRPr="00E672F1" w:rsidTr="003B3977">
        <w:tc>
          <w:tcPr>
            <w:tcW w:w="4320" w:type="dxa"/>
            <w:shd w:val="clear" w:color="auto" w:fill="auto"/>
          </w:tcPr>
          <w:p w:rsidR="004C2672" w:rsidRPr="00811DF9" w:rsidRDefault="00811DF9" w:rsidP="004C2672">
            <w:pPr>
              <w:rPr>
                <w:b/>
                <w:sz w:val="20"/>
                <w:szCs w:val="20"/>
              </w:rPr>
            </w:pPr>
            <w:r>
              <w:rPr>
                <w:b/>
                <w:sz w:val="20"/>
                <w:szCs w:val="20"/>
              </w:rPr>
              <w:t>Albert Ross Deep, M.D., F.R.C.P. (C)</w:t>
            </w:r>
          </w:p>
          <w:p w:rsidR="004C2672" w:rsidRPr="00811DF9" w:rsidRDefault="004C2672" w:rsidP="004C2672">
            <w:pPr>
              <w:tabs>
                <w:tab w:val="left" w:pos="-1440"/>
                <w:tab w:val="left" w:pos="-720"/>
              </w:tabs>
              <w:rPr>
                <w:sz w:val="20"/>
                <w:szCs w:val="20"/>
              </w:rPr>
            </w:pPr>
            <w:r w:rsidRPr="00811DF9">
              <w:rPr>
                <w:sz w:val="20"/>
                <w:szCs w:val="20"/>
              </w:rPr>
              <w:tab/>
            </w:r>
            <w:r w:rsidR="00811DF9">
              <w:rPr>
                <w:sz w:val="20"/>
                <w:szCs w:val="20"/>
              </w:rPr>
              <w:t>Albert Ross Deep</w:t>
            </w:r>
          </w:p>
          <w:p w:rsidR="004C2672" w:rsidRPr="00811DF9" w:rsidRDefault="004C2672" w:rsidP="004C2672">
            <w:pPr>
              <w:tabs>
                <w:tab w:val="left" w:pos="-1440"/>
                <w:tab w:val="left" w:pos="-720"/>
              </w:tabs>
              <w:rPr>
                <w:sz w:val="20"/>
                <w:szCs w:val="20"/>
              </w:rPr>
            </w:pPr>
          </w:p>
          <w:p w:rsidR="004C2672" w:rsidRPr="00A935AA" w:rsidRDefault="004C2672" w:rsidP="004C2672">
            <w:pPr>
              <w:tabs>
                <w:tab w:val="left" w:pos="-1440"/>
                <w:tab w:val="left" w:pos="-720"/>
              </w:tabs>
              <w:rPr>
                <w:sz w:val="20"/>
                <w:szCs w:val="20"/>
              </w:rPr>
            </w:pPr>
            <w:r w:rsidRPr="00811DF9">
              <w:rPr>
                <w:sz w:val="20"/>
                <w:szCs w:val="20"/>
              </w:rPr>
              <w:tab/>
            </w:r>
            <w:r w:rsidRPr="00A935AA">
              <w:rPr>
                <w:sz w:val="20"/>
                <w:szCs w:val="20"/>
              </w:rPr>
              <w:t>v. (3</w:t>
            </w:r>
            <w:r>
              <w:rPr>
                <w:sz w:val="20"/>
                <w:szCs w:val="20"/>
              </w:rPr>
              <w:t>5</w:t>
            </w:r>
            <w:r w:rsidR="00811DF9">
              <w:rPr>
                <w:sz w:val="20"/>
                <w:szCs w:val="20"/>
              </w:rPr>
              <w:t>634</w:t>
            </w:r>
            <w:r w:rsidRPr="00A935AA">
              <w:rPr>
                <w:sz w:val="20"/>
                <w:szCs w:val="20"/>
              </w:rPr>
              <w:t>)</w:t>
            </w:r>
          </w:p>
          <w:p w:rsidR="004C2672" w:rsidRPr="00A935AA" w:rsidRDefault="004C2672" w:rsidP="004C2672">
            <w:pPr>
              <w:tabs>
                <w:tab w:val="left" w:pos="-1440"/>
                <w:tab w:val="left" w:pos="-720"/>
              </w:tabs>
              <w:rPr>
                <w:sz w:val="20"/>
                <w:szCs w:val="20"/>
              </w:rPr>
            </w:pPr>
          </w:p>
          <w:p w:rsidR="004C2672" w:rsidRPr="00A935AA" w:rsidRDefault="00811DF9" w:rsidP="004C2672">
            <w:pPr>
              <w:tabs>
                <w:tab w:val="left" w:pos="-1440"/>
                <w:tab w:val="left" w:pos="-720"/>
              </w:tabs>
              <w:rPr>
                <w:b/>
                <w:sz w:val="20"/>
                <w:szCs w:val="20"/>
              </w:rPr>
            </w:pPr>
            <w:r>
              <w:rPr>
                <w:b/>
                <w:sz w:val="20"/>
                <w:szCs w:val="20"/>
              </w:rPr>
              <w:t xml:space="preserve">Canada Revenue Agency (Formerly Canada Customs and Revenue Agency) et al. </w:t>
            </w:r>
            <w:r w:rsidR="004C2672" w:rsidRPr="00A935AA">
              <w:rPr>
                <w:b/>
                <w:sz w:val="20"/>
                <w:szCs w:val="20"/>
              </w:rPr>
              <w:t>(</w:t>
            </w:r>
            <w:r>
              <w:rPr>
                <w:b/>
                <w:sz w:val="20"/>
                <w:szCs w:val="20"/>
              </w:rPr>
              <w:t>F</w:t>
            </w:r>
            <w:r w:rsidR="004C2672" w:rsidRPr="00A935AA">
              <w:rPr>
                <w:b/>
                <w:sz w:val="20"/>
                <w:szCs w:val="20"/>
              </w:rPr>
              <w:t>.C.)</w:t>
            </w:r>
          </w:p>
          <w:p w:rsidR="004C2672" w:rsidRPr="00A935AA" w:rsidRDefault="004C2672" w:rsidP="004C2672">
            <w:pPr>
              <w:tabs>
                <w:tab w:val="left" w:pos="-1440"/>
                <w:tab w:val="left" w:pos="-720"/>
              </w:tabs>
              <w:rPr>
                <w:sz w:val="20"/>
                <w:szCs w:val="20"/>
              </w:rPr>
            </w:pPr>
            <w:r w:rsidRPr="00A935AA">
              <w:rPr>
                <w:sz w:val="20"/>
                <w:szCs w:val="20"/>
              </w:rPr>
              <w:tab/>
            </w:r>
            <w:r w:rsidR="00811DF9">
              <w:rPr>
                <w:sz w:val="20"/>
                <w:szCs w:val="20"/>
              </w:rPr>
              <w:t>William F. Pentney</w:t>
            </w:r>
          </w:p>
          <w:p w:rsidR="004C2672" w:rsidRPr="00A935AA" w:rsidRDefault="004C2672" w:rsidP="004C2672">
            <w:pPr>
              <w:tabs>
                <w:tab w:val="left" w:pos="-1440"/>
                <w:tab w:val="left" w:pos="-720"/>
              </w:tabs>
              <w:rPr>
                <w:sz w:val="20"/>
                <w:szCs w:val="20"/>
              </w:rPr>
            </w:pPr>
            <w:r w:rsidRPr="00A935AA">
              <w:rPr>
                <w:sz w:val="20"/>
                <w:szCs w:val="20"/>
              </w:rPr>
              <w:tab/>
            </w:r>
            <w:r w:rsidR="00811DF9">
              <w:rPr>
                <w:sz w:val="20"/>
                <w:szCs w:val="20"/>
              </w:rPr>
              <w:t>A.G. of Canada</w:t>
            </w:r>
          </w:p>
          <w:p w:rsidR="004C2672" w:rsidRPr="00A935AA" w:rsidRDefault="004C2672" w:rsidP="004C2672">
            <w:pPr>
              <w:tabs>
                <w:tab w:val="left" w:pos="-1440"/>
                <w:tab w:val="left" w:pos="-720"/>
              </w:tabs>
              <w:rPr>
                <w:sz w:val="20"/>
                <w:szCs w:val="20"/>
              </w:rPr>
            </w:pPr>
          </w:p>
          <w:p w:rsidR="004C2672" w:rsidRPr="00A935AA" w:rsidRDefault="004C2672" w:rsidP="004C2672">
            <w:pPr>
              <w:rPr>
                <w:sz w:val="20"/>
                <w:szCs w:val="20"/>
              </w:rPr>
            </w:pPr>
            <w:r w:rsidRPr="00A935AA">
              <w:rPr>
                <w:sz w:val="20"/>
                <w:szCs w:val="20"/>
              </w:rPr>
              <w:t>FILING DATE: 27.</w:t>
            </w:r>
            <w:r>
              <w:rPr>
                <w:sz w:val="20"/>
                <w:szCs w:val="20"/>
              </w:rPr>
              <w:t>11</w:t>
            </w:r>
            <w:r w:rsidRPr="00A935AA">
              <w:rPr>
                <w:sz w:val="20"/>
                <w:szCs w:val="20"/>
              </w:rPr>
              <w:t>.201</w:t>
            </w:r>
            <w:r>
              <w:rPr>
                <w:sz w:val="20"/>
                <w:szCs w:val="20"/>
              </w:rPr>
              <w:t>3</w:t>
            </w:r>
          </w:p>
          <w:p w:rsidR="004C2672" w:rsidRPr="00A935AA" w:rsidRDefault="00E672F1" w:rsidP="004C2672">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4C2672" w:rsidRPr="00A935AA" w:rsidRDefault="004C2672" w:rsidP="00242AEE">
            <w:pPr>
              <w:jc w:val="center"/>
              <w:rPr>
                <w:sz w:val="20"/>
                <w:szCs w:val="20"/>
              </w:rPr>
            </w:pPr>
          </w:p>
          <w:p w:rsidR="004C2672" w:rsidRPr="00A935AA" w:rsidRDefault="004C2672" w:rsidP="00242AEE">
            <w:pPr>
              <w:jc w:val="center"/>
              <w:rPr>
                <w:sz w:val="20"/>
                <w:szCs w:val="20"/>
              </w:rPr>
            </w:pPr>
          </w:p>
          <w:p w:rsidR="004C2672" w:rsidRPr="00A935AA" w:rsidRDefault="004C2672" w:rsidP="00242AEE">
            <w:pPr>
              <w:jc w:val="center"/>
              <w:rPr>
                <w:sz w:val="20"/>
                <w:szCs w:val="20"/>
              </w:rPr>
            </w:pPr>
          </w:p>
          <w:p w:rsidR="004C2672" w:rsidRPr="00A935AA" w:rsidRDefault="004C2672" w:rsidP="00242AEE">
            <w:pPr>
              <w:jc w:val="center"/>
              <w:rPr>
                <w:sz w:val="20"/>
                <w:szCs w:val="20"/>
              </w:rPr>
            </w:pPr>
          </w:p>
          <w:p w:rsidR="004C2672" w:rsidRPr="00A935AA" w:rsidRDefault="004C2672" w:rsidP="00242AEE">
            <w:pPr>
              <w:jc w:val="center"/>
              <w:rPr>
                <w:sz w:val="20"/>
                <w:szCs w:val="20"/>
              </w:rPr>
            </w:pPr>
          </w:p>
          <w:p w:rsidR="004C2672" w:rsidRPr="00A935AA" w:rsidRDefault="004C2672" w:rsidP="00242AEE">
            <w:pPr>
              <w:jc w:val="center"/>
              <w:rPr>
                <w:sz w:val="20"/>
                <w:szCs w:val="20"/>
              </w:rPr>
            </w:pPr>
          </w:p>
          <w:p w:rsidR="004C2672" w:rsidRPr="00A935AA" w:rsidRDefault="004C2672" w:rsidP="00242AEE">
            <w:pPr>
              <w:jc w:val="center"/>
              <w:rPr>
                <w:sz w:val="20"/>
                <w:szCs w:val="20"/>
              </w:rPr>
            </w:pPr>
          </w:p>
          <w:p w:rsidR="004C2672" w:rsidRPr="00A935AA" w:rsidRDefault="004C2672" w:rsidP="00242AEE">
            <w:pPr>
              <w:jc w:val="center"/>
              <w:rPr>
                <w:sz w:val="20"/>
                <w:szCs w:val="20"/>
              </w:rPr>
            </w:pPr>
          </w:p>
          <w:p w:rsidR="004C2672" w:rsidRPr="00A935AA" w:rsidRDefault="004C2672" w:rsidP="00242AEE">
            <w:pPr>
              <w:jc w:val="center"/>
              <w:rPr>
                <w:sz w:val="20"/>
                <w:szCs w:val="20"/>
              </w:rPr>
            </w:pPr>
          </w:p>
          <w:p w:rsidR="004C2672" w:rsidRPr="00A935AA" w:rsidRDefault="004C2672" w:rsidP="00242AEE">
            <w:pPr>
              <w:jc w:val="center"/>
              <w:rPr>
                <w:sz w:val="20"/>
                <w:szCs w:val="20"/>
              </w:rPr>
            </w:pPr>
          </w:p>
          <w:p w:rsidR="004C2672" w:rsidRDefault="004C2672" w:rsidP="00242AEE">
            <w:pPr>
              <w:jc w:val="center"/>
              <w:rPr>
                <w:sz w:val="20"/>
                <w:szCs w:val="20"/>
              </w:rPr>
            </w:pPr>
          </w:p>
          <w:p w:rsidR="004C2672" w:rsidRDefault="004C2672" w:rsidP="00242AEE">
            <w:pPr>
              <w:jc w:val="center"/>
              <w:rPr>
                <w:sz w:val="20"/>
                <w:szCs w:val="20"/>
              </w:rPr>
            </w:pPr>
          </w:p>
          <w:p w:rsidR="004C2672" w:rsidRPr="00A935AA" w:rsidRDefault="004C2672" w:rsidP="00242AEE">
            <w:pPr>
              <w:jc w:val="center"/>
              <w:rPr>
                <w:sz w:val="20"/>
                <w:szCs w:val="20"/>
              </w:rPr>
            </w:pPr>
          </w:p>
        </w:tc>
        <w:tc>
          <w:tcPr>
            <w:tcW w:w="4320" w:type="dxa"/>
            <w:shd w:val="clear" w:color="auto" w:fill="auto"/>
          </w:tcPr>
          <w:p w:rsidR="004C2672" w:rsidRPr="00600976" w:rsidRDefault="00811DF9" w:rsidP="004C2672">
            <w:pPr>
              <w:keepNext/>
              <w:keepLines/>
              <w:tabs>
                <w:tab w:val="left" w:pos="-1440"/>
                <w:tab w:val="left" w:pos="-720"/>
              </w:tabs>
              <w:rPr>
                <w:b/>
                <w:sz w:val="20"/>
                <w:szCs w:val="20"/>
                <w:lang w:val="fr-CA"/>
              </w:rPr>
            </w:pPr>
            <w:r w:rsidRPr="00600976">
              <w:rPr>
                <w:b/>
                <w:sz w:val="20"/>
                <w:szCs w:val="20"/>
                <w:lang w:val="fr-CA"/>
              </w:rPr>
              <w:t>P.T.</w:t>
            </w:r>
          </w:p>
          <w:p w:rsidR="004C2672" w:rsidRPr="00600976" w:rsidRDefault="004C2672" w:rsidP="004C2672">
            <w:pPr>
              <w:keepNext/>
              <w:keepLines/>
              <w:tabs>
                <w:tab w:val="left" w:pos="-1440"/>
                <w:tab w:val="left" w:pos="-720"/>
              </w:tabs>
              <w:rPr>
                <w:sz w:val="20"/>
                <w:szCs w:val="20"/>
                <w:lang w:val="fr-CA"/>
              </w:rPr>
            </w:pPr>
            <w:r w:rsidRPr="00600976">
              <w:rPr>
                <w:sz w:val="20"/>
                <w:szCs w:val="20"/>
                <w:lang w:val="fr-CA"/>
              </w:rPr>
              <w:tab/>
            </w:r>
            <w:r w:rsidR="00811DF9" w:rsidRPr="00600976">
              <w:rPr>
                <w:sz w:val="20"/>
                <w:szCs w:val="20"/>
                <w:lang w:val="fr-CA"/>
              </w:rPr>
              <w:t>P.T.</w:t>
            </w:r>
          </w:p>
          <w:p w:rsidR="004C2672" w:rsidRPr="00600976" w:rsidRDefault="004C2672" w:rsidP="004C2672">
            <w:pPr>
              <w:keepNext/>
              <w:keepLines/>
              <w:tabs>
                <w:tab w:val="left" w:pos="-1440"/>
                <w:tab w:val="left" w:pos="-720"/>
              </w:tabs>
              <w:rPr>
                <w:sz w:val="20"/>
                <w:szCs w:val="20"/>
                <w:lang w:val="fr-CA"/>
              </w:rPr>
            </w:pPr>
          </w:p>
          <w:p w:rsidR="004C2672" w:rsidRPr="00600976" w:rsidRDefault="004C2672" w:rsidP="004C2672">
            <w:pPr>
              <w:keepNext/>
              <w:keepLines/>
              <w:tabs>
                <w:tab w:val="left" w:pos="-1440"/>
                <w:tab w:val="left" w:pos="-720"/>
              </w:tabs>
              <w:rPr>
                <w:sz w:val="20"/>
                <w:szCs w:val="20"/>
                <w:lang w:val="fr-CA"/>
              </w:rPr>
            </w:pPr>
            <w:r w:rsidRPr="00600976">
              <w:rPr>
                <w:sz w:val="20"/>
                <w:szCs w:val="20"/>
                <w:lang w:val="fr-CA"/>
              </w:rPr>
              <w:tab/>
            </w:r>
            <w:r w:rsidR="00811DF9" w:rsidRPr="00600976">
              <w:rPr>
                <w:sz w:val="20"/>
                <w:szCs w:val="20"/>
                <w:lang w:val="fr-CA"/>
              </w:rPr>
              <w:t>c</w:t>
            </w:r>
            <w:r w:rsidRPr="00600976">
              <w:rPr>
                <w:sz w:val="20"/>
                <w:szCs w:val="20"/>
                <w:lang w:val="fr-CA"/>
              </w:rPr>
              <w:t>. (35</w:t>
            </w:r>
            <w:r w:rsidR="00811DF9" w:rsidRPr="00600976">
              <w:rPr>
                <w:sz w:val="20"/>
                <w:szCs w:val="20"/>
                <w:lang w:val="fr-CA"/>
              </w:rPr>
              <w:t>635</w:t>
            </w:r>
            <w:r w:rsidRPr="00600976">
              <w:rPr>
                <w:sz w:val="20"/>
                <w:szCs w:val="20"/>
                <w:lang w:val="fr-CA"/>
              </w:rPr>
              <w:t>)</w:t>
            </w:r>
          </w:p>
          <w:p w:rsidR="004C2672" w:rsidRPr="00600976" w:rsidRDefault="004C2672" w:rsidP="004C2672">
            <w:pPr>
              <w:keepNext/>
              <w:keepLines/>
              <w:tabs>
                <w:tab w:val="left" w:pos="-1440"/>
                <w:tab w:val="left" w:pos="-720"/>
              </w:tabs>
              <w:rPr>
                <w:sz w:val="20"/>
                <w:szCs w:val="20"/>
                <w:lang w:val="fr-CA"/>
              </w:rPr>
            </w:pPr>
          </w:p>
          <w:p w:rsidR="004C2672" w:rsidRPr="00B542E5" w:rsidRDefault="00811DF9" w:rsidP="004C2672">
            <w:pPr>
              <w:keepNext/>
              <w:keepLines/>
              <w:tabs>
                <w:tab w:val="left" w:pos="-1440"/>
                <w:tab w:val="left" w:pos="-720"/>
              </w:tabs>
              <w:rPr>
                <w:b/>
                <w:sz w:val="20"/>
                <w:szCs w:val="20"/>
                <w:lang w:val="fr-CA"/>
              </w:rPr>
            </w:pPr>
            <w:r w:rsidRPr="00B542E5">
              <w:rPr>
                <w:b/>
                <w:sz w:val="20"/>
                <w:szCs w:val="20"/>
                <w:lang w:val="fr-CA"/>
              </w:rPr>
              <w:t xml:space="preserve">Ma.T. </w:t>
            </w:r>
            <w:r w:rsidR="00CF5A02" w:rsidRPr="00B542E5">
              <w:rPr>
                <w:b/>
                <w:sz w:val="20"/>
                <w:szCs w:val="20"/>
                <w:lang w:val="fr-CA"/>
              </w:rPr>
              <w:t xml:space="preserve">et autres </w:t>
            </w:r>
            <w:r w:rsidR="004C2672" w:rsidRPr="00B542E5">
              <w:rPr>
                <w:b/>
                <w:sz w:val="20"/>
                <w:szCs w:val="20"/>
                <w:lang w:val="fr-CA"/>
              </w:rPr>
              <w:t>(</w:t>
            </w:r>
            <w:r w:rsidRPr="00B542E5">
              <w:rPr>
                <w:b/>
                <w:sz w:val="20"/>
                <w:szCs w:val="20"/>
                <w:lang w:val="fr-CA"/>
              </w:rPr>
              <w:t>Qc</w:t>
            </w:r>
            <w:r w:rsidR="004C2672" w:rsidRPr="00B542E5">
              <w:rPr>
                <w:b/>
                <w:sz w:val="20"/>
                <w:szCs w:val="20"/>
                <w:lang w:val="fr-CA"/>
              </w:rPr>
              <w:t>)</w:t>
            </w:r>
          </w:p>
          <w:p w:rsidR="00811DF9" w:rsidRPr="00B542E5" w:rsidRDefault="00811DF9" w:rsidP="004C2672">
            <w:pPr>
              <w:keepNext/>
              <w:keepLines/>
              <w:tabs>
                <w:tab w:val="left" w:pos="-1440"/>
                <w:tab w:val="left" w:pos="-720"/>
              </w:tabs>
              <w:rPr>
                <w:sz w:val="20"/>
                <w:szCs w:val="20"/>
                <w:lang w:val="fr-CA"/>
              </w:rPr>
            </w:pPr>
            <w:r w:rsidRPr="00B542E5">
              <w:rPr>
                <w:sz w:val="20"/>
                <w:szCs w:val="20"/>
                <w:lang w:val="fr-CA"/>
              </w:rPr>
              <w:tab/>
              <w:t>André Langlois</w:t>
            </w:r>
          </w:p>
          <w:p w:rsidR="004C2672" w:rsidRPr="00B542E5" w:rsidRDefault="004C2672" w:rsidP="004C2672">
            <w:pPr>
              <w:keepNext/>
              <w:keepLines/>
              <w:tabs>
                <w:tab w:val="left" w:pos="-1440"/>
                <w:tab w:val="left" w:pos="-720"/>
              </w:tabs>
              <w:rPr>
                <w:sz w:val="20"/>
                <w:szCs w:val="20"/>
                <w:lang w:val="fr-CA"/>
              </w:rPr>
            </w:pPr>
            <w:r w:rsidRPr="00B542E5">
              <w:rPr>
                <w:sz w:val="20"/>
                <w:szCs w:val="20"/>
                <w:lang w:val="fr-CA"/>
              </w:rPr>
              <w:tab/>
            </w:r>
            <w:r w:rsidR="00811DF9" w:rsidRPr="00B542E5">
              <w:rPr>
                <w:sz w:val="20"/>
                <w:szCs w:val="20"/>
                <w:lang w:val="fr-CA"/>
              </w:rPr>
              <w:t>Lévesque, Lavoie</w:t>
            </w:r>
          </w:p>
          <w:p w:rsidR="004C2672" w:rsidRPr="00B542E5" w:rsidRDefault="004C2672" w:rsidP="004C2672">
            <w:pPr>
              <w:keepNext/>
              <w:keepLines/>
              <w:tabs>
                <w:tab w:val="left" w:pos="-1440"/>
                <w:tab w:val="left" w:pos="-720"/>
              </w:tabs>
              <w:rPr>
                <w:sz w:val="20"/>
                <w:szCs w:val="20"/>
                <w:lang w:val="fr-CA"/>
              </w:rPr>
            </w:pPr>
          </w:p>
          <w:p w:rsidR="004C2672" w:rsidRPr="00600976" w:rsidRDefault="004C2672" w:rsidP="00811DF9">
            <w:pPr>
              <w:rPr>
                <w:sz w:val="20"/>
                <w:szCs w:val="20"/>
                <w:lang w:val="fr-CA"/>
              </w:rPr>
            </w:pPr>
            <w:r w:rsidRPr="00600976">
              <w:rPr>
                <w:sz w:val="20"/>
                <w:szCs w:val="20"/>
                <w:lang w:val="fr-CA"/>
              </w:rPr>
              <w:t>DATE</w:t>
            </w:r>
            <w:r w:rsidR="00811DF9" w:rsidRPr="00600976">
              <w:rPr>
                <w:sz w:val="20"/>
                <w:szCs w:val="20"/>
                <w:lang w:val="fr-CA"/>
              </w:rPr>
              <w:t xml:space="preserve"> </w:t>
            </w:r>
            <w:r w:rsidR="00811DF9" w:rsidRPr="0026587A">
              <w:rPr>
                <w:sz w:val="20"/>
                <w:szCs w:val="20"/>
                <w:lang w:val="fr-CA"/>
              </w:rPr>
              <w:t>DE PRODUCTION</w:t>
            </w:r>
            <w:r w:rsidR="00811DF9">
              <w:rPr>
                <w:sz w:val="20"/>
                <w:szCs w:val="20"/>
                <w:lang w:val="fr-CA"/>
              </w:rPr>
              <w:t xml:space="preserve"> </w:t>
            </w:r>
            <w:r w:rsidRPr="00600976">
              <w:rPr>
                <w:sz w:val="20"/>
                <w:szCs w:val="20"/>
                <w:lang w:val="fr-CA"/>
              </w:rPr>
              <w:t>: 2</w:t>
            </w:r>
            <w:r w:rsidR="00811DF9" w:rsidRPr="00600976">
              <w:rPr>
                <w:sz w:val="20"/>
                <w:szCs w:val="20"/>
                <w:lang w:val="fr-CA"/>
              </w:rPr>
              <w:t>7</w:t>
            </w:r>
            <w:r w:rsidRPr="00600976">
              <w:rPr>
                <w:sz w:val="20"/>
                <w:szCs w:val="20"/>
                <w:lang w:val="fr-CA"/>
              </w:rPr>
              <w:t>.11.2013</w:t>
            </w:r>
            <w:r w:rsidR="00E672F1">
              <w:rPr>
                <w:sz w:val="20"/>
                <w:szCs w:val="20"/>
                <w:lang w:val="fr-CA"/>
              </w:rPr>
              <w:pict>
                <v:rect id="_x0000_i1030" style="width:108pt;height:1pt" o:hrpct="0" o:hralign="center" o:hrstd="t" o:hrnoshade="t" o:hr="t" fillcolor="black [3213]" stroked="f"/>
              </w:pict>
            </w:r>
          </w:p>
        </w:tc>
      </w:tr>
    </w:tbl>
    <w:p w:rsidR="006C3F47" w:rsidRPr="00600976" w:rsidRDefault="006C3F47" w:rsidP="0095096B">
      <w:pPr>
        <w:tabs>
          <w:tab w:val="right" w:pos="9360"/>
        </w:tabs>
        <w:rPr>
          <w:sz w:val="20"/>
          <w:szCs w:val="20"/>
          <w:lang w:val="fr-CA"/>
        </w:rPr>
      </w:pPr>
    </w:p>
    <w:p w:rsidR="00D94028" w:rsidRPr="00600976" w:rsidRDefault="00D94028" w:rsidP="0095096B">
      <w:pPr>
        <w:tabs>
          <w:tab w:val="right" w:pos="9360"/>
        </w:tabs>
        <w:rPr>
          <w:sz w:val="20"/>
          <w:szCs w:val="20"/>
          <w:lang w:val="fr-CA"/>
        </w:rPr>
      </w:pPr>
    </w:p>
    <w:p w:rsidR="00242AEE" w:rsidRPr="00600976" w:rsidRDefault="00242AEE" w:rsidP="0095096B">
      <w:pPr>
        <w:tabs>
          <w:tab w:val="right" w:pos="9360"/>
        </w:tabs>
        <w:rPr>
          <w:sz w:val="20"/>
          <w:szCs w:val="20"/>
          <w:lang w:val="fr-CA"/>
        </w:rPr>
      </w:pPr>
    </w:p>
    <w:p w:rsidR="00242AEE" w:rsidRPr="00600976" w:rsidRDefault="00242AEE" w:rsidP="0095096B">
      <w:pPr>
        <w:tabs>
          <w:tab w:val="right" w:pos="9360"/>
        </w:tabs>
        <w:rPr>
          <w:sz w:val="20"/>
          <w:szCs w:val="20"/>
          <w:lang w:val="fr-CA"/>
        </w:rPr>
        <w:sectPr w:rsidR="00242AEE" w:rsidRPr="00600976" w:rsidSect="00BE278E">
          <w:headerReference w:type="default" r:id="rId16"/>
          <w:footerReference w:type="default" r:id="rId17"/>
          <w:headerReference w:type="first" r:id="rId18"/>
          <w:footerReference w:type="first" r:id="rId19"/>
          <w:pgSz w:w="12240" w:h="15840"/>
          <w:pgMar w:top="720" w:right="965" w:bottom="1080" w:left="1656" w:header="706" w:footer="706" w:gutter="0"/>
          <w:pgNumType w:start="1993"/>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E672F1"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4C2672" w:rsidP="004B7F60">
      <w:pPr>
        <w:widowControl w:val="0"/>
        <w:rPr>
          <w:b/>
          <w:sz w:val="20"/>
          <w:szCs w:val="20"/>
        </w:rPr>
      </w:pPr>
      <w:r>
        <w:rPr>
          <w:b/>
          <w:sz w:val="20"/>
          <w:szCs w:val="20"/>
        </w:rPr>
        <w:t>D</w:t>
      </w:r>
      <w:r w:rsidR="00DE349D">
        <w:rPr>
          <w:b/>
          <w:sz w:val="20"/>
          <w:szCs w:val="20"/>
        </w:rPr>
        <w:t>E</w:t>
      </w:r>
      <w:r>
        <w:rPr>
          <w:b/>
          <w:sz w:val="20"/>
          <w:szCs w:val="20"/>
        </w:rPr>
        <w:t>C</w:t>
      </w:r>
      <w:r w:rsidR="00DE349D">
        <w:rPr>
          <w:b/>
          <w:sz w:val="20"/>
          <w:szCs w:val="20"/>
        </w:rPr>
        <w:t>EMBER</w:t>
      </w:r>
      <w:r w:rsidR="00F761A3">
        <w:rPr>
          <w:b/>
          <w:sz w:val="20"/>
          <w:szCs w:val="20"/>
        </w:rPr>
        <w:t xml:space="preserve"> </w:t>
      </w:r>
      <w:r>
        <w:rPr>
          <w:b/>
          <w:sz w:val="20"/>
          <w:szCs w:val="20"/>
        </w:rPr>
        <w:t>9</w:t>
      </w:r>
      <w:r w:rsidR="004B7F60" w:rsidRPr="00C50A5C">
        <w:rPr>
          <w:b/>
          <w:sz w:val="20"/>
          <w:szCs w:val="20"/>
        </w:rPr>
        <w:t>, 201</w:t>
      </w:r>
      <w:r w:rsidR="00F761A3">
        <w:rPr>
          <w:b/>
          <w:sz w:val="20"/>
          <w:szCs w:val="20"/>
        </w:rPr>
        <w:t>3</w:t>
      </w:r>
      <w:r w:rsidR="004B7F60" w:rsidRPr="00C50A5C">
        <w:rPr>
          <w:b/>
          <w:sz w:val="20"/>
          <w:szCs w:val="20"/>
        </w:rPr>
        <w:t xml:space="preserve"> / LE </w:t>
      </w:r>
      <w:r>
        <w:rPr>
          <w:b/>
          <w:sz w:val="20"/>
          <w:szCs w:val="20"/>
        </w:rPr>
        <w:t>9</w:t>
      </w:r>
      <w:r w:rsidR="004B7F60">
        <w:rPr>
          <w:b/>
          <w:sz w:val="20"/>
          <w:szCs w:val="20"/>
        </w:rPr>
        <w:t xml:space="preserve"> </w:t>
      </w:r>
      <w:r>
        <w:rPr>
          <w:b/>
          <w:sz w:val="20"/>
          <w:szCs w:val="20"/>
        </w:rPr>
        <w:t>DÉC</w:t>
      </w:r>
      <w:r w:rsidR="00F761A3">
        <w:rPr>
          <w:b/>
          <w:sz w:val="20"/>
          <w:szCs w:val="20"/>
        </w:rPr>
        <w:t>E</w:t>
      </w:r>
      <w:r w:rsidR="00DE349D">
        <w:rPr>
          <w:b/>
          <w:sz w:val="20"/>
          <w:szCs w:val="20"/>
        </w:rPr>
        <w:t>MB</w:t>
      </w:r>
      <w:r w:rsidR="004B7F60">
        <w:rPr>
          <w:b/>
          <w:sz w:val="20"/>
          <w:szCs w:val="20"/>
        </w:rPr>
        <w:t>R</w:t>
      </w:r>
      <w:r w:rsidR="00DE349D">
        <w:rPr>
          <w:b/>
          <w:sz w:val="20"/>
          <w:szCs w:val="20"/>
        </w:rPr>
        <w:t>E</w:t>
      </w:r>
      <w:r w:rsidR="004B7F60" w:rsidRPr="00C50A5C">
        <w:rPr>
          <w:b/>
          <w:sz w:val="20"/>
          <w:szCs w:val="20"/>
        </w:rPr>
        <w:t xml:space="preserve"> 201</w:t>
      </w:r>
      <w:r w:rsidR="00F761A3">
        <w:rPr>
          <w:b/>
          <w:sz w:val="20"/>
          <w:szCs w:val="20"/>
        </w:rPr>
        <w:t>3</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sidR="00DE349D">
        <w:rPr>
          <w:b/>
          <w:sz w:val="20"/>
          <w:szCs w:val="20"/>
        </w:rPr>
        <w:t>Cromwell</w:t>
      </w:r>
      <w:r w:rsidRPr="00C50A5C">
        <w:rPr>
          <w:b/>
          <w:sz w:val="20"/>
          <w:szCs w:val="20"/>
        </w:rPr>
        <w:t xml:space="preserve"> and </w:t>
      </w:r>
      <w:r w:rsidR="00DE349D">
        <w:rPr>
          <w:b/>
          <w:sz w:val="20"/>
          <w:szCs w:val="20"/>
        </w:rPr>
        <w:t xml:space="preserve">Wagner </w:t>
      </w:r>
      <w:r w:rsidRPr="00C50A5C">
        <w:rPr>
          <w:b/>
          <w:sz w:val="20"/>
          <w:szCs w:val="20"/>
        </w:rPr>
        <w:t>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DE349D">
        <w:rPr>
          <w:b/>
          <w:sz w:val="20"/>
          <w:szCs w:val="20"/>
          <w:lang w:val="fr-CA"/>
        </w:rPr>
        <w:t>Cromwell</w:t>
      </w:r>
      <w:r w:rsidR="00DE349D" w:rsidRPr="00C50A5C">
        <w:rPr>
          <w:b/>
          <w:sz w:val="20"/>
          <w:szCs w:val="20"/>
          <w:lang w:val="fr-CA"/>
        </w:rPr>
        <w:t xml:space="preserve"> </w:t>
      </w:r>
      <w:r w:rsidRPr="00C50A5C">
        <w:rPr>
          <w:b/>
          <w:sz w:val="20"/>
          <w:szCs w:val="20"/>
          <w:lang w:val="fr-CA"/>
        </w:rPr>
        <w:t xml:space="preserve">et </w:t>
      </w:r>
      <w:r w:rsidR="00DE349D">
        <w:rPr>
          <w:b/>
          <w:sz w:val="20"/>
          <w:szCs w:val="20"/>
          <w:lang w:val="fr-CA"/>
        </w:rPr>
        <w:t>Wagn</w:t>
      </w:r>
      <w:r>
        <w:rPr>
          <w:b/>
          <w:sz w:val="20"/>
          <w:szCs w:val="20"/>
          <w:lang w:val="fr-CA"/>
        </w:rPr>
        <w:t>e</w:t>
      </w:r>
      <w:r w:rsidR="00DE349D">
        <w:rPr>
          <w:b/>
          <w:sz w:val="20"/>
          <w:szCs w:val="20"/>
          <w:lang w:val="fr-CA"/>
        </w:rPr>
        <w:t>r</w:t>
      </w:r>
    </w:p>
    <w:p w:rsidR="004B7F60" w:rsidRPr="00C50A5C" w:rsidRDefault="004B7F60" w:rsidP="004B7F60">
      <w:pPr>
        <w:widowControl w:val="0"/>
        <w:rPr>
          <w:sz w:val="20"/>
          <w:szCs w:val="20"/>
          <w:lang w:val="fr-CA"/>
        </w:rPr>
      </w:pPr>
    </w:p>
    <w:p w:rsidR="004B7F60" w:rsidRPr="00C50A5C" w:rsidRDefault="001A7F7C" w:rsidP="004B7F60">
      <w:pPr>
        <w:pStyle w:val="ListParagraph"/>
        <w:widowControl w:val="0"/>
        <w:numPr>
          <w:ilvl w:val="0"/>
          <w:numId w:val="1"/>
        </w:numPr>
        <w:ind w:hanging="720"/>
        <w:jc w:val="both"/>
        <w:rPr>
          <w:sz w:val="20"/>
          <w:szCs w:val="20"/>
        </w:rPr>
      </w:pPr>
      <w:r w:rsidRPr="001A7F7C">
        <w:rPr>
          <w:i/>
          <w:sz w:val="20"/>
          <w:szCs w:val="20"/>
        </w:rPr>
        <w:t>Oldrich Pelich v. Attorney General of Ontario</w:t>
      </w:r>
      <w:r w:rsidRPr="001A7F7C">
        <w:rPr>
          <w:sz w:val="20"/>
          <w:szCs w:val="20"/>
        </w:rPr>
        <w:t xml:space="preserve"> (Ont.) (Crim.) (By Leave)</w:t>
      </w:r>
      <w:r w:rsidRPr="00C50A5C">
        <w:rPr>
          <w:sz w:val="20"/>
          <w:szCs w:val="20"/>
        </w:rPr>
        <w:t xml:space="preserve"> </w:t>
      </w:r>
      <w:r w:rsidR="004B7F60" w:rsidRPr="00C50A5C">
        <w:rPr>
          <w:sz w:val="20"/>
          <w:szCs w:val="20"/>
        </w:rPr>
        <w:t>(3</w:t>
      </w:r>
      <w:r>
        <w:rPr>
          <w:sz w:val="20"/>
          <w:szCs w:val="20"/>
        </w:rPr>
        <w:t>5585</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1A7F7C" w:rsidP="004B7F60">
      <w:pPr>
        <w:pStyle w:val="ListParagraph"/>
        <w:widowControl w:val="0"/>
        <w:numPr>
          <w:ilvl w:val="0"/>
          <w:numId w:val="1"/>
        </w:numPr>
        <w:ind w:hanging="720"/>
        <w:jc w:val="both"/>
        <w:rPr>
          <w:sz w:val="20"/>
          <w:szCs w:val="20"/>
        </w:rPr>
      </w:pPr>
      <w:r w:rsidRPr="001A7F7C">
        <w:rPr>
          <w:i/>
          <w:sz w:val="20"/>
          <w:szCs w:val="20"/>
        </w:rPr>
        <w:t>Mary Lou Davis v. Workers</w:t>
      </w:r>
      <w:r w:rsidR="00774544">
        <w:rPr>
          <w:i/>
          <w:sz w:val="20"/>
          <w:szCs w:val="20"/>
        </w:rPr>
        <w:t>’</w:t>
      </w:r>
      <w:r w:rsidRPr="001A7F7C">
        <w:rPr>
          <w:i/>
          <w:sz w:val="20"/>
          <w:szCs w:val="20"/>
        </w:rPr>
        <w:t xml:space="preserve"> Compensation Appeal Tribunal</w:t>
      </w:r>
      <w:r w:rsidRPr="001A7F7C">
        <w:rPr>
          <w:sz w:val="20"/>
          <w:szCs w:val="20"/>
        </w:rPr>
        <w:t xml:space="preserve"> (B.C.) (Civil) (By Leave)</w:t>
      </w:r>
      <w:r w:rsidRPr="00C612D0">
        <w:rPr>
          <w:sz w:val="20"/>
          <w:szCs w:val="20"/>
        </w:rPr>
        <w:t xml:space="preserve"> </w:t>
      </w:r>
      <w:r w:rsidR="004B7F60" w:rsidRPr="00C612D0">
        <w:rPr>
          <w:sz w:val="20"/>
          <w:szCs w:val="20"/>
        </w:rPr>
        <w:t>(3</w:t>
      </w:r>
      <w:r>
        <w:rPr>
          <w:sz w:val="20"/>
          <w:szCs w:val="20"/>
        </w:rPr>
        <w:t>5598</w:t>
      </w:r>
      <w:r w:rsidR="004B7F60" w:rsidRPr="00C612D0">
        <w:rPr>
          <w:sz w:val="20"/>
          <w:szCs w:val="20"/>
        </w:rPr>
        <w:t>)</w:t>
      </w:r>
    </w:p>
    <w:p w:rsidR="004B7F60" w:rsidRPr="00C612D0" w:rsidRDefault="004B7F60" w:rsidP="004B7F60">
      <w:pPr>
        <w:widowControl w:val="0"/>
        <w:jc w:val="both"/>
        <w:rPr>
          <w:sz w:val="20"/>
          <w:szCs w:val="20"/>
        </w:rPr>
      </w:pPr>
    </w:p>
    <w:p w:rsidR="004B7F60" w:rsidRPr="00C50A5C" w:rsidRDefault="001A7F7C" w:rsidP="004B7F60">
      <w:pPr>
        <w:pStyle w:val="ListParagraph"/>
        <w:widowControl w:val="0"/>
        <w:numPr>
          <w:ilvl w:val="0"/>
          <w:numId w:val="1"/>
        </w:numPr>
        <w:ind w:hanging="720"/>
        <w:jc w:val="both"/>
        <w:rPr>
          <w:sz w:val="20"/>
          <w:szCs w:val="20"/>
        </w:rPr>
      </w:pPr>
      <w:r w:rsidRPr="001A7F7C">
        <w:rPr>
          <w:i/>
          <w:sz w:val="20"/>
          <w:szCs w:val="20"/>
        </w:rPr>
        <w:t>Teal Cedar Products Ltd. v. Her Majesty the Queen in Right of the Province of British Columbia</w:t>
      </w:r>
      <w:r w:rsidRPr="001A7F7C">
        <w:rPr>
          <w:sz w:val="20"/>
          <w:szCs w:val="20"/>
        </w:rPr>
        <w:t xml:space="preserve"> (B.C.) (Civil) (By Leave)</w:t>
      </w:r>
      <w:r w:rsidRPr="00940CAD">
        <w:rPr>
          <w:sz w:val="20"/>
          <w:szCs w:val="20"/>
        </w:rPr>
        <w:t xml:space="preserve"> </w:t>
      </w:r>
      <w:r w:rsidR="004B7F60" w:rsidRPr="00940CAD">
        <w:rPr>
          <w:sz w:val="20"/>
          <w:szCs w:val="20"/>
        </w:rPr>
        <w:t>(3</w:t>
      </w:r>
      <w:r>
        <w:rPr>
          <w:sz w:val="20"/>
          <w:szCs w:val="20"/>
        </w:rPr>
        <w:t>55</w:t>
      </w:r>
      <w:r w:rsidR="004B7F60" w:rsidRPr="00940CAD">
        <w:rPr>
          <w:sz w:val="20"/>
          <w:szCs w:val="20"/>
        </w:rPr>
        <w:t>6</w:t>
      </w:r>
      <w:r>
        <w:rPr>
          <w:sz w:val="20"/>
          <w:szCs w:val="20"/>
        </w:rPr>
        <w:t>3</w:t>
      </w:r>
      <w:r w:rsidR="004B7F60" w:rsidRPr="00940CAD">
        <w:rPr>
          <w:sz w:val="20"/>
          <w:szCs w:val="20"/>
        </w:rPr>
        <w:t>)</w:t>
      </w:r>
    </w:p>
    <w:p w:rsidR="004B7F60" w:rsidRPr="00C50A5C" w:rsidRDefault="004B7F60" w:rsidP="004B7F60">
      <w:pPr>
        <w:widowControl w:val="0"/>
        <w:rPr>
          <w:sz w:val="20"/>
          <w:szCs w:val="20"/>
        </w:rPr>
      </w:pPr>
    </w:p>
    <w:p w:rsidR="004B7F60" w:rsidRPr="00C50A5C" w:rsidRDefault="00774544" w:rsidP="004B7F60">
      <w:pPr>
        <w:pStyle w:val="ListParagraph"/>
        <w:widowControl w:val="0"/>
        <w:numPr>
          <w:ilvl w:val="0"/>
          <w:numId w:val="1"/>
        </w:numPr>
        <w:ind w:hanging="720"/>
        <w:jc w:val="both"/>
        <w:rPr>
          <w:sz w:val="20"/>
          <w:szCs w:val="20"/>
        </w:rPr>
      </w:pPr>
      <w:r w:rsidRPr="00774544">
        <w:rPr>
          <w:i/>
          <w:sz w:val="20"/>
          <w:szCs w:val="20"/>
        </w:rPr>
        <w:t>Larry Peter Klippenstein v. Manitoba Human Rights Commission</w:t>
      </w:r>
      <w:r w:rsidRPr="001A7F7C">
        <w:rPr>
          <w:sz w:val="20"/>
          <w:szCs w:val="20"/>
        </w:rPr>
        <w:t xml:space="preserve"> (Man.) (Civil) (By Leave)</w:t>
      </w:r>
      <w:r w:rsidRPr="00C50A5C">
        <w:rPr>
          <w:sz w:val="20"/>
          <w:szCs w:val="20"/>
        </w:rPr>
        <w:t xml:space="preserve"> </w:t>
      </w:r>
      <w:r w:rsidR="004B7F60" w:rsidRPr="00C50A5C">
        <w:rPr>
          <w:sz w:val="20"/>
          <w:szCs w:val="20"/>
        </w:rPr>
        <w:t>(3</w:t>
      </w:r>
      <w:r w:rsidR="001A7F7C">
        <w:rPr>
          <w:sz w:val="20"/>
          <w:szCs w:val="20"/>
        </w:rPr>
        <w:t>5588</w:t>
      </w:r>
      <w:r w:rsidR="004B7F60" w:rsidRPr="00C50A5C">
        <w:rPr>
          <w:sz w:val="20"/>
          <w:szCs w:val="20"/>
        </w:rPr>
        <w:t>)</w:t>
      </w:r>
    </w:p>
    <w:p w:rsidR="004B7F60" w:rsidRDefault="004B7F60" w:rsidP="004B7F60">
      <w:pPr>
        <w:widowControl w:val="0"/>
        <w:jc w:val="both"/>
        <w:rPr>
          <w:sz w:val="20"/>
          <w:szCs w:val="20"/>
        </w:rPr>
      </w:pPr>
    </w:p>
    <w:p w:rsidR="004B7F60" w:rsidRDefault="004B7F60" w:rsidP="004B7F60">
      <w:pPr>
        <w:widowControl w:val="0"/>
        <w:jc w:val="both"/>
        <w:rPr>
          <w:sz w:val="20"/>
          <w:szCs w:val="20"/>
        </w:rPr>
      </w:pPr>
    </w:p>
    <w:p w:rsidR="004B7F60" w:rsidRPr="00C50A5C" w:rsidRDefault="004B7F60" w:rsidP="004B7F60">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sidR="0062714A">
        <w:rPr>
          <w:b/>
          <w:sz w:val="20"/>
          <w:szCs w:val="20"/>
        </w:rPr>
        <w:t>K</w:t>
      </w:r>
      <w:r>
        <w:rPr>
          <w:b/>
          <w:sz w:val="20"/>
          <w:szCs w:val="20"/>
        </w:rPr>
        <w:t>a</w:t>
      </w:r>
      <w:r w:rsidR="0062714A">
        <w:rPr>
          <w:b/>
          <w:sz w:val="20"/>
          <w:szCs w:val="20"/>
        </w:rPr>
        <w:t>rakatsanis</w:t>
      </w:r>
      <w:r w:rsidRPr="00C50A5C">
        <w:rPr>
          <w:b/>
          <w:sz w:val="20"/>
          <w:szCs w:val="20"/>
        </w:rPr>
        <w:t xml:space="preserve"> and </w:t>
      </w:r>
      <w:r w:rsidR="0062714A">
        <w:rPr>
          <w:b/>
          <w:sz w:val="20"/>
          <w:szCs w:val="20"/>
        </w:rPr>
        <w:t>Wagn</w:t>
      </w:r>
      <w:r>
        <w:rPr>
          <w:b/>
          <w:sz w:val="20"/>
          <w:szCs w:val="20"/>
        </w:rPr>
        <w:t>e</w:t>
      </w:r>
      <w:r w:rsidR="0062714A">
        <w:rPr>
          <w:b/>
          <w:sz w:val="20"/>
          <w:szCs w:val="20"/>
        </w:rPr>
        <w:t>r</w:t>
      </w:r>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sidR="0062714A">
        <w:rPr>
          <w:b/>
          <w:sz w:val="20"/>
          <w:szCs w:val="20"/>
          <w:lang w:val="fr-CA"/>
        </w:rPr>
        <w:t>K</w:t>
      </w:r>
      <w:r>
        <w:rPr>
          <w:b/>
          <w:sz w:val="20"/>
          <w:szCs w:val="20"/>
          <w:lang w:val="fr-CA"/>
        </w:rPr>
        <w:t>a</w:t>
      </w:r>
      <w:r w:rsidR="0062714A">
        <w:rPr>
          <w:b/>
          <w:sz w:val="20"/>
          <w:szCs w:val="20"/>
          <w:lang w:val="fr-CA"/>
        </w:rPr>
        <w:t>rakatsanis</w:t>
      </w:r>
      <w:r w:rsidRPr="00C50A5C">
        <w:rPr>
          <w:b/>
          <w:sz w:val="20"/>
          <w:szCs w:val="20"/>
          <w:lang w:val="fr-CA"/>
        </w:rPr>
        <w:t xml:space="preserve"> et </w:t>
      </w:r>
      <w:r w:rsidR="0062714A">
        <w:rPr>
          <w:b/>
          <w:sz w:val="20"/>
          <w:szCs w:val="20"/>
          <w:lang w:val="fr-CA"/>
        </w:rPr>
        <w:t>Wagn</w:t>
      </w:r>
      <w:r w:rsidRPr="00C50A5C">
        <w:rPr>
          <w:b/>
          <w:sz w:val="20"/>
          <w:szCs w:val="20"/>
          <w:lang w:val="fr-CA"/>
        </w:rPr>
        <w:t>e</w:t>
      </w:r>
      <w:r w:rsidR="0062714A">
        <w:rPr>
          <w:b/>
          <w:sz w:val="20"/>
          <w:szCs w:val="20"/>
          <w:lang w:val="fr-CA"/>
        </w:rPr>
        <w:t>r</w:t>
      </w:r>
    </w:p>
    <w:p w:rsidR="004B7F60" w:rsidRPr="00C16CB3" w:rsidRDefault="004B7F60" w:rsidP="004B7F60">
      <w:pPr>
        <w:widowControl w:val="0"/>
        <w:jc w:val="both"/>
        <w:rPr>
          <w:sz w:val="20"/>
          <w:szCs w:val="20"/>
          <w:lang w:val="fr-CA"/>
        </w:rPr>
      </w:pPr>
    </w:p>
    <w:p w:rsidR="004B7F60" w:rsidRPr="00C612D0" w:rsidRDefault="00774544" w:rsidP="004B7F60">
      <w:pPr>
        <w:pStyle w:val="ListParagraph"/>
        <w:widowControl w:val="0"/>
        <w:numPr>
          <w:ilvl w:val="0"/>
          <w:numId w:val="1"/>
        </w:numPr>
        <w:ind w:hanging="720"/>
        <w:jc w:val="both"/>
        <w:rPr>
          <w:sz w:val="20"/>
          <w:szCs w:val="20"/>
          <w:lang w:val="fr-CA"/>
        </w:rPr>
      </w:pPr>
      <w:r w:rsidRPr="00774544">
        <w:rPr>
          <w:i/>
          <w:sz w:val="20"/>
          <w:szCs w:val="20"/>
          <w:lang w:val="fr-CA"/>
        </w:rPr>
        <w:t>Agence du revenu du Québec c. Bombardier inc. et autre</w:t>
      </w:r>
      <w:r w:rsidRPr="001A7F7C">
        <w:rPr>
          <w:sz w:val="20"/>
          <w:szCs w:val="20"/>
          <w:lang w:val="fr-CA"/>
        </w:rPr>
        <w:t xml:space="preserve"> (Qc) (Civile) (Autorisation)</w:t>
      </w:r>
      <w:r w:rsidRPr="00C612D0">
        <w:rPr>
          <w:sz w:val="20"/>
          <w:szCs w:val="20"/>
          <w:lang w:val="fr-CA"/>
        </w:rPr>
        <w:t xml:space="preserve"> </w:t>
      </w:r>
      <w:r w:rsidR="004B7F60" w:rsidRPr="00C612D0">
        <w:rPr>
          <w:sz w:val="20"/>
          <w:szCs w:val="20"/>
          <w:lang w:val="fr-CA"/>
        </w:rPr>
        <w:t>(3</w:t>
      </w:r>
      <w:r w:rsidR="001A7F7C">
        <w:rPr>
          <w:sz w:val="20"/>
          <w:szCs w:val="20"/>
          <w:lang w:val="fr-CA"/>
        </w:rPr>
        <w:t>5</w:t>
      </w:r>
      <w:r w:rsidR="004B7F60" w:rsidRPr="00C612D0">
        <w:rPr>
          <w:sz w:val="20"/>
          <w:szCs w:val="20"/>
          <w:lang w:val="fr-CA"/>
        </w:rPr>
        <w:t>4</w:t>
      </w:r>
      <w:r w:rsidR="001A7F7C">
        <w:rPr>
          <w:sz w:val="20"/>
          <w:szCs w:val="20"/>
          <w:lang w:val="fr-CA"/>
        </w:rPr>
        <w:t>71</w:t>
      </w:r>
      <w:r w:rsidR="004B7F60" w:rsidRPr="00C612D0">
        <w:rPr>
          <w:sz w:val="20"/>
          <w:szCs w:val="20"/>
          <w:lang w:val="fr-CA"/>
        </w:rPr>
        <w:t>)</w:t>
      </w:r>
    </w:p>
    <w:p w:rsidR="004B7F60" w:rsidRPr="00C612D0" w:rsidRDefault="004B7F60" w:rsidP="004B7F60">
      <w:pPr>
        <w:widowControl w:val="0"/>
        <w:rPr>
          <w:sz w:val="20"/>
          <w:szCs w:val="20"/>
          <w:lang w:val="fr-CA"/>
        </w:rPr>
      </w:pPr>
    </w:p>
    <w:p w:rsidR="004B7F60" w:rsidRPr="00115C9E" w:rsidRDefault="00774544" w:rsidP="004B7F60">
      <w:pPr>
        <w:pStyle w:val="ListParagraph"/>
        <w:widowControl w:val="0"/>
        <w:numPr>
          <w:ilvl w:val="0"/>
          <w:numId w:val="1"/>
        </w:numPr>
        <w:ind w:hanging="720"/>
        <w:jc w:val="both"/>
        <w:rPr>
          <w:sz w:val="20"/>
          <w:szCs w:val="20"/>
          <w:lang w:val="fr-CA"/>
        </w:rPr>
      </w:pPr>
      <w:r w:rsidRPr="00774544">
        <w:rPr>
          <w:i/>
          <w:sz w:val="20"/>
          <w:szCs w:val="20"/>
          <w:lang w:val="fr-CA"/>
        </w:rPr>
        <w:t>S.S. c. L. SH.</w:t>
      </w:r>
      <w:r w:rsidRPr="001A7F7C">
        <w:rPr>
          <w:sz w:val="20"/>
          <w:szCs w:val="20"/>
          <w:lang w:val="fr-CA"/>
        </w:rPr>
        <w:t xml:space="preserve"> (Qc) (Civile) (Autorisation)</w:t>
      </w:r>
      <w:r w:rsidRPr="00115C9E">
        <w:rPr>
          <w:sz w:val="20"/>
          <w:szCs w:val="20"/>
          <w:lang w:val="fr-CA"/>
        </w:rPr>
        <w:t xml:space="preserve"> </w:t>
      </w:r>
      <w:r w:rsidR="004B7F60" w:rsidRPr="00115C9E">
        <w:rPr>
          <w:sz w:val="20"/>
          <w:szCs w:val="20"/>
          <w:lang w:val="fr-CA"/>
        </w:rPr>
        <w:t>(35</w:t>
      </w:r>
      <w:r w:rsidR="001A7F7C">
        <w:rPr>
          <w:sz w:val="20"/>
          <w:szCs w:val="20"/>
          <w:lang w:val="fr-CA"/>
        </w:rPr>
        <w:t>546</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115C9E" w:rsidRDefault="00774544" w:rsidP="004B7F60">
      <w:pPr>
        <w:pStyle w:val="ListParagraph"/>
        <w:widowControl w:val="0"/>
        <w:numPr>
          <w:ilvl w:val="0"/>
          <w:numId w:val="1"/>
        </w:numPr>
        <w:ind w:hanging="720"/>
        <w:jc w:val="both"/>
        <w:rPr>
          <w:sz w:val="20"/>
          <w:szCs w:val="20"/>
          <w:lang w:val="fr-CA"/>
        </w:rPr>
      </w:pPr>
      <w:r w:rsidRPr="00774544">
        <w:rPr>
          <w:i/>
          <w:sz w:val="20"/>
          <w:szCs w:val="20"/>
          <w:lang w:val="fr-CA"/>
        </w:rPr>
        <w:t>Jean St-Arnaud c. Christine Laplante et autre</w:t>
      </w:r>
      <w:r w:rsidRPr="001A7F7C">
        <w:rPr>
          <w:sz w:val="20"/>
          <w:szCs w:val="20"/>
          <w:lang w:val="fr-CA"/>
        </w:rPr>
        <w:t xml:space="preserve"> (Qc) (Civile) (Autorisation)</w:t>
      </w:r>
      <w:r w:rsidRPr="00115C9E">
        <w:rPr>
          <w:sz w:val="20"/>
          <w:szCs w:val="20"/>
          <w:lang w:val="fr-CA"/>
        </w:rPr>
        <w:t xml:space="preserve"> </w:t>
      </w:r>
      <w:r w:rsidR="004B7F60" w:rsidRPr="00115C9E">
        <w:rPr>
          <w:sz w:val="20"/>
          <w:szCs w:val="20"/>
          <w:lang w:val="fr-CA"/>
        </w:rPr>
        <w:t>(354</w:t>
      </w:r>
      <w:r w:rsidR="001A7F7C">
        <w:rPr>
          <w:sz w:val="20"/>
          <w:szCs w:val="20"/>
          <w:lang w:val="fr-CA"/>
        </w:rPr>
        <w:t>95</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C50A5C" w:rsidRDefault="00774544" w:rsidP="004B7F60">
      <w:pPr>
        <w:pStyle w:val="ListParagraph"/>
        <w:widowControl w:val="0"/>
        <w:numPr>
          <w:ilvl w:val="0"/>
          <w:numId w:val="1"/>
        </w:numPr>
        <w:ind w:hanging="720"/>
        <w:jc w:val="both"/>
        <w:rPr>
          <w:sz w:val="20"/>
          <w:szCs w:val="20"/>
          <w:lang w:val="fr-CA"/>
        </w:rPr>
      </w:pPr>
      <w:r w:rsidRPr="00774544">
        <w:rPr>
          <w:i/>
          <w:sz w:val="20"/>
          <w:szCs w:val="20"/>
        </w:rPr>
        <w:t>Joint Administrators of Nortel Networks UK Limited (in administration) on Behalf of the EMEA Debtors v. Nortel Networks Corporation et al.</w:t>
      </w:r>
      <w:r w:rsidRPr="001A7F7C">
        <w:rPr>
          <w:sz w:val="20"/>
          <w:szCs w:val="20"/>
        </w:rPr>
        <w:t xml:space="preserve"> (Ont.) </w:t>
      </w:r>
      <w:r w:rsidRPr="001A7F7C">
        <w:rPr>
          <w:sz w:val="20"/>
          <w:szCs w:val="20"/>
          <w:lang w:val="fr-CA"/>
        </w:rPr>
        <w:t>(Civil) (By Leave)</w:t>
      </w:r>
      <w:r w:rsidRPr="00C50A5C">
        <w:rPr>
          <w:sz w:val="20"/>
          <w:szCs w:val="20"/>
          <w:lang w:val="fr-CA"/>
        </w:rPr>
        <w:t xml:space="preserve"> </w:t>
      </w:r>
      <w:r w:rsidR="004B7F60" w:rsidRPr="00C50A5C">
        <w:rPr>
          <w:sz w:val="20"/>
          <w:szCs w:val="20"/>
          <w:lang w:val="fr-CA"/>
        </w:rPr>
        <w:t>(3</w:t>
      </w:r>
      <w:r w:rsidR="001A7F7C">
        <w:rPr>
          <w:sz w:val="20"/>
          <w:szCs w:val="20"/>
          <w:lang w:val="fr-CA"/>
        </w:rPr>
        <w:t>5532</w:t>
      </w:r>
      <w:r w:rsidR="004B7F60" w:rsidRPr="00C50A5C">
        <w:rPr>
          <w:sz w:val="20"/>
          <w:szCs w:val="20"/>
          <w:lang w:val="fr-CA"/>
        </w:rPr>
        <w:t>)</w:t>
      </w:r>
    </w:p>
    <w:p w:rsidR="004B7F60" w:rsidRDefault="004B7F60" w:rsidP="004B7F60">
      <w:pPr>
        <w:widowControl w:val="0"/>
        <w:rPr>
          <w:sz w:val="20"/>
          <w:szCs w:val="20"/>
          <w:lang w:val="fr-CA"/>
        </w:rPr>
      </w:pPr>
    </w:p>
    <w:p w:rsidR="004B7F60" w:rsidRPr="00C50A5C" w:rsidRDefault="00774544" w:rsidP="004B7F60">
      <w:pPr>
        <w:pStyle w:val="ListParagraph"/>
        <w:widowControl w:val="0"/>
        <w:numPr>
          <w:ilvl w:val="0"/>
          <w:numId w:val="1"/>
        </w:numPr>
        <w:ind w:hanging="720"/>
        <w:jc w:val="both"/>
        <w:rPr>
          <w:sz w:val="20"/>
          <w:szCs w:val="20"/>
          <w:lang w:val="fr-CA"/>
        </w:rPr>
      </w:pPr>
      <w:r w:rsidRPr="00774544">
        <w:rPr>
          <w:i/>
          <w:sz w:val="20"/>
          <w:szCs w:val="20"/>
          <w:lang w:val="fr-CA"/>
        </w:rPr>
        <w:t>Mouvement laïque québécois et autre c. Ville de Saguenay et autre</w:t>
      </w:r>
      <w:r w:rsidRPr="001A7F7C">
        <w:rPr>
          <w:sz w:val="20"/>
          <w:szCs w:val="20"/>
          <w:lang w:val="fr-CA"/>
        </w:rPr>
        <w:t xml:space="preserve"> (Qc) (Civile) (Autorisation)</w:t>
      </w:r>
      <w:r w:rsidRPr="00C50A5C">
        <w:rPr>
          <w:sz w:val="20"/>
          <w:szCs w:val="20"/>
          <w:lang w:val="fr-CA"/>
        </w:rPr>
        <w:t xml:space="preserve"> </w:t>
      </w:r>
      <w:r w:rsidR="004B7F60" w:rsidRPr="00C50A5C">
        <w:rPr>
          <w:sz w:val="20"/>
          <w:szCs w:val="20"/>
          <w:lang w:val="fr-CA"/>
        </w:rPr>
        <w:t>(3</w:t>
      </w:r>
      <w:r w:rsidR="001A7F7C">
        <w:rPr>
          <w:sz w:val="20"/>
          <w:szCs w:val="20"/>
          <w:lang w:val="fr-CA"/>
        </w:rPr>
        <w:t>5</w:t>
      </w:r>
      <w:r w:rsidR="004B7F60">
        <w:rPr>
          <w:sz w:val="20"/>
          <w:szCs w:val="20"/>
          <w:lang w:val="fr-CA"/>
        </w:rPr>
        <w:t>4</w:t>
      </w:r>
      <w:r w:rsidR="001A7F7C">
        <w:rPr>
          <w:sz w:val="20"/>
          <w:szCs w:val="20"/>
          <w:lang w:val="fr-CA"/>
        </w:rPr>
        <w:t>96</w:t>
      </w:r>
      <w:r w:rsidR="004B7F60" w:rsidRPr="00C50A5C">
        <w:rPr>
          <w:sz w:val="20"/>
          <w:szCs w:val="20"/>
          <w:lang w:val="fr-CA"/>
        </w:rPr>
        <w:t>)</w:t>
      </w:r>
    </w:p>
    <w:p w:rsidR="004B7F60" w:rsidRDefault="004B7F60" w:rsidP="004B7F60">
      <w:pPr>
        <w:widowControl w:val="0"/>
        <w:jc w:val="both"/>
        <w:rPr>
          <w:sz w:val="20"/>
          <w:szCs w:val="20"/>
          <w:lang w:val="fr-CA"/>
        </w:rPr>
      </w:pPr>
    </w:p>
    <w:p w:rsidR="001A7F7C" w:rsidRDefault="001A7F7C" w:rsidP="004B7F60">
      <w:pPr>
        <w:widowControl w:val="0"/>
        <w:jc w:val="both"/>
        <w:rPr>
          <w:sz w:val="20"/>
          <w:szCs w:val="20"/>
          <w:lang w:val="fr-CA"/>
        </w:rPr>
      </w:pPr>
    </w:p>
    <w:p w:rsidR="001A7F7C" w:rsidRPr="00C50A5C" w:rsidRDefault="001A7F7C" w:rsidP="001A7F7C">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1A7F7C" w:rsidRPr="00C50A5C" w:rsidRDefault="001A7F7C" w:rsidP="001A7F7C">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1A7F7C" w:rsidRPr="00C50A5C" w:rsidRDefault="001A7F7C" w:rsidP="001A7F7C">
      <w:pPr>
        <w:widowControl w:val="0"/>
        <w:rPr>
          <w:sz w:val="20"/>
          <w:szCs w:val="20"/>
          <w:lang w:val="fr-CA"/>
        </w:rPr>
      </w:pPr>
    </w:p>
    <w:p w:rsidR="004B7F60" w:rsidRPr="00115C9E" w:rsidRDefault="00774544" w:rsidP="004B7F60">
      <w:pPr>
        <w:pStyle w:val="ListParagraph"/>
        <w:widowControl w:val="0"/>
        <w:numPr>
          <w:ilvl w:val="0"/>
          <w:numId w:val="1"/>
        </w:numPr>
        <w:ind w:hanging="720"/>
        <w:jc w:val="both"/>
        <w:rPr>
          <w:sz w:val="20"/>
          <w:szCs w:val="20"/>
        </w:rPr>
      </w:pPr>
      <w:r w:rsidRPr="00774544">
        <w:rPr>
          <w:i/>
          <w:sz w:val="20"/>
          <w:szCs w:val="20"/>
        </w:rPr>
        <w:t>751809 Ontario Inc. operating as Famous Flesh Gordon</w:t>
      </w:r>
      <w:r>
        <w:rPr>
          <w:i/>
          <w:sz w:val="20"/>
          <w:szCs w:val="20"/>
        </w:rPr>
        <w:t>’</w:t>
      </w:r>
      <w:r w:rsidRPr="00774544">
        <w:rPr>
          <w:i/>
          <w:sz w:val="20"/>
          <w:szCs w:val="20"/>
        </w:rPr>
        <w:t>s v. Registrar, Alcohol and Gaming Commission of Ontario</w:t>
      </w:r>
      <w:r w:rsidRPr="001A7F7C">
        <w:rPr>
          <w:sz w:val="20"/>
          <w:szCs w:val="20"/>
        </w:rPr>
        <w:t xml:space="preserve"> (Ont.) (Civil) (By Leave)</w:t>
      </w:r>
      <w:r w:rsidRPr="00115C9E">
        <w:rPr>
          <w:sz w:val="20"/>
          <w:szCs w:val="20"/>
        </w:rPr>
        <w:t xml:space="preserve"> </w:t>
      </w:r>
      <w:r w:rsidR="004B7F60" w:rsidRPr="00115C9E">
        <w:rPr>
          <w:sz w:val="20"/>
          <w:szCs w:val="20"/>
        </w:rPr>
        <w:t>(3</w:t>
      </w:r>
      <w:r w:rsidR="001A7F7C">
        <w:rPr>
          <w:sz w:val="20"/>
          <w:szCs w:val="20"/>
        </w:rPr>
        <w:t>5</w:t>
      </w:r>
      <w:r w:rsidR="004B7F60" w:rsidRPr="00115C9E">
        <w:rPr>
          <w:sz w:val="20"/>
          <w:szCs w:val="20"/>
        </w:rPr>
        <w:t>4</w:t>
      </w:r>
      <w:r w:rsidR="001A7F7C">
        <w:rPr>
          <w:sz w:val="20"/>
          <w:szCs w:val="20"/>
        </w:rPr>
        <w:t>21</w:t>
      </w:r>
      <w:r w:rsidR="004B7F60" w:rsidRPr="00115C9E">
        <w:rPr>
          <w:sz w:val="20"/>
          <w:szCs w:val="20"/>
        </w:rPr>
        <w:t>)</w:t>
      </w:r>
    </w:p>
    <w:p w:rsidR="004B7F60" w:rsidRPr="00115C9E" w:rsidRDefault="004B7F60" w:rsidP="004B7F60">
      <w:pPr>
        <w:widowControl w:val="0"/>
        <w:jc w:val="both"/>
        <w:rPr>
          <w:sz w:val="20"/>
          <w:szCs w:val="20"/>
        </w:rPr>
      </w:pPr>
    </w:p>
    <w:p w:rsidR="004B7F60" w:rsidRPr="00115C9E" w:rsidRDefault="00774544" w:rsidP="004B7F60">
      <w:pPr>
        <w:pStyle w:val="ListParagraph"/>
        <w:widowControl w:val="0"/>
        <w:numPr>
          <w:ilvl w:val="0"/>
          <w:numId w:val="1"/>
        </w:numPr>
        <w:ind w:hanging="720"/>
        <w:jc w:val="both"/>
        <w:rPr>
          <w:sz w:val="20"/>
          <w:szCs w:val="20"/>
        </w:rPr>
      </w:pPr>
      <w:r w:rsidRPr="00774544">
        <w:rPr>
          <w:i/>
          <w:sz w:val="20"/>
          <w:szCs w:val="20"/>
        </w:rPr>
        <w:t>Lee Carter et al. v. Attorney General of Canada et al.</w:t>
      </w:r>
      <w:r w:rsidRPr="001A7F7C">
        <w:rPr>
          <w:sz w:val="20"/>
          <w:szCs w:val="20"/>
        </w:rPr>
        <w:t xml:space="preserve"> (B.C.) (Civil) (By Leave)</w:t>
      </w:r>
      <w:r w:rsidRPr="00115C9E">
        <w:rPr>
          <w:sz w:val="20"/>
          <w:szCs w:val="20"/>
        </w:rPr>
        <w:t xml:space="preserve"> </w:t>
      </w:r>
      <w:r w:rsidR="004B7F60" w:rsidRPr="00115C9E">
        <w:rPr>
          <w:sz w:val="20"/>
          <w:szCs w:val="20"/>
        </w:rPr>
        <w:t>(3</w:t>
      </w:r>
      <w:r w:rsidR="001A7F7C">
        <w:rPr>
          <w:sz w:val="20"/>
          <w:szCs w:val="20"/>
        </w:rPr>
        <w:t>5591</w:t>
      </w:r>
      <w:r w:rsidR="004B7F60" w:rsidRPr="00115C9E">
        <w:rPr>
          <w:sz w:val="20"/>
          <w:szCs w:val="20"/>
        </w:rPr>
        <w:t>)</w:t>
      </w:r>
    </w:p>
    <w:p w:rsidR="004B7F60" w:rsidRPr="00115C9E" w:rsidRDefault="004B7F60" w:rsidP="004B7F60">
      <w:pPr>
        <w:widowControl w:val="0"/>
        <w:jc w:val="both"/>
        <w:rPr>
          <w:sz w:val="20"/>
          <w:szCs w:val="20"/>
        </w:rPr>
      </w:pPr>
    </w:p>
    <w:p w:rsidR="004B7F60" w:rsidRDefault="00774544" w:rsidP="004B7F60">
      <w:pPr>
        <w:pStyle w:val="ListParagraph"/>
        <w:widowControl w:val="0"/>
        <w:numPr>
          <w:ilvl w:val="0"/>
          <w:numId w:val="1"/>
        </w:numPr>
        <w:ind w:hanging="720"/>
        <w:jc w:val="both"/>
        <w:rPr>
          <w:sz w:val="20"/>
          <w:szCs w:val="20"/>
        </w:rPr>
      </w:pPr>
      <w:r w:rsidRPr="00774544">
        <w:rPr>
          <w:i/>
          <w:sz w:val="20"/>
          <w:szCs w:val="20"/>
        </w:rPr>
        <w:t>Barclays Bank PLC v. Metcalfe &amp; Mansfield Alternative Investments VII Corp., in its capacity as trustee of Devonshire Trust et al.</w:t>
      </w:r>
      <w:r w:rsidRPr="001A7F7C">
        <w:rPr>
          <w:sz w:val="20"/>
          <w:szCs w:val="20"/>
        </w:rPr>
        <w:t xml:space="preserve"> (Ont.) (Civil) (By Leave)</w:t>
      </w:r>
      <w:r w:rsidRPr="00C50A5C">
        <w:rPr>
          <w:sz w:val="20"/>
          <w:szCs w:val="20"/>
        </w:rPr>
        <w:t xml:space="preserve"> </w:t>
      </w:r>
      <w:r w:rsidR="004B7F60" w:rsidRPr="00C50A5C">
        <w:rPr>
          <w:sz w:val="20"/>
          <w:szCs w:val="20"/>
        </w:rPr>
        <w:t>(3</w:t>
      </w:r>
      <w:r w:rsidR="001A7F7C">
        <w:rPr>
          <w:sz w:val="20"/>
          <w:szCs w:val="20"/>
        </w:rPr>
        <w:t>55</w:t>
      </w:r>
      <w:r w:rsidR="004B7F60">
        <w:rPr>
          <w:sz w:val="20"/>
          <w:szCs w:val="20"/>
        </w:rPr>
        <w:t>4</w:t>
      </w:r>
      <w:r w:rsidR="001A7F7C">
        <w:rPr>
          <w:sz w:val="20"/>
          <w:szCs w:val="20"/>
        </w:rPr>
        <w:t>9</w:t>
      </w:r>
      <w:r w:rsidR="004B7F60" w:rsidRPr="00C50A5C">
        <w:rPr>
          <w:sz w:val="20"/>
          <w:szCs w:val="20"/>
        </w:rPr>
        <w:t>)</w:t>
      </w:r>
    </w:p>
    <w:p w:rsidR="004B7F60" w:rsidRDefault="004B7F60" w:rsidP="004B7F60">
      <w:pPr>
        <w:widowControl w:val="0"/>
        <w:rPr>
          <w:sz w:val="20"/>
          <w:szCs w:val="20"/>
        </w:rPr>
      </w:pPr>
    </w:p>
    <w:p w:rsidR="002E2327" w:rsidRPr="00774544" w:rsidRDefault="00774544" w:rsidP="00C50A5C">
      <w:pPr>
        <w:pStyle w:val="ListParagraph"/>
        <w:widowControl w:val="0"/>
        <w:numPr>
          <w:ilvl w:val="0"/>
          <w:numId w:val="1"/>
        </w:numPr>
        <w:ind w:hanging="720"/>
        <w:jc w:val="both"/>
        <w:rPr>
          <w:sz w:val="20"/>
          <w:szCs w:val="20"/>
        </w:rPr>
      </w:pPr>
      <w:r w:rsidRPr="00774544">
        <w:rPr>
          <w:i/>
          <w:sz w:val="20"/>
          <w:szCs w:val="20"/>
        </w:rPr>
        <w:t>Julie Guindon v. Her Majesty the Queen</w:t>
      </w:r>
      <w:r w:rsidRPr="001A7F7C">
        <w:rPr>
          <w:sz w:val="20"/>
          <w:szCs w:val="20"/>
        </w:rPr>
        <w:t xml:space="preserve"> (F.C.) (Civil) (By Leave)</w:t>
      </w:r>
      <w:r w:rsidRPr="00774544">
        <w:rPr>
          <w:sz w:val="20"/>
          <w:szCs w:val="20"/>
        </w:rPr>
        <w:t xml:space="preserve"> </w:t>
      </w:r>
      <w:r w:rsidR="002E2327" w:rsidRPr="00774544">
        <w:rPr>
          <w:sz w:val="20"/>
          <w:szCs w:val="20"/>
        </w:rPr>
        <w:t>(3</w:t>
      </w:r>
      <w:r w:rsidR="001A7F7C" w:rsidRPr="00774544">
        <w:rPr>
          <w:sz w:val="20"/>
          <w:szCs w:val="20"/>
        </w:rPr>
        <w:t>55</w:t>
      </w:r>
      <w:r w:rsidR="002E2327" w:rsidRPr="00774544">
        <w:rPr>
          <w:sz w:val="20"/>
          <w:szCs w:val="20"/>
        </w:rPr>
        <w:t>1</w:t>
      </w:r>
      <w:r w:rsidR="001A7F7C" w:rsidRPr="00774544">
        <w:rPr>
          <w:sz w:val="20"/>
          <w:szCs w:val="20"/>
        </w:rPr>
        <w:t>9</w:t>
      </w:r>
      <w:r w:rsidR="002E2327" w:rsidRPr="00774544">
        <w:rPr>
          <w:sz w:val="20"/>
          <w:szCs w:val="20"/>
        </w:rPr>
        <w:t>)</w:t>
      </w:r>
    </w:p>
    <w:p w:rsidR="002E2327" w:rsidRPr="00774544" w:rsidRDefault="002E2327" w:rsidP="002E2327">
      <w:pPr>
        <w:widowControl w:val="0"/>
        <w:rPr>
          <w:sz w:val="20"/>
          <w:szCs w:val="20"/>
        </w:rPr>
      </w:pPr>
    </w:p>
    <w:p w:rsidR="002E2327" w:rsidRDefault="00E672F1" w:rsidP="002E2327">
      <w:pPr>
        <w:widowControl w:val="0"/>
        <w:rPr>
          <w:sz w:val="20"/>
          <w:szCs w:val="20"/>
        </w:rPr>
      </w:pPr>
      <w:r>
        <w:rPr>
          <w:sz w:val="20"/>
          <w:szCs w:val="20"/>
        </w:rPr>
        <w:pict>
          <v:rect id="_x0000_i1033" style="width:2in;height:1pt" o:hrpct="0" o:hralign="center" o:hrstd="t" o:hrnoshade="t" o:hr="t" fillcolor="black [3213]" stroked="f"/>
        </w:pict>
      </w:r>
    </w:p>
    <w:p w:rsidR="00D94028" w:rsidRDefault="00D94028" w:rsidP="002E2327">
      <w:pPr>
        <w:widowControl w:val="0"/>
        <w:rPr>
          <w:sz w:val="20"/>
          <w:szCs w:val="20"/>
        </w:rPr>
      </w:pPr>
    </w:p>
    <w:p w:rsidR="001A7F7C" w:rsidRPr="001A7F7C" w:rsidRDefault="001A7F7C" w:rsidP="001A7F7C">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E672F1"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10221A" w:rsidP="000E2959">
      <w:pPr>
        <w:rPr>
          <w:b/>
          <w:sz w:val="20"/>
          <w:szCs w:val="20"/>
        </w:rPr>
      </w:pPr>
      <w:r>
        <w:rPr>
          <w:b/>
          <w:sz w:val="20"/>
          <w:szCs w:val="20"/>
        </w:rPr>
        <w:t>DECE</w:t>
      </w:r>
      <w:r w:rsidR="000E2959">
        <w:rPr>
          <w:b/>
          <w:sz w:val="20"/>
          <w:szCs w:val="20"/>
        </w:rPr>
        <w:t>M</w:t>
      </w:r>
      <w:r>
        <w:rPr>
          <w:b/>
          <w:sz w:val="20"/>
          <w:szCs w:val="20"/>
        </w:rPr>
        <w:t>BER</w:t>
      </w:r>
      <w:r w:rsidR="000E2959" w:rsidRPr="00C50A5C">
        <w:rPr>
          <w:b/>
          <w:sz w:val="20"/>
          <w:szCs w:val="20"/>
        </w:rPr>
        <w:t xml:space="preserve"> </w:t>
      </w:r>
      <w:r>
        <w:rPr>
          <w:b/>
          <w:sz w:val="20"/>
          <w:szCs w:val="20"/>
        </w:rPr>
        <w:t>1</w:t>
      </w:r>
      <w:r w:rsidR="000E2959" w:rsidRPr="00C50A5C">
        <w:rPr>
          <w:b/>
          <w:sz w:val="20"/>
          <w:szCs w:val="20"/>
        </w:rPr>
        <w:t>2, 201</w:t>
      </w:r>
      <w:r w:rsidR="000E2959">
        <w:rPr>
          <w:b/>
          <w:sz w:val="20"/>
          <w:szCs w:val="20"/>
        </w:rPr>
        <w:t>3</w:t>
      </w:r>
      <w:r w:rsidR="000E2959" w:rsidRPr="00C50A5C">
        <w:rPr>
          <w:b/>
          <w:sz w:val="20"/>
          <w:szCs w:val="20"/>
        </w:rPr>
        <w:t xml:space="preserve"> / LE </w:t>
      </w:r>
      <w:r>
        <w:rPr>
          <w:b/>
          <w:sz w:val="20"/>
          <w:szCs w:val="20"/>
        </w:rPr>
        <w:t>1</w:t>
      </w:r>
      <w:r w:rsidR="000E2959" w:rsidRPr="00C50A5C">
        <w:rPr>
          <w:b/>
          <w:sz w:val="20"/>
          <w:szCs w:val="20"/>
        </w:rPr>
        <w:t xml:space="preserve">2 </w:t>
      </w:r>
      <w:r>
        <w:rPr>
          <w:b/>
          <w:sz w:val="20"/>
          <w:szCs w:val="20"/>
        </w:rPr>
        <w:t>DÉCE</w:t>
      </w:r>
      <w:r w:rsidR="000E2959">
        <w:rPr>
          <w:b/>
          <w:sz w:val="20"/>
          <w:szCs w:val="20"/>
        </w:rPr>
        <w:t>M</w:t>
      </w:r>
      <w:r>
        <w:rPr>
          <w:b/>
          <w:sz w:val="20"/>
          <w:szCs w:val="20"/>
        </w:rPr>
        <w:t>BRE</w:t>
      </w:r>
      <w:r w:rsidR="000E2959" w:rsidRPr="00C50A5C">
        <w:rPr>
          <w:b/>
          <w:sz w:val="20"/>
          <w:szCs w:val="20"/>
        </w:rPr>
        <w:t xml:space="preserve"> 201</w:t>
      </w:r>
      <w:r w:rsidR="000E2959">
        <w:rPr>
          <w:b/>
          <w:sz w:val="20"/>
          <w:szCs w:val="20"/>
        </w:rPr>
        <w:t>3</w:t>
      </w:r>
    </w:p>
    <w:p w:rsidR="000E2959" w:rsidRDefault="000E2959" w:rsidP="000E2959">
      <w:pPr>
        <w:rPr>
          <w:sz w:val="20"/>
          <w:szCs w:val="20"/>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41BB2" w:rsidRPr="00E672F1" w:rsidTr="00D8225B">
        <w:trPr>
          <w:cantSplit/>
        </w:trPr>
        <w:tc>
          <w:tcPr>
            <w:tcW w:w="1458" w:type="dxa"/>
          </w:tcPr>
          <w:p w:rsidR="00141BB2" w:rsidRPr="00141BB2" w:rsidRDefault="00141BB2" w:rsidP="00141BB2">
            <w:pPr>
              <w:rPr>
                <w:sz w:val="20"/>
              </w:rPr>
            </w:pPr>
            <w:r w:rsidRPr="00141BB2">
              <w:rPr>
                <w:b/>
                <w:sz w:val="20"/>
                <w:lang w:val="fr-CA"/>
              </w:rPr>
              <w:t>35429</w:t>
            </w:r>
          </w:p>
          <w:p w:rsidR="00141BB2" w:rsidRPr="00141BB2" w:rsidRDefault="00141BB2" w:rsidP="00141BB2">
            <w:pPr>
              <w:rPr>
                <w:b/>
                <w:sz w:val="20"/>
                <w:lang w:val="fr-CA"/>
              </w:rPr>
            </w:pPr>
          </w:p>
        </w:tc>
        <w:tc>
          <w:tcPr>
            <w:tcW w:w="8118" w:type="dxa"/>
          </w:tcPr>
          <w:p w:rsidR="00141BB2" w:rsidRPr="00141BB2" w:rsidRDefault="00141BB2" w:rsidP="00141BB2">
            <w:pPr>
              <w:jc w:val="both"/>
              <w:rPr>
                <w:sz w:val="20"/>
                <w:lang w:val="fr-CA"/>
              </w:rPr>
            </w:pPr>
            <w:r w:rsidRPr="00141BB2">
              <w:rPr>
                <w:b/>
                <w:sz w:val="20"/>
                <w:u w:val="single"/>
                <w:lang w:val="fr-CA"/>
              </w:rPr>
              <w:t>Syndicat du personnel enseignant du collège Ahuntsic (FNEEQ-CSN) c. Collège Ahuntsic</w:t>
            </w:r>
            <w:r w:rsidR="00A32E41">
              <w:rPr>
                <w:b/>
                <w:sz w:val="20"/>
                <w:u w:val="single"/>
                <w:lang w:val="fr-CA"/>
              </w:rPr>
              <w:t xml:space="preserve"> et</w:t>
            </w:r>
            <w:r w:rsidRPr="00141BB2">
              <w:rPr>
                <w:b/>
                <w:sz w:val="20"/>
                <w:u w:val="single"/>
                <w:lang w:val="fr-CA"/>
              </w:rPr>
              <w:t xml:space="preserve"> Pierre A. Fortin</w:t>
            </w:r>
            <w:r w:rsidRPr="00141BB2">
              <w:rPr>
                <w:sz w:val="20"/>
                <w:lang w:val="fr-CA"/>
              </w:rPr>
              <w:t xml:space="preserve"> (Qc) (Civile) (Autorisation)</w:t>
            </w:r>
          </w:p>
          <w:p w:rsidR="00141BB2" w:rsidRPr="00141BB2" w:rsidRDefault="00141BB2" w:rsidP="00141BB2">
            <w:pPr>
              <w:jc w:val="both"/>
              <w:rPr>
                <w:sz w:val="20"/>
                <w:lang w:val="fr-CA"/>
              </w:rPr>
            </w:pPr>
          </w:p>
        </w:tc>
      </w:tr>
      <w:tr w:rsidR="00141BB2" w:rsidRPr="00E672F1" w:rsidTr="00D8225B">
        <w:trPr>
          <w:cantSplit/>
        </w:trPr>
        <w:tc>
          <w:tcPr>
            <w:tcW w:w="1458" w:type="dxa"/>
          </w:tcPr>
          <w:p w:rsidR="00141BB2" w:rsidRPr="00141BB2" w:rsidRDefault="00141BB2" w:rsidP="00141BB2">
            <w:pPr>
              <w:rPr>
                <w:sz w:val="20"/>
              </w:rPr>
            </w:pPr>
            <w:r w:rsidRPr="00141BB2">
              <w:rPr>
                <w:sz w:val="20"/>
              </w:rPr>
              <w:t>Coram :</w:t>
            </w:r>
          </w:p>
        </w:tc>
        <w:tc>
          <w:tcPr>
            <w:tcW w:w="8118" w:type="dxa"/>
          </w:tcPr>
          <w:p w:rsidR="00141BB2" w:rsidRPr="00141BB2" w:rsidRDefault="00141BB2" w:rsidP="00141BB2">
            <w:pPr>
              <w:rPr>
                <w:sz w:val="20"/>
                <w:lang w:val="fr-CA"/>
              </w:rPr>
            </w:pPr>
            <w:r w:rsidRPr="00141BB2">
              <w:rPr>
                <w:sz w:val="20"/>
                <w:u w:val="single"/>
                <w:lang w:val="fr-CA"/>
              </w:rPr>
              <w:t>Les juges LeBel, Karakatsanis et Wagner</w:t>
            </w:r>
          </w:p>
          <w:p w:rsidR="00141BB2" w:rsidRPr="00141BB2" w:rsidRDefault="00141BB2" w:rsidP="00141BB2">
            <w:pPr>
              <w:rPr>
                <w:sz w:val="20"/>
                <w:u w:val="single"/>
                <w:lang w:val="fr-CA"/>
              </w:rPr>
            </w:pPr>
          </w:p>
        </w:tc>
      </w:tr>
      <w:tr w:rsidR="00141BB2" w:rsidRPr="00141BB2" w:rsidTr="00D8225B">
        <w:trPr>
          <w:cantSplit/>
        </w:trPr>
        <w:tc>
          <w:tcPr>
            <w:tcW w:w="9576" w:type="dxa"/>
            <w:gridSpan w:val="2"/>
          </w:tcPr>
          <w:p w:rsidR="00141BB2" w:rsidRPr="00141BB2" w:rsidRDefault="00141BB2" w:rsidP="00141BB2">
            <w:pPr>
              <w:ind w:firstLine="720"/>
              <w:jc w:val="both"/>
              <w:rPr>
                <w:sz w:val="20"/>
                <w:lang w:val="fr-CA"/>
              </w:rPr>
            </w:pPr>
            <w:r w:rsidRPr="00141BB2">
              <w:rPr>
                <w:sz w:val="20"/>
                <w:lang w:val="fr-CA"/>
              </w:rPr>
              <w:t>La demande d’autorisation d’appel de l’arrêt de la Cour d’appel du Québec (Montréal), numéro 500-09-021549-118, 2013 QCCA 913, daté du 14 mai 2013, est rejetée sans dépens.</w:t>
            </w:r>
          </w:p>
          <w:p w:rsidR="00141BB2" w:rsidRPr="00141BB2" w:rsidRDefault="00141BB2" w:rsidP="00141BB2">
            <w:pPr>
              <w:jc w:val="both"/>
              <w:rPr>
                <w:sz w:val="20"/>
                <w:lang w:val="fr-CA"/>
              </w:rPr>
            </w:pPr>
          </w:p>
          <w:p w:rsidR="00141BB2" w:rsidRPr="00141BB2" w:rsidRDefault="00141BB2" w:rsidP="00141BB2">
            <w:pPr>
              <w:ind w:firstLine="720"/>
              <w:jc w:val="both"/>
              <w:rPr>
                <w:sz w:val="20"/>
              </w:rPr>
            </w:pPr>
            <w:r w:rsidRPr="00141BB2">
              <w:rPr>
                <w:sz w:val="20"/>
              </w:rPr>
              <w:t>The application for leave to appeal from the judgment of the Court of Appeal of Quebec (Montréal), Number 500-09-021549-118, 2013 QCCA 913, dated May 14, 2013, is dismissed without costs.</w:t>
            </w:r>
          </w:p>
        </w:tc>
      </w:tr>
    </w:tbl>
    <w:p w:rsidR="0010221A" w:rsidRDefault="0010221A" w:rsidP="000E2959">
      <w:pPr>
        <w:rPr>
          <w:sz w:val="20"/>
          <w:szCs w:val="20"/>
        </w:rPr>
      </w:pPr>
    </w:p>
    <w:p w:rsidR="0010221A" w:rsidRPr="001B157C" w:rsidRDefault="0010221A" w:rsidP="0010221A">
      <w:pPr>
        <w:rPr>
          <w:sz w:val="20"/>
          <w:szCs w:val="20"/>
          <w:u w:val="single"/>
        </w:rPr>
      </w:pPr>
      <w:r w:rsidRPr="001B157C">
        <w:rPr>
          <w:sz w:val="20"/>
          <w:szCs w:val="20"/>
          <w:u w:val="single"/>
        </w:rPr>
        <w:t>CASE SUMMARY</w:t>
      </w:r>
    </w:p>
    <w:p w:rsidR="0010221A" w:rsidRDefault="0010221A" w:rsidP="0010221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A36E8" w:rsidRPr="00DE1E45" w:rsidTr="001A7F7C">
        <w:tc>
          <w:tcPr>
            <w:tcW w:w="5000" w:type="pct"/>
            <w:gridSpan w:val="3"/>
          </w:tcPr>
          <w:p w:rsidR="00EA36E8" w:rsidRPr="00DE1E45" w:rsidRDefault="00EA36E8" w:rsidP="001A7F7C">
            <w:pPr>
              <w:jc w:val="both"/>
              <w:rPr>
                <w:rFonts w:eastAsia="Calibri"/>
                <w:sz w:val="20"/>
              </w:rPr>
            </w:pPr>
            <w:r w:rsidRPr="00DE1E45">
              <w:rPr>
                <w:rFonts w:eastAsia="Calibri"/>
                <w:sz w:val="20"/>
              </w:rPr>
              <w:t>Labour relations — Arbitration — Grievances — Jurisdiction of arbitrator — Administrative law — Judicial review — Standard of review — Whether Court of Appeal and Superior Court erred in concluding that grievance arbitrator had not exceeded his jurisdiction by changing orders he had already made in first decision — Whether Court of Appeal and Superior Court applied proper standard of review with respect to grievance arbitrator’s second decision — Whether Court of Appeal and Superior Court erred in concluding that arbitrator’s decision was reasonable.</w:t>
            </w:r>
          </w:p>
        </w:tc>
      </w:tr>
      <w:tr w:rsidR="00EA36E8" w:rsidRPr="00DE1E45" w:rsidTr="001A7F7C">
        <w:tc>
          <w:tcPr>
            <w:tcW w:w="5000" w:type="pct"/>
            <w:gridSpan w:val="3"/>
          </w:tcPr>
          <w:p w:rsidR="00EA36E8" w:rsidRPr="00DE1E45" w:rsidRDefault="00EA36E8" w:rsidP="001A7F7C">
            <w:pPr>
              <w:jc w:val="both"/>
              <w:rPr>
                <w:rFonts w:eastAsia="Calibri"/>
                <w:sz w:val="20"/>
              </w:rPr>
            </w:pPr>
          </w:p>
        </w:tc>
      </w:tr>
      <w:tr w:rsidR="00EA36E8" w:rsidRPr="00DE1E45" w:rsidTr="001A7F7C">
        <w:tc>
          <w:tcPr>
            <w:tcW w:w="5000" w:type="pct"/>
            <w:gridSpan w:val="3"/>
          </w:tcPr>
          <w:p w:rsidR="00EA36E8" w:rsidRPr="00DE1E45" w:rsidRDefault="00EA36E8" w:rsidP="001A7F7C">
            <w:pPr>
              <w:jc w:val="both"/>
              <w:rPr>
                <w:rFonts w:eastAsia="Calibri"/>
                <w:sz w:val="20"/>
              </w:rPr>
            </w:pPr>
            <w:r w:rsidRPr="00DE1E45">
              <w:rPr>
                <w:rFonts w:eastAsia="Calibri"/>
                <w:sz w:val="20"/>
              </w:rPr>
              <w:t>Following a strike, the applicant union filed two grievances against the respondent college alleging that it had [</w:t>
            </w:r>
            <w:r w:rsidRPr="00DE1E45">
              <w:rPr>
                <w:rFonts w:eastAsia="Calibri"/>
                <w:smallCaps/>
                <w:sz w:val="20"/>
              </w:rPr>
              <w:t>translation</w:t>
            </w:r>
            <w:r w:rsidRPr="00DE1E45">
              <w:rPr>
                <w:rFonts w:eastAsia="Calibri"/>
                <w:sz w:val="20"/>
              </w:rPr>
              <w:t>] “decided to establish a school calendar requiring make</w:t>
            </w:r>
            <w:r w:rsidRPr="00DE1E45">
              <w:rPr>
                <w:rFonts w:eastAsia="Calibri"/>
                <w:sz w:val="20"/>
              </w:rPr>
              <w:noBreakHyphen/>
              <w:t>up classes, workshops, labs and training” for the days missed during the strike, without any wage compensation.  The arbitrator’s first award allowed the grievances in part, ordered [</w:t>
            </w:r>
            <w:r w:rsidRPr="00DE1E45">
              <w:rPr>
                <w:rFonts w:eastAsia="Calibri"/>
                <w:smallCaps/>
                <w:sz w:val="20"/>
              </w:rPr>
              <w:t>translation</w:t>
            </w:r>
            <w:r w:rsidRPr="00DE1E45">
              <w:rPr>
                <w:rFonts w:eastAsia="Calibri"/>
                <w:sz w:val="20"/>
              </w:rPr>
              <w:t>] “the college to pay the teachers wages for the make</w:t>
            </w:r>
            <w:r w:rsidRPr="00DE1E45">
              <w:rPr>
                <w:rFonts w:eastAsia="Calibri"/>
                <w:sz w:val="20"/>
              </w:rPr>
              <w:noBreakHyphen/>
              <w:t>up work and the related benefits” and retained “jurisdiction to determine the quantum if the parties cannot agree on it”.  The parties were unable to agree.  The union argued that all the teachers had to be reimbursed for the pay cut resulting from the strike, whereas the college wanted to pay only for the time worked by the teachers who did the make</w:t>
            </w:r>
            <w:r w:rsidRPr="00DE1E45">
              <w:rPr>
                <w:rFonts w:eastAsia="Calibri"/>
                <w:sz w:val="20"/>
              </w:rPr>
              <w:noBreakHyphen/>
              <w:t>up work.</w:t>
            </w:r>
          </w:p>
          <w:p w:rsidR="00EA36E8" w:rsidRPr="00DE1E45" w:rsidRDefault="00EA36E8" w:rsidP="001A7F7C">
            <w:pPr>
              <w:jc w:val="both"/>
              <w:rPr>
                <w:rFonts w:eastAsia="Calibri"/>
                <w:sz w:val="20"/>
              </w:rPr>
            </w:pPr>
          </w:p>
          <w:p w:rsidR="00EA36E8" w:rsidRPr="00DE1E45" w:rsidRDefault="00EA36E8" w:rsidP="001A7F7C">
            <w:pPr>
              <w:jc w:val="both"/>
              <w:rPr>
                <w:rFonts w:eastAsia="Calibri"/>
                <w:sz w:val="20"/>
              </w:rPr>
            </w:pPr>
            <w:r w:rsidRPr="00DE1E45">
              <w:rPr>
                <w:rFonts w:eastAsia="Calibri"/>
                <w:sz w:val="20"/>
              </w:rPr>
              <w:t>In a second arbitration award, the arbitrator rejected the union’s position, noting that the first decision had in fact ordered the payment of wages to the teachers for the make</w:t>
            </w:r>
            <w:r w:rsidRPr="00DE1E45">
              <w:rPr>
                <w:rFonts w:eastAsia="Calibri"/>
                <w:sz w:val="20"/>
              </w:rPr>
              <w:noBreakHyphen/>
              <w:t>up work, which had already been clearly defined as consisting of classes, labs, workshops and training.  According to the arbitrator, this was also exactly the wording of the grievance.  He therefore ordered the college to pay the teachers [</w:t>
            </w:r>
            <w:r w:rsidRPr="00DE1E45">
              <w:rPr>
                <w:rFonts w:eastAsia="Calibri"/>
                <w:smallCaps/>
                <w:sz w:val="20"/>
              </w:rPr>
              <w:t>translation</w:t>
            </w:r>
            <w:r w:rsidRPr="00DE1E45">
              <w:rPr>
                <w:rFonts w:eastAsia="Calibri"/>
                <w:sz w:val="20"/>
              </w:rPr>
              <w:t>] “who did the work the remuneration corresponding to the required make</w:t>
            </w:r>
            <w:r w:rsidRPr="00DE1E45">
              <w:rPr>
                <w:rFonts w:eastAsia="Calibri"/>
                <w:sz w:val="20"/>
              </w:rPr>
              <w:noBreakHyphen/>
              <w:t>up classes, workshops, labs and training” and the percentage owed for vacation and interest.  He retained jurisdiction to decide specific cases that the parties could not resolve.  The union sought judicial review of the arbitrator’s second decision, criticizing him for restricting the group of teachers covered by the first decision by limiting the right to compensation to the teachers who had been required to make up classes, workshops, labs and training.</w:t>
            </w:r>
          </w:p>
          <w:p w:rsidR="00EA36E8" w:rsidRPr="00DE1E45" w:rsidRDefault="00EA36E8" w:rsidP="001A7F7C">
            <w:pPr>
              <w:jc w:val="both"/>
              <w:rPr>
                <w:rFonts w:eastAsia="Calibri"/>
                <w:sz w:val="20"/>
              </w:rPr>
            </w:pPr>
          </w:p>
        </w:tc>
      </w:tr>
      <w:tr w:rsidR="00EA36E8" w:rsidRPr="00DE1E45" w:rsidTr="001A7F7C">
        <w:tc>
          <w:tcPr>
            <w:tcW w:w="2427" w:type="pct"/>
          </w:tcPr>
          <w:p w:rsidR="00EA36E8" w:rsidRPr="00DE1E45" w:rsidRDefault="00EA36E8" w:rsidP="001A7F7C">
            <w:pPr>
              <w:jc w:val="both"/>
              <w:rPr>
                <w:rFonts w:eastAsia="Calibri"/>
                <w:sz w:val="20"/>
              </w:rPr>
            </w:pPr>
            <w:r w:rsidRPr="00DE1E45">
              <w:rPr>
                <w:rFonts w:eastAsia="Calibri"/>
                <w:sz w:val="20"/>
              </w:rPr>
              <w:t>January 21, 2010</w:t>
            </w:r>
          </w:p>
          <w:p w:rsidR="00EA36E8" w:rsidRPr="00DE1E45" w:rsidRDefault="00EA36E8" w:rsidP="001A7F7C">
            <w:pPr>
              <w:jc w:val="both"/>
              <w:rPr>
                <w:rFonts w:eastAsia="Calibri"/>
                <w:sz w:val="20"/>
              </w:rPr>
            </w:pPr>
            <w:r w:rsidRPr="00DE1E45">
              <w:rPr>
                <w:rFonts w:eastAsia="Calibri"/>
                <w:sz w:val="20"/>
              </w:rPr>
              <w:t>Arbitration Tribunal</w:t>
            </w:r>
          </w:p>
          <w:p w:rsidR="00EA36E8" w:rsidRPr="00DE1E45" w:rsidRDefault="00EA36E8" w:rsidP="001A7F7C">
            <w:pPr>
              <w:jc w:val="both"/>
              <w:rPr>
                <w:rFonts w:eastAsia="Calibri"/>
                <w:sz w:val="20"/>
              </w:rPr>
            </w:pPr>
            <w:r w:rsidRPr="00DE1E45">
              <w:rPr>
                <w:rFonts w:eastAsia="Calibri"/>
                <w:sz w:val="20"/>
              </w:rPr>
              <w:t>(Arbitrator Pierre A. Fortin)</w:t>
            </w:r>
          </w:p>
          <w:p w:rsidR="00EA36E8" w:rsidRPr="00DE1E45" w:rsidRDefault="00EA36E8" w:rsidP="001A7F7C">
            <w:pPr>
              <w:jc w:val="both"/>
              <w:rPr>
                <w:rFonts w:eastAsia="Calibri"/>
                <w:sz w:val="20"/>
              </w:rPr>
            </w:pPr>
          </w:p>
        </w:tc>
        <w:tc>
          <w:tcPr>
            <w:tcW w:w="243" w:type="pct"/>
          </w:tcPr>
          <w:p w:rsidR="00EA36E8" w:rsidRPr="00DE1E45" w:rsidRDefault="00EA36E8" w:rsidP="001A7F7C">
            <w:pPr>
              <w:jc w:val="both"/>
              <w:rPr>
                <w:rFonts w:eastAsia="Calibri"/>
                <w:sz w:val="20"/>
              </w:rPr>
            </w:pPr>
          </w:p>
        </w:tc>
        <w:tc>
          <w:tcPr>
            <w:tcW w:w="2330" w:type="pct"/>
          </w:tcPr>
          <w:p w:rsidR="00EA36E8" w:rsidRPr="00DE1E45" w:rsidRDefault="00EA36E8" w:rsidP="001A7F7C">
            <w:pPr>
              <w:jc w:val="both"/>
              <w:rPr>
                <w:rFonts w:eastAsia="Calibri"/>
                <w:sz w:val="20"/>
              </w:rPr>
            </w:pPr>
            <w:r w:rsidRPr="00DE1E45">
              <w:rPr>
                <w:rFonts w:eastAsia="Calibri"/>
                <w:sz w:val="20"/>
              </w:rPr>
              <w:t>Arbitration award made determining quantum that respondent college had to pay teachers concerned</w:t>
            </w:r>
          </w:p>
        </w:tc>
      </w:tr>
      <w:tr w:rsidR="00EA36E8" w:rsidRPr="00DE1E45" w:rsidTr="001A7F7C">
        <w:tc>
          <w:tcPr>
            <w:tcW w:w="2427" w:type="pct"/>
          </w:tcPr>
          <w:p w:rsidR="00EA36E8" w:rsidRPr="00DE1E45" w:rsidRDefault="00EA36E8" w:rsidP="001A7F7C">
            <w:pPr>
              <w:jc w:val="both"/>
              <w:rPr>
                <w:rFonts w:eastAsia="Calibri"/>
                <w:sz w:val="20"/>
              </w:rPr>
            </w:pPr>
            <w:r w:rsidRPr="00DE1E45">
              <w:rPr>
                <w:rFonts w:eastAsia="Calibri"/>
                <w:sz w:val="20"/>
              </w:rPr>
              <w:t>March 1, 2011</w:t>
            </w:r>
          </w:p>
          <w:p w:rsidR="00EA36E8" w:rsidRPr="00DE1E45" w:rsidRDefault="00EA36E8" w:rsidP="001A7F7C">
            <w:pPr>
              <w:jc w:val="both"/>
              <w:rPr>
                <w:rFonts w:eastAsia="Calibri"/>
                <w:sz w:val="20"/>
              </w:rPr>
            </w:pPr>
            <w:r w:rsidRPr="00DE1E45">
              <w:rPr>
                <w:rFonts w:eastAsia="Calibri"/>
                <w:sz w:val="20"/>
              </w:rPr>
              <w:t>Quebec Superior Court</w:t>
            </w:r>
          </w:p>
          <w:p w:rsidR="00EA36E8" w:rsidRPr="00DE1E45" w:rsidRDefault="00EA36E8" w:rsidP="001A7F7C">
            <w:pPr>
              <w:jc w:val="both"/>
              <w:rPr>
                <w:rFonts w:eastAsia="Calibri"/>
                <w:sz w:val="20"/>
              </w:rPr>
            </w:pPr>
            <w:r w:rsidRPr="00DE1E45">
              <w:rPr>
                <w:rFonts w:eastAsia="Calibri"/>
                <w:sz w:val="20"/>
              </w:rPr>
              <w:t>(Guibault J.)</w:t>
            </w:r>
          </w:p>
          <w:p w:rsidR="00EA36E8" w:rsidRPr="00DE1E45" w:rsidRDefault="00EA36E8" w:rsidP="001A7F7C">
            <w:pPr>
              <w:jc w:val="both"/>
              <w:rPr>
                <w:rFonts w:eastAsia="Calibri"/>
                <w:sz w:val="20"/>
              </w:rPr>
            </w:pPr>
            <w:r w:rsidRPr="00DE1E45">
              <w:rPr>
                <w:rFonts w:eastAsia="Calibri"/>
                <w:sz w:val="20"/>
              </w:rPr>
              <w:t>2011 QCCS 908</w:t>
            </w:r>
          </w:p>
          <w:p w:rsidR="00EA36E8" w:rsidRPr="00DE1E45" w:rsidRDefault="00EA36E8" w:rsidP="001A7F7C">
            <w:pPr>
              <w:jc w:val="both"/>
              <w:rPr>
                <w:rFonts w:eastAsia="Calibri"/>
                <w:sz w:val="20"/>
              </w:rPr>
            </w:pPr>
          </w:p>
        </w:tc>
        <w:tc>
          <w:tcPr>
            <w:tcW w:w="243" w:type="pct"/>
          </w:tcPr>
          <w:p w:rsidR="00EA36E8" w:rsidRPr="00DE1E45" w:rsidRDefault="00EA36E8" w:rsidP="001A7F7C">
            <w:pPr>
              <w:jc w:val="both"/>
              <w:rPr>
                <w:rFonts w:eastAsia="Calibri"/>
                <w:sz w:val="20"/>
              </w:rPr>
            </w:pPr>
          </w:p>
        </w:tc>
        <w:tc>
          <w:tcPr>
            <w:tcW w:w="2330" w:type="pct"/>
          </w:tcPr>
          <w:p w:rsidR="00EA36E8" w:rsidRPr="00DE1E45" w:rsidRDefault="00EA36E8" w:rsidP="001A7F7C">
            <w:pPr>
              <w:jc w:val="both"/>
              <w:rPr>
                <w:rFonts w:eastAsia="Calibri"/>
                <w:sz w:val="20"/>
              </w:rPr>
            </w:pPr>
            <w:r w:rsidRPr="00DE1E45">
              <w:rPr>
                <w:rFonts w:eastAsia="Calibri"/>
                <w:sz w:val="20"/>
              </w:rPr>
              <w:t>Motion for judicial review dismissed</w:t>
            </w:r>
          </w:p>
        </w:tc>
      </w:tr>
      <w:tr w:rsidR="00EA36E8" w:rsidRPr="00DE1E45" w:rsidTr="00141BB2">
        <w:trPr>
          <w:cantSplit/>
        </w:trPr>
        <w:tc>
          <w:tcPr>
            <w:tcW w:w="2427" w:type="pct"/>
          </w:tcPr>
          <w:p w:rsidR="00EA36E8" w:rsidRPr="00DE1E45" w:rsidRDefault="00EA36E8" w:rsidP="001A7F7C">
            <w:pPr>
              <w:jc w:val="both"/>
              <w:rPr>
                <w:rFonts w:eastAsia="Calibri"/>
                <w:sz w:val="20"/>
              </w:rPr>
            </w:pPr>
            <w:r w:rsidRPr="00DE1E45">
              <w:rPr>
                <w:rFonts w:eastAsia="Calibri"/>
                <w:sz w:val="20"/>
              </w:rPr>
              <w:lastRenderedPageBreak/>
              <w:t>May 14, 2013</w:t>
            </w:r>
          </w:p>
          <w:p w:rsidR="00EA36E8" w:rsidRPr="00DE1E45" w:rsidRDefault="00EA36E8" w:rsidP="001A7F7C">
            <w:pPr>
              <w:jc w:val="both"/>
              <w:rPr>
                <w:rFonts w:eastAsia="Calibri"/>
                <w:sz w:val="20"/>
              </w:rPr>
            </w:pPr>
            <w:r w:rsidRPr="00DE1E45">
              <w:rPr>
                <w:rFonts w:eastAsia="Calibri"/>
                <w:sz w:val="20"/>
              </w:rPr>
              <w:t>Quebec Court of Appeal (Montréal)</w:t>
            </w:r>
          </w:p>
          <w:p w:rsidR="00EA36E8" w:rsidRPr="00DE1E45" w:rsidRDefault="00EA36E8" w:rsidP="001A7F7C">
            <w:pPr>
              <w:jc w:val="both"/>
              <w:rPr>
                <w:rFonts w:eastAsia="Calibri"/>
                <w:sz w:val="20"/>
              </w:rPr>
            </w:pPr>
            <w:r w:rsidRPr="00DE1E45">
              <w:rPr>
                <w:rFonts w:eastAsia="Calibri"/>
                <w:sz w:val="20"/>
              </w:rPr>
              <w:t>(Duval Hesler, Hilton and Doyon JJ.A.)</w:t>
            </w:r>
          </w:p>
          <w:p w:rsidR="00EA36E8" w:rsidRPr="00DE1E45" w:rsidRDefault="00E672F1" w:rsidP="001A7F7C">
            <w:pPr>
              <w:jc w:val="both"/>
              <w:rPr>
                <w:rFonts w:eastAsia="Calibri"/>
                <w:sz w:val="20"/>
              </w:rPr>
            </w:pPr>
            <w:hyperlink r:id="rId24" w:history="1">
              <w:r w:rsidR="00EA36E8" w:rsidRPr="00DE1E45">
                <w:rPr>
                  <w:rFonts w:eastAsia="Calibri"/>
                  <w:color w:val="0000FF"/>
                  <w:sz w:val="20"/>
                  <w:u w:val="single"/>
                </w:rPr>
                <w:t>2013 QCCA 913</w:t>
              </w:r>
            </w:hyperlink>
          </w:p>
          <w:p w:rsidR="00EA36E8" w:rsidRPr="00DE1E45" w:rsidRDefault="00EA36E8" w:rsidP="001A7F7C">
            <w:pPr>
              <w:jc w:val="both"/>
              <w:rPr>
                <w:rFonts w:eastAsia="Calibri"/>
                <w:sz w:val="20"/>
              </w:rPr>
            </w:pPr>
          </w:p>
        </w:tc>
        <w:tc>
          <w:tcPr>
            <w:tcW w:w="243" w:type="pct"/>
          </w:tcPr>
          <w:p w:rsidR="00EA36E8" w:rsidRPr="00DE1E45" w:rsidRDefault="00EA36E8" w:rsidP="001A7F7C">
            <w:pPr>
              <w:jc w:val="both"/>
              <w:rPr>
                <w:rFonts w:eastAsia="Calibri"/>
                <w:sz w:val="20"/>
              </w:rPr>
            </w:pPr>
          </w:p>
        </w:tc>
        <w:tc>
          <w:tcPr>
            <w:tcW w:w="2330" w:type="pct"/>
          </w:tcPr>
          <w:p w:rsidR="00EA36E8" w:rsidRPr="00DE1E45" w:rsidRDefault="00EA36E8" w:rsidP="001A7F7C">
            <w:pPr>
              <w:jc w:val="both"/>
              <w:rPr>
                <w:rFonts w:eastAsia="Calibri"/>
                <w:sz w:val="20"/>
              </w:rPr>
            </w:pPr>
            <w:r w:rsidRPr="00DE1E45">
              <w:rPr>
                <w:rFonts w:eastAsia="Calibri"/>
                <w:sz w:val="20"/>
              </w:rPr>
              <w:t>Appeal dismissed</w:t>
            </w:r>
          </w:p>
        </w:tc>
      </w:tr>
      <w:tr w:rsidR="00EA36E8" w:rsidRPr="00DE1E45" w:rsidTr="00141BB2">
        <w:trPr>
          <w:cantSplit/>
        </w:trPr>
        <w:tc>
          <w:tcPr>
            <w:tcW w:w="2427" w:type="pct"/>
          </w:tcPr>
          <w:p w:rsidR="00EA36E8" w:rsidRPr="00DE1E45" w:rsidRDefault="00EA36E8" w:rsidP="001A7F7C">
            <w:pPr>
              <w:jc w:val="both"/>
              <w:rPr>
                <w:rFonts w:eastAsia="Calibri"/>
                <w:sz w:val="20"/>
              </w:rPr>
            </w:pPr>
            <w:r w:rsidRPr="00DE1E45">
              <w:rPr>
                <w:rFonts w:eastAsia="Calibri"/>
                <w:sz w:val="20"/>
              </w:rPr>
              <w:t>June 27, 2013</w:t>
            </w:r>
          </w:p>
          <w:p w:rsidR="00EA36E8" w:rsidRPr="00DE1E45" w:rsidRDefault="00EA36E8" w:rsidP="001A7F7C">
            <w:pPr>
              <w:jc w:val="both"/>
              <w:rPr>
                <w:rFonts w:eastAsia="Calibri"/>
                <w:sz w:val="20"/>
              </w:rPr>
            </w:pPr>
            <w:r w:rsidRPr="00DE1E45">
              <w:rPr>
                <w:rFonts w:eastAsia="Calibri"/>
                <w:sz w:val="20"/>
              </w:rPr>
              <w:t>Supreme Court of Canada</w:t>
            </w:r>
          </w:p>
        </w:tc>
        <w:tc>
          <w:tcPr>
            <w:tcW w:w="243" w:type="pct"/>
          </w:tcPr>
          <w:p w:rsidR="00EA36E8" w:rsidRPr="00DE1E45" w:rsidRDefault="00EA36E8" w:rsidP="001A7F7C">
            <w:pPr>
              <w:jc w:val="both"/>
              <w:rPr>
                <w:rFonts w:eastAsia="Calibri"/>
                <w:sz w:val="20"/>
              </w:rPr>
            </w:pPr>
          </w:p>
        </w:tc>
        <w:tc>
          <w:tcPr>
            <w:tcW w:w="2330" w:type="pct"/>
          </w:tcPr>
          <w:p w:rsidR="00EA36E8" w:rsidRPr="00DE1E45" w:rsidRDefault="00EA36E8" w:rsidP="001A7F7C">
            <w:pPr>
              <w:jc w:val="both"/>
              <w:rPr>
                <w:rFonts w:eastAsia="Calibri"/>
                <w:sz w:val="20"/>
              </w:rPr>
            </w:pPr>
            <w:r w:rsidRPr="00DE1E45">
              <w:rPr>
                <w:rFonts w:eastAsia="Calibri"/>
                <w:sz w:val="20"/>
              </w:rPr>
              <w:t>Application for leave to appeal filed</w:t>
            </w:r>
          </w:p>
        </w:tc>
      </w:tr>
    </w:tbl>
    <w:p w:rsidR="0010221A" w:rsidRDefault="0010221A" w:rsidP="0010221A">
      <w:pPr>
        <w:rPr>
          <w:sz w:val="20"/>
          <w:szCs w:val="20"/>
        </w:rPr>
      </w:pPr>
    </w:p>
    <w:p w:rsidR="0010221A" w:rsidRPr="00C50A5C" w:rsidRDefault="00E672F1" w:rsidP="0010221A">
      <w:pPr>
        <w:rPr>
          <w:sz w:val="20"/>
          <w:szCs w:val="20"/>
        </w:rPr>
      </w:pPr>
      <w:r>
        <w:rPr>
          <w:sz w:val="20"/>
          <w:szCs w:val="20"/>
          <w:lang w:val="fr-CA"/>
        </w:rPr>
        <w:pict>
          <v:rect id="_x0000_i1036" style="width:2in;height:1pt" o:hrpct="0" o:hralign="center" o:hrstd="t" o:hrnoshade="t" o:hr="t" fillcolor="black [3213]" stroked="f"/>
        </w:pict>
      </w:r>
    </w:p>
    <w:p w:rsidR="0010221A" w:rsidRDefault="0010221A" w:rsidP="0010221A">
      <w:pPr>
        <w:rPr>
          <w:sz w:val="20"/>
          <w:szCs w:val="20"/>
        </w:rPr>
      </w:pPr>
    </w:p>
    <w:p w:rsidR="0010221A" w:rsidRPr="001B157C" w:rsidRDefault="0010221A" w:rsidP="0010221A">
      <w:pPr>
        <w:rPr>
          <w:sz w:val="20"/>
          <w:szCs w:val="20"/>
          <w:u w:val="single"/>
          <w:lang w:val="fr-CA"/>
        </w:rPr>
      </w:pPr>
      <w:r w:rsidRPr="001B157C">
        <w:rPr>
          <w:sz w:val="20"/>
          <w:szCs w:val="20"/>
          <w:u w:val="single"/>
          <w:lang w:val="fr-CA"/>
        </w:rPr>
        <w:t>RÉSUMÉ DE L’AFFAIRE</w:t>
      </w:r>
    </w:p>
    <w:p w:rsidR="0010221A" w:rsidRDefault="0010221A" w:rsidP="0010221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A36E8" w:rsidRPr="00E672F1" w:rsidTr="001A7F7C">
        <w:tc>
          <w:tcPr>
            <w:tcW w:w="5000" w:type="pct"/>
            <w:gridSpan w:val="3"/>
          </w:tcPr>
          <w:p w:rsidR="00EA36E8" w:rsidRPr="00DE1E45" w:rsidRDefault="00EA36E8" w:rsidP="001A7F7C">
            <w:pPr>
              <w:jc w:val="both"/>
              <w:rPr>
                <w:rFonts w:eastAsia="Calibri"/>
                <w:sz w:val="20"/>
                <w:lang w:val="fr-CA"/>
              </w:rPr>
            </w:pPr>
            <w:r w:rsidRPr="00DE1E45">
              <w:rPr>
                <w:rFonts w:eastAsia="Calibri"/>
                <w:sz w:val="20"/>
                <w:lang w:val="fr-CA"/>
              </w:rPr>
              <w:t>Relations du travail — Arbitrage — Griefs — Compétence de l’arbitre — Droit administratif — Contrôle judiciaire — Norme de contrôle — La Cour d’appel et la Cour supérieure ont-elles erré en concluant que l’arbitre de griefs n’a pas excédé sa juridiction en changeant les ordonnances qu’il avait déjà rendues dans une première décision? — La Cour d’appel et la Cour supérieure ont-elles appliqué la bonne norme de contrôle à l’égard de la seconde décision de l’arbitre de griefs? — La Cour d’appel et la Cour supérieure ont-elles erré en concluant que la décision de l’arbitre est une décision raisonnable?</w:t>
            </w:r>
          </w:p>
        </w:tc>
      </w:tr>
      <w:tr w:rsidR="00EA36E8" w:rsidRPr="00E672F1" w:rsidTr="001A7F7C">
        <w:tc>
          <w:tcPr>
            <w:tcW w:w="5000" w:type="pct"/>
            <w:gridSpan w:val="3"/>
          </w:tcPr>
          <w:p w:rsidR="00EA36E8" w:rsidRPr="00DE1E45" w:rsidRDefault="00EA36E8" w:rsidP="001A7F7C">
            <w:pPr>
              <w:jc w:val="both"/>
              <w:rPr>
                <w:rFonts w:eastAsia="Calibri"/>
                <w:sz w:val="20"/>
                <w:lang w:val="fr-CA"/>
              </w:rPr>
            </w:pPr>
          </w:p>
        </w:tc>
      </w:tr>
      <w:tr w:rsidR="00EA36E8" w:rsidRPr="00E672F1" w:rsidTr="001A7F7C">
        <w:tc>
          <w:tcPr>
            <w:tcW w:w="5000" w:type="pct"/>
            <w:gridSpan w:val="3"/>
          </w:tcPr>
          <w:p w:rsidR="00EA36E8" w:rsidRPr="00DE1E45" w:rsidRDefault="00EA36E8" w:rsidP="001A7F7C">
            <w:pPr>
              <w:jc w:val="both"/>
              <w:rPr>
                <w:rFonts w:eastAsia="Calibri"/>
                <w:sz w:val="20"/>
                <w:lang w:val="fr-CA"/>
              </w:rPr>
            </w:pPr>
            <w:r w:rsidRPr="00DE1E45">
              <w:rPr>
                <w:rFonts w:eastAsia="Calibri"/>
                <w:sz w:val="20"/>
                <w:lang w:val="fr-CA"/>
              </w:rPr>
              <w:t>À la suite d’une grève, le syndicat demandeur a déposé deux griefs contre le collège intimé alléguant que ce dernier « a décidé de déterminer un calendrier scolaire imposant la reprise des cours, ateliers, laboratoires et stages » pour les jours manqués lors de la grève sans compensation salariale.  Une première sentence de l’arbitre accueille en partie les griefs, « [o]rdonne au collège de payer le salaire aux enseignantes et enseignants pour la reprise du travail et les avantages s’y rapportant » et « [c]onserve compétence pour établir le quantum auquel cas où les parties ne pourraient en convenir ».  Les parties n’arrivent pas à s’entendre.  Le syndicat prétend que tous les enseignants doivent être remboursés de la coupure de salaire occasionnée par la grève alors que le collège ne veut payer que le temps travaillé en reprise aux enseignants qui l’ont effectué.</w:t>
            </w:r>
          </w:p>
          <w:p w:rsidR="00EA36E8" w:rsidRPr="00DE1E45" w:rsidRDefault="00EA36E8" w:rsidP="001A7F7C">
            <w:pPr>
              <w:jc w:val="both"/>
              <w:rPr>
                <w:rFonts w:eastAsia="Calibri"/>
                <w:sz w:val="20"/>
                <w:lang w:val="fr-CA"/>
              </w:rPr>
            </w:pPr>
          </w:p>
          <w:p w:rsidR="00EA36E8" w:rsidRPr="00DE1E45" w:rsidRDefault="00EA36E8" w:rsidP="001A7F7C">
            <w:pPr>
              <w:jc w:val="both"/>
              <w:rPr>
                <w:rFonts w:eastAsia="Calibri"/>
                <w:sz w:val="20"/>
                <w:lang w:val="fr-CA"/>
              </w:rPr>
            </w:pPr>
            <w:r w:rsidRPr="00DE1E45">
              <w:rPr>
                <w:rFonts w:eastAsia="Calibri"/>
                <w:sz w:val="20"/>
                <w:lang w:val="fr-CA"/>
              </w:rPr>
              <w:t>Dans une seconde sentence arbitrale, l’arbitre rejette la position du syndicat.  Il souligne que la première décision ordonne précisément le paiement du salaire aux enseignants pour la reprise, laquelle a déjà été clairement définie comme celle des cours, laboratoires, ateliers et stages.  Selon l’arbitre, c’est d’ailleurs exactement le libellé du grief.  Il ordonne donc au collège de payer aux enseignants « ayant effectué le travail, la rémunération correspondante à la reprise exigée des cours, ateliers, laboratoires et stages », ainsi que le pourcentage dû pour les vacances et les intérêts.  Il conserve compétence pour décider des cas particuliers que les parties ne peuvent régler.  Le syndicat conteste la seconde décision de l’arbitre en révision judiciaire en reprochant à ce dernier d’avoir restreint le groupe de professeurs visés par la première décision en limitant le droit à compensation aux seuls enseignants qui ont dû reprendre les cours, les ateliers, les laboratoires et les stages.</w:t>
            </w:r>
          </w:p>
          <w:p w:rsidR="00EA36E8" w:rsidRPr="00DE1E45" w:rsidRDefault="00EA36E8" w:rsidP="001A7F7C">
            <w:pPr>
              <w:jc w:val="both"/>
              <w:rPr>
                <w:rFonts w:eastAsia="Calibri"/>
                <w:sz w:val="20"/>
                <w:lang w:val="fr-CA"/>
              </w:rPr>
            </w:pPr>
          </w:p>
        </w:tc>
      </w:tr>
      <w:tr w:rsidR="00EA36E8" w:rsidRPr="00E672F1" w:rsidTr="001A7F7C">
        <w:tc>
          <w:tcPr>
            <w:tcW w:w="2427" w:type="pct"/>
          </w:tcPr>
          <w:p w:rsidR="00EA36E8" w:rsidRPr="00DE1E45" w:rsidRDefault="00EA36E8" w:rsidP="001A7F7C">
            <w:pPr>
              <w:jc w:val="both"/>
              <w:rPr>
                <w:rFonts w:eastAsia="Calibri"/>
                <w:sz w:val="20"/>
                <w:lang w:val="fr-CA"/>
              </w:rPr>
            </w:pPr>
            <w:r w:rsidRPr="00DE1E45">
              <w:rPr>
                <w:rFonts w:eastAsia="Calibri"/>
                <w:sz w:val="20"/>
                <w:lang w:val="fr-CA"/>
              </w:rPr>
              <w:t>Le 21 janvier 2010</w:t>
            </w:r>
          </w:p>
          <w:p w:rsidR="00EA36E8" w:rsidRPr="00DE1E45" w:rsidRDefault="00EA36E8" w:rsidP="001A7F7C">
            <w:pPr>
              <w:jc w:val="both"/>
              <w:rPr>
                <w:rFonts w:eastAsia="Calibri"/>
                <w:sz w:val="20"/>
                <w:lang w:val="fr-CA"/>
              </w:rPr>
            </w:pPr>
            <w:r w:rsidRPr="00DE1E45">
              <w:rPr>
                <w:rFonts w:eastAsia="Calibri"/>
                <w:sz w:val="20"/>
                <w:lang w:val="fr-CA"/>
              </w:rPr>
              <w:t>Tribunal d’arbitrage</w:t>
            </w:r>
          </w:p>
          <w:p w:rsidR="00EA36E8" w:rsidRPr="00DE1E45" w:rsidRDefault="00EA36E8" w:rsidP="001A7F7C">
            <w:pPr>
              <w:jc w:val="both"/>
              <w:rPr>
                <w:rFonts w:eastAsia="Calibri"/>
                <w:sz w:val="20"/>
                <w:lang w:val="fr-CA"/>
              </w:rPr>
            </w:pPr>
            <w:r w:rsidRPr="00DE1E45">
              <w:rPr>
                <w:rFonts w:eastAsia="Calibri"/>
                <w:sz w:val="20"/>
                <w:lang w:val="fr-CA"/>
              </w:rPr>
              <w:t>(L’arbitre Pierre A. Fortin)</w:t>
            </w:r>
          </w:p>
          <w:p w:rsidR="00EA36E8" w:rsidRPr="00DE1E45" w:rsidRDefault="00EA36E8" w:rsidP="001A7F7C">
            <w:pPr>
              <w:jc w:val="both"/>
              <w:rPr>
                <w:rFonts w:eastAsia="Calibri"/>
                <w:sz w:val="20"/>
                <w:lang w:val="fr-CA"/>
              </w:rPr>
            </w:pPr>
          </w:p>
        </w:tc>
        <w:tc>
          <w:tcPr>
            <w:tcW w:w="243" w:type="pct"/>
          </w:tcPr>
          <w:p w:rsidR="00EA36E8" w:rsidRPr="00DE1E45" w:rsidRDefault="00EA36E8" w:rsidP="001A7F7C">
            <w:pPr>
              <w:jc w:val="both"/>
              <w:rPr>
                <w:rFonts w:eastAsia="Calibri"/>
                <w:sz w:val="20"/>
                <w:lang w:val="fr-FR"/>
              </w:rPr>
            </w:pPr>
          </w:p>
        </w:tc>
        <w:tc>
          <w:tcPr>
            <w:tcW w:w="2330" w:type="pct"/>
          </w:tcPr>
          <w:p w:rsidR="00EA36E8" w:rsidRPr="00DE1E45" w:rsidRDefault="00EA36E8" w:rsidP="001A7F7C">
            <w:pPr>
              <w:jc w:val="both"/>
              <w:rPr>
                <w:rFonts w:eastAsia="Calibri"/>
                <w:sz w:val="20"/>
                <w:lang w:val="fr-CA"/>
              </w:rPr>
            </w:pPr>
            <w:r w:rsidRPr="00DE1E45">
              <w:rPr>
                <w:rFonts w:eastAsia="Calibri"/>
                <w:sz w:val="20"/>
                <w:lang w:val="fr-CA"/>
              </w:rPr>
              <w:t>Sentence arbitrale établissant le quantum que le collège intimé doit verser aux enseignants visés</w:t>
            </w:r>
          </w:p>
        </w:tc>
      </w:tr>
      <w:tr w:rsidR="00EA36E8" w:rsidRPr="00E672F1" w:rsidTr="001A7F7C">
        <w:tc>
          <w:tcPr>
            <w:tcW w:w="2427" w:type="pct"/>
          </w:tcPr>
          <w:p w:rsidR="00EA36E8" w:rsidRPr="00DE1E45" w:rsidRDefault="00EA36E8" w:rsidP="001A7F7C">
            <w:pPr>
              <w:jc w:val="both"/>
              <w:rPr>
                <w:rFonts w:eastAsia="Calibri"/>
                <w:sz w:val="20"/>
                <w:lang w:val="fr-CA"/>
              </w:rPr>
            </w:pPr>
            <w:r w:rsidRPr="00DE1E45">
              <w:rPr>
                <w:rFonts w:eastAsia="Calibri"/>
                <w:sz w:val="20"/>
                <w:lang w:val="fr-CA"/>
              </w:rPr>
              <w:t>Le 1</w:t>
            </w:r>
            <w:r w:rsidR="0066580D" w:rsidRPr="0066580D">
              <w:rPr>
                <w:rFonts w:eastAsia="Calibri"/>
                <w:sz w:val="20"/>
                <w:vertAlign w:val="superscript"/>
                <w:lang w:val="fr-CA"/>
              </w:rPr>
              <w:t>er</w:t>
            </w:r>
            <w:r w:rsidRPr="00DE1E45">
              <w:rPr>
                <w:rFonts w:eastAsia="Calibri"/>
                <w:sz w:val="20"/>
                <w:lang w:val="fr-CA"/>
              </w:rPr>
              <w:t xml:space="preserve"> mars 2011</w:t>
            </w:r>
          </w:p>
          <w:p w:rsidR="00EA36E8" w:rsidRPr="00DE1E45" w:rsidRDefault="00EA36E8" w:rsidP="001A7F7C">
            <w:pPr>
              <w:jc w:val="both"/>
              <w:rPr>
                <w:rFonts w:eastAsia="Calibri"/>
                <w:sz w:val="20"/>
                <w:lang w:val="fr-CA"/>
              </w:rPr>
            </w:pPr>
            <w:r w:rsidRPr="00DE1E45">
              <w:rPr>
                <w:rFonts w:eastAsia="Calibri"/>
                <w:sz w:val="20"/>
                <w:lang w:val="fr-CA"/>
              </w:rPr>
              <w:t>Cour supérieure du Québec</w:t>
            </w:r>
          </w:p>
          <w:p w:rsidR="00EA36E8" w:rsidRPr="00DE1E45" w:rsidRDefault="00EA36E8" w:rsidP="001A7F7C">
            <w:pPr>
              <w:jc w:val="both"/>
              <w:rPr>
                <w:rFonts w:eastAsia="Calibri"/>
                <w:sz w:val="20"/>
                <w:lang w:val="fr-CA"/>
              </w:rPr>
            </w:pPr>
            <w:r w:rsidRPr="00DE1E45">
              <w:rPr>
                <w:rFonts w:eastAsia="Calibri"/>
                <w:sz w:val="20"/>
                <w:lang w:val="fr-CA"/>
              </w:rPr>
              <w:t>(Le juge Guibault)</w:t>
            </w:r>
          </w:p>
          <w:p w:rsidR="00EA36E8" w:rsidRPr="00DE1E45" w:rsidRDefault="00EA36E8" w:rsidP="001A7F7C">
            <w:pPr>
              <w:jc w:val="both"/>
              <w:rPr>
                <w:rFonts w:eastAsia="Calibri"/>
                <w:sz w:val="20"/>
                <w:lang w:val="fr-CA"/>
              </w:rPr>
            </w:pPr>
            <w:r w:rsidRPr="00DE1E45">
              <w:rPr>
                <w:rFonts w:eastAsia="Calibri"/>
                <w:sz w:val="20"/>
                <w:lang w:val="fr-CA"/>
              </w:rPr>
              <w:t>2011 QCCS 908</w:t>
            </w:r>
          </w:p>
          <w:p w:rsidR="00EA36E8" w:rsidRPr="00DE1E45" w:rsidRDefault="00EA36E8" w:rsidP="001A7F7C">
            <w:pPr>
              <w:jc w:val="both"/>
              <w:rPr>
                <w:rFonts w:eastAsia="Calibri"/>
                <w:sz w:val="20"/>
                <w:lang w:val="fr-CA"/>
              </w:rPr>
            </w:pPr>
          </w:p>
        </w:tc>
        <w:tc>
          <w:tcPr>
            <w:tcW w:w="243" w:type="pct"/>
          </w:tcPr>
          <w:p w:rsidR="00EA36E8" w:rsidRPr="00DE1E45" w:rsidRDefault="00EA36E8" w:rsidP="001A7F7C">
            <w:pPr>
              <w:jc w:val="both"/>
              <w:rPr>
                <w:rFonts w:eastAsia="Calibri"/>
                <w:sz w:val="20"/>
              </w:rPr>
            </w:pPr>
          </w:p>
        </w:tc>
        <w:tc>
          <w:tcPr>
            <w:tcW w:w="2330" w:type="pct"/>
          </w:tcPr>
          <w:p w:rsidR="00EA36E8" w:rsidRPr="00DE1E45" w:rsidRDefault="00EA36E8" w:rsidP="001A7F7C">
            <w:pPr>
              <w:jc w:val="both"/>
              <w:rPr>
                <w:rFonts w:eastAsia="Calibri"/>
                <w:sz w:val="20"/>
                <w:lang w:val="fr-CA"/>
              </w:rPr>
            </w:pPr>
            <w:r w:rsidRPr="00DE1E45">
              <w:rPr>
                <w:rFonts w:eastAsia="Calibri"/>
                <w:sz w:val="20"/>
                <w:lang w:val="fr-CA"/>
              </w:rPr>
              <w:t>Requête en révision judicaire rejetée</w:t>
            </w:r>
          </w:p>
        </w:tc>
      </w:tr>
      <w:tr w:rsidR="00EA36E8" w:rsidRPr="00DE1E45" w:rsidTr="001A7F7C">
        <w:tc>
          <w:tcPr>
            <w:tcW w:w="2427" w:type="pct"/>
          </w:tcPr>
          <w:p w:rsidR="00EA36E8" w:rsidRPr="00DE1E45" w:rsidRDefault="00EA36E8" w:rsidP="001A7F7C">
            <w:pPr>
              <w:jc w:val="both"/>
              <w:rPr>
                <w:rFonts w:eastAsia="Calibri"/>
                <w:sz w:val="20"/>
                <w:lang w:val="fr-CA"/>
              </w:rPr>
            </w:pPr>
            <w:r w:rsidRPr="00DE1E45">
              <w:rPr>
                <w:rFonts w:eastAsia="Calibri"/>
                <w:sz w:val="20"/>
                <w:lang w:val="fr-CA"/>
              </w:rPr>
              <w:t>Le 14 mai 2013</w:t>
            </w:r>
          </w:p>
          <w:p w:rsidR="00EA36E8" w:rsidRPr="00DE1E45" w:rsidRDefault="00EA36E8" w:rsidP="001A7F7C">
            <w:pPr>
              <w:jc w:val="both"/>
              <w:rPr>
                <w:rFonts w:eastAsia="Calibri"/>
                <w:sz w:val="20"/>
                <w:lang w:val="fr-CA"/>
              </w:rPr>
            </w:pPr>
            <w:r w:rsidRPr="00DE1E45">
              <w:rPr>
                <w:rFonts w:eastAsia="Calibri"/>
                <w:sz w:val="20"/>
                <w:lang w:val="fr-CA"/>
              </w:rPr>
              <w:lastRenderedPageBreak/>
              <w:t>Cour d’appel du Québec (Montréal)</w:t>
            </w:r>
          </w:p>
          <w:p w:rsidR="00EA36E8" w:rsidRPr="00DE1E45" w:rsidRDefault="00EA36E8" w:rsidP="001A7F7C">
            <w:pPr>
              <w:jc w:val="both"/>
              <w:rPr>
                <w:rFonts w:eastAsia="Calibri"/>
                <w:sz w:val="20"/>
                <w:lang w:val="fr-CA"/>
              </w:rPr>
            </w:pPr>
            <w:r w:rsidRPr="00DE1E45">
              <w:rPr>
                <w:rFonts w:eastAsia="Calibri"/>
                <w:sz w:val="20"/>
                <w:lang w:val="fr-CA"/>
              </w:rPr>
              <w:t>(Les juges Duval Hesler, Hilton et Doyon)</w:t>
            </w:r>
          </w:p>
          <w:p w:rsidR="00EA36E8" w:rsidRPr="00DE1E45" w:rsidRDefault="00E672F1" w:rsidP="001A7F7C">
            <w:pPr>
              <w:jc w:val="both"/>
              <w:rPr>
                <w:rFonts w:eastAsia="Calibri"/>
                <w:sz w:val="20"/>
                <w:lang w:val="fr-CA"/>
              </w:rPr>
            </w:pPr>
            <w:hyperlink r:id="rId25" w:history="1">
              <w:r w:rsidR="00EA36E8" w:rsidRPr="00DE1E45">
                <w:rPr>
                  <w:rFonts w:eastAsia="Calibri"/>
                  <w:color w:val="0000FF"/>
                  <w:sz w:val="20"/>
                  <w:u w:val="single"/>
                  <w:lang w:val="fr-CA"/>
                </w:rPr>
                <w:t>2013 QCCA 913</w:t>
              </w:r>
            </w:hyperlink>
          </w:p>
          <w:p w:rsidR="00EA36E8" w:rsidRPr="00DE1E45" w:rsidRDefault="00EA36E8" w:rsidP="001A7F7C">
            <w:pPr>
              <w:jc w:val="both"/>
              <w:rPr>
                <w:rFonts w:eastAsia="Calibri"/>
                <w:sz w:val="20"/>
                <w:lang w:val="fr-FR"/>
              </w:rPr>
            </w:pPr>
          </w:p>
        </w:tc>
        <w:tc>
          <w:tcPr>
            <w:tcW w:w="243" w:type="pct"/>
          </w:tcPr>
          <w:p w:rsidR="00EA36E8" w:rsidRPr="00DE1E45" w:rsidRDefault="00EA36E8" w:rsidP="001A7F7C">
            <w:pPr>
              <w:jc w:val="both"/>
              <w:rPr>
                <w:rFonts w:eastAsia="Calibri"/>
                <w:sz w:val="20"/>
                <w:lang w:val="fr-FR"/>
              </w:rPr>
            </w:pPr>
          </w:p>
        </w:tc>
        <w:tc>
          <w:tcPr>
            <w:tcW w:w="2330" w:type="pct"/>
          </w:tcPr>
          <w:p w:rsidR="00EA36E8" w:rsidRPr="00DE1E45" w:rsidRDefault="00EA36E8" w:rsidP="001A7F7C">
            <w:pPr>
              <w:jc w:val="both"/>
              <w:rPr>
                <w:rFonts w:eastAsia="Calibri"/>
                <w:sz w:val="20"/>
                <w:lang w:val="fr-CA"/>
              </w:rPr>
            </w:pPr>
            <w:r w:rsidRPr="00DE1E45">
              <w:rPr>
                <w:rFonts w:eastAsia="Calibri"/>
                <w:sz w:val="20"/>
                <w:lang w:val="fr-CA"/>
              </w:rPr>
              <w:t>Appel rejeté</w:t>
            </w:r>
          </w:p>
          <w:p w:rsidR="00EA36E8" w:rsidRPr="00DE1E45" w:rsidRDefault="00EA36E8" w:rsidP="001A7F7C">
            <w:pPr>
              <w:jc w:val="both"/>
              <w:rPr>
                <w:rFonts w:eastAsia="Calibri"/>
                <w:sz w:val="20"/>
                <w:lang w:val="fr-CA"/>
              </w:rPr>
            </w:pPr>
          </w:p>
        </w:tc>
      </w:tr>
      <w:tr w:rsidR="00EA36E8" w:rsidRPr="00DE1E45" w:rsidTr="001A7F7C">
        <w:tc>
          <w:tcPr>
            <w:tcW w:w="2427" w:type="pct"/>
          </w:tcPr>
          <w:p w:rsidR="00EA36E8" w:rsidRPr="00DE1E45" w:rsidRDefault="00EA36E8" w:rsidP="001A7F7C">
            <w:pPr>
              <w:jc w:val="both"/>
              <w:rPr>
                <w:rFonts w:eastAsia="Calibri"/>
                <w:sz w:val="20"/>
                <w:lang w:val="fr-CA"/>
              </w:rPr>
            </w:pPr>
            <w:r w:rsidRPr="00DE1E45">
              <w:rPr>
                <w:rFonts w:eastAsia="Calibri"/>
                <w:sz w:val="20"/>
                <w:lang w:val="fr-CA"/>
              </w:rPr>
              <w:lastRenderedPageBreak/>
              <w:t>Le 27 juin 2013</w:t>
            </w:r>
          </w:p>
          <w:p w:rsidR="00EA36E8" w:rsidRPr="00DE1E45" w:rsidRDefault="00EA36E8" w:rsidP="001A7F7C">
            <w:pPr>
              <w:jc w:val="both"/>
              <w:rPr>
                <w:rFonts w:eastAsia="Calibri"/>
                <w:sz w:val="20"/>
                <w:lang w:val="fr-FR"/>
              </w:rPr>
            </w:pPr>
            <w:r w:rsidRPr="00DE1E45">
              <w:rPr>
                <w:rFonts w:eastAsia="Calibri"/>
                <w:sz w:val="20"/>
                <w:lang w:val="fr-CA"/>
              </w:rPr>
              <w:t>Cour suprême du Canada</w:t>
            </w:r>
          </w:p>
        </w:tc>
        <w:tc>
          <w:tcPr>
            <w:tcW w:w="243" w:type="pct"/>
          </w:tcPr>
          <w:p w:rsidR="00EA36E8" w:rsidRPr="00DE1E45" w:rsidRDefault="00EA36E8" w:rsidP="001A7F7C">
            <w:pPr>
              <w:jc w:val="both"/>
              <w:rPr>
                <w:rFonts w:eastAsia="Calibri"/>
                <w:sz w:val="20"/>
                <w:lang w:val="fr-FR"/>
              </w:rPr>
            </w:pPr>
          </w:p>
        </w:tc>
        <w:tc>
          <w:tcPr>
            <w:tcW w:w="2330" w:type="pct"/>
          </w:tcPr>
          <w:p w:rsidR="00EA36E8" w:rsidRPr="00DE1E45" w:rsidRDefault="00EA36E8" w:rsidP="001A7F7C">
            <w:pPr>
              <w:jc w:val="both"/>
              <w:rPr>
                <w:rFonts w:eastAsia="Calibri"/>
                <w:sz w:val="20"/>
                <w:lang w:val="fr-CA"/>
              </w:rPr>
            </w:pPr>
            <w:r w:rsidRPr="00DE1E45">
              <w:rPr>
                <w:rFonts w:eastAsia="Calibri"/>
                <w:sz w:val="20"/>
                <w:lang w:val="fr-CA"/>
              </w:rPr>
              <w:t>Demande d’autorisation d’appel déposée</w:t>
            </w:r>
          </w:p>
        </w:tc>
      </w:tr>
    </w:tbl>
    <w:p w:rsidR="0010221A" w:rsidRDefault="0010221A" w:rsidP="000E2959">
      <w:pPr>
        <w:rPr>
          <w:sz w:val="20"/>
          <w:szCs w:val="20"/>
        </w:rPr>
      </w:pPr>
    </w:p>
    <w:p w:rsidR="0010221A" w:rsidRDefault="00E672F1" w:rsidP="000E2959">
      <w:pPr>
        <w:rPr>
          <w:sz w:val="20"/>
          <w:szCs w:val="20"/>
        </w:rPr>
      </w:pPr>
      <w:r>
        <w:rPr>
          <w:sz w:val="20"/>
          <w:szCs w:val="20"/>
          <w:lang w:val="fr-CA"/>
        </w:rPr>
        <w:pict>
          <v:rect id="_x0000_i1037" style="width:2in;height:1pt" o:hrpct="0" o:hralign="center" o:hrstd="t" o:hrnoshade="t" o:hr="t" fillcolor="black [3213]" stroked="f"/>
        </w:pict>
      </w:r>
    </w:p>
    <w:p w:rsidR="0010221A" w:rsidRDefault="0010221A" w:rsidP="000E2959">
      <w:pPr>
        <w:rPr>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41BB2" w:rsidRPr="00E672F1" w:rsidTr="00D8225B">
        <w:trPr>
          <w:cantSplit/>
        </w:trPr>
        <w:tc>
          <w:tcPr>
            <w:tcW w:w="1458" w:type="dxa"/>
          </w:tcPr>
          <w:p w:rsidR="00141BB2" w:rsidRPr="00141BB2" w:rsidRDefault="00141BB2" w:rsidP="00141BB2">
            <w:pPr>
              <w:rPr>
                <w:sz w:val="20"/>
              </w:rPr>
            </w:pPr>
            <w:r w:rsidRPr="00141BB2">
              <w:rPr>
                <w:b/>
                <w:sz w:val="20"/>
                <w:lang w:val="fr-CA"/>
              </w:rPr>
              <w:t>35491</w:t>
            </w:r>
          </w:p>
          <w:p w:rsidR="00141BB2" w:rsidRPr="00141BB2" w:rsidRDefault="00141BB2" w:rsidP="00141BB2">
            <w:pPr>
              <w:rPr>
                <w:b/>
                <w:sz w:val="20"/>
                <w:lang w:val="fr-CA"/>
              </w:rPr>
            </w:pPr>
          </w:p>
        </w:tc>
        <w:tc>
          <w:tcPr>
            <w:tcW w:w="8118" w:type="dxa"/>
          </w:tcPr>
          <w:p w:rsidR="00141BB2" w:rsidRPr="00141BB2" w:rsidRDefault="00141BB2" w:rsidP="00141BB2">
            <w:pPr>
              <w:rPr>
                <w:sz w:val="20"/>
                <w:lang w:val="fr-CA"/>
              </w:rPr>
            </w:pPr>
            <w:r w:rsidRPr="00141BB2">
              <w:rPr>
                <w:b/>
                <w:sz w:val="20"/>
                <w:u w:val="single"/>
                <w:lang w:val="fr-CA"/>
              </w:rPr>
              <w:t>Jacques Delisle c. Sa Majesté la Reine</w:t>
            </w:r>
            <w:r w:rsidRPr="00141BB2">
              <w:rPr>
                <w:sz w:val="20"/>
                <w:lang w:val="fr-CA"/>
              </w:rPr>
              <w:t xml:space="preserve"> (Qc) (Criminelle) (Autorisation)</w:t>
            </w:r>
          </w:p>
          <w:p w:rsidR="00141BB2" w:rsidRPr="00141BB2" w:rsidRDefault="00141BB2" w:rsidP="00141BB2">
            <w:pPr>
              <w:rPr>
                <w:sz w:val="20"/>
                <w:lang w:val="fr-CA"/>
              </w:rPr>
            </w:pPr>
          </w:p>
        </w:tc>
      </w:tr>
      <w:tr w:rsidR="00141BB2" w:rsidRPr="00E672F1" w:rsidTr="00D8225B">
        <w:trPr>
          <w:cantSplit/>
        </w:trPr>
        <w:tc>
          <w:tcPr>
            <w:tcW w:w="1458" w:type="dxa"/>
          </w:tcPr>
          <w:p w:rsidR="00141BB2" w:rsidRPr="00141BB2" w:rsidRDefault="00141BB2" w:rsidP="00141BB2">
            <w:pPr>
              <w:rPr>
                <w:sz w:val="20"/>
              </w:rPr>
            </w:pPr>
            <w:r w:rsidRPr="00141BB2">
              <w:rPr>
                <w:sz w:val="20"/>
              </w:rPr>
              <w:t>Coram :</w:t>
            </w:r>
          </w:p>
        </w:tc>
        <w:tc>
          <w:tcPr>
            <w:tcW w:w="8118" w:type="dxa"/>
          </w:tcPr>
          <w:p w:rsidR="00141BB2" w:rsidRPr="00141BB2" w:rsidRDefault="00141BB2" w:rsidP="00141BB2">
            <w:pPr>
              <w:rPr>
                <w:sz w:val="20"/>
                <w:lang w:val="fr-CA"/>
              </w:rPr>
            </w:pPr>
            <w:r w:rsidRPr="00141BB2">
              <w:rPr>
                <w:sz w:val="20"/>
                <w:u w:val="single"/>
                <w:lang w:val="fr-CA"/>
              </w:rPr>
              <w:t>La juge en chef McLachlin et les juges Cromwell et Karakatsanis</w:t>
            </w:r>
          </w:p>
          <w:p w:rsidR="00141BB2" w:rsidRPr="00141BB2" w:rsidRDefault="00141BB2" w:rsidP="00141BB2">
            <w:pPr>
              <w:rPr>
                <w:sz w:val="20"/>
                <w:u w:val="single"/>
                <w:lang w:val="fr-CA"/>
              </w:rPr>
            </w:pPr>
          </w:p>
        </w:tc>
      </w:tr>
      <w:tr w:rsidR="00141BB2" w:rsidRPr="00141BB2" w:rsidTr="00D8225B">
        <w:trPr>
          <w:cantSplit/>
        </w:trPr>
        <w:tc>
          <w:tcPr>
            <w:tcW w:w="9576" w:type="dxa"/>
            <w:gridSpan w:val="2"/>
          </w:tcPr>
          <w:p w:rsidR="00141BB2" w:rsidRPr="00141BB2" w:rsidRDefault="00141BB2" w:rsidP="00141BB2">
            <w:pPr>
              <w:ind w:firstLine="720"/>
              <w:jc w:val="both"/>
              <w:rPr>
                <w:sz w:val="20"/>
                <w:lang w:val="fr-CA"/>
              </w:rPr>
            </w:pPr>
            <w:r w:rsidRPr="00141BB2">
              <w:rPr>
                <w:sz w:val="20"/>
                <w:lang w:val="fr-CA"/>
              </w:rPr>
              <w:t>Les requêtes du demandeur et de l’intimée pour produire des mémoires volumineux sont accueillies. La requête du demandeur pour déposer une annexe de 6 pages avec la réplique est accueillie. La demande d’autorisation d’appel de l’arrêt de la Cour d’appel du Québec (Québec), numéro 200-10-002839-129, 2013 QCCA 952, daté du 29 mai 2013, est rejetée sans dépens.</w:t>
            </w:r>
          </w:p>
          <w:p w:rsidR="00141BB2" w:rsidRPr="00141BB2" w:rsidRDefault="00141BB2" w:rsidP="00141BB2">
            <w:pPr>
              <w:jc w:val="both"/>
              <w:rPr>
                <w:sz w:val="20"/>
                <w:lang w:val="fr-CA"/>
              </w:rPr>
            </w:pPr>
          </w:p>
          <w:p w:rsidR="00141BB2" w:rsidRPr="00141BB2" w:rsidRDefault="00141BB2" w:rsidP="00141BB2">
            <w:pPr>
              <w:ind w:firstLine="720"/>
              <w:jc w:val="both"/>
              <w:rPr>
                <w:sz w:val="20"/>
              </w:rPr>
            </w:pPr>
            <w:r w:rsidRPr="00141BB2">
              <w:rPr>
                <w:sz w:val="20"/>
              </w:rPr>
              <w:t>The motions of the applicant and the respondent to file lengthy memorandums of argument are granted.  The applicant’s motion to file an annex of 6 pages with the reply is granted.  The application for leave to appeal from the judgment of the Court of Appeal of Quebec (Québec), Number 200-10-002839-129, 2013 QCCA 952, dated May 29, 2013, is dismissed without costs.</w:t>
            </w:r>
          </w:p>
        </w:tc>
      </w:tr>
    </w:tbl>
    <w:p w:rsidR="0010221A" w:rsidRDefault="0010221A" w:rsidP="0010221A">
      <w:pPr>
        <w:rPr>
          <w:sz w:val="20"/>
          <w:szCs w:val="20"/>
        </w:rPr>
      </w:pPr>
    </w:p>
    <w:p w:rsidR="0010221A" w:rsidRPr="001B157C" w:rsidRDefault="0010221A" w:rsidP="0010221A">
      <w:pPr>
        <w:rPr>
          <w:sz w:val="20"/>
          <w:szCs w:val="20"/>
          <w:u w:val="single"/>
        </w:rPr>
      </w:pPr>
      <w:r w:rsidRPr="001B157C">
        <w:rPr>
          <w:sz w:val="20"/>
          <w:szCs w:val="20"/>
          <w:u w:val="single"/>
        </w:rPr>
        <w:t>CASE SUMMARY</w:t>
      </w:r>
    </w:p>
    <w:p w:rsidR="0010221A" w:rsidRDefault="0010221A" w:rsidP="0010221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A36E8" w:rsidRPr="00DE1E45" w:rsidTr="001A7F7C">
        <w:tc>
          <w:tcPr>
            <w:tcW w:w="5000" w:type="pct"/>
            <w:gridSpan w:val="3"/>
          </w:tcPr>
          <w:p w:rsidR="00EA36E8" w:rsidRPr="00DE1E45" w:rsidRDefault="00EA36E8" w:rsidP="001A7F7C">
            <w:pPr>
              <w:jc w:val="both"/>
              <w:rPr>
                <w:rFonts w:eastAsia="Calibri"/>
                <w:sz w:val="20"/>
              </w:rPr>
            </w:pPr>
            <w:r w:rsidRPr="00DE1E45">
              <w:rPr>
                <w:rFonts w:eastAsia="Calibri"/>
                <w:sz w:val="20"/>
              </w:rPr>
              <w:t xml:space="preserve">Criminal law – Evidence – Instructions to jury – Argument – Murder – Verdict – Where trial judge gives jurors </w:t>
            </w:r>
            <w:r w:rsidRPr="00DE1E45">
              <w:rPr>
                <w:rFonts w:eastAsia="Calibri"/>
                <w:i/>
                <w:sz w:val="20"/>
              </w:rPr>
              <w:t>MacKenzie</w:t>
            </w:r>
            <w:r w:rsidRPr="00DE1E45">
              <w:rPr>
                <w:rFonts w:eastAsia="Calibri"/>
                <w:sz w:val="20"/>
              </w:rPr>
              <w:t xml:space="preserve"> instruction that standard of proof beyond reasonable doubt applies to particular item of evidence, whether judge errs in failing to identify irrelevant evidence that jurors may not take into account in their deliberations on this matter or to otherwise ensure effectiveness of </w:t>
            </w:r>
            <w:r w:rsidRPr="00DE1E45">
              <w:rPr>
                <w:rFonts w:eastAsia="Calibri"/>
                <w:i/>
                <w:sz w:val="20"/>
              </w:rPr>
              <w:t>MacKenzie</w:t>
            </w:r>
            <w:r w:rsidRPr="00DE1E45">
              <w:rPr>
                <w:rFonts w:eastAsia="Calibri"/>
                <w:sz w:val="20"/>
              </w:rPr>
              <w:t xml:space="preserve"> instruction – Whether Quebec Court of Appeal made multiple errors in relation to evidence of accused’s post</w:t>
            </w:r>
            <w:r w:rsidRPr="00DE1E45">
              <w:rPr>
                <w:rFonts w:eastAsia="Calibri"/>
                <w:sz w:val="20"/>
              </w:rPr>
              <w:noBreakHyphen/>
              <w:t xml:space="preserve">offence conduct:  in not distinguishing attitude from conduct, in not urging jury to be careful, in not warning jury against circular reasoning noted in </w:t>
            </w:r>
            <w:r w:rsidRPr="00DE1E45">
              <w:rPr>
                <w:rFonts w:eastAsia="Calibri"/>
                <w:i/>
                <w:sz w:val="20"/>
              </w:rPr>
              <w:t>R. v. Hall</w:t>
            </w:r>
            <w:r w:rsidRPr="00DE1E45">
              <w:rPr>
                <w:rFonts w:eastAsia="Calibri"/>
                <w:sz w:val="20"/>
              </w:rPr>
              <w:t xml:space="preserve"> and in not excluding evidence of accused’s alleged fabrication or at least limiting its use – Whether Court of Appeal erred in law in relation to prosecutor’s argument, </w:t>
            </w:r>
            <w:r w:rsidRPr="00DE1E45">
              <w:rPr>
                <w:rFonts w:eastAsia="Calibri"/>
                <w:i/>
                <w:sz w:val="20"/>
              </w:rPr>
              <w:t>inter alia</w:t>
            </w:r>
            <w:r w:rsidRPr="00DE1E45">
              <w:rPr>
                <w:rFonts w:eastAsia="Calibri"/>
                <w:sz w:val="20"/>
              </w:rPr>
              <w:t xml:space="preserve"> in applying </w:t>
            </w:r>
            <w:r w:rsidRPr="00DE1E45">
              <w:rPr>
                <w:rFonts w:eastAsia="Calibri"/>
                <w:i/>
                <w:sz w:val="20"/>
              </w:rPr>
              <w:t>R. v. Riopel</w:t>
            </w:r>
            <w:r w:rsidRPr="00DE1E45">
              <w:rPr>
                <w:rFonts w:eastAsia="Calibri"/>
                <w:sz w:val="20"/>
              </w:rPr>
              <w:t xml:space="preserve">, in not finding that prosecutor had breached obligation to argue rigorously and objectively and in not adopting rule that serious misconduct by prosecutor creates obligation to immediately and specifically remedy that misconduct – Whether Court of Appeal misunderstood and incorrectly applied test for unreasonable verdict according to </w:t>
            </w:r>
            <w:r w:rsidRPr="00DE1E45">
              <w:rPr>
                <w:rFonts w:eastAsia="Calibri"/>
                <w:i/>
                <w:sz w:val="20"/>
              </w:rPr>
              <w:t>R. v. Biniaris</w:t>
            </w:r>
            <w:r w:rsidRPr="00DE1E45">
              <w:rPr>
                <w:rFonts w:eastAsia="Calibri"/>
                <w:sz w:val="20"/>
              </w:rPr>
              <w:t xml:space="preserve"> and </w:t>
            </w:r>
            <w:r w:rsidRPr="00DE1E45">
              <w:rPr>
                <w:rFonts w:eastAsia="Calibri"/>
                <w:i/>
                <w:sz w:val="20"/>
              </w:rPr>
              <w:t>R. v. W.H.</w:t>
            </w:r>
            <w:r w:rsidRPr="00DE1E45">
              <w:rPr>
                <w:rFonts w:eastAsia="Calibri"/>
                <w:sz w:val="20"/>
              </w:rPr>
              <w:t xml:space="preserve"> and also failed to consider all evidence favourable to defendant in examining reasonableness of verdict.</w:t>
            </w:r>
          </w:p>
        </w:tc>
      </w:tr>
      <w:tr w:rsidR="00EA36E8" w:rsidRPr="00DE1E45" w:rsidTr="001A7F7C">
        <w:tc>
          <w:tcPr>
            <w:tcW w:w="5000" w:type="pct"/>
            <w:gridSpan w:val="3"/>
          </w:tcPr>
          <w:p w:rsidR="00EA36E8" w:rsidRPr="00DE1E45" w:rsidRDefault="00EA36E8" w:rsidP="001A7F7C">
            <w:pPr>
              <w:jc w:val="both"/>
              <w:rPr>
                <w:rFonts w:eastAsia="Calibri"/>
                <w:sz w:val="20"/>
              </w:rPr>
            </w:pPr>
          </w:p>
        </w:tc>
      </w:tr>
      <w:tr w:rsidR="00EA36E8" w:rsidRPr="00DE1E45" w:rsidTr="001A7F7C">
        <w:tc>
          <w:tcPr>
            <w:tcW w:w="5000" w:type="pct"/>
            <w:gridSpan w:val="3"/>
          </w:tcPr>
          <w:p w:rsidR="00EA36E8" w:rsidRPr="00DE1E45" w:rsidRDefault="00EA36E8" w:rsidP="001A7F7C">
            <w:pPr>
              <w:jc w:val="both"/>
              <w:rPr>
                <w:rFonts w:eastAsia="Calibri"/>
                <w:sz w:val="20"/>
              </w:rPr>
            </w:pPr>
            <w:r w:rsidRPr="00DE1E45">
              <w:rPr>
                <w:rFonts w:eastAsia="Calibri"/>
                <w:sz w:val="20"/>
              </w:rPr>
              <w:t>In November 2009, Mr. Delisle, a retired judge, called emergency services from his residence. He explained to the operator that he had just arrived home and that his 71</w:t>
            </w:r>
            <w:r w:rsidRPr="00DE1E45">
              <w:rPr>
                <w:rFonts w:eastAsia="Calibri"/>
                <w:sz w:val="20"/>
              </w:rPr>
              <w:noBreakHyphen/>
              <w:t>year</w:t>
            </w:r>
            <w:r w:rsidRPr="00DE1E45">
              <w:rPr>
                <w:rFonts w:eastAsia="Calibri"/>
                <w:sz w:val="20"/>
              </w:rPr>
              <w:noBreakHyphen/>
              <w:t>old spouse, Ms. Rainville, had killed herself.  He told the operator that there was a revolver beside his spouse, who in 2007 had suffered a stroke that had left her right side paralysed.  Following an investigation into the circumstances of the death, the Crown charged Mr. Delisle with first degree murder.</w:t>
            </w:r>
          </w:p>
          <w:p w:rsidR="00EA36E8" w:rsidRPr="00DE1E45" w:rsidRDefault="00EA36E8" w:rsidP="001A7F7C">
            <w:pPr>
              <w:jc w:val="both"/>
              <w:rPr>
                <w:rFonts w:eastAsia="Calibri"/>
                <w:sz w:val="20"/>
              </w:rPr>
            </w:pPr>
          </w:p>
        </w:tc>
      </w:tr>
      <w:tr w:rsidR="00EA36E8" w:rsidRPr="00DE1E45" w:rsidTr="001A7F7C">
        <w:tc>
          <w:tcPr>
            <w:tcW w:w="2427" w:type="pct"/>
          </w:tcPr>
          <w:p w:rsidR="00EA36E8" w:rsidRPr="00DE1E45" w:rsidRDefault="00EA36E8" w:rsidP="001A7F7C">
            <w:pPr>
              <w:jc w:val="both"/>
              <w:rPr>
                <w:rFonts w:eastAsia="Calibri"/>
                <w:sz w:val="20"/>
              </w:rPr>
            </w:pPr>
            <w:r w:rsidRPr="00DE1E45">
              <w:rPr>
                <w:rFonts w:eastAsia="Calibri"/>
                <w:sz w:val="20"/>
              </w:rPr>
              <w:t>May 4, 2012</w:t>
            </w:r>
          </w:p>
          <w:p w:rsidR="00EA36E8" w:rsidRPr="00DE1E45" w:rsidRDefault="00EA36E8" w:rsidP="001A7F7C">
            <w:pPr>
              <w:jc w:val="both"/>
              <w:rPr>
                <w:rFonts w:eastAsia="Calibri"/>
                <w:sz w:val="20"/>
              </w:rPr>
            </w:pPr>
            <w:r w:rsidRPr="00DE1E45">
              <w:rPr>
                <w:rFonts w:eastAsia="Calibri"/>
                <w:sz w:val="20"/>
              </w:rPr>
              <w:t>Quebec Superior Court</w:t>
            </w:r>
          </w:p>
          <w:p w:rsidR="00EA36E8" w:rsidRPr="00DE1E45" w:rsidRDefault="00EA36E8" w:rsidP="001A7F7C">
            <w:pPr>
              <w:jc w:val="both"/>
              <w:rPr>
                <w:rFonts w:eastAsia="Calibri"/>
                <w:sz w:val="20"/>
              </w:rPr>
            </w:pPr>
            <w:r w:rsidRPr="00DE1E45">
              <w:rPr>
                <w:rFonts w:eastAsia="Calibri"/>
                <w:sz w:val="20"/>
              </w:rPr>
              <w:t>(Gagnon J.)</w:t>
            </w:r>
          </w:p>
          <w:p w:rsidR="00EA36E8" w:rsidRPr="00DE1E45" w:rsidRDefault="00EA36E8" w:rsidP="001A7F7C">
            <w:pPr>
              <w:jc w:val="both"/>
              <w:rPr>
                <w:rFonts w:eastAsia="Calibri"/>
                <w:sz w:val="20"/>
              </w:rPr>
            </w:pPr>
          </w:p>
        </w:tc>
        <w:tc>
          <w:tcPr>
            <w:tcW w:w="243" w:type="pct"/>
          </w:tcPr>
          <w:p w:rsidR="00EA36E8" w:rsidRPr="00DE1E45" w:rsidRDefault="00EA36E8" w:rsidP="001A7F7C">
            <w:pPr>
              <w:jc w:val="both"/>
              <w:rPr>
                <w:rFonts w:eastAsia="Calibri"/>
                <w:sz w:val="20"/>
              </w:rPr>
            </w:pPr>
          </w:p>
        </w:tc>
        <w:tc>
          <w:tcPr>
            <w:tcW w:w="2330" w:type="pct"/>
          </w:tcPr>
          <w:p w:rsidR="00EA36E8" w:rsidRPr="00DE1E45" w:rsidRDefault="00EA36E8" w:rsidP="001A7F7C">
            <w:pPr>
              <w:jc w:val="both"/>
              <w:rPr>
                <w:rFonts w:eastAsia="Calibri"/>
                <w:sz w:val="20"/>
              </w:rPr>
            </w:pPr>
            <w:r w:rsidRPr="00DE1E45">
              <w:rPr>
                <w:rFonts w:eastAsia="Calibri"/>
                <w:sz w:val="20"/>
              </w:rPr>
              <w:t xml:space="preserve">Statements made by Mr. Delisle between 11:05 a.m. and 2:00 p.m. on November 12, 2009, statements made to investigators on November 12, 2009 and evidence of conduct/change of attitude toward investigators found </w:t>
            </w:r>
            <w:r w:rsidRPr="00DE1E45">
              <w:rPr>
                <w:rFonts w:eastAsia="Calibri"/>
                <w:sz w:val="20"/>
              </w:rPr>
              <w:lastRenderedPageBreak/>
              <w:t>admissible in interlocutory decision</w:t>
            </w:r>
          </w:p>
          <w:p w:rsidR="00EA36E8" w:rsidRPr="00DE1E45" w:rsidRDefault="00EA36E8" w:rsidP="001A7F7C">
            <w:pPr>
              <w:jc w:val="both"/>
              <w:rPr>
                <w:rFonts w:eastAsia="Calibri"/>
                <w:i/>
                <w:sz w:val="20"/>
              </w:rPr>
            </w:pPr>
          </w:p>
        </w:tc>
      </w:tr>
      <w:tr w:rsidR="00EA36E8" w:rsidRPr="00DE1E45" w:rsidTr="00141BB2">
        <w:trPr>
          <w:cantSplit/>
        </w:trPr>
        <w:tc>
          <w:tcPr>
            <w:tcW w:w="2427" w:type="pct"/>
          </w:tcPr>
          <w:p w:rsidR="00EA36E8" w:rsidRPr="00DE1E45" w:rsidRDefault="00EA36E8" w:rsidP="001A7F7C">
            <w:pPr>
              <w:jc w:val="both"/>
              <w:rPr>
                <w:rFonts w:eastAsia="Calibri"/>
                <w:sz w:val="20"/>
              </w:rPr>
            </w:pPr>
            <w:r w:rsidRPr="00DE1E45">
              <w:rPr>
                <w:rFonts w:eastAsia="Calibri"/>
                <w:sz w:val="20"/>
              </w:rPr>
              <w:lastRenderedPageBreak/>
              <w:t>June 14, 2012</w:t>
            </w:r>
          </w:p>
          <w:p w:rsidR="00EA36E8" w:rsidRPr="00DE1E45" w:rsidRDefault="00EA36E8" w:rsidP="001A7F7C">
            <w:pPr>
              <w:jc w:val="both"/>
              <w:rPr>
                <w:rFonts w:eastAsia="Calibri"/>
                <w:sz w:val="20"/>
              </w:rPr>
            </w:pPr>
            <w:r w:rsidRPr="00DE1E45">
              <w:rPr>
                <w:rFonts w:eastAsia="Calibri"/>
                <w:sz w:val="20"/>
              </w:rPr>
              <w:t>Quebec Superior Court</w:t>
            </w:r>
          </w:p>
          <w:p w:rsidR="00EA36E8" w:rsidRPr="00DE1E45" w:rsidRDefault="00EA36E8" w:rsidP="001A7F7C">
            <w:pPr>
              <w:jc w:val="both"/>
              <w:rPr>
                <w:rFonts w:eastAsia="Calibri"/>
                <w:sz w:val="20"/>
              </w:rPr>
            </w:pPr>
            <w:r w:rsidRPr="00DE1E45">
              <w:rPr>
                <w:rFonts w:eastAsia="Calibri"/>
                <w:sz w:val="20"/>
              </w:rPr>
              <w:t>(Gagnon J.)</w:t>
            </w:r>
          </w:p>
          <w:p w:rsidR="00EA36E8" w:rsidRPr="00DE1E45" w:rsidRDefault="00EA36E8" w:rsidP="001A7F7C">
            <w:pPr>
              <w:jc w:val="both"/>
              <w:rPr>
                <w:rFonts w:eastAsia="Calibri"/>
                <w:sz w:val="20"/>
              </w:rPr>
            </w:pPr>
          </w:p>
        </w:tc>
        <w:tc>
          <w:tcPr>
            <w:tcW w:w="243" w:type="pct"/>
          </w:tcPr>
          <w:p w:rsidR="00EA36E8" w:rsidRPr="00DE1E45" w:rsidRDefault="00EA36E8" w:rsidP="001A7F7C">
            <w:pPr>
              <w:jc w:val="both"/>
              <w:rPr>
                <w:rFonts w:eastAsia="Calibri"/>
                <w:sz w:val="20"/>
              </w:rPr>
            </w:pPr>
          </w:p>
        </w:tc>
        <w:tc>
          <w:tcPr>
            <w:tcW w:w="2330" w:type="pct"/>
          </w:tcPr>
          <w:p w:rsidR="00EA36E8" w:rsidRPr="00DE1E45" w:rsidRDefault="00EA36E8" w:rsidP="001A7F7C">
            <w:pPr>
              <w:jc w:val="both"/>
              <w:rPr>
                <w:rFonts w:eastAsia="Calibri"/>
                <w:sz w:val="20"/>
              </w:rPr>
            </w:pPr>
            <w:r w:rsidRPr="00DE1E45">
              <w:rPr>
                <w:rFonts w:eastAsia="Calibri"/>
                <w:sz w:val="20"/>
              </w:rPr>
              <w:t>Applicant convicted of first degree murder</w:t>
            </w:r>
          </w:p>
          <w:p w:rsidR="00EA36E8" w:rsidRPr="00DE1E45" w:rsidRDefault="00EA36E8" w:rsidP="001A7F7C">
            <w:pPr>
              <w:jc w:val="both"/>
              <w:rPr>
                <w:rFonts w:eastAsia="Calibri"/>
                <w:sz w:val="20"/>
              </w:rPr>
            </w:pPr>
          </w:p>
          <w:p w:rsidR="00EA36E8" w:rsidRPr="00DE1E45" w:rsidRDefault="00EA36E8" w:rsidP="001A7F7C">
            <w:pPr>
              <w:jc w:val="both"/>
              <w:rPr>
                <w:rFonts w:eastAsia="Calibri"/>
                <w:sz w:val="20"/>
              </w:rPr>
            </w:pPr>
          </w:p>
        </w:tc>
      </w:tr>
      <w:tr w:rsidR="00EA36E8" w:rsidRPr="00DE1E45" w:rsidTr="00141BB2">
        <w:trPr>
          <w:cantSplit/>
        </w:trPr>
        <w:tc>
          <w:tcPr>
            <w:tcW w:w="2427" w:type="pct"/>
          </w:tcPr>
          <w:p w:rsidR="00EA36E8" w:rsidRPr="00DE1E45" w:rsidRDefault="00EA36E8" w:rsidP="001A7F7C">
            <w:pPr>
              <w:jc w:val="both"/>
              <w:rPr>
                <w:rFonts w:eastAsia="Calibri"/>
                <w:sz w:val="20"/>
              </w:rPr>
            </w:pPr>
            <w:r w:rsidRPr="00DE1E45">
              <w:rPr>
                <w:rFonts w:eastAsia="Calibri"/>
                <w:sz w:val="20"/>
              </w:rPr>
              <w:t>May 29, 2013</w:t>
            </w:r>
          </w:p>
          <w:p w:rsidR="00EA36E8" w:rsidRPr="00DE1E45" w:rsidRDefault="00EA36E8" w:rsidP="001A7F7C">
            <w:pPr>
              <w:jc w:val="both"/>
              <w:rPr>
                <w:rFonts w:eastAsia="Calibri"/>
                <w:sz w:val="20"/>
              </w:rPr>
            </w:pPr>
            <w:r w:rsidRPr="00DE1E45">
              <w:rPr>
                <w:rFonts w:eastAsia="Calibri"/>
                <w:sz w:val="20"/>
              </w:rPr>
              <w:t>Quebec Court of Appeal (Québec)</w:t>
            </w:r>
          </w:p>
          <w:p w:rsidR="00EA36E8" w:rsidRPr="00DE1E45" w:rsidRDefault="00EA36E8" w:rsidP="001A7F7C">
            <w:pPr>
              <w:jc w:val="both"/>
              <w:rPr>
                <w:rFonts w:eastAsia="Calibri"/>
                <w:sz w:val="20"/>
              </w:rPr>
            </w:pPr>
            <w:r w:rsidRPr="00DE1E45">
              <w:rPr>
                <w:rFonts w:eastAsia="Calibri"/>
                <w:sz w:val="20"/>
              </w:rPr>
              <w:t>(Kasirer, St-Pierre and Vincent JJ.A.)</w:t>
            </w:r>
          </w:p>
          <w:p w:rsidR="00EA36E8" w:rsidRPr="00DE1E45" w:rsidRDefault="00EA36E8" w:rsidP="001A7F7C">
            <w:pPr>
              <w:jc w:val="both"/>
              <w:rPr>
                <w:rFonts w:eastAsia="Calibri"/>
                <w:sz w:val="20"/>
              </w:rPr>
            </w:pPr>
          </w:p>
        </w:tc>
        <w:tc>
          <w:tcPr>
            <w:tcW w:w="243" w:type="pct"/>
          </w:tcPr>
          <w:p w:rsidR="00EA36E8" w:rsidRPr="00DE1E45" w:rsidRDefault="00EA36E8" w:rsidP="001A7F7C">
            <w:pPr>
              <w:jc w:val="both"/>
              <w:rPr>
                <w:rFonts w:eastAsia="Calibri"/>
                <w:sz w:val="20"/>
              </w:rPr>
            </w:pPr>
          </w:p>
        </w:tc>
        <w:tc>
          <w:tcPr>
            <w:tcW w:w="2330" w:type="pct"/>
          </w:tcPr>
          <w:p w:rsidR="00EA36E8" w:rsidRPr="00DE1E45" w:rsidRDefault="00EA36E8" w:rsidP="001A7F7C">
            <w:pPr>
              <w:jc w:val="both"/>
              <w:rPr>
                <w:rFonts w:eastAsia="Calibri"/>
                <w:sz w:val="20"/>
              </w:rPr>
            </w:pPr>
            <w:r w:rsidRPr="00DE1E45">
              <w:rPr>
                <w:rFonts w:eastAsia="Calibri"/>
                <w:sz w:val="20"/>
              </w:rPr>
              <w:t>Appeal dismissed</w:t>
            </w:r>
          </w:p>
          <w:p w:rsidR="00EA36E8" w:rsidRPr="00DE1E45" w:rsidRDefault="00EA36E8" w:rsidP="001A7F7C">
            <w:pPr>
              <w:jc w:val="both"/>
              <w:rPr>
                <w:rFonts w:eastAsia="Calibri"/>
                <w:sz w:val="20"/>
              </w:rPr>
            </w:pPr>
          </w:p>
        </w:tc>
      </w:tr>
      <w:tr w:rsidR="00EA36E8" w:rsidRPr="00DE1E45" w:rsidTr="00141BB2">
        <w:trPr>
          <w:cantSplit/>
        </w:trPr>
        <w:tc>
          <w:tcPr>
            <w:tcW w:w="2427" w:type="pct"/>
          </w:tcPr>
          <w:p w:rsidR="00EA36E8" w:rsidRPr="00DE1E45" w:rsidRDefault="00EA36E8" w:rsidP="001A7F7C">
            <w:pPr>
              <w:jc w:val="both"/>
              <w:rPr>
                <w:rFonts w:eastAsia="Calibri"/>
                <w:sz w:val="20"/>
              </w:rPr>
            </w:pPr>
            <w:r w:rsidRPr="00DE1E45">
              <w:rPr>
                <w:rFonts w:eastAsia="Calibri"/>
                <w:sz w:val="20"/>
              </w:rPr>
              <w:t>August 23, 2013</w:t>
            </w:r>
          </w:p>
          <w:p w:rsidR="00EA36E8" w:rsidRPr="00DE1E45" w:rsidRDefault="00EA36E8" w:rsidP="001A7F7C">
            <w:pPr>
              <w:jc w:val="both"/>
              <w:rPr>
                <w:rFonts w:eastAsia="Calibri"/>
                <w:sz w:val="20"/>
              </w:rPr>
            </w:pPr>
            <w:r w:rsidRPr="00DE1E45">
              <w:rPr>
                <w:rFonts w:eastAsia="Calibri"/>
                <w:sz w:val="20"/>
              </w:rPr>
              <w:t>Supreme Court of Canada</w:t>
            </w:r>
          </w:p>
        </w:tc>
        <w:tc>
          <w:tcPr>
            <w:tcW w:w="243" w:type="pct"/>
          </w:tcPr>
          <w:p w:rsidR="00EA36E8" w:rsidRPr="00DE1E45" w:rsidRDefault="00EA36E8" w:rsidP="001A7F7C">
            <w:pPr>
              <w:jc w:val="both"/>
              <w:rPr>
                <w:rFonts w:eastAsia="Calibri"/>
                <w:sz w:val="20"/>
              </w:rPr>
            </w:pPr>
          </w:p>
        </w:tc>
        <w:tc>
          <w:tcPr>
            <w:tcW w:w="2330" w:type="pct"/>
          </w:tcPr>
          <w:p w:rsidR="00EA36E8" w:rsidRPr="00DE1E45" w:rsidRDefault="00EA36E8" w:rsidP="001A7F7C">
            <w:pPr>
              <w:jc w:val="both"/>
              <w:rPr>
                <w:rFonts w:eastAsia="Calibri"/>
                <w:sz w:val="20"/>
              </w:rPr>
            </w:pPr>
            <w:r w:rsidRPr="00DE1E45">
              <w:rPr>
                <w:rFonts w:eastAsia="Calibri"/>
                <w:sz w:val="20"/>
              </w:rPr>
              <w:t>Application for leave to appeal filed</w:t>
            </w:r>
          </w:p>
          <w:p w:rsidR="00EA36E8" w:rsidRPr="00DE1E45" w:rsidRDefault="00EA36E8" w:rsidP="001A7F7C">
            <w:pPr>
              <w:jc w:val="both"/>
              <w:rPr>
                <w:rFonts w:eastAsia="Calibri"/>
                <w:sz w:val="20"/>
              </w:rPr>
            </w:pPr>
          </w:p>
        </w:tc>
      </w:tr>
    </w:tbl>
    <w:p w:rsidR="0010221A" w:rsidRDefault="0010221A" w:rsidP="0010221A">
      <w:pPr>
        <w:rPr>
          <w:sz w:val="20"/>
          <w:szCs w:val="20"/>
        </w:rPr>
      </w:pPr>
    </w:p>
    <w:p w:rsidR="0010221A" w:rsidRPr="00C50A5C" w:rsidRDefault="00E672F1" w:rsidP="0010221A">
      <w:pPr>
        <w:rPr>
          <w:sz w:val="20"/>
          <w:szCs w:val="20"/>
        </w:rPr>
      </w:pPr>
      <w:r>
        <w:rPr>
          <w:sz w:val="20"/>
          <w:szCs w:val="20"/>
          <w:lang w:val="fr-CA"/>
        </w:rPr>
        <w:pict>
          <v:rect id="_x0000_i1038" style="width:2in;height:1pt" o:hrpct="0" o:hralign="center" o:hrstd="t" o:hrnoshade="t" o:hr="t" fillcolor="black [3213]" stroked="f"/>
        </w:pict>
      </w:r>
    </w:p>
    <w:p w:rsidR="0010221A" w:rsidRDefault="0010221A" w:rsidP="0010221A">
      <w:pPr>
        <w:rPr>
          <w:sz w:val="20"/>
          <w:szCs w:val="20"/>
        </w:rPr>
      </w:pPr>
    </w:p>
    <w:p w:rsidR="0010221A" w:rsidRPr="001B157C" w:rsidRDefault="0010221A" w:rsidP="0010221A">
      <w:pPr>
        <w:rPr>
          <w:sz w:val="20"/>
          <w:szCs w:val="20"/>
          <w:u w:val="single"/>
          <w:lang w:val="fr-CA"/>
        </w:rPr>
      </w:pPr>
      <w:r w:rsidRPr="001B157C">
        <w:rPr>
          <w:sz w:val="20"/>
          <w:szCs w:val="20"/>
          <w:u w:val="single"/>
          <w:lang w:val="fr-CA"/>
        </w:rPr>
        <w:t>RÉSUMÉ DE L’AFFAIRE</w:t>
      </w:r>
    </w:p>
    <w:p w:rsidR="0010221A" w:rsidRDefault="0010221A" w:rsidP="0010221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A36E8" w:rsidRPr="00E672F1" w:rsidTr="001A7F7C">
        <w:tc>
          <w:tcPr>
            <w:tcW w:w="5000" w:type="pct"/>
            <w:gridSpan w:val="3"/>
          </w:tcPr>
          <w:p w:rsidR="00EA36E8" w:rsidRPr="00DE1E45" w:rsidRDefault="00EA36E8" w:rsidP="001A7F7C">
            <w:pPr>
              <w:jc w:val="both"/>
              <w:rPr>
                <w:rFonts w:eastAsia="Calibri"/>
                <w:sz w:val="20"/>
                <w:lang w:val="fr-CA"/>
              </w:rPr>
            </w:pPr>
            <w:r w:rsidRPr="00DE1E45">
              <w:rPr>
                <w:rFonts w:eastAsia="Calibri"/>
                <w:sz w:val="20"/>
                <w:lang w:val="fr-CA"/>
              </w:rPr>
              <w:t xml:space="preserve">Droit criminel – Preuve – Directives au jury – Plaidoirie – Meurtre – Verdict - Lorsque le juge du procès donne aux jurés une directive </w:t>
            </w:r>
            <w:r w:rsidRPr="00DE1E45">
              <w:rPr>
                <w:rFonts w:eastAsia="Calibri"/>
                <w:i/>
                <w:sz w:val="20"/>
                <w:lang w:val="fr-CA"/>
              </w:rPr>
              <w:t>McKenzie</w:t>
            </w:r>
            <w:r w:rsidRPr="00DE1E45">
              <w:rPr>
                <w:rFonts w:eastAsia="Calibri"/>
                <w:sz w:val="20"/>
                <w:lang w:val="fr-CA"/>
              </w:rPr>
              <w:t xml:space="preserve"> à l’effet que la norme de preuve hors de tout doute raisonnable s’applique à un élément de preuve particulier, a-t-il commis une erreur en omettant d’identifier les éléments de preuve non pertinents dont les jurés ne peuvent pas tenir compte dans leurs délibérations sur cette question ou de s’assurer autrement que la directive </w:t>
            </w:r>
            <w:r w:rsidRPr="00DE1E45">
              <w:rPr>
                <w:rFonts w:eastAsia="Calibri"/>
                <w:i/>
                <w:sz w:val="20"/>
                <w:lang w:val="fr-CA"/>
              </w:rPr>
              <w:t>McKenzie</w:t>
            </w:r>
            <w:r w:rsidRPr="00DE1E45">
              <w:rPr>
                <w:rFonts w:eastAsia="Calibri"/>
                <w:sz w:val="20"/>
                <w:lang w:val="fr-CA"/>
              </w:rPr>
              <w:t xml:space="preserve"> était efficace? - La Cour d’appel du Québec a-t-elle commis des erreurs multiples relativement à la preuve de comportement postérieur à l’infraction reprochée de l’accusé: en ne distinguant pas l’attitude du comportement? En n’incitant pas le jury à la prudence? En ne le mettant pas en garde contre le raisonnement circulaire signalé dans l’arrêt </w:t>
            </w:r>
            <w:r w:rsidRPr="00DE1E45">
              <w:rPr>
                <w:rFonts w:eastAsia="Calibri"/>
                <w:i/>
                <w:sz w:val="20"/>
                <w:lang w:val="fr-CA"/>
              </w:rPr>
              <w:t xml:space="preserve">R. c. Hall? </w:t>
            </w:r>
            <w:r w:rsidRPr="00DE1E45">
              <w:rPr>
                <w:rFonts w:eastAsia="Calibri"/>
                <w:sz w:val="20"/>
                <w:lang w:val="fr-CA"/>
              </w:rPr>
              <w:t xml:space="preserve">Et en n’excluant pas la preuve de fabrication imputée à l’accusé ou, du moins, en n’en limitant pas l’usage? - La Cour d’appel a-t-elle commis des erreurs de droit relatives à la plaidoirie du substitut, notamment : En appliquant l’arrêt </w:t>
            </w:r>
            <w:r w:rsidRPr="00DE1E45">
              <w:rPr>
                <w:rFonts w:eastAsia="Calibri"/>
                <w:i/>
                <w:sz w:val="20"/>
                <w:lang w:val="fr-CA"/>
              </w:rPr>
              <w:t>R. c. Riopel</w:t>
            </w:r>
            <w:r w:rsidRPr="00DE1E45">
              <w:rPr>
                <w:rFonts w:eastAsia="Calibri"/>
                <w:sz w:val="20"/>
                <w:lang w:val="fr-CA"/>
              </w:rPr>
              <w:t xml:space="preserve">? En ne retenant pas que le substitut avait failli à son obligation d’argumenter de façon rigoureuse et objective? En ne retenant pas la règle que l’inconduite grave du substitut rend obligation une correction immédiate et spécifique de cette inconduite? - La Cour d’appel a-t-elle erronément compris et appliqué le test applicable en matière de verdict déraisonnable, suivant les arrêts dans </w:t>
            </w:r>
            <w:r w:rsidRPr="00DE1E45">
              <w:rPr>
                <w:rFonts w:eastAsia="Calibri"/>
                <w:i/>
                <w:sz w:val="20"/>
                <w:lang w:val="fr-CA"/>
              </w:rPr>
              <w:t>R. c. Biniaris</w:t>
            </w:r>
            <w:r w:rsidRPr="00DE1E45">
              <w:rPr>
                <w:rFonts w:eastAsia="Calibri"/>
                <w:sz w:val="20"/>
                <w:lang w:val="fr-CA"/>
              </w:rPr>
              <w:t xml:space="preserve"> et </w:t>
            </w:r>
            <w:r w:rsidRPr="00DE1E45">
              <w:rPr>
                <w:rFonts w:eastAsia="Calibri"/>
                <w:i/>
                <w:sz w:val="20"/>
                <w:lang w:val="fr-CA"/>
              </w:rPr>
              <w:t>R. c. W.H.</w:t>
            </w:r>
            <w:r w:rsidRPr="00DE1E45">
              <w:rPr>
                <w:rFonts w:eastAsia="Calibri"/>
                <w:sz w:val="20"/>
                <w:lang w:val="fr-CA"/>
              </w:rPr>
              <w:t>, et, de plus, a-t-elle a omis de considérer toute la preuve favorable au défendeur dans son examen du caractère raisonnable du verdict?</w:t>
            </w:r>
          </w:p>
        </w:tc>
      </w:tr>
      <w:tr w:rsidR="00EA36E8" w:rsidRPr="00E672F1" w:rsidTr="001A7F7C">
        <w:tc>
          <w:tcPr>
            <w:tcW w:w="5000" w:type="pct"/>
            <w:gridSpan w:val="3"/>
          </w:tcPr>
          <w:p w:rsidR="00EA36E8" w:rsidRPr="00DE1E45" w:rsidRDefault="00EA36E8" w:rsidP="001A7F7C">
            <w:pPr>
              <w:jc w:val="both"/>
              <w:rPr>
                <w:rFonts w:eastAsia="Calibri"/>
                <w:sz w:val="20"/>
                <w:lang w:val="fr-CA"/>
              </w:rPr>
            </w:pPr>
          </w:p>
        </w:tc>
      </w:tr>
      <w:tr w:rsidR="00EA36E8" w:rsidRPr="00E672F1" w:rsidTr="001A7F7C">
        <w:tc>
          <w:tcPr>
            <w:tcW w:w="5000" w:type="pct"/>
            <w:gridSpan w:val="3"/>
          </w:tcPr>
          <w:p w:rsidR="00EA36E8" w:rsidRPr="00DE1E45" w:rsidRDefault="00EA36E8" w:rsidP="001A7F7C">
            <w:pPr>
              <w:jc w:val="both"/>
              <w:rPr>
                <w:rFonts w:eastAsia="Calibri"/>
                <w:sz w:val="20"/>
                <w:lang w:val="fr-CA"/>
              </w:rPr>
            </w:pPr>
            <w:r w:rsidRPr="00DE1E45">
              <w:rPr>
                <w:rFonts w:eastAsia="Calibri"/>
                <w:sz w:val="20"/>
                <w:lang w:val="fr-CA"/>
              </w:rPr>
              <w:t>En novembre 2009, M. Delisle, un juge à la retraite, appelle les services d’urgence de sa résidence.  Il explique à la préposée qu’il vient d’arriver chez lui, que son épouse, Mme Rainville, âgée de 71 ans, s’est enlevé la vie.  Il lui dit qu’il y a un revolver à côté d’elle. Cette dernière a subi un ACV en 2007 l’ayant laissée paralysée du côté droit.  Au terme de l’enquête sur les circonstances sur le décès, le ministère public dépose une accusation de meurtre au premier degré contre M. Delisle.</w:t>
            </w:r>
          </w:p>
          <w:p w:rsidR="00EA36E8" w:rsidRPr="00DE1E45" w:rsidRDefault="00EA36E8" w:rsidP="001A7F7C">
            <w:pPr>
              <w:jc w:val="both"/>
              <w:rPr>
                <w:rFonts w:eastAsia="Calibri"/>
                <w:sz w:val="20"/>
                <w:lang w:val="fr-CA"/>
              </w:rPr>
            </w:pPr>
          </w:p>
        </w:tc>
      </w:tr>
      <w:tr w:rsidR="00EA36E8" w:rsidRPr="00E672F1" w:rsidTr="001A7F7C">
        <w:tc>
          <w:tcPr>
            <w:tcW w:w="2427" w:type="pct"/>
          </w:tcPr>
          <w:p w:rsidR="00EA36E8" w:rsidRPr="00DE1E45" w:rsidRDefault="00EA36E8" w:rsidP="001A7F7C">
            <w:pPr>
              <w:jc w:val="both"/>
              <w:rPr>
                <w:rFonts w:eastAsia="Calibri"/>
                <w:sz w:val="20"/>
                <w:lang w:val="fr-CA"/>
              </w:rPr>
            </w:pPr>
            <w:r w:rsidRPr="00DE1E45">
              <w:rPr>
                <w:rFonts w:eastAsia="Calibri"/>
                <w:sz w:val="20"/>
                <w:lang w:val="fr-CA"/>
              </w:rPr>
              <w:t>Le 4 mai 2012</w:t>
            </w:r>
          </w:p>
          <w:p w:rsidR="00EA36E8" w:rsidRPr="00DE1E45" w:rsidRDefault="00EA36E8" w:rsidP="001A7F7C">
            <w:pPr>
              <w:jc w:val="both"/>
              <w:rPr>
                <w:rFonts w:eastAsia="Calibri"/>
                <w:sz w:val="20"/>
                <w:lang w:val="fr-CA"/>
              </w:rPr>
            </w:pPr>
            <w:r w:rsidRPr="00DE1E45">
              <w:rPr>
                <w:rFonts w:eastAsia="Calibri"/>
                <w:sz w:val="20"/>
                <w:lang w:val="fr-CA"/>
              </w:rPr>
              <w:t>Cour supérieure du Québec</w:t>
            </w:r>
          </w:p>
          <w:p w:rsidR="00EA36E8" w:rsidRPr="00DE1E45" w:rsidRDefault="00EA36E8" w:rsidP="001A7F7C">
            <w:pPr>
              <w:jc w:val="both"/>
              <w:rPr>
                <w:rFonts w:eastAsia="Calibri"/>
                <w:sz w:val="20"/>
                <w:lang w:val="fr-CA"/>
              </w:rPr>
            </w:pPr>
            <w:r w:rsidRPr="00DE1E45">
              <w:rPr>
                <w:rFonts w:eastAsia="Calibri"/>
                <w:sz w:val="20"/>
                <w:lang w:val="fr-CA"/>
              </w:rPr>
              <w:t>(Le juge Gagnon)</w:t>
            </w:r>
          </w:p>
          <w:p w:rsidR="00EA36E8" w:rsidRPr="00DE1E45" w:rsidRDefault="00EA36E8" w:rsidP="001A7F7C">
            <w:pPr>
              <w:jc w:val="both"/>
              <w:rPr>
                <w:rFonts w:eastAsia="Calibri"/>
                <w:sz w:val="20"/>
              </w:rPr>
            </w:pPr>
          </w:p>
        </w:tc>
        <w:tc>
          <w:tcPr>
            <w:tcW w:w="243" w:type="pct"/>
          </w:tcPr>
          <w:p w:rsidR="00EA36E8" w:rsidRPr="00DE1E45" w:rsidRDefault="00EA36E8" w:rsidP="001A7F7C">
            <w:pPr>
              <w:jc w:val="both"/>
              <w:rPr>
                <w:rFonts w:eastAsia="Calibri"/>
                <w:sz w:val="20"/>
              </w:rPr>
            </w:pPr>
          </w:p>
        </w:tc>
        <w:tc>
          <w:tcPr>
            <w:tcW w:w="2330" w:type="pct"/>
          </w:tcPr>
          <w:p w:rsidR="00EA36E8" w:rsidRPr="00DE1E45" w:rsidRDefault="00EA36E8" w:rsidP="001A7F7C">
            <w:pPr>
              <w:jc w:val="both"/>
              <w:rPr>
                <w:rFonts w:eastAsia="Calibri"/>
                <w:sz w:val="20"/>
                <w:lang w:val="fr-CA"/>
              </w:rPr>
            </w:pPr>
            <w:r w:rsidRPr="00DE1E45">
              <w:rPr>
                <w:rFonts w:eastAsia="Calibri"/>
                <w:sz w:val="20"/>
                <w:lang w:val="fr-CA"/>
              </w:rPr>
              <w:t>Décision interlocutoire : Verbalisations faites par M. Delisle entre 11h05 et 14h, le 12 novembre 2009 sont admissibles; les verbalisations faites aux enquêteurs le 12 novembre 2009 sont inadmissibles; la preuve du comportement/changement d’attitude à l`égard des enquêteurs est admissible.</w:t>
            </w:r>
          </w:p>
          <w:p w:rsidR="00EA36E8" w:rsidRPr="00DE1E45" w:rsidRDefault="00EA36E8" w:rsidP="001A7F7C">
            <w:pPr>
              <w:jc w:val="both"/>
              <w:rPr>
                <w:rFonts w:eastAsia="Calibri"/>
                <w:i/>
                <w:sz w:val="20"/>
                <w:lang w:val="fr-CA"/>
              </w:rPr>
            </w:pPr>
          </w:p>
        </w:tc>
      </w:tr>
      <w:tr w:rsidR="00EA36E8" w:rsidRPr="00E672F1" w:rsidTr="001A7F7C">
        <w:tc>
          <w:tcPr>
            <w:tcW w:w="2427" w:type="pct"/>
          </w:tcPr>
          <w:p w:rsidR="00EA36E8" w:rsidRPr="00DE1E45" w:rsidRDefault="00EA36E8" w:rsidP="001A7F7C">
            <w:pPr>
              <w:jc w:val="both"/>
              <w:rPr>
                <w:rFonts w:eastAsia="Calibri"/>
                <w:sz w:val="20"/>
                <w:lang w:val="fr-CA"/>
              </w:rPr>
            </w:pPr>
            <w:r w:rsidRPr="00DE1E45">
              <w:rPr>
                <w:rFonts w:eastAsia="Calibri"/>
                <w:sz w:val="20"/>
                <w:lang w:val="fr-CA"/>
              </w:rPr>
              <w:t>Le 14 juin 2012</w:t>
            </w:r>
          </w:p>
          <w:p w:rsidR="00EA36E8" w:rsidRPr="00DE1E45" w:rsidRDefault="00EA36E8" w:rsidP="001A7F7C">
            <w:pPr>
              <w:jc w:val="both"/>
              <w:rPr>
                <w:rFonts w:eastAsia="Calibri"/>
                <w:sz w:val="20"/>
                <w:lang w:val="fr-CA"/>
              </w:rPr>
            </w:pPr>
            <w:r w:rsidRPr="00DE1E45">
              <w:rPr>
                <w:rFonts w:eastAsia="Calibri"/>
                <w:sz w:val="20"/>
                <w:lang w:val="fr-CA"/>
              </w:rPr>
              <w:t>Cour supérieure du Québec</w:t>
            </w:r>
          </w:p>
          <w:p w:rsidR="00EA36E8" w:rsidRPr="00DE1E45" w:rsidRDefault="00EA36E8" w:rsidP="001A7F7C">
            <w:pPr>
              <w:jc w:val="both"/>
              <w:rPr>
                <w:rFonts w:eastAsia="Calibri"/>
                <w:sz w:val="20"/>
                <w:lang w:val="fr-CA"/>
              </w:rPr>
            </w:pPr>
            <w:r w:rsidRPr="00DE1E45">
              <w:rPr>
                <w:rFonts w:eastAsia="Calibri"/>
                <w:sz w:val="20"/>
                <w:lang w:val="fr-CA"/>
              </w:rPr>
              <w:t>(Le juge Gagnon)</w:t>
            </w:r>
          </w:p>
          <w:p w:rsidR="00EA36E8" w:rsidRPr="00DE1E45" w:rsidRDefault="00EA36E8" w:rsidP="001A7F7C">
            <w:pPr>
              <w:jc w:val="both"/>
              <w:rPr>
                <w:rFonts w:eastAsia="Calibri"/>
                <w:sz w:val="20"/>
              </w:rPr>
            </w:pPr>
          </w:p>
        </w:tc>
        <w:tc>
          <w:tcPr>
            <w:tcW w:w="243" w:type="pct"/>
          </w:tcPr>
          <w:p w:rsidR="00EA36E8" w:rsidRPr="00DE1E45" w:rsidRDefault="00EA36E8" w:rsidP="001A7F7C">
            <w:pPr>
              <w:jc w:val="both"/>
              <w:rPr>
                <w:rFonts w:eastAsia="Calibri"/>
                <w:sz w:val="20"/>
              </w:rPr>
            </w:pPr>
          </w:p>
        </w:tc>
        <w:tc>
          <w:tcPr>
            <w:tcW w:w="2330" w:type="pct"/>
          </w:tcPr>
          <w:p w:rsidR="00EA36E8" w:rsidRPr="00DE1E45" w:rsidRDefault="00EA36E8" w:rsidP="001A7F7C">
            <w:pPr>
              <w:jc w:val="both"/>
              <w:rPr>
                <w:rFonts w:eastAsia="Calibri"/>
                <w:sz w:val="20"/>
                <w:lang w:val="fr-CA"/>
              </w:rPr>
            </w:pPr>
            <w:r w:rsidRPr="00DE1E45">
              <w:rPr>
                <w:rFonts w:eastAsia="Calibri"/>
                <w:sz w:val="20"/>
                <w:lang w:val="fr-CA"/>
              </w:rPr>
              <w:t>Verdict de culpabilité : meurtre au premier degré.</w:t>
            </w:r>
          </w:p>
          <w:p w:rsidR="00EA36E8" w:rsidRPr="00DE1E45" w:rsidRDefault="00EA36E8" w:rsidP="001A7F7C">
            <w:pPr>
              <w:jc w:val="both"/>
              <w:rPr>
                <w:rFonts w:eastAsia="Calibri"/>
                <w:sz w:val="20"/>
                <w:lang w:val="fr-CA"/>
              </w:rPr>
            </w:pPr>
          </w:p>
          <w:p w:rsidR="00EA36E8" w:rsidRPr="00DE1E45" w:rsidRDefault="00EA36E8" w:rsidP="001A7F7C">
            <w:pPr>
              <w:jc w:val="both"/>
              <w:rPr>
                <w:rFonts w:eastAsia="Calibri"/>
                <w:sz w:val="20"/>
                <w:lang w:val="fr-CA"/>
              </w:rPr>
            </w:pPr>
          </w:p>
        </w:tc>
      </w:tr>
      <w:tr w:rsidR="00EA36E8" w:rsidRPr="00DE1E45" w:rsidTr="00141BB2">
        <w:trPr>
          <w:cantSplit/>
        </w:trPr>
        <w:tc>
          <w:tcPr>
            <w:tcW w:w="2427" w:type="pct"/>
          </w:tcPr>
          <w:p w:rsidR="00EA36E8" w:rsidRPr="00DE1E45" w:rsidRDefault="00EA36E8" w:rsidP="001A7F7C">
            <w:pPr>
              <w:jc w:val="both"/>
              <w:rPr>
                <w:rFonts w:eastAsia="Calibri"/>
                <w:sz w:val="20"/>
                <w:lang w:val="fr-CA"/>
              </w:rPr>
            </w:pPr>
            <w:r w:rsidRPr="00DE1E45">
              <w:rPr>
                <w:rFonts w:eastAsia="Calibri"/>
                <w:sz w:val="20"/>
                <w:lang w:val="fr-CA"/>
              </w:rPr>
              <w:lastRenderedPageBreak/>
              <w:t>Le 29 mai 2013</w:t>
            </w:r>
          </w:p>
          <w:p w:rsidR="00EA36E8" w:rsidRPr="00DE1E45" w:rsidRDefault="00EA36E8" w:rsidP="001A7F7C">
            <w:pPr>
              <w:jc w:val="both"/>
              <w:rPr>
                <w:rFonts w:eastAsia="Calibri"/>
                <w:sz w:val="20"/>
                <w:lang w:val="fr-CA"/>
              </w:rPr>
            </w:pPr>
            <w:r w:rsidRPr="00DE1E45">
              <w:rPr>
                <w:rFonts w:eastAsia="Calibri"/>
                <w:sz w:val="20"/>
                <w:lang w:val="fr-CA"/>
              </w:rPr>
              <w:t>Cour d’appel du Québec (Québec)</w:t>
            </w:r>
          </w:p>
          <w:p w:rsidR="00EA36E8" w:rsidRPr="00DE1E45" w:rsidRDefault="00EA36E8" w:rsidP="001A7F7C">
            <w:pPr>
              <w:jc w:val="both"/>
              <w:rPr>
                <w:rFonts w:eastAsia="Calibri"/>
                <w:sz w:val="20"/>
                <w:lang w:val="fr-CA"/>
              </w:rPr>
            </w:pPr>
            <w:r w:rsidRPr="00DE1E45">
              <w:rPr>
                <w:rFonts w:eastAsia="Calibri"/>
                <w:sz w:val="20"/>
                <w:lang w:val="fr-CA"/>
              </w:rPr>
              <w:t>(Les juges Kasirer, St-Pierre et Vincent)</w:t>
            </w:r>
          </w:p>
          <w:p w:rsidR="00EA36E8" w:rsidRPr="00DE1E45" w:rsidRDefault="00EA36E8" w:rsidP="001A7F7C">
            <w:pPr>
              <w:jc w:val="both"/>
              <w:rPr>
                <w:rFonts w:eastAsia="Calibri"/>
                <w:sz w:val="20"/>
                <w:lang w:val="fr-CA"/>
              </w:rPr>
            </w:pPr>
          </w:p>
        </w:tc>
        <w:tc>
          <w:tcPr>
            <w:tcW w:w="243" w:type="pct"/>
          </w:tcPr>
          <w:p w:rsidR="00EA36E8" w:rsidRPr="00DE1E45" w:rsidRDefault="00EA36E8" w:rsidP="001A7F7C">
            <w:pPr>
              <w:jc w:val="both"/>
              <w:rPr>
                <w:rFonts w:eastAsia="Calibri"/>
                <w:sz w:val="20"/>
                <w:lang w:val="fr-CA"/>
              </w:rPr>
            </w:pPr>
          </w:p>
        </w:tc>
        <w:tc>
          <w:tcPr>
            <w:tcW w:w="2330" w:type="pct"/>
          </w:tcPr>
          <w:p w:rsidR="00EA36E8" w:rsidRPr="00DE1E45" w:rsidRDefault="00EA36E8" w:rsidP="001A7F7C">
            <w:pPr>
              <w:jc w:val="both"/>
              <w:rPr>
                <w:rFonts w:eastAsia="Calibri"/>
                <w:sz w:val="20"/>
                <w:lang w:val="fr-CA"/>
              </w:rPr>
            </w:pPr>
            <w:r w:rsidRPr="00DE1E45">
              <w:rPr>
                <w:rFonts w:eastAsia="Calibri"/>
                <w:sz w:val="20"/>
                <w:lang w:val="fr-CA"/>
              </w:rPr>
              <w:t>Appel rejeté.</w:t>
            </w:r>
          </w:p>
          <w:p w:rsidR="00EA36E8" w:rsidRPr="00DE1E45" w:rsidRDefault="00EA36E8" w:rsidP="001A7F7C">
            <w:pPr>
              <w:jc w:val="both"/>
              <w:rPr>
                <w:rFonts w:eastAsia="Calibri"/>
                <w:sz w:val="20"/>
                <w:lang w:val="fr-CA"/>
              </w:rPr>
            </w:pPr>
          </w:p>
        </w:tc>
      </w:tr>
      <w:tr w:rsidR="00EA36E8" w:rsidRPr="00DE1E45" w:rsidTr="00141BB2">
        <w:trPr>
          <w:cantSplit/>
        </w:trPr>
        <w:tc>
          <w:tcPr>
            <w:tcW w:w="2427" w:type="pct"/>
          </w:tcPr>
          <w:p w:rsidR="00EA36E8" w:rsidRPr="00DE1E45" w:rsidRDefault="00EA36E8" w:rsidP="001A7F7C">
            <w:pPr>
              <w:jc w:val="both"/>
              <w:rPr>
                <w:rFonts w:eastAsia="Calibri"/>
                <w:sz w:val="20"/>
                <w:lang w:val="fr-CA"/>
              </w:rPr>
            </w:pPr>
            <w:r w:rsidRPr="00DE1E45">
              <w:rPr>
                <w:rFonts w:eastAsia="Calibri"/>
                <w:sz w:val="20"/>
                <w:lang w:val="fr-CA"/>
              </w:rPr>
              <w:t>Le 23 août 2013</w:t>
            </w:r>
          </w:p>
          <w:p w:rsidR="00EA36E8" w:rsidRPr="00DE1E45" w:rsidRDefault="00EA36E8" w:rsidP="001A7F7C">
            <w:pPr>
              <w:jc w:val="both"/>
              <w:rPr>
                <w:rFonts w:eastAsia="Calibri"/>
                <w:sz w:val="20"/>
                <w:lang w:val="fr-CA"/>
              </w:rPr>
            </w:pPr>
            <w:r w:rsidRPr="00DE1E45">
              <w:rPr>
                <w:rFonts w:eastAsia="Calibri"/>
                <w:sz w:val="20"/>
                <w:lang w:val="fr-CA"/>
              </w:rPr>
              <w:t>Cour suprême du Canada</w:t>
            </w:r>
          </w:p>
        </w:tc>
        <w:tc>
          <w:tcPr>
            <w:tcW w:w="243" w:type="pct"/>
          </w:tcPr>
          <w:p w:rsidR="00EA36E8" w:rsidRPr="00DE1E45" w:rsidRDefault="00EA36E8" w:rsidP="001A7F7C">
            <w:pPr>
              <w:jc w:val="both"/>
              <w:rPr>
                <w:rFonts w:eastAsia="Calibri"/>
                <w:sz w:val="20"/>
                <w:lang w:val="fr-CA"/>
              </w:rPr>
            </w:pPr>
          </w:p>
        </w:tc>
        <w:tc>
          <w:tcPr>
            <w:tcW w:w="2330" w:type="pct"/>
          </w:tcPr>
          <w:p w:rsidR="00EA36E8" w:rsidRPr="00DE1E45" w:rsidRDefault="00EA36E8" w:rsidP="001A7F7C">
            <w:pPr>
              <w:jc w:val="both"/>
              <w:rPr>
                <w:rFonts w:eastAsia="Calibri"/>
                <w:sz w:val="20"/>
                <w:lang w:val="fr-CA"/>
              </w:rPr>
            </w:pPr>
            <w:r w:rsidRPr="00DE1E45">
              <w:rPr>
                <w:rFonts w:eastAsia="Calibri"/>
                <w:sz w:val="20"/>
                <w:lang w:val="fr-CA"/>
              </w:rPr>
              <w:t>Demande d'autorisation d'appel déposée.</w:t>
            </w:r>
          </w:p>
          <w:p w:rsidR="00EA36E8" w:rsidRPr="00DE1E45" w:rsidRDefault="00EA36E8" w:rsidP="001A7F7C">
            <w:pPr>
              <w:jc w:val="both"/>
              <w:rPr>
                <w:rFonts w:eastAsia="Calibri"/>
                <w:sz w:val="20"/>
                <w:lang w:val="fr-CA"/>
              </w:rPr>
            </w:pPr>
          </w:p>
        </w:tc>
      </w:tr>
    </w:tbl>
    <w:p w:rsidR="0010221A" w:rsidRDefault="0010221A" w:rsidP="0010221A">
      <w:pPr>
        <w:rPr>
          <w:sz w:val="20"/>
          <w:szCs w:val="20"/>
        </w:rPr>
      </w:pPr>
    </w:p>
    <w:p w:rsidR="0010221A" w:rsidRDefault="00E672F1" w:rsidP="0010221A">
      <w:pPr>
        <w:rPr>
          <w:sz w:val="20"/>
          <w:szCs w:val="20"/>
        </w:rPr>
      </w:pPr>
      <w:r>
        <w:rPr>
          <w:sz w:val="20"/>
          <w:szCs w:val="20"/>
          <w:lang w:val="fr-CA"/>
        </w:rPr>
        <w:pict>
          <v:rect id="_x0000_i1039" style="width:2in;height:1pt" o:hrpct="0" o:hralign="center" o:hrstd="t" o:hrnoshade="t" o:hr="t" fillcolor="black [3213]" stroked="f"/>
        </w:pict>
      </w:r>
    </w:p>
    <w:p w:rsidR="0010221A" w:rsidRDefault="0010221A" w:rsidP="0010221A">
      <w:pPr>
        <w:rPr>
          <w:sz w:val="20"/>
          <w:szCs w:val="20"/>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41BB2" w:rsidRPr="00E672F1" w:rsidTr="00D8225B">
        <w:trPr>
          <w:cantSplit/>
        </w:trPr>
        <w:tc>
          <w:tcPr>
            <w:tcW w:w="1458" w:type="dxa"/>
          </w:tcPr>
          <w:p w:rsidR="00141BB2" w:rsidRPr="00141BB2" w:rsidRDefault="00141BB2" w:rsidP="00141BB2">
            <w:pPr>
              <w:rPr>
                <w:sz w:val="20"/>
              </w:rPr>
            </w:pPr>
            <w:r w:rsidRPr="00141BB2">
              <w:rPr>
                <w:b/>
                <w:sz w:val="20"/>
                <w:lang w:val="fr-CA"/>
              </w:rPr>
              <w:t>35511</w:t>
            </w:r>
          </w:p>
          <w:p w:rsidR="00141BB2" w:rsidRPr="00141BB2" w:rsidRDefault="00141BB2" w:rsidP="00141BB2">
            <w:pPr>
              <w:rPr>
                <w:b/>
                <w:sz w:val="20"/>
                <w:lang w:val="fr-CA"/>
              </w:rPr>
            </w:pPr>
          </w:p>
        </w:tc>
        <w:tc>
          <w:tcPr>
            <w:tcW w:w="8118" w:type="dxa"/>
          </w:tcPr>
          <w:p w:rsidR="00141BB2" w:rsidRPr="00957B79" w:rsidRDefault="00141BB2" w:rsidP="00141BB2">
            <w:pPr>
              <w:rPr>
                <w:sz w:val="20"/>
                <w:lang w:val="fr-CA"/>
              </w:rPr>
            </w:pPr>
            <w:r w:rsidRPr="00957B79">
              <w:rPr>
                <w:b/>
                <w:sz w:val="20"/>
                <w:u w:val="single"/>
                <w:lang w:val="fr-CA"/>
              </w:rPr>
              <w:t>Paul Bernier</w:t>
            </w:r>
            <w:r w:rsidR="00957B79" w:rsidRPr="00957B79">
              <w:rPr>
                <w:b/>
                <w:sz w:val="20"/>
                <w:u w:val="single"/>
                <w:lang w:val="fr-CA"/>
              </w:rPr>
              <w:t xml:space="preserve"> et</w:t>
            </w:r>
            <w:r w:rsidRPr="00957B79">
              <w:rPr>
                <w:b/>
                <w:sz w:val="20"/>
                <w:u w:val="single"/>
                <w:lang w:val="fr-CA"/>
              </w:rPr>
              <w:t xml:space="preserve"> Shirley Farrah c. Gestion 11275 inc.</w:t>
            </w:r>
            <w:r w:rsidRPr="00957B79">
              <w:rPr>
                <w:sz w:val="20"/>
                <w:lang w:val="fr-CA"/>
              </w:rPr>
              <w:t xml:space="preserve"> (Qc) (Civile) (Autorisation)</w:t>
            </w:r>
          </w:p>
          <w:p w:rsidR="00141BB2" w:rsidRPr="00957B79" w:rsidRDefault="00141BB2" w:rsidP="00141BB2">
            <w:pPr>
              <w:rPr>
                <w:sz w:val="20"/>
                <w:lang w:val="fr-CA"/>
              </w:rPr>
            </w:pPr>
          </w:p>
        </w:tc>
      </w:tr>
      <w:tr w:rsidR="00141BB2" w:rsidRPr="00E672F1" w:rsidTr="00D8225B">
        <w:trPr>
          <w:cantSplit/>
        </w:trPr>
        <w:tc>
          <w:tcPr>
            <w:tcW w:w="1458" w:type="dxa"/>
          </w:tcPr>
          <w:p w:rsidR="00141BB2" w:rsidRPr="00141BB2" w:rsidRDefault="00141BB2" w:rsidP="00141BB2">
            <w:pPr>
              <w:rPr>
                <w:sz w:val="20"/>
              </w:rPr>
            </w:pPr>
            <w:r w:rsidRPr="00141BB2">
              <w:rPr>
                <w:sz w:val="20"/>
              </w:rPr>
              <w:t>Coram :</w:t>
            </w:r>
          </w:p>
        </w:tc>
        <w:tc>
          <w:tcPr>
            <w:tcW w:w="8118" w:type="dxa"/>
          </w:tcPr>
          <w:p w:rsidR="00141BB2" w:rsidRPr="00141BB2" w:rsidRDefault="00141BB2" w:rsidP="00141BB2">
            <w:pPr>
              <w:rPr>
                <w:sz w:val="20"/>
                <w:lang w:val="fr-CA"/>
              </w:rPr>
            </w:pPr>
            <w:r w:rsidRPr="00141BB2">
              <w:rPr>
                <w:sz w:val="20"/>
                <w:u w:val="single"/>
                <w:lang w:val="fr-CA"/>
              </w:rPr>
              <w:t>La juge en chef McLachlin et les juges Cromwell et Wagner</w:t>
            </w:r>
          </w:p>
          <w:p w:rsidR="00141BB2" w:rsidRPr="00141BB2" w:rsidRDefault="00141BB2" w:rsidP="00141BB2">
            <w:pPr>
              <w:rPr>
                <w:sz w:val="20"/>
                <w:u w:val="single"/>
                <w:lang w:val="fr-CA"/>
              </w:rPr>
            </w:pPr>
          </w:p>
        </w:tc>
      </w:tr>
      <w:tr w:rsidR="00141BB2" w:rsidRPr="00141BB2" w:rsidTr="00D8225B">
        <w:trPr>
          <w:cantSplit/>
        </w:trPr>
        <w:tc>
          <w:tcPr>
            <w:tcW w:w="9576" w:type="dxa"/>
            <w:gridSpan w:val="2"/>
          </w:tcPr>
          <w:p w:rsidR="00141BB2" w:rsidRPr="00141BB2" w:rsidRDefault="00141BB2" w:rsidP="00141BB2">
            <w:pPr>
              <w:ind w:firstLine="720"/>
              <w:jc w:val="both"/>
              <w:rPr>
                <w:sz w:val="20"/>
                <w:lang w:val="fr-CA"/>
              </w:rPr>
            </w:pPr>
            <w:r w:rsidRPr="00141BB2">
              <w:rPr>
                <w:sz w:val="20"/>
                <w:lang w:val="fr-CA"/>
              </w:rPr>
              <w:t>La demande d’autorisation d’appel de l’arrêt de la Cour d’appel du Québec (Québec), numéro 200-09-007981-134, 2013 QCCA 1093, daté du 10 juin 2013, est rejetée avec dépens.</w:t>
            </w:r>
          </w:p>
          <w:p w:rsidR="00141BB2" w:rsidRPr="00141BB2" w:rsidRDefault="00141BB2" w:rsidP="00141BB2">
            <w:pPr>
              <w:jc w:val="both"/>
              <w:rPr>
                <w:sz w:val="20"/>
                <w:lang w:val="fr-CA"/>
              </w:rPr>
            </w:pPr>
          </w:p>
          <w:p w:rsidR="00141BB2" w:rsidRPr="00141BB2" w:rsidRDefault="00141BB2" w:rsidP="00141BB2">
            <w:pPr>
              <w:ind w:firstLine="720"/>
              <w:jc w:val="both"/>
              <w:rPr>
                <w:sz w:val="20"/>
              </w:rPr>
            </w:pPr>
            <w:r w:rsidRPr="00141BB2">
              <w:rPr>
                <w:sz w:val="20"/>
              </w:rPr>
              <w:t>The application for leave to appeal from the judgment of the Court of Appeal of Quebec (Québec), Number 200-09-007981-134, 2013 QCCA 1093, dated June 10, 2013, is dismissed with costs.</w:t>
            </w:r>
          </w:p>
        </w:tc>
      </w:tr>
    </w:tbl>
    <w:p w:rsidR="0010221A" w:rsidRDefault="0010221A" w:rsidP="0010221A">
      <w:pPr>
        <w:rPr>
          <w:sz w:val="20"/>
          <w:szCs w:val="20"/>
        </w:rPr>
      </w:pPr>
    </w:p>
    <w:p w:rsidR="0010221A" w:rsidRPr="001B157C" w:rsidRDefault="0010221A" w:rsidP="0010221A">
      <w:pPr>
        <w:rPr>
          <w:sz w:val="20"/>
          <w:szCs w:val="20"/>
          <w:u w:val="single"/>
        </w:rPr>
      </w:pPr>
      <w:r w:rsidRPr="001B157C">
        <w:rPr>
          <w:sz w:val="20"/>
          <w:szCs w:val="20"/>
          <w:u w:val="single"/>
        </w:rPr>
        <w:t>CASE SUMMARY</w:t>
      </w:r>
    </w:p>
    <w:p w:rsidR="0010221A" w:rsidRDefault="0010221A" w:rsidP="0010221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A36E8" w:rsidRPr="00DE1E45" w:rsidTr="001A7F7C">
        <w:tc>
          <w:tcPr>
            <w:tcW w:w="5000" w:type="pct"/>
            <w:gridSpan w:val="3"/>
          </w:tcPr>
          <w:p w:rsidR="00EA36E8" w:rsidRPr="00DE1E45" w:rsidRDefault="00EA36E8" w:rsidP="001A7F7C">
            <w:pPr>
              <w:jc w:val="both"/>
              <w:rPr>
                <w:rFonts w:eastAsia="Calibri"/>
                <w:sz w:val="20"/>
              </w:rPr>
            </w:pPr>
            <w:r w:rsidRPr="00DE1E45">
              <w:rPr>
                <w:rFonts w:eastAsia="Calibri"/>
                <w:i/>
                <w:sz w:val="20"/>
              </w:rPr>
              <w:t>Canadian Charter of Rights and Freedoms</w:t>
            </w:r>
            <w:r w:rsidRPr="00DE1E45">
              <w:rPr>
                <w:rFonts w:eastAsia="Calibri"/>
                <w:sz w:val="20"/>
              </w:rPr>
              <w:t xml:space="preserve"> — Property — Immovables — Sale of immovable for non</w:t>
            </w:r>
            <w:r w:rsidRPr="00DE1E45">
              <w:rPr>
                <w:rFonts w:eastAsia="Calibri"/>
                <w:sz w:val="20"/>
              </w:rPr>
              <w:noBreakHyphen/>
              <w:t xml:space="preserve">payment of taxes under </w:t>
            </w:r>
            <w:r w:rsidRPr="00DE1E45">
              <w:rPr>
                <w:rFonts w:eastAsia="Calibri"/>
                <w:i/>
                <w:sz w:val="20"/>
              </w:rPr>
              <w:t>Cities and Towns Act</w:t>
            </w:r>
            <w:r w:rsidRPr="00DE1E45">
              <w:rPr>
                <w:rFonts w:eastAsia="Calibri"/>
                <w:sz w:val="20"/>
              </w:rPr>
              <w:t>, R.S.Q. c. C</w:t>
            </w:r>
            <w:r w:rsidRPr="00DE1E45">
              <w:rPr>
                <w:rFonts w:eastAsia="Calibri"/>
                <w:sz w:val="20"/>
              </w:rPr>
              <w:noBreakHyphen/>
              <w:t xml:space="preserve">19 (Act) — Applicants filing motion for declaratory judgment seeking declaration that they had exercised their right to redeem within period specified in Act — Motion dismissed — Whether original owner’s rights annulled where purchaser sells adjudged immovable to third party — Rights of original owner under s. 7 of </w:t>
            </w:r>
            <w:r w:rsidRPr="00DE1E45">
              <w:rPr>
                <w:rFonts w:eastAsia="Calibri"/>
                <w:i/>
                <w:sz w:val="20"/>
              </w:rPr>
              <w:t>Canadian Charter of Rights and Freedoms</w:t>
            </w:r>
            <w:r w:rsidRPr="00DE1E45">
              <w:rPr>
                <w:rFonts w:eastAsia="Calibri"/>
                <w:sz w:val="20"/>
              </w:rPr>
              <w:t xml:space="preserve"> and ss. 6, 23 and 49 of </w:t>
            </w:r>
            <w:r w:rsidRPr="00DE1E45">
              <w:rPr>
                <w:rFonts w:eastAsia="Calibri"/>
                <w:i/>
                <w:sz w:val="20"/>
              </w:rPr>
              <w:t>Charter of human rights and freedoms</w:t>
            </w:r>
            <w:r w:rsidRPr="00DE1E45">
              <w:rPr>
                <w:rFonts w:eastAsia="Calibri"/>
                <w:sz w:val="20"/>
              </w:rPr>
              <w:t>, R.S.Q. c. C</w:t>
            </w:r>
            <w:r w:rsidRPr="00DE1E45">
              <w:rPr>
                <w:rFonts w:eastAsia="Calibri"/>
                <w:sz w:val="20"/>
              </w:rPr>
              <w:noBreakHyphen/>
              <w:t>12 — Whether Court of Appeal erred in dismissing Mr. Bernier’s appeal.</w:t>
            </w:r>
          </w:p>
        </w:tc>
      </w:tr>
      <w:tr w:rsidR="00EA36E8" w:rsidRPr="00DE1E45" w:rsidTr="001A7F7C">
        <w:tc>
          <w:tcPr>
            <w:tcW w:w="5000" w:type="pct"/>
            <w:gridSpan w:val="3"/>
          </w:tcPr>
          <w:p w:rsidR="00EA36E8" w:rsidRPr="00DE1E45" w:rsidRDefault="00EA36E8" w:rsidP="001A7F7C">
            <w:pPr>
              <w:jc w:val="both"/>
              <w:rPr>
                <w:rFonts w:eastAsia="Calibri"/>
                <w:sz w:val="20"/>
              </w:rPr>
            </w:pPr>
          </w:p>
        </w:tc>
      </w:tr>
      <w:tr w:rsidR="00EA36E8" w:rsidRPr="00DE1E45" w:rsidTr="001A7F7C">
        <w:tc>
          <w:tcPr>
            <w:tcW w:w="5000" w:type="pct"/>
            <w:gridSpan w:val="3"/>
          </w:tcPr>
          <w:p w:rsidR="00EA36E8" w:rsidRPr="00DE1E45" w:rsidRDefault="00EA36E8" w:rsidP="001A7F7C">
            <w:pPr>
              <w:jc w:val="both"/>
              <w:rPr>
                <w:rFonts w:eastAsia="Calibri"/>
                <w:sz w:val="20"/>
              </w:rPr>
            </w:pPr>
            <w:r w:rsidRPr="00DE1E45">
              <w:rPr>
                <w:rFonts w:eastAsia="Calibri"/>
                <w:sz w:val="20"/>
              </w:rPr>
              <w:t>This case arose out of the sale of a vacant lot for non-payment of the applicable municipal taxes.</w:t>
            </w:r>
          </w:p>
          <w:p w:rsidR="00EA36E8" w:rsidRPr="00DE1E45" w:rsidRDefault="00EA36E8" w:rsidP="001A7F7C">
            <w:pPr>
              <w:jc w:val="both"/>
              <w:rPr>
                <w:rFonts w:eastAsia="Calibri"/>
                <w:sz w:val="20"/>
              </w:rPr>
            </w:pPr>
          </w:p>
          <w:p w:rsidR="00EA36E8" w:rsidRPr="00DE1E45" w:rsidRDefault="00EA36E8" w:rsidP="001A7F7C">
            <w:pPr>
              <w:jc w:val="both"/>
              <w:rPr>
                <w:rFonts w:eastAsia="Calibri"/>
                <w:sz w:val="20"/>
              </w:rPr>
            </w:pPr>
            <w:r w:rsidRPr="00DE1E45">
              <w:rPr>
                <w:rFonts w:eastAsia="Calibri"/>
                <w:sz w:val="20"/>
              </w:rPr>
              <w:t xml:space="preserve">Fadwa Maujalli, the mother of the applicant Shirley Farrah, owned a vacant lot in the municipality of the town of Beaupré.  The municipal tax payment was overdue.  In accordance with the process set out in the </w:t>
            </w:r>
            <w:r w:rsidRPr="00DE1E45">
              <w:rPr>
                <w:rFonts w:eastAsia="Calibri"/>
                <w:i/>
                <w:sz w:val="20"/>
              </w:rPr>
              <w:t>Cities and Towns Act</w:t>
            </w:r>
            <w:r w:rsidRPr="00DE1E45">
              <w:rPr>
                <w:rFonts w:eastAsia="Calibri"/>
                <w:sz w:val="20"/>
              </w:rPr>
              <w:t xml:space="preserve"> (“the Act”) for selling property for non-payment of taxes, the property was adjudged to the respondent Gestion 11275 inc. during a public auction on November 21, 2001.  The next day, the town of Beaupré notified Ms. Maujalli that she could redeem the property within the year following the day of adjudication by paying the amounts required by the Act.</w:t>
            </w:r>
          </w:p>
          <w:p w:rsidR="00EA36E8" w:rsidRPr="00DE1E45" w:rsidRDefault="00EA36E8" w:rsidP="001A7F7C">
            <w:pPr>
              <w:jc w:val="both"/>
              <w:rPr>
                <w:rFonts w:eastAsia="Calibri"/>
                <w:sz w:val="20"/>
              </w:rPr>
            </w:pPr>
          </w:p>
          <w:p w:rsidR="00EA36E8" w:rsidRPr="00DE1E45" w:rsidRDefault="00EA36E8" w:rsidP="001A7F7C">
            <w:pPr>
              <w:jc w:val="both"/>
              <w:rPr>
                <w:rFonts w:eastAsia="Calibri"/>
                <w:sz w:val="20"/>
              </w:rPr>
            </w:pPr>
            <w:r w:rsidRPr="00DE1E45">
              <w:rPr>
                <w:rFonts w:eastAsia="Calibri"/>
                <w:sz w:val="20"/>
              </w:rPr>
              <w:t>In November 2002, a few days before the expiration of the period of one year following the adjudication of the property to Gestion 11275 inc., the applicants took steps on Ms. Maujalli’s behalf to find out the amounts to be paid to redeem the property.  They paid an amount in trust that later proved to be insufficient to cover all the costs required to redeem the property within the time specified in the Act.</w:t>
            </w:r>
          </w:p>
          <w:p w:rsidR="00EA36E8" w:rsidRPr="00DE1E45" w:rsidRDefault="00EA36E8" w:rsidP="001A7F7C">
            <w:pPr>
              <w:jc w:val="both"/>
              <w:rPr>
                <w:rFonts w:eastAsia="Calibri"/>
                <w:sz w:val="20"/>
              </w:rPr>
            </w:pPr>
          </w:p>
          <w:p w:rsidR="00EA36E8" w:rsidRPr="00DE1E45" w:rsidRDefault="00EA36E8" w:rsidP="001A7F7C">
            <w:pPr>
              <w:jc w:val="both"/>
              <w:rPr>
                <w:rFonts w:eastAsia="Calibri"/>
                <w:sz w:val="20"/>
              </w:rPr>
            </w:pPr>
            <w:r w:rsidRPr="00DE1E45">
              <w:rPr>
                <w:rFonts w:eastAsia="Calibri"/>
                <w:sz w:val="20"/>
              </w:rPr>
              <w:t xml:space="preserve">In September 2003, the town of Beaupré sold the property to Gestion 11275 inc.  Ms. Maujalli died a few months later, in December 2003.  Gestion remained the owner of the lot until June 2005, when it transferred the property to a third party. </w:t>
            </w:r>
          </w:p>
          <w:p w:rsidR="00EA36E8" w:rsidRPr="00DE1E45" w:rsidRDefault="00EA36E8" w:rsidP="001A7F7C">
            <w:pPr>
              <w:jc w:val="both"/>
              <w:rPr>
                <w:rFonts w:eastAsia="Calibri"/>
                <w:sz w:val="20"/>
              </w:rPr>
            </w:pPr>
          </w:p>
          <w:p w:rsidR="00EA36E8" w:rsidRPr="00DE1E45" w:rsidRDefault="00EA36E8" w:rsidP="001A7F7C">
            <w:pPr>
              <w:jc w:val="both"/>
              <w:rPr>
                <w:rFonts w:eastAsia="Calibri"/>
                <w:sz w:val="20"/>
              </w:rPr>
            </w:pPr>
            <w:r w:rsidRPr="00DE1E45">
              <w:rPr>
                <w:rFonts w:eastAsia="Calibri"/>
                <w:sz w:val="20"/>
              </w:rPr>
              <w:t>It was not until November 2012 that the applicants, Ms. Maujalli’s heirs, instituted proceedings concerning the property.  They filed a motion for a declaratory judgment seeking declarations that (i) the right to redeem the property sold for taxes had been exercised within the one</w:t>
            </w:r>
            <w:r w:rsidRPr="00DE1E45">
              <w:rPr>
                <w:rFonts w:eastAsia="Calibri"/>
                <w:sz w:val="20"/>
              </w:rPr>
              <w:noBreakHyphen/>
              <w:t xml:space="preserve">year period specified in the Act, and (ii) the offer to purchase made in November 2002 was good, valid and sufficient to redeem the property.  The respondent Gestion 11275 inc. moved to dismiss the motion on the ground that a motion for a declaratory judgment was not the proper procedural vehicle, </w:t>
            </w:r>
            <w:r w:rsidRPr="00DE1E45">
              <w:rPr>
                <w:rFonts w:eastAsia="Calibri"/>
                <w:sz w:val="20"/>
              </w:rPr>
              <w:lastRenderedPageBreak/>
              <w:t>since a court judgment could not end the debate insofar as the current owner of the property was not a party to the proceedings.  In the alternative, the respondent argued that the applicants’ motion had to be dismissed because the action was prescribed, since a three</w:t>
            </w:r>
            <w:r w:rsidRPr="00DE1E45">
              <w:rPr>
                <w:rFonts w:eastAsia="Calibri"/>
                <w:sz w:val="20"/>
              </w:rPr>
              <w:noBreakHyphen/>
              <w:t>year prescription period applied to the exercise of a personal right such as the right to redeem.</w:t>
            </w:r>
          </w:p>
          <w:p w:rsidR="00EA36E8" w:rsidRPr="00DE1E45" w:rsidRDefault="00EA36E8" w:rsidP="001A7F7C">
            <w:pPr>
              <w:jc w:val="both"/>
              <w:rPr>
                <w:rFonts w:eastAsia="Calibri"/>
                <w:sz w:val="20"/>
              </w:rPr>
            </w:pPr>
          </w:p>
        </w:tc>
      </w:tr>
      <w:tr w:rsidR="00EA36E8" w:rsidRPr="00DE1E45" w:rsidTr="001A7F7C">
        <w:tc>
          <w:tcPr>
            <w:tcW w:w="2427" w:type="pct"/>
          </w:tcPr>
          <w:p w:rsidR="00EA36E8" w:rsidRPr="00DE1E45" w:rsidRDefault="00EA36E8" w:rsidP="001A7F7C">
            <w:pPr>
              <w:jc w:val="both"/>
              <w:rPr>
                <w:rFonts w:eastAsia="Calibri"/>
                <w:sz w:val="20"/>
              </w:rPr>
            </w:pPr>
            <w:r w:rsidRPr="00DE1E45">
              <w:rPr>
                <w:rFonts w:eastAsia="Calibri"/>
                <w:sz w:val="20"/>
              </w:rPr>
              <w:lastRenderedPageBreak/>
              <w:t>February 13, 2013</w:t>
            </w:r>
          </w:p>
          <w:p w:rsidR="00EA36E8" w:rsidRPr="00DE1E45" w:rsidRDefault="00EA36E8" w:rsidP="001A7F7C">
            <w:pPr>
              <w:jc w:val="both"/>
              <w:rPr>
                <w:rFonts w:eastAsia="Calibri"/>
                <w:sz w:val="20"/>
              </w:rPr>
            </w:pPr>
            <w:r w:rsidRPr="00DE1E45">
              <w:rPr>
                <w:rFonts w:eastAsia="Calibri"/>
                <w:sz w:val="20"/>
              </w:rPr>
              <w:t>Quebec Superior Court</w:t>
            </w:r>
          </w:p>
          <w:p w:rsidR="00EA36E8" w:rsidRPr="00DE1E45" w:rsidRDefault="00EA36E8" w:rsidP="001A7F7C">
            <w:pPr>
              <w:jc w:val="both"/>
              <w:rPr>
                <w:rFonts w:eastAsia="Calibri"/>
                <w:sz w:val="20"/>
              </w:rPr>
            </w:pPr>
            <w:r w:rsidRPr="00DE1E45">
              <w:rPr>
                <w:rFonts w:eastAsia="Calibri"/>
                <w:sz w:val="20"/>
              </w:rPr>
              <w:t>(Ouellet J.)</w:t>
            </w:r>
          </w:p>
          <w:p w:rsidR="00EA36E8" w:rsidRPr="00DE1E45" w:rsidRDefault="00E672F1" w:rsidP="001A7F7C">
            <w:pPr>
              <w:jc w:val="both"/>
              <w:rPr>
                <w:rFonts w:eastAsia="Calibri"/>
                <w:sz w:val="20"/>
              </w:rPr>
            </w:pPr>
            <w:hyperlink r:id="rId26" w:history="1">
              <w:r w:rsidR="00EA36E8" w:rsidRPr="00DE1E45">
                <w:rPr>
                  <w:rFonts w:eastAsia="Calibri"/>
                  <w:color w:val="0000FF"/>
                  <w:sz w:val="20"/>
                  <w:u w:val="single"/>
                </w:rPr>
                <w:t>2013 QCCS 656</w:t>
              </w:r>
            </w:hyperlink>
          </w:p>
          <w:p w:rsidR="00EA36E8" w:rsidRPr="00DE1E45" w:rsidRDefault="00EA36E8" w:rsidP="001A7F7C">
            <w:pPr>
              <w:jc w:val="both"/>
              <w:rPr>
                <w:rFonts w:eastAsia="Calibri"/>
                <w:sz w:val="20"/>
              </w:rPr>
            </w:pPr>
          </w:p>
        </w:tc>
        <w:tc>
          <w:tcPr>
            <w:tcW w:w="243" w:type="pct"/>
          </w:tcPr>
          <w:p w:rsidR="00EA36E8" w:rsidRPr="00DE1E45" w:rsidRDefault="00EA36E8" w:rsidP="001A7F7C">
            <w:pPr>
              <w:jc w:val="both"/>
              <w:rPr>
                <w:rFonts w:eastAsia="Calibri"/>
                <w:sz w:val="20"/>
              </w:rPr>
            </w:pPr>
          </w:p>
        </w:tc>
        <w:tc>
          <w:tcPr>
            <w:tcW w:w="2330" w:type="pct"/>
          </w:tcPr>
          <w:p w:rsidR="00EA36E8" w:rsidRPr="00DE1E45" w:rsidRDefault="00EA36E8" w:rsidP="001A7F7C">
            <w:pPr>
              <w:jc w:val="both"/>
              <w:rPr>
                <w:rFonts w:eastAsia="Calibri"/>
                <w:sz w:val="20"/>
              </w:rPr>
            </w:pPr>
            <w:r w:rsidRPr="00DE1E45">
              <w:rPr>
                <w:rFonts w:eastAsia="Calibri"/>
                <w:sz w:val="20"/>
              </w:rPr>
              <w:t>Motion to dismiss allowed; motion for declaratory judgment dismissed</w:t>
            </w:r>
          </w:p>
          <w:p w:rsidR="00EA36E8" w:rsidRPr="00DE1E45" w:rsidRDefault="00EA36E8" w:rsidP="001A7F7C">
            <w:pPr>
              <w:jc w:val="both"/>
              <w:rPr>
                <w:rFonts w:eastAsia="Calibri"/>
                <w:sz w:val="20"/>
              </w:rPr>
            </w:pPr>
          </w:p>
        </w:tc>
      </w:tr>
      <w:tr w:rsidR="00EA36E8" w:rsidRPr="00DE1E45" w:rsidTr="001A7F7C">
        <w:tc>
          <w:tcPr>
            <w:tcW w:w="2427" w:type="pct"/>
          </w:tcPr>
          <w:p w:rsidR="00EA36E8" w:rsidRPr="00DE1E45" w:rsidRDefault="00EA36E8" w:rsidP="001A7F7C">
            <w:pPr>
              <w:jc w:val="both"/>
              <w:rPr>
                <w:rFonts w:eastAsia="Calibri"/>
                <w:sz w:val="20"/>
              </w:rPr>
            </w:pPr>
            <w:r w:rsidRPr="00DE1E45">
              <w:rPr>
                <w:rFonts w:eastAsia="Calibri"/>
                <w:sz w:val="20"/>
              </w:rPr>
              <w:t>June 10, 2013</w:t>
            </w:r>
          </w:p>
          <w:p w:rsidR="00EA36E8" w:rsidRPr="00DE1E45" w:rsidRDefault="00EA36E8" w:rsidP="001A7F7C">
            <w:pPr>
              <w:jc w:val="both"/>
              <w:rPr>
                <w:rFonts w:eastAsia="Calibri"/>
                <w:sz w:val="20"/>
              </w:rPr>
            </w:pPr>
            <w:r w:rsidRPr="00DE1E45">
              <w:rPr>
                <w:rFonts w:eastAsia="Calibri"/>
                <w:sz w:val="20"/>
              </w:rPr>
              <w:t>Quebec Court of Appeal (Québec)</w:t>
            </w:r>
          </w:p>
          <w:p w:rsidR="00EA36E8" w:rsidRPr="00DE1E45" w:rsidRDefault="00EA36E8" w:rsidP="001A7F7C">
            <w:pPr>
              <w:jc w:val="both"/>
              <w:rPr>
                <w:rFonts w:eastAsia="Calibri"/>
                <w:sz w:val="20"/>
              </w:rPr>
            </w:pPr>
            <w:r w:rsidRPr="00DE1E45">
              <w:rPr>
                <w:rFonts w:eastAsia="Calibri"/>
                <w:sz w:val="20"/>
              </w:rPr>
              <w:t>(Duval Hesler C.J. and Gagnon and Bouchard JJ.A.)</w:t>
            </w:r>
          </w:p>
          <w:p w:rsidR="00EA36E8" w:rsidRPr="00DE1E45" w:rsidRDefault="00E672F1" w:rsidP="001A7F7C">
            <w:pPr>
              <w:jc w:val="both"/>
              <w:rPr>
                <w:rFonts w:eastAsia="Calibri"/>
                <w:sz w:val="20"/>
              </w:rPr>
            </w:pPr>
            <w:hyperlink r:id="rId27" w:history="1">
              <w:r w:rsidR="00EA36E8" w:rsidRPr="00DE1E45">
                <w:rPr>
                  <w:rFonts w:eastAsia="Calibri"/>
                  <w:color w:val="0000FF"/>
                  <w:sz w:val="20"/>
                  <w:u w:val="single"/>
                </w:rPr>
                <w:t>2013 QCCA 1093</w:t>
              </w:r>
            </w:hyperlink>
          </w:p>
          <w:p w:rsidR="00EA36E8" w:rsidRPr="00DE1E45" w:rsidRDefault="00EA36E8" w:rsidP="001A7F7C">
            <w:pPr>
              <w:jc w:val="both"/>
              <w:rPr>
                <w:rFonts w:eastAsia="Calibri"/>
                <w:sz w:val="20"/>
              </w:rPr>
            </w:pPr>
          </w:p>
        </w:tc>
        <w:tc>
          <w:tcPr>
            <w:tcW w:w="243" w:type="pct"/>
          </w:tcPr>
          <w:p w:rsidR="00EA36E8" w:rsidRPr="00DE1E45" w:rsidRDefault="00EA36E8" w:rsidP="001A7F7C">
            <w:pPr>
              <w:jc w:val="both"/>
              <w:rPr>
                <w:rFonts w:eastAsia="Calibri"/>
                <w:sz w:val="20"/>
              </w:rPr>
            </w:pPr>
          </w:p>
        </w:tc>
        <w:tc>
          <w:tcPr>
            <w:tcW w:w="2330" w:type="pct"/>
          </w:tcPr>
          <w:p w:rsidR="00EA36E8" w:rsidRPr="00DE1E45" w:rsidRDefault="00EA36E8" w:rsidP="001A7F7C">
            <w:pPr>
              <w:jc w:val="both"/>
              <w:rPr>
                <w:rFonts w:eastAsia="Calibri"/>
                <w:sz w:val="20"/>
              </w:rPr>
            </w:pPr>
            <w:r w:rsidRPr="00DE1E45">
              <w:rPr>
                <w:rFonts w:eastAsia="Calibri"/>
                <w:sz w:val="20"/>
              </w:rPr>
              <w:t xml:space="preserve"> Motions to dismiss appeal allowed; appeal dismissed</w:t>
            </w:r>
          </w:p>
          <w:p w:rsidR="00EA36E8" w:rsidRPr="00DE1E45" w:rsidRDefault="00EA36E8" w:rsidP="001A7F7C">
            <w:pPr>
              <w:jc w:val="both"/>
              <w:rPr>
                <w:rFonts w:eastAsia="Calibri"/>
                <w:sz w:val="20"/>
              </w:rPr>
            </w:pPr>
          </w:p>
        </w:tc>
      </w:tr>
      <w:tr w:rsidR="00EA36E8" w:rsidRPr="00DE1E45" w:rsidTr="001A7F7C">
        <w:tc>
          <w:tcPr>
            <w:tcW w:w="2427" w:type="pct"/>
          </w:tcPr>
          <w:p w:rsidR="00EA36E8" w:rsidRPr="00DE1E45" w:rsidRDefault="00EA36E8" w:rsidP="001A7F7C">
            <w:pPr>
              <w:jc w:val="both"/>
              <w:rPr>
                <w:rFonts w:eastAsia="Calibri"/>
                <w:sz w:val="20"/>
              </w:rPr>
            </w:pPr>
            <w:r w:rsidRPr="00DE1E45">
              <w:rPr>
                <w:rFonts w:eastAsia="Calibri"/>
                <w:sz w:val="20"/>
              </w:rPr>
              <w:t>September 6, 2013</w:t>
            </w:r>
          </w:p>
          <w:p w:rsidR="00EA36E8" w:rsidRPr="00DE1E45" w:rsidRDefault="00EA36E8" w:rsidP="001A7F7C">
            <w:pPr>
              <w:jc w:val="both"/>
              <w:rPr>
                <w:rFonts w:eastAsia="Calibri"/>
                <w:sz w:val="20"/>
              </w:rPr>
            </w:pPr>
            <w:r w:rsidRPr="00DE1E45">
              <w:rPr>
                <w:rFonts w:eastAsia="Calibri"/>
                <w:sz w:val="20"/>
              </w:rPr>
              <w:t>Supreme Court of Canada</w:t>
            </w:r>
          </w:p>
        </w:tc>
        <w:tc>
          <w:tcPr>
            <w:tcW w:w="243" w:type="pct"/>
          </w:tcPr>
          <w:p w:rsidR="00EA36E8" w:rsidRPr="00DE1E45" w:rsidRDefault="00EA36E8" w:rsidP="001A7F7C">
            <w:pPr>
              <w:jc w:val="both"/>
              <w:rPr>
                <w:rFonts w:eastAsia="Calibri"/>
                <w:sz w:val="20"/>
              </w:rPr>
            </w:pPr>
          </w:p>
        </w:tc>
        <w:tc>
          <w:tcPr>
            <w:tcW w:w="2330" w:type="pct"/>
          </w:tcPr>
          <w:p w:rsidR="00EA36E8" w:rsidRPr="00DE1E45" w:rsidRDefault="00EA36E8" w:rsidP="001A7F7C">
            <w:pPr>
              <w:jc w:val="both"/>
              <w:rPr>
                <w:rFonts w:eastAsia="Calibri"/>
                <w:sz w:val="20"/>
              </w:rPr>
            </w:pPr>
            <w:r w:rsidRPr="00DE1E45">
              <w:rPr>
                <w:rFonts w:eastAsia="Calibri"/>
                <w:sz w:val="20"/>
              </w:rPr>
              <w:t>Application for leave to appeal filed</w:t>
            </w:r>
          </w:p>
          <w:p w:rsidR="00EA36E8" w:rsidRPr="00DE1E45" w:rsidRDefault="00EA36E8" w:rsidP="001A7F7C">
            <w:pPr>
              <w:jc w:val="both"/>
              <w:rPr>
                <w:rFonts w:eastAsia="Calibri"/>
                <w:sz w:val="20"/>
              </w:rPr>
            </w:pPr>
          </w:p>
        </w:tc>
      </w:tr>
    </w:tbl>
    <w:p w:rsidR="0010221A" w:rsidRDefault="0010221A" w:rsidP="0010221A">
      <w:pPr>
        <w:rPr>
          <w:sz w:val="20"/>
          <w:szCs w:val="20"/>
        </w:rPr>
      </w:pPr>
    </w:p>
    <w:p w:rsidR="0010221A" w:rsidRPr="00C50A5C" w:rsidRDefault="00E672F1" w:rsidP="0010221A">
      <w:pPr>
        <w:rPr>
          <w:sz w:val="20"/>
          <w:szCs w:val="20"/>
        </w:rPr>
      </w:pPr>
      <w:r>
        <w:rPr>
          <w:sz w:val="20"/>
          <w:szCs w:val="20"/>
          <w:lang w:val="fr-CA"/>
        </w:rPr>
        <w:pict>
          <v:rect id="_x0000_i1040" style="width:2in;height:1pt" o:hrpct="0" o:hralign="center" o:hrstd="t" o:hrnoshade="t" o:hr="t" fillcolor="black [3213]" stroked="f"/>
        </w:pict>
      </w:r>
    </w:p>
    <w:p w:rsidR="0010221A" w:rsidRDefault="0010221A" w:rsidP="0010221A">
      <w:pPr>
        <w:rPr>
          <w:sz w:val="20"/>
          <w:szCs w:val="20"/>
        </w:rPr>
      </w:pPr>
    </w:p>
    <w:p w:rsidR="0010221A" w:rsidRPr="001B157C" w:rsidRDefault="0010221A" w:rsidP="0010221A">
      <w:pPr>
        <w:rPr>
          <w:sz w:val="20"/>
          <w:szCs w:val="20"/>
          <w:u w:val="single"/>
          <w:lang w:val="fr-CA"/>
        </w:rPr>
      </w:pPr>
      <w:r w:rsidRPr="001B157C">
        <w:rPr>
          <w:sz w:val="20"/>
          <w:szCs w:val="20"/>
          <w:u w:val="single"/>
          <w:lang w:val="fr-CA"/>
        </w:rPr>
        <w:t>RÉSUMÉ DE L’AFFAIRE</w:t>
      </w:r>
    </w:p>
    <w:p w:rsidR="0010221A" w:rsidRDefault="0010221A" w:rsidP="0010221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A36E8" w:rsidRPr="00E672F1" w:rsidTr="001A7F7C">
        <w:tc>
          <w:tcPr>
            <w:tcW w:w="5000" w:type="pct"/>
            <w:gridSpan w:val="3"/>
          </w:tcPr>
          <w:p w:rsidR="00EA36E8" w:rsidRPr="00DE1E45" w:rsidRDefault="00EA36E8" w:rsidP="001A7F7C">
            <w:pPr>
              <w:jc w:val="both"/>
              <w:rPr>
                <w:rFonts w:eastAsia="Calibri"/>
                <w:sz w:val="20"/>
                <w:lang w:val="fr-CA"/>
              </w:rPr>
            </w:pPr>
            <w:r w:rsidRPr="00DE1E45">
              <w:rPr>
                <w:rFonts w:eastAsia="Calibri"/>
                <w:i/>
                <w:sz w:val="20"/>
                <w:lang w:val="fr-CA"/>
              </w:rPr>
              <w:t>Charte canadienne des droits et libertés</w:t>
            </w:r>
            <w:r w:rsidRPr="00DE1E45">
              <w:rPr>
                <w:rFonts w:eastAsia="Calibri"/>
                <w:sz w:val="20"/>
                <w:lang w:val="fr-CA"/>
              </w:rPr>
              <w:t xml:space="preserve"> — Biens — Biens immeubles — Vente d’immeuble en vertu de la </w:t>
            </w:r>
            <w:r w:rsidRPr="00DE1E45">
              <w:rPr>
                <w:rFonts w:eastAsia="Calibri"/>
                <w:i/>
                <w:sz w:val="20"/>
                <w:lang w:val="fr-CA"/>
              </w:rPr>
              <w:t>Loi sur les cités et villes</w:t>
            </w:r>
            <w:r w:rsidRPr="00DE1E45">
              <w:rPr>
                <w:rFonts w:eastAsia="Calibri"/>
                <w:sz w:val="20"/>
                <w:lang w:val="fr-CA"/>
              </w:rPr>
              <w:t xml:space="preserve">, L.R.Q. c. C-19 (la Loi) pour défaut de paiement de taxes — Demandeurs déposant requête pour jugement déclaratoire recherchant déclaration qu’ils avaient exercés leur droit de retrait dans le délai prévu à la Loi — Requête jugée irrecevable — Les droits d’un propriétaire originaire sont-ils annulés lorsqu’un adjudicataire vend un immeuble adjugé à un tiers? — Quels sont les droits d’un propriétaire originaire en vertu de l’article 7 de la </w:t>
            </w:r>
            <w:r w:rsidRPr="00DE1E45">
              <w:rPr>
                <w:rFonts w:eastAsia="Calibri"/>
                <w:i/>
                <w:sz w:val="20"/>
                <w:lang w:val="fr-CA"/>
              </w:rPr>
              <w:t>Charte</w:t>
            </w:r>
            <w:r w:rsidRPr="00DE1E45">
              <w:rPr>
                <w:rFonts w:eastAsia="Calibri"/>
                <w:sz w:val="20"/>
                <w:lang w:val="fr-CA"/>
              </w:rPr>
              <w:t xml:space="preserve"> </w:t>
            </w:r>
            <w:r w:rsidRPr="00DE1E45">
              <w:rPr>
                <w:rFonts w:eastAsia="Calibri"/>
                <w:i/>
                <w:sz w:val="20"/>
                <w:lang w:val="fr-CA"/>
              </w:rPr>
              <w:t>canadienne des droits et libertés</w:t>
            </w:r>
            <w:r w:rsidRPr="00DE1E45">
              <w:rPr>
                <w:rFonts w:eastAsia="Calibri"/>
                <w:sz w:val="20"/>
                <w:lang w:val="fr-CA"/>
              </w:rPr>
              <w:t xml:space="preserve"> et des articles 6, 23 et 49 de la </w:t>
            </w:r>
            <w:r w:rsidRPr="00DE1E45">
              <w:rPr>
                <w:rFonts w:eastAsia="Calibri"/>
                <w:i/>
                <w:sz w:val="20"/>
                <w:lang w:val="fr-CA"/>
              </w:rPr>
              <w:t>Charte  des droits et libertés de la personne</w:t>
            </w:r>
            <w:r w:rsidRPr="00DE1E45">
              <w:rPr>
                <w:rFonts w:eastAsia="Calibri"/>
                <w:sz w:val="20"/>
                <w:lang w:val="fr-CA"/>
              </w:rPr>
              <w:t>, L.R.Q. c. C-12? — La Cour d’appel a-t-elle erré en rejetant l’appel du demandeur?</w:t>
            </w:r>
          </w:p>
        </w:tc>
      </w:tr>
      <w:tr w:rsidR="00EA36E8" w:rsidRPr="00E672F1" w:rsidTr="001A7F7C">
        <w:tc>
          <w:tcPr>
            <w:tcW w:w="5000" w:type="pct"/>
            <w:gridSpan w:val="3"/>
          </w:tcPr>
          <w:p w:rsidR="00EA36E8" w:rsidRPr="00DE1E45" w:rsidRDefault="00EA36E8" w:rsidP="001A7F7C">
            <w:pPr>
              <w:jc w:val="both"/>
              <w:rPr>
                <w:rFonts w:eastAsia="Calibri"/>
                <w:sz w:val="20"/>
                <w:lang w:val="fr-CA"/>
              </w:rPr>
            </w:pPr>
          </w:p>
        </w:tc>
      </w:tr>
      <w:tr w:rsidR="00EA36E8" w:rsidRPr="00E672F1" w:rsidTr="001A7F7C">
        <w:tc>
          <w:tcPr>
            <w:tcW w:w="5000" w:type="pct"/>
            <w:gridSpan w:val="3"/>
          </w:tcPr>
          <w:p w:rsidR="00EA36E8" w:rsidRPr="00DE1E45" w:rsidRDefault="00EA36E8" w:rsidP="001A7F7C">
            <w:pPr>
              <w:jc w:val="both"/>
              <w:rPr>
                <w:rFonts w:eastAsia="Calibri"/>
                <w:sz w:val="20"/>
                <w:lang w:val="fr-CA"/>
              </w:rPr>
            </w:pPr>
            <w:r w:rsidRPr="00DE1E45">
              <w:rPr>
                <w:rFonts w:eastAsia="Calibri"/>
                <w:sz w:val="20"/>
                <w:lang w:val="fr-CA"/>
              </w:rPr>
              <w:t xml:space="preserve">La présente affaire découle la vente d’un lot vacant pour défaut de payer les taxes municipales applicables.  </w:t>
            </w:r>
          </w:p>
          <w:p w:rsidR="00EA36E8" w:rsidRPr="00DE1E45" w:rsidRDefault="00EA36E8" w:rsidP="001A7F7C">
            <w:pPr>
              <w:jc w:val="both"/>
              <w:rPr>
                <w:rFonts w:eastAsia="Calibri"/>
                <w:sz w:val="20"/>
                <w:lang w:val="fr-CA"/>
              </w:rPr>
            </w:pPr>
          </w:p>
          <w:p w:rsidR="00EA36E8" w:rsidRPr="00DE1E45" w:rsidRDefault="00EA36E8" w:rsidP="001A7F7C">
            <w:pPr>
              <w:jc w:val="both"/>
              <w:rPr>
                <w:rFonts w:eastAsia="Calibri"/>
                <w:sz w:val="20"/>
                <w:lang w:val="fr-CA"/>
              </w:rPr>
            </w:pPr>
            <w:r w:rsidRPr="00DE1E45">
              <w:rPr>
                <w:rFonts w:eastAsia="Calibri"/>
                <w:sz w:val="20"/>
                <w:lang w:val="fr-CA"/>
              </w:rPr>
              <w:t xml:space="preserve">Fadwa Maujalli, la mère de la demanderesse Shirley Farrah, est propriétaire d’un lot vacant dans la municipalité de la Ville de Beaupré. Le paiement des taxes municipales est en retard.  Conformément au processus de vente de propriétés pour défaut de paiement des taxes prévu à la </w:t>
            </w:r>
            <w:r w:rsidRPr="00DE1E45">
              <w:rPr>
                <w:rFonts w:eastAsia="Calibri"/>
                <w:i/>
                <w:sz w:val="20"/>
                <w:lang w:val="fr-CA"/>
              </w:rPr>
              <w:t>Loi sur les citées et villes</w:t>
            </w:r>
            <w:r w:rsidRPr="00DE1E45">
              <w:rPr>
                <w:rFonts w:eastAsia="Calibri"/>
                <w:sz w:val="20"/>
                <w:lang w:val="fr-CA"/>
              </w:rPr>
              <w:t xml:space="preserve"> (« la Loi »), la propriété est adjugée à l’intimée Gestion 11275 inc. lors d’une enchère publique ayant eu lieu le 21 novembre 2001.  La journée suivante, la Ville de Beaupré avise Mme Maujalli qu’elle aurait la possibilité de racheter la propriété dans l’année suivant la date de l’adjudication en payant les sommes requises par la Loi. </w:t>
            </w:r>
          </w:p>
          <w:p w:rsidR="00EA36E8" w:rsidRPr="00DE1E45" w:rsidRDefault="00EA36E8" w:rsidP="001A7F7C">
            <w:pPr>
              <w:jc w:val="both"/>
              <w:rPr>
                <w:rFonts w:eastAsia="Calibri"/>
                <w:sz w:val="20"/>
                <w:lang w:val="fr-CA"/>
              </w:rPr>
            </w:pPr>
          </w:p>
          <w:p w:rsidR="00EA36E8" w:rsidRPr="00DE1E45" w:rsidRDefault="00EA36E8" w:rsidP="001A7F7C">
            <w:pPr>
              <w:jc w:val="both"/>
              <w:rPr>
                <w:rFonts w:eastAsia="Calibri"/>
                <w:sz w:val="20"/>
                <w:lang w:val="fr-CA"/>
              </w:rPr>
            </w:pPr>
            <w:r w:rsidRPr="00DE1E45">
              <w:rPr>
                <w:rFonts w:eastAsia="Calibri"/>
                <w:sz w:val="20"/>
                <w:lang w:val="fr-CA"/>
              </w:rPr>
              <w:t xml:space="preserve">En novembre 2002 et quelques jours avant l’expiration du délai d’un an suivant l’adjudication de la propriété à Gestion 11275 inc., les demandeurs entreprennent – au nom de Mme Maujalli – des démarches pour s’enquérir des sommes à payer afin de racheter la propriété.  Ils versent en fiducie une somme qui s’est, par la suite, avérée insuffisante pour acquitter l’ensemble des frais nécessaires pour assurer le rachat de la propriété dans le délai prévu à la Loi.  </w:t>
            </w:r>
          </w:p>
          <w:p w:rsidR="00EA36E8" w:rsidRPr="00DE1E45" w:rsidRDefault="00EA36E8" w:rsidP="001A7F7C">
            <w:pPr>
              <w:jc w:val="both"/>
              <w:rPr>
                <w:rFonts w:eastAsia="Calibri"/>
                <w:sz w:val="20"/>
                <w:lang w:val="fr-CA"/>
              </w:rPr>
            </w:pPr>
          </w:p>
          <w:p w:rsidR="00EA36E8" w:rsidRPr="00DE1E45" w:rsidRDefault="00EA36E8" w:rsidP="001A7F7C">
            <w:pPr>
              <w:jc w:val="both"/>
              <w:rPr>
                <w:rFonts w:eastAsia="Calibri"/>
                <w:sz w:val="20"/>
                <w:lang w:val="fr-CA"/>
              </w:rPr>
            </w:pPr>
            <w:r w:rsidRPr="00DE1E45">
              <w:rPr>
                <w:rFonts w:eastAsia="Calibri"/>
                <w:sz w:val="20"/>
                <w:lang w:val="fr-CA"/>
              </w:rPr>
              <w:t xml:space="preserve">En septembre 2003, la Ville de Beaupré vend la propriété à Gestion 11275 inc..  Mme Maujalli décède quelques mois </w:t>
            </w:r>
            <w:r w:rsidRPr="00DE1E45">
              <w:rPr>
                <w:rFonts w:eastAsia="Calibri"/>
                <w:sz w:val="20"/>
                <w:lang w:val="fr-CA"/>
              </w:rPr>
              <w:lastRenderedPageBreak/>
              <w:t xml:space="preserve">plus tard, en décembre 2003.  Gestion demeure propriétaire du lot jusqu’en juin 2005 lorsqu’elle cède la propriété à une tierce partie. </w:t>
            </w:r>
          </w:p>
          <w:p w:rsidR="00EA36E8" w:rsidRPr="00DE1E45" w:rsidRDefault="00EA36E8" w:rsidP="001A7F7C">
            <w:pPr>
              <w:jc w:val="both"/>
              <w:rPr>
                <w:rFonts w:eastAsia="Calibri"/>
                <w:sz w:val="20"/>
                <w:lang w:val="fr-CA"/>
              </w:rPr>
            </w:pPr>
          </w:p>
          <w:p w:rsidR="00EA36E8" w:rsidRPr="00DE1E45" w:rsidRDefault="00EA36E8" w:rsidP="001A7F7C">
            <w:pPr>
              <w:jc w:val="both"/>
              <w:rPr>
                <w:rFonts w:eastAsia="Calibri"/>
                <w:sz w:val="20"/>
                <w:lang w:val="fr-CA"/>
              </w:rPr>
            </w:pPr>
            <w:r w:rsidRPr="00DE1E45">
              <w:rPr>
                <w:rFonts w:eastAsia="Calibri"/>
                <w:sz w:val="20"/>
                <w:lang w:val="fr-CA"/>
              </w:rPr>
              <w:t>Ce n’est qu’en novembre 2012 que les demandeurs, héritiers de Mme Maujalli, intentent des procédures concernant cette propriété.  Ils déposent une requête pour jugement déclaratoire visant à obtenir des déclarations à l’effet que (i) le droit de retrait de la propriété vendue pour taxes fut exercé dans le délai d’un an prévu à la Loi, et (ii) l’offre d’achat formulée en novembre 2002 était bonne, valable et suffisante pour assurer le rachat de la propriété.  L’intimée Gestion 11275 inc. attaque la recevabilité de cette requête au motif que la requête pour jugement déclaratoire ne constitue pas le bon véhicule procédural car un jugement de la Cour ne pourrait pas mettre fin au débat dans la mesure que le propriétaire actuel de la propriété n’est pas partie aux procédures.  Dans l’alternatif, l’intimée prétend que la requête des demandeurs est irrecevable car le recours est prescrit car un délai de prescription de trois ans d’applique à l’exercice d’un droit personnel tel que le droit de retrait.</w:t>
            </w:r>
          </w:p>
          <w:p w:rsidR="00EA36E8" w:rsidRPr="00DE1E45" w:rsidRDefault="00EA36E8" w:rsidP="001A7F7C">
            <w:pPr>
              <w:jc w:val="both"/>
              <w:rPr>
                <w:rFonts w:eastAsia="Calibri"/>
                <w:sz w:val="20"/>
                <w:lang w:val="fr-CA"/>
              </w:rPr>
            </w:pPr>
          </w:p>
        </w:tc>
      </w:tr>
      <w:tr w:rsidR="00EA36E8" w:rsidRPr="00E672F1" w:rsidTr="001A7F7C">
        <w:tc>
          <w:tcPr>
            <w:tcW w:w="2427" w:type="pct"/>
          </w:tcPr>
          <w:p w:rsidR="00EA36E8" w:rsidRPr="00DE1E45" w:rsidRDefault="00EA36E8" w:rsidP="001A7F7C">
            <w:pPr>
              <w:jc w:val="both"/>
              <w:rPr>
                <w:rFonts w:eastAsia="Calibri"/>
                <w:sz w:val="20"/>
                <w:lang w:val="fr-CA"/>
              </w:rPr>
            </w:pPr>
            <w:r w:rsidRPr="00DE1E45">
              <w:rPr>
                <w:rFonts w:eastAsia="Calibri"/>
                <w:sz w:val="20"/>
                <w:lang w:val="fr-CA"/>
              </w:rPr>
              <w:lastRenderedPageBreak/>
              <w:t>Le 13 février 2013</w:t>
            </w:r>
          </w:p>
          <w:p w:rsidR="00EA36E8" w:rsidRPr="00DE1E45" w:rsidRDefault="00EA36E8" w:rsidP="001A7F7C">
            <w:pPr>
              <w:jc w:val="both"/>
              <w:rPr>
                <w:rFonts w:eastAsia="Calibri"/>
                <w:sz w:val="20"/>
                <w:lang w:val="fr-CA"/>
              </w:rPr>
            </w:pPr>
            <w:r w:rsidRPr="00DE1E45">
              <w:rPr>
                <w:rFonts w:eastAsia="Calibri"/>
                <w:sz w:val="20"/>
                <w:lang w:val="fr-CA"/>
              </w:rPr>
              <w:t>Cour supérieure du Québec</w:t>
            </w:r>
          </w:p>
          <w:p w:rsidR="00EA36E8" w:rsidRPr="00DE1E45" w:rsidRDefault="00EA36E8" w:rsidP="001A7F7C">
            <w:pPr>
              <w:jc w:val="both"/>
              <w:rPr>
                <w:rFonts w:eastAsia="Calibri"/>
                <w:sz w:val="20"/>
                <w:lang w:val="fr-CA"/>
              </w:rPr>
            </w:pPr>
            <w:r w:rsidRPr="00DE1E45">
              <w:rPr>
                <w:rFonts w:eastAsia="Calibri"/>
                <w:sz w:val="20"/>
                <w:lang w:val="fr-CA"/>
              </w:rPr>
              <w:t>(Le juge Ouellet)</w:t>
            </w:r>
          </w:p>
          <w:p w:rsidR="00EA36E8" w:rsidRPr="00DE1E45" w:rsidRDefault="00E672F1" w:rsidP="001A7F7C">
            <w:pPr>
              <w:jc w:val="both"/>
              <w:rPr>
                <w:rFonts w:eastAsia="Calibri"/>
                <w:sz w:val="20"/>
                <w:lang w:val="fr-CA"/>
              </w:rPr>
            </w:pPr>
            <w:hyperlink r:id="rId28" w:history="1">
              <w:r w:rsidR="00EA36E8" w:rsidRPr="00DE1E45">
                <w:rPr>
                  <w:rFonts w:eastAsia="Calibri"/>
                  <w:color w:val="0000FF"/>
                  <w:sz w:val="20"/>
                  <w:u w:val="single"/>
                  <w:lang w:val="fr-CA"/>
                </w:rPr>
                <w:t>2013 QCCS 656</w:t>
              </w:r>
            </w:hyperlink>
          </w:p>
          <w:p w:rsidR="00EA36E8" w:rsidRPr="00DE1E45" w:rsidRDefault="00EA36E8" w:rsidP="001A7F7C">
            <w:pPr>
              <w:jc w:val="both"/>
              <w:rPr>
                <w:rFonts w:eastAsia="Calibri"/>
                <w:sz w:val="20"/>
              </w:rPr>
            </w:pPr>
          </w:p>
          <w:p w:rsidR="00EA36E8" w:rsidRPr="00DE1E45" w:rsidRDefault="00EA36E8" w:rsidP="001A7F7C">
            <w:pPr>
              <w:jc w:val="both"/>
              <w:rPr>
                <w:rFonts w:eastAsia="Calibri"/>
                <w:sz w:val="20"/>
              </w:rPr>
            </w:pPr>
          </w:p>
        </w:tc>
        <w:tc>
          <w:tcPr>
            <w:tcW w:w="243" w:type="pct"/>
          </w:tcPr>
          <w:p w:rsidR="00EA36E8" w:rsidRPr="00DE1E45" w:rsidRDefault="00EA36E8" w:rsidP="001A7F7C">
            <w:pPr>
              <w:jc w:val="both"/>
              <w:rPr>
                <w:rFonts w:eastAsia="Calibri"/>
                <w:sz w:val="20"/>
              </w:rPr>
            </w:pPr>
          </w:p>
        </w:tc>
        <w:tc>
          <w:tcPr>
            <w:tcW w:w="2330" w:type="pct"/>
          </w:tcPr>
          <w:p w:rsidR="00EA36E8" w:rsidRPr="00DE1E45" w:rsidRDefault="00EA36E8" w:rsidP="001A7F7C">
            <w:pPr>
              <w:jc w:val="both"/>
              <w:rPr>
                <w:rFonts w:eastAsia="Calibri"/>
                <w:sz w:val="20"/>
                <w:lang w:val="fr-CA"/>
              </w:rPr>
            </w:pPr>
            <w:r w:rsidRPr="00DE1E45">
              <w:rPr>
                <w:rFonts w:eastAsia="Calibri"/>
                <w:sz w:val="20"/>
                <w:lang w:val="fr-CA"/>
              </w:rPr>
              <w:t>Requête en irrecevabilité accueillie; Requête en jugement déclaratoire rejetée</w:t>
            </w:r>
          </w:p>
          <w:p w:rsidR="00EA36E8" w:rsidRPr="00DE1E45" w:rsidRDefault="00EA36E8" w:rsidP="001A7F7C">
            <w:pPr>
              <w:jc w:val="both"/>
              <w:rPr>
                <w:rFonts w:eastAsia="Calibri"/>
                <w:sz w:val="20"/>
                <w:lang w:val="fr-CA"/>
              </w:rPr>
            </w:pPr>
          </w:p>
        </w:tc>
      </w:tr>
      <w:tr w:rsidR="00EA36E8" w:rsidRPr="00E672F1" w:rsidTr="001A7F7C">
        <w:tc>
          <w:tcPr>
            <w:tcW w:w="2427" w:type="pct"/>
          </w:tcPr>
          <w:p w:rsidR="00EA36E8" w:rsidRPr="00DE1E45" w:rsidRDefault="00EA36E8" w:rsidP="001A7F7C">
            <w:pPr>
              <w:jc w:val="both"/>
              <w:rPr>
                <w:rFonts w:eastAsia="Calibri"/>
                <w:sz w:val="20"/>
                <w:lang w:val="fr-CA"/>
              </w:rPr>
            </w:pPr>
            <w:r w:rsidRPr="00DE1E45">
              <w:rPr>
                <w:rFonts w:eastAsia="Calibri"/>
                <w:sz w:val="20"/>
                <w:lang w:val="fr-CA"/>
              </w:rPr>
              <w:t>Le 10 juin 2013</w:t>
            </w:r>
          </w:p>
          <w:p w:rsidR="00EA36E8" w:rsidRPr="00DE1E45" w:rsidRDefault="00EA36E8" w:rsidP="001A7F7C">
            <w:pPr>
              <w:jc w:val="both"/>
              <w:rPr>
                <w:rFonts w:eastAsia="Calibri"/>
                <w:sz w:val="20"/>
                <w:lang w:val="fr-CA"/>
              </w:rPr>
            </w:pPr>
            <w:r w:rsidRPr="00DE1E45">
              <w:rPr>
                <w:rFonts w:eastAsia="Calibri"/>
                <w:sz w:val="20"/>
                <w:lang w:val="fr-CA"/>
              </w:rPr>
              <w:t>Cour d’appel du Québec (Québec)</w:t>
            </w:r>
          </w:p>
          <w:p w:rsidR="00EA36E8" w:rsidRPr="00DE1E45" w:rsidRDefault="00EA36E8" w:rsidP="001A7F7C">
            <w:pPr>
              <w:jc w:val="both"/>
              <w:rPr>
                <w:rFonts w:eastAsia="Calibri"/>
                <w:sz w:val="20"/>
                <w:lang w:val="fr-CA"/>
              </w:rPr>
            </w:pPr>
            <w:r w:rsidRPr="00DE1E45">
              <w:rPr>
                <w:rFonts w:eastAsia="Calibri"/>
                <w:sz w:val="20"/>
                <w:lang w:val="fr-CA"/>
              </w:rPr>
              <w:t>(La juge en chef Duval Hesler et les juges Gagnon et Bouchard)</w:t>
            </w:r>
          </w:p>
          <w:p w:rsidR="00EA36E8" w:rsidRPr="00DE1E45" w:rsidRDefault="00E672F1" w:rsidP="001A7F7C">
            <w:pPr>
              <w:jc w:val="both"/>
              <w:rPr>
                <w:rFonts w:eastAsia="Calibri"/>
                <w:sz w:val="20"/>
                <w:lang w:val="fr-CA"/>
              </w:rPr>
            </w:pPr>
            <w:hyperlink r:id="rId29" w:history="1">
              <w:r w:rsidR="00EA36E8" w:rsidRPr="00DE1E45">
                <w:rPr>
                  <w:rFonts w:eastAsia="Calibri"/>
                  <w:color w:val="0000FF"/>
                  <w:sz w:val="20"/>
                  <w:u w:val="single"/>
                  <w:lang w:val="fr-CA"/>
                </w:rPr>
                <w:t>2013 QCCA 1093</w:t>
              </w:r>
            </w:hyperlink>
          </w:p>
          <w:p w:rsidR="00EA36E8" w:rsidRPr="00DE1E45" w:rsidRDefault="00EA36E8" w:rsidP="001A7F7C">
            <w:pPr>
              <w:jc w:val="both"/>
              <w:rPr>
                <w:rFonts w:eastAsia="Calibri"/>
                <w:sz w:val="20"/>
                <w:lang w:val="fr-FR"/>
              </w:rPr>
            </w:pPr>
          </w:p>
        </w:tc>
        <w:tc>
          <w:tcPr>
            <w:tcW w:w="243" w:type="pct"/>
          </w:tcPr>
          <w:p w:rsidR="00EA36E8" w:rsidRPr="00DE1E45" w:rsidRDefault="00EA36E8" w:rsidP="001A7F7C">
            <w:pPr>
              <w:jc w:val="both"/>
              <w:rPr>
                <w:rFonts w:eastAsia="Calibri"/>
                <w:sz w:val="20"/>
                <w:lang w:val="fr-FR"/>
              </w:rPr>
            </w:pPr>
          </w:p>
        </w:tc>
        <w:tc>
          <w:tcPr>
            <w:tcW w:w="2330" w:type="pct"/>
          </w:tcPr>
          <w:p w:rsidR="00EA36E8" w:rsidRPr="00DE1E45" w:rsidRDefault="00EA36E8" w:rsidP="001A7F7C">
            <w:pPr>
              <w:jc w:val="both"/>
              <w:rPr>
                <w:rFonts w:eastAsia="Calibri"/>
                <w:sz w:val="20"/>
                <w:lang w:val="fr-CA"/>
              </w:rPr>
            </w:pPr>
            <w:r w:rsidRPr="00DE1E45">
              <w:rPr>
                <w:rFonts w:eastAsia="Calibri"/>
                <w:sz w:val="20"/>
                <w:lang w:val="fr-CA"/>
              </w:rPr>
              <w:t>Requêtes en rejet d’appel accueillies; Appel rejeté</w:t>
            </w:r>
          </w:p>
          <w:p w:rsidR="00EA36E8" w:rsidRPr="00DE1E45" w:rsidRDefault="00EA36E8" w:rsidP="001A7F7C">
            <w:pPr>
              <w:jc w:val="both"/>
              <w:rPr>
                <w:rFonts w:eastAsia="Calibri"/>
                <w:sz w:val="20"/>
                <w:lang w:val="fr-CA"/>
              </w:rPr>
            </w:pPr>
          </w:p>
        </w:tc>
      </w:tr>
      <w:tr w:rsidR="00EA36E8" w:rsidRPr="00DE1E45" w:rsidTr="001A7F7C">
        <w:tc>
          <w:tcPr>
            <w:tcW w:w="2427" w:type="pct"/>
          </w:tcPr>
          <w:p w:rsidR="00EA36E8" w:rsidRPr="00DE1E45" w:rsidRDefault="00EA36E8" w:rsidP="001A7F7C">
            <w:pPr>
              <w:jc w:val="both"/>
              <w:rPr>
                <w:rFonts w:eastAsia="Calibri"/>
                <w:sz w:val="20"/>
                <w:lang w:val="fr-CA"/>
              </w:rPr>
            </w:pPr>
            <w:r w:rsidRPr="00DE1E45">
              <w:rPr>
                <w:rFonts w:eastAsia="Calibri"/>
                <w:sz w:val="20"/>
                <w:lang w:val="fr-CA"/>
              </w:rPr>
              <w:t>Le 6 septembre 2013</w:t>
            </w:r>
          </w:p>
          <w:p w:rsidR="00EA36E8" w:rsidRPr="00DE1E45" w:rsidRDefault="00EA36E8" w:rsidP="001A7F7C">
            <w:pPr>
              <w:jc w:val="both"/>
              <w:rPr>
                <w:rFonts w:eastAsia="Calibri"/>
                <w:sz w:val="20"/>
                <w:lang w:val="fr-FR"/>
              </w:rPr>
            </w:pPr>
            <w:r w:rsidRPr="00DE1E45">
              <w:rPr>
                <w:rFonts w:eastAsia="Calibri"/>
                <w:sz w:val="20"/>
                <w:lang w:val="fr-CA"/>
              </w:rPr>
              <w:t>Cour suprême du Canada</w:t>
            </w:r>
          </w:p>
        </w:tc>
        <w:tc>
          <w:tcPr>
            <w:tcW w:w="243" w:type="pct"/>
          </w:tcPr>
          <w:p w:rsidR="00EA36E8" w:rsidRPr="00DE1E45" w:rsidRDefault="00EA36E8" w:rsidP="001A7F7C">
            <w:pPr>
              <w:jc w:val="both"/>
              <w:rPr>
                <w:rFonts w:eastAsia="Calibri"/>
                <w:sz w:val="20"/>
                <w:lang w:val="fr-FR"/>
              </w:rPr>
            </w:pPr>
          </w:p>
        </w:tc>
        <w:tc>
          <w:tcPr>
            <w:tcW w:w="2330" w:type="pct"/>
          </w:tcPr>
          <w:p w:rsidR="00EA36E8" w:rsidRPr="00DE1E45" w:rsidRDefault="00EA36E8" w:rsidP="001A7F7C">
            <w:pPr>
              <w:jc w:val="both"/>
              <w:rPr>
                <w:rFonts w:eastAsia="Calibri"/>
                <w:sz w:val="20"/>
                <w:lang w:val="fr-CA"/>
              </w:rPr>
            </w:pPr>
            <w:r w:rsidRPr="00DE1E45">
              <w:rPr>
                <w:rFonts w:eastAsia="Calibri"/>
                <w:sz w:val="20"/>
                <w:lang w:val="fr-CA"/>
              </w:rPr>
              <w:t>Demande d'autorisation d'appel déposée</w:t>
            </w:r>
          </w:p>
          <w:p w:rsidR="00EA36E8" w:rsidRPr="00DE1E45" w:rsidRDefault="00EA36E8" w:rsidP="001A7F7C">
            <w:pPr>
              <w:jc w:val="both"/>
              <w:rPr>
                <w:rFonts w:eastAsia="Calibri"/>
                <w:sz w:val="20"/>
                <w:lang w:val="fr-CA"/>
              </w:rPr>
            </w:pPr>
          </w:p>
        </w:tc>
      </w:tr>
    </w:tbl>
    <w:p w:rsidR="0010221A" w:rsidRDefault="0010221A" w:rsidP="0010221A">
      <w:pPr>
        <w:rPr>
          <w:sz w:val="20"/>
          <w:szCs w:val="20"/>
        </w:rPr>
      </w:pPr>
    </w:p>
    <w:p w:rsidR="0010221A" w:rsidRDefault="00E672F1" w:rsidP="0010221A">
      <w:pPr>
        <w:rPr>
          <w:sz w:val="20"/>
          <w:szCs w:val="20"/>
        </w:rPr>
      </w:pPr>
      <w:r>
        <w:rPr>
          <w:sz w:val="20"/>
          <w:szCs w:val="20"/>
          <w:lang w:val="fr-CA"/>
        </w:rPr>
        <w:pict>
          <v:rect id="_x0000_i1041" style="width:2in;height:1pt" o:hrpct="0" o:hralign="center" o:hrstd="t" o:hrnoshade="t" o:hr="t" fillcolor="black [3213]" stroked="f"/>
        </w:pict>
      </w:r>
    </w:p>
    <w:p w:rsidR="0010221A" w:rsidRDefault="0010221A" w:rsidP="0010221A">
      <w:pPr>
        <w:rPr>
          <w:sz w:val="20"/>
          <w:szCs w:val="20"/>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41BB2" w:rsidRPr="00141BB2" w:rsidTr="00D8225B">
        <w:trPr>
          <w:cantSplit/>
        </w:trPr>
        <w:tc>
          <w:tcPr>
            <w:tcW w:w="1458" w:type="dxa"/>
          </w:tcPr>
          <w:p w:rsidR="00141BB2" w:rsidRPr="00141BB2" w:rsidRDefault="00141BB2" w:rsidP="00141BB2">
            <w:pPr>
              <w:rPr>
                <w:sz w:val="20"/>
              </w:rPr>
            </w:pPr>
            <w:r w:rsidRPr="00141BB2">
              <w:rPr>
                <w:b/>
                <w:sz w:val="20"/>
                <w:lang w:val="fr-CA"/>
              </w:rPr>
              <w:t>35517</w:t>
            </w:r>
          </w:p>
          <w:p w:rsidR="00141BB2" w:rsidRPr="00141BB2" w:rsidRDefault="00141BB2" w:rsidP="00141BB2">
            <w:pPr>
              <w:rPr>
                <w:b/>
                <w:sz w:val="20"/>
                <w:lang w:val="fr-CA"/>
              </w:rPr>
            </w:pPr>
          </w:p>
        </w:tc>
        <w:tc>
          <w:tcPr>
            <w:tcW w:w="8118" w:type="dxa"/>
          </w:tcPr>
          <w:p w:rsidR="00141BB2" w:rsidRPr="00141BB2" w:rsidRDefault="00141BB2" w:rsidP="00141BB2">
            <w:pPr>
              <w:rPr>
                <w:sz w:val="20"/>
              </w:rPr>
            </w:pPr>
            <w:r w:rsidRPr="00141BB2">
              <w:rPr>
                <w:b/>
                <w:sz w:val="20"/>
                <w:u w:val="single"/>
                <w:lang w:val="fr-CA"/>
              </w:rPr>
              <w:t>Nahum Gelber v. Alexandre Van Damme</w:t>
            </w:r>
            <w:r w:rsidRPr="00141BB2">
              <w:rPr>
                <w:sz w:val="20"/>
                <w:lang w:val="fr-CA"/>
              </w:rPr>
              <w:t xml:space="preserve"> (Ont.) </w:t>
            </w:r>
            <w:r w:rsidRPr="00141BB2">
              <w:rPr>
                <w:sz w:val="20"/>
              </w:rPr>
              <w:t>(Civil) (By Leave)</w:t>
            </w:r>
          </w:p>
          <w:p w:rsidR="00141BB2" w:rsidRPr="00141BB2" w:rsidRDefault="00141BB2" w:rsidP="00141BB2">
            <w:pPr>
              <w:rPr>
                <w:sz w:val="20"/>
              </w:rPr>
            </w:pPr>
          </w:p>
        </w:tc>
      </w:tr>
      <w:tr w:rsidR="00141BB2" w:rsidRPr="00141BB2" w:rsidTr="00D8225B">
        <w:trPr>
          <w:cantSplit/>
        </w:trPr>
        <w:tc>
          <w:tcPr>
            <w:tcW w:w="1458" w:type="dxa"/>
          </w:tcPr>
          <w:p w:rsidR="00141BB2" w:rsidRPr="00141BB2" w:rsidRDefault="00141BB2" w:rsidP="00141BB2">
            <w:pPr>
              <w:rPr>
                <w:sz w:val="20"/>
              </w:rPr>
            </w:pPr>
            <w:r w:rsidRPr="00141BB2">
              <w:rPr>
                <w:sz w:val="20"/>
              </w:rPr>
              <w:t>Coram :</w:t>
            </w:r>
          </w:p>
        </w:tc>
        <w:tc>
          <w:tcPr>
            <w:tcW w:w="8118" w:type="dxa"/>
          </w:tcPr>
          <w:p w:rsidR="00141BB2" w:rsidRPr="00141BB2" w:rsidRDefault="00141BB2" w:rsidP="00141BB2">
            <w:pPr>
              <w:rPr>
                <w:sz w:val="20"/>
              </w:rPr>
            </w:pPr>
            <w:r w:rsidRPr="00141BB2">
              <w:rPr>
                <w:sz w:val="20"/>
                <w:u w:val="single"/>
              </w:rPr>
              <w:t>Abella, Rothstein and Moldaver JJ.</w:t>
            </w:r>
          </w:p>
          <w:p w:rsidR="00141BB2" w:rsidRPr="00141BB2" w:rsidRDefault="00141BB2" w:rsidP="00141BB2">
            <w:pPr>
              <w:rPr>
                <w:sz w:val="20"/>
                <w:u w:val="single"/>
              </w:rPr>
            </w:pPr>
          </w:p>
        </w:tc>
      </w:tr>
      <w:tr w:rsidR="00141BB2" w:rsidRPr="00E672F1" w:rsidTr="00D8225B">
        <w:trPr>
          <w:cantSplit/>
        </w:trPr>
        <w:tc>
          <w:tcPr>
            <w:tcW w:w="9576" w:type="dxa"/>
            <w:gridSpan w:val="2"/>
          </w:tcPr>
          <w:p w:rsidR="00141BB2" w:rsidRPr="00141BB2" w:rsidRDefault="00141BB2" w:rsidP="00141BB2">
            <w:pPr>
              <w:ind w:firstLine="720"/>
              <w:jc w:val="both"/>
              <w:rPr>
                <w:sz w:val="20"/>
              </w:rPr>
            </w:pPr>
            <w:r w:rsidRPr="00141BB2">
              <w:rPr>
                <w:sz w:val="20"/>
              </w:rPr>
              <w:t>The application for leave to appeal from the judgment of the Court of Appeal for Ontario, Number C56358, 2013 ONCA 388, dated June 12, 2013, is dismissed with costs to the respondent, including costs of the motion for a stay of execution, referred to in the judgment of the Ontario Court of Appeal dated July 26, 2013, on a party and party basis.</w:t>
            </w:r>
          </w:p>
          <w:p w:rsidR="00141BB2" w:rsidRPr="00141BB2" w:rsidRDefault="00141BB2" w:rsidP="00141BB2">
            <w:pPr>
              <w:jc w:val="both"/>
              <w:rPr>
                <w:sz w:val="20"/>
              </w:rPr>
            </w:pPr>
          </w:p>
          <w:p w:rsidR="00141BB2" w:rsidRPr="00141BB2" w:rsidRDefault="00141BB2" w:rsidP="00141BB2">
            <w:pPr>
              <w:ind w:firstLine="720"/>
              <w:jc w:val="both"/>
              <w:rPr>
                <w:sz w:val="20"/>
                <w:lang w:val="fr-CA"/>
              </w:rPr>
            </w:pPr>
            <w:r w:rsidRPr="00141BB2">
              <w:rPr>
                <w:sz w:val="20"/>
                <w:lang w:val="fr-CA"/>
              </w:rPr>
              <w:t>La demande d’autorisation d’appel de l’arrêt de la Cour d’appel de l’Ontario, numéro C56358, 2013 ONCA 388, daté du 12 juin 2013, est rejetée avec dépens en faveur de l’intimé, sur la base des dépens entre parties, y compris les dépens relatifs à la requête en sursis d’exécution mentionnée dans le jugement de la Cour d’appel de l’Ontario rendu le 26 juillet 2013.</w:t>
            </w:r>
          </w:p>
        </w:tc>
      </w:tr>
    </w:tbl>
    <w:p w:rsidR="0010221A" w:rsidRPr="00141BB2" w:rsidRDefault="0010221A" w:rsidP="0010221A">
      <w:pPr>
        <w:rPr>
          <w:sz w:val="20"/>
          <w:szCs w:val="20"/>
          <w:lang w:val="fr-CA"/>
        </w:rPr>
      </w:pPr>
    </w:p>
    <w:p w:rsidR="0010221A" w:rsidRPr="001B157C" w:rsidRDefault="0010221A" w:rsidP="0010221A">
      <w:pPr>
        <w:rPr>
          <w:sz w:val="20"/>
          <w:szCs w:val="20"/>
          <w:u w:val="single"/>
        </w:rPr>
      </w:pPr>
      <w:r w:rsidRPr="001B157C">
        <w:rPr>
          <w:sz w:val="20"/>
          <w:szCs w:val="20"/>
          <w:u w:val="single"/>
        </w:rPr>
        <w:t>CASE SUMMARY</w:t>
      </w:r>
    </w:p>
    <w:p w:rsidR="0010221A" w:rsidRDefault="0010221A" w:rsidP="0010221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A36E8" w:rsidRPr="00DE1E45" w:rsidTr="001A7F7C">
        <w:tc>
          <w:tcPr>
            <w:tcW w:w="5000" w:type="pct"/>
            <w:gridSpan w:val="3"/>
          </w:tcPr>
          <w:p w:rsidR="00EA36E8" w:rsidRPr="00DE1E45" w:rsidRDefault="00EA36E8" w:rsidP="001A7F7C">
            <w:pPr>
              <w:jc w:val="both"/>
              <w:rPr>
                <w:rFonts w:eastAsia="Calibri"/>
                <w:sz w:val="20"/>
              </w:rPr>
            </w:pPr>
            <w:r w:rsidRPr="00DE1E45">
              <w:rPr>
                <w:rFonts w:eastAsia="Calibri"/>
                <w:sz w:val="20"/>
              </w:rPr>
              <w:lastRenderedPageBreak/>
              <w:t>Courts – Jurisdiction – Attornment – Civil Procedure – Principles underpinning concept of attornment – Test to determine attornment – Role of procedural rules and orders of foreign court in assessing whether a litigant attorned to foreign court’s jurisdiction – When determining whether to enforce a foreign judgment, whether Canadian court can accept and apply findings made by the foreign court in deciding jurisdiction.</w:t>
            </w:r>
          </w:p>
        </w:tc>
      </w:tr>
      <w:tr w:rsidR="00EA36E8" w:rsidRPr="00DE1E45" w:rsidTr="001A7F7C">
        <w:tc>
          <w:tcPr>
            <w:tcW w:w="5000" w:type="pct"/>
            <w:gridSpan w:val="3"/>
          </w:tcPr>
          <w:p w:rsidR="00EA36E8" w:rsidRPr="00DE1E45" w:rsidRDefault="00EA36E8" w:rsidP="001A7F7C">
            <w:pPr>
              <w:jc w:val="both"/>
              <w:rPr>
                <w:rFonts w:eastAsia="Calibri"/>
                <w:sz w:val="20"/>
              </w:rPr>
            </w:pPr>
          </w:p>
        </w:tc>
      </w:tr>
      <w:tr w:rsidR="00EA36E8" w:rsidRPr="00DE1E45" w:rsidTr="001A7F7C">
        <w:tc>
          <w:tcPr>
            <w:tcW w:w="5000" w:type="pct"/>
            <w:gridSpan w:val="3"/>
          </w:tcPr>
          <w:p w:rsidR="00EA36E8" w:rsidRPr="00DE1E45" w:rsidRDefault="00EA36E8" w:rsidP="001A7F7C">
            <w:pPr>
              <w:jc w:val="both"/>
              <w:rPr>
                <w:rFonts w:eastAsia="Calibri"/>
                <w:sz w:val="20"/>
              </w:rPr>
            </w:pPr>
            <w:r w:rsidRPr="00DE1E45">
              <w:rPr>
                <w:rFonts w:eastAsia="Calibri"/>
                <w:sz w:val="20"/>
              </w:rPr>
              <w:t>The applicant denied that he entered into an agreement to sell a painting located in Toronto to the respondent.  The parties consented to an order preserving the painting.  The respondent commenced an action for specific performance in New York, relying on a forum selection clause in the alleged contract of sale.  The applicant challenged the jurisdiction of the New York courts but was ordered by the New York trial judge to file an Answer and to complete depositions and discoveries.  Both parties moved for summary judgment in New York.  The New York trial judge granted summary judgment to the respondent.  In New York, the applicant appealed and brought motions for relief. In Ontario, while proceedings continued in New York, the respondent brought a motion to amend the order preserving the painting.  He asked the Ontario Superior Court to recognize and enforce the New York trial judgment.  The applicant sought to stay the proceedings in Ontario.  The motions judge issued an order recognizing and enforcing the judgment rendered in New York.  The applicant appealed.</w:t>
            </w:r>
          </w:p>
          <w:p w:rsidR="00EA36E8" w:rsidRPr="00DE1E45" w:rsidRDefault="00EA36E8" w:rsidP="001A7F7C">
            <w:pPr>
              <w:jc w:val="both"/>
              <w:rPr>
                <w:rFonts w:eastAsia="Calibri"/>
                <w:sz w:val="20"/>
              </w:rPr>
            </w:pPr>
          </w:p>
        </w:tc>
      </w:tr>
      <w:tr w:rsidR="00EA36E8" w:rsidRPr="00DE1E45" w:rsidTr="001A7F7C">
        <w:tc>
          <w:tcPr>
            <w:tcW w:w="2427" w:type="pct"/>
          </w:tcPr>
          <w:p w:rsidR="00EA36E8" w:rsidRPr="00DE1E45" w:rsidRDefault="00EA36E8" w:rsidP="001A7F7C">
            <w:pPr>
              <w:jc w:val="both"/>
              <w:rPr>
                <w:rFonts w:eastAsia="Calibri"/>
                <w:sz w:val="20"/>
              </w:rPr>
            </w:pPr>
            <w:r w:rsidRPr="00DE1E45">
              <w:rPr>
                <w:rFonts w:eastAsia="Calibri"/>
                <w:color w:val="000000"/>
                <w:sz w:val="20"/>
              </w:rPr>
              <w:t>August 7, 2007</w:t>
            </w:r>
            <w:r w:rsidRPr="00DE1E45">
              <w:rPr>
                <w:rFonts w:eastAsia="Calibri"/>
                <w:sz w:val="20"/>
              </w:rPr>
              <w:t xml:space="preserve"> </w:t>
            </w:r>
          </w:p>
          <w:p w:rsidR="00EA36E8" w:rsidRPr="00DE1E45" w:rsidRDefault="00EA36E8" w:rsidP="001A7F7C">
            <w:pPr>
              <w:jc w:val="both"/>
              <w:rPr>
                <w:rFonts w:eastAsia="Calibri"/>
                <w:sz w:val="20"/>
              </w:rPr>
            </w:pPr>
            <w:r w:rsidRPr="00DE1E45">
              <w:rPr>
                <w:rFonts w:eastAsia="Calibri"/>
                <w:sz w:val="20"/>
              </w:rPr>
              <w:t>Ontario Superior Court of Justice</w:t>
            </w:r>
          </w:p>
          <w:p w:rsidR="00EA36E8" w:rsidRPr="00DE1E45" w:rsidRDefault="00EA36E8" w:rsidP="001A7F7C">
            <w:pPr>
              <w:jc w:val="both"/>
              <w:rPr>
                <w:rFonts w:eastAsia="Calibri"/>
                <w:iCs/>
                <w:color w:val="000000"/>
                <w:sz w:val="20"/>
              </w:rPr>
            </w:pPr>
            <w:r w:rsidRPr="00DE1E45">
              <w:rPr>
                <w:rFonts w:eastAsia="Calibri"/>
                <w:iCs/>
                <w:color w:val="000000"/>
                <w:sz w:val="20"/>
              </w:rPr>
              <w:t>(Ducharme J.)</w:t>
            </w:r>
          </w:p>
          <w:p w:rsidR="00EA36E8" w:rsidRPr="00DE1E45" w:rsidRDefault="00EA36E8" w:rsidP="001A7F7C">
            <w:pPr>
              <w:jc w:val="both"/>
              <w:rPr>
                <w:rFonts w:eastAsia="Calibri"/>
                <w:color w:val="000000"/>
                <w:sz w:val="20"/>
              </w:rPr>
            </w:pPr>
          </w:p>
        </w:tc>
        <w:tc>
          <w:tcPr>
            <w:tcW w:w="243" w:type="pct"/>
          </w:tcPr>
          <w:p w:rsidR="00EA36E8" w:rsidRPr="00DE1E45" w:rsidRDefault="00EA36E8" w:rsidP="001A7F7C">
            <w:pPr>
              <w:jc w:val="both"/>
              <w:rPr>
                <w:rFonts w:eastAsia="Calibri"/>
                <w:color w:val="000000"/>
                <w:sz w:val="20"/>
              </w:rPr>
            </w:pPr>
          </w:p>
        </w:tc>
        <w:tc>
          <w:tcPr>
            <w:tcW w:w="2330" w:type="pct"/>
          </w:tcPr>
          <w:p w:rsidR="00EA36E8" w:rsidRPr="00DE1E45" w:rsidRDefault="00EA36E8" w:rsidP="001A7F7C">
            <w:pPr>
              <w:jc w:val="both"/>
              <w:rPr>
                <w:rFonts w:eastAsia="Calibri"/>
                <w:color w:val="000000"/>
                <w:sz w:val="20"/>
              </w:rPr>
            </w:pPr>
            <w:r w:rsidRPr="00DE1E45">
              <w:rPr>
                <w:rFonts w:eastAsia="Calibri"/>
                <w:sz w:val="20"/>
              </w:rPr>
              <w:t xml:space="preserve">Order painting not to be sold, disposed of, pledged, </w:t>
            </w:r>
            <w:r w:rsidRPr="00DE1E45">
              <w:rPr>
                <w:rFonts w:eastAsia="Calibri"/>
                <w:color w:val="000000"/>
                <w:sz w:val="20"/>
              </w:rPr>
              <w:t xml:space="preserve">taken outside Ontario, or  moved without consent </w:t>
            </w:r>
          </w:p>
          <w:p w:rsidR="00EA36E8" w:rsidRPr="00DE1E45" w:rsidRDefault="00EA36E8" w:rsidP="001A7F7C">
            <w:pPr>
              <w:jc w:val="both"/>
              <w:rPr>
                <w:rFonts w:eastAsia="Calibri"/>
                <w:sz w:val="20"/>
              </w:rPr>
            </w:pPr>
            <w:r w:rsidRPr="00DE1E45">
              <w:rPr>
                <w:rFonts w:eastAsia="Calibri"/>
                <w:color w:val="000000"/>
                <w:sz w:val="20"/>
              </w:rPr>
              <w:t xml:space="preserve"> </w:t>
            </w:r>
          </w:p>
        </w:tc>
      </w:tr>
      <w:tr w:rsidR="00EA36E8" w:rsidRPr="00DE1E45" w:rsidTr="001A7F7C">
        <w:tc>
          <w:tcPr>
            <w:tcW w:w="2427" w:type="pct"/>
          </w:tcPr>
          <w:p w:rsidR="00EA36E8" w:rsidRPr="00DE1E45" w:rsidRDefault="00EA36E8" w:rsidP="001A7F7C">
            <w:pPr>
              <w:jc w:val="both"/>
              <w:rPr>
                <w:rFonts w:eastAsia="Calibri"/>
                <w:sz w:val="20"/>
              </w:rPr>
            </w:pPr>
            <w:r w:rsidRPr="00DE1E45">
              <w:rPr>
                <w:rFonts w:eastAsia="Calibri"/>
                <w:sz w:val="20"/>
              </w:rPr>
              <w:t>November 9, 2012</w:t>
            </w:r>
          </w:p>
          <w:p w:rsidR="00EA36E8" w:rsidRPr="00DE1E45" w:rsidRDefault="00EA36E8" w:rsidP="001A7F7C">
            <w:pPr>
              <w:jc w:val="both"/>
              <w:rPr>
                <w:rFonts w:eastAsia="Calibri"/>
                <w:sz w:val="20"/>
              </w:rPr>
            </w:pPr>
            <w:r w:rsidRPr="00DE1E45">
              <w:rPr>
                <w:rFonts w:eastAsia="Calibri"/>
                <w:sz w:val="20"/>
              </w:rPr>
              <w:t>Ontario Superior Court of Justice</w:t>
            </w:r>
          </w:p>
          <w:p w:rsidR="00EA36E8" w:rsidRPr="00DE1E45" w:rsidRDefault="00EA36E8" w:rsidP="001A7F7C">
            <w:pPr>
              <w:jc w:val="both"/>
              <w:rPr>
                <w:rFonts w:eastAsia="Calibri"/>
                <w:color w:val="548DD4"/>
                <w:sz w:val="20"/>
              </w:rPr>
            </w:pPr>
            <w:r w:rsidRPr="00DE1E45">
              <w:rPr>
                <w:rFonts w:eastAsia="Calibri"/>
                <w:sz w:val="20"/>
              </w:rPr>
              <w:t>(Lederer J.)</w:t>
            </w:r>
          </w:p>
          <w:p w:rsidR="00EA36E8" w:rsidRPr="00DE1E45" w:rsidRDefault="00E672F1" w:rsidP="001A7F7C">
            <w:pPr>
              <w:jc w:val="both"/>
              <w:rPr>
                <w:rFonts w:eastAsia="Calibri"/>
                <w:color w:val="365F91"/>
                <w:sz w:val="20"/>
              </w:rPr>
            </w:pPr>
            <w:hyperlink r:id="rId30" w:history="1">
              <w:r w:rsidR="00EA36E8" w:rsidRPr="00DE1E45">
                <w:rPr>
                  <w:rFonts w:eastAsia="Calibri"/>
                  <w:color w:val="365F91"/>
                  <w:sz w:val="20"/>
                </w:rPr>
                <w:t>2012 ONSC 6277</w:t>
              </w:r>
            </w:hyperlink>
          </w:p>
          <w:p w:rsidR="00EA36E8" w:rsidRPr="00DE1E45" w:rsidRDefault="00EA36E8" w:rsidP="001A7F7C">
            <w:pPr>
              <w:jc w:val="both"/>
              <w:rPr>
                <w:rFonts w:eastAsia="Calibri"/>
                <w:sz w:val="20"/>
              </w:rPr>
            </w:pPr>
          </w:p>
        </w:tc>
        <w:tc>
          <w:tcPr>
            <w:tcW w:w="243" w:type="pct"/>
          </w:tcPr>
          <w:p w:rsidR="00EA36E8" w:rsidRPr="00DE1E45" w:rsidRDefault="00EA36E8" w:rsidP="001A7F7C">
            <w:pPr>
              <w:jc w:val="both"/>
              <w:rPr>
                <w:rFonts w:eastAsia="Calibri"/>
                <w:sz w:val="20"/>
              </w:rPr>
            </w:pPr>
          </w:p>
        </w:tc>
        <w:tc>
          <w:tcPr>
            <w:tcW w:w="2330" w:type="pct"/>
          </w:tcPr>
          <w:p w:rsidR="00EA36E8" w:rsidRPr="00DE1E45" w:rsidRDefault="00EA36E8" w:rsidP="001A7F7C">
            <w:pPr>
              <w:jc w:val="both"/>
              <w:rPr>
                <w:rFonts w:eastAsia="Calibri"/>
                <w:sz w:val="20"/>
              </w:rPr>
            </w:pPr>
            <w:r w:rsidRPr="00DE1E45">
              <w:rPr>
                <w:rFonts w:eastAsia="Calibri"/>
                <w:sz w:val="20"/>
              </w:rPr>
              <w:t xml:space="preserve">Judgment in New York recognized; Applicant ordered to release painting to respondent; Order stayed  </w:t>
            </w:r>
          </w:p>
          <w:p w:rsidR="00EA36E8" w:rsidRPr="00DE1E45" w:rsidRDefault="00EA36E8" w:rsidP="001A7F7C">
            <w:pPr>
              <w:jc w:val="both"/>
              <w:rPr>
                <w:rFonts w:eastAsia="Calibri"/>
                <w:sz w:val="20"/>
              </w:rPr>
            </w:pPr>
          </w:p>
        </w:tc>
      </w:tr>
      <w:tr w:rsidR="00EA36E8" w:rsidRPr="00DE1E45" w:rsidTr="001A7F7C">
        <w:tc>
          <w:tcPr>
            <w:tcW w:w="2427" w:type="pct"/>
          </w:tcPr>
          <w:p w:rsidR="00EA36E8" w:rsidRPr="00DE1E45" w:rsidRDefault="00EA36E8" w:rsidP="001A7F7C">
            <w:pPr>
              <w:jc w:val="both"/>
              <w:rPr>
                <w:rFonts w:eastAsia="Calibri"/>
                <w:sz w:val="20"/>
              </w:rPr>
            </w:pPr>
            <w:r w:rsidRPr="00DE1E45">
              <w:rPr>
                <w:rFonts w:eastAsia="Calibri"/>
                <w:sz w:val="20"/>
              </w:rPr>
              <w:t>June 12, 2013</w:t>
            </w:r>
          </w:p>
          <w:p w:rsidR="00EA36E8" w:rsidRPr="00DE1E45" w:rsidRDefault="00EA36E8" w:rsidP="001A7F7C">
            <w:pPr>
              <w:jc w:val="both"/>
              <w:rPr>
                <w:rFonts w:eastAsia="Calibri"/>
                <w:sz w:val="20"/>
              </w:rPr>
            </w:pPr>
            <w:r w:rsidRPr="00DE1E45">
              <w:rPr>
                <w:rFonts w:eastAsia="Calibri"/>
                <w:sz w:val="20"/>
              </w:rPr>
              <w:t>Court of Appeal for Ontario</w:t>
            </w:r>
          </w:p>
          <w:p w:rsidR="00EA36E8" w:rsidRPr="00DE1E45" w:rsidRDefault="00EA36E8" w:rsidP="001A7F7C">
            <w:pPr>
              <w:jc w:val="both"/>
              <w:rPr>
                <w:rFonts w:eastAsia="Calibri"/>
                <w:sz w:val="20"/>
              </w:rPr>
            </w:pPr>
            <w:r w:rsidRPr="00DE1E45">
              <w:rPr>
                <w:rFonts w:eastAsia="Calibri"/>
                <w:sz w:val="20"/>
              </w:rPr>
              <w:t>(Doherty, Cronk, Lauwers JJ.A.)</w:t>
            </w:r>
          </w:p>
          <w:p w:rsidR="00EA36E8" w:rsidRPr="00DE1E45" w:rsidRDefault="00EA36E8" w:rsidP="001A7F7C">
            <w:pPr>
              <w:jc w:val="both"/>
              <w:rPr>
                <w:rFonts w:eastAsia="Calibri"/>
                <w:color w:val="365F91"/>
                <w:sz w:val="20"/>
              </w:rPr>
            </w:pPr>
            <w:r w:rsidRPr="00DE1E45">
              <w:rPr>
                <w:rFonts w:eastAsia="Calibri"/>
                <w:sz w:val="20"/>
              </w:rPr>
              <w:t xml:space="preserve">C56358; </w:t>
            </w:r>
            <w:hyperlink r:id="rId31" w:history="1">
              <w:r w:rsidRPr="00DE1E45">
                <w:rPr>
                  <w:rFonts w:eastAsia="Calibri"/>
                  <w:color w:val="365F91"/>
                  <w:sz w:val="20"/>
                </w:rPr>
                <w:t>2013 ONCA 388</w:t>
              </w:r>
            </w:hyperlink>
          </w:p>
          <w:p w:rsidR="00EA36E8" w:rsidRPr="00DE1E45" w:rsidRDefault="00EA36E8" w:rsidP="001A7F7C">
            <w:pPr>
              <w:jc w:val="both"/>
              <w:rPr>
                <w:rFonts w:eastAsia="Calibri"/>
                <w:sz w:val="20"/>
              </w:rPr>
            </w:pPr>
          </w:p>
        </w:tc>
        <w:tc>
          <w:tcPr>
            <w:tcW w:w="243" w:type="pct"/>
          </w:tcPr>
          <w:p w:rsidR="00EA36E8" w:rsidRPr="00DE1E45" w:rsidRDefault="00EA36E8" w:rsidP="001A7F7C">
            <w:pPr>
              <w:jc w:val="both"/>
              <w:rPr>
                <w:rFonts w:eastAsia="Calibri"/>
                <w:sz w:val="20"/>
              </w:rPr>
            </w:pPr>
          </w:p>
        </w:tc>
        <w:tc>
          <w:tcPr>
            <w:tcW w:w="2330" w:type="pct"/>
          </w:tcPr>
          <w:p w:rsidR="00EA36E8" w:rsidRPr="00DE1E45" w:rsidRDefault="00EA36E8" w:rsidP="001A7F7C">
            <w:pPr>
              <w:jc w:val="both"/>
              <w:rPr>
                <w:rFonts w:eastAsia="Calibri"/>
                <w:sz w:val="20"/>
              </w:rPr>
            </w:pPr>
            <w:r w:rsidRPr="00DE1E45">
              <w:rPr>
                <w:rFonts w:eastAsia="Calibri"/>
                <w:sz w:val="20"/>
              </w:rPr>
              <w:t>Appeal dismissed</w:t>
            </w:r>
          </w:p>
          <w:p w:rsidR="00EA36E8" w:rsidRPr="00DE1E45" w:rsidRDefault="00EA36E8" w:rsidP="001A7F7C">
            <w:pPr>
              <w:jc w:val="both"/>
              <w:rPr>
                <w:rFonts w:eastAsia="Calibri"/>
                <w:sz w:val="20"/>
              </w:rPr>
            </w:pPr>
          </w:p>
        </w:tc>
      </w:tr>
      <w:tr w:rsidR="00EA36E8" w:rsidRPr="00DE1E45" w:rsidTr="001A7F7C">
        <w:tc>
          <w:tcPr>
            <w:tcW w:w="2427" w:type="pct"/>
          </w:tcPr>
          <w:p w:rsidR="00EA36E8" w:rsidRPr="00DE1E45" w:rsidRDefault="00EA36E8" w:rsidP="001A7F7C">
            <w:pPr>
              <w:jc w:val="both"/>
              <w:rPr>
                <w:rFonts w:eastAsia="Calibri"/>
                <w:sz w:val="20"/>
              </w:rPr>
            </w:pPr>
            <w:r w:rsidRPr="00DE1E45">
              <w:rPr>
                <w:rFonts w:eastAsia="Calibri"/>
                <w:sz w:val="20"/>
              </w:rPr>
              <w:t>July 26, 2013</w:t>
            </w:r>
          </w:p>
          <w:p w:rsidR="00EA36E8" w:rsidRPr="00DE1E45" w:rsidRDefault="00EA36E8" w:rsidP="001A7F7C">
            <w:pPr>
              <w:jc w:val="both"/>
              <w:rPr>
                <w:rFonts w:eastAsia="Calibri"/>
                <w:sz w:val="20"/>
              </w:rPr>
            </w:pPr>
            <w:r w:rsidRPr="00DE1E45">
              <w:rPr>
                <w:rFonts w:eastAsia="Calibri"/>
                <w:sz w:val="20"/>
              </w:rPr>
              <w:t>Court of Appeal for Ontario</w:t>
            </w:r>
          </w:p>
          <w:p w:rsidR="00EA36E8" w:rsidRPr="00DE1E45" w:rsidRDefault="00EA36E8" w:rsidP="001A7F7C">
            <w:pPr>
              <w:jc w:val="both"/>
              <w:rPr>
                <w:rFonts w:eastAsia="Calibri"/>
                <w:sz w:val="20"/>
              </w:rPr>
            </w:pPr>
            <w:r w:rsidRPr="00DE1E45">
              <w:rPr>
                <w:rFonts w:eastAsia="Calibri"/>
                <w:sz w:val="20"/>
              </w:rPr>
              <w:t>(MacFarland J.A.)</w:t>
            </w:r>
          </w:p>
          <w:p w:rsidR="00EA36E8" w:rsidRPr="00DE1E45" w:rsidRDefault="00EA36E8" w:rsidP="001A7F7C">
            <w:pPr>
              <w:jc w:val="both"/>
              <w:rPr>
                <w:rFonts w:eastAsia="Calibri"/>
                <w:sz w:val="20"/>
              </w:rPr>
            </w:pPr>
            <w:r w:rsidRPr="00DE1E45">
              <w:rPr>
                <w:rFonts w:eastAsia="Calibri"/>
                <w:sz w:val="20"/>
              </w:rPr>
              <w:t>M42684</w:t>
            </w:r>
          </w:p>
          <w:p w:rsidR="00EA36E8" w:rsidRPr="00DE1E45" w:rsidRDefault="00EA36E8" w:rsidP="001A7F7C">
            <w:pPr>
              <w:jc w:val="both"/>
              <w:rPr>
                <w:rFonts w:eastAsia="Calibri"/>
                <w:sz w:val="20"/>
              </w:rPr>
            </w:pPr>
          </w:p>
        </w:tc>
        <w:tc>
          <w:tcPr>
            <w:tcW w:w="243" w:type="pct"/>
          </w:tcPr>
          <w:p w:rsidR="00EA36E8" w:rsidRPr="00DE1E45" w:rsidRDefault="00EA36E8" w:rsidP="001A7F7C">
            <w:pPr>
              <w:jc w:val="both"/>
              <w:rPr>
                <w:rFonts w:eastAsia="Calibri"/>
                <w:sz w:val="20"/>
              </w:rPr>
            </w:pPr>
          </w:p>
        </w:tc>
        <w:tc>
          <w:tcPr>
            <w:tcW w:w="2330" w:type="pct"/>
          </w:tcPr>
          <w:p w:rsidR="00EA36E8" w:rsidRPr="00DE1E45" w:rsidRDefault="00EA36E8" w:rsidP="001A7F7C">
            <w:pPr>
              <w:jc w:val="both"/>
              <w:rPr>
                <w:rFonts w:eastAsia="Calibri"/>
                <w:sz w:val="20"/>
              </w:rPr>
            </w:pPr>
            <w:r w:rsidRPr="00DE1E45">
              <w:rPr>
                <w:rFonts w:eastAsia="Calibri"/>
                <w:sz w:val="20"/>
              </w:rPr>
              <w:t xml:space="preserve">Stay of enforcement order granted  </w:t>
            </w:r>
          </w:p>
        </w:tc>
      </w:tr>
      <w:tr w:rsidR="00EA36E8" w:rsidRPr="00DE1E45" w:rsidTr="001A7F7C">
        <w:tc>
          <w:tcPr>
            <w:tcW w:w="2427" w:type="pct"/>
          </w:tcPr>
          <w:p w:rsidR="00EA36E8" w:rsidRPr="00DE1E45" w:rsidRDefault="00EA36E8" w:rsidP="001A7F7C">
            <w:pPr>
              <w:jc w:val="both"/>
              <w:rPr>
                <w:rFonts w:eastAsia="Calibri"/>
                <w:sz w:val="20"/>
              </w:rPr>
            </w:pPr>
            <w:r w:rsidRPr="00DE1E45">
              <w:rPr>
                <w:rFonts w:eastAsia="Calibri"/>
                <w:sz w:val="20"/>
              </w:rPr>
              <w:t>September 11, 2013</w:t>
            </w:r>
          </w:p>
          <w:p w:rsidR="00EA36E8" w:rsidRPr="00DE1E45" w:rsidRDefault="00EA36E8" w:rsidP="001A7F7C">
            <w:pPr>
              <w:jc w:val="both"/>
              <w:rPr>
                <w:rFonts w:eastAsia="Calibri"/>
                <w:sz w:val="20"/>
              </w:rPr>
            </w:pPr>
            <w:r w:rsidRPr="00DE1E45">
              <w:rPr>
                <w:rFonts w:eastAsia="Calibri"/>
                <w:sz w:val="20"/>
              </w:rPr>
              <w:t>Supreme Court of Canada</w:t>
            </w:r>
          </w:p>
        </w:tc>
        <w:tc>
          <w:tcPr>
            <w:tcW w:w="243" w:type="pct"/>
          </w:tcPr>
          <w:p w:rsidR="00EA36E8" w:rsidRPr="00DE1E45" w:rsidRDefault="00EA36E8" w:rsidP="001A7F7C">
            <w:pPr>
              <w:jc w:val="both"/>
              <w:rPr>
                <w:rFonts w:eastAsia="Calibri"/>
                <w:sz w:val="20"/>
              </w:rPr>
            </w:pPr>
          </w:p>
        </w:tc>
        <w:tc>
          <w:tcPr>
            <w:tcW w:w="2330" w:type="pct"/>
          </w:tcPr>
          <w:p w:rsidR="00EA36E8" w:rsidRPr="00DE1E45" w:rsidRDefault="00EA36E8" w:rsidP="001A7F7C">
            <w:pPr>
              <w:jc w:val="both"/>
              <w:rPr>
                <w:rFonts w:eastAsia="Calibri"/>
                <w:sz w:val="20"/>
              </w:rPr>
            </w:pPr>
            <w:r w:rsidRPr="00DE1E45">
              <w:rPr>
                <w:rFonts w:eastAsia="Calibri"/>
                <w:sz w:val="20"/>
              </w:rPr>
              <w:t>Application for leave to appeal and Motion for costs and remand filed</w:t>
            </w:r>
          </w:p>
        </w:tc>
      </w:tr>
    </w:tbl>
    <w:p w:rsidR="0010221A" w:rsidRDefault="0010221A" w:rsidP="0010221A">
      <w:pPr>
        <w:rPr>
          <w:sz w:val="20"/>
          <w:szCs w:val="20"/>
        </w:rPr>
      </w:pPr>
    </w:p>
    <w:p w:rsidR="0010221A" w:rsidRPr="00C50A5C" w:rsidRDefault="00E672F1" w:rsidP="0010221A">
      <w:pPr>
        <w:rPr>
          <w:sz w:val="20"/>
          <w:szCs w:val="20"/>
        </w:rPr>
      </w:pPr>
      <w:r>
        <w:rPr>
          <w:sz w:val="20"/>
          <w:szCs w:val="20"/>
          <w:lang w:val="fr-CA"/>
        </w:rPr>
        <w:pict>
          <v:rect id="_x0000_i1042" style="width:2in;height:1pt" o:hrpct="0" o:hralign="center" o:hrstd="t" o:hrnoshade="t" o:hr="t" fillcolor="black [3213]" stroked="f"/>
        </w:pict>
      </w:r>
    </w:p>
    <w:p w:rsidR="0010221A" w:rsidRDefault="0010221A" w:rsidP="0010221A">
      <w:pPr>
        <w:rPr>
          <w:sz w:val="20"/>
          <w:szCs w:val="20"/>
        </w:rPr>
      </w:pPr>
    </w:p>
    <w:p w:rsidR="0010221A" w:rsidRPr="001B157C" w:rsidRDefault="0010221A" w:rsidP="0010221A">
      <w:pPr>
        <w:rPr>
          <w:sz w:val="20"/>
          <w:szCs w:val="20"/>
          <w:u w:val="single"/>
          <w:lang w:val="fr-CA"/>
        </w:rPr>
      </w:pPr>
      <w:r w:rsidRPr="001B157C">
        <w:rPr>
          <w:sz w:val="20"/>
          <w:szCs w:val="20"/>
          <w:u w:val="single"/>
          <w:lang w:val="fr-CA"/>
        </w:rPr>
        <w:t>RÉSUMÉ DE L’AFFAIRE</w:t>
      </w:r>
    </w:p>
    <w:p w:rsidR="0010221A" w:rsidRDefault="0010221A" w:rsidP="0010221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A36E8" w:rsidRPr="00E672F1" w:rsidTr="001A7F7C">
        <w:tc>
          <w:tcPr>
            <w:tcW w:w="5000" w:type="pct"/>
            <w:gridSpan w:val="3"/>
          </w:tcPr>
          <w:p w:rsidR="00EA36E8" w:rsidRPr="00DE1E45" w:rsidRDefault="00EA36E8" w:rsidP="001A7F7C">
            <w:pPr>
              <w:jc w:val="both"/>
              <w:rPr>
                <w:rFonts w:eastAsia="Calibri"/>
                <w:sz w:val="20"/>
                <w:lang w:val="fr-CA"/>
              </w:rPr>
            </w:pPr>
            <w:r w:rsidRPr="00DE1E45">
              <w:rPr>
                <w:rFonts w:eastAsia="Calibri"/>
                <w:sz w:val="20"/>
                <w:lang w:val="fr-CA"/>
              </w:rPr>
              <w:t xml:space="preserve">Tribunaux – Juridiction – Reconnaissance de la juridiction – Procédure civile – Principes qui sous-tendent la notion de </w:t>
            </w:r>
            <w:r w:rsidRPr="00DE1E45">
              <w:rPr>
                <w:rFonts w:eastAsia="Calibri"/>
                <w:sz w:val="20"/>
                <w:lang w:val="fr-CA"/>
              </w:rPr>
              <w:lastRenderedPageBreak/>
              <w:t>reconnaissance de la juridiction – Critère pour déterminer la reconnaissance de la juridiction – Rôle des règles de procédure et des ordonnances d’un tribunal étranger lorsqu’il s’agit de déterminer si un plaideur a reconnu la juridiction de ce tribunal – Lorsqu’il statue sur la question de savoir s'il doit exécuter un jugement étranger, le tribunal canadien peut-il accepter et appliquer les conclusions tirées par le tribunal étranger pour décider de la juridiction?</w:t>
            </w:r>
          </w:p>
        </w:tc>
      </w:tr>
      <w:tr w:rsidR="00EA36E8" w:rsidRPr="00E672F1" w:rsidTr="001A7F7C">
        <w:tc>
          <w:tcPr>
            <w:tcW w:w="5000" w:type="pct"/>
            <w:gridSpan w:val="3"/>
          </w:tcPr>
          <w:p w:rsidR="00EA36E8" w:rsidRPr="00DE1E45" w:rsidRDefault="00EA36E8" w:rsidP="001A7F7C">
            <w:pPr>
              <w:jc w:val="both"/>
              <w:rPr>
                <w:rFonts w:eastAsia="Calibri"/>
                <w:sz w:val="20"/>
                <w:lang w:val="fr-CA"/>
              </w:rPr>
            </w:pPr>
          </w:p>
        </w:tc>
      </w:tr>
      <w:tr w:rsidR="00EA36E8" w:rsidRPr="00DE1E45" w:rsidTr="001A7F7C">
        <w:tc>
          <w:tcPr>
            <w:tcW w:w="5000" w:type="pct"/>
            <w:gridSpan w:val="3"/>
          </w:tcPr>
          <w:p w:rsidR="00EA36E8" w:rsidRPr="00DE1E45" w:rsidRDefault="00EA36E8" w:rsidP="001A7F7C">
            <w:pPr>
              <w:jc w:val="both"/>
              <w:rPr>
                <w:rFonts w:eastAsia="Calibri"/>
                <w:sz w:val="20"/>
                <w:lang w:val="fr-CA"/>
              </w:rPr>
            </w:pPr>
            <w:r w:rsidRPr="00DE1E45">
              <w:rPr>
                <w:rFonts w:eastAsia="Calibri"/>
                <w:sz w:val="20"/>
                <w:lang w:val="fr-CA"/>
              </w:rPr>
              <w:t>Le demandeur a nié avoir conclu une entente pour vendre à l'intimé un tableau qui se trouve à Toronto.  Les parties ont consenti à une ordonnance de conservation du tableau.  L'intimé a intenté à New York une action en exécution intégrale, s'appuyant sur une clause d’élection de for dans le contrat de vente présumé.  Le demandeur a contesté la juridiction des tribunaux de New York, mais le juge de première instance de New York lui a ordonné de produire une réponse et de compléter des dépositions et des communications préalables.  Les deux parties ont demandé par requête un jugement sommaire à New York.  Le juge de première instance de New York a accordé un jugement sommaire à l'intimé.  À New York, le demandeur a interjeté appel et a présenté des requêtes en réparation.  En Ontario, alors que l'instance suivait son cours à New York, l'intimé a présenté une motion en vue de modifier l'ordonnance de conservation du tableau.  Il a demandé à la Cour supérieure de l'Ontario de reconnaître et d'exécuter le jugement de première instance de New York.  Le demandeur a demandé la suspension de l'instance en Ontario.  Le juge saisi de la motion a prononcé une ordonnance de reconnaissance et d'exécution du jugement rendu à New York.  Le demandeur a interjeté appel.</w:t>
            </w:r>
          </w:p>
          <w:p w:rsidR="00EA36E8" w:rsidRPr="00DE1E45" w:rsidRDefault="00EA36E8" w:rsidP="001A7F7C">
            <w:pPr>
              <w:jc w:val="both"/>
              <w:rPr>
                <w:rFonts w:eastAsia="Calibri"/>
                <w:sz w:val="20"/>
                <w:lang w:val="fr-CA"/>
              </w:rPr>
            </w:pPr>
          </w:p>
        </w:tc>
      </w:tr>
      <w:tr w:rsidR="00EA36E8" w:rsidRPr="00E672F1" w:rsidTr="001A7F7C">
        <w:tc>
          <w:tcPr>
            <w:tcW w:w="2427" w:type="pct"/>
          </w:tcPr>
          <w:p w:rsidR="00EA36E8" w:rsidRPr="00DE1E45" w:rsidRDefault="00EA36E8" w:rsidP="001A7F7C">
            <w:pPr>
              <w:jc w:val="both"/>
              <w:rPr>
                <w:rFonts w:eastAsia="Calibri"/>
                <w:sz w:val="20"/>
                <w:lang w:val="fr-CA"/>
              </w:rPr>
            </w:pPr>
            <w:r w:rsidRPr="00DE1E45">
              <w:rPr>
                <w:rFonts w:eastAsia="Calibri"/>
                <w:color w:val="000000"/>
                <w:sz w:val="20"/>
                <w:lang w:val="fr-CA"/>
              </w:rPr>
              <w:t>7 août 2007</w:t>
            </w:r>
            <w:r w:rsidRPr="00DE1E45">
              <w:rPr>
                <w:rFonts w:eastAsia="Calibri"/>
                <w:sz w:val="20"/>
                <w:lang w:val="fr-CA"/>
              </w:rPr>
              <w:t xml:space="preserve"> </w:t>
            </w:r>
          </w:p>
          <w:p w:rsidR="00EA36E8" w:rsidRPr="00DE1E45" w:rsidRDefault="00EA36E8" w:rsidP="001A7F7C">
            <w:pPr>
              <w:jc w:val="both"/>
              <w:rPr>
                <w:rFonts w:eastAsia="Calibri"/>
                <w:sz w:val="20"/>
                <w:lang w:val="fr-CA"/>
              </w:rPr>
            </w:pPr>
            <w:r w:rsidRPr="00DE1E45">
              <w:rPr>
                <w:rFonts w:eastAsia="Calibri"/>
                <w:sz w:val="20"/>
                <w:lang w:val="fr-CA"/>
              </w:rPr>
              <w:t>Cour supérieure de justice de l'Ontario</w:t>
            </w:r>
          </w:p>
          <w:p w:rsidR="00EA36E8" w:rsidRPr="00DE1E45" w:rsidRDefault="00EA36E8" w:rsidP="001A7F7C">
            <w:pPr>
              <w:jc w:val="both"/>
              <w:rPr>
                <w:rFonts w:eastAsia="Calibri"/>
                <w:iCs/>
                <w:color w:val="000000"/>
                <w:sz w:val="20"/>
                <w:lang w:val="fr-CA"/>
              </w:rPr>
            </w:pPr>
            <w:r w:rsidRPr="00DE1E45">
              <w:rPr>
                <w:rFonts w:eastAsia="Calibri"/>
                <w:iCs/>
                <w:color w:val="000000"/>
                <w:sz w:val="20"/>
                <w:lang w:val="fr-CA"/>
              </w:rPr>
              <w:t>(Juge Ducharme)</w:t>
            </w:r>
          </w:p>
          <w:p w:rsidR="00EA36E8" w:rsidRPr="00DE1E45" w:rsidRDefault="00EA36E8" w:rsidP="001A7F7C">
            <w:pPr>
              <w:jc w:val="both"/>
              <w:rPr>
                <w:rFonts w:eastAsia="Calibri"/>
                <w:color w:val="000000"/>
                <w:sz w:val="20"/>
                <w:lang w:val="fr-CA"/>
              </w:rPr>
            </w:pPr>
          </w:p>
        </w:tc>
        <w:tc>
          <w:tcPr>
            <w:tcW w:w="243" w:type="pct"/>
          </w:tcPr>
          <w:p w:rsidR="00EA36E8" w:rsidRPr="00DE1E45" w:rsidRDefault="00EA36E8" w:rsidP="001A7F7C">
            <w:pPr>
              <w:jc w:val="both"/>
              <w:rPr>
                <w:rFonts w:eastAsia="Calibri"/>
                <w:color w:val="000000"/>
                <w:sz w:val="20"/>
                <w:lang w:val="fr-CA"/>
              </w:rPr>
            </w:pPr>
          </w:p>
        </w:tc>
        <w:tc>
          <w:tcPr>
            <w:tcW w:w="2330" w:type="pct"/>
          </w:tcPr>
          <w:p w:rsidR="00EA36E8" w:rsidRPr="00DE1E45" w:rsidRDefault="00EA36E8" w:rsidP="001A7F7C">
            <w:pPr>
              <w:jc w:val="both"/>
              <w:rPr>
                <w:rFonts w:eastAsia="Calibri"/>
                <w:color w:val="000000"/>
                <w:sz w:val="20"/>
                <w:lang w:val="fr-CA"/>
              </w:rPr>
            </w:pPr>
            <w:r w:rsidRPr="00DE1E45">
              <w:rPr>
                <w:rFonts w:eastAsia="Calibri"/>
                <w:sz w:val="20"/>
                <w:lang w:val="fr-CA"/>
              </w:rPr>
              <w:t xml:space="preserve">Ordonnance d'interdiction de vente, d'aliénation, de nantissement et de transport à l'extérieur de l'Ontario ou de déplacement du tableau sans consentement </w:t>
            </w:r>
          </w:p>
          <w:p w:rsidR="00EA36E8" w:rsidRPr="00DE1E45" w:rsidRDefault="00EA36E8" w:rsidP="001A7F7C">
            <w:pPr>
              <w:jc w:val="both"/>
              <w:rPr>
                <w:rFonts w:eastAsia="Calibri"/>
                <w:sz w:val="20"/>
                <w:lang w:val="fr-CA"/>
              </w:rPr>
            </w:pPr>
            <w:r w:rsidRPr="00DE1E45">
              <w:rPr>
                <w:rFonts w:eastAsia="Calibri"/>
                <w:color w:val="000000"/>
                <w:sz w:val="20"/>
                <w:lang w:val="fr-CA"/>
              </w:rPr>
              <w:t xml:space="preserve"> </w:t>
            </w:r>
          </w:p>
        </w:tc>
      </w:tr>
      <w:tr w:rsidR="00EA36E8" w:rsidRPr="00E672F1" w:rsidTr="001A7F7C">
        <w:tc>
          <w:tcPr>
            <w:tcW w:w="2427" w:type="pct"/>
          </w:tcPr>
          <w:p w:rsidR="00EA36E8" w:rsidRPr="00DE1E45" w:rsidRDefault="00EA36E8" w:rsidP="001A7F7C">
            <w:pPr>
              <w:jc w:val="both"/>
              <w:rPr>
                <w:rFonts w:eastAsia="Calibri"/>
                <w:sz w:val="20"/>
                <w:lang w:val="fr-CA"/>
              </w:rPr>
            </w:pPr>
            <w:r w:rsidRPr="00DE1E45">
              <w:rPr>
                <w:rFonts w:eastAsia="Calibri"/>
                <w:sz w:val="20"/>
                <w:lang w:val="fr-CA"/>
              </w:rPr>
              <w:t>9 novembre 2012</w:t>
            </w:r>
          </w:p>
          <w:p w:rsidR="00EA36E8" w:rsidRPr="00DE1E45" w:rsidRDefault="00EA36E8" w:rsidP="001A7F7C">
            <w:pPr>
              <w:jc w:val="both"/>
              <w:rPr>
                <w:rFonts w:eastAsia="Calibri"/>
                <w:sz w:val="20"/>
                <w:lang w:val="fr-CA"/>
              </w:rPr>
            </w:pPr>
            <w:r w:rsidRPr="00DE1E45">
              <w:rPr>
                <w:rFonts w:eastAsia="Calibri"/>
                <w:sz w:val="20"/>
                <w:lang w:val="fr-CA"/>
              </w:rPr>
              <w:t>Cour supérieure de justice de l'Ontario</w:t>
            </w:r>
          </w:p>
          <w:p w:rsidR="00EA36E8" w:rsidRPr="00DE1E45" w:rsidRDefault="00EA36E8" w:rsidP="001A7F7C">
            <w:pPr>
              <w:jc w:val="both"/>
              <w:rPr>
                <w:rFonts w:eastAsia="Calibri"/>
                <w:color w:val="548DD4"/>
                <w:sz w:val="20"/>
                <w:lang w:val="fr-CA"/>
              </w:rPr>
            </w:pPr>
            <w:r w:rsidRPr="00DE1E45">
              <w:rPr>
                <w:rFonts w:eastAsia="Calibri"/>
                <w:sz w:val="20"/>
                <w:lang w:val="fr-CA"/>
              </w:rPr>
              <w:t>(Juge Lederer)</w:t>
            </w:r>
          </w:p>
          <w:p w:rsidR="00EA36E8" w:rsidRPr="00DE1E45" w:rsidRDefault="00E672F1" w:rsidP="001A7F7C">
            <w:pPr>
              <w:jc w:val="both"/>
              <w:rPr>
                <w:rFonts w:eastAsia="Calibri"/>
                <w:color w:val="365F91"/>
                <w:sz w:val="20"/>
                <w:lang w:val="fr-CA"/>
              </w:rPr>
            </w:pPr>
            <w:hyperlink r:id="rId32" w:history="1">
              <w:r w:rsidR="00EA36E8" w:rsidRPr="00DE1E45">
                <w:rPr>
                  <w:rFonts w:eastAsia="Calibri"/>
                  <w:color w:val="365F91"/>
                  <w:sz w:val="20"/>
                  <w:lang w:val="fr-CA"/>
                </w:rPr>
                <w:t>2012 ONSC 6277</w:t>
              </w:r>
            </w:hyperlink>
          </w:p>
          <w:p w:rsidR="00EA36E8" w:rsidRPr="00DE1E45" w:rsidRDefault="00EA36E8" w:rsidP="001A7F7C">
            <w:pPr>
              <w:jc w:val="both"/>
              <w:rPr>
                <w:rFonts w:eastAsia="Calibri"/>
                <w:sz w:val="20"/>
                <w:lang w:val="fr-CA"/>
              </w:rPr>
            </w:pPr>
          </w:p>
        </w:tc>
        <w:tc>
          <w:tcPr>
            <w:tcW w:w="243" w:type="pct"/>
          </w:tcPr>
          <w:p w:rsidR="00EA36E8" w:rsidRPr="00DE1E45" w:rsidRDefault="00EA36E8" w:rsidP="001A7F7C">
            <w:pPr>
              <w:jc w:val="both"/>
              <w:rPr>
                <w:rFonts w:eastAsia="Calibri"/>
                <w:sz w:val="20"/>
                <w:lang w:val="fr-CA"/>
              </w:rPr>
            </w:pPr>
          </w:p>
        </w:tc>
        <w:tc>
          <w:tcPr>
            <w:tcW w:w="2330" w:type="pct"/>
          </w:tcPr>
          <w:p w:rsidR="00EA36E8" w:rsidRPr="00DE1E45" w:rsidRDefault="00EA36E8" w:rsidP="001A7F7C">
            <w:pPr>
              <w:jc w:val="both"/>
              <w:rPr>
                <w:rFonts w:eastAsia="Calibri"/>
                <w:sz w:val="20"/>
                <w:lang w:val="fr-CA"/>
              </w:rPr>
            </w:pPr>
            <w:r w:rsidRPr="00DE1E45">
              <w:rPr>
                <w:rFonts w:eastAsia="Calibri"/>
                <w:sz w:val="20"/>
                <w:lang w:val="fr-CA"/>
              </w:rPr>
              <w:t>Jugement de New York reconnu; demandeur sommé de remettre le tableau à l'intimé; ordonnance suspendue</w:t>
            </w:r>
          </w:p>
          <w:p w:rsidR="00EA36E8" w:rsidRPr="00DE1E45" w:rsidRDefault="00EA36E8" w:rsidP="001A7F7C">
            <w:pPr>
              <w:jc w:val="both"/>
              <w:rPr>
                <w:rFonts w:eastAsia="Calibri"/>
                <w:sz w:val="20"/>
                <w:lang w:val="fr-CA"/>
              </w:rPr>
            </w:pPr>
          </w:p>
        </w:tc>
      </w:tr>
      <w:tr w:rsidR="00EA36E8" w:rsidRPr="00DE1E45" w:rsidTr="001A7F7C">
        <w:tc>
          <w:tcPr>
            <w:tcW w:w="2427" w:type="pct"/>
          </w:tcPr>
          <w:p w:rsidR="00EA36E8" w:rsidRPr="00DE1E45" w:rsidRDefault="00EA36E8" w:rsidP="001A7F7C">
            <w:pPr>
              <w:jc w:val="both"/>
              <w:rPr>
                <w:rFonts w:eastAsia="Calibri"/>
                <w:sz w:val="20"/>
                <w:lang w:val="fr-CA"/>
              </w:rPr>
            </w:pPr>
            <w:r w:rsidRPr="00DE1E45">
              <w:rPr>
                <w:rFonts w:eastAsia="Calibri"/>
                <w:sz w:val="20"/>
                <w:lang w:val="fr-CA"/>
              </w:rPr>
              <w:t>12 juin 2013</w:t>
            </w:r>
          </w:p>
          <w:p w:rsidR="00EA36E8" w:rsidRPr="00DE1E45" w:rsidRDefault="00EA36E8" w:rsidP="001A7F7C">
            <w:pPr>
              <w:jc w:val="both"/>
              <w:rPr>
                <w:rFonts w:eastAsia="Calibri"/>
                <w:sz w:val="20"/>
                <w:lang w:val="fr-CA"/>
              </w:rPr>
            </w:pPr>
            <w:r w:rsidRPr="00DE1E45">
              <w:rPr>
                <w:rFonts w:eastAsia="Calibri"/>
                <w:sz w:val="20"/>
                <w:lang w:val="fr-CA"/>
              </w:rPr>
              <w:t>Cour d'appel de l'Ontario</w:t>
            </w:r>
          </w:p>
          <w:p w:rsidR="00EA36E8" w:rsidRPr="00DE1E45" w:rsidRDefault="00EA36E8" w:rsidP="001A7F7C">
            <w:pPr>
              <w:jc w:val="both"/>
              <w:rPr>
                <w:rFonts w:eastAsia="Calibri"/>
                <w:sz w:val="20"/>
                <w:lang w:val="fr-CA"/>
              </w:rPr>
            </w:pPr>
            <w:r w:rsidRPr="00DE1E45">
              <w:rPr>
                <w:rFonts w:eastAsia="Calibri"/>
                <w:sz w:val="20"/>
                <w:lang w:val="fr-CA"/>
              </w:rPr>
              <w:t>(Juges Doherty, Cronk et Lauwers)</w:t>
            </w:r>
          </w:p>
          <w:p w:rsidR="00EA36E8" w:rsidRPr="00DE1E45" w:rsidRDefault="00EA36E8" w:rsidP="001A7F7C">
            <w:pPr>
              <w:jc w:val="both"/>
              <w:rPr>
                <w:rFonts w:eastAsia="Calibri"/>
                <w:color w:val="365F91"/>
                <w:sz w:val="20"/>
                <w:lang w:val="fr-CA"/>
              </w:rPr>
            </w:pPr>
            <w:r w:rsidRPr="00DE1E45">
              <w:rPr>
                <w:rFonts w:eastAsia="Calibri"/>
                <w:sz w:val="20"/>
                <w:lang w:val="fr-CA"/>
              </w:rPr>
              <w:t xml:space="preserve">C56358; </w:t>
            </w:r>
            <w:hyperlink r:id="rId33" w:history="1">
              <w:r w:rsidRPr="00DE1E45">
                <w:rPr>
                  <w:rFonts w:eastAsia="Calibri"/>
                  <w:color w:val="365F91"/>
                  <w:sz w:val="20"/>
                  <w:lang w:val="fr-CA"/>
                </w:rPr>
                <w:t>2013 ONCA 388</w:t>
              </w:r>
            </w:hyperlink>
          </w:p>
          <w:p w:rsidR="00EA36E8" w:rsidRPr="00DE1E45" w:rsidRDefault="00EA36E8" w:rsidP="001A7F7C">
            <w:pPr>
              <w:jc w:val="both"/>
              <w:rPr>
                <w:rFonts w:eastAsia="Calibri"/>
                <w:sz w:val="20"/>
                <w:lang w:val="fr-CA"/>
              </w:rPr>
            </w:pPr>
          </w:p>
        </w:tc>
        <w:tc>
          <w:tcPr>
            <w:tcW w:w="243" w:type="pct"/>
          </w:tcPr>
          <w:p w:rsidR="00EA36E8" w:rsidRPr="00DE1E45" w:rsidRDefault="00EA36E8" w:rsidP="001A7F7C">
            <w:pPr>
              <w:jc w:val="both"/>
              <w:rPr>
                <w:rFonts w:eastAsia="Calibri"/>
                <w:sz w:val="20"/>
                <w:lang w:val="fr-CA"/>
              </w:rPr>
            </w:pPr>
          </w:p>
        </w:tc>
        <w:tc>
          <w:tcPr>
            <w:tcW w:w="2330" w:type="pct"/>
          </w:tcPr>
          <w:p w:rsidR="00EA36E8" w:rsidRPr="00DE1E45" w:rsidRDefault="00EA36E8" w:rsidP="001A7F7C">
            <w:pPr>
              <w:jc w:val="both"/>
              <w:rPr>
                <w:rFonts w:eastAsia="Calibri"/>
                <w:sz w:val="20"/>
                <w:lang w:val="fr-CA"/>
              </w:rPr>
            </w:pPr>
            <w:r w:rsidRPr="00DE1E45">
              <w:rPr>
                <w:rFonts w:eastAsia="Calibri"/>
                <w:sz w:val="20"/>
                <w:lang w:val="fr-CA"/>
              </w:rPr>
              <w:t>Appel rejeté</w:t>
            </w:r>
          </w:p>
          <w:p w:rsidR="00EA36E8" w:rsidRPr="00DE1E45" w:rsidRDefault="00EA36E8" w:rsidP="001A7F7C">
            <w:pPr>
              <w:jc w:val="both"/>
              <w:rPr>
                <w:rFonts w:eastAsia="Calibri"/>
                <w:sz w:val="20"/>
                <w:lang w:val="fr-CA"/>
              </w:rPr>
            </w:pPr>
          </w:p>
        </w:tc>
      </w:tr>
      <w:tr w:rsidR="00EA36E8" w:rsidRPr="00E672F1" w:rsidTr="001A7F7C">
        <w:tc>
          <w:tcPr>
            <w:tcW w:w="2427" w:type="pct"/>
          </w:tcPr>
          <w:p w:rsidR="00EA36E8" w:rsidRPr="00DE1E45" w:rsidRDefault="00EA36E8" w:rsidP="001A7F7C">
            <w:pPr>
              <w:jc w:val="both"/>
              <w:rPr>
                <w:rFonts w:eastAsia="Calibri"/>
                <w:sz w:val="20"/>
                <w:lang w:val="fr-CA"/>
              </w:rPr>
            </w:pPr>
            <w:r w:rsidRPr="00DE1E45">
              <w:rPr>
                <w:rFonts w:eastAsia="Calibri"/>
                <w:sz w:val="20"/>
                <w:lang w:val="fr-CA"/>
              </w:rPr>
              <w:t>26 juillet 2013</w:t>
            </w:r>
          </w:p>
          <w:p w:rsidR="00EA36E8" w:rsidRPr="00DE1E45" w:rsidRDefault="00EA36E8" w:rsidP="001A7F7C">
            <w:pPr>
              <w:jc w:val="both"/>
              <w:rPr>
                <w:rFonts w:eastAsia="Calibri"/>
                <w:sz w:val="20"/>
                <w:lang w:val="fr-CA"/>
              </w:rPr>
            </w:pPr>
            <w:r w:rsidRPr="00DE1E45">
              <w:rPr>
                <w:rFonts w:eastAsia="Calibri"/>
                <w:sz w:val="20"/>
                <w:lang w:val="fr-CA"/>
              </w:rPr>
              <w:t>Cour d'appel de l'Ontario</w:t>
            </w:r>
          </w:p>
          <w:p w:rsidR="00EA36E8" w:rsidRPr="00DE1E45" w:rsidRDefault="00EA36E8" w:rsidP="001A7F7C">
            <w:pPr>
              <w:jc w:val="both"/>
              <w:rPr>
                <w:rFonts w:eastAsia="Calibri"/>
                <w:sz w:val="20"/>
                <w:lang w:val="fr-CA"/>
              </w:rPr>
            </w:pPr>
            <w:r w:rsidRPr="00DE1E45">
              <w:rPr>
                <w:rFonts w:eastAsia="Calibri"/>
                <w:sz w:val="20"/>
                <w:lang w:val="fr-CA"/>
              </w:rPr>
              <w:t>(Juge MacFarland)</w:t>
            </w:r>
          </w:p>
          <w:p w:rsidR="00EA36E8" w:rsidRPr="00DE1E45" w:rsidRDefault="00EA36E8" w:rsidP="001A7F7C">
            <w:pPr>
              <w:jc w:val="both"/>
              <w:rPr>
                <w:rFonts w:eastAsia="Calibri"/>
                <w:sz w:val="20"/>
                <w:lang w:val="fr-CA"/>
              </w:rPr>
            </w:pPr>
            <w:r w:rsidRPr="00DE1E45">
              <w:rPr>
                <w:rFonts w:eastAsia="Calibri"/>
                <w:sz w:val="20"/>
                <w:lang w:val="fr-CA"/>
              </w:rPr>
              <w:t>M42684</w:t>
            </w:r>
          </w:p>
          <w:p w:rsidR="00EA36E8" w:rsidRPr="00DE1E45" w:rsidRDefault="00EA36E8" w:rsidP="001A7F7C">
            <w:pPr>
              <w:jc w:val="both"/>
              <w:rPr>
                <w:rFonts w:eastAsia="Calibri"/>
                <w:sz w:val="20"/>
                <w:lang w:val="fr-CA"/>
              </w:rPr>
            </w:pPr>
          </w:p>
        </w:tc>
        <w:tc>
          <w:tcPr>
            <w:tcW w:w="243" w:type="pct"/>
          </w:tcPr>
          <w:p w:rsidR="00EA36E8" w:rsidRPr="00DE1E45" w:rsidRDefault="00EA36E8" w:rsidP="001A7F7C">
            <w:pPr>
              <w:jc w:val="both"/>
              <w:rPr>
                <w:rFonts w:eastAsia="Calibri"/>
                <w:sz w:val="20"/>
                <w:lang w:val="fr-CA"/>
              </w:rPr>
            </w:pPr>
          </w:p>
        </w:tc>
        <w:tc>
          <w:tcPr>
            <w:tcW w:w="2330" w:type="pct"/>
          </w:tcPr>
          <w:p w:rsidR="00EA36E8" w:rsidRPr="00DE1E45" w:rsidRDefault="00EA36E8" w:rsidP="001A7F7C">
            <w:pPr>
              <w:jc w:val="both"/>
              <w:rPr>
                <w:rFonts w:eastAsia="Calibri"/>
                <w:sz w:val="20"/>
                <w:lang w:val="fr-CA"/>
              </w:rPr>
            </w:pPr>
            <w:r w:rsidRPr="00DE1E45">
              <w:rPr>
                <w:rFonts w:eastAsia="Calibri"/>
                <w:sz w:val="20"/>
                <w:lang w:val="fr-CA"/>
              </w:rPr>
              <w:t>Suspension de l'ordonnance d'exécution, accordée</w:t>
            </w:r>
          </w:p>
        </w:tc>
      </w:tr>
      <w:tr w:rsidR="00EA36E8" w:rsidRPr="00E672F1" w:rsidTr="001A7F7C">
        <w:tc>
          <w:tcPr>
            <w:tcW w:w="2427" w:type="pct"/>
          </w:tcPr>
          <w:p w:rsidR="00EA36E8" w:rsidRPr="00DE1E45" w:rsidRDefault="00EA36E8" w:rsidP="001A7F7C">
            <w:pPr>
              <w:jc w:val="both"/>
              <w:rPr>
                <w:rFonts w:eastAsia="Calibri"/>
                <w:sz w:val="20"/>
                <w:lang w:val="fr-CA"/>
              </w:rPr>
            </w:pPr>
            <w:r w:rsidRPr="00DE1E45">
              <w:rPr>
                <w:rFonts w:eastAsia="Calibri"/>
                <w:sz w:val="20"/>
                <w:lang w:val="fr-CA"/>
              </w:rPr>
              <w:t>11 septembre 2013</w:t>
            </w:r>
          </w:p>
          <w:p w:rsidR="00EA36E8" w:rsidRPr="00DE1E45" w:rsidRDefault="00EA36E8" w:rsidP="001A7F7C">
            <w:pPr>
              <w:jc w:val="both"/>
              <w:rPr>
                <w:rFonts w:eastAsia="Calibri"/>
                <w:sz w:val="20"/>
                <w:lang w:val="fr-CA"/>
              </w:rPr>
            </w:pPr>
            <w:r w:rsidRPr="00DE1E45">
              <w:rPr>
                <w:rFonts w:eastAsia="Calibri"/>
                <w:sz w:val="20"/>
                <w:lang w:val="fr-CA"/>
              </w:rPr>
              <w:t>Cour suprême du Canada</w:t>
            </w:r>
          </w:p>
        </w:tc>
        <w:tc>
          <w:tcPr>
            <w:tcW w:w="243" w:type="pct"/>
          </w:tcPr>
          <w:p w:rsidR="00EA36E8" w:rsidRPr="00DE1E45" w:rsidRDefault="00EA36E8" w:rsidP="001A7F7C">
            <w:pPr>
              <w:jc w:val="both"/>
              <w:rPr>
                <w:rFonts w:eastAsia="Calibri"/>
                <w:sz w:val="20"/>
                <w:lang w:val="fr-CA"/>
              </w:rPr>
            </w:pPr>
          </w:p>
        </w:tc>
        <w:tc>
          <w:tcPr>
            <w:tcW w:w="2330" w:type="pct"/>
          </w:tcPr>
          <w:p w:rsidR="00EA36E8" w:rsidRPr="00DE1E45" w:rsidRDefault="00EA36E8" w:rsidP="001A7F7C">
            <w:pPr>
              <w:jc w:val="both"/>
              <w:rPr>
                <w:rFonts w:eastAsia="Calibri"/>
                <w:sz w:val="20"/>
                <w:lang w:val="fr-CA"/>
              </w:rPr>
            </w:pPr>
            <w:r w:rsidRPr="00DE1E45">
              <w:rPr>
                <w:rFonts w:eastAsia="Calibri"/>
                <w:sz w:val="20"/>
                <w:lang w:val="fr-CA"/>
              </w:rPr>
              <w:t>Demande d'autorisation d'appel et requête pour dépens et renvoi, déposée</w:t>
            </w:r>
          </w:p>
        </w:tc>
      </w:tr>
    </w:tbl>
    <w:p w:rsidR="0010221A" w:rsidRPr="00EA36E8" w:rsidRDefault="0010221A" w:rsidP="0010221A">
      <w:pPr>
        <w:rPr>
          <w:sz w:val="20"/>
          <w:szCs w:val="20"/>
          <w:lang w:val="fr-CA"/>
        </w:rPr>
      </w:pPr>
    </w:p>
    <w:p w:rsidR="0010221A" w:rsidRDefault="00E672F1" w:rsidP="0010221A">
      <w:pPr>
        <w:rPr>
          <w:sz w:val="20"/>
          <w:szCs w:val="20"/>
        </w:rPr>
      </w:pPr>
      <w:r>
        <w:rPr>
          <w:sz w:val="20"/>
          <w:szCs w:val="20"/>
          <w:lang w:val="fr-CA"/>
        </w:rPr>
        <w:pict>
          <v:rect id="_x0000_i1043" style="width:2in;height:1pt" o:hrpct="0" o:hralign="center" o:hrstd="t" o:hrnoshade="t" o:hr="t" fillcolor="black [3213]" stroked="f"/>
        </w:pict>
      </w:r>
    </w:p>
    <w:p w:rsidR="0010221A" w:rsidRDefault="0010221A" w:rsidP="0010221A">
      <w:pPr>
        <w:rPr>
          <w:sz w:val="20"/>
          <w:szCs w:val="20"/>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8225B" w:rsidRPr="00E672F1" w:rsidTr="00D8225B">
        <w:trPr>
          <w:cantSplit/>
        </w:trPr>
        <w:tc>
          <w:tcPr>
            <w:tcW w:w="1458" w:type="dxa"/>
          </w:tcPr>
          <w:p w:rsidR="00D8225B" w:rsidRPr="00D8225B" w:rsidRDefault="00D8225B" w:rsidP="00D8225B">
            <w:pPr>
              <w:rPr>
                <w:sz w:val="20"/>
              </w:rPr>
            </w:pPr>
            <w:r w:rsidRPr="00D8225B">
              <w:rPr>
                <w:b/>
                <w:sz w:val="20"/>
                <w:lang w:val="fr-CA"/>
              </w:rPr>
              <w:lastRenderedPageBreak/>
              <w:t>35526</w:t>
            </w:r>
          </w:p>
          <w:p w:rsidR="00D8225B" w:rsidRPr="00D8225B" w:rsidRDefault="00D8225B" w:rsidP="00D8225B">
            <w:pPr>
              <w:rPr>
                <w:b/>
                <w:sz w:val="20"/>
                <w:lang w:val="fr-CA"/>
              </w:rPr>
            </w:pPr>
          </w:p>
        </w:tc>
        <w:tc>
          <w:tcPr>
            <w:tcW w:w="8118" w:type="dxa"/>
          </w:tcPr>
          <w:p w:rsidR="00D8225B" w:rsidRPr="00D8225B" w:rsidRDefault="00D8225B" w:rsidP="00D8225B">
            <w:pPr>
              <w:rPr>
                <w:sz w:val="20"/>
                <w:lang w:val="fr-CA"/>
              </w:rPr>
            </w:pPr>
            <w:r w:rsidRPr="00D8225B">
              <w:rPr>
                <w:b/>
                <w:sz w:val="20"/>
                <w:u w:val="single"/>
                <w:lang w:val="fr-CA"/>
              </w:rPr>
              <w:t>Raynald Grenier c. Procureur général du Québec</w:t>
            </w:r>
            <w:r w:rsidRPr="00D8225B">
              <w:rPr>
                <w:sz w:val="20"/>
                <w:lang w:val="fr-CA"/>
              </w:rPr>
              <w:t xml:space="preserve"> (Qc) (Civile) (Autorisation)</w:t>
            </w:r>
          </w:p>
          <w:p w:rsidR="00D8225B" w:rsidRPr="00D8225B" w:rsidRDefault="00D8225B" w:rsidP="00D8225B">
            <w:pPr>
              <w:rPr>
                <w:sz w:val="20"/>
                <w:lang w:val="fr-CA"/>
              </w:rPr>
            </w:pPr>
          </w:p>
        </w:tc>
      </w:tr>
      <w:tr w:rsidR="00D8225B" w:rsidRPr="00E672F1" w:rsidTr="00D8225B">
        <w:trPr>
          <w:cantSplit/>
        </w:trPr>
        <w:tc>
          <w:tcPr>
            <w:tcW w:w="1458" w:type="dxa"/>
          </w:tcPr>
          <w:p w:rsidR="00D8225B" w:rsidRPr="00D8225B" w:rsidRDefault="00D8225B" w:rsidP="00D8225B">
            <w:pPr>
              <w:rPr>
                <w:sz w:val="20"/>
              </w:rPr>
            </w:pPr>
            <w:r w:rsidRPr="00D8225B">
              <w:rPr>
                <w:sz w:val="20"/>
              </w:rPr>
              <w:t>Coram :</w:t>
            </w:r>
          </w:p>
        </w:tc>
        <w:tc>
          <w:tcPr>
            <w:tcW w:w="8118" w:type="dxa"/>
          </w:tcPr>
          <w:p w:rsidR="00D8225B" w:rsidRPr="00D8225B" w:rsidRDefault="00D8225B" w:rsidP="00D8225B">
            <w:pPr>
              <w:rPr>
                <w:sz w:val="20"/>
                <w:lang w:val="fr-CA"/>
              </w:rPr>
            </w:pPr>
            <w:r w:rsidRPr="00D8225B">
              <w:rPr>
                <w:sz w:val="20"/>
                <w:u w:val="single"/>
                <w:lang w:val="fr-CA"/>
              </w:rPr>
              <w:t>Les juges LeBel, Karakatsanis et Wagner</w:t>
            </w:r>
          </w:p>
          <w:p w:rsidR="00D8225B" w:rsidRPr="00D8225B" w:rsidRDefault="00D8225B" w:rsidP="00D8225B">
            <w:pPr>
              <w:rPr>
                <w:sz w:val="20"/>
                <w:u w:val="single"/>
                <w:lang w:val="fr-CA"/>
              </w:rPr>
            </w:pPr>
          </w:p>
        </w:tc>
      </w:tr>
      <w:tr w:rsidR="00D8225B" w:rsidRPr="00D8225B" w:rsidTr="00D8225B">
        <w:trPr>
          <w:cantSplit/>
        </w:trPr>
        <w:tc>
          <w:tcPr>
            <w:tcW w:w="9576" w:type="dxa"/>
            <w:gridSpan w:val="2"/>
          </w:tcPr>
          <w:p w:rsidR="00D8225B" w:rsidRPr="00D8225B" w:rsidRDefault="00D8225B" w:rsidP="00D8225B">
            <w:pPr>
              <w:ind w:firstLine="720"/>
              <w:jc w:val="both"/>
              <w:rPr>
                <w:sz w:val="20"/>
                <w:lang w:val="fr-CA"/>
              </w:rPr>
            </w:pPr>
            <w:r w:rsidRPr="00D8225B">
              <w:rPr>
                <w:sz w:val="20"/>
                <w:lang w:val="fr-CA"/>
              </w:rPr>
              <w:t>La requête en prorogation du délai de signification et de dépôt de la demande d’autorisation d’appel est accueillie. La demande d’autorisation d’appel de l’arrêt de la Cour d’appel du Québec (Québec), numéro 200-09-008000-132, 2013 QCCA 1094, daté du 12 juin 2013, est rejetée sans dépens.</w:t>
            </w:r>
          </w:p>
          <w:p w:rsidR="00D8225B" w:rsidRPr="00D8225B" w:rsidRDefault="00D8225B" w:rsidP="00D8225B">
            <w:pPr>
              <w:jc w:val="both"/>
              <w:rPr>
                <w:sz w:val="20"/>
                <w:lang w:val="fr-CA"/>
              </w:rPr>
            </w:pPr>
          </w:p>
          <w:p w:rsidR="00D8225B" w:rsidRPr="00D8225B" w:rsidRDefault="00D8225B" w:rsidP="00D8225B">
            <w:pPr>
              <w:ind w:firstLine="720"/>
              <w:jc w:val="both"/>
              <w:rPr>
                <w:sz w:val="20"/>
              </w:rPr>
            </w:pPr>
            <w:r w:rsidRPr="00D8225B">
              <w:rPr>
                <w:sz w:val="20"/>
              </w:rPr>
              <w:t>The motion for an extension of time to serve and file the application for leave to appeal is granted. The application for leave to appeal from the judgment of the Court of Appeal of Quebec (Québec), Number 200-09-008000-132, 2013 QCCA 1094, dated June 12, 2013, is dismissed without costs.</w:t>
            </w:r>
          </w:p>
        </w:tc>
      </w:tr>
    </w:tbl>
    <w:p w:rsidR="0010221A" w:rsidRDefault="0010221A" w:rsidP="0010221A">
      <w:pPr>
        <w:rPr>
          <w:sz w:val="20"/>
          <w:szCs w:val="20"/>
        </w:rPr>
      </w:pPr>
    </w:p>
    <w:p w:rsidR="0010221A" w:rsidRPr="001B157C" w:rsidRDefault="0010221A" w:rsidP="0010221A">
      <w:pPr>
        <w:rPr>
          <w:sz w:val="20"/>
          <w:szCs w:val="20"/>
          <w:u w:val="single"/>
        </w:rPr>
      </w:pPr>
      <w:r w:rsidRPr="001B157C">
        <w:rPr>
          <w:sz w:val="20"/>
          <w:szCs w:val="20"/>
          <w:u w:val="single"/>
        </w:rPr>
        <w:t>CASE SUMMARY</w:t>
      </w:r>
    </w:p>
    <w:p w:rsidR="0010221A" w:rsidRDefault="0010221A" w:rsidP="0010221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1504" w:rsidRPr="00DE1E45" w:rsidTr="001A7F7C">
        <w:tc>
          <w:tcPr>
            <w:tcW w:w="5000" w:type="pct"/>
            <w:gridSpan w:val="3"/>
          </w:tcPr>
          <w:p w:rsidR="00AB1504" w:rsidRPr="00DE1E45" w:rsidRDefault="00AB1504" w:rsidP="001A7F7C">
            <w:pPr>
              <w:jc w:val="both"/>
              <w:rPr>
                <w:rFonts w:eastAsia="Calibri"/>
                <w:sz w:val="20"/>
              </w:rPr>
            </w:pPr>
            <w:r w:rsidRPr="00DE1E45">
              <w:rPr>
                <w:rFonts w:eastAsia="Calibri"/>
                <w:sz w:val="20"/>
              </w:rPr>
              <w:t>Civil procedure – Quarrelsome conduct – Motion for declaration of quarrelsome conduct allowed – Motion to dismiss appeal allowed – Whether applicant wrongly declared to be quarrelsome litigant.</w:t>
            </w:r>
          </w:p>
        </w:tc>
      </w:tr>
      <w:tr w:rsidR="00AB1504" w:rsidRPr="00DE1E45" w:rsidTr="001A7F7C">
        <w:tc>
          <w:tcPr>
            <w:tcW w:w="5000" w:type="pct"/>
            <w:gridSpan w:val="3"/>
          </w:tcPr>
          <w:p w:rsidR="00AB1504" w:rsidRPr="00DE1E45" w:rsidRDefault="00AB1504" w:rsidP="001A7F7C">
            <w:pPr>
              <w:jc w:val="both"/>
              <w:rPr>
                <w:rFonts w:eastAsia="Calibri"/>
                <w:sz w:val="20"/>
              </w:rPr>
            </w:pPr>
          </w:p>
        </w:tc>
      </w:tr>
      <w:tr w:rsidR="00AB1504" w:rsidRPr="00DE1E45" w:rsidTr="001A7F7C">
        <w:tc>
          <w:tcPr>
            <w:tcW w:w="5000" w:type="pct"/>
            <w:gridSpan w:val="3"/>
          </w:tcPr>
          <w:p w:rsidR="00AB1504" w:rsidRPr="00DE1E45" w:rsidRDefault="00AB1504" w:rsidP="001A7F7C">
            <w:pPr>
              <w:jc w:val="both"/>
              <w:rPr>
                <w:rFonts w:eastAsia="Calibri"/>
                <w:sz w:val="20"/>
              </w:rPr>
            </w:pPr>
            <w:r w:rsidRPr="00DE1E45">
              <w:rPr>
                <w:rFonts w:eastAsia="Calibri"/>
                <w:sz w:val="20"/>
              </w:rPr>
              <w:t>In 2005, the Administrative Tribunal of Québec ordered the expropriation of parcels of land belonging to the applicant Mr. Grenier and determined the indemnity payable.  Mr. Grenier subsequently initiated a number of proceedings in various forums, including against the Attorney General of Quebec, counsel for the Attorney General of Quebec and the judges involved.</w:t>
            </w:r>
          </w:p>
          <w:p w:rsidR="00AB1504" w:rsidRPr="00DE1E45" w:rsidRDefault="00AB1504" w:rsidP="001A7F7C">
            <w:pPr>
              <w:jc w:val="both"/>
              <w:rPr>
                <w:rFonts w:eastAsia="Calibri"/>
                <w:sz w:val="20"/>
              </w:rPr>
            </w:pPr>
          </w:p>
          <w:p w:rsidR="00AB1504" w:rsidRPr="00DE1E45" w:rsidRDefault="00AB1504" w:rsidP="001A7F7C">
            <w:pPr>
              <w:jc w:val="both"/>
              <w:rPr>
                <w:rFonts w:eastAsia="Calibri"/>
                <w:sz w:val="20"/>
              </w:rPr>
            </w:pPr>
            <w:r w:rsidRPr="00DE1E45">
              <w:rPr>
                <w:rFonts w:eastAsia="Calibri"/>
                <w:sz w:val="20"/>
              </w:rPr>
              <w:t xml:space="preserve">In this case, the Attorney General of Quebec asked the Superior Court to declare Mr. Grenier to be a quarrelsome litigant.  Mr. Grenier opposed the Attorney General’s motion and moved to recuse the judge on the ground that there was reasonable cause to fear she would not be impartial because she had already sat on a case that concerned him. </w:t>
            </w:r>
          </w:p>
          <w:p w:rsidR="00AB1504" w:rsidRPr="00DE1E45" w:rsidRDefault="00AB1504" w:rsidP="001A7F7C">
            <w:pPr>
              <w:jc w:val="both"/>
              <w:rPr>
                <w:rFonts w:eastAsia="Calibri"/>
                <w:sz w:val="20"/>
              </w:rPr>
            </w:pPr>
          </w:p>
          <w:p w:rsidR="00AB1504" w:rsidRPr="00DE1E45" w:rsidRDefault="00AB1504" w:rsidP="001A7F7C">
            <w:pPr>
              <w:jc w:val="both"/>
              <w:rPr>
                <w:rFonts w:eastAsia="Calibri"/>
                <w:sz w:val="20"/>
              </w:rPr>
            </w:pPr>
            <w:r w:rsidRPr="00DE1E45">
              <w:rPr>
                <w:rFonts w:eastAsia="Calibri"/>
                <w:sz w:val="20"/>
              </w:rPr>
              <w:t>The Superior Court allowed the Attorney General’s motion.  According to the judge, Mr. Grenier was acting in a quarrelsome manner and [</w:t>
            </w:r>
            <w:r w:rsidRPr="00DE1E45">
              <w:rPr>
                <w:rFonts w:eastAsia="Calibri"/>
                <w:smallCaps/>
                <w:sz w:val="20"/>
              </w:rPr>
              <w:t>translation</w:t>
            </w:r>
            <w:r w:rsidRPr="00DE1E45">
              <w:rPr>
                <w:rFonts w:eastAsia="Calibri"/>
                <w:sz w:val="20"/>
              </w:rPr>
              <w:t>] “[t]he history of the proceedings, disciplinary complaints, requests for inquiries and grievances against [the Attorney General] shows that [Mr. Grenier] does not accept and will never accept the expropriation of his land” (para. 23).  The judge also dismissed the recusation motion.  The Court of Appeal allowed a motion by the Attorney General of Quebec to dismiss the appeal and dismissed Mr. Grenier’s appeal.</w:t>
            </w:r>
          </w:p>
          <w:p w:rsidR="00AB1504" w:rsidRPr="00DE1E45" w:rsidRDefault="00AB1504" w:rsidP="001A7F7C">
            <w:pPr>
              <w:jc w:val="both"/>
              <w:rPr>
                <w:rFonts w:eastAsia="Calibri"/>
                <w:sz w:val="20"/>
              </w:rPr>
            </w:pPr>
          </w:p>
        </w:tc>
      </w:tr>
      <w:tr w:rsidR="00AB1504" w:rsidRPr="00DE1E45" w:rsidTr="001A7F7C">
        <w:tc>
          <w:tcPr>
            <w:tcW w:w="2427" w:type="pct"/>
          </w:tcPr>
          <w:p w:rsidR="00AB1504" w:rsidRPr="00DE1E45" w:rsidRDefault="00AB1504" w:rsidP="001A7F7C">
            <w:pPr>
              <w:jc w:val="both"/>
              <w:rPr>
                <w:rFonts w:eastAsia="Calibri"/>
                <w:sz w:val="20"/>
              </w:rPr>
            </w:pPr>
            <w:r w:rsidRPr="00DE1E45">
              <w:rPr>
                <w:rFonts w:eastAsia="Calibri"/>
                <w:sz w:val="20"/>
              </w:rPr>
              <w:t>March 8, 2013</w:t>
            </w:r>
          </w:p>
          <w:p w:rsidR="00AB1504" w:rsidRPr="00DE1E45" w:rsidRDefault="00AB1504" w:rsidP="001A7F7C">
            <w:pPr>
              <w:jc w:val="both"/>
              <w:rPr>
                <w:rFonts w:eastAsia="Calibri"/>
                <w:sz w:val="20"/>
              </w:rPr>
            </w:pPr>
            <w:r w:rsidRPr="00DE1E45">
              <w:rPr>
                <w:rFonts w:eastAsia="Calibri"/>
                <w:sz w:val="20"/>
              </w:rPr>
              <w:t>Quebec Superior Court</w:t>
            </w:r>
          </w:p>
          <w:p w:rsidR="00AB1504" w:rsidRPr="00DE1E45" w:rsidRDefault="00AB1504" w:rsidP="001A7F7C">
            <w:pPr>
              <w:jc w:val="both"/>
              <w:rPr>
                <w:rFonts w:eastAsia="Calibri"/>
                <w:sz w:val="20"/>
              </w:rPr>
            </w:pPr>
            <w:r w:rsidRPr="00DE1E45">
              <w:rPr>
                <w:rFonts w:eastAsia="Calibri"/>
                <w:sz w:val="20"/>
              </w:rPr>
              <w:t>(Lacroix J.)</w:t>
            </w:r>
          </w:p>
          <w:p w:rsidR="00AB1504" w:rsidRPr="00DE1E45" w:rsidRDefault="00AB1504" w:rsidP="001A7F7C">
            <w:pPr>
              <w:jc w:val="both"/>
              <w:rPr>
                <w:rFonts w:eastAsia="Calibri"/>
                <w:sz w:val="20"/>
              </w:rPr>
            </w:pPr>
          </w:p>
        </w:tc>
        <w:tc>
          <w:tcPr>
            <w:tcW w:w="243" w:type="pct"/>
          </w:tcPr>
          <w:p w:rsidR="00AB1504" w:rsidRPr="00DE1E45" w:rsidRDefault="00AB1504" w:rsidP="001A7F7C">
            <w:pPr>
              <w:jc w:val="both"/>
              <w:rPr>
                <w:rFonts w:eastAsia="Calibri"/>
                <w:sz w:val="20"/>
              </w:rPr>
            </w:pPr>
          </w:p>
        </w:tc>
        <w:tc>
          <w:tcPr>
            <w:tcW w:w="2330" w:type="pct"/>
          </w:tcPr>
          <w:p w:rsidR="00AB1504" w:rsidRPr="00DE1E45" w:rsidRDefault="00AB1504" w:rsidP="001A7F7C">
            <w:pPr>
              <w:jc w:val="both"/>
              <w:rPr>
                <w:rFonts w:eastAsia="Calibri"/>
                <w:sz w:val="20"/>
              </w:rPr>
            </w:pPr>
            <w:r w:rsidRPr="00DE1E45">
              <w:rPr>
                <w:rFonts w:eastAsia="Calibri"/>
                <w:sz w:val="20"/>
              </w:rPr>
              <w:t>Motion for declaration of quarrelsome conduct allowed; recusation motion dismissed</w:t>
            </w:r>
          </w:p>
          <w:p w:rsidR="00AB1504" w:rsidRPr="00DE1E45" w:rsidRDefault="00AB1504" w:rsidP="001A7F7C">
            <w:pPr>
              <w:jc w:val="both"/>
              <w:rPr>
                <w:rFonts w:eastAsia="Calibri"/>
                <w:sz w:val="20"/>
              </w:rPr>
            </w:pPr>
          </w:p>
        </w:tc>
      </w:tr>
      <w:tr w:rsidR="00AB1504" w:rsidRPr="00DE1E45" w:rsidTr="001A7F7C">
        <w:tc>
          <w:tcPr>
            <w:tcW w:w="2427" w:type="pct"/>
          </w:tcPr>
          <w:p w:rsidR="00AB1504" w:rsidRPr="00DE1E45" w:rsidRDefault="00AB1504" w:rsidP="001A7F7C">
            <w:pPr>
              <w:jc w:val="both"/>
              <w:rPr>
                <w:rFonts w:eastAsia="Calibri"/>
                <w:sz w:val="20"/>
              </w:rPr>
            </w:pPr>
            <w:r w:rsidRPr="00DE1E45">
              <w:rPr>
                <w:rFonts w:eastAsia="Calibri"/>
                <w:sz w:val="20"/>
              </w:rPr>
              <w:t>June 12, 2013</w:t>
            </w:r>
          </w:p>
          <w:p w:rsidR="00AB1504" w:rsidRPr="00DE1E45" w:rsidRDefault="00AB1504" w:rsidP="001A7F7C">
            <w:pPr>
              <w:jc w:val="both"/>
              <w:rPr>
                <w:rFonts w:eastAsia="Calibri"/>
                <w:sz w:val="20"/>
              </w:rPr>
            </w:pPr>
            <w:r w:rsidRPr="00DE1E45">
              <w:rPr>
                <w:rFonts w:eastAsia="Calibri"/>
                <w:sz w:val="20"/>
              </w:rPr>
              <w:t>Quebec Court of Appeal (Québec)</w:t>
            </w:r>
          </w:p>
          <w:p w:rsidR="00AB1504" w:rsidRPr="00DE1E45" w:rsidRDefault="00AB1504" w:rsidP="001A7F7C">
            <w:pPr>
              <w:jc w:val="both"/>
              <w:rPr>
                <w:rFonts w:eastAsia="Calibri"/>
                <w:sz w:val="20"/>
              </w:rPr>
            </w:pPr>
            <w:r w:rsidRPr="00DE1E45">
              <w:rPr>
                <w:rFonts w:eastAsia="Calibri"/>
                <w:sz w:val="20"/>
              </w:rPr>
              <w:t>(Duval Hesler C.J. and Gagnon and Lévesque JJ.A.)</w:t>
            </w:r>
          </w:p>
          <w:p w:rsidR="00AB1504" w:rsidRPr="00DE1E45" w:rsidRDefault="00AB1504" w:rsidP="001A7F7C">
            <w:pPr>
              <w:jc w:val="both"/>
              <w:rPr>
                <w:rFonts w:eastAsia="Calibri"/>
                <w:sz w:val="20"/>
              </w:rPr>
            </w:pPr>
            <w:r w:rsidRPr="00DE1E45">
              <w:rPr>
                <w:rFonts w:eastAsia="Calibri"/>
                <w:sz w:val="20"/>
              </w:rPr>
              <w:t xml:space="preserve">200-09-008000-132; </w:t>
            </w:r>
            <w:hyperlink r:id="rId34" w:history="1">
              <w:r w:rsidRPr="00DE1E45">
                <w:rPr>
                  <w:rFonts w:eastAsia="Calibri"/>
                  <w:color w:val="0000FF"/>
                  <w:sz w:val="20"/>
                  <w:u w:val="single"/>
                </w:rPr>
                <w:t>2013 QCCA 1094</w:t>
              </w:r>
            </w:hyperlink>
          </w:p>
          <w:p w:rsidR="00AB1504" w:rsidRPr="00DE1E45" w:rsidRDefault="00AB1504" w:rsidP="001A7F7C">
            <w:pPr>
              <w:jc w:val="both"/>
              <w:rPr>
                <w:rFonts w:eastAsia="Calibri"/>
                <w:sz w:val="20"/>
              </w:rPr>
            </w:pPr>
          </w:p>
        </w:tc>
        <w:tc>
          <w:tcPr>
            <w:tcW w:w="243" w:type="pct"/>
          </w:tcPr>
          <w:p w:rsidR="00AB1504" w:rsidRPr="00DE1E45" w:rsidRDefault="00AB1504" w:rsidP="001A7F7C">
            <w:pPr>
              <w:jc w:val="both"/>
              <w:rPr>
                <w:rFonts w:eastAsia="Calibri"/>
                <w:sz w:val="20"/>
              </w:rPr>
            </w:pPr>
          </w:p>
        </w:tc>
        <w:tc>
          <w:tcPr>
            <w:tcW w:w="2330" w:type="pct"/>
          </w:tcPr>
          <w:p w:rsidR="00AB1504" w:rsidRPr="00DE1E45" w:rsidRDefault="00AB1504" w:rsidP="001A7F7C">
            <w:pPr>
              <w:jc w:val="both"/>
              <w:rPr>
                <w:rFonts w:eastAsia="Calibri"/>
                <w:sz w:val="20"/>
              </w:rPr>
            </w:pPr>
            <w:r w:rsidRPr="00DE1E45">
              <w:rPr>
                <w:rFonts w:eastAsia="Calibri"/>
                <w:sz w:val="20"/>
              </w:rPr>
              <w:t>Motion to dismiss appeal allowed; appeal dismissed</w:t>
            </w:r>
          </w:p>
          <w:p w:rsidR="00AB1504" w:rsidRPr="00DE1E45" w:rsidRDefault="00AB1504" w:rsidP="001A7F7C">
            <w:pPr>
              <w:jc w:val="both"/>
              <w:rPr>
                <w:rFonts w:eastAsia="Calibri"/>
                <w:sz w:val="20"/>
              </w:rPr>
            </w:pPr>
          </w:p>
        </w:tc>
      </w:tr>
      <w:tr w:rsidR="00AB1504" w:rsidRPr="00DE1E45" w:rsidTr="001A7F7C">
        <w:tc>
          <w:tcPr>
            <w:tcW w:w="2427" w:type="pct"/>
          </w:tcPr>
          <w:p w:rsidR="00AB1504" w:rsidRPr="00DE1E45" w:rsidRDefault="00AB1504" w:rsidP="001A7F7C">
            <w:pPr>
              <w:jc w:val="both"/>
              <w:rPr>
                <w:rFonts w:eastAsia="Calibri"/>
                <w:sz w:val="20"/>
              </w:rPr>
            </w:pPr>
            <w:r w:rsidRPr="00DE1E45">
              <w:rPr>
                <w:rFonts w:eastAsia="Calibri"/>
                <w:sz w:val="20"/>
              </w:rPr>
              <w:t>September 12, 2013</w:t>
            </w:r>
          </w:p>
          <w:p w:rsidR="00AB1504" w:rsidRPr="00DE1E45" w:rsidRDefault="00AB1504" w:rsidP="001A7F7C">
            <w:pPr>
              <w:jc w:val="both"/>
              <w:rPr>
                <w:rFonts w:eastAsia="Calibri"/>
                <w:sz w:val="20"/>
              </w:rPr>
            </w:pPr>
            <w:r w:rsidRPr="00DE1E45">
              <w:rPr>
                <w:rFonts w:eastAsia="Calibri"/>
                <w:sz w:val="20"/>
              </w:rPr>
              <w:t>Supreme Court of Canada</w:t>
            </w:r>
          </w:p>
        </w:tc>
        <w:tc>
          <w:tcPr>
            <w:tcW w:w="243" w:type="pct"/>
          </w:tcPr>
          <w:p w:rsidR="00AB1504" w:rsidRPr="00DE1E45" w:rsidRDefault="00AB1504" w:rsidP="001A7F7C">
            <w:pPr>
              <w:jc w:val="both"/>
              <w:rPr>
                <w:rFonts w:eastAsia="Calibri"/>
                <w:sz w:val="20"/>
              </w:rPr>
            </w:pPr>
          </w:p>
        </w:tc>
        <w:tc>
          <w:tcPr>
            <w:tcW w:w="2330" w:type="pct"/>
          </w:tcPr>
          <w:p w:rsidR="00AB1504" w:rsidRPr="00DE1E45" w:rsidRDefault="00AB1504" w:rsidP="001A7F7C">
            <w:pPr>
              <w:jc w:val="both"/>
              <w:rPr>
                <w:rFonts w:eastAsia="Calibri"/>
                <w:sz w:val="20"/>
              </w:rPr>
            </w:pPr>
            <w:r w:rsidRPr="00DE1E45">
              <w:rPr>
                <w:rFonts w:eastAsia="Calibri"/>
                <w:sz w:val="20"/>
              </w:rPr>
              <w:t>Motion to extend time to serve and file application for leave to appeal and application for leave to appeal filed</w:t>
            </w:r>
          </w:p>
        </w:tc>
      </w:tr>
    </w:tbl>
    <w:p w:rsidR="0010221A" w:rsidRDefault="0010221A" w:rsidP="0010221A">
      <w:pPr>
        <w:rPr>
          <w:sz w:val="20"/>
          <w:szCs w:val="20"/>
        </w:rPr>
      </w:pPr>
    </w:p>
    <w:p w:rsidR="0010221A" w:rsidRPr="00C50A5C" w:rsidRDefault="00E672F1" w:rsidP="0010221A">
      <w:pPr>
        <w:rPr>
          <w:sz w:val="20"/>
          <w:szCs w:val="20"/>
        </w:rPr>
      </w:pPr>
      <w:r>
        <w:rPr>
          <w:sz w:val="20"/>
          <w:szCs w:val="20"/>
          <w:lang w:val="fr-CA"/>
        </w:rPr>
        <w:pict>
          <v:rect id="_x0000_i1044" style="width:2in;height:1pt" o:hrpct="0" o:hralign="center" o:hrstd="t" o:hrnoshade="t" o:hr="t" fillcolor="black [3213]" stroked="f"/>
        </w:pict>
      </w:r>
    </w:p>
    <w:p w:rsidR="0010221A" w:rsidRDefault="0010221A" w:rsidP="0010221A">
      <w:pPr>
        <w:rPr>
          <w:sz w:val="20"/>
          <w:szCs w:val="20"/>
        </w:rPr>
      </w:pPr>
    </w:p>
    <w:p w:rsidR="0010221A" w:rsidRPr="001B157C" w:rsidRDefault="0010221A" w:rsidP="0010221A">
      <w:pPr>
        <w:rPr>
          <w:sz w:val="20"/>
          <w:szCs w:val="20"/>
          <w:u w:val="single"/>
          <w:lang w:val="fr-CA"/>
        </w:rPr>
      </w:pPr>
      <w:r w:rsidRPr="001B157C">
        <w:rPr>
          <w:sz w:val="20"/>
          <w:szCs w:val="20"/>
          <w:u w:val="single"/>
          <w:lang w:val="fr-CA"/>
        </w:rPr>
        <w:t>RÉSUMÉ DE L’AFFAIRE</w:t>
      </w:r>
    </w:p>
    <w:p w:rsidR="0010221A" w:rsidRDefault="0010221A" w:rsidP="0010221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1504" w:rsidRPr="00E672F1" w:rsidTr="001A7F7C">
        <w:tc>
          <w:tcPr>
            <w:tcW w:w="5000" w:type="pct"/>
            <w:gridSpan w:val="3"/>
          </w:tcPr>
          <w:p w:rsidR="00AB1504" w:rsidRPr="00DE1E45" w:rsidRDefault="00AB1504" w:rsidP="001A7F7C">
            <w:pPr>
              <w:jc w:val="both"/>
              <w:rPr>
                <w:rFonts w:eastAsia="Calibri"/>
                <w:sz w:val="20"/>
                <w:lang w:val="fr-CA"/>
              </w:rPr>
            </w:pPr>
            <w:r w:rsidRPr="00DE1E45">
              <w:rPr>
                <w:rFonts w:eastAsia="Calibri"/>
                <w:sz w:val="20"/>
                <w:lang w:val="fr-CA"/>
              </w:rPr>
              <w:lastRenderedPageBreak/>
              <w:t>Procédure civile – Quérulence – Requête en déclaration de quérulence accueillie – Requête en rejet d’appel accueillie – Est-ce à tort que le demandeur a été déclaré plaideur quérulent?</w:t>
            </w:r>
          </w:p>
        </w:tc>
      </w:tr>
      <w:tr w:rsidR="00AB1504" w:rsidRPr="00E672F1" w:rsidTr="001A7F7C">
        <w:tc>
          <w:tcPr>
            <w:tcW w:w="5000" w:type="pct"/>
            <w:gridSpan w:val="3"/>
          </w:tcPr>
          <w:p w:rsidR="00AB1504" w:rsidRPr="00DE1E45" w:rsidRDefault="00AB1504" w:rsidP="001A7F7C">
            <w:pPr>
              <w:jc w:val="both"/>
              <w:rPr>
                <w:rFonts w:eastAsia="Calibri"/>
                <w:sz w:val="20"/>
                <w:lang w:val="fr-CA"/>
              </w:rPr>
            </w:pPr>
          </w:p>
        </w:tc>
      </w:tr>
      <w:tr w:rsidR="00AB1504" w:rsidRPr="00E672F1" w:rsidTr="001A7F7C">
        <w:tc>
          <w:tcPr>
            <w:tcW w:w="5000" w:type="pct"/>
            <w:gridSpan w:val="3"/>
          </w:tcPr>
          <w:p w:rsidR="00AB1504" w:rsidRPr="00DE1E45" w:rsidRDefault="00AB1504" w:rsidP="001A7F7C">
            <w:pPr>
              <w:jc w:val="both"/>
              <w:rPr>
                <w:rFonts w:eastAsia="Calibri"/>
                <w:sz w:val="20"/>
                <w:lang w:val="fr-CA"/>
              </w:rPr>
            </w:pPr>
            <w:r w:rsidRPr="00DE1E45">
              <w:rPr>
                <w:rFonts w:eastAsia="Calibri"/>
                <w:sz w:val="20"/>
                <w:lang w:val="fr-CA"/>
              </w:rPr>
              <w:t xml:space="preserve">En 2005, le Tribunal administratif du Québec ordonne l’expropriation de parcelles de terrain appartenant au demandeur, M. Grenier, et se prononce sur l’indemnité payable.  Depuis, M. Grenier a entrepris devant divers forums plusieurs procédures, notamment contre le procureur général du Québec et l’avocate de celui-ci et contre les juges impliqués. </w:t>
            </w:r>
          </w:p>
          <w:p w:rsidR="00AB1504" w:rsidRPr="00DE1E45" w:rsidRDefault="00AB1504" w:rsidP="001A7F7C">
            <w:pPr>
              <w:jc w:val="both"/>
              <w:rPr>
                <w:rFonts w:eastAsia="Calibri"/>
                <w:sz w:val="20"/>
                <w:lang w:val="fr-CA"/>
              </w:rPr>
            </w:pPr>
          </w:p>
          <w:p w:rsidR="00AB1504" w:rsidRPr="00DE1E45" w:rsidRDefault="00AB1504" w:rsidP="001A7F7C">
            <w:pPr>
              <w:jc w:val="both"/>
              <w:rPr>
                <w:rFonts w:eastAsia="Calibri"/>
                <w:sz w:val="20"/>
                <w:lang w:val="fr-CA"/>
              </w:rPr>
            </w:pPr>
            <w:r w:rsidRPr="00DE1E45">
              <w:rPr>
                <w:rFonts w:eastAsia="Calibri"/>
                <w:sz w:val="20"/>
                <w:lang w:val="fr-CA"/>
              </w:rPr>
              <w:t xml:space="preserve">Dans la présente affaire, le procureur général du Québec s’adresse à la Cour supérieure pour faire déclarer M. Grenier plaideur quérulent.  M. Grenier s’y oppose, et demande la récusation de la juge, au motif de crainte raisonnable de partialité, car celle-ci aurait déjà siégé sur un cas le concernant. </w:t>
            </w:r>
          </w:p>
          <w:p w:rsidR="00AB1504" w:rsidRPr="00DE1E45" w:rsidRDefault="00AB1504" w:rsidP="001A7F7C">
            <w:pPr>
              <w:jc w:val="both"/>
              <w:rPr>
                <w:rFonts w:eastAsia="Calibri"/>
                <w:sz w:val="20"/>
                <w:lang w:val="fr-CA"/>
              </w:rPr>
            </w:pPr>
          </w:p>
          <w:p w:rsidR="00AB1504" w:rsidRPr="00DE1E45" w:rsidRDefault="00AB1504" w:rsidP="001A7F7C">
            <w:pPr>
              <w:jc w:val="both"/>
              <w:rPr>
                <w:rFonts w:eastAsia="Calibri"/>
                <w:sz w:val="20"/>
                <w:lang w:val="fr-CA"/>
              </w:rPr>
            </w:pPr>
            <w:r w:rsidRPr="00DE1E45">
              <w:rPr>
                <w:rFonts w:eastAsia="Calibri"/>
                <w:sz w:val="20"/>
                <w:lang w:val="fr-CA"/>
              </w:rPr>
              <w:t>La Cour supérieure accueille la requête du procureur général.  Selon la juge, M. Grenier fait preuve de quérulence et « [l]’historique des procédures, plaintes disciplinaires, demande d’enquêtes et de griefs contre [le procureur général] démontre [que M. Grenier] n’accepte pas et qu’il n’acceptera jamais l’expropriation de ses terres » (par. 23).  La juge rejette aussi la requête en récusation.  La Cour d’appel accueille une requête du procureur général du Québec en rejet d’appel et rejette l’appel de M. Grenier.</w:t>
            </w:r>
          </w:p>
          <w:p w:rsidR="00AB1504" w:rsidRPr="00DE1E45" w:rsidRDefault="00AB1504" w:rsidP="001A7F7C">
            <w:pPr>
              <w:jc w:val="both"/>
              <w:rPr>
                <w:rFonts w:eastAsia="Calibri"/>
                <w:sz w:val="20"/>
                <w:lang w:val="fr-CA"/>
              </w:rPr>
            </w:pPr>
          </w:p>
        </w:tc>
      </w:tr>
      <w:tr w:rsidR="00AB1504" w:rsidRPr="00E672F1" w:rsidTr="001A7F7C">
        <w:tc>
          <w:tcPr>
            <w:tcW w:w="2427" w:type="pct"/>
          </w:tcPr>
          <w:p w:rsidR="00AB1504" w:rsidRPr="00DE1E45" w:rsidRDefault="00AB1504" w:rsidP="001A7F7C">
            <w:pPr>
              <w:jc w:val="both"/>
              <w:rPr>
                <w:rFonts w:eastAsia="Calibri"/>
                <w:sz w:val="20"/>
                <w:lang w:val="fr-CA"/>
              </w:rPr>
            </w:pPr>
            <w:r w:rsidRPr="00DE1E45">
              <w:rPr>
                <w:rFonts w:eastAsia="Calibri"/>
                <w:sz w:val="20"/>
                <w:lang w:val="fr-CA"/>
              </w:rPr>
              <w:t>Le 8 mars 2013</w:t>
            </w:r>
          </w:p>
          <w:p w:rsidR="00AB1504" w:rsidRPr="00DE1E45" w:rsidRDefault="00AB1504" w:rsidP="001A7F7C">
            <w:pPr>
              <w:jc w:val="both"/>
              <w:rPr>
                <w:rFonts w:eastAsia="Calibri"/>
                <w:sz w:val="20"/>
                <w:lang w:val="fr-CA"/>
              </w:rPr>
            </w:pPr>
            <w:r w:rsidRPr="00DE1E45">
              <w:rPr>
                <w:rFonts w:eastAsia="Calibri"/>
                <w:sz w:val="20"/>
                <w:lang w:val="fr-CA"/>
              </w:rPr>
              <w:t>Cour supérieure du Québec</w:t>
            </w:r>
          </w:p>
          <w:p w:rsidR="00AB1504" w:rsidRPr="00DE1E45" w:rsidRDefault="00AB1504" w:rsidP="001A7F7C">
            <w:pPr>
              <w:jc w:val="both"/>
              <w:rPr>
                <w:rFonts w:eastAsia="Calibri"/>
                <w:sz w:val="20"/>
                <w:lang w:val="fr-CA"/>
              </w:rPr>
            </w:pPr>
            <w:r w:rsidRPr="00DE1E45">
              <w:rPr>
                <w:rFonts w:eastAsia="Calibri"/>
                <w:sz w:val="20"/>
                <w:lang w:val="fr-CA"/>
              </w:rPr>
              <w:t>(La juge Lacroix)</w:t>
            </w:r>
          </w:p>
          <w:p w:rsidR="00AB1504" w:rsidRPr="00DE1E45" w:rsidRDefault="00AB1504" w:rsidP="001A7F7C">
            <w:pPr>
              <w:jc w:val="both"/>
              <w:rPr>
                <w:rFonts w:eastAsia="Calibri"/>
                <w:sz w:val="20"/>
              </w:rPr>
            </w:pPr>
          </w:p>
        </w:tc>
        <w:tc>
          <w:tcPr>
            <w:tcW w:w="243" w:type="pct"/>
          </w:tcPr>
          <w:p w:rsidR="00AB1504" w:rsidRPr="00DE1E45" w:rsidRDefault="00AB1504" w:rsidP="001A7F7C">
            <w:pPr>
              <w:jc w:val="both"/>
              <w:rPr>
                <w:rFonts w:eastAsia="Calibri"/>
                <w:sz w:val="20"/>
              </w:rPr>
            </w:pPr>
          </w:p>
        </w:tc>
        <w:tc>
          <w:tcPr>
            <w:tcW w:w="2330" w:type="pct"/>
          </w:tcPr>
          <w:p w:rsidR="00AB1504" w:rsidRPr="00DE1E45" w:rsidRDefault="00AB1504" w:rsidP="001A7F7C">
            <w:pPr>
              <w:jc w:val="both"/>
              <w:rPr>
                <w:rFonts w:eastAsia="Calibri"/>
                <w:sz w:val="20"/>
                <w:lang w:val="fr-CA"/>
              </w:rPr>
            </w:pPr>
            <w:r w:rsidRPr="00DE1E45">
              <w:rPr>
                <w:rFonts w:eastAsia="Calibri"/>
                <w:sz w:val="20"/>
                <w:lang w:val="fr-CA"/>
              </w:rPr>
              <w:t>Requête en déclaration de quérulence accueillie; requête en récusation rejetée</w:t>
            </w:r>
          </w:p>
          <w:p w:rsidR="00AB1504" w:rsidRPr="00DE1E45" w:rsidRDefault="00AB1504" w:rsidP="001A7F7C">
            <w:pPr>
              <w:jc w:val="both"/>
              <w:rPr>
                <w:rFonts w:eastAsia="Calibri"/>
                <w:sz w:val="20"/>
                <w:lang w:val="fr-CA"/>
              </w:rPr>
            </w:pPr>
          </w:p>
        </w:tc>
      </w:tr>
      <w:tr w:rsidR="00AB1504" w:rsidRPr="00E672F1" w:rsidTr="000F366E">
        <w:trPr>
          <w:cantSplit/>
        </w:trPr>
        <w:tc>
          <w:tcPr>
            <w:tcW w:w="2427" w:type="pct"/>
          </w:tcPr>
          <w:p w:rsidR="00AB1504" w:rsidRPr="00DE1E45" w:rsidRDefault="00AB1504" w:rsidP="001A7F7C">
            <w:pPr>
              <w:jc w:val="both"/>
              <w:rPr>
                <w:rFonts w:eastAsia="Calibri"/>
                <w:sz w:val="20"/>
                <w:lang w:val="fr-CA"/>
              </w:rPr>
            </w:pPr>
            <w:r w:rsidRPr="00DE1E45">
              <w:rPr>
                <w:rFonts w:eastAsia="Calibri"/>
                <w:sz w:val="20"/>
                <w:lang w:val="fr-CA"/>
              </w:rPr>
              <w:t>Le 12 juin 2013</w:t>
            </w:r>
          </w:p>
          <w:p w:rsidR="00AB1504" w:rsidRPr="00DE1E45" w:rsidRDefault="00AB1504" w:rsidP="001A7F7C">
            <w:pPr>
              <w:jc w:val="both"/>
              <w:rPr>
                <w:rFonts w:eastAsia="Calibri"/>
                <w:sz w:val="20"/>
                <w:lang w:val="fr-CA"/>
              </w:rPr>
            </w:pPr>
            <w:r w:rsidRPr="00DE1E45">
              <w:rPr>
                <w:rFonts w:eastAsia="Calibri"/>
                <w:sz w:val="20"/>
                <w:lang w:val="fr-CA"/>
              </w:rPr>
              <w:t>Cour d’appel du Québec (Québec)</w:t>
            </w:r>
          </w:p>
          <w:p w:rsidR="00AB1504" w:rsidRPr="00DE1E45" w:rsidRDefault="00AB1504" w:rsidP="001A7F7C">
            <w:pPr>
              <w:jc w:val="both"/>
              <w:rPr>
                <w:rFonts w:eastAsia="Calibri"/>
                <w:sz w:val="20"/>
                <w:lang w:val="fr-CA"/>
              </w:rPr>
            </w:pPr>
            <w:r w:rsidRPr="00DE1E45">
              <w:rPr>
                <w:rFonts w:eastAsia="Calibri"/>
                <w:sz w:val="20"/>
                <w:lang w:val="fr-CA"/>
              </w:rPr>
              <w:t xml:space="preserve">(La juge en chef Duval Hesler et les juges </w:t>
            </w:r>
          </w:p>
          <w:p w:rsidR="00AB1504" w:rsidRPr="00DE1E45" w:rsidRDefault="00AB1504" w:rsidP="001A7F7C">
            <w:pPr>
              <w:jc w:val="both"/>
              <w:rPr>
                <w:rFonts w:eastAsia="Calibri"/>
                <w:sz w:val="20"/>
                <w:lang w:val="fr-CA"/>
              </w:rPr>
            </w:pPr>
            <w:r w:rsidRPr="00DE1E45">
              <w:rPr>
                <w:rFonts w:eastAsia="Calibri"/>
                <w:sz w:val="20"/>
                <w:lang w:val="fr-CA"/>
              </w:rPr>
              <w:t>Gagnon et Lévesque)</w:t>
            </w:r>
          </w:p>
          <w:p w:rsidR="00AB1504" w:rsidRPr="00DE1E45" w:rsidRDefault="00AB1504" w:rsidP="001A7F7C">
            <w:pPr>
              <w:jc w:val="both"/>
              <w:rPr>
                <w:rFonts w:eastAsia="Calibri"/>
                <w:sz w:val="20"/>
                <w:lang w:val="fr-CA"/>
              </w:rPr>
            </w:pPr>
            <w:r w:rsidRPr="00DE1E45">
              <w:rPr>
                <w:rFonts w:eastAsia="Calibri"/>
                <w:sz w:val="20"/>
                <w:lang w:val="fr-CA"/>
              </w:rPr>
              <w:t xml:space="preserve">200-09-008000-132; </w:t>
            </w:r>
            <w:hyperlink r:id="rId35" w:history="1">
              <w:r w:rsidRPr="00DE1E45">
                <w:rPr>
                  <w:rFonts w:eastAsia="Calibri"/>
                  <w:color w:val="0000FF"/>
                  <w:sz w:val="20"/>
                  <w:u w:val="single"/>
                  <w:lang w:val="fr-CA"/>
                </w:rPr>
                <w:t>2013 QCCA 1094</w:t>
              </w:r>
            </w:hyperlink>
          </w:p>
          <w:p w:rsidR="00AB1504" w:rsidRPr="00DE1E45" w:rsidRDefault="00AB1504" w:rsidP="001A7F7C">
            <w:pPr>
              <w:jc w:val="both"/>
              <w:rPr>
                <w:rFonts w:eastAsia="Calibri"/>
                <w:sz w:val="20"/>
              </w:rPr>
            </w:pPr>
          </w:p>
        </w:tc>
        <w:tc>
          <w:tcPr>
            <w:tcW w:w="243" w:type="pct"/>
          </w:tcPr>
          <w:p w:rsidR="00AB1504" w:rsidRPr="00DE1E45" w:rsidRDefault="00AB1504" w:rsidP="001A7F7C">
            <w:pPr>
              <w:jc w:val="both"/>
              <w:rPr>
                <w:rFonts w:eastAsia="Calibri"/>
                <w:sz w:val="20"/>
              </w:rPr>
            </w:pPr>
          </w:p>
        </w:tc>
        <w:tc>
          <w:tcPr>
            <w:tcW w:w="2330" w:type="pct"/>
          </w:tcPr>
          <w:p w:rsidR="00AB1504" w:rsidRPr="00DE1E45" w:rsidRDefault="00AB1504" w:rsidP="001A7F7C">
            <w:pPr>
              <w:jc w:val="both"/>
              <w:rPr>
                <w:rFonts w:eastAsia="Calibri"/>
                <w:sz w:val="20"/>
                <w:lang w:val="fr-CA"/>
              </w:rPr>
            </w:pPr>
            <w:r w:rsidRPr="00DE1E45">
              <w:rPr>
                <w:rFonts w:eastAsia="Calibri"/>
                <w:sz w:val="20"/>
                <w:lang w:val="fr-CA"/>
              </w:rPr>
              <w:t>Requête en rejet d’appel accueillie; appel rejeté</w:t>
            </w:r>
          </w:p>
          <w:p w:rsidR="00AB1504" w:rsidRPr="00DE1E45" w:rsidRDefault="00AB1504" w:rsidP="001A7F7C">
            <w:pPr>
              <w:jc w:val="both"/>
              <w:rPr>
                <w:rFonts w:eastAsia="Calibri"/>
                <w:sz w:val="20"/>
                <w:lang w:val="fr-CA"/>
              </w:rPr>
            </w:pPr>
          </w:p>
        </w:tc>
      </w:tr>
      <w:tr w:rsidR="00AB1504" w:rsidRPr="00E672F1" w:rsidTr="000F366E">
        <w:trPr>
          <w:cantSplit/>
        </w:trPr>
        <w:tc>
          <w:tcPr>
            <w:tcW w:w="2427" w:type="pct"/>
          </w:tcPr>
          <w:p w:rsidR="00AB1504" w:rsidRPr="00DE1E45" w:rsidRDefault="00AB1504" w:rsidP="001A7F7C">
            <w:pPr>
              <w:jc w:val="both"/>
              <w:rPr>
                <w:rFonts w:eastAsia="Calibri"/>
                <w:sz w:val="20"/>
                <w:lang w:val="fr-CA"/>
              </w:rPr>
            </w:pPr>
            <w:r w:rsidRPr="00DE1E45">
              <w:rPr>
                <w:rFonts w:eastAsia="Calibri"/>
                <w:sz w:val="20"/>
                <w:lang w:val="fr-CA"/>
              </w:rPr>
              <w:t>Le 12 septembre 2013</w:t>
            </w:r>
          </w:p>
          <w:p w:rsidR="00AB1504" w:rsidRPr="00DE1E45" w:rsidRDefault="00AB1504" w:rsidP="001A7F7C">
            <w:pPr>
              <w:jc w:val="both"/>
              <w:rPr>
                <w:rFonts w:eastAsia="Calibri"/>
                <w:sz w:val="20"/>
                <w:lang w:val="fr-CA"/>
              </w:rPr>
            </w:pPr>
            <w:r w:rsidRPr="00DE1E45">
              <w:rPr>
                <w:rFonts w:eastAsia="Calibri"/>
                <w:sz w:val="20"/>
                <w:lang w:val="fr-CA"/>
              </w:rPr>
              <w:t>Cour suprême du Canada</w:t>
            </w:r>
          </w:p>
        </w:tc>
        <w:tc>
          <w:tcPr>
            <w:tcW w:w="243" w:type="pct"/>
          </w:tcPr>
          <w:p w:rsidR="00AB1504" w:rsidRPr="00DE1E45" w:rsidRDefault="00AB1504" w:rsidP="001A7F7C">
            <w:pPr>
              <w:jc w:val="both"/>
              <w:rPr>
                <w:rFonts w:eastAsia="Calibri"/>
                <w:sz w:val="20"/>
                <w:lang w:val="fr-CA"/>
              </w:rPr>
            </w:pPr>
          </w:p>
        </w:tc>
        <w:tc>
          <w:tcPr>
            <w:tcW w:w="2330" w:type="pct"/>
          </w:tcPr>
          <w:p w:rsidR="00AB1504" w:rsidRPr="00DE1E45" w:rsidRDefault="00AB1504" w:rsidP="001A7F7C">
            <w:pPr>
              <w:jc w:val="both"/>
              <w:rPr>
                <w:rFonts w:eastAsia="Calibri"/>
                <w:sz w:val="20"/>
                <w:lang w:val="fr-CA"/>
              </w:rPr>
            </w:pPr>
            <w:r w:rsidRPr="00DE1E45">
              <w:rPr>
                <w:rFonts w:eastAsia="Calibri"/>
                <w:sz w:val="20"/>
                <w:lang w:val="fr-CA"/>
              </w:rPr>
              <w:t>Requête en prorogation du délai de signification et dépôt d’une demande d’autorisation d’appel et demande d’autorisation d’appel déposées</w:t>
            </w:r>
          </w:p>
        </w:tc>
      </w:tr>
    </w:tbl>
    <w:p w:rsidR="0010221A" w:rsidRPr="00AB1504" w:rsidRDefault="0010221A" w:rsidP="0010221A">
      <w:pPr>
        <w:rPr>
          <w:sz w:val="20"/>
          <w:szCs w:val="20"/>
          <w:lang w:val="fr-CA"/>
        </w:rPr>
      </w:pPr>
    </w:p>
    <w:p w:rsidR="0010221A" w:rsidRDefault="00E672F1" w:rsidP="0010221A">
      <w:pPr>
        <w:rPr>
          <w:sz w:val="20"/>
          <w:szCs w:val="20"/>
        </w:rPr>
      </w:pPr>
      <w:r>
        <w:rPr>
          <w:sz w:val="20"/>
          <w:szCs w:val="20"/>
          <w:lang w:val="fr-CA"/>
        </w:rPr>
        <w:pict>
          <v:rect id="_x0000_i1045" style="width:2in;height:1pt" o:hrpct="0" o:hralign="center" o:hrstd="t" o:hrnoshade="t" o:hr="t" fillcolor="black [3213]" stroked="f"/>
        </w:pict>
      </w:r>
    </w:p>
    <w:p w:rsidR="0010221A" w:rsidRDefault="0010221A" w:rsidP="0010221A">
      <w:pPr>
        <w:rPr>
          <w:sz w:val="20"/>
          <w:szCs w:val="20"/>
        </w:rPr>
      </w:pPr>
    </w:p>
    <w:tbl>
      <w:tblPr>
        <w:tblStyle w:val="TableGrid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F366E" w:rsidRPr="000F366E" w:rsidTr="00C21531">
        <w:trPr>
          <w:cantSplit/>
        </w:trPr>
        <w:tc>
          <w:tcPr>
            <w:tcW w:w="1458" w:type="dxa"/>
          </w:tcPr>
          <w:p w:rsidR="000F366E" w:rsidRPr="000F366E" w:rsidRDefault="000F366E" w:rsidP="000F366E">
            <w:pPr>
              <w:rPr>
                <w:sz w:val="20"/>
              </w:rPr>
            </w:pPr>
            <w:r w:rsidRPr="000F366E">
              <w:rPr>
                <w:b/>
                <w:sz w:val="20"/>
                <w:lang w:val="fr-CA"/>
              </w:rPr>
              <w:t>35533</w:t>
            </w:r>
          </w:p>
          <w:p w:rsidR="000F366E" w:rsidRPr="000F366E" w:rsidRDefault="000F366E" w:rsidP="000F366E">
            <w:pPr>
              <w:rPr>
                <w:b/>
                <w:sz w:val="20"/>
                <w:lang w:val="fr-CA"/>
              </w:rPr>
            </w:pPr>
          </w:p>
        </w:tc>
        <w:tc>
          <w:tcPr>
            <w:tcW w:w="8118" w:type="dxa"/>
          </w:tcPr>
          <w:p w:rsidR="000F366E" w:rsidRPr="000F366E" w:rsidRDefault="000F366E" w:rsidP="000F366E">
            <w:pPr>
              <w:rPr>
                <w:sz w:val="20"/>
              </w:rPr>
            </w:pPr>
            <w:r w:rsidRPr="000F366E">
              <w:rPr>
                <w:b/>
                <w:sz w:val="20"/>
                <w:u w:val="single"/>
              </w:rPr>
              <w:t>Jahmar Welsh v. Her Majesty the Queen</w:t>
            </w:r>
            <w:r w:rsidRPr="000F366E">
              <w:rPr>
                <w:sz w:val="20"/>
              </w:rPr>
              <w:t xml:space="preserve"> (Ont.) (Criminal) (By Leave)</w:t>
            </w:r>
          </w:p>
          <w:p w:rsidR="000F366E" w:rsidRPr="000F366E" w:rsidRDefault="000F366E" w:rsidP="000F366E">
            <w:pPr>
              <w:rPr>
                <w:sz w:val="20"/>
              </w:rPr>
            </w:pPr>
          </w:p>
        </w:tc>
      </w:tr>
      <w:tr w:rsidR="000F366E" w:rsidRPr="000F366E" w:rsidTr="00C21531">
        <w:trPr>
          <w:cantSplit/>
        </w:trPr>
        <w:tc>
          <w:tcPr>
            <w:tcW w:w="1458" w:type="dxa"/>
          </w:tcPr>
          <w:p w:rsidR="000F366E" w:rsidRPr="000F366E" w:rsidRDefault="000F366E" w:rsidP="000F366E">
            <w:pPr>
              <w:rPr>
                <w:sz w:val="20"/>
              </w:rPr>
            </w:pPr>
            <w:r w:rsidRPr="000F366E">
              <w:rPr>
                <w:sz w:val="20"/>
              </w:rPr>
              <w:t>Coram :</w:t>
            </w:r>
          </w:p>
        </w:tc>
        <w:tc>
          <w:tcPr>
            <w:tcW w:w="8118" w:type="dxa"/>
          </w:tcPr>
          <w:p w:rsidR="000F366E" w:rsidRPr="000F366E" w:rsidRDefault="000F366E" w:rsidP="000F366E">
            <w:pPr>
              <w:rPr>
                <w:sz w:val="20"/>
              </w:rPr>
            </w:pPr>
            <w:r w:rsidRPr="000F366E">
              <w:rPr>
                <w:sz w:val="20"/>
                <w:u w:val="single"/>
              </w:rPr>
              <w:t>Abella, Rothstein and Moldaver JJ.</w:t>
            </w:r>
          </w:p>
          <w:p w:rsidR="000F366E" w:rsidRPr="000F366E" w:rsidRDefault="000F366E" w:rsidP="000F366E">
            <w:pPr>
              <w:rPr>
                <w:sz w:val="20"/>
                <w:u w:val="single"/>
              </w:rPr>
            </w:pPr>
          </w:p>
        </w:tc>
      </w:tr>
      <w:tr w:rsidR="000F366E" w:rsidRPr="00E672F1" w:rsidTr="00C21531">
        <w:trPr>
          <w:cantSplit/>
        </w:trPr>
        <w:tc>
          <w:tcPr>
            <w:tcW w:w="9576" w:type="dxa"/>
            <w:gridSpan w:val="2"/>
          </w:tcPr>
          <w:p w:rsidR="000F366E" w:rsidRPr="000F366E" w:rsidRDefault="000F366E" w:rsidP="000F366E">
            <w:pPr>
              <w:ind w:firstLine="720"/>
              <w:jc w:val="both"/>
              <w:rPr>
                <w:sz w:val="20"/>
              </w:rPr>
            </w:pPr>
            <w:r w:rsidRPr="000F366E">
              <w:rPr>
                <w:sz w:val="20"/>
              </w:rPr>
              <w:t>The motion for an extension of time to serve and file the application for leave to appeal is granted.  The application for leave to appeal from the judgment of the Court of Appeal for Ontario, Number C49268, 2013 ONCA 190, dated April 2, 2013, is dismissed without costs.</w:t>
            </w:r>
          </w:p>
          <w:p w:rsidR="000F366E" w:rsidRPr="000F366E" w:rsidRDefault="000F366E" w:rsidP="000F366E">
            <w:pPr>
              <w:jc w:val="both"/>
              <w:rPr>
                <w:sz w:val="20"/>
              </w:rPr>
            </w:pPr>
          </w:p>
          <w:p w:rsidR="000F366E" w:rsidRPr="000F366E" w:rsidRDefault="000F366E" w:rsidP="000F366E">
            <w:pPr>
              <w:ind w:firstLine="720"/>
              <w:jc w:val="both"/>
              <w:rPr>
                <w:sz w:val="20"/>
                <w:lang w:val="fr-CA"/>
              </w:rPr>
            </w:pPr>
            <w:r w:rsidRPr="000F366E">
              <w:rPr>
                <w:sz w:val="20"/>
                <w:lang w:val="fr-CA"/>
              </w:rPr>
              <w:t>La requête en prorogation du délai de signification et de dépôt de la demande d’autorisation d’appel est accueillie.  La demande d’autorisation d’appel de l’arrêt de la Cour d’appel de l’Ontario, numéro C49268, 2013 ONCA 190, daté du 2 avril 2013, est rejetée sans dépens.</w:t>
            </w:r>
          </w:p>
        </w:tc>
      </w:tr>
    </w:tbl>
    <w:p w:rsidR="0010221A" w:rsidRPr="000F366E" w:rsidRDefault="0010221A" w:rsidP="0010221A">
      <w:pPr>
        <w:rPr>
          <w:sz w:val="20"/>
          <w:szCs w:val="20"/>
          <w:lang w:val="fr-CA"/>
        </w:rPr>
      </w:pPr>
    </w:p>
    <w:p w:rsidR="0010221A" w:rsidRPr="001B157C" w:rsidRDefault="0010221A" w:rsidP="0010221A">
      <w:pPr>
        <w:rPr>
          <w:sz w:val="20"/>
          <w:szCs w:val="20"/>
          <w:u w:val="single"/>
        </w:rPr>
      </w:pPr>
      <w:r w:rsidRPr="001B157C">
        <w:rPr>
          <w:sz w:val="20"/>
          <w:szCs w:val="20"/>
          <w:u w:val="single"/>
        </w:rPr>
        <w:t>CASE SUMMARY</w:t>
      </w:r>
    </w:p>
    <w:p w:rsidR="0010221A" w:rsidRDefault="0010221A" w:rsidP="0010221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1504" w:rsidRPr="00DE1E45" w:rsidTr="001A7F7C">
        <w:tc>
          <w:tcPr>
            <w:tcW w:w="5000" w:type="pct"/>
            <w:gridSpan w:val="3"/>
          </w:tcPr>
          <w:p w:rsidR="00AB1504" w:rsidRPr="00DE1E45" w:rsidRDefault="00AB1504" w:rsidP="001A7F7C">
            <w:pPr>
              <w:jc w:val="both"/>
              <w:rPr>
                <w:rFonts w:eastAsia="Calibri"/>
                <w:sz w:val="20"/>
              </w:rPr>
            </w:pPr>
            <w:r w:rsidRPr="00DE1E45">
              <w:rPr>
                <w:rFonts w:eastAsia="Calibri"/>
                <w:i/>
                <w:sz w:val="20"/>
              </w:rPr>
              <w:lastRenderedPageBreak/>
              <w:t>Charter of Rights</w:t>
            </w:r>
            <w:r w:rsidRPr="00DE1E45">
              <w:rPr>
                <w:rFonts w:eastAsia="Calibri"/>
                <w:sz w:val="20"/>
              </w:rPr>
              <w:t xml:space="preserve"> – Freedom of Religion - Criminal law – Evidence – Admissibility – Whether the Court of Appeal erred in holding that statements given to an undercover police officer posing as a religious advisor were admissible in evidence – Whether the Court of Appeal erred in holding that the curative proviso in s.686(1)(b)(iv) of the </w:t>
            </w:r>
            <w:r w:rsidRPr="00DE1E45">
              <w:rPr>
                <w:rFonts w:eastAsia="Calibri"/>
                <w:i/>
                <w:sz w:val="20"/>
              </w:rPr>
              <w:t xml:space="preserve">Criminal Code </w:t>
            </w:r>
            <w:r w:rsidRPr="00DE1E45">
              <w:rPr>
                <w:rFonts w:eastAsia="Calibri"/>
                <w:sz w:val="20"/>
              </w:rPr>
              <w:t xml:space="preserve">could properly be invoked to cure a procedural irregularity in which the accused was excluded from important proceedings at his trial – Whether the Court of Appeal erred in holding that the applicant could properly be tried jointly with his co-accused in circumstances where statements from the co-accused, inculpating the applicant, were ruled admissible against them but were inadmissible against him – s. 2(a) of the </w:t>
            </w:r>
            <w:r w:rsidRPr="00DE1E45">
              <w:rPr>
                <w:rFonts w:eastAsia="Calibri"/>
                <w:i/>
                <w:sz w:val="20"/>
              </w:rPr>
              <w:t>Charter</w:t>
            </w:r>
            <w:r w:rsidRPr="00DE1E45">
              <w:rPr>
                <w:rFonts w:eastAsia="Calibri"/>
                <w:sz w:val="20"/>
              </w:rPr>
              <w:t>.</w:t>
            </w:r>
          </w:p>
        </w:tc>
      </w:tr>
      <w:tr w:rsidR="00AB1504" w:rsidRPr="00DE1E45" w:rsidTr="001A7F7C">
        <w:tc>
          <w:tcPr>
            <w:tcW w:w="5000" w:type="pct"/>
            <w:gridSpan w:val="3"/>
          </w:tcPr>
          <w:p w:rsidR="00AB1504" w:rsidRPr="00DE1E45" w:rsidRDefault="00AB1504" w:rsidP="001A7F7C">
            <w:pPr>
              <w:jc w:val="both"/>
              <w:rPr>
                <w:rFonts w:eastAsia="Calibri"/>
                <w:sz w:val="20"/>
              </w:rPr>
            </w:pPr>
          </w:p>
        </w:tc>
      </w:tr>
      <w:tr w:rsidR="00AB1504" w:rsidRPr="00DE1E45" w:rsidTr="001A7F7C">
        <w:tc>
          <w:tcPr>
            <w:tcW w:w="5000" w:type="pct"/>
            <w:gridSpan w:val="3"/>
          </w:tcPr>
          <w:p w:rsidR="00AB1504" w:rsidRPr="00DE1E45" w:rsidRDefault="00AB1504" w:rsidP="001A7F7C">
            <w:pPr>
              <w:jc w:val="both"/>
              <w:rPr>
                <w:rFonts w:eastAsia="Calibri"/>
                <w:sz w:val="20"/>
              </w:rPr>
            </w:pPr>
            <w:r w:rsidRPr="00DE1E45">
              <w:rPr>
                <w:rFonts w:eastAsia="Calibri"/>
                <w:sz w:val="20"/>
              </w:rPr>
              <w:t>After a trial by judge and jury, the applicant was convicted of first degree murder. The appeal from conviction was dismissed.</w:t>
            </w:r>
          </w:p>
          <w:p w:rsidR="00AB1504" w:rsidRPr="00DE1E45" w:rsidRDefault="00AB1504" w:rsidP="001A7F7C">
            <w:pPr>
              <w:jc w:val="both"/>
              <w:rPr>
                <w:rFonts w:eastAsia="Calibri"/>
                <w:sz w:val="20"/>
              </w:rPr>
            </w:pPr>
          </w:p>
        </w:tc>
      </w:tr>
      <w:tr w:rsidR="00AB1504" w:rsidRPr="00DE1E45" w:rsidTr="001A7F7C">
        <w:tc>
          <w:tcPr>
            <w:tcW w:w="2427" w:type="pct"/>
          </w:tcPr>
          <w:p w:rsidR="00AB1504" w:rsidRPr="00DE1E45" w:rsidRDefault="00AB1504" w:rsidP="001A7F7C">
            <w:pPr>
              <w:jc w:val="both"/>
              <w:rPr>
                <w:rFonts w:eastAsia="Calibri"/>
                <w:sz w:val="20"/>
              </w:rPr>
            </w:pPr>
            <w:r w:rsidRPr="00DE1E45">
              <w:rPr>
                <w:rFonts w:eastAsia="Calibri"/>
                <w:sz w:val="20"/>
              </w:rPr>
              <w:t>November 22, 2007</w:t>
            </w:r>
          </w:p>
          <w:p w:rsidR="00AB1504" w:rsidRPr="00DE1E45" w:rsidRDefault="00AB1504" w:rsidP="001A7F7C">
            <w:pPr>
              <w:jc w:val="both"/>
              <w:rPr>
                <w:rFonts w:eastAsia="Calibri"/>
                <w:sz w:val="20"/>
              </w:rPr>
            </w:pPr>
            <w:r w:rsidRPr="00DE1E45">
              <w:rPr>
                <w:rFonts w:eastAsia="Calibri"/>
                <w:sz w:val="20"/>
              </w:rPr>
              <w:t>Ontario Superior Court of Justice</w:t>
            </w:r>
          </w:p>
          <w:p w:rsidR="00AB1504" w:rsidRPr="00DE1E45" w:rsidRDefault="00AB1504" w:rsidP="001A7F7C">
            <w:pPr>
              <w:jc w:val="both"/>
              <w:rPr>
                <w:rFonts w:eastAsia="Calibri"/>
                <w:sz w:val="20"/>
              </w:rPr>
            </w:pPr>
            <w:r w:rsidRPr="00DE1E45">
              <w:rPr>
                <w:rFonts w:eastAsia="Calibri"/>
                <w:sz w:val="20"/>
              </w:rPr>
              <w:t>(O'Connor J.)</w:t>
            </w:r>
          </w:p>
          <w:p w:rsidR="00AB1504" w:rsidRPr="00DE1E45" w:rsidRDefault="00AB1504" w:rsidP="001A7F7C">
            <w:pPr>
              <w:jc w:val="both"/>
              <w:rPr>
                <w:rFonts w:eastAsia="Calibri"/>
                <w:sz w:val="20"/>
              </w:rPr>
            </w:pPr>
          </w:p>
        </w:tc>
        <w:tc>
          <w:tcPr>
            <w:tcW w:w="243" w:type="pct"/>
          </w:tcPr>
          <w:p w:rsidR="00AB1504" w:rsidRPr="00DE1E45" w:rsidRDefault="00AB1504" w:rsidP="001A7F7C">
            <w:pPr>
              <w:jc w:val="both"/>
              <w:rPr>
                <w:rFonts w:eastAsia="Calibri"/>
                <w:sz w:val="20"/>
              </w:rPr>
            </w:pPr>
          </w:p>
        </w:tc>
        <w:tc>
          <w:tcPr>
            <w:tcW w:w="2330" w:type="pct"/>
          </w:tcPr>
          <w:p w:rsidR="00AB1504" w:rsidRPr="00DE1E45" w:rsidRDefault="00AB1504" w:rsidP="001A7F7C">
            <w:pPr>
              <w:jc w:val="both"/>
              <w:rPr>
                <w:rFonts w:eastAsia="Calibri"/>
                <w:sz w:val="20"/>
              </w:rPr>
            </w:pPr>
            <w:r w:rsidRPr="00DE1E45">
              <w:rPr>
                <w:rFonts w:eastAsia="Calibri"/>
                <w:sz w:val="20"/>
              </w:rPr>
              <w:t>Ruling on applicant’s severance application: application dismissed</w:t>
            </w:r>
          </w:p>
          <w:p w:rsidR="00AB1504" w:rsidRPr="00DE1E45" w:rsidRDefault="00AB1504" w:rsidP="001A7F7C">
            <w:pPr>
              <w:jc w:val="both"/>
              <w:rPr>
                <w:rFonts w:eastAsia="Calibri"/>
                <w:sz w:val="20"/>
              </w:rPr>
            </w:pPr>
          </w:p>
        </w:tc>
      </w:tr>
      <w:tr w:rsidR="00AB1504" w:rsidRPr="00DE1E45" w:rsidTr="001A7F7C">
        <w:tc>
          <w:tcPr>
            <w:tcW w:w="2427" w:type="pct"/>
          </w:tcPr>
          <w:p w:rsidR="00AB1504" w:rsidRPr="00DE1E45" w:rsidRDefault="00AB1504" w:rsidP="001A7F7C">
            <w:pPr>
              <w:jc w:val="both"/>
              <w:rPr>
                <w:rFonts w:eastAsia="Calibri"/>
                <w:sz w:val="20"/>
              </w:rPr>
            </w:pPr>
            <w:r w:rsidRPr="00DE1E45">
              <w:rPr>
                <w:rFonts w:eastAsia="Calibri"/>
                <w:sz w:val="20"/>
              </w:rPr>
              <w:t>February 15, 2008</w:t>
            </w:r>
          </w:p>
          <w:p w:rsidR="00AB1504" w:rsidRPr="00DE1E45" w:rsidRDefault="00AB1504" w:rsidP="001A7F7C">
            <w:pPr>
              <w:jc w:val="both"/>
              <w:rPr>
                <w:rFonts w:eastAsia="Calibri"/>
                <w:sz w:val="20"/>
              </w:rPr>
            </w:pPr>
            <w:r w:rsidRPr="00DE1E45">
              <w:rPr>
                <w:rFonts w:eastAsia="Calibri"/>
                <w:sz w:val="20"/>
              </w:rPr>
              <w:t>Ontario Superior Court of Justice</w:t>
            </w:r>
          </w:p>
          <w:p w:rsidR="00AB1504" w:rsidRPr="00DE1E45" w:rsidRDefault="00AB1504" w:rsidP="001A7F7C">
            <w:pPr>
              <w:jc w:val="both"/>
              <w:rPr>
                <w:rFonts w:eastAsia="Calibri"/>
                <w:sz w:val="20"/>
              </w:rPr>
            </w:pPr>
            <w:r w:rsidRPr="00DE1E45">
              <w:rPr>
                <w:rFonts w:eastAsia="Calibri"/>
                <w:sz w:val="20"/>
              </w:rPr>
              <w:t>(O'Connor J.)</w:t>
            </w:r>
          </w:p>
          <w:p w:rsidR="00AB1504" w:rsidRPr="00DE1E45" w:rsidRDefault="00AB1504" w:rsidP="001A7F7C">
            <w:pPr>
              <w:jc w:val="both"/>
              <w:rPr>
                <w:rFonts w:eastAsia="Calibri"/>
                <w:sz w:val="20"/>
              </w:rPr>
            </w:pPr>
          </w:p>
        </w:tc>
        <w:tc>
          <w:tcPr>
            <w:tcW w:w="243" w:type="pct"/>
          </w:tcPr>
          <w:p w:rsidR="00AB1504" w:rsidRPr="00DE1E45" w:rsidRDefault="00AB1504" w:rsidP="001A7F7C">
            <w:pPr>
              <w:jc w:val="both"/>
              <w:rPr>
                <w:rFonts w:eastAsia="Calibri"/>
                <w:sz w:val="20"/>
              </w:rPr>
            </w:pPr>
          </w:p>
        </w:tc>
        <w:tc>
          <w:tcPr>
            <w:tcW w:w="2330" w:type="pct"/>
          </w:tcPr>
          <w:p w:rsidR="00AB1504" w:rsidRPr="00DE1E45" w:rsidRDefault="00AB1504" w:rsidP="001A7F7C">
            <w:pPr>
              <w:jc w:val="both"/>
              <w:rPr>
                <w:rFonts w:eastAsia="Calibri"/>
                <w:sz w:val="20"/>
              </w:rPr>
            </w:pPr>
            <w:r w:rsidRPr="00DE1E45">
              <w:rPr>
                <w:rFonts w:eastAsia="Calibri"/>
                <w:sz w:val="20"/>
              </w:rPr>
              <w:t>Conviction: first degree murder</w:t>
            </w:r>
          </w:p>
          <w:p w:rsidR="00AB1504" w:rsidRPr="00DE1E45" w:rsidRDefault="00AB1504" w:rsidP="001A7F7C">
            <w:pPr>
              <w:jc w:val="both"/>
              <w:rPr>
                <w:rFonts w:eastAsia="Calibri"/>
                <w:sz w:val="20"/>
              </w:rPr>
            </w:pPr>
          </w:p>
        </w:tc>
      </w:tr>
      <w:tr w:rsidR="00AB1504" w:rsidRPr="00DE1E45" w:rsidTr="000F366E">
        <w:trPr>
          <w:cantSplit/>
        </w:trPr>
        <w:tc>
          <w:tcPr>
            <w:tcW w:w="2427" w:type="pct"/>
          </w:tcPr>
          <w:p w:rsidR="00AB1504" w:rsidRPr="00DE1E45" w:rsidRDefault="00AB1504" w:rsidP="001A7F7C">
            <w:pPr>
              <w:jc w:val="both"/>
              <w:rPr>
                <w:rFonts w:eastAsia="Calibri"/>
                <w:sz w:val="20"/>
              </w:rPr>
            </w:pPr>
            <w:r w:rsidRPr="00DE1E45">
              <w:rPr>
                <w:rFonts w:eastAsia="Calibri"/>
                <w:sz w:val="20"/>
              </w:rPr>
              <w:t>April 2, 2013</w:t>
            </w:r>
          </w:p>
          <w:p w:rsidR="00AB1504" w:rsidRPr="00DE1E45" w:rsidRDefault="00AB1504" w:rsidP="001A7F7C">
            <w:pPr>
              <w:jc w:val="both"/>
              <w:rPr>
                <w:rFonts w:eastAsia="Calibri"/>
                <w:sz w:val="20"/>
              </w:rPr>
            </w:pPr>
            <w:r w:rsidRPr="00DE1E45">
              <w:rPr>
                <w:rFonts w:eastAsia="Calibri"/>
                <w:sz w:val="20"/>
              </w:rPr>
              <w:t>Court of Appeal for Ontario</w:t>
            </w:r>
          </w:p>
          <w:p w:rsidR="00AB1504" w:rsidRPr="00DE1E45" w:rsidRDefault="00AB1504" w:rsidP="001A7F7C">
            <w:pPr>
              <w:jc w:val="both"/>
              <w:rPr>
                <w:rFonts w:eastAsia="Calibri"/>
                <w:sz w:val="20"/>
              </w:rPr>
            </w:pPr>
            <w:r w:rsidRPr="00DE1E45">
              <w:rPr>
                <w:rFonts w:eastAsia="Calibri"/>
                <w:sz w:val="20"/>
              </w:rPr>
              <w:t>(Rosenberg, Sharpe, MacFarland JJ.A.)</w:t>
            </w:r>
          </w:p>
          <w:p w:rsidR="00AB1504" w:rsidRPr="00DE1E45" w:rsidRDefault="00AB1504" w:rsidP="001A7F7C">
            <w:pPr>
              <w:jc w:val="both"/>
              <w:rPr>
                <w:rFonts w:eastAsia="Calibri"/>
                <w:sz w:val="20"/>
              </w:rPr>
            </w:pPr>
            <w:r w:rsidRPr="00DE1E45">
              <w:rPr>
                <w:rFonts w:eastAsia="Calibri"/>
                <w:sz w:val="20"/>
              </w:rPr>
              <w:t>2013 ONCA 190</w:t>
            </w:r>
          </w:p>
          <w:p w:rsidR="00AB1504" w:rsidRPr="00DE1E45" w:rsidRDefault="00E672F1" w:rsidP="001A7F7C">
            <w:pPr>
              <w:jc w:val="both"/>
              <w:rPr>
                <w:rFonts w:eastAsia="Calibri"/>
                <w:sz w:val="20"/>
              </w:rPr>
            </w:pPr>
            <w:hyperlink r:id="rId36" w:history="1">
              <w:r w:rsidR="00AB1504" w:rsidRPr="00DE1E45">
                <w:rPr>
                  <w:rFonts w:eastAsia="Calibri"/>
                  <w:color w:val="0000FF"/>
                  <w:sz w:val="20"/>
                  <w:u w:val="single"/>
                </w:rPr>
                <w:t>http://canlii.ca/t/fwspf</w:t>
              </w:r>
            </w:hyperlink>
          </w:p>
          <w:p w:rsidR="00AB1504" w:rsidRPr="00DE1E45" w:rsidRDefault="00AB1504" w:rsidP="001A7F7C">
            <w:pPr>
              <w:jc w:val="both"/>
              <w:rPr>
                <w:rFonts w:eastAsia="Calibri"/>
                <w:sz w:val="20"/>
              </w:rPr>
            </w:pPr>
          </w:p>
        </w:tc>
        <w:tc>
          <w:tcPr>
            <w:tcW w:w="243" w:type="pct"/>
          </w:tcPr>
          <w:p w:rsidR="00AB1504" w:rsidRPr="00DE1E45" w:rsidRDefault="00AB1504" w:rsidP="001A7F7C">
            <w:pPr>
              <w:jc w:val="both"/>
              <w:rPr>
                <w:rFonts w:eastAsia="Calibri"/>
                <w:sz w:val="20"/>
              </w:rPr>
            </w:pPr>
          </w:p>
        </w:tc>
        <w:tc>
          <w:tcPr>
            <w:tcW w:w="2330" w:type="pct"/>
          </w:tcPr>
          <w:p w:rsidR="00AB1504" w:rsidRPr="00DE1E45" w:rsidRDefault="00AB1504" w:rsidP="001A7F7C">
            <w:pPr>
              <w:jc w:val="both"/>
              <w:rPr>
                <w:rFonts w:eastAsia="Calibri"/>
                <w:sz w:val="20"/>
              </w:rPr>
            </w:pPr>
            <w:r w:rsidRPr="00DE1E45">
              <w:rPr>
                <w:rFonts w:eastAsia="Calibri"/>
                <w:sz w:val="20"/>
              </w:rPr>
              <w:t>Appeal against conviction dismissed</w:t>
            </w:r>
          </w:p>
          <w:p w:rsidR="00AB1504" w:rsidRPr="00DE1E45" w:rsidRDefault="00AB1504" w:rsidP="001A7F7C">
            <w:pPr>
              <w:jc w:val="both"/>
              <w:rPr>
                <w:rFonts w:eastAsia="Calibri"/>
                <w:sz w:val="20"/>
              </w:rPr>
            </w:pPr>
          </w:p>
        </w:tc>
      </w:tr>
      <w:tr w:rsidR="00AB1504" w:rsidRPr="00DE1E45" w:rsidTr="000F366E">
        <w:trPr>
          <w:cantSplit/>
        </w:trPr>
        <w:tc>
          <w:tcPr>
            <w:tcW w:w="2427" w:type="pct"/>
          </w:tcPr>
          <w:p w:rsidR="00AB1504" w:rsidRPr="00DE1E45" w:rsidRDefault="00AB1504" w:rsidP="001A7F7C">
            <w:pPr>
              <w:jc w:val="both"/>
              <w:rPr>
                <w:rFonts w:eastAsia="Calibri"/>
                <w:sz w:val="20"/>
              </w:rPr>
            </w:pPr>
            <w:r w:rsidRPr="00DE1E45">
              <w:rPr>
                <w:rFonts w:eastAsia="Calibri"/>
                <w:sz w:val="20"/>
              </w:rPr>
              <w:t>September 20, 2013</w:t>
            </w:r>
          </w:p>
          <w:p w:rsidR="00AB1504" w:rsidRPr="00DE1E45" w:rsidRDefault="00AB1504" w:rsidP="001A7F7C">
            <w:pPr>
              <w:jc w:val="both"/>
              <w:rPr>
                <w:rFonts w:eastAsia="Calibri"/>
                <w:sz w:val="20"/>
              </w:rPr>
            </w:pPr>
            <w:r w:rsidRPr="00DE1E45">
              <w:rPr>
                <w:rFonts w:eastAsia="Calibri"/>
                <w:sz w:val="20"/>
              </w:rPr>
              <w:t>Supreme Court of Canada</w:t>
            </w:r>
          </w:p>
        </w:tc>
        <w:tc>
          <w:tcPr>
            <w:tcW w:w="243" w:type="pct"/>
          </w:tcPr>
          <w:p w:rsidR="00AB1504" w:rsidRPr="00DE1E45" w:rsidRDefault="00AB1504" w:rsidP="001A7F7C">
            <w:pPr>
              <w:jc w:val="both"/>
              <w:rPr>
                <w:rFonts w:eastAsia="Calibri"/>
                <w:sz w:val="20"/>
              </w:rPr>
            </w:pPr>
          </w:p>
        </w:tc>
        <w:tc>
          <w:tcPr>
            <w:tcW w:w="2330" w:type="pct"/>
          </w:tcPr>
          <w:p w:rsidR="00AB1504" w:rsidRPr="00DE1E45" w:rsidRDefault="00AB1504" w:rsidP="001A7F7C">
            <w:pPr>
              <w:jc w:val="both"/>
              <w:rPr>
                <w:rFonts w:eastAsia="Calibri"/>
                <w:sz w:val="20"/>
              </w:rPr>
            </w:pPr>
            <w:r w:rsidRPr="00DE1E45">
              <w:rPr>
                <w:rFonts w:eastAsia="Calibri"/>
                <w:sz w:val="20"/>
              </w:rPr>
              <w:t>Motion for an extension of time to serve and file the application for leave to appeal filed</w:t>
            </w:r>
          </w:p>
        </w:tc>
      </w:tr>
    </w:tbl>
    <w:p w:rsidR="0010221A" w:rsidRDefault="0010221A" w:rsidP="0010221A">
      <w:pPr>
        <w:rPr>
          <w:sz w:val="20"/>
          <w:szCs w:val="20"/>
        </w:rPr>
      </w:pPr>
    </w:p>
    <w:p w:rsidR="0010221A" w:rsidRPr="00C50A5C" w:rsidRDefault="00E672F1" w:rsidP="0010221A">
      <w:pPr>
        <w:rPr>
          <w:sz w:val="20"/>
          <w:szCs w:val="20"/>
        </w:rPr>
      </w:pPr>
      <w:r>
        <w:rPr>
          <w:sz w:val="20"/>
          <w:szCs w:val="20"/>
          <w:lang w:val="fr-CA"/>
        </w:rPr>
        <w:pict>
          <v:rect id="_x0000_i1046" style="width:2in;height:1pt" o:hrpct="0" o:hralign="center" o:hrstd="t" o:hrnoshade="t" o:hr="t" fillcolor="black [3213]" stroked="f"/>
        </w:pict>
      </w:r>
    </w:p>
    <w:p w:rsidR="0010221A" w:rsidRDefault="0010221A" w:rsidP="0010221A">
      <w:pPr>
        <w:rPr>
          <w:sz w:val="20"/>
          <w:szCs w:val="20"/>
        </w:rPr>
      </w:pPr>
    </w:p>
    <w:p w:rsidR="0010221A" w:rsidRPr="001B157C" w:rsidRDefault="0010221A" w:rsidP="0010221A">
      <w:pPr>
        <w:rPr>
          <w:sz w:val="20"/>
          <w:szCs w:val="20"/>
          <w:u w:val="single"/>
          <w:lang w:val="fr-CA"/>
        </w:rPr>
      </w:pPr>
      <w:r w:rsidRPr="001B157C">
        <w:rPr>
          <w:sz w:val="20"/>
          <w:szCs w:val="20"/>
          <w:u w:val="single"/>
          <w:lang w:val="fr-CA"/>
        </w:rPr>
        <w:t>RÉSUMÉ DE L’AFFAIRE</w:t>
      </w:r>
    </w:p>
    <w:p w:rsidR="0010221A" w:rsidRDefault="0010221A" w:rsidP="0010221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1504" w:rsidRPr="00E672F1" w:rsidTr="001A7F7C">
        <w:tc>
          <w:tcPr>
            <w:tcW w:w="5000" w:type="pct"/>
            <w:gridSpan w:val="3"/>
          </w:tcPr>
          <w:p w:rsidR="00AB1504" w:rsidRPr="00DE1E45" w:rsidRDefault="00AB1504" w:rsidP="001A7F7C">
            <w:pPr>
              <w:jc w:val="both"/>
              <w:rPr>
                <w:rFonts w:eastAsia="Calibri"/>
                <w:sz w:val="20"/>
                <w:lang w:val="fr-CA"/>
              </w:rPr>
            </w:pPr>
            <w:r w:rsidRPr="00DE1E45">
              <w:rPr>
                <w:rFonts w:eastAsia="Calibri"/>
                <w:i/>
                <w:sz w:val="20"/>
                <w:lang w:val="fr-CA"/>
              </w:rPr>
              <w:t>Charte des droits</w:t>
            </w:r>
            <w:r w:rsidRPr="00DE1E45">
              <w:rPr>
                <w:rFonts w:eastAsia="Calibri"/>
                <w:sz w:val="20"/>
                <w:lang w:val="fr-CA"/>
              </w:rPr>
              <w:t xml:space="preserve"> – Liberté de religion – Droit criminel – Preuve – Admissibilité – La Cour d’appel a-t-elle fait erreur en concluant que les déclarations faites à un agent d’infiltration se faisant passer pour un conseiller religieux étaient admissibles en preuve? – La Cour d’appel a</w:t>
            </w:r>
            <w:r w:rsidRPr="00DE1E45">
              <w:rPr>
                <w:rFonts w:eastAsia="Calibri"/>
                <w:sz w:val="20"/>
                <w:lang w:val="fr-CA"/>
              </w:rPr>
              <w:noBreakHyphen/>
              <w:t>t</w:t>
            </w:r>
            <w:r w:rsidRPr="00DE1E45">
              <w:rPr>
                <w:rFonts w:eastAsia="Calibri"/>
                <w:sz w:val="20"/>
                <w:lang w:val="fr-CA"/>
              </w:rPr>
              <w:noBreakHyphen/>
              <w:t>elle conclu à tort que l’on pouvait invoquer à bon droit la disposition réparatrice prévue au sous</w:t>
            </w:r>
            <w:r w:rsidRPr="00DE1E45">
              <w:rPr>
                <w:rFonts w:eastAsia="Calibri"/>
                <w:sz w:val="20"/>
                <w:lang w:val="fr-CA"/>
              </w:rPr>
              <w:noBreakHyphen/>
              <w:t>al. 686(1)</w:t>
            </w:r>
            <w:r w:rsidRPr="00DE1E45">
              <w:rPr>
                <w:rFonts w:eastAsia="Calibri"/>
                <w:i/>
                <w:sz w:val="20"/>
                <w:lang w:val="fr-CA"/>
              </w:rPr>
              <w:t>b</w:t>
            </w:r>
            <w:r w:rsidRPr="00DE1E45">
              <w:rPr>
                <w:rFonts w:eastAsia="Calibri"/>
                <w:sz w:val="20"/>
                <w:lang w:val="fr-CA"/>
              </w:rPr>
              <w:t xml:space="preserve">)(iv) du </w:t>
            </w:r>
            <w:r w:rsidRPr="00DE1E45">
              <w:rPr>
                <w:rFonts w:eastAsia="Calibri"/>
                <w:i/>
                <w:sz w:val="20"/>
                <w:lang w:val="fr-CA"/>
              </w:rPr>
              <w:t xml:space="preserve">Code criminel </w:t>
            </w:r>
            <w:r w:rsidRPr="00DE1E45">
              <w:rPr>
                <w:rFonts w:eastAsia="Calibri"/>
                <w:sz w:val="20"/>
                <w:lang w:val="fr-CA"/>
              </w:rPr>
              <w:t>pour</w:t>
            </w:r>
            <w:r w:rsidRPr="00DE1E45">
              <w:rPr>
                <w:rFonts w:eastAsia="Calibri"/>
                <w:i/>
                <w:sz w:val="20"/>
                <w:lang w:val="fr-CA"/>
              </w:rPr>
              <w:t xml:space="preserve"> </w:t>
            </w:r>
            <w:r w:rsidRPr="00DE1E45">
              <w:rPr>
                <w:rFonts w:eastAsia="Calibri"/>
                <w:sz w:val="20"/>
                <w:lang w:val="fr-CA"/>
              </w:rPr>
              <w:t>remédier à une irrégularité procédurale ayant eu pour effet d’exclure l’accusé d’une procédure importante lors de son procès? – La Cour d’appel a-t-elle fait erreur en estimant que le demandeur pouvait subir son procès conjointement avec son coaccusé dont les déclarations qui l’incriminent ont été jugées admissibles à leur endroit mais inadmissibles à son égard? – al. 2</w:t>
            </w:r>
            <w:r w:rsidRPr="00DE1E45">
              <w:rPr>
                <w:rFonts w:eastAsia="Calibri"/>
                <w:i/>
                <w:sz w:val="20"/>
                <w:lang w:val="fr-CA"/>
              </w:rPr>
              <w:t>a</w:t>
            </w:r>
            <w:r w:rsidRPr="00DE1E45">
              <w:rPr>
                <w:rFonts w:eastAsia="Calibri"/>
                <w:sz w:val="20"/>
                <w:lang w:val="fr-CA"/>
              </w:rPr>
              <w:t xml:space="preserve">) de la </w:t>
            </w:r>
            <w:r w:rsidRPr="00DE1E45">
              <w:rPr>
                <w:rFonts w:eastAsia="Calibri"/>
                <w:i/>
                <w:sz w:val="20"/>
                <w:lang w:val="fr-CA"/>
              </w:rPr>
              <w:t>Charte</w:t>
            </w:r>
            <w:r w:rsidRPr="00DE1E45">
              <w:rPr>
                <w:rFonts w:eastAsia="Calibri"/>
                <w:sz w:val="20"/>
                <w:lang w:val="fr-CA"/>
              </w:rPr>
              <w:t>.</w:t>
            </w:r>
          </w:p>
        </w:tc>
      </w:tr>
      <w:tr w:rsidR="00AB1504" w:rsidRPr="00E672F1" w:rsidTr="001A7F7C">
        <w:tc>
          <w:tcPr>
            <w:tcW w:w="5000" w:type="pct"/>
            <w:gridSpan w:val="3"/>
          </w:tcPr>
          <w:p w:rsidR="00AB1504" w:rsidRPr="00DE1E45" w:rsidRDefault="00AB1504" w:rsidP="001A7F7C">
            <w:pPr>
              <w:jc w:val="both"/>
              <w:rPr>
                <w:rFonts w:eastAsia="Calibri"/>
                <w:sz w:val="20"/>
                <w:lang w:val="fr-CA"/>
              </w:rPr>
            </w:pPr>
          </w:p>
        </w:tc>
      </w:tr>
      <w:tr w:rsidR="00AB1504" w:rsidRPr="00E672F1" w:rsidTr="001A7F7C">
        <w:tc>
          <w:tcPr>
            <w:tcW w:w="5000" w:type="pct"/>
            <w:gridSpan w:val="3"/>
          </w:tcPr>
          <w:p w:rsidR="00AB1504" w:rsidRPr="00DE1E45" w:rsidRDefault="00AB1504" w:rsidP="001A7F7C">
            <w:pPr>
              <w:jc w:val="both"/>
              <w:rPr>
                <w:rFonts w:eastAsia="Calibri"/>
                <w:sz w:val="20"/>
                <w:lang w:val="fr-CA"/>
              </w:rPr>
            </w:pPr>
            <w:r w:rsidRPr="00DE1E45">
              <w:rPr>
                <w:rFonts w:eastAsia="Calibri"/>
                <w:sz w:val="20"/>
                <w:lang w:val="fr-CA"/>
              </w:rPr>
              <w:t xml:space="preserve">Le demandeur a été reconnu coupable de meurtre au premier degré au terme d’un procès devant juge et jury. L’appel formé contre la déclaration de culpabilité a été rejeté. </w:t>
            </w:r>
          </w:p>
          <w:p w:rsidR="00AB1504" w:rsidRPr="00DE1E45" w:rsidRDefault="00AB1504" w:rsidP="001A7F7C">
            <w:pPr>
              <w:jc w:val="both"/>
              <w:rPr>
                <w:rFonts w:eastAsia="Calibri"/>
                <w:sz w:val="20"/>
                <w:lang w:val="fr-CA"/>
              </w:rPr>
            </w:pPr>
          </w:p>
        </w:tc>
      </w:tr>
      <w:tr w:rsidR="00AB1504" w:rsidRPr="00E672F1" w:rsidTr="001A7F7C">
        <w:tc>
          <w:tcPr>
            <w:tcW w:w="2427" w:type="pct"/>
          </w:tcPr>
          <w:p w:rsidR="00AB1504" w:rsidRPr="00DE1E45" w:rsidRDefault="00AB1504" w:rsidP="001A7F7C">
            <w:pPr>
              <w:jc w:val="both"/>
              <w:rPr>
                <w:rFonts w:eastAsia="Calibri"/>
                <w:sz w:val="20"/>
                <w:lang w:val="fr-CA"/>
              </w:rPr>
            </w:pPr>
            <w:r w:rsidRPr="00DE1E45">
              <w:rPr>
                <w:rFonts w:eastAsia="Calibri"/>
                <w:sz w:val="20"/>
                <w:lang w:val="fr-CA"/>
              </w:rPr>
              <w:t>22 novembre 2007</w:t>
            </w:r>
          </w:p>
          <w:p w:rsidR="00AB1504" w:rsidRPr="00DE1E45" w:rsidRDefault="00AB1504" w:rsidP="001A7F7C">
            <w:pPr>
              <w:jc w:val="both"/>
              <w:rPr>
                <w:rFonts w:eastAsia="Calibri"/>
                <w:sz w:val="20"/>
                <w:lang w:val="fr-CA"/>
              </w:rPr>
            </w:pPr>
            <w:r w:rsidRPr="00DE1E45">
              <w:rPr>
                <w:rFonts w:eastAsia="Calibri"/>
                <w:sz w:val="20"/>
                <w:lang w:val="fr-CA"/>
              </w:rPr>
              <w:t xml:space="preserve">Cour supérieure de justice de l’Ontario </w:t>
            </w:r>
          </w:p>
          <w:p w:rsidR="00AB1504" w:rsidRPr="00DE1E45" w:rsidRDefault="00AB1504" w:rsidP="001A7F7C">
            <w:pPr>
              <w:jc w:val="both"/>
              <w:rPr>
                <w:rFonts w:eastAsia="Calibri"/>
                <w:sz w:val="20"/>
              </w:rPr>
            </w:pPr>
            <w:r w:rsidRPr="00DE1E45">
              <w:rPr>
                <w:rFonts w:eastAsia="Calibri"/>
                <w:sz w:val="20"/>
              </w:rPr>
              <w:t>(Juge O'Connor)</w:t>
            </w:r>
          </w:p>
          <w:p w:rsidR="00AB1504" w:rsidRPr="00DE1E45" w:rsidRDefault="00AB1504" w:rsidP="001A7F7C">
            <w:pPr>
              <w:jc w:val="both"/>
              <w:rPr>
                <w:rFonts w:eastAsia="Calibri"/>
                <w:sz w:val="20"/>
              </w:rPr>
            </w:pPr>
          </w:p>
        </w:tc>
        <w:tc>
          <w:tcPr>
            <w:tcW w:w="243" w:type="pct"/>
          </w:tcPr>
          <w:p w:rsidR="00AB1504" w:rsidRPr="00DE1E45" w:rsidRDefault="00AB1504" w:rsidP="001A7F7C">
            <w:pPr>
              <w:jc w:val="both"/>
              <w:rPr>
                <w:rFonts w:eastAsia="Calibri"/>
                <w:sz w:val="20"/>
              </w:rPr>
            </w:pPr>
          </w:p>
        </w:tc>
        <w:tc>
          <w:tcPr>
            <w:tcW w:w="2330" w:type="pct"/>
          </w:tcPr>
          <w:p w:rsidR="00AB1504" w:rsidRPr="00DE1E45" w:rsidRDefault="00AB1504" w:rsidP="001A7F7C">
            <w:pPr>
              <w:jc w:val="both"/>
              <w:rPr>
                <w:rFonts w:eastAsia="Calibri"/>
                <w:sz w:val="20"/>
                <w:lang w:val="fr-CA"/>
              </w:rPr>
            </w:pPr>
            <w:r w:rsidRPr="00DE1E45">
              <w:rPr>
                <w:rFonts w:eastAsia="Calibri"/>
                <w:sz w:val="20"/>
                <w:lang w:val="fr-CA"/>
              </w:rPr>
              <w:t xml:space="preserve">Demande du demandeur en vue de subir un procès distinct rejetée </w:t>
            </w:r>
          </w:p>
          <w:p w:rsidR="00AB1504" w:rsidRPr="00DE1E45" w:rsidRDefault="00AB1504" w:rsidP="001A7F7C">
            <w:pPr>
              <w:jc w:val="both"/>
              <w:rPr>
                <w:rFonts w:eastAsia="Calibri"/>
                <w:sz w:val="20"/>
                <w:lang w:val="fr-CA"/>
              </w:rPr>
            </w:pPr>
          </w:p>
        </w:tc>
      </w:tr>
      <w:tr w:rsidR="00AB1504" w:rsidRPr="00E672F1" w:rsidTr="001A7F7C">
        <w:tc>
          <w:tcPr>
            <w:tcW w:w="2427" w:type="pct"/>
          </w:tcPr>
          <w:p w:rsidR="00AB1504" w:rsidRPr="00DE1E45" w:rsidRDefault="00AB1504" w:rsidP="001A7F7C">
            <w:pPr>
              <w:jc w:val="both"/>
              <w:rPr>
                <w:rFonts w:eastAsia="Calibri"/>
                <w:sz w:val="20"/>
                <w:lang w:val="fr-CA"/>
              </w:rPr>
            </w:pPr>
            <w:r w:rsidRPr="00DE1E45">
              <w:rPr>
                <w:rFonts w:eastAsia="Calibri"/>
                <w:sz w:val="20"/>
                <w:lang w:val="fr-CA"/>
              </w:rPr>
              <w:t>15 février 2008</w:t>
            </w:r>
          </w:p>
          <w:p w:rsidR="00AB1504" w:rsidRPr="00DE1E45" w:rsidRDefault="00AB1504" w:rsidP="001A7F7C">
            <w:pPr>
              <w:jc w:val="both"/>
              <w:rPr>
                <w:rFonts w:eastAsia="Calibri"/>
                <w:sz w:val="20"/>
                <w:lang w:val="fr-CA"/>
              </w:rPr>
            </w:pPr>
            <w:r w:rsidRPr="00DE1E45">
              <w:rPr>
                <w:rFonts w:eastAsia="Calibri"/>
                <w:sz w:val="20"/>
                <w:lang w:val="fr-CA"/>
              </w:rPr>
              <w:t xml:space="preserve">Cour supérieure de justice de l’Ontario </w:t>
            </w:r>
          </w:p>
          <w:p w:rsidR="00AB1504" w:rsidRPr="00DE1E45" w:rsidRDefault="00AB1504" w:rsidP="001A7F7C">
            <w:pPr>
              <w:jc w:val="both"/>
              <w:rPr>
                <w:rFonts w:eastAsia="Calibri"/>
                <w:sz w:val="20"/>
              </w:rPr>
            </w:pPr>
            <w:r w:rsidRPr="00DE1E45">
              <w:rPr>
                <w:rFonts w:eastAsia="Calibri"/>
                <w:sz w:val="20"/>
              </w:rPr>
              <w:lastRenderedPageBreak/>
              <w:t>(Juge O'Connor)</w:t>
            </w:r>
          </w:p>
          <w:p w:rsidR="00AB1504" w:rsidRPr="00DE1E45" w:rsidRDefault="00AB1504" w:rsidP="001A7F7C">
            <w:pPr>
              <w:jc w:val="both"/>
              <w:rPr>
                <w:rFonts w:eastAsia="Calibri"/>
                <w:sz w:val="20"/>
              </w:rPr>
            </w:pPr>
          </w:p>
        </w:tc>
        <w:tc>
          <w:tcPr>
            <w:tcW w:w="243" w:type="pct"/>
          </w:tcPr>
          <w:p w:rsidR="00AB1504" w:rsidRPr="00DE1E45" w:rsidRDefault="00AB1504" w:rsidP="001A7F7C">
            <w:pPr>
              <w:jc w:val="both"/>
              <w:rPr>
                <w:rFonts w:eastAsia="Calibri"/>
                <w:sz w:val="20"/>
              </w:rPr>
            </w:pPr>
          </w:p>
        </w:tc>
        <w:tc>
          <w:tcPr>
            <w:tcW w:w="2330" w:type="pct"/>
          </w:tcPr>
          <w:p w:rsidR="00AB1504" w:rsidRPr="00DE1E45" w:rsidRDefault="00AB1504" w:rsidP="001A7F7C">
            <w:pPr>
              <w:jc w:val="both"/>
              <w:rPr>
                <w:rFonts w:eastAsia="Calibri"/>
                <w:sz w:val="20"/>
                <w:lang w:val="fr-CA"/>
              </w:rPr>
            </w:pPr>
            <w:r w:rsidRPr="00DE1E45">
              <w:rPr>
                <w:rFonts w:eastAsia="Calibri"/>
                <w:sz w:val="20"/>
                <w:lang w:val="fr-CA"/>
              </w:rPr>
              <w:t xml:space="preserve">Déclaration de culpabilité pour meurtre au premier degré </w:t>
            </w:r>
          </w:p>
          <w:p w:rsidR="00AB1504" w:rsidRPr="00DE1E45" w:rsidRDefault="00AB1504" w:rsidP="001A7F7C">
            <w:pPr>
              <w:jc w:val="both"/>
              <w:rPr>
                <w:rFonts w:eastAsia="Calibri"/>
                <w:sz w:val="20"/>
                <w:lang w:val="fr-CA"/>
              </w:rPr>
            </w:pPr>
          </w:p>
        </w:tc>
      </w:tr>
      <w:tr w:rsidR="00AB1504" w:rsidRPr="00E672F1" w:rsidTr="001A7F7C">
        <w:tc>
          <w:tcPr>
            <w:tcW w:w="2427" w:type="pct"/>
          </w:tcPr>
          <w:p w:rsidR="00AB1504" w:rsidRPr="00DE1E45" w:rsidRDefault="00AB1504" w:rsidP="001A7F7C">
            <w:pPr>
              <w:jc w:val="both"/>
              <w:rPr>
                <w:rFonts w:eastAsia="Calibri"/>
                <w:sz w:val="20"/>
                <w:lang w:val="fr-CA"/>
              </w:rPr>
            </w:pPr>
            <w:r w:rsidRPr="00DE1E45">
              <w:rPr>
                <w:rFonts w:eastAsia="Calibri"/>
                <w:sz w:val="20"/>
                <w:lang w:val="fr-CA"/>
              </w:rPr>
              <w:lastRenderedPageBreak/>
              <w:t>2 avril 2013</w:t>
            </w:r>
          </w:p>
          <w:p w:rsidR="00AB1504" w:rsidRPr="00DE1E45" w:rsidRDefault="00AB1504" w:rsidP="001A7F7C">
            <w:pPr>
              <w:jc w:val="both"/>
              <w:rPr>
                <w:rFonts w:eastAsia="Calibri"/>
                <w:sz w:val="20"/>
                <w:lang w:val="fr-CA"/>
              </w:rPr>
            </w:pPr>
            <w:r w:rsidRPr="00DE1E45">
              <w:rPr>
                <w:rFonts w:eastAsia="Calibri"/>
                <w:sz w:val="20"/>
                <w:lang w:val="fr-CA"/>
              </w:rPr>
              <w:t>Cour d’appel de l’Ontario</w:t>
            </w:r>
          </w:p>
          <w:p w:rsidR="00AB1504" w:rsidRPr="00DE1E45" w:rsidRDefault="00AB1504" w:rsidP="001A7F7C">
            <w:pPr>
              <w:jc w:val="both"/>
              <w:rPr>
                <w:rFonts w:eastAsia="Calibri"/>
                <w:sz w:val="20"/>
                <w:lang w:val="fr-CA"/>
              </w:rPr>
            </w:pPr>
            <w:r w:rsidRPr="00DE1E45">
              <w:rPr>
                <w:rFonts w:eastAsia="Calibri"/>
                <w:sz w:val="20"/>
                <w:lang w:val="fr-CA"/>
              </w:rPr>
              <w:t>(Juges Rosenberg, Sharpe et MacFarland)</w:t>
            </w:r>
          </w:p>
          <w:p w:rsidR="00AB1504" w:rsidRPr="00DE1E45" w:rsidRDefault="00AB1504" w:rsidP="001A7F7C">
            <w:pPr>
              <w:jc w:val="both"/>
              <w:rPr>
                <w:rFonts w:eastAsia="Calibri"/>
                <w:sz w:val="20"/>
              </w:rPr>
            </w:pPr>
            <w:r w:rsidRPr="00DE1E45">
              <w:rPr>
                <w:rFonts w:eastAsia="Calibri"/>
                <w:sz w:val="20"/>
              </w:rPr>
              <w:t>2013 ONCA 190</w:t>
            </w:r>
          </w:p>
          <w:p w:rsidR="00AB1504" w:rsidRPr="00DE1E45" w:rsidRDefault="00E672F1" w:rsidP="001A7F7C">
            <w:pPr>
              <w:jc w:val="both"/>
              <w:rPr>
                <w:rFonts w:eastAsia="Calibri"/>
                <w:sz w:val="20"/>
              </w:rPr>
            </w:pPr>
            <w:hyperlink r:id="rId37" w:history="1">
              <w:r w:rsidR="00AB1504" w:rsidRPr="00DE1E45">
                <w:rPr>
                  <w:rFonts w:eastAsia="Calibri"/>
                  <w:color w:val="0000FF"/>
                  <w:sz w:val="20"/>
                  <w:u w:val="single"/>
                </w:rPr>
                <w:t>http://canlii.ca/t/fwspf</w:t>
              </w:r>
            </w:hyperlink>
          </w:p>
          <w:p w:rsidR="00AB1504" w:rsidRPr="00DE1E45" w:rsidRDefault="00AB1504" w:rsidP="001A7F7C">
            <w:pPr>
              <w:jc w:val="both"/>
              <w:rPr>
                <w:rFonts w:eastAsia="Calibri"/>
                <w:sz w:val="20"/>
              </w:rPr>
            </w:pPr>
          </w:p>
        </w:tc>
        <w:tc>
          <w:tcPr>
            <w:tcW w:w="243" w:type="pct"/>
          </w:tcPr>
          <w:p w:rsidR="00AB1504" w:rsidRPr="00DE1E45" w:rsidRDefault="00AB1504" w:rsidP="001A7F7C">
            <w:pPr>
              <w:jc w:val="both"/>
              <w:rPr>
                <w:rFonts w:eastAsia="Calibri"/>
                <w:sz w:val="20"/>
              </w:rPr>
            </w:pPr>
          </w:p>
        </w:tc>
        <w:tc>
          <w:tcPr>
            <w:tcW w:w="2330" w:type="pct"/>
          </w:tcPr>
          <w:p w:rsidR="00AB1504" w:rsidRPr="00DE1E45" w:rsidRDefault="00AB1504" w:rsidP="001A7F7C">
            <w:pPr>
              <w:jc w:val="both"/>
              <w:rPr>
                <w:rFonts w:eastAsia="Calibri"/>
                <w:sz w:val="20"/>
                <w:lang w:val="fr-CA"/>
              </w:rPr>
            </w:pPr>
            <w:r w:rsidRPr="00DE1E45">
              <w:rPr>
                <w:rFonts w:eastAsia="Calibri"/>
                <w:sz w:val="20"/>
                <w:lang w:val="fr-CA"/>
              </w:rPr>
              <w:t xml:space="preserve">Appel de la déclaration de culpabilité rejeté </w:t>
            </w:r>
          </w:p>
          <w:p w:rsidR="00AB1504" w:rsidRPr="00DE1E45" w:rsidRDefault="00AB1504" w:rsidP="001A7F7C">
            <w:pPr>
              <w:jc w:val="both"/>
              <w:rPr>
                <w:rFonts w:eastAsia="Calibri"/>
                <w:sz w:val="20"/>
                <w:lang w:val="fr-CA"/>
              </w:rPr>
            </w:pPr>
          </w:p>
        </w:tc>
      </w:tr>
      <w:tr w:rsidR="00AB1504" w:rsidRPr="00E672F1" w:rsidTr="001A7F7C">
        <w:tc>
          <w:tcPr>
            <w:tcW w:w="2427" w:type="pct"/>
          </w:tcPr>
          <w:p w:rsidR="00AB1504" w:rsidRPr="00AB1504" w:rsidRDefault="00AB1504" w:rsidP="001A7F7C">
            <w:pPr>
              <w:jc w:val="both"/>
              <w:rPr>
                <w:rFonts w:eastAsia="Calibri"/>
                <w:sz w:val="20"/>
                <w:lang w:val="fr-CA"/>
              </w:rPr>
            </w:pPr>
            <w:r w:rsidRPr="00AB1504">
              <w:rPr>
                <w:rFonts w:eastAsia="Calibri"/>
                <w:sz w:val="20"/>
                <w:lang w:val="fr-CA"/>
              </w:rPr>
              <w:t>20 septembre 2013</w:t>
            </w:r>
          </w:p>
          <w:p w:rsidR="00AB1504" w:rsidRPr="00AB1504" w:rsidRDefault="00AB1504" w:rsidP="001A7F7C">
            <w:pPr>
              <w:jc w:val="both"/>
              <w:rPr>
                <w:rFonts w:eastAsia="Calibri"/>
                <w:sz w:val="20"/>
                <w:lang w:val="fr-CA"/>
              </w:rPr>
            </w:pPr>
            <w:r w:rsidRPr="00AB1504">
              <w:rPr>
                <w:rFonts w:eastAsia="Calibri"/>
                <w:sz w:val="20"/>
                <w:lang w:val="fr-CA"/>
              </w:rPr>
              <w:t>Cour suprême du Canada</w:t>
            </w:r>
          </w:p>
        </w:tc>
        <w:tc>
          <w:tcPr>
            <w:tcW w:w="243" w:type="pct"/>
          </w:tcPr>
          <w:p w:rsidR="00AB1504" w:rsidRPr="00AB1504" w:rsidRDefault="00AB1504" w:rsidP="001A7F7C">
            <w:pPr>
              <w:jc w:val="both"/>
              <w:rPr>
                <w:rFonts w:eastAsia="Calibri"/>
                <w:sz w:val="20"/>
                <w:lang w:val="fr-CA"/>
              </w:rPr>
            </w:pPr>
          </w:p>
        </w:tc>
        <w:tc>
          <w:tcPr>
            <w:tcW w:w="2330" w:type="pct"/>
          </w:tcPr>
          <w:p w:rsidR="00AB1504" w:rsidRPr="00DE1E45" w:rsidRDefault="00AB1504" w:rsidP="001A7F7C">
            <w:pPr>
              <w:jc w:val="both"/>
              <w:rPr>
                <w:rFonts w:eastAsia="Calibri"/>
                <w:sz w:val="20"/>
                <w:lang w:val="fr-CA"/>
              </w:rPr>
            </w:pPr>
            <w:r w:rsidRPr="00DE1E45">
              <w:rPr>
                <w:rFonts w:eastAsia="Calibri"/>
                <w:sz w:val="20"/>
                <w:lang w:val="fr-CA"/>
              </w:rPr>
              <w:t xml:space="preserve">Requête en prorogation de délai pour signifier et déposer la demande d’autorisation d’appel, déposée </w:t>
            </w:r>
          </w:p>
        </w:tc>
      </w:tr>
    </w:tbl>
    <w:p w:rsidR="0010221A" w:rsidRPr="00AB1504" w:rsidRDefault="0010221A" w:rsidP="0010221A">
      <w:pPr>
        <w:rPr>
          <w:sz w:val="20"/>
          <w:szCs w:val="20"/>
          <w:lang w:val="fr-CA"/>
        </w:rPr>
      </w:pPr>
    </w:p>
    <w:p w:rsidR="0010221A" w:rsidRDefault="00E672F1" w:rsidP="0010221A">
      <w:pPr>
        <w:rPr>
          <w:sz w:val="20"/>
          <w:szCs w:val="20"/>
        </w:rPr>
      </w:pPr>
      <w:r>
        <w:rPr>
          <w:sz w:val="20"/>
          <w:szCs w:val="20"/>
          <w:lang w:val="fr-CA"/>
        </w:rPr>
        <w:pict>
          <v:rect id="_x0000_i1047" style="width:2in;height:1pt" o:hrpct="0" o:hralign="center" o:hrstd="t" o:hrnoshade="t" o:hr="t" fillcolor="black [3213]" stroked="f"/>
        </w:pict>
      </w:r>
    </w:p>
    <w:p w:rsidR="000F366E" w:rsidRDefault="000F366E">
      <w:pPr>
        <w:rPr>
          <w:sz w:val="20"/>
          <w:szCs w:val="20"/>
        </w:rPr>
      </w:pPr>
    </w:p>
    <w:p w:rsidR="000F366E" w:rsidRDefault="000F366E">
      <w:pPr>
        <w:rPr>
          <w:sz w:val="20"/>
          <w:szCs w:val="20"/>
        </w:rPr>
      </w:pPr>
      <w:r>
        <w:rPr>
          <w:sz w:val="20"/>
          <w:szCs w:val="20"/>
        </w:rPr>
        <w:br w:type="page"/>
      </w:r>
    </w:p>
    <w:tbl>
      <w:tblPr>
        <w:tblStyle w:val="TableGrid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F366E" w:rsidRPr="000F366E" w:rsidTr="00C21531">
        <w:trPr>
          <w:cantSplit/>
        </w:trPr>
        <w:tc>
          <w:tcPr>
            <w:tcW w:w="1458" w:type="dxa"/>
          </w:tcPr>
          <w:p w:rsidR="000F366E" w:rsidRPr="000F366E" w:rsidRDefault="000F366E" w:rsidP="000F366E">
            <w:pPr>
              <w:rPr>
                <w:sz w:val="20"/>
              </w:rPr>
            </w:pPr>
            <w:r w:rsidRPr="000F366E">
              <w:rPr>
                <w:b/>
                <w:sz w:val="20"/>
                <w:lang w:val="fr-CA"/>
              </w:rPr>
              <w:lastRenderedPageBreak/>
              <w:t>35535</w:t>
            </w:r>
          </w:p>
          <w:p w:rsidR="000F366E" w:rsidRPr="000F366E" w:rsidRDefault="000F366E" w:rsidP="000F366E">
            <w:pPr>
              <w:rPr>
                <w:b/>
                <w:sz w:val="20"/>
                <w:lang w:val="fr-CA"/>
              </w:rPr>
            </w:pPr>
          </w:p>
        </w:tc>
        <w:tc>
          <w:tcPr>
            <w:tcW w:w="8118" w:type="dxa"/>
          </w:tcPr>
          <w:p w:rsidR="000F366E" w:rsidRPr="000F366E" w:rsidRDefault="000F366E" w:rsidP="000F366E">
            <w:pPr>
              <w:rPr>
                <w:sz w:val="20"/>
              </w:rPr>
            </w:pPr>
            <w:r w:rsidRPr="000F366E">
              <w:rPr>
                <w:b/>
                <w:sz w:val="20"/>
                <w:u w:val="single"/>
              </w:rPr>
              <w:t>Evol Robinson v. Her Majesty the Queen</w:t>
            </w:r>
            <w:r w:rsidRPr="000F366E">
              <w:rPr>
                <w:sz w:val="20"/>
              </w:rPr>
              <w:t xml:space="preserve"> (Ont.) (Criminal) (By Leave)</w:t>
            </w:r>
          </w:p>
          <w:p w:rsidR="000F366E" w:rsidRPr="000F366E" w:rsidRDefault="000F366E" w:rsidP="000F366E">
            <w:pPr>
              <w:rPr>
                <w:sz w:val="20"/>
              </w:rPr>
            </w:pPr>
          </w:p>
        </w:tc>
      </w:tr>
      <w:tr w:rsidR="000F366E" w:rsidRPr="000F366E" w:rsidTr="00C21531">
        <w:trPr>
          <w:cantSplit/>
        </w:trPr>
        <w:tc>
          <w:tcPr>
            <w:tcW w:w="1458" w:type="dxa"/>
          </w:tcPr>
          <w:p w:rsidR="000F366E" w:rsidRPr="000F366E" w:rsidRDefault="000F366E" w:rsidP="000F366E">
            <w:pPr>
              <w:rPr>
                <w:sz w:val="20"/>
              </w:rPr>
            </w:pPr>
            <w:r w:rsidRPr="000F366E">
              <w:rPr>
                <w:sz w:val="20"/>
              </w:rPr>
              <w:t>Coram :</w:t>
            </w:r>
          </w:p>
        </w:tc>
        <w:tc>
          <w:tcPr>
            <w:tcW w:w="8118" w:type="dxa"/>
          </w:tcPr>
          <w:p w:rsidR="000F366E" w:rsidRPr="000F366E" w:rsidRDefault="000F366E" w:rsidP="000F366E">
            <w:pPr>
              <w:rPr>
                <w:sz w:val="20"/>
              </w:rPr>
            </w:pPr>
            <w:r w:rsidRPr="000F366E">
              <w:rPr>
                <w:sz w:val="20"/>
                <w:u w:val="single"/>
              </w:rPr>
              <w:t>Abella, Rothstein and Moldaver JJ.</w:t>
            </w:r>
          </w:p>
          <w:p w:rsidR="000F366E" w:rsidRPr="000F366E" w:rsidRDefault="000F366E" w:rsidP="000F366E">
            <w:pPr>
              <w:rPr>
                <w:sz w:val="20"/>
                <w:u w:val="single"/>
              </w:rPr>
            </w:pPr>
          </w:p>
        </w:tc>
      </w:tr>
      <w:tr w:rsidR="000F366E" w:rsidRPr="00E672F1" w:rsidTr="00C21531">
        <w:trPr>
          <w:cantSplit/>
        </w:trPr>
        <w:tc>
          <w:tcPr>
            <w:tcW w:w="9576" w:type="dxa"/>
            <w:gridSpan w:val="2"/>
          </w:tcPr>
          <w:p w:rsidR="000F366E" w:rsidRPr="000F366E" w:rsidRDefault="000F366E" w:rsidP="000F366E">
            <w:pPr>
              <w:ind w:firstLine="720"/>
              <w:jc w:val="both"/>
              <w:rPr>
                <w:sz w:val="20"/>
              </w:rPr>
            </w:pPr>
            <w:r w:rsidRPr="000F366E">
              <w:rPr>
                <w:sz w:val="20"/>
              </w:rPr>
              <w:t>The motion for an extension of time to serve and file the application for leave to appeal is granted.  The application for leave to appeal from the judgment of the Court of Appeal for Ontario, Numbers C47667 and C49453, 2013 ONCA 190, dated April 2, 2013, is dismissed without costs.</w:t>
            </w:r>
          </w:p>
          <w:p w:rsidR="000F366E" w:rsidRPr="000F366E" w:rsidRDefault="000F366E" w:rsidP="000F366E">
            <w:pPr>
              <w:jc w:val="both"/>
              <w:rPr>
                <w:sz w:val="20"/>
              </w:rPr>
            </w:pPr>
          </w:p>
          <w:p w:rsidR="000F366E" w:rsidRPr="000F366E" w:rsidRDefault="000F366E" w:rsidP="000F366E">
            <w:pPr>
              <w:ind w:firstLine="720"/>
              <w:jc w:val="both"/>
              <w:rPr>
                <w:sz w:val="20"/>
                <w:lang w:val="fr-CA"/>
              </w:rPr>
            </w:pPr>
            <w:r w:rsidRPr="000F366E">
              <w:rPr>
                <w:sz w:val="20"/>
                <w:lang w:val="fr-CA"/>
              </w:rPr>
              <w:t>La requête en prorogation du délai de signification et de dépôt de la demande d’autorisation d’appel est accueillie.  La demande d’autorisation d’appel de l’arrêt de la Cour d’appel de l’Ontario, numéros C47667 et C49453, 2013 ONCA 190, daté du 2 avril 2013, est rejetée sans dépens.</w:t>
            </w:r>
          </w:p>
        </w:tc>
      </w:tr>
    </w:tbl>
    <w:p w:rsidR="0010221A" w:rsidRPr="000F366E" w:rsidRDefault="0010221A" w:rsidP="0010221A">
      <w:pPr>
        <w:rPr>
          <w:sz w:val="20"/>
          <w:szCs w:val="20"/>
          <w:lang w:val="fr-CA"/>
        </w:rPr>
      </w:pPr>
    </w:p>
    <w:p w:rsidR="0010221A" w:rsidRPr="001B157C" w:rsidRDefault="0010221A" w:rsidP="0010221A">
      <w:pPr>
        <w:rPr>
          <w:sz w:val="20"/>
          <w:szCs w:val="20"/>
          <w:u w:val="single"/>
        </w:rPr>
      </w:pPr>
      <w:r w:rsidRPr="001B157C">
        <w:rPr>
          <w:sz w:val="20"/>
          <w:szCs w:val="20"/>
          <w:u w:val="single"/>
        </w:rPr>
        <w:t>CASE SUMMARY</w:t>
      </w:r>
    </w:p>
    <w:p w:rsidR="0010221A" w:rsidRDefault="0010221A" w:rsidP="0010221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1504" w:rsidRPr="00DE1E45" w:rsidTr="001A7F7C">
        <w:tc>
          <w:tcPr>
            <w:tcW w:w="5000" w:type="pct"/>
            <w:gridSpan w:val="3"/>
          </w:tcPr>
          <w:p w:rsidR="00AB1504" w:rsidRPr="00DE1E45" w:rsidRDefault="00AB1504" w:rsidP="001A7F7C">
            <w:pPr>
              <w:jc w:val="both"/>
              <w:rPr>
                <w:rFonts w:eastAsia="Calibri"/>
                <w:sz w:val="20"/>
              </w:rPr>
            </w:pPr>
            <w:r w:rsidRPr="00DE1E45">
              <w:rPr>
                <w:rFonts w:eastAsia="Calibri"/>
                <w:i/>
                <w:sz w:val="20"/>
              </w:rPr>
              <w:t>Charter of Rights</w:t>
            </w:r>
            <w:r w:rsidRPr="00DE1E45">
              <w:rPr>
                <w:rFonts w:eastAsia="Calibri"/>
                <w:sz w:val="20"/>
              </w:rPr>
              <w:t xml:space="preserve"> – Freedom of Religion – Right to liberty – Criminal law – Evidence – Admissibility – Whether the Court of Appeal erred in law by concluding that statements made to an undercover police officer posing as a religious advisor, and induced by the use of religious imagery, tenets, and rituals, was admissible in evidence – Whether the Court of Appeal erred in concluding that the statements were not obtained in a manner that violated the applicant’s s. 2(a) </w:t>
            </w:r>
            <w:r w:rsidRPr="00DE1E45">
              <w:rPr>
                <w:rFonts w:eastAsia="Calibri"/>
                <w:i/>
                <w:sz w:val="20"/>
              </w:rPr>
              <w:t>Charter</w:t>
            </w:r>
            <w:r w:rsidRPr="00DE1E45">
              <w:rPr>
                <w:rFonts w:eastAsia="Calibri"/>
                <w:sz w:val="20"/>
              </w:rPr>
              <w:t xml:space="preserve"> right to freedom of religion – Whether the Court of Appeal erred in concluding that the statements were not obtained in a manner that constituted a dirty trick rendering the statements inadmissible – Whether the Court of Appeal erred in concluding that the statements were not privileged communications – Whether the Court of Appeal erred in concluding that the statements were not obtained in a manner that violated the applicant’s right not to be deprived of his liberty except in accordance with the principles of fundamental justice, contrary to s. 7 of the </w:t>
            </w:r>
            <w:r w:rsidRPr="00DE1E45">
              <w:rPr>
                <w:rFonts w:eastAsia="Calibri"/>
                <w:i/>
                <w:sz w:val="20"/>
              </w:rPr>
              <w:t>Charter</w:t>
            </w:r>
            <w:r w:rsidRPr="00DE1E45">
              <w:rPr>
                <w:rFonts w:eastAsia="Calibri"/>
                <w:sz w:val="20"/>
              </w:rPr>
              <w:t xml:space="preserve"> – ss. 2(a), 7 of the </w:t>
            </w:r>
            <w:r w:rsidRPr="00DE1E45">
              <w:rPr>
                <w:rFonts w:eastAsia="Calibri"/>
                <w:i/>
                <w:sz w:val="20"/>
              </w:rPr>
              <w:t>Charter</w:t>
            </w:r>
            <w:r w:rsidRPr="00DE1E45">
              <w:rPr>
                <w:rFonts w:eastAsia="Calibri"/>
                <w:sz w:val="20"/>
              </w:rPr>
              <w:t>.</w:t>
            </w:r>
          </w:p>
        </w:tc>
      </w:tr>
      <w:tr w:rsidR="00AB1504" w:rsidRPr="00DE1E45" w:rsidTr="001A7F7C">
        <w:tc>
          <w:tcPr>
            <w:tcW w:w="5000" w:type="pct"/>
            <w:gridSpan w:val="3"/>
          </w:tcPr>
          <w:p w:rsidR="00AB1504" w:rsidRPr="00DE1E45" w:rsidRDefault="00AB1504" w:rsidP="001A7F7C">
            <w:pPr>
              <w:jc w:val="both"/>
              <w:rPr>
                <w:rFonts w:eastAsia="Calibri"/>
                <w:sz w:val="20"/>
              </w:rPr>
            </w:pPr>
          </w:p>
        </w:tc>
      </w:tr>
      <w:tr w:rsidR="00AB1504" w:rsidRPr="00DE1E45" w:rsidTr="001A7F7C">
        <w:tc>
          <w:tcPr>
            <w:tcW w:w="5000" w:type="pct"/>
            <w:gridSpan w:val="3"/>
          </w:tcPr>
          <w:p w:rsidR="00AB1504" w:rsidRPr="00DE1E45" w:rsidRDefault="00AB1504" w:rsidP="001A7F7C">
            <w:pPr>
              <w:jc w:val="both"/>
              <w:rPr>
                <w:rFonts w:eastAsia="Calibri"/>
                <w:sz w:val="20"/>
              </w:rPr>
            </w:pPr>
            <w:r w:rsidRPr="00DE1E45">
              <w:rPr>
                <w:rFonts w:eastAsia="Calibri"/>
                <w:sz w:val="20"/>
              </w:rPr>
              <w:t>After a trial by judge and jury, the applicant was convicted of first degree murder.  An appeal from conviction was dismissed.</w:t>
            </w:r>
          </w:p>
          <w:p w:rsidR="00AB1504" w:rsidRPr="00DE1E45" w:rsidRDefault="00AB1504" w:rsidP="001A7F7C">
            <w:pPr>
              <w:jc w:val="both"/>
              <w:rPr>
                <w:rFonts w:eastAsia="Calibri"/>
                <w:sz w:val="20"/>
              </w:rPr>
            </w:pPr>
          </w:p>
        </w:tc>
      </w:tr>
      <w:tr w:rsidR="00AB1504" w:rsidRPr="00DE1E45" w:rsidTr="001A7F7C">
        <w:tc>
          <w:tcPr>
            <w:tcW w:w="2427" w:type="pct"/>
          </w:tcPr>
          <w:p w:rsidR="00AB1504" w:rsidRPr="00DE1E45" w:rsidRDefault="00AB1504" w:rsidP="001A7F7C">
            <w:pPr>
              <w:jc w:val="both"/>
              <w:rPr>
                <w:rFonts w:eastAsia="Calibri"/>
                <w:sz w:val="20"/>
              </w:rPr>
            </w:pPr>
            <w:r w:rsidRPr="00DE1E45">
              <w:rPr>
                <w:rFonts w:eastAsia="Calibri"/>
                <w:sz w:val="20"/>
              </w:rPr>
              <w:t>August 23, 2007</w:t>
            </w:r>
          </w:p>
          <w:p w:rsidR="00AB1504" w:rsidRPr="00DE1E45" w:rsidRDefault="00AB1504" w:rsidP="001A7F7C">
            <w:pPr>
              <w:jc w:val="both"/>
              <w:rPr>
                <w:rFonts w:eastAsia="Calibri"/>
                <w:sz w:val="20"/>
              </w:rPr>
            </w:pPr>
            <w:r w:rsidRPr="00DE1E45">
              <w:rPr>
                <w:rFonts w:eastAsia="Calibri"/>
                <w:sz w:val="20"/>
              </w:rPr>
              <w:t>Ontario Superior Court of Justice</w:t>
            </w:r>
          </w:p>
          <w:p w:rsidR="00AB1504" w:rsidRPr="00DE1E45" w:rsidRDefault="00AB1504" w:rsidP="001A7F7C">
            <w:pPr>
              <w:jc w:val="both"/>
              <w:rPr>
                <w:rFonts w:eastAsia="Calibri"/>
                <w:sz w:val="20"/>
              </w:rPr>
            </w:pPr>
            <w:r w:rsidRPr="00DE1E45">
              <w:rPr>
                <w:rFonts w:eastAsia="Calibri"/>
                <w:sz w:val="20"/>
              </w:rPr>
              <w:t>(O'Connor J.)</w:t>
            </w:r>
          </w:p>
          <w:p w:rsidR="00AB1504" w:rsidRPr="00DE1E45" w:rsidRDefault="00AB1504" w:rsidP="001A7F7C">
            <w:pPr>
              <w:jc w:val="both"/>
              <w:rPr>
                <w:rFonts w:eastAsia="Calibri"/>
                <w:sz w:val="20"/>
              </w:rPr>
            </w:pPr>
            <w:r w:rsidRPr="00DE1E45">
              <w:rPr>
                <w:rFonts w:eastAsia="Calibri"/>
                <w:sz w:val="20"/>
              </w:rPr>
              <w:t xml:space="preserve">Neutral citation: </w:t>
            </w:r>
          </w:p>
          <w:p w:rsidR="00AB1504" w:rsidRPr="00DE1E45" w:rsidRDefault="00E672F1" w:rsidP="001A7F7C">
            <w:pPr>
              <w:jc w:val="both"/>
              <w:rPr>
                <w:rFonts w:eastAsia="Calibri"/>
                <w:sz w:val="20"/>
              </w:rPr>
            </w:pPr>
            <w:hyperlink r:id="rId38" w:history="1">
              <w:r w:rsidR="00AB1504" w:rsidRPr="00DE1E45">
                <w:rPr>
                  <w:rFonts w:eastAsia="Calibri"/>
                  <w:color w:val="0000FF"/>
                  <w:sz w:val="20"/>
                  <w:u w:val="single"/>
                </w:rPr>
                <w:t>http://canlii.ca/t/1t1q7</w:t>
              </w:r>
            </w:hyperlink>
          </w:p>
          <w:p w:rsidR="00AB1504" w:rsidRPr="00DE1E45" w:rsidRDefault="00AB1504" w:rsidP="001A7F7C">
            <w:pPr>
              <w:jc w:val="both"/>
              <w:rPr>
                <w:rFonts w:eastAsia="Calibri"/>
                <w:sz w:val="20"/>
              </w:rPr>
            </w:pPr>
          </w:p>
        </w:tc>
        <w:tc>
          <w:tcPr>
            <w:tcW w:w="243" w:type="pct"/>
          </w:tcPr>
          <w:p w:rsidR="00AB1504" w:rsidRPr="00DE1E45" w:rsidRDefault="00AB1504" w:rsidP="001A7F7C">
            <w:pPr>
              <w:jc w:val="both"/>
              <w:rPr>
                <w:rFonts w:eastAsia="Calibri"/>
                <w:sz w:val="20"/>
              </w:rPr>
            </w:pPr>
          </w:p>
        </w:tc>
        <w:tc>
          <w:tcPr>
            <w:tcW w:w="2330" w:type="pct"/>
          </w:tcPr>
          <w:p w:rsidR="00AB1504" w:rsidRPr="00DE1E45" w:rsidRDefault="00AB1504" w:rsidP="001A7F7C">
            <w:pPr>
              <w:jc w:val="both"/>
              <w:rPr>
                <w:rFonts w:eastAsia="Calibri"/>
                <w:sz w:val="20"/>
              </w:rPr>
            </w:pPr>
            <w:r w:rsidRPr="00DE1E45">
              <w:rPr>
                <w:rFonts w:eastAsia="Calibri"/>
                <w:sz w:val="20"/>
              </w:rPr>
              <w:t>Ruling regarding application to exclude certain evidence at trial</w:t>
            </w:r>
          </w:p>
          <w:p w:rsidR="00AB1504" w:rsidRPr="00DE1E45" w:rsidRDefault="00AB1504" w:rsidP="001A7F7C">
            <w:pPr>
              <w:jc w:val="both"/>
              <w:rPr>
                <w:rFonts w:eastAsia="Calibri"/>
                <w:sz w:val="20"/>
              </w:rPr>
            </w:pPr>
          </w:p>
        </w:tc>
      </w:tr>
      <w:tr w:rsidR="00AB1504" w:rsidRPr="00DE1E45" w:rsidTr="001A7F7C">
        <w:tc>
          <w:tcPr>
            <w:tcW w:w="2427" w:type="pct"/>
          </w:tcPr>
          <w:p w:rsidR="00AB1504" w:rsidRPr="00DE1E45" w:rsidRDefault="00AB1504" w:rsidP="001A7F7C">
            <w:pPr>
              <w:jc w:val="both"/>
              <w:rPr>
                <w:rFonts w:eastAsia="Calibri"/>
                <w:sz w:val="20"/>
              </w:rPr>
            </w:pPr>
            <w:r w:rsidRPr="00DE1E45">
              <w:rPr>
                <w:rFonts w:eastAsia="Calibri"/>
                <w:sz w:val="20"/>
              </w:rPr>
              <w:t>February 15, 2008</w:t>
            </w:r>
          </w:p>
          <w:p w:rsidR="00AB1504" w:rsidRPr="00DE1E45" w:rsidRDefault="00AB1504" w:rsidP="001A7F7C">
            <w:pPr>
              <w:jc w:val="both"/>
              <w:rPr>
                <w:rFonts w:eastAsia="Calibri"/>
                <w:sz w:val="20"/>
              </w:rPr>
            </w:pPr>
            <w:r w:rsidRPr="00DE1E45">
              <w:rPr>
                <w:rFonts w:eastAsia="Calibri"/>
                <w:sz w:val="20"/>
              </w:rPr>
              <w:t>Ontario Superior Court of Justice</w:t>
            </w:r>
          </w:p>
          <w:p w:rsidR="00AB1504" w:rsidRPr="00DE1E45" w:rsidRDefault="00AB1504" w:rsidP="001A7F7C">
            <w:pPr>
              <w:jc w:val="both"/>
              <w:rPr>
                <w:rFonts w:eastAsia="Calibri"/>
                <w:sz w:val="20"/>
              </w:rPr>
            </w:pPr>
            <w:r w:rsidRPr="00DE1E45">
              <w:rPr>
                <w:rFonts w:eastAsia="Calibri"/>
                <w:sz w:val="20"/>
              </w:rPr>
              <w:t>(O'Connor J.)</w:t>
            </w:r>
          </w:p>
          <w:p w:rsidR="00AB1504" w:rsidRPr="00DE1E45" w:rsidRDefault="00AB1504" w:rsidP="001A7F7C">
            <w:pPr>
              <w:jc w:val="both"/>
              <w:rPr>
                <w:rFonts w:eastAsia="Calibri"/>
                <w:sz w:val="20"/>
              </w:rPr>
            </w:pPr>
          </w:p>
        </w:tc>
        <w:tc>
          <w:tcPr>
            <w:tcW w:w="243" w:type="pct"/>
          </w:tcPr>
          <w:p w:rsidR="00AB1504" w:rsidRPr="00DE1E45" w:rsidRDefault="00AB1504" w:rsidP="001A7F7C">
            <w:pPr>
              <w:jc w:val="both"/>
              <w:rPr>
                <w:rFonts w:eastAsia="Calibri"/>
                <w:sz w:val="20"/>
              </w:rPr>
            </w:pPr>
          </w:p>
        </w:tc>
        <w:tc>
          <w:tcPr>
            <w:tcW w:w="2330" w:type="pct"/>
          </w:tcPr>
          <w:p w:rsidR="00AB1504" w:rsidRPr="00DE1E45" w:rsidRDefault="00AB1504" w:rsidP="001A7F7C">
            <w:pPr>
              <w:jc w:val="both"/>
              <w:rPr>
                <w:rFonts w:eastAsia="Calibri"/>
                <w:sz w:val="20"/>
              </w:rPr>
            </w:pPr>
            <w:r w:rsidRPr="00DE1E45">
              <w:rPr>
                <w:rFonts w:eastAsia="Calibri"/>
                <w:sz w:val="20"/>
              </w:rPr>
              <w:t>Conviction:  first degree murder</w:t>
            </w:r>
          </w:p>
          <w:p w:rsidR="00AB1504" w:rsidRPr="00DE1E45" w:rsidRDefault="00AB1504" w:rsidP="001A7F7C">
            <w:pPr>
              <w:jc w:val="both"/>
              <w:rPr>
                <w:rFonts w:eastAsia="Calibri"/>
                <w:sz w:val="20"/>
              </w:rPr>
            </w:pPr>
          </w:p>
          <w:p w:rsidR="00AB1504" w:rsidRPr="00DE1E45" w:rsidRDefault="00AB1504" w:rsidP="001A7F7C">
            <w:pPr>
              <w:jc w:val="both"/>
              <w:rPr>
                <w:rFonts w:eastAsia="Calibri"/>
                <w:sz w:val="20"/>
              </w:rPr>
            </w:pPr>
          </w:p>
          <w:p w:rsidR="00AB1504" w:rsidRPr="00DE1E45" w:rsidRDefault="00AB1504" w:rsidP="001A7F7C">
            <w:pPr>
              <w:jc w:val="both"/>
              <w:rPr>
                <w:rFonts w:eastAsia="Calibri"/>
                <w:sz w:val="20"/>
              </w:rPr>
            </w:pPr>
          </w:p>
        </w:tc>
      </w:tr>
      <w:tr w:rsidR="00AB1504" w:rsidRPr="00DE1E45" w:rsidTr="001A7F7C">
        <w:tc>
          <w:tcPr>
            <w:tcW w:w="2427" w:type="pct"/>
          </w:tcPr>
          <w:p w:rsidR="00AB1504" w:rsidRPr="00DE1E45" w:rsidRDefault="00AB1504" w:rsidP="001A7F7C">
            <w:pPr>
              <w:jc w:val="both"/>
              <w:rPr>
                <w:rFonts w:eastAsia="Calibri"/>
                <w:sz w:val="20"/>
              </w:rPr>
            </w:pPr>
            <w:r w:rsidRPr="00DE1E45">
              <w:rPr>
                <w:rFonts w:eastAsia="Calibri"/>
                <w:sz w:val="20"/>
              </w:rPr>
              <w:t>April 2, 2013</w:t>
            </w:r>
          </w:p>
          <w:p w:rsidR="00AB1504" w:rsidRPr="00DE1E45" w:rsidRDefault="00AB1504" w:rsidP="001A7F7C">
            <w:pPr>
              <w:jc w:val="both"/>
              <w:rPr>
                <w:rFonts w:eastAsia="Calibri"/>
                <w:sz w:val="20"/>
              </w:rPr>
            </w:pPr>
            <w:r w:rsidRPr="00DE1E45">
              <w:rPr>
                <w:rFonts w:eastAsia="Calibri"/>
                <w:sz w:val="20"/>
              </w:rPr>
              <w:t>Court of Appeal for Ontario</w:t>
            </w:r>
          </w:p>
          <w:p w:rsidR="00AB1504" w:rsidRPr="00DE1E45" w:rsidRDefault="00AB1504" w:rsidP="001A7F7C">
            <w:pPr>
              <w:jc w:val="both"/>
              <w:rPr>
                <w:rFonts w:eastAsia="Calibri"/>
                <w:sz w:val="20"/>
              </w:rPr>
            </w:pPr>
            <w:r w:rsidRPr="00DE1E45">
              <w:rPr>
                <w:rFonts w:eastAsia="Calibri"/>
                <w:sz w:val="20"/>
              </w:rPr>
              <w:t>(Rosenberg, Sharpe, MacFarland JJ.A.)</w:t>
            </w:r>
          </w:p>
          <w:p w:rsidR="00AB1504" w:rsidRPr="00DE1E45" w:rsidRDefault="00AB1504" w:rsidP="001A7F7C">
            <w:pPr>
              <w:jc w:val="both"/>
              <w:rPr>
                <w:rFonts w:eastAsia="Calibri"/>
                <w:sz w:val="20"/>
              </w:rPr>
            </w:pPr>
            <w:r w:rsidRPr="00DE1E45">
              <w:rPr>
                <w:rFonts w:eastAsia="Calibri"/>
                <w:sz w:val="20"/>
              </w:rPr>
              <w:t>2013 ONCA 190</w:t>
            </w:r>
          </w:p>
          <w:p w:rsidR="00AB1504" w:rsidRPr="00DE1E45" w:rsidRDefault="00E672F1" w:rsidP="001A7F7C">
            <w:pPr>
              <w:jc w:val="both"/>
              <w:rPr>
                <w:rFonts w:eastAsia="Calibri"/>
                <w:sz w:val="20"/>
              </w:rPr>
            </w:pPr>
            <w:hyperlink r:id="rId39" w:history="1">
              <w:r w:rsidR="00AB1504" w:rsidRPr="00DE1E45">
                <w:rPr>
                  <w:rFonts w:eastAsia="Calibri"/>
                  <w:color w:val="0000FF"/>
                  <w:sz w:val="20"/>
                  <w:u w:val="single"/>
                </w:rPr>
                <w:t>http://canlii.ca/t/fwspf</w:t>
              </w:r>
            </w:hyperlink>
          </w:p>
          <w:p w:rsidR="00AB1504" w:rsidRPr="00DE1E45" w:rsidRDefault="00AB1504" w:rsidP="001A7F7C">
            <w:pPr>
              <w:jc w:val="both"/>
              <w:rPr>
                <w:rFonts w:eastAsia="Calibri"/>
                <w:sz w:val="20"/>
              </w:rPr>
            </w:pPr>
          </w:p>
        </w:tc>
        <w:tc>
          <w:tcPr>
            <w:tcW w:w="243" w:type="pct"/>
          </w:tcPr>
          <w:p w:rsidR="00AB1504" w:rsidRPr="00DE1E45" w:rsidRDefault="00AB1504" w:rsidP="001A7F7C">
            <w:pPr>
              <w:jc w:val="both"/>
              <w:rPr>
                <w:rFonts w:eastAsia="Calibri"/>
                <w:sz w:val="20"/>
              </w:rPr>
            </w:pPr>
          </w:p>
        </w:tc>
        <w:tc>
          <w:tcPr>
            <w:tcW w:w="2330" w:type="pct"/>
          </w:tcPr>
          <w:p w:rsidR="00AB1504" w:rsidRPr="00DE1E45" w:rsidRDefault="00AB1504" w:rsidP="001A7F7C">
            <w:pPr>
              <w:jc w:val="both"/>
              <w:rPr>
                <w:rFonts w:eastAsia="Calibri"/>
                <w:sz w:val="20"/>
              </w:rPr>
            </w:pPr>
            <w:r w:rsidRPr="00DE1E45">
              <w:rPr>
                <w:rFonts w:eastAsia="Calibri"/>
                <w:sz w:val="20"/>
              </w:rPr>
              <w:t>Appeal against conviction dismissed</w:t>
            </w:r>
          </w:p>
          <w:p w:rsidR="00AB1504" w:rsidRPr="00DE1E45" w:rsidRDefault="00AB1504" w:rsidP="001A7F7C">
            <w:pPr>
              <w:jc w:val="both"/>
              <w:rPr>
                <w:rFonts w:eastAsia="Calibri"/>
                <w:sz w:val="20"/>
              </w:rPr>
            </w:pPr>
          </w:p>
          <w:p w:rsidR="00AB1504" w:rsidRPr="00DE1E45" w:rsidRDefault="00AB1504" w:rsidP="001A7F7C">
            <w:pPr>
              <w:jc w:val="both"/>
              <w:rPr>
                <w:rFonts w:eastAsia="Calibri"/>
                <w:sz w:val="20"/>
              </w:rPr>
            </w:pPr>
          </w:p>
        </w:tc>
      </w:tr>
      <w:tr w:rsidR="00AB1504" w:rsidRPr="00DE1E45" w:rsidTr="001A7F7C">
        <w:tc>
          <w:tcPr>
            <w:tcW w:w="2427" w:type="pct"/>
          </w:tcPr>
          <w:p w:rsidR="00AB1504" w:rsidRPr="00DE1E45" w:rsidRDefault="00AB1504" w:rsidP="001A7F7C">
            <w:pPr>
              <w:jc w:val="both"/>
              <w:rPr>
                <w:rFonts w:eastAsia="Calibri"/>
                <w:sz w:val="20"/>
              </w:rPr>
            </w:pPr>
            <w:r w:rsidRPr="00DE1E45">
              <w:rPr>
                <w:rFonts w:eastAsia="Calibri"/>
                <w:sz w:val="20"/>
              </w:rPr>
              <w:t>September 20, 2013</w:t>
            </w:r>
          </w:p>
          <w:p w:rsidR="00AB1504" w:rsidRPr="00DE1E45" w:rsidRDefault="00AB1504" w:rsidP="000F366E">
            <w:pPr>
              <w:jc w:val="both"/>
              <w:rPr>
                <w:rFonts w:eastAsia="Calibri"/>
                <w:sz w:val="20"/>
              </w:rPr>
            </w:pPr>
            <w:r w:rsidRPr="00DE1E45">
              <w:rPr>
                <w:rFonts w:eastAsia="Calibri"/>
                <w:sz w:val="20"/>
              </w:rPr>
              <w:t>Supreme Court of Canada</w:t>
            </w:r>
          </w:p>
        </w:tc>
        <w:tc>
          <w:tcPr>
            <w:tcW w:w="243" w:type="pct"/>
          </w:tcPr>
          <w:p w:rsidR="00AB1504" w:rsidRPr="00DE1E45" w:rsidRDefault="00AB1504" w:rsidP="001A7F7C">
            <w:pPr>
              <w:jc w:val="both"/>
              <w:rPr>
                <w:rFonts w:eastAsia="Calibri"/>
                <w:sz w:val="20"/>
              </w:rPr>
            </w:pPr>
          </w:p>
        </w:tc>
        <w:tc>
          <w:tcPr>
            <w:tcW w:w="2330" w:type="pct"/>
          </w:tcPr>
          <w:p w:rsidR="00AB1504" w:rsidRPr="00DE1E45" w:rsidRDefault="00AB1504" w:rsidP="001A7F7C">
            <w:pPr>
              <w:jc w:val="both"/>
              <w:rPr>
                <w:rFonts w:eastAsia="Calibri"/>
                <w:sz w:val="20"/>
              </w:rPr>
            </w:pPr>
            <w:r w:rsidRPr="00DE1E45">
              <w:rPr>
                <w:rFonts w:eastAsia="Calibri"/>
                <w:sz w:val="20"/>
              </w:rPr>
              <w:t>Application for leave to appeal filed</w:t>
            </w:r>
          </w:p>
          <w:p w:rsidR="00AB1504" w:rsidRPr="00DE1E45" w:rsidRDefault="00AB1504" w:rsidP="001A7F7C">
            <w:pPr>
              <w:jc w:val="both"/>
              <w:rPr>
                <w:rFonts w:eastAsia="Calibri"/>
                <w:sz w:val="20"/>
              </w:rPr>
            </w:pPr>
          </w:p>
        </w:tc>
      </w:tr>
    </w:tbl>
    <w:p w:rsidR="000F366E" w:rsidRDefault="000F366E"/>
    <w:p w:rsidR="000F366E" w:rsidRDefault="000F366E">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1504" w:rsidRPr="00DE1E45" w:rsidTr="001A7F7C">
        <w:tc>
          <w:tcPr>
            <w:tcW w:w="2427" w:type="pct"/>
          </w:tcPr>
          <w:p w:rsidR="00AB1504" w:rsidRPr="00DE1E45" w:rsidRDefault="00AB1504" w:rsidP="001A7F7C">
            <w:pPr>
              <w:jc w:val="both"/>
              <w:rPr>
                <w:rFonts w:eastAsia="Calibri"/>
                <w:sz w:val="20"/>
              </w:rPr>
            </w:pPr>
            <w:r w:rsidRPr="00DE1E45">
              <w:rPr>
                <w:rFonts w:eastAsia="Calibri"/>
                <w:sz w:val="20"/>
              </w:rPr>
              <w:lastRenderedPageBreak/>
              <w:t>September 23, 2013</w:t>
            </w:r>
          </w:p>
          <w:p w:rsidR="00AB1504" w:rsidRPr="00DE1E45" w:rsidRDefault="00AB1504" w:rsidP="001A7F7C">
            <w:pPr>
              <w:jc w:val="both"/>
              <w:rPr>
                <w:rFonts w:eastAsia="Calibri"/>
                <w:sz w:val="20"/>
              </w:rPr>
            </w:pPr>
            <w:r w:rsidRPr="00DE1E45">
              <w:rPr>
                <w:rFonts w:eastAsia="Calibri"/>
                <w:sz w:val="20"/>
              </w:rPr>
              <w:t>Supreme Court of Canada</w:t>
            </w:r>
          </w:p>
        </w:tc>
        <w:tc>
          <w:tcPr>
            <w:tcW w:w="243" w:type="pct"/>
          </w:tcPr>
          <w:p w:rsidR="00AB1504" w:rsidRPr="00DE1E45" w:rsidRDefault="00AB1504" w:rsidP="001A7F7C">
            <w:pPr>
              <w:jc w:val="both"/>
              <w:rPr>
                <w:rFonts w:eastAsia="Calibri"/>
                <w:sz w:val="20"/>
              </w:rPr>
            </w:pPr>
          </w:p>
        </w:tc>
        <w:tc>
          <w:tcPr>
            <w:tcW w:w="2330" w:type="pct"/>
          </w:tcPr>
          <w:p w:rsidR="00AB1504" w:rsidRPr="00DE1E45" w:rsidRDefault="00AB1504" w:rsidP="001A7F7C">
            <w:pPr>
              <w:jc w:val="both"/>
              <w:rPr>
                <w:rFonts w:eastAsia="Calibri"/>
                <w:sz w:val="20"/>
              </w:rPr>
            </w:pPr>
            <w:r w:rsidRPr="00DE1E45">
              <w:rPr>
                <w:rFonts w:eastAsia="Calibri"/>
                <w:sz w:val="20"/>
              </w:rPr>
              <w:t>Motion for an extension of time to serve and file the application for leave to appeal filed</w:t>
            </w:r>
          </w:p>
        </w:tc>
      </w:tr>
    </w:tbl>
    <w:p w:rsidR="0010221A" w:rsidRDefault="0010221A" w:rsidP="0010221A">
      <w:pPr>
        <w:rPr>
          <w:sz w:val="20"/>
          <w:szCs w:val="20"/>
        </w:rPr>
      </w:pPr>
    </w:p>
    <w:p w:rsidR="0010221A" w:rsidRPr="00C50A5C" w:rsidRDefault="00E672F1" w:rsidP="0010221A">
      <w:pPr>
        <w:rPr>
          <w:sz w:val="20"/>
          <w:szCs w:val="20"/>
        </w:rPr>
      </w:pPr>
      <w:r>
        <w:rPr>
          <w:sz w:val="20"/>
          <w:szCs w:val="20"/>
          <w:lang w:val="fr-CA"/>
        </w:rPr>
        <w:pict>
          <v:rect id="_x0000_i1048" style="width:2in;height:1pt" o:hrpct="0" o:hralign="center" o:hrstd="t" o:hrnoshade="t" o:hr="t" fillcolor="black [3213]" stroked="f"/>
        </w:pict>
      </w:r>
    </w:p>
    <w:p w:rsidR="0010221A" w:rsidRDefault="0010221A" w:rsidP="0010221A">
      <w:pPr>
        <w:rPr>
          <w:sz w:val="20"/>
          <w:szCs w:val="20"/>
        </w:rPr>
      </w:pPr>
    </w:p>
    <w:p w:rsidR="0010221A" w:rsidRPr="001B157C" w:rsidRDefault="0010221A" w:rsidP="0010221A">
      <w:pPr>
        <w:rPr>
          <w:sz w:val="20"/>
          <w:szCs w:val="20"/>
          <w:u w:val="single"/>
          <w:lang w:val="fr-CA"/>
        </w:rPr>
      </w:pPr>
      <w:r w:rsidRPr="001B157C">
        <w:rPr>
          <w:sz w:val="20"/>
          <w:szCs w:val="20"/>
          <w:u w:val="single"/>
          <w:lang w:val="fr-CA"/>
        </w:rPr>
        <w:t>RÉSUMÉ DE L’AFFAIRE</w:t>
      </w:r>
    </w:p>
    <w:p w:rsidR="0010221A" w:rsidRDefault="0010221A" w:rsidP="0010221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1504" w:rsidRPr="00E672F1" w:rsidTr="001A7F7C">
        <w:tc>
          <w:tcPr>
            <w:tcW w:w="5000" w:type="pct"/>
            <w:gridSpan w:val="3"/>
          </w:tcPr>
          <w:p w:rsidR="00AB1504" w:rsidRPr="00DE1E45" w:rsidRDefault="00AB1504" w:rsidP="001A7F7C">
            <w:pPr>
              <w:jc w:val="both"/>
              <w:rPr>
                <w:rFonts w:eastAsia="Calibri"/>
                <w:sz w:val="20"/>
                <w:lang w:val="fr-CA"/>
              </w:rPr>
            </w:pPr>
            <w:r w:rsidRPr="00DE1E45">
              <w:rPr>
                <w:rFonts w:eastAsia="Calibri"/>
                <w:i/>
                <w:sz w:val="20"/>
                <w:lang w:val="fr-CA"/>
              </w:rPr>
              <w:t xml:space="preserve">Charte des droits </w:t>
            </w:r>
            <w:r w:rsidRPr="00DE1E45">
              <w:rPr>
                <w:rFonts w:eastAsia="Calibri"/>
                <w:sz w:val="20"/>
                <w:lang w:val="fr-CA"/>
              </w:rPr>
              <w:t>– Liberté de religion – Droit à la liberté – Droit criminel – Preuve – Admissibilité – La Cour d’appel a-t-elle commis une erreur de droit en concluant à l’admissibilité en preuve des déclarations faites à un agent d’infiltration se faisant passer pour un conseiller religieux, et résultant du recours à des images, préceptes et rituels religieux? La Cour d’appel a-t-elle conclu à tort que les déclarations n’avaient pas été obtenues en violation du droit à la liberté de religion garanti au demandeur par l’al. 2</w:t>
            </w:r>
            <w:r w:rsidRPr="00DE1E45">
              <w:rPr>
                <w:rFonts w:eastAsia="Calibri"/>
                <w:i/>
                <w:sz w:val="20"/>
                <w:lang w:val="fr-CA"/>
              </w:rPr>
              <w:t>a</w:t>
            </w:r>
            <w:r w:rsidRPr="00DE1E45">
              <w:rPr>
                <w:rFonts w:eastAsia="Calibri"/>
                <w:sz w:val="20"/>
                <w:lang w:val="fr-CA"/>
              </w:rPr>
              <w:t xml:space="preserve">) de la </w:t>
            </w:r>
            <w:r w:rsidRPr="00DE1E45">
              <w:rPr>
                <w:rFonts w:eastAsia="Calibri"/>
                <w:i/>
                <w:sz w:val="20"/>
                <w:lang w:val="fr-CA"/>
              </w:rPr>
              <w:t>Charte</w:t>
            </w:r>
            <w:r w:rsidRPr="00DE1E45">
              <w:rPr>
                <w:rFonts w:eastAsia="Calibri"/>
                <w:sz w:val="20"/>
                <w:lang w:val="fr-CA"/>
              </w:rPr>
              <w:t xml:space="preserve">? – La Cour d’appel a-t-elle conclu à tort que la police n’avait pas obtenu les déclarations au moyen d’un artifice répréhensible, les rendant ainsi inadmissibles? – La Cour d’appel a-t-elle fait erreur en concluant que les déclarations ne constituaient pas des communications protégées? – La Cour d’appel a-t-elle conclu à tort que les déclarations n’avaient pas été obtenues en violation du droit du demandeur à ce qu’il ne soit porté atteinte à sa liberté qu’en conformité avec les principes de justice fondamentale, contrairement à l’art. 7 de la </w:t>
            </w:r>
            <w:r w:rsidRPr="00DE1E45">
              <w:rPr>
                <w:rFonts w:eastAsia="Calibri"/>
                <w:i/>
                <w:sz w:val="20"/>
                <w:lang w:val="fr-CA"/>
              </w:rPr>
              <w:t>Charte</w:t>
            </w:r>
            <w:r w:rsidRPr="00DE1E45">
              <w:rPr>
                <w:rFonts w:eastAsia="Calibri"/>
                <w:sz w:val="20"/>
                <w:lang w:val="fr-CA"/>
              </w:rPr>
              <w:t>? – al 2</w:t>
            </w:r>
            <w:r w:rsidRPr="00DE1E45">
              <w:rPr>
                <w:rFonts w:eastAsia="Calibri"/>
                <w:i/>
                <w:sz w:val="20"/>
                <w:lang w:val="fr-CA"/>
              </w:rPr>
              <w:t>a</w:t>
            </w:r>
            <w:r w:rsidRPr="00DE1E45">
              <w:rPr>
                <w:rFonts w:eastAsia="Calibri"/>
                <w:sz w:val="20"/>
                <w:lang w:val="fr-CA"/>
              </w:rPr>
              <w:t xml:space="preserve">), art. 7 de la </w:t>
            </w:r>
            <w:r w:rsidRPr="00DE1E45">
              <w:rPr>
                <w:rFonts w:eastAsia="Calibri"/>
                <w:i/>
                <w:sz w:val="20"/>
                <w:lang w:val="fr-CA"/>
              </w:rPr>
              <w:t>Charte</w:t>
            </w:r>
            <w:r w:rsidRPr="00DE1E45">
              <w:rPr>
                <w:rFonts w:eastAsia="Calibri"/>
                <w:sz w:val="20"/>
                <w:lang w:val="fr-CA"/>
              </w:rPr>
              <w:t>.</w:t>
            </w:r>
          </w:p>
        </w:tc>
      </w:tr>
      <w:tr w:rsidR="00AB1504" w:rsidRPr="00E672F1" w:rsidTr="001A7F7C">
        <w:tc>
          <w:tcPr>
            <w:tcW w:w="5000" w:type="pct"/>
            <w:gridSpan w:val="3"/>
          </w:tcPr>
          <w:p w:rsidR="00AB1504" w:rsidRPr="00DE1E45" w:rsidRDefault="00AB1504" w:rsidP="001A7F7C">
            <w:pPr>
              <w:jc w:val="both"/>
              <w:rPr>
                <w:rFonts w:eastAsia="Calibri"/>
                <w:sz w:val="20"/>
                <w:lang w:val="fr-CA"/>
              </w:rPr>
            </w:pPr>
          </w:p>
        </w:tc>
      </w:tr>
      <w:tr w:rsidR="00AB1504" w:rsidRPr="00E672F1" w:rsidTr="001A7F7C">
        <w:tc>
          <w:tcPr>
            <w:tcW w:w="5000" w:type="pct"/>
            <w:gridSpan w:val="3"/>
          </w:tcPr>
          <w:p w:rsidR="00AB1504" w:rsidRPr="00DE1E45" w:rsidRDefault="00AB1504" w:rsidP="001A7F7C">
            <w:pPr>
              <w:jc w:val="both"/>
              <w:rPr>
                <w:rFonts w:eastAsia="Calibri"/>
                <w:sz w:val="20"/>
                <w:lang w:val="fr-CA"/>
              </w:rPr>
            </w:pPr>
            <w:r w:rsidRPr="00DE1E45">
              <w:rPr>
                <w:rFonts w:eastAsia="Calibri"/>
                <w:sz w:val="20"/>
                <w:lang w:val="fr-CA"/>
              </w:rPr>
              <w:t>Le demandeur a été reconnu coupable de meurtre au premier degré au terme d’un procès devant juge et jury.  Un appel formé contre la déclaration de culpabilité a été rejeté.</w:t>
            </w:r>
          </w:p>
          <w:p w:rsidR="00AB1504" w:rsidRPr="00DE1E45" w:rsidRDefault="00AB1504" w:rsidP="001A7F7C">
            <w:pPr>
              <w:jc w:val="both"/>
              <w:rPr>
                <w:rFonts w:eastAsia="Calibri"/>
                <w:sz w:val="20"/>
                <w:lang w:val="fr-CA"/>
              </w:rPr>
            </w:pPr>
          </w:p>
        </w:tc>
      </w:tr>
      <w:tr w:rsidR="00AB1504" w:rsidRPr="00E672F1" w:rsidTr="001A7F7C">
        <w:tc>
          <w:tcPr>
            <w:tcW w:w="2427" w:type="pct"/>
          </w:tcPr>
          <w:p w:rsidR="00AB1504" w:rsidRPr="00DE1E45" w:rsidRDefault="00AB1504" w:rsidP="001A7F7C">
            <w:pPr>
              <w:jc w:val="both"/>
              <w:rPr>
                <w:rFonts w:eastAsia="Calibri"/>
                <w:sz w:val="20"/>
                <w:lang w:val="fr-CA"/>
              </w:rPr>
            </w:pPr>
            <w:r w:rsidRPr="00DE1E45">
              <w:rPr>
                <w:rFonts w:eastAsia="Calibri"/>
                <w:sz w:val="20"/>
                <w:lang w:val="fr-CA"/>
              </w:rPr>
              <w:t>23 août 2007</w:t>
            </w:r>
          </w:p>
          <w:p w:rsidR="00AB1504" w:rsidRPr="00DE1E45" w:rsidRDefault="00AB1504" w:rsidP="001A7F7C">
            <w:pPr>
              <w:jc w:val="both"/>
              <w:rPr>
                <w:rFonts w:eastAsia="Calibri"/>
                <w:sz w:val="20"/>
                <w:lang w:val="fr-CA"/>
              </w:rPr>
            </w:pPr>
            <w:r w:rsidRPr="00DE1E45">
              <w:rPr>
                <w:rFonts w:eastAsia="Calibri"/>
                <w:sz w:val="20"/>
                <w:lang w:val="fr-CA"/>
              </w:rPr>
              <w:t xml:space="preserve">Cour supérieure de justice de l’Ontario </w:t>
            </w:r>
          </w:p>
          <w:p w:rsidR="00AB1504" w:rsidRPr="00DE1E45" w:rsidRDefault="00AB1504" w:rsidP="001A7F7C">
            <w:pPr>
              <w:jc w:val="both"/>
              <w:rPr>
                <w:rFonts w:eastAsia="Calibri"/>
                <w:sz w:val="20"/>
                <w:lang w:val="fr-CA"/>
              </w:rPr>
            </w:pPr>
            <w:r w:rsidRPr="00DE1E45">
              <w:rPr>
                <w:rFonts w:eastAsia="Calibri"/>
                <w:sz w:val="20"/>
                <w:lang w:val="fr-CA"/>
              </w:rPr>
              <w:t>(Juge O'Connor)</w:t>
            </w:r>
          </w:p>
          <w:p w:rsidR="00AB1504" w:rsidRPr="00DE1E45" w:rsidRDefault="00AB1504" w:rsidP="001A7F7C">
            <w:pPr>
              <w:jc w:val="both"/>
              <w:rPr>
                <w:rFonts w:eastAsia="Calibri"/>
                <w:sz w:val="20"/>
                <w:lang w:val="fr-CA"/>
              </w:rPr>
            </w:pPr>
            <w:r w:rsidRPr="00DE1E45">
              <w:rPr>
                <w:rFonts w:eastAsia="Calibri"/>
                <w:sz w:val="20"/>
                <w:lang w:val="fr-CA"/>
              </w:rPr>
              <w:t xml:space="preserve">Référence neutre : </w:t>
            </w:r>
          </w:p>
          <w:p w:rsidR="00AB1504" w:rsidRPr="00DE1E45" w:rsidRDefault="000505AD" w:rsidP="001A7F7C">
            <w:pPr>
              <w:jc w:val="both"/>
              <w:rPr>
                <w:rFonts w:eastAsia="Calibri"/>
                <w:sz w:val="20"/>
                <w:lang w:val="fr-CA"/>
              </w:rPr>
            </w:pPr>
            <w:hyperlink r:id="rId40" w:history="1">
              <w:r w:rsidR="00AB1504" w:rsidRPr="00DE1E45">
                <w:rPr>
                  <w:rFonts w:eastAsia="Calibri"/>
                  <w:color w:val="0000FF"/>
                  <w:sz w:val="20"/>
                  <w:u w:val="single"/>
                  <w:lang w:val="fr-CA"/>
                </w:rPr>
                <w:t>http://canlii.ca/t/1t1q7</w:t>
              </w:r>
            </w:hyperlink>
          </w:p>
          <w:p w:rsidR="00AB1504" w:rsidRPr="00DE1E45" w:rsidRDefault="00AB1504" w:rsidP="001A7F7C">
            <w:pPr>
              <w:jc w:val="both"/>
              <w:rPr>
                <w:rFonts w:eastAsia="Calibri"/>
                <w:sz w:val="20"/>
                <w:lang w:val="fr-CA"/>
              </w:rPr>
            </w:pPr>
          </w:p>
        </w:tc>
        <w:tc>
          <w:tcPr>
            <w:tcW w:w="243" w:type="pct"/>
          </w:tcPr>
          <w:p w:rsidR="00AB1504" w:rsidRPr="00DE1E45" w:rsidRDefault="00AB1504" w:rsidP="001A7F7C">
            <w:pPr>
              <w:jc w:val="both"/>
              <w:rPr>
                <w:rFonts w:eastAsia="Calibri"/>
                <w:sz w:val="20"/>
                <w:lang w:val="fr-CA"/>
              </w:rPr>
            </w:pPr>
          </w:p>
        </w:tc>
        <w:tc>
          <w:tcPr>
            <w:tcW w:w="2330" w:type="pct"/>
          </w:tcPr>
          <w:p w:rsidR="00AB1504" w:rsidRPr="00DE1E45" w:rsidRDefault="00AB1504" w:rsidP="001A7F7C">
            <w:pPr>
              <w:jc w:val="both"/>
              <w:rPr>
                <w:rFonts w:eastAsia="Calibri"/>
                <w:sz w:val="20"/>
                <w:lang w:val="fr-CA"/>
              </w:rPr>
            </w:pPr>
            <w:r w:rsidRPr="00DE1E45">
              <w:rPr>
                <w:rFonts w:eastAsia="Calibri"/>
                <w:sz w:val="20"/>
                <w:lang w:val="fr-CA"/>
              </w:rPr>
              <w:t>Décision sur la demande d’exclusion de certains éléments de preuve au procès</w:t>
            </w:r>
          </w:p>
          <w:p w:rsidR="00AB1504" w:rsidRPr="00DE1E45" w:rsidRDefault="00AB1504" w:rsidP="001A7F7C">
            <w:pPr>
              <w:jc w:val="both"/>
              <w:rPr>
                <w:rFonts w:eastAsia="Calibri"/>
                <w:sz w:val="20"/>
                <w:lang w:val="fr-CA"/>
              </w:rPr>
            </w:pPr>
          </w:p>
        </w:tc>
      </w:tr>
      <w:tr w:rsidR="00AB1504" w:rsidRPr="00E672F1" w:rsidTr="001A7F7C">
        <w:tc>
          <w:tcPr>
            <w:tcW w:w="2427" w:type="pct"/>
          </w:tcPr>
          <w:p w:rsidR="00AB1504" w:rsidRPr="00DE1E45" w:rsidRDefault="00AB1504" w:rsidP="001A7F7C">
            <w:pPr>
              <w:jc w:val="both"/>
              <w:rPr>
                <w:rFonts w:eastAsia="Calibri"/>
                <w:sz w:val="20"/>
                <w:lang w:val="fr-CA"/>
              </w:rPr>
            </w:pPr>
            <w:r w:rsidRPr="00DE1E45">
              <w:rPr>
                <w:rFonts w:eastAsia="Calibri"/>
                <w:sz w:val="20"/>
                <w:lang w:val="fr-CA"/>
              </w:rPr>
              <w:t>15 février 2008</w:t>
            </w:r>
          </w:p>
          <w:p w:rsidR="00AB1504" w:rsidRPr="00DE1E45" w:rsidRDefault="00AB1504" w:rsidP="001A7F7C">
            <w:pPr>
              <w:jc w:val="both"/>
              <w:rPr>
                <w:rFonts w:eastAsia="Calibri"/>
                <w:sz w:val="20"/>
                <w:lang w:val="fr-CA"/>
              </w:rPr>
            </w:pPr>
            <w:r w:rsidRPr="00DE1E45">
              <w:rPr>
                <w:rFonts w:eastAsia="Calibri"/>
                <w:sz w:val="20"/>
                <w:lang w:val="fr-CA"/>
              </w:rPr>
              <w:t xml:space="preserve">Cour supérieure de justice de l’Ontario </w:t>
            </w:r>
          </w:p>
          <w:p w:rsidR="00AB1504" w:rsidRPr="00DE1E45" w:rsidRDefault="00AB1504" w:rsidP="001A7F7C">
            <w:pPr>
              <w:jc w:val="both"/>
              <w:rPr>
                <w:rFonts w:eastAsia="Calibri"/>
                <w:sz w:val="20"/>
              </w:rPr>
            </w:pPr>
            <w:r w:rsidRPr="00DE1E45">
              <w:rPr>
                <w:rFonts w:eastAsia="Calibri"/>
                <w:sz w:val="20"/>
              </w:rPr>
              <w:t>(Juge O'Connor)</w:t>
            </w:r>
          </w:p>
          <w:p w:rsidR="00AB1504" w:rsidRPr="00DE1E45" w:rsidRDefault="00AB1504" w:rsidP="001A7F7C">
            <w:pPr>
              <w:jc w:val="both"/>
              <w:rPr>
                <w:rFonts w:eastAsia="Calibri"/>
                <w:sz w:val="20"/>
              </w:rPr>
            </w:pPr>
          </w:p>
        </w:tc>
        <w:tc>
          <w:tcPr>
            <w:tcW w:w="243" w:type="pct"/>
          </w:tcPr>
          <w:p w:rsidR="00AB1504" w:rsidRPr="00DE1E45" w:rsidRDefault="00AB1504" w:rsidP="001A7F7C">
            <w:pPr>
              <w:jc w:val="both"/>
              <w:rPr>
                <w:rFonts w:eastAsia="Calibri"/>
                <w:sz w:val="20"/>
              </w:rPr>
            </w:pPr>
          </w:p>
        </w:tc>
        <w:tc>
          <w:tcPr>
            <w:tcW w:w="2330" w:type="pct"/>
          </w:tcPr>
          <w:p w:rsidR="00AB1504" w:rsidRPr="00DE1E45" w:rsidRDefault="00AB1504" w:rsidP="001A7F7C">
            <w:pPr>
              <w:jc w:val="both"/>
              <w:rPr>
                <w:rFonts w:eastAsia="Calibri"/>
                <w:sz w:val="20"/>
                <w:lang w:val="fr-CA"/>
              </w:rPr>
            </w:pPr>
            <w:r w:rsidRPr="00DE1E45">
              <w:rPr>
                <w:rFonts w:eastAsia="Calibri"/>
                <w:sz w:val="20"/>
                <w:lang w:val="fr-CA"/>
              </w:rPr>
              <w:t xml:space="preserve">Déclaration de culpabilité pour meurtre au premier degré </w:t>
            </w:r>
          </w:p>
          <w:p w:rsidR="00AB1504" w:rsidRPr="00DE1E45" w:rsidRDefault="00AB1504" w:rsidP="001A7F7C">
            <w:pPr>
              <w:jc w:val="both"/>
              <w:rPr>
                <w:rFonts w:eastAsia="Calibri"/>
                <w:sz w:val="20"/>
                <w:lang w:val="fr-CA"/>
              </w:rPr>
            </w:pPr>
          </w:p>
          <w:p w:rsidR="00AB1504" w:rsidRPr="00DE1E45" w:rsidRDefault="00AB1504" w:rsidP="001A7F7C">
            <w:pPr>
              <w:jc w:val="both"/>
              <w:rPr>
                <w:rFonts w:eastAsia="Calibri"/>
                <w:sz w:val="20"/>
                <w:lang w:val="fr-CA"/>
              </w:rPr>
            </w:pPr>
          </w:p>
          <w:p w:rsidR="00AB1504" w:rsidRPr="00DE1E45" w:rsidRDefault="00AB1504" w:rsidP="001A7F7C">
            <w:pPr>
              <w:jc w:val="both"/>
              <w:rPr>
                <w:rFonts w:eastAsia="Calibri"/>
                <w:sz w:val="20"/>
                <w:lang w:val="fr-CA"/>
              </w:rPr>
            </w:pPr>
          </w:p>
        </w:tc>
      </w:tr>
      <w:tr w:rsidR="00AB1504" w:rsidRPr="00E672F1" w:rsidTr="001A7F7C">
        <w:tc>
          <w:tcPr>
            <w:tcW w:w="2427" w:type="pct"/>
          </w:tcPr>
          <w:p w:rsidR="00AB1504" w:rsidRPr="00DE1E45" w:rsidRDefault="00AB1504" w:rsidP="001A7F7C">
            <w:pPr>
              <w:jc w:val="both"/>
              <w:rPr>
                <w:rFonts w:eastAsia="Calibri"/>
                <w:sz w:val="20"/>
                <w:lang w:val="fr-CA"/>
              </w:rPr>
            </w:pPr>
            <w:r w:rsidRPr="00DE1E45">
              <w:rPr>
                <w:rFonts w:eastAsia="Calibri"/>
                <w:sz w:val="20"/>
                <w:lang w:val="fr-CA"/>
              </w:rPr>
              <w:t>2 avril 2013</w:t>
            </w:r>
          </w:p>
          <w:p w:rsidR="00AB1504" w:rsidRPr="00DE1E45" w:rsidRDefault="00AB1504" w:rsidP="001A7F7C">
            <w:pPr>
              <w:jc w:val="both"/>
              <w:rPr>
                <w:rFonts w:eastAsia="Calibri"/>
                <w:sz w:val="20"/>
                <w:lang w:val="fr-CA"/>
              </w:rPr>
            </w:pPr>
            <w:r w:rsidRPr="00DE1E45">
              <w:rPr>
                <w:rFonts w:eastAsia="Calibri"/>
                <w:sz w:val="20"/>
                <w:lang w:val="fr-CA"/>
              </w:rPr>
              <w:t>Cour d’appel de l’Ontario</w:t>
            </w:r>
          </w:p>
          <w:p w:rsidR="00AB1504" w:rsidRPr="00DE1E45" w:rsidRDefault="00AB1504" w:rsidP="001A7F7C">
            <w:pPr>
              <w:jc w:val="both"/>
              <w:rPr>
                <w:rFonts w:eastAsia="Calibri"/>
                <w:sz w:val="20"/>
                <w:lang w:val="fr-CA"/>
              </w:rPr>
            </w:pPr>
            <w:r w:rsidRPr="00DE1E45">
              <w:rPr>
                <w:rFonts w:eastAsia="Calibri"/>
                <w:sz w:val="20"/>
                <w:lang w:val="fr-CA"/>
              </w:rPr>
              <w:t>(Juges Rosenberg, Sharpe et MacFarland)</w:t>
            </w:r>
          </w:p>
          <w:p w:rsidR="00AB1504" w:rsidRPr="00DE1E45" w:rsidRDefault="00AB1504" w:rsidP="001A7F7C">
            <w:pPr>
              <w:jc w:val="both"/>
              <w:rPr>
                <w:rFonts w:eastAsia="Calibri"/>
                <w:sz w:val="20"/>
              </w:rPr>
            </w:pPr>
            <w:r w:rsidRPr="00DE1E45">
              <w:rPr>
                <w:rFonts w:eastAsia="Calibri"/>
                <w:sz w:val="20"/>
              </w:rPr>
              <w:t>2013 ONCA 190</w:t>
            </w:r>
          </w:p>
          <w:p w:rsidR="00AB1504" w:rsidRPr="00DE1E45" w:rsidRDefault="00E672F1" w:rsidP="001A7F7C">
            <w:pPr>
              <w:jc w:val="both"/>
              <w:rPr>
                <w:rFonts w:eastAsia="Calibri"/>
                <w:sz w:val="20"/>
              </w:rPr>
            </w:pPr>
            <w:hyperlink r:id="rId41" w:history="1">
              <w:r w:rsidR="00AB1504" w:rsidRPr="00DE1E45">
                <w:rPr>
                  <w:rFonts w:eastAsia="Calibri"/>
                  <w:color w:val="0000FF"/>
                  <w:sz w:val="20"/>
                  <w:u w:val="single"/>
                </w:rPr>
                <w:t>http://canlii.ca/t/fwspf</w:t>
              </w:r>
            </w:hyperlink>
          </w:p>
          <w:p w:rsidR="00AB1504" w:rsidRPr="00DE1E45" w:rsidRDefault="00AB1504" w:rsidP="001A7F7C">
            <w:pPr>
              <w:jc w:val="both"/>
              <w:rPr>
                <w:rFonts w:eastAsia="Calibri"/>
                <w:sz w:val="20"/>
              </w:rPr>
            </w:pPr>
          </w:p>
        </w:tc>
        <w:tc>
          <w:tcPr>
            <w:tcW w:w="243" w:type="pct"/>
          </w:tcPr>
          <w:p w:rsidR="00AB1504" w:rsidRPr="00DE1E45" w:rsidRDefault="00AB1504" w:rsidP="001A7F7C">
            <w:pPr>
              <w:jc w:val="both"/>
              <w:rPr>
                <w:rFonts w:eastAsia="Calibri"/>
                <w:sz w:val="20"/>
              </w:rPr>
            </w:pPr>
          </w:p>
        </w:tc>
        <w:tc>
          <w:tcPr>
            <w:tcW w:w="2330" w:type="pct"/>
          </w:tcPr>
          <w:p w:rsidR="00AB1504" w:rsidRPr="00DE1E45" w:rsidRDefault="00AB1504" w:rsidP="001A7F7C">
            <w:pPr>
              <w:jc w:val="both"/>
              <w:rPr>
                <w:rFonts w:eastAsia="Calibri"/>
                <w:sz w:val="20"/>
                <w:lang w:val="fr-CA"/>
              </w:rPr>
            </w:pPr>
            <w:r w:rsidRPr="00DE1E45">
              <w:rPr>
                <w:rFonts w:eastAsia="Calibri"/>
                <w:sz w:val="20"/>
                <w:lang w:val="fr-CA"/>
              </w:rPr>
              <w:t>Appel de la déclaration de culpabilité rejeté</w:t>
            </w:r>
          </w:p>
          <w:p w:rsidR="00AB1504" w:rsidRPr="00DE1E45" w:rsidRDefault="00AB1504" w:rsidP="001A7F7C">
            <w:pPr>
              <w:jc w:val="both"/>
              <w:rPr>
                <w:rFonts w:eastAsia="Calibri"/>
                <w:sz w:val="20"/>
                <w:lang w:val="fr-CA"/>
              </w:rPr>
            </w:pPr>
          </w:p>
          <w:p w:rsidR="00AB1504" w:rsidRPr="00DE1E45" w:rsidRDefault="00AB1504" w:rsidP="001A7F7C">
            <w:pPr>
              <w:jc w:val="both"/>
              <w:rPr>
                <w:rFonts w:eastAsia="Calibri"/>
                <w:sz w:val="20"/>
                <w:lang w:val="fr-CA"/>
              </w:rPr>
            </w:pPr>
          </w:p>
        </w:tc>
      </w:tr>
      <w:tr w:rsidR="00AB1504" w:rsidRPr="00DE1E45" w:rsidTr="001A7F7C">
        <w:tc>
          <w:tcPr>
            <w:tcW w:w="2427" w:type="pct"/>
          </w:tcPr>
          <w:p w:rsidR="00AB1504" w:rsidRPr="00DE1E45" w:rsidRDefault="00AB1504" w:rsidP="001A7F7C">
            <w:pPr>
              <w:jc w:val="both"/>
              <w:rPr>
                <w:rFonts w:eastAsia="Calibri"/>
                <w:sz w:val="20"/>
              </w:rPr>
            </w:pPr>
            <w:r w:rsidRPr="00DE1E45">
              <w:rPr>
                <w:rFonts w:eastAsia="Calibri"/>
                <w:sz w:val="20"/>
              </w:rPr>
              <w:t>20 septembre 2013</w:t>
            </w:r>
          </w:p>
          <w:p w:rsidR="00AB1504" w:rsidRPr="00DE1E45" w:rsidRDefault="00AB1504" w:rsidP="001A7F7C">
            <w:pPr>
              <w:jc w:val="both"/>
              <w:rPr>
                <w:rFonts w:eastAsia="Calibri"/>
                <w:sz w:val="20"/>
              </w:rPr>
            </w:pPr>
            <w:r w:rsidRPr="00DE1E45">
              <w:rPr>
                <w:rFonts w:eastAsia="Calibri"/>
                <w:sz w:val="20"/>
              </w:rPr>
              <w:t>Cour suprême du Canada</w:t>
            </w:r>
          </w:p>
          <w:p w:rsidR="00AB1504" w:rsidRPr="00DE1E45" w:rsidRDefault="00AB1504" w:rsidP="001A7F7C">
            <w:pPr>
              <w:jc w:val="both"/>
              <w:rPr>
                <w:rFonts w:eastAsia="Calibri"/>
                <w:sz w:val="20"/>
              </w:rPr>
            </w:pPr>
          </w:p>
        </w:tc>
        <w:tc>
          <w:tcPr>
            <w:tcW w:w="243" w:type="pct"/>
          </w:tcPr>
          <w:p w:rsidR="00AB1504" w:rsidRPr="00DE1E45" w:rsidRDefault="00AB1504" w:rsidP="001A7F7C">
            <w:pPr>
              <w:jc w:val="both"/>
              <w:rPr>
                <w:rFonts w:eastAsia="Calibri"/>
                <w:sz w:val="20"/>
              </w:rPr>
            </w:pPr>
          </w:p>
        </w:tc>
        <w:tc>
          <w:tcPr>
            <w:tcW w:w="2330" w:type="pct"/>
          </w:tcPr>
          <w:p w:rsidR="00AB1504" w:rsidRPr="00DE1E45" w:rsidRDefault="00AB1504" w:rsidP="001A7F7C">
            <w:pPr>
              <w:jc w:val="both"/>
              <w:rPr>
                <w:rFonts w:eastAsia="Calibri"/>
                <w:sz w:val="20"/>
              </w:rPr>
            </w:pPr>
            <w:r w:rsidRPr="00DE1E45">
              <w:rPr>
                <w:rFonts w:eastAsia="Calibri"/>
                <w:sz w:val="20"/>
              </w:rPr>
              <w:t xml:space="preserve">Demande d’autorisation d’appel déposée </w:t>
            </w:r>
          </w:p>
          <w:p w:rsidR="00AB1504" w:rsidRPr="00DE1E45" w:rsidRDefault="00AB1504" w:rsidP="001A7F7C">
            <w:pPr>
              <w:jc w:val="both"/>
              <w:rPr>
                <w:rFonts w:eastAsia="Calibri"/>
                <w:sz w:val="20"/>
              </w:rPr>
            </w:pPr>
          </w:p>
        </w:tc>
      </w:tr>
      <w:tr w:rsidR="00AB1504" w:rsidRPr="00E672F1" w:rsidTr="001A7F7C">
        <w:tc>
          <w:tcPr>
            <w:tcW w:w="2427" w:type="pct"/>
          </w:tcPr>
          <w:p w:rsidR="00AB1504" w:rsidRPr="00DE1E45" w:rsidRDefault="00AB1504" w:rsidP="001A7F7C">
            <w:pPr>
              <w:jc w:val="both"/>
              <w:rPr>
                <w:rFonts w:eastAsia="Calibri"/>
                <w:sz w:val="20"/>
                <w:lang w:val="fr-CA"/>
              </w:rPr>
            </w:pPr>
            <w:r w:rsidRPr="00DE1E45">
              <w:rPr>
                <w:rFonts w:eastAsia="Calibri"/>
                <w:sz w:val="20"/>
                <w:lang w:val="fr-CA"/>
              </w:rPr>
              <w:t>23 septembre 2013</w:t>
            </w:r>
          </w:p>
          <w:p w:rsidR="00AB1504" w:rsidRPr="00DE1E45" w:rsidRDefault="00AB1504" w:rsidP="001A7F7C">
            <w:pPr>
              <w:jc w:val="both"/>
              <w:rPr>
                <w:rFonts w:eastAsia="Calibri"/>
                <w:sz w:val="20"/>
                <w:lang w:val="fr-CA"/>
              </w:rPr>
            </w:pPr>
            <w:r w:rsidRPr="00DE1E45">
              <w:rPr>
                <w:rFonts w:eastAsia="Calibri"/>
                <w:sz w:val="20"/>
                <w:lang w:val="fr-CA"/>
              </w:rPr>
              <w:t>Cour suprême du Canada</w:t>
            </w:r>
          </w:p>
        </w:tc>
        <w:tc>
          <w:tcPr>
            <w:tcW w:w="243" w:type="pct"/>
          </w:tcPr>
          <w:p w:rsidR="00AB1504" w:rsidRPr="00DE1E45" w:rsidRDefault="00AB1504" w:rsidP="001A7F7C">
            <w:pPr>
              <w:jc w:val="both"/>
              <w:rPr>
                <w:rFonts w:eastAsia="Calibri"/>
                <w:sz w:val="20"/>
                <w:lang w:val="fr-CA"/>
              </w:rPr>
            </w:pPr>
          </w:p>
        </w:tc>
        <w:tc>
          <w:tcPr>
            <w:tcW w:w="2330" w:type="pct"/>
          </w:tcPr>
          <w:p w:rsidR="00AB1504" w:rsidRPr="00DE1E45" w:rsidRDefault="00AB1504" w:rsidP="001A7F7C">
            <w:pPr>
              <w:jc w:val="both"/>
              <w:rPr>
                <w:rFonts w:eastAsia="Calibri"/>
                <w:sz w:val="20"/>
                <w:lang w:val="fr-CA"/>
              </w:rPr>
            </w:pPr>
            <w:r w:rsidRPr="00DE1E45">
              <w:rPr>
                <w:rFonts w:eastAsia="Calibri"/>
                <w:sz w:val="20"/>
                <w:lang w:val="fr-CA"/>
              </w:rPr>
              <w:t xml:space="preserve">Requête en prorogation de délai pour signifier et déposer la demande d’autorisation d’appel </w:t>
            </w:r>
          </w:p>
        </w:tc>
      </w:tr>
    </w:tbl>
    <w:p w:rsidR="0010221A" w:rsidRPr="00AB1504" w:rsidRDefault="0010221A" w:rsidP="0010221A">
      <w:pPr>
        <w:rPr>
          <w:sz w:val="20"/>
          <w:szCs w:val="20"/>
          <w:lang w:val="fr-CA"/>
        </w:rPr>
      </w:pPr>
    </w:p>
    <w:p w:rsidR="0010221A" w:rsidRDefault="00E672F1" w:rsidP="0010221A">
      <w:pPr>
        <w:rPr>
          <w:sz w:val="20"/>
          <w:szCs w:val="20"/>
        </w:rPr>
      </w:pPr>
      <w:r>
        <w:rPr>
          <w:sz w:val="20"/>
          <w:szCs w:val="20"/>
          <w:lang w:val="fr-CA"/>
        </w:rPr>
        <w:pict>
          <v:rect id="_x0000_i1049" style="width:2in;height:1pt" o:hrpct="0" o:hralign="center" o:hrstd="t" o:hrnoshade="t" o:hr="t" fillcolor="black [3213]" stroked="f"/>
        </w:pict>
      </w:r>
    </w:p>
    <w:p w:rsidR="000F366E" w:rsidRDefault="000F366E">
      <w:pPr>
        <w:rPr>
          <w:sz w:val="20"/>
          <w:szCs w:val="20"/>
        </w:rPr>
      </w:pPr>
    </w:p>
    <w:p w:rsidR="000F366E" w:rsidRDefault="000F366E">
      <w:pPr>
        <w:rPr>
          <w:sz w:val="20"/>
          <w:szCs w:val="20"/>
        </w:rPr>
      </w:pPr>
      <w:r>
        <w:rPr>
          <w:sz w:val="20"/>
          <w:szCs w:val="20"/>
        </w:rPr>
        <w:br w:type="page"/>
      </w:r>
    </w:p>
    <w:tbl>
      <w:tblPr>
        <w:tblStyle w:val="TableGrid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F366E" w:rsidRPr="000F366E" w:rsidTr="00C21531">
        <w:trPr>
          <w:cantSplit/>
        </w:trPr>
        <w:tc>
          <w:tcPr>
            <w:tcW w:w="1458" w:type="dxa"/>
          </w:tcPr>
          <w:p w:rsidR="000F366E" w:rsidRPr="000F366E" w:rsidRDefault="000F366E" w:rsidP="000F366E">
            <w:pPr>
              <w:rPr>
                <w:sz w:val="20"/>
              </w:rPr>
            </w:pPr>
            <w:r w:rsidRPr="000F366E">
              <w:rPr>
                <w:b/>
                <w:sz w:val="20"/>
                <w:lang w:val="fr-CA"/>
              </w:rPr>
              <w:lastRenderedPageBreak/>
              <w:t>35537</w:t>
            </w:r>
          </w:p>
          <w:p w:rsidR="000F366E" w:rsidRPr="000F366E" w:rsidRDefault="000F366E" w:rsidP="000F366E">
            <w:pPr>
              <w:rPr>
                <w:b/>
                <w:sz w:val="20"/>
                <w:lang w:val="fr-CA"/>
              </w:rPr>
            </w:pPr>
          </w:p>
        </w:tc>
        <w:tc>
          <w:tcPr>
            <w:tcW w:w="8118" w:type="dxa"/>
          </w:tcPr>
          <w:p w:rsidR="000F366E" w:rsidRPr="000F366E" w:rsidRDefault="000F366E" w:rsidP="000F366E">
            <w:pPr>
              <w:rPr>
                <w:sz w:val="20"/>
              </w:rPr>
            </w:pPr>
            <w:r w:rsidRPr="000F366E">
              <w:rPr>
                <w:b/>
                <w:sz w:val="20"/>
                <w:u w:val="single"/>
              </w:rPr>
              <w:t>Ruben Pinnock v. Her Majesty the Queen</w:t>
            </w:r>
            <w:r w:rsidRPr="000F366E">
              <w:rPr>
                <w:sz w:val="20"/>
              </w:rPr>
              <w:t xml:space="preserve"> (Ont.) (Criminal) (By Leave)</w:t>
            </w:r>
          </w:p>
          <w:p w:rsidR="000F366E" w:rsidRPr="000F366E" w:rsidRDefault="000F366E" w:rsidP="000F366E">
            <w:pPr>
              <w:rPr>
                <w:sz w:val="20"/>
              </w:rPr>
            </w:pPr>
          </w:p>
        </w:tc>
      </w:tr>
      <w:tr w:rsidR="000F366E" w:rsidRPr="000F366E" w:rsidTr="00C21531">
        <w:trPr>
          <w:cantSplit/>
        </w:trPr>
        <w:tc>
          <w:tcPr>
            <w:tcW w:w="1458" w:type="dxa"/>
          </w:tcPr>
          <w:p w:rsidR="000F366E" w:rsidRPr="000F366E" w:rsidRDefault="000F366E" w:rsidP="000F366E">
            <w:pPr>
              <w:rPr>
                <w:sz w:val="20"/>
              </w:rPr>
            </w:pPr>
            <w:r w:rsidRPr="000F366E">
              <w:rPr>
                <w:sz w:val="20"/>
              </w:rPr>
              <w:t>Coram :</w:t>
            </w:r>
          </w:p>
        </w:tc>
        <w:tc>
          <w:tcPr>
            <w:tcW w:w="8118" w:type="dxa"/>
          </w:tcPr>
          <w:p w:rsidR="000F366E" w:rsidRPr="000F366E" w:rsidRDefault="000F366E" w:rsidP="000F366E">
            <w:pPr>
              <w:rPr>
                <w:sz w:val="20"/>
              </w:rPr>
            </w:pPr>
            <w:r w:rsidRPr="000F366E">
              <w:rPr>
                <w:sz w:val="20"/>
                <w:u w:val="single"/>
              </w:rPr>
              <w:t>Abella, Rothstein and Moldaver JJ.</w:t>
            </w:r>
          </w:p>
          <w:p w:rsidR="000F366E" w:rsidRPr="000F366E" w:rsidRDefault="000F366E" w:rsidP="000F366E">
            <w:pPr>
              <w:rPr>
                <w:sz w:val="20"/>
                <w:u w:val="single"/>
              </w:rPr>
            </w:pPr>
          </w:p>
        </w:tc>
      </w:tr>
      <w:tr w:rsidR="000F366E" w:rsidRPr="00E672F1" w:rsidTr="00C21531">
        <w:trPr>
          <w:cantSplit/>
        </w:trPr>
        <w:tc>
          <w:tcPr>
            <w:tcW w:w="9576" w:type="dxa"/>
            <w:gridSpan w:val="2"/>
          </w:tcPr>
          <w:p w:rsidR="000F366E" w:rsidRPr="000F366E" w:rsidRDefault="000F366E" w:rsidP="000F366E">
            <w:pPr>
              <w:ind w:firstLine="720"/>
              <w:jc w:val="both"/>
              <w:rPr>
                <w:sz w:val="20"/>
              </w:rPr>
            </w:pPr>
            <w:r w:rsidRPr="000F366E">
              <w:rPr>
                <w:sz w:val="20"/>
              </w:rPr>
              <w:t>The motion for an extension of time to serve and file the application for leave to appeal is granted.  The application for leave to appeal from the judgment of the Court of Appeal for Ontario, Number C49887, 2013 ONCA 190, dated April 2, 2013, is dismissed without costs.</w:t>
            </w:r>
          </w:p>
          <w:p w:rsidR="000F366E" w:rsidRPr="000F366E" w:rsidRDefault="000F366E" w:rsidP="000F366E">
            <w:pPr>
              <w:jc w:val="both"/>
              <w:rPr>
                <w:sz w:val="20"/>
              </w:rPr>
            </w:pPr>
          </w:p>
          <w:p w:rsidR="000F366E" w:rsidRPr="000F366E" w:rsidRDefault="000F366E" w:rsidP="000F366E">
            <w:pPr>
              <w:ind w:firstLine="720"/>
              <w:jc w:val="both"/>
              <w:rPr>
                <w:sz w:val="20"/>
                <w:lang w:val="fr-CA"/>
              </w:rPr>
            </w:pPr>
            <w:r w:rsidRPr="000F366E">
              <w:rPr>
                <w:sz w:val="20"/>
                <w:lang w:val="fr-CA"/>
              </w:rPr>
              <w:t>La requête en prorogation du délai de signification et de dépôt de la demande d’autorisation d’appel est accueillie.  La demande d’autorisation d’appel de l’arrêt de la Cour d’appel de l’Ontario, numéro C49887, 2013 ONCA 190, daté du 2 avril 2013, est rejetée sans dépens.</w:t>
            </w:r>
          </w:p>
        </w:tc>
      </w:tr>
    </w:tbl>
    <w:p w:rsidR="0010221A" w:rsidRPr="000F366E" w:rsidRDefault="0010221A" w:rsidP="0010221A">
      <w:pPr>
        <w:rPr>
          <w:sz w:val="20"/>
          <w:szCs w:val="20"/>
          <w:lang w:val="fr-CA"/>
        </w:rPr>
      </w:pPr>
    </w:p>
    <w:p w:rsidR="0010221A" w:rsidRPr="001B157C" w:rsidRDefault="0010221A" w:rsidP="0010221A">
      <w:pPr>
        <w:rPr>
          <w:sz w:val="20"/>
          <w:szCs w:val="20"/>
          <w:u w:val="single"/>
        </w:rPr>
      </w:pPr>
      <w:r w:rsidRPr="001B157C">
        <w:rPr>
          <w:sz w:val="20"/>
          <w:szCs w:val="20"/>
          <w:u w:val="single"/>
        </w:rPr>
        <w:t>CASE SUMMARY</w:t>
      </w:r>
    </w:p>
    <w:p w:rsidR="0010221A" w:rsidRDefault="0010221A" w:rsidP="0010221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1504" w:rsidRPr="00DE1E45" w:rsidTr="001A7F7C">
        <w:tc>
          <w:tcPr>
            <w:tcW w:w="5000" w:type="pct"/>
            <w:gridSpan w:val="3"/>
          </w:tcPr>
          <w:p w:rsidR="00AB1504" w:rsidRPr="00DE1E45" w:rsidRDefault="00AB1504" w:rsidP="001A7F7C">
            <w:pPr>
              <w:jc w:val="both"/>
              <w:rPr>
                <w:rFonts w:eastAsia="Calibri"/>
                <w:sz w:val="20"/>
              </w:rPr>
            </w:pPr>
            <w:r w:rsidRPr="00DE1E45">
              <w:rPr>
                <w:rFonts w:eastAsia="Calibri"/>
                <w:i/>
                <w:sz w:val="20"/>
              </w:rPr>
              <w:t>Charter of Rights</w:t>
            </w:r>
            <w:r w:rsidRPr="00DE1E45">
              <w:rPr>
                <w:rFonts w:eastAsia="Calibri"/>
                <w:sz w:val="20"/>
              </w:rPr>
              <w:t xml:space="preserve"> — Freedom of Religion — Right to liberty — Criminal law — Evidence — Admissibility — Whether Court of Appeal erred in law by finding that statements made by applicant to a police officer posing as an Obeah spiritual leader should not be excluded due to violations of applicant’s ss. 2(a), 7 </w:t>
            </w:r>
            <w:r w:rsidRPr="00DE1E45">
              <w:rPr>
                <w:rFonts w:eastAsia="Calibri"/>
                <w:i/>
                <w:sz w:val="20"/>
              </w:rPr>
              <w:t>Charter</w:t>
            </w:r>
            <w:r w:rsidRPr="00DE1E45">
              <w:rPr>
                <w:rFonts w:eastAsia="Calibri"/>
                <w:sz w:val="20"/>
              </w:rPr>
              <w:t xml:space="preserve"> rights or under the “dirty tricks” doctrine — Whether Court of Appeal erred in law by applying s. 686(1)(b)(iv) of the </w:t>
            </w:r>
            <w:r w:rsidRPr="00DE1E45">
              <w:rPr>
                <w:rFonts w:eastAsia="Calibri"/>
                <w:i/>
                <w:sz w:val="20"/>
              </w:rPr>
              <w:t xml:space="preserve">Criminal Code </w:t>
            </w:r>
            <w:r w:rsidRPr="00DE1E45">
              <w:rPr>
                <w:rFonts w:eastAsia="Calibri"/>
                <w:sz w:val="20"/>
              </w:rPr>
              <w:t xml:space="preserve">in order to dismiss the applicant’s appeal as a result of a violation of his right to be present for the entirety of his trial pursuant to section 650(1) of the </w:t>
            </w:r>
            <w:r w:rsidRPr="00DE1E45">
              <w:rPr>
                <w:rFonts w:eastAsia="Calibri"/>
                <w:i/>
                <w:sz w:val="20"/>
              </w:rPr>
              <w:t xml:space="preserve">Criminal Code, </w:t>
            </w:r>
            <w:r w:rsidRPr="00DE1E45">
              <w:rPr>
                <w:rFonts w:eastAsia="Calibri"/>
                <w:sz w:val="20"/>
              </w:rPr>
              <w:t xml:space="preserve">which occurred when the trial judge engaged in an </w:t>
            </w:r>
            <w:r w:rsidRPr="00DE1E45">
              <w:rPr>
                <w:rFonts w:eastAsia="Calibri"/>
                <w:i/>
                <w:sz w:val="20"/>
              </w:rPr>
              <w:t>in camera</w:t>
            </w:r>
            <w:r w:rsidRPr="00DE1E45">
              <w:rPr>
                <w:rFonts w:eastAsia="Calibri"/>
                <w:sz w:val="20"/>
              </w:rPr>
              <w:t xml:space="preserve"> and </w:t>
            </w:r>
            <w:r w:rsidRPr="00DE1E45">
              <w:rPr>
                <w:rFonts w:eastAsia="Calibri"/>
                <w:i/>
                <w:sz w:val="20"/>
              </w:rPr>
              <w:t xml:space="preserve">ex parte </w:t>
            </w:r>
            <w:r w:rsidRPr="00DE1E45">
              <w:rPr>
                <w:rFonts w:eastAsia="Calibri"/>
                <w:sz w:val="20"/>
              </w:rPr>
              <w:t xml:space="preserve">discussion with Crown counsel without the accused or defence counsel being present and without their consent — Whether Court of Appeal erred in law by finding that the trial judge’s </w:t>
            </w:r>
            <w:r w:rsidRPr="00DE1E45">
              <w:rPr>
                <w:rFonts w:eastAsia="Calibri"/>
                <w:i/>
                <w:sz w:val="20"/>
              </w:rPr>
              <w:t>in camera</w:t>
            </w:r>
            <w:r w:rsidRPr="00DE1E45">
              <w:rPr>
                <w:rFonts w:eastAsia="Calibri"/>
                <w:sz w:val="20"/>
              </w:rPr>
              <w:t xml:space="preserve"> and </w:t>
            </w:r>
            <w:r w:rsidRPr="00DE1E45">
              <w:rPr>
                <w:rFonts w:eastAsia="Calibri"/>
                <w:i/>
                <w:sz w:val="20"/>
              </w:rPr>
              <w:t xml:space="preserve">ex parte </w:t>
            </w:r>
            <w:r w:rsidRPr="00DE1E45">
              <w:rPr>
                <w:rFonts w:eastAsia="Calibri"/>
                <w:sz w:val="20"/>
              </w:rPr>
              <w:t xml:space="preserve">discussion with Crown counsel was for the purpose of resolving a claim of litigation privilege — Whether Court of Appeal violated the principles of procedural fairness by making the aforementioned finding about litigation privilege without that issue having been raised by any of the parties during the argument of the appeal and without having afforded an opportunity to the applicant to make submissions on that issue during the hearing of the appeal — Whether Court of Appeal erred in finding that the speculative Crown theory about the applicant “calling out shooters” did not provide the jury with “an independent path to finding Mr. Pinnock guilty of first degree murder”, and that therefore the trial judge was not obliged to provide a specific corrective instruction to the jury — Whether the questions of law raised are of sufficient public importance — ss. 2(a), 7 of the </w:t>
            </w:r>
            <w:r w:rsidRPr="00DE1E45">
              <w:rPr>
                <w:rFonts w:eastAsia="Calibri"/>
                <w:i/>
                <w:sz w:val="20"/>
              </w:rPr>
              <w:t>Charter</w:t>
            </w:r>
            <w:r w:rsidRPr="00DE1E45">
              <w:rPr>
                <w:rFonts w:eastAsia="Calibri"/>
                <w:sz w:val="20"/>
              </w:rPr>
              <w:t>.</w:t>
            </w:r>
          </w:p>
        </w:tc>
      </w:tr>
      <w:tr w:rsidR="00AB1504" w:rsidRPr="00DE1E45" w:rsidTr="001A7F7C">
        <w:tc>
          <w:tcPr>
            <w:tcW w:w="5000" w:type="pct"/>
            <w:gridSpan w:val="3"/>
          </w:tcPr>
          <w:p w:rsidR="00AB1504" w:rsidRPr="00DE1E45" w:rsidRDefault="00AB1504" w:rsidP="001A7F7C">
            <w:pPr>
              <w:jc w:val="both"/>
              <w:rPr>
                <w:rFonts w:eastAsia="Calibri"/>
                <w:sz w:val="20"/>
              </w:rPr>
            </w:pPr>
          </w:p>
        </w:tc>
      </w:tr>
      <w:tr w:rsidR="00AB1504" w:rsidRPr="00DE1E45" w:rsidTr="001A7F7C">
        <w:tc>
          <w:tcPr>
            <w:tcW w:w="5000" w:type="pct"/>
            <w:gridSpan w:val="3"/>
          </w:tcPr>
          <w:p w:rsidR="00AB1504" w:rsidRPr="00DE1E45" w:rsidRDefault="00AB1504" w:rsidP="001A7F7C">
            <w:pPr>
              <w:jc w:val="both"/>
              <w:rPr>
                <w:rFonts w:eastAsia="Calibri"/>
                <w:sz w:val="20"/>
              </w:rPr>
            </w:pPr>
            <w:r w:rsidRPr="00DE1E45">
              <w:rPr>
                <w:rFonts w:eastAsia="Calibri"/>
                <w:sz w:val="20"/>
              </w:rPr>
              <w:t>After a trial by judge and jury, the applicant was convicted of first degree murder.  An appeal from conviction was dismissed.</w:t>
            </w:r>
          </w:p>
          <w:p w:rsidR="00AB1504" w:rsidRPr="00DE1E45" w:rsidRDefault="00AB1504" w:rsidP="001A7F7C">
            <w:pPr>
              <w:jc w:val="both"/>
              <w:rPr>
                <w:rFonts w:eastAsia="Calibri"/>
                <w:sz w:val="20"/>
              </w:rPr>
            </w:pPr>
          </w:p>
        </w:tc>
      </w:tr>
      <w:tr w:rsidR="00AB1504" w:rsidRPr="00DE1E45" w:rsidTr="001A7F7C">
        <w:tc>
          <w:tcPr>
            <w:tcW w:w="2427" w:type="pct"/>
          </w:tcPr>
          <w:p w:rsidR="00AB1504" w:rsidRPr="00DE1E45" w:rsidRDefault="00AB1504" w:rsidP="001A7F7C">
            <w:pPr>
              <w:jc w:val="both"/>
              <w:rPr>
                <w:rFonts w:eastAsia="Calibri"/>
                <w:sz w:val="20"/>
              </w:rPr>
            </w:pPr>
            <w:r w:rsidRPr="00DE1E45">
              <w:rPr>
                <w:rFonts w:eastAsia="Calibri"/>
                <w:sz w:val="20"/>
              </w:rPr>
              <w:t>August 23, 2007</w:t>
            </w:r>
          </w:p>
          <w:p w:rsidR="00AB1504" w:rsidRPr="00DE1E45" w:rsidRDefault="00AB1504" w:rsidP="001A7F7C">
            <w:pPr>
              <w:jc w:val="both"/>
              <w:rPr>
                <w:rFonts w:eastAsia="Calibri"/>
                <w:sz w:val="20"/>
              </w:rPr>
            </w:pPr>
            <w:r w:rsidRPr="00DE1E45">
              <w:rPr>
                <w:rFonts w:eastAsia="Calibri"/>
                <w:sz w:val="20"/>
              </w:rPr>
              <w:t>Ontario Superior Court of Justice</w:t>
            </w:r>
          </w:p>
          <w:p w:rsidR="00AB1504" w:rsidRPr="00DE1E45" w:rsidRDefault="00AB1504" w:rsidP="001A7F7C">
            <w:pPr>
              <w:jc w:val="both"/>
              <w:rPr>
                <w:rFonts w:eastAsia="Calibri"/>
                <w:sz w:val="20"/>
              </w:rPr>
            </w:pPr>
            <w:r w:rsidRPr="00DE1E45">
              <w:rPr>
                <w:rFonts w:eastAsia="Calibri"/>
                <w:sz w:val="20"/>
              </w:rPr>
              <w:t>(O'Connor J.)</w:t>
            </w:r>
          </w:p>
          <w:p w:rsidR="00AB1504" w:rsidRPr="00DE1E45" w:rsidRDefault="00AB1504" w:rsidP="001A7F7C">
            <w:pPr>
              <w:jc w:val="both"/>
              <w:rPr>
                <w:rFonts w:eastAsia="Calibri"/>
                <w:sz w:val="20"/>
              </w:rPr>
            </w:pPr>
            <w:r w:rsidRPr="00DE1E45">
              <w:rPr>
                <w:rFonts w:eastAsia="Calibri"/>
                <w:sz w:val="20"/>
              </w:rPr>
              <w:t xml:space="preserve">Neutral citation: </w:t>
            </w:r>
          </w:p>
          <w:p w:rsidR="00AB1504" w:rsidRPr="00DE1E45" w:rsidRDefault="00E672F1" w:rsidP="001A7F7C">
            <w:pPr>
              <w:jc w:val="both"/>
              <w:rPr>
                <w:rFonts w:eastAsia="Calibri"/>
                <w:sz w:val="20"/>
              </w:rPr>
            </w:pPr>
            <w:hyperlink r:id="rId42" w:history="1">
              <w:r w:rsidR="00AB1504" w:rsidRPr="00DE1E45">
                <w:rPr>
                  <w:rFonts w:eastAsia="Calibri"/>
                  <w:color w:val="0000FF"/>
                  <w:sz w:val="20"/>
                  <w:u w:val="single"/>
                </w:rPr>
                <w:t>http://canlii.ca/t/1t1q7</w:t>
              </w:r>
            </w:hyperlink>
          </w:p>
          <w:p w:rsidR="00AB1504" w:rsidRPr="00DE1E45" w:rsidRDefault="00AB1504" w:rsidP="001A7F7C">
            <w:pPr>
              <w:jc w:val="both"/>
              <w:rPr>
                <w:rFonts w:eastAsia="Calibri"/>
                <w:sz w:val="20"/>
              </w:rPr>
            </w:pPr>
          </w:p>
        </w:tc>
        <w:tc>
          <w:tcPr>
            <w:tcW w:w="243" w:type="pct"/>
          </w:tcPr>
          <w:p w:rsidR="00AB1504" w:rsidRPr="00DE1E45" w:rsidRDefault="00AB1504" w:rsidP="001A7F7C">
            <w:pPr>
              <w:jc w:val="both"/>
              <w:rPr>
                <w:rFonts w:eastAsia="Calibri"/>
                <w:sz w:val="20"/>
              </w:rPr>
            </w:pPr>
          </w:p>
        </w:tc>
        <w:tc>
          <w:tcPr>
            <w:tcW w:w="2330" w:type="pct"/>
          </w:tcPr>
          <w:p w:rsidR="00AB1504" w:rsidRPr="00DE1E45" w:rsidRDefault="00AB1504" w:rsidP="001A7F7C">
            <w:pPr>
              <w:jc w:val="both"/>
              <w:rPr>
                <w:rFonts w:eastAsia="Calibri"/>
                <w:sz w:val="20"/>
              </w:rPr>
            </w:pPr>
            <w:r w:rsidRPr="00DE1E45">
              <w:rPr>
                <w:rFonts w:eastAsia="Calibri"/>
                <w:sz w:val="20"/>
              </w:rPr>
              <w:t>Ruling regarding application to exclude certain evidence at trial</w:t>
            </w:r>
          </w:p>
          <w:p w:rsidR="00AB1504" w:rsidRPr="00DE1E45" w:rsidRDefault="00AB1504" w:rsidP="001A7F7C">
            <w:pPr>
              <w:jc w:val="both"/>
              <w:rPr>
                <w:rFonts w:eastAsia="Calibri"/>
                <w:sz w:val="20"/>
              </w:rPr>
            </w:pPr>
          </w:p>
        </w:tc>
      </w:tr>
      <w:tr w:rsidR="00AB1504" w:rsidRPr="00DE1E45" w:rsidTr="001A7F7C">
        <w:tc>
          <w:tcPr>
            <w:tcW w:w="2427" w:type="pct"/>
          </w:tcPr>
          <w:p w:rsidR="00AB1504" w:rsidRPr="00DE1E45" w:rsidRDefault="00AB1504" w:rsidP="001A7F7C">
            <w:pPr>
              <w:jc w:val="both"/>
              <w:rPr>
                <w:rFonts w:eastAsia="Calibri"/>
                <w:sz w:val="20"/>
              </w:rPr>
            </w:pPr>
            <w:r w:rsidRPr="00DE1E45">
              <w:rPr>
                <w:rFonts w:eastAsia="Calibri"/>
                <w:sz w:val="20"/>
              </w:rPr>
              <w:t>February 15, 2008</w:t>
            </w:r>
          </w:p>
          <w:p w:rsidR="00AB1504" w:rsidRPr="00DE1E45" w:rsidRDefault="00AB1504" w:rsidP="001A7F7C">
            <w:pPr>
              <w:jc w:val="both"/>
              <w:rPr>
                <w:rFonts w:eastAsia="Calibri"/>
                <w:sz w:val="20"/>
              </w:rPr>
            </w:pPr>
            <w:r w:rsidRPr="00DE1E45">
              <w:rPr>
                <w:rFonts w:eastAsia="Calibri"/>
                <w:sz w:val="20"/>
              </w:rPr>
              <w:t>Ontario Superior Court of Justice</w:t>
            </w:r>
          </w:p>
          <w:p w:rsidR="00AB1504" w:rsidRPr="00DE1E45" w:rsidRDefault="00AB1504" w:rsidP="001A7F7C">
            <w:pPr>
              <w:jc w:val="both"/>
              <w:rPr>
                <w:rFonts w:eastAsia="Calibri"/>
                <w:sz w:val="20"/>
              </w:rPr>
            </w:pPr>
            <w:r w:rsidRPr="00DE1E45">
              <w:rPr>
                <w:rFonts w:eastAsia="Calibri"/>
                <w:sz w:val="20"/>
              </w:rPr>
              <w:t>(O'Connor J.)</w:t>
            </w:r>
          </w:p>
          <w:p w:rsidR="00AB1504" w:rsidRPr="00DE1E45" w:rsidRDefault="00AB1504" w:rsidP="001A7F7C">
            <w:pPr>
              <w:jc w:val="both"/>
              <w:rPr>
                <w:rFonts w:eastAsia="Calibri"/>
                <w:sz w:val="20"/>
              </w:rPr>
            </w:pPr>
            <w:r w:rsidRPr="00DE1E45">
              <w:rPr>
                <w:rFonts w:eastAsia="Calibri"/>
                <w:sz w:val="20"/>
              </w:rPr>
              <w:t xml:space="preserve">Neutral citation: </w:t>
            </w:r>
          </w:p>
          <w:p w:rsidR="00AB1504" w:rsidRPr="00DE1E45" w:rsidRDefault="00AB1504" w:rsidP="001A7F7C">
            <w:pPr>
              <w:jc w:val="both"/>
              <w:rPr>
                <w:rFonts w:eastAsia="Calibri"/>
                <w:sz w:val="20"/>
              </w:rPr>
            </w:pPr>
          </w:p>
        </w:tc>
        <w:tc>
          <w:tcPr>
            <w:tcW w:w="243" w:type="pct"/>
          </w:tcPr>
          <w:p w:rsidR="00AB1504" w:rsidRPr="00DE1E45" w:rsidRDefault="00AB1504" w:rsidP="001A7F7C">
            <w:pPr>
              <w:jc w:val="both"/>
              <w:rPr>
                <w:rFonts w:eastAsia="Calibri"/>
                <w:sz w:val="20"/>
              </w:rPr>
            </w:pPr>
          </w:p>
        </w:tc>
        <w:tc>
          <w:tcPr>
            <w:tcW w:w="2330" w:type="pct"/>
          </w:tcPr>
          <w:p w:rsidR="00AB1504" w:rsidRPr="00DE1E45" w:rsidRDefault="00AB1504" w:rsidP="001A7F7C">
            <w:pPr>
              <w:jc w:val="both"/>
              <w:rPr>
                <w:rFonts w:eastAsia="Calibri"/>
                <w:sz w:val="20"/>
              </w:rPr>
            </w:pPr>
            <w:r w:rsidRPr="00DE1E45">
              <w:rPr>
                <w:rFonts w:eastAsia="Calibri"/>
                <w:sz w:val="20"/>
              </w:rPr>
              <w:t>Conviction: first degree murder</w:t>
            </w:r>
          </w:p>
          <w:p w:rsidR="00AB1504" w:rsidRPr="00DE1E45" w:rsidRDefault="00AB1504" w:rsidP="001A7F7C">
            <w:pPr>
              <w:jc w:val="both"/>
              <w:rPr>
                <w:rFonts w:eastAsia="Calibri"/>
                <w:sz w:val="20"/>
              </w:rPr>
            </w:pPr>
          </w:p>
        </w:tc>
      </w:tr>
      <w:tr w:rsidR="00AB1504" w:rsidRPr="00DE1E45" w:rsidTr="001A7F7C">
        <w:tc>
          <w:tcPr>
            <w:tcW w:w="2427" w:type="pct"/>
          </w:tcPr>
          <w:p w:rsidR="00AB1504" w:rsidRPr="00DE1E45" w:rsidRDefault="00AB1504" w:rsidP="001A7F7C">
            <w:pPr>
              <w:jc w:val="both"/>
              <w:rPr>
                <w:rFonts w:eastAsia="Calibri"/>
                <w:sz w:val="20"/>
              </w:rPr>
            </w:pPr>
            <w:r w:rsidRPr="00DE1E45">
              <w:rPr>
                <w:rFonts w:eastAsia="Calibri"/>
                <w:sz w:val="20"/>
              </w:rPr>
              <w:t>April 2, 2013</w:t>
            </w:r>
          </w:p>
          <w:p w:rsidR="00AB1504" w:rsidRPr="00DE1E45" w:rsidRDefault="00AB1504" w:rsidP="001A7F7C">
            <w:pPr>
              <w:jc w:val="both"/>
              <w:rPr>
                <w:rFonts w:eastAsia="Calibri"/>
                <w:sz w:val="20"/>
              </w:rPr>
            </w:pPr>
            <w:r w:rsidRPr="00DE1E45">
              <w:rPr>
                <w:rFonts w:eastAsia="Calibri"/>
                <w:sz w:val="20"/>
              </w:rPr>
              <w:t>Court of Appeal for Ontario</w:t>
            </w:r>
          </w:p>
          <w:p w:rsidR="00AB1504" w:rsidRPr="00DE1E45" w:rsidRDefault="00AB1504" w:rsidP="001A7F7C">
            <w:pPr>
              <w:jc w:val="both"/>
              <w:rPr>
                <w:rFonts w:eastAsia="Calibri"/>
                <w:sz w:val="20"/>
              </w:rPr>
            </w:pPr>
            <w:r w:rsidRPr="00DE1E45">
              <w:rPr>
                <w:rFonts w:eastAsia="Calibri"/>
                <w:sz w:val="20"/>
              </w:rPr>
              <w:t>(Rosenberg, Sharpe, MacFarland JJ.A.)</w:t>
            </w:r>
          </w:p>
          <w:p w:rsidR="00AB1504" w:rsidRPr="00DE1E45" w:rsidRDefault="00AB1504" w:rsidP="001A7F7C">
            <w:pPr>
              <w:jc w:val="both"/>
              <w:rPr>
                <w:rFonts w:eastAsia="Calibri"/>
                <w:sz w:val="20"/>
              </w:rPr>
            </w:pPr>
            <w:r w:rsidRPr="00DE1E45">
              <w:rPr>
                <w:rFonts w:eastAsia="Calibri"/>
                <w:sz w:val="20"/>
              </w:rPr>
              <w:t>2013 ONCA 190</w:t>
            </w:r>
          </w:p>
          <w:p w:rsidR="00AB1504" w:rsidRPr="00DE1E45" w:rsidRDefault="00E672F1" w:rsidP="001A7F7C">
            <w:pPr>
              <w:jc w:val="both"/>
              <w:rPr>
                <w:rFonts w:eastAsia="Calibri"/>
                <w:sz w:val="20"/>
              </w:rPr>
            </w:pPr>
            <w:hyperlink r:id="rId43" w:history="1">
              <w:r w:rsidR="00AB1504" w:rsidRPr="00DE1E45">
                <w:rPr>
                  <w:rFonts w:eastAsia="Calibri"/>
                  <w:color w:val="0000FF"/>
                  <w:sz w:val="20"/>
                  <w:u w:val="single"/>
                </w:rPr>
                <w:t>http://canlii.ca/t/fwspf</w:t>
              </w:r>
            </w:hyperlink>
          </w:p>
          <w:p w:rsidR="00AB1504" w:rsidRPr="00DE1E45" w:rsidRDefault="00AB1504" w:rsidP="001A7F7C">
            <w:pPr>
              <w:jc w:val="both"/>
              <w:rPr>
                <w:rFonts w:eastAsia="Calibri"/>
                <w:sz w:val="20"/>
              </w:rPr>
            </w:pPr>
          </w:p>
        </w:tc>
        <w:tc>
          <w:tcPr>
            <w:tcW w:w="243" w:type="pct"/>
          </w:tcPr>
          <w:p w:rsidR="00AB1504" w:rsidRPr="00DE1E45" w:rsidRDefault="00AB1504" w:rsidP="001A7F7C">
            <w:pPr>
              <w:jc w:val="both"/>
              <w:rPr>
                <w:rFonts w:eastAsia="Calibri"/>
                <w:sz w:val="20"/>
              </w:rPr>
            </w:pPr>
          </w:p>
        </w:tc>
        <w:tc>
          <w:tcPr>
            <w:tcW w:w="2330" w:type="pct"/>
          </w:tcPr>
          <w:p w:rsidR="00AB1504" w:rsidRPr="00DE1E45" w:rsidRDefault="00AB1504" w:rsidP="001A7F7C">
            <w:pPr>
              <w:jc w:val="both"/>
              <w:rPr>
                <w:rFonts w:eastAsia="Calibri"/>
                <w:sz w:val="20"/>
              </w:rPr>
            </w:pPr>
            <w:r w:rsidRPr="00DE1E45">
              <w:rPr>
                <w:rFonts w:eastAsia="Calibri"/>
                <w:sz w:val="20"/>
              </w:rPr>
              <w:t>Appeal against conviction dismissed</w:t>
            </w:r>
          </w:p>
          <w:p w:rsidR="00AB1504" w:rsidRPr="00DE1E45" w:rsidRDefault="00AB1504" w:rsidP="001A7F7C">
            <w:pPr>
              <w:jc w:val="both"/>
              <w:rPr>
                <w:rFonts w:eastAsia="Calibri"/>
                <w:sz w:val="20"/>
              </w:rPr>
            </w:pPr>
          </w:p>
          <w:p w:rsidR="00AB1504" w:rsidRPr="00DE1E45" w:rsidRDefault="00AB1504" w:rsidP="001A7F7C">
            <w:pPr>
              <w:jc w:val="both"/>
              <w:rPr>
                <w:rFonts w:eastAsia="Calibri"/>
                <w:sz w:val="20"/>
              </w:rPr>
            </w:pPr>
          </w:p>
        </w:tc>
      </w:tr>
      <w:tr w:rsidR="00AB1504" w:rsidRPr="00DE1E45" w:rsidTr="001A7F7C">
        <w:tc>
          <w:tcPr>
            <w:tcW w:w="2427" w:type="pct"/>
          </w:tcPr>
          <w:p w:rsidR="00AB1504" w:rsidRPr="00DE1E45" w:rsidRDefault="00AB1504" w:rsidP="001A7F7C">
            <w:pPr>
              <w:jc w:val="both"/>
              <w:rPr>
                <w:rFonts w:eastAsia="Calibri"/>
                <w:sz w:val="20"/>
              </w:rPr>
            </w:pPr>
            <w:r w:rsidRPr="00DE1E45">
              <w:rPr>
                <w:rFonts w:eastAsia="Calibri"/>
                <w:sz w:val="20"/>
              </w:rPr>
              <w:lastRenderedPageBreak/>
              <w:t>September 23, 2013</w:t>
            </w:r>
          </w:p>
          <w:p w:rsidR="00AB1504" w:rsidRPr="00DE1E45" w:rsidRDefault="00AB1504" w:rsidP="001A7F7C">
            <w:pPr>
              <w:jc w:val="both"/>
              <w:rPr>
                <w:rFonts w:eastAsia="Calibri"/>
                <w:sz w:val="20"/>
              </w:rPr>
            </w:pPr>
            <w:r w:rsidRPr="00DE1E45">
              <w:rPr>
                <w:rFonts w:eastAsia="Calibri"/>
                <w:sz w:val="20"/>
              </w:rPr>
              <w:t>Supreme Court of Canada</w:t>
            </w:r>
          </w:p>
          <w:p w:rsidR="00AB1504" w:rsidRPr="00DE1E45" w:rsidRDefault="00AB1504" w:rsidP="001A7F7C">
            <w:pPr>
              <w:jc w:val="both"/>
              <w:rPr>
                <w:rFonts w:eastAsia="Calibri"/>
                <w:sz w:val="20"/>
              </w:rPr>
            </w:pPr>
          </w:p>
        </w:tc>
        <w:tc>
          <w:tcPr>
            <w:tcW w:w="243" w:type="pct"/>
          </w:tcPr>
          <w:p w:rsidR="00AB1504" w:rsidRPr="00DE1E45" w:rsidRDefault="00AB1504" w:rsidP="001A7F7C">
            <w:pPr>
              <w:jc w:val="both"/>
              <w:rPr>
                <w:rFonts w:eastAsia="Calibri"/>
                <w:sz w:val="20"/>
              </w:rPr>
            </w:pPr>
          </w:p>
        </w:tc>
        <w:tc>
          <w:tcPr>
            <w:tcW w:w="2330" w:type="pct"/>
          </w:tcPr>
          <w:p w:rsidR="00AB1504" w:rsidRPr="00DE1E45" w:rsidRDefault="00AB1504" w:rsidP="001A7F7C">
            <w:pPr>
              <w:jc w:val="both"/>
              <w:rPr>
                <w:rFonts w:eastAsia="Calibri"/>
                <w:sz w:val="20"/>
              </w:rPr>
            </w:pPr>
            <w:r w:rsidRPr="00DE1E45">
              <w:rPr>
                <w:rFonts w:eastAsia="Calibri"/>
                <w:sz w:val="20"/>
              </w:rPr>
              <w:t>Motion for an extension of time to serve and file the application for leave to appeal and application for leave to appeal filed</w:t>
            </w:r>
          </w:p>
        </w:tc>
      </w:tr>
    </w:tbl>
    <w:p w:rsidR="0010221A" w:rsidRDefault="0010221A" w:rsidP="0010221A">
      <w:pPr>
        <w:rPr>
          <w:sz w:val="20"/>
          <w:szCs w:val="20"/>
        </w:rPr>
      </w:pPr>
    </w:p>
    <w:p w:rsidR="0010221A" w:rsidRPr="00C50A5C" w:rsidRDefault="00E672F1" w:rsidP="0010221A">
      <w:pPr>
        <w:rPr>
          <w:sz w:val="20"/>
          <w:szCs w:val="20"/>
        </w:rPr>
      </w:pPr>
      <w:r>
        <w:rPr>
          <w:sz w:val="20"/>
          <w:szCs w:val="20"/>
          <w:lang w:val="fr-CA"/>
        </w:rPr>
        <w:pict>
          <v:rect id="_x0000_i1050" style="width:2in;height:1pt" o:hrpct="0" o:hralign="center" o:hrstd="t" o:hrnoshade="t" o:hr="t" fillcolor="black [3213]" stroked="f"/>
        </w:pict>
      </w:r>
    </w:p>
    <w:p w:rsidR="0010221A" w:rsidRDefault="0010221A" w:rsidP="0010221A">
      <w:pPr>
        <w:rPr>
          <w:sz w:val="20"/>
          <w:szCs w:val="20"/>
        </w:rPr>
      </w:pPr>
    </w:p>
    <w:p w:rsidR="0010221A" w:rsidRPr="001B157C" w:rsidRDefault="0010221A" w:rsidP="0010221A">
      <w:pPr>
        <w:rPr>
          <w:sz w:val="20"/>
          <w:szCs w:val="20"/>
          <w:u w:val="single"/>
          <w:lang w:val="fr-CA"/>
        </w:rPr>
      </w:pPr>
      <w:r w:rsidRPr="001B157C">
        <w:rPr>
          <w:sz w:val="20"/>
          <w:szCs w:val="20"/>
          <w:u w:val="single"/>
          <w:lang w:val="fr-CA"/>
        </w:rPr>
        <w:t>RÉSUMÉ DE L’AFFAIRE</w:t>
      </w:r>
    </w:p>
    <w:p w:rsidR="0010221A" w:rsidRDefault="0010221A" w:rsidP="0010221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1504" w:rsidRPr="00E672F1" w:rsidTr="001A7F7C">
        <w:tc>
          <w:tcPr>
            <w:tcW w:w="5000" w:type="pct"/>
            <w:gridSpan w:val="3"/>
          </w:tcPr>
          <w:p w:rsidR="00AB1504" w:rsidRPr="00DE1E45" w:rsidRDefault="00AB1504" w:rsidP="001A7F7C">
            <w:pPr>
              <w:jc w:val="both"/>
              <w:rPr>
                <w:rFonts w:eastAsia="Calibri"/>
                <w:sz w:val="20"/>
                <w:lang w:val="fr-CA"/>
              </w:rPr>
            </w:pPr>
            <w:r w:rsidRPr="00DE1E45">
              <w:rPr>
                <w:rFonts w:eastAsia="Calibri"/>
                <w:i/>
                <w:sz w:val="20"/>
                <w:lang w:val="fr-CA"/>
              </w:rPr>
              <w:t>Charte des droits</w:t>
            </w:r>
            <w:r w:rsidRPr="00DE1E45">
              <w:rPr>
                <w:rFonts w:eastAsia="Calibri"/>
                <w:sz w:val="20"/>
                <w:lang w:val="fr-CA"/>
              </w:rPr>
              <w:t xml:space="preserve"> — Liberté de religion — Droit à la liberté — Droit criminel — Preuve — Admissibilité — La Cour d’appel a-t-elle commis une erreur de droit en concluant que les déclarations faites par le demandeur à un policier se faisant passer pour un chef spirituel de l’obeah ne devraient pas être écartées du fait d’atteintes aux droits garantis au demandeur par l’al. 2</w:t>
            </w:r>
            <w:r w:rsidRPr="00DE1E45">
              <w:rPr>
                <w:rFonts w:eastAsia="Calibri"/>
                <w:i/>
                <w:sz w:val="20"/>
                <w:lang w:val="fr-CA"/>
              </w:rPr>
              <w:t>a</w:t>
            </w:r>
            <w:r w:rsidRPr="00DE1E45">
              <w:rPr>
                <w:rFonts w:eastAsia="Calibri"/>
                <w:sz w:val="20"/>
                <w:lang w:val="fr-CA"/>
              </w:rPr>
              <w:t xml:space="preserve">) et l’art. 7 de la </w:t>
            </w:r>
            <w:r w:rsidRPr="00DE1E45">
              <w:rPr>
                <w:rFonts w:eastAsia="Calibri"/>
                <w:i/>
                <w:sz w:val="20"/>
                <w:lang w:val="fr-CA"/>
              </w:rPr>
              <w:t>Charte</w:t>
            </w:r>
            <w:r w:rsidRPr="00DE1E45">
              <w:rPr>
                <w:rFonts w:eastAsia="Calibri"/>
                <w:sz w:val="20"/>
                <w:lang w:val="fr-CA"/>
              </w:rPr>
              <w:t xml:space="preserve"> ou sur le fondement du principe des « artifices répréhensibles »? — La Cour d’appel a-t-elle commis une erreur de droit en appliquant le sous-al. 686(1)</w:t>
            </w:r>
            <w:r w:rsidRPr="00DE1E45">
              <w:rPr>
                <w:rFonts w:eastAsia="Calibri"/>
                <w:i/>
                <w:sz w:val="20"/>
                <w:lang w:val="fr-CA"/>
              </w:rPr>
              <w:t>b</w:t>
            </w:r>
            <w:r w:rsidRPr="00DE1E45">
              <w:rPr>
                <w:rFonts w:eastAsia="Calibri"/>
                <w:sz w:val="20"/>
                <w:lang w:val="fr-CA"/>
              </w:rPr>
              <w:t xml:space="preserve">)(iv) du </w:t>
            </w:r>
            <w:r w:rsidRPr="00DE1E45">
              <w:rPr>
                <w:rFonts w:eastAsia="Calibri"/>
                <w:i/>
                <w:sz w:val="20"/>
                <w:lang w:val="fr-CA"/>
              </w:rPr>
              <w:t xml:space="preserve">Code criminel </w:t>
            </w:r>
            <w:r w:rsidRPr="00DE1E45">
              <w:rPr>
                <w:rFonts w:eastAsia="Calibri"/>
                <w:sz w:val="20"/>
                <w:lang w:val="fr-CA"/>
              </w:rPr>
              <w:t xml:space="preserve">afin de rejeter l’appel porté par le demandeur en raison de l’atteinte au droit — que lui confère le par. 650(1) du </w:t>
            </w:r>
            <w:r w:rsidRPr="00DE1E45">
              <w:rPr>
                <w:rFonts w:eastAsia="Calibri"/>
                <w:i/>
                <w:sz w:val="20"/>
                <w:lang w:val="fr-CA"/>
              </w:rPr>
              <w:t>Code criminel</w:t>
            </w:r>
            <w:r w:rsidRPr="00DE1E45">
              <w:rPr>
                <w:rFonts w:eastAsia="Calibri"/>
                <w:sz w:val="20"/>
                <w:lang w:val="fr-CA"/>
              </w:rPr>
              <w:t xml:space="preserve"> — d’être présent pendant tout son procès, ce qui s’est produit lorsque le juge du procès a eu un entretien à huis clos et </w:t>
            </w:r>
            <w:r w:rsidRPr="00DE1E45">
              <w:rPr>
                <w:rFonts w:eastAsia="Calibri"/>
                <w:i/>
                <w:sz w:val="20"/>
                <w:lang w:val="fr-CA"/>
              </w:rPr>
              <w:t xml:space="preserve">ex parte </w:t>
            </w:r>
            <w:r w:rsidRPr="00DE1E45">
              <w:rPr>
                <w:rFonts w:eastAsia="Calibri"/>
                <w:sz w:val="20"/>
                <w:lang w:val="fr-CA"/>
              </w:rPr>
              <w:t xml:space="preserve">avec l’avocat du ministère public en l’absence de l’accusé ou de son avocate et sans leur consentement? — La Cour d’appel a-t-elle commis une erreur de droit en concluant que l’entretien à huis clos et </w:t>
            </w:r>
            <w:r w:rsidRPr="00DE1E45">
              <w:rPr>
                <w:rFonts w:eastAsia="Calibri"/>
                <w:i/>
                <w:sz w:val="20"/>
                <w:lang w:val="fr-CA"/>
              </w:rPr>
              <w:t>ex parte</w:t>
            </w:r>
            <w:r w:rsidRPr="00DE1E45">
              <w:rPr>
                <w:rFonts w:eastAsia="Calibri"/>
                <w:sz w:val="20"/>
                <w:lang w:val="fr-CA"/>
              </w:rPr>
              <w:t xml:space="preserve"> du juge du procès avec l’avocat du ministère public avait pour objet de régler la revendication d’un privilège relatif au litige? — La Cour d’appel a-t-elle contrevenu au principe d’équité procédurale en tirant la conclusion susmentionnée sur le privilège relatif au litige sans que les parties n’aient soulevé cette question au cours de leurs plaidoiries en appel, et sans avoir donné au demandeur l’occasion de présenter des observations à cet égard pendant l’audition de l’appel? — La Cour d’appel a</w:t>
            </w:r>
            <w:r w:rsidRPr="00DE1E45">
              <w:rPr>
                <w:rFonts w:eastAsia="Calibri"/>
                <w:sz w:val="20"/>
                <w:lang w:val="fr-CA"/>
              </w:rPr>
              <w:noBreakHyphen/>
              <w:t>t</w:t>
            </w:r>
            <w:r w:rsidRPr="00DE1E45">
              <w:rPr>
                <w:rFonts w:eastAsia="Calibri"/>
                <w:sz w:val="20"/>
                <w:lang w:val="fr-CA"/>
              </w:rPr>
              <w:noBreakHyphen/>
              <w:t>elle conclu à tort que la thèse du ministère public voulant que le demandeur ait « demandé aux tireurs de s’exécuter » n’avait pas fourni au jury « une raison indépendante de déclarer M. Pinnock coupable de meurtre au premier degré », et que le juge du procès n’était donc pas obligé de donner au jury une directive correctrice précise? — Les questions de droit soulevées sont-elles suffisamment importantes pour le public? — al. 2</w:t>
            </w:r>
            <w:r w:rsidRPr="00DE1E45">
              <w:rPr>
                <w:rFonts w:eastAsia="Calibri"/>
                <w:i/>
                <w:sz w:val="20"/>
                <w:lang w:val="fr-CA"/>
              </w:rPr>
              <w:t>a</w:t>
            </w:r>
            <w:r w:rsidRPr="00DE1E45">
              <w:rPr>
                <w:rFonts w:eastAsia="Calibri"/>
                <w:sz w:val="20"/>
                <w:lang w:val="fr-CA"/>
              </w:rPr>
              <w:t xml:space="preserve">), art. 7 de la </w:t>
            </w:r>
            <w:r w:rsidRPr="00DE1E45">
              <w:rPr>
                <w:rFonts w:eastAsia="Calibri"/>
                <w:i/>
                <w:sz w:val="20"/>
                <w:lang w:val="fr-CA"/>
              </w:rPr>
              <w:t>Charte</w:t>
            </w:r>
            <w:r w:rsidRPr="00DE1E45">
              <w:rPr>
                <w:rFonts w:eastAsia="Calibri"/>
                <w:sz w:val="20"/>
                <w:lang w:val="fr-CA"/>
              </w:rPr>
              <w:t>.</w:t>
            </w:r>
          </w:p>
        </w:tc>
      </w:tr>
      <w:tr w:rsidR="00AB1504" w:rsidRPr="00E672F1" w:rsidTr="001A7F7C">
        <w:tc>
          <w:tcPr>
            <w:tcW w:w="5000" w:type="pct"/>
            <w:gridSpan w:val="3"/>
          </w:tcPr>
          <w:p w:rsidR="00AB1504" w:rsidRPr="00DE1E45" w:rsidRDefault="00AB1504" w:rsidP="001A7F7C">
            <w:pPr>
              <w:jc w:val="both"/>
              <w:rPr>
                <w:rFonts w:eastAsia="Calibri"/>
                <w:sz w:val="20"/>
                <w:lang w:val="fr-CA"/>
              </w:rPr>
            </w:pPr>
          </w:p>
        </w:tc>
      </w:tr>
      <w:tr w:rsidR="00AB1504" w:rsidRPr="00E672F1" w:rsidTr="001A7F7C">
        <w:tc>
          <w:tcPr>
            <w:tcW w:w="5000" w:type="pct"/>
            <w:gridSpan w:val="3"/>
          </w:tcPr>
          <w:p w:rsidR="00AB1504" w:rsidRPr="00DE1E45" w:rsidRDefault="00AB1504" w:rsidP="001A7F7C">
            <w:pPr>
              <w:jc w:val="both"/>
              <w:rPr>
                <w:rFonts w:eastAsia="Calibri"/>
                <w:sz w:val="20"/>
                <w:lang w:val="fr-CA"/>
              </w:rPr>
            </w:pPr>
            <w:r w:rsidRPr="00DE1E45">
              <w:rPr>
                <w:rFonts w:eastAsia="Calibri"/>
                <w:sz w:val="20"/>
                <w:lang w:val="fr-CA"/>
              </w:rPr>
              <w:t>Le demandeur a été reconnu coupable de meurtre au premier degré au terme d’un procès devant juge et jury. Un appel formé contre la déclaration de culpabilité a été rejeté.</w:t>
            </w:r>
          </w:p>
          <w:p w:rsidR="00AB1504" w:rsidRPr="00DE1E45" w:rsidRDefault="00AB1504" w:rsidP="001A7F7C">
            <w:pPr>
              <w:jc w:val="both"/>
              <w:rPr>
                <w:rFonts w:eastAsia="Calibri"/>
                <w:sz w:val="20"/>
                <w:lang w:val="fr-CA"/>
              </w:rPr>
            </w:pPr>
          </w:p>
        </w:tc>
      </w:tr>
      <w:tr w:rsidR="00AB1504" w:rsidRPr="00E672F1" w:rsidTr="001A7F7C">
        <w:tc>
          <w:tcPr>
            <w:tcW w:w="2427" w:type="pct"/>
          </w:tcPr>
          <w:p w:rsidR="00AB1504" w:rsidRPr="00DE1E45" w:rsidRDefault="00AB1504" w:rsidP="001A7F7C">
            <w:pPr>
              <w:jc w:val="both"/>
              <w:rPr>
                <w:rFonts w:eastAsia="Calibri"/>
                <w:sz w:val="20"/>
                <w:lang w:val="fr-CA"/>
              </w:rPr>
            </w:pPr>
            <w:r w:rsidRPr="00DE1E45">
              <w:rPr>
                <w:rFonts w:eastAsia="Calibri"/>
                <w:sz w:val="20"/>
                <w:lang w:val="fr-CA"/>
              </w:rPr>
              <w:t>23 août 2007</w:t>
            </w:r>
          </w:p>
          <w:p w:rsidR="00AB1504" w:rsidRPr="00DE1E45" w:rsidRDefault="00AB1504" w:rsidP="001A7F7C">
            <w:pPr>
              <w:jc w:val="both"/>
              <w:rPr>
                <w:rFonts w:eastAsia="Calibri"/>
                <w:sz w:val="20"/>
                <w:lang w:val="fr-CA"/>
              </w:rPr>
            </w:pPr>
            <w:r w:rsidRPr="00DE1E45">
              <w:rPr>
                <w:rFonts w:eastAsia="Calibri"/>
                <w:sz w:val="20"/>
                <w:lang w:val="fr-CA"/>
              </w:rPr>
              <w:t xml:space="preserve">Cour supérieure de justice de l’Ontario </w:t>
            </w:r>
          </w:p>
          <w:p w:rsidR="00AB1504" w:rsidRPr="00DE1E45" w:rsidRDefault="00AB1504" w:rsidP="001A7F7C">
            <w:pPr>
              <w:jc w:val="both"/>
              <w:rPr>
                <w:rFonts w:eastAsia="Calibri"/>
                <w:sz w:val="20"/>
                <w:lang w:val="fr-CA"/>
              </w:rPr>
            </w:pPr>
            <w:r w:rsidRPr="00DE1E45">
              <w:rPr>
                <w:rFonts w:eastAsia="Calibri"/>
                <w:sz w:val="20"/>
                <w:lang w:val="fr-CA"/>
              </w:rPr>
              <w:t>(Juge O'Connor)</w:t>
            </w:r>
          </w:p>
          <w:p w:rsidR="00AB1504" w:rsidRPr="00DE1E45" w:rsidRDefault="00AB1504" w:rsidP="001A7F7C">
            <w:pPr>
              <w:jc w:val="both"/>
              <w:rPr>
                <w:rFonts w:eastAsia="Calibri"/>
                <w:sz w:val="20"/>
                <w:lang w:val="fr-CA"/>
              </w:rPr>
            </w:pPr>
            <w:r w:rsidRPr="00DE1E45">
              <w:rPr>
                <w:rFonts w:eastAsia="Calibri"/>
                <w:sz w:val="20"/>
                <w:lang w:val="fr-CA"/>
              </w:rPr>
              <w:t xml:space="preserve">Référence neutre : </w:t>
            </w:r>
          </w:p>
          <w:p w:rsidR="00AB1504" w:rsidRPr="00DE1E45" w:rsidRDefault="000505AD" w:rsidP="001A7F7C">
            <w:pPr>
              <w:jc w:val="both"/>
              <w:rPr>
                <w:rFonts w:eastAsia="Calibri"/>
                <w:sz w:val="20"/>
                <w:lang w:val="fr-CA"/>
              </w:rPr>
            </w:pPr>
            <w:hyperlink r:id="rId44" w:history="1">
              <w:r w:rsidR="00AB1504" w:rsidRPr="00DE1E45">
                <w:rPr>
                  <w:rFonts w:eastAsia="Calibri"/>
                  <w:color w:val="0000FF"/>
                  <w:sz w:val="20"/>
                  <w:u w:val="single"/>
                  <w:lang w:val="fr-CA"/>
                </w:rPr>
                <w:t>http://canlii.ca/t/1t1q7</w:t>
              </w:r>
            </w:hyperlink>
          </w:p>
          <w:p w:rsidR="00AB1504" w:rsidRPr="00DE1E45" w:rsidRDefault="00AB1504" w:rsidP="001A7F7C">
            <w:pPr>
              <w:jc w:val="both"/>
              <w:rPr>
                <w:rFonts w:eastAsia="Calibri"/>
                <w:sz w:val="20"/>
                <w:lang w:val="fr-CA"/>
              </w:rPr>
            </w:pPr>
          </w:p>
        </w:tc>
        <w:tc>
          <w:tcPr>
            <w:tcW w:w="243" w:type="pct"/>
          </w:tcPr>
          <w:p w:rsidR="00AB1504" w:rsidRPr="00DE1E45" w:rsidRDefault="00AB1504" w:rsidP="001A7F7C">
            <w:pPr>
              <w:jc w:val="both"/>
              <w:rPr>
                <w:rFonts w:eastAsia="Calibri"/>
                <w:sz w:val="20"/>
                <w:lang w:val="fr-CA"/>
              </w:rPr>
            </w:pPr>
          </w:p>
        </w:tc>
        <w:tc>
          <w:tcPr>
            <w:tcW w:w="2330" w:type="pct"/>
          </w:tcPr>
          <w:p w:rsidR="00AB1504" w:rsidRPr="00DE1E45" w:rsidRDefault="00AB1504" w:rsidP="001A7F7C">
            <w:pPr>
              <w:jc w:val="both"/>
              <w:rPr>
                <w:rFonts w:eastAsia="Calibri"/>
                <w:sz w:val="20"/>
                <w:lang w:val="fr-CA"/>
              </w:rPr>
            </w:pPr>
            <w:r w:rsidRPr="00DE1E45">
              <w:rPr>
                <w:rFonts w:eastAsia="Calibri"/>
                <w:sz w:val="20"/>
                <w:lang w:val="fr-CA"/>
              </w:rPr>
              <w:t xml:space="preserve">Décision sur la demande d’exclusion de certains éléments de preuve au procès </w:t>
            </w:r>
          </w:p>
          <w:p w:rsidR="00AB1504" w:rsidRPr="00DE1E45" w:rsidRDefault="00AB1504" w:rsidP="001A7F7C">
            <w:pPr>
              <w:jc w:val="both"/>
              <w:rPr>
                <w:rFonts w:eastAsia="Calibri"/>
                <w:sz w:val="20"/>
                <w:lang w:val="fr-CA"/>
              </w:rPr>
            </w:pPr>
          </w:p>
        </w:tc>
      </w:tr>
      <w:tr w:rsidR="00AB1504" w:rsidRPr="00E672F1" w:rsidTr="001A7F7C">
        <w:tc>
          <w:tcPr>
            <w:tcW w:w="2427" w:type="pct"/>
          </w:tcPr>
          <w:p w:rsidR="00AB1504" w:rsidRPr="00DE1E45" w:rsidRDefault="00AB1504" w:rsidP="001A7F7C">
            <w:pPr>
              <w:jc w:val="both"/>
              <w:rPr>
                <w:rFonts w:eastAsia="Calibri"/>
                <w:sz w:val="20"/>
                <w:lang w:val="fr-CA"/>
              </w:rPr>
            </w:pPr>
            <w:r w:rsidRPr="00DE1E45">
              <w:rPr>
                <w:rFonts w:eastAsia="Calibri"/>
                <w:sz w:val="20"/>
                <w:lang w:val="fr-CA"/>
              </w:rPr>
              <w:t>15 février 2008</w:t>
            </w:r>
          </w:p>
          <w:p w:rsidR="00AB1504" w:rsidRPr="00DE1E45" w:rsidRDefault="00AB1504" w:rsidP="001A7F7C">
            <w:pPr>
              <w:jc w:val="both"/>
              <w:rPr>
                <w:rFonts w:eastAsia="Calibri"/>
                <w:sz w:val="20"/>
                <w:lang w:val="fr-CA"/>
              </w:rPr>
            </w:pPr>
            <w:r w:rsidRPr="00DE1E45">
              <w:rPr>
                <w:rFonts w:eastAsia="Calibri"/>
                <w:sz w:val="20"/>
                <w:lang w:val="fr-CA"/>
              </w:rPr>
              <w:t xml:space="preserve">Cour supérieure de justice de l’Ontario </w:t>
            </w:r>
          </w:p>
          <w:p w:rsidR="00AB1504" w:rsidRPr="00DE1E45" w:rsidRDefault="00AB1504" w:rsidP="001A7F7C">
            <w:pPr>
              <w:jc w:val="both"/>
              <w:rPr>
                <w:rFonts w:eastAsia="Calibri"/>
                <w:sz w:val="20"/>
              </w:rPr>
            </w:pPr>
            <w:r w:rsidRPr="00DE1E45">
              <w:rPr>
                <w:rFonts w:eastAsia="Calibri"/>
                <w:sz w:val="20"/>
              </w:rPr>
              <w:t>(Juge O'Connor)</w:t>
            </w:r>
          </w:p>
          <w:p w:rsidR="00AB1504" w:rsidRPr="00DE1E45" w:rsidRDefault="00AB1504" w:rsidP="001A7F7C">
            <w:pPr>
              <w:jc w:val="both"/>
              <w:rPr>
                <w:rFonts w:eastAsia="Calibri"/>
                <w:sz w:val="20"/>
              </w:rPr>
            </w:pPr>
            <w:r w:rsidRPr="00DE1E45">
              <w:rPr>
                <w:rFonts w:eastAsia="Calibri"/>
                <w:sz w:val="20"/>
              </w:rPr>
              <w:t xml:space="preserve">Référence neutre : </w:t>
            </w:r>
          </w:p>
          <w:p w:rsidR="00AB1504" w:rsidRPr="00DE1E45" w:rsidRDefault="00AB1504" w:rsidP="001A7F7C">
            <w:pPr>
              <w:jc w:val="both"/>
              <w:rPr>
                <w:rFonts w:eastAsia="Calibri"/>
                <w:sz w:val="20"/>
              </w:rPr>
            </w:pPr>
          </w:p>
        </w:tc>
        <w:tc>
          <w:tcPr>
            <w:tcW w:w="243" w:type="pct"/>
          </w:tcPr>
          <w:p w:rsidR="00AB1504" w:rsidRPr="00DE1E45" w:rsidRDefault="00AB1504" w:rsidP="001A7F7C">
            <w:pPr>
              <w:jc w:val="both"/>
              <w:rPr>
                <w:rFonts w:eastAsia="Calibri"/>
                <w:sz w:val="20"/>
              </w:rPr>
            </w:pPr>
          </w:p>
        </w:tc>
        <w:tc>
          <w:tcPr>
            <w:tcW w:w="2330" w:type="pct"/>
          </w:tcPr>
          <w:p w:rsidR="00AB1504" w:rsidRPr="00DE1E45" w:rsidRDefault="00AB1504" w:rsidP="001A7F7C">
            <w:pPr>
              <w:jc w:val="both"/>
              <w:rPr>
                <w:rFonts w:eastAsia="Calibri"/>
                <w:sz w:val="20"/>
                <w:lang w:val="fr-CA"/>
              </w:rPr>
            </w:pPr>
            <w:r w:rsidRPr="00DE1E45">
              <w:rPr>
                <w:rFonts w:eastAsia="Calibri"/>
                <w:sz w:val="20"/>
                <w:lang w:val="fr-CA"/>
              </w:rPr>
              <w:t>Déclaration de culpabilité pour meurtre au premier degré</w:t>
            </w:r>
          </w:p>
          <w:p w:rsidR="00AB1504" w:rsidRPr="00DE1E45" w:rsidRDefault="00AB1504" w:rsidP="001A7F7C">
            <w:pPr>
              <w:jc w:val="both"/>
              <w:rPr>
                <w:rFonts w:eastAsia="Calibri"/>
                <w:sz w:val="20"/>
                <w:lang w:val="fr-CA"/>
              </w:rPr>
            </w:pPr>
          </w:p>
        </w:tc>
      </w:tr>
      <w:tr w:rsidR="00AB1504" w:rsidRPr="00E672F1" w:rsidTr="001A7F7C">
        <w:tc>
          <w:tcPr>
            <w:tcW w:w="2427" w:type="pct"/>
          </w:tcPr>
          <w:p w:rsidR="00AB1504" w:rsidRPr="00DE1E45" w:rsidRDefault="00AB1504" w:rsidP="001A7F7C">
            <w:pPr>
              <w:jc w:val="both"/>
              <w:rPr>
                <w:rFonts w:eastAsia="Calibri"/>
                <w:sz w:val="20"/>
                <w:lang w:val="fr-CA"/>
              </w:rPr>
            </w:pPr>
            <w:r w:rsidRPr="00DE1E45">
              <w:rPr>
                <w:rFonts w:eastAsia="Calibri"/>
                <w:sz w:val="20"/>
                <w:lang w:val="fr-CA"/>
              </w:rPr>
              <w:t>2 avril 2013</w:t>
            </w:r>
          </w:p>
          <w:p w:rsidR="00AB1504" w:rsidRPr="00DE1E45" w:rsidRDefault="00AB1504" w:rsidP="001A7F7C">
            <w:pPr>
              <w:jc w:val="both"/>
              <w:rPr>
                <w:rFonts w:eastAsia="Calibri"/>
                <w:sz w:val="20"/>
                <w:lang w:val="fr-CA"/>
              </w:rPr>
            </w:pPr>
            <w:r w:rsidRPr="00DE1E45">
              <w:rPr>
                <w:rFonts w:eastAsia="Calibri"/>
                <w:sz w:val="20"/>
                <w:lang w:val="fr-CA"/>
              </w:rPr>
              <w:t>Cour d’appel de l’Ontario</w:t>
            </w:r>
          </w:p>
          <w:p w:rsidR="00AB1504" w:rsidRPr="00DE1E45" w:rsidRDefault="00AB1504" w:rsidP="001A7F7C">
            <w:pPr>
              <w:jc w:val="both"/>
              <w:rPr>
                <w:rFonts w:eastAsia="Calibri"/>
                <w:sz w:val="20"/>
                <w:lang w:val="fr-CA"/>
              </w:rPr>
            </w:pPr>
            <w:r w:rsidRPr="00DE1E45">
              <w:rPr>
                <w:rFonts w:eastAsia="Calibri"/>
                <w:sz w:val="20"/>
                <w:lang w:val="fr-CA"/>
              </w:rPr>
              <w:t>(Juges Rosenberg, Sharpe et MacFarland)</w:t>
            </w:r>
          </w:p>
          <w:p w:rsidR="00AB1504" w:rsidRPr="00DE1E45" w:rsidRDefault="00AB1504" w:rsidP="001A7F7C">
            <w:pPr>
              <w:jc w:val="both"/>
              <w:rPr>
                <w:rFonts w:eastAsia="Calibri"/>
                <w:sz w:val="20"/>
              </w:rPr>
            </w:pPr>
            <w:r w:rsidRPr="00DE1E45">
              <w:rPr>
                <w:rFonts w:eastAsia="Calibri"/>
                <w:sz w:val="20"/>
              </w:rPr>
              <w:t>2013 ONCA 190</w:t>
            </w:r>
          </w:p>
          <w:p w:rsidR="00AB1504" w:rsidRPr="00DE1E45" w:rsidRDefault="00E672F1" w:rsidP="000F366E">
            <w:pPr>
              <w:jc w:val="both"/>
              <w:rPr>
                <w:rFonts w:eastAsia="Calibri"/>
                <w:sz w:val="20"/>
              </w:rPr>
            </w:pPr>
            <w:hyperlink r:id="rId45" w:history="1">
              <w:r w:rsidR="00AB1504" w:rsidRPr="00DE1E45">
                <w:rPr>
                  <w:rFonts w:eastAsia="Calibri"/>
                  <w:color w:val="0000FF"/>
                  <w:sz w:val="20"/>
                  <w:u w:val="single"/>
                </w:rPr>
                <w:t>http://canlii.ca/t/fwspf</w:t>
              </w:r>
            </w:hyperlink>
          </w:p>
        </w:tc>
        <w:tc>
          <w:tcPr>
            <w:tcW w:w="243" w:type="pct"/>
          </w:tcPr>
          <w:p w:rsidR="00AB1504" w:rsidRPr="00DE1E45" w:rsidRDefault="00AB1504" w:rsidP="001A7F7C">
            <w:pPr>
              <w:jc w:val="both"/>
              <w:rPr>
                <w:rFonts w:eastAsia="Calibri"/>
                <w:sz w:val="20"/>
              </w:rPr>
            </w:pPr>
          </w:p>
        </w:tc>
        <w:tc>
          <w:tcPr>
            <w:tcW w:w="2330" w:type="pct"/>
          </w:tcPr>
          <w:p w:rsidR="00AB1504" w:rsidRPr="00DE1E45" w:rsidRDefault="00AB1504" w:rsidP="001A7F7C">
            <w:pPr>
              <w:jc w:val="both"/>
              <w:rPr>
                <w:rFonts w:eastAsia="Calibri"/>
                <w:sz w:val="20"/>
                <w:lang w:val="fr-CA"/>
              </w:rPr>
            </w:pPr>
            <w:r w:rsidRPr="00DE1E45">
              <w:rPr>
                <w:rFonts w:eastAsia="Calibri"/>
                <w:sz w:val="20"/>
                <w:lang w:val="fr-CA"/>
              </w:rPr>
              <w:t xml:space="preserve">Appel de la déclaration de culpabilité rejeté </w:t>
            </w:r>
          </w:p>
          <w:p w:rsidR="00AB1504" w:rsidRPr="00DE1E45" w:rsidRDefault="00AB1504" w:rsidP="001A7F7C">
            <w:pPr>
              <w:jc w:val="both"/>
              <w:rPr>
                <w:rFonts w:eastAsia="Calibri"/>
                <w:sz w:val="20"/>
                <w:lang w:val="fr-CA"/>
              </w:rPr>
            </w:pPr>
          </w:p>
          <w:p w:rsidR="00AB1504" w:rsidRPr="00DE1E45" w:rsidRDefault="00AB1504" w:rsidP="001A7F7C">
            <w:pPr>
              <w:jc w:val="both"/>
              <w:rPr>
                <w:rFonts w:eastAsia="Calibri"/>
                <w:sz w:val="20"/>
                <w:lang w:val="fr-CA"/>
              </w:rPr>
            </w:pPr>
          </w:p>
        </w:tc>
      </w:tr>
    </w:tbl>
    <w:p w:rsidR="000F366E" w:rsidRPr="00957B79" w:rsidRDefault="000F366E">
      <w:pPr>
        <w:rPr>
          <w:lang w:val="fr-CA"/>
        </w:rPr>
      </w:pPr>
    </w:p>
    <w:p w:rsidR="000F366E" w:rsidRPr="00957B79" w:rsidRDefault="000F366E">
      <w:pPr>
        <w:rPr>
          <w:lang w:val="fr-CA"/>
        </w:rPr>
      </w:pPr>
      <w:r w:rsidRPr="00957B7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1504" w:rsidRPr="00E672F1" w:rsidTr="000F366E">
        <w:trPr>
          <w:cantSplit/>
        </w:trPr>
        <w:tc>
          <w:tcPr>
            <w:tcW w:w="2427" w:type="pct"/>
          </w:tcPr>
          <w:p w:rsidR="00AB1504" w:rsidRPr="00DE1E45" w:rsidRDefault="00AB1504" w:rsidP="001A7F7C">
            <w:pPr>
              <w:jc w:val="both"/>
              <w:rPr>
                <w:rFonts w:eastAsia="Calibri"/>
                <w:sz w:val="20"/>
                <w:lang w:val="fr-CA"/>
              </w:rPr>
            </w:pPr>
            <w:r w:rsidRPr="00DE1E45">
              <w:rPr>
                <w:rFonts w:eastAsia="Calibri"/>
                <w:sz w:val="20"/>
                <w:lang w:val="fr-CA"/>
              </w:rPr>
              <w:lastRenderedPageBreak/>
              <w:t>23 septembre 2013</w:t>
            </w:r>
          </w:p>
          <w:p w:rsidR="00AB1504" w:rsidRPr="00DE1E45" w:rsidRDefault="00AB1504" w:rsidP="001A7F7C">
            <w:pPr>
              <w:jc w:val="both"/>
              <w:rPr>
                <w:rFonts w:eastAsia="Calibri"/>
                <w:sz w:val="20"/>
                <w:lang w:val="fr-CA"/>
              </w:rPr>
            </w:pPr>
            <w:r w:rsidRPr="00DE1E45">
              <w:rPr>
                <w:rFonts w:eastAsia="Calibri"/>
                <w:sz w:val="20"/>
                <w:lang w:val="fr-CA"/>
              </w:rPr>
              <w:t>Cour suprême du Canada</w:t>
            </w:r>
          </w:p>
        </w:tc>
        <w:tc>
          <w:tcPr>
            <w:tcW w:w="243" w:type="pct"/>
          </w:tcPr>
          <w:p w:rsidR="00AB1504" w:rsidRPr="00DE1E45" w:rsidRDefault="00AB1504" w:rsidP="001A7F7C">
            <w:pPr>
              <w:jc w:val="both"/>
              <w:rPr>
                <w:rFonts w:eastAsia="Calibri"/>
                <w:sz w:val="20"/>
                <w:lang w:val="fr-CA"/>
              </w:rPr>
            </w:pPr>
          </w:p>
        </w:tc>
        <w:tc>
          <w:tcPr>
            <w:tcW w:w="2330" w:type="pct"/>
          </w:tcPr>
          <w:p w:rsidR="00AB1504" w:rsidRPr="00DE1E45" w:rsidRDefault="00AB1504" w:rsidP="001A7F7C">
            <w:pPr>
              <w:jc w:val="both"/>
              <w:rPr>
                <w:rFonts w:eastAsia="Calibri"/>
                <w:sz w:val="20"/>
                <w:lang w:val="fr-CA"/>
              </w:rPr>
            </w:pPr>
            <w:r w:rsidRPr="00DE1E45">
              <w:rPr>
                <w:rFonts w:eastAsia="Calibri"/>
                <w:sz w:val="20"/>
                <w:lang w:val="fr-CA"/>
              </w:rPr>
              <w:t xml:space="preserve">Requête en prorogation de délai pour signifier et déposer la demande d’autorisation d’appel et demande d’autorisation d’appel déposées </w:t>
            </w:r>
          </w:p>
        </w:tc>
      </w:tr>
    </w:tbl>
    <w:p w:rsidR="0010221A" w:rsidRPr="00AB1504" w:rsidRDefault="0010221A" w:rsidP="0010221A">
      <w:pPr>
        <w:rPr>
          <w:sz w:val="20"/>
          <w:szCs w:val="20"/>
          <w:lang w:val="fr-CA"/>
        </w:rPr>
      </w:pPr>
    </w:p>
    <w:p w:rsidR="0010221A" w:rsidRDefault="00E672F1" w:rsidP="0010221A">
      <w:pPr>
        <w:rPr>
          <w:sz w:val="20"/>
          <w:szCs w:val="20"/>
        </w:rPr>
      </w:pPr>
      <w:r>
        <w:rPr>
          <w:sz w:val="20"/>
          <w:szCs w:val="20"/>
          <w:lang w:val="fr-CA"/>
        </w:rPr>
        <w:pict>
          <v:rect id="_x0000_i1051" style="width:2in;height:1pt" o:hrpct="0" o:hralign="center" o:hrstd="t" o:hrnoshade="t" o:hr="t" fillcolor="black [3213]" stroked="f"/>
        </w:pict>
      </w:r>
    </w:p>
    <w:p w:rsidR="0010221A" w:rsidRDefault="0010221A" w:rsidP="0010221A">
      <w:pPr>
        <w:rPr>
          <w:sz w:val="20"/>
          <w:szCs w:val="20"/>
        </w:rPr>
      </w:pPr>
    </w:p>
    <w:tbl>
      <w:tblPr>
        <w:tblStyle w:val="TableGrid1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F366E" w:rsidRPr="000F366E" w:rsidTr="00C21531">
        <w:trPr>
          <w:cantSplit/>
        </w:trPr>
        <w:tc>
          <w:tcPr>
            <w:tcW w:w="1458" w:type="dxa"/>
          </w:tcPr>
          <w:p w:rsidR="000F366E" w:rsidRPr="000F366E" w:rsidRDefault="000F366E" w:rsidP="000F366E">
            <w:pPr>
              <w:rPr>
                <w:sz w:val="20"/>
              </w:rPr>
            </w:pPr>
            <w:r w:rsidRPr="000F366E">
              <w:rPr>
                <w:b/>
                <w:sz w:val="20"/>
                <w:lang w:val="fr-CA"/>
              </w:rPr>
              <w:t>35538</w:t>
            </w:r>
          </w:p>
          <w:p w:rsidR="000F366E" w:rsidRPr="000F366E" w:rsidRDefault="000F366E" w:rsidP="000F366E">
            <w:pPr>
              <w:rPr>
                <w:b/>
                <w:sz w:val="20"/>
                <w:lang w:val="fr-CA"/>
              </w:rPr>
            </w:pPr>
          </w:p>
        </w:tc>
        <w:tc>
          <w:tcPr>
            <w:tcW w:w="8118" w:type="dxa"/>
          </w:tcPr>
          <w:p w:rsidR="000F366E" w:rsidRPr="000F366E" w:rsidRDefault="000F366E" w:rsidP="000F366E">
            <w:pPr>
              <w:jc w:val="both"/>
              <w:rPr>
                <w:sz w:val="20"/>
              </w:rPr>
            </w:pPr>
            <w:r w:rsidRPr="000F366E">
              <w:rPr>
                <w:b/>
                <w:sz w:val="20"/>
                <w:u w:val="single"/>
              </w:rPr>
              <w:t>X v. Her Majesty the Queen, Cody Rae Haevischer, Matthew James Johnston, Quang Vinh Thang Le, Postmedia Network Inc. d.b.a. Vancouver Sun, Canadian Broadcasting Corporation and Global Television Network Inc. AND BETWEEN Y v. Her Majesty the Queen, Cody Rae Haevischer, Matthew James Johnston, Quang Vinh Thang Le, Postmedia Network Inc. d.b.a. Vancouver Sun, Canadian Broadcasting Corporation and Global Television Network Inc.</w:t>
            </w:r>
            <w:r w:rsidRPr="000F366E">
              <w:rPr>
                <w:sz w:val="20"/>
              </w:rPr>
              <w:t xml:space="preserve"> (B.C.) (Criminal) (By Leave)</w:t>
            </w:r>
          </w:p>
          <w:p w:rsidR="000F366E" w:rsidRPr="000F366E" w:rsidRDefault="000F366E" w:rsidP="000F366E">
            <w:pPr>
              <w:jc w:val="both"/>
              <w:rPr>
                <w:sz w:val="20"/>
              </w:rPr>
            </w:pPr>
          </w:p>
        </w:tc>
      </w:tr>
      <w:tr w:rsidR="000F366E" w:rsidRPr="000F366E" w:rsidTr="00C21531">
        <w:trPr>
          <w:cantSplit/>
        </w:trPr>
        <w:tc>
          <w:tcPr>
            <w:tcW w:w="1458" w:type="dxa"/>
          </w:tcPr>
          <w:p w:rsidR="000F366E" w:rsidRPr="000F366E" w:rsidRDefault="000F366E" w:rsidP="000F366E">
            <w:pPr>
              <w:rPr>
                <w:sz w:val="20"/>
              </w:rPr>
            </w:pPr>
            <w:r w:rsidRPr="000F366E">
              <w:rPr>
                <w:sz w:val="20"/>
              </w:rPr>
              <w:t>Coram :</w:t>
            </w:r>
          </w:p>
        </w:tc>
        <w:tc>
          <w:tcPr>
            <w:tcW w:w="8118" w:type="dxa"/>
          </w:tcPr>
          <w:p w:rsidR="000F366E" w:rsidRPr="000F366E" w:rsidRDefault="000F366E" w:rsidP="000F366E">
            <w:pPr>
              <w:rPr>
                <w:sz w:val="20"/>
              </w:rPr>
            </w:pPr>
            <w:r w:rsidRPr="000F366E">
              <w:rPr>
                <w:sz w:val="20"/>
                <w:u w:val="single"/>
              </w:rPr>
              <w:t>LeBel, Karakatsanis and Wagner JJ.</w:t>
            </w:r>
          </w:p>
          <w:p w:rsidR="000F366E" w:rsidRPr="000F366E" w:rsidRDefault="000F366E" w:rsidP="000F366E">
            <w:pPr>
              <w:rPr>
                <w:sz w:val="20"/>
                <w:u w:val="single"/>
              </w:rPr>
            </w:pPr>
          </w:p>
        </w:tc>
      </w:tr>
      <w:tr w:rsidR="000F366E" w:rsidRPr="00E672F1" w:rsidTr="00C21531">
        <w:trPr>
          <w:cantSplit/>
        </w:trPr>
        <w:tc>
          <w:tcPr>
            <w:tcW w:w="9576" w:type="dxa"/>
            <w:gridSpan w:val="2"/>
          </w:tcPr>
          <w:p w:rsidR="000F366E" w:rsidRPr="000F366E" w:rsidRDefault="000F366E" w:rsidP="000F366E">
            <w:pPr>
              <w:ind w:firstLine="720"/>
              <w:jc w:val="both"/>
              <w:rPr>
                <w:sz w:val="20"/>
              </w:rPr>
            </w:pPr>
            <w:r w:rsidRPr="000F366E">
              <w:rPr>
                <w:sz w:val="20"/>
              </w:rPr>
              <w:t xml:space="preserve">The application for leave to appeal from the judgment of the Supreme Court of British Columbia, Number X072945-B, 2013 BCSC 1085, dated June 19, 2013, </w:t>
            </w:r>
            <w:r w:rsidR="00E635CC">
              <w:rPr>
                <w:sz w:val="20"/>
              </w:rPr>
              <w:t>are</w:t>
            </w:r>
            <w:r w:rsidRPr="000F366E">
              <w:rPr>
                <w:sz w:val="20"/>
              </w:rPr>
              <w:t xml:space="preserve"> dismissed without costs. The sealing and publication ban order of Karakatsanis J., dated October 16, 2013, is rescinded.</w:t>
            </w:r>
          </w:p>
          <w:p w:rsidR="000F366E" w:rsidRPr="000F366E" w:rsidRDefault="000F366E" w:rsidP="000F366E">
            <w:pPr>
              <w:jc w:val="both"/>
              <w:rPr>
                <w:sz w:val="20"/>
              </w:rPr>
            </w:pPr>
          </w:p>
          <w:p w:rsidR="000F366E" w:rsidRPr="000F366E" w:rsidRDefault="000F366E" w:rsidP="00E635CC">
            <w:pPr>
              <w:ind w:firstLine="720"/>
              <w:jc w:val="both"/>
              <w:rPr>
                <w:sz w:val="20"/>
                <w:lang w:val="fr-CA"/>
              </w:rPr>
            </w:pPr>
            <w:r w:rsidRPr="000F366E">
              <w:rPr>
                <w:sz w:val="20"/>
                <w:lang w:val="fr-CA"/>
              </w:rPr>
              <w:t>La demande d’autorisation d’appel du jugement de la Cour suprême de la Colombie-Britannique, numéro X072945-B, 2013 BCSC 1085, daté du 19 juin 2013, s</w:t>
            </w:r>
            <w:r w:rsidR="00E635CC">
              <w:rPr>
                <w:sz w:val="20"/>
                <w:lang w:val="fr-CA"/>
              </w:rPr>
              <w:t>on</w:t>
            </w:r>
            <w:r w:rsidRPr="000F366E">
              <w:rPr>
                <w:sz w:val="20"/>
                <w:lang w:val="fr-CA"/>
              </w:rPr>
              <w:t>t rejetée</w:t>
            </w:r>
            <w:r w:rsidR="00E635CC">
              <w:rPr>
                <w:sz w:val="20"/>
                <w:lang w:val="fr-CA"/>
              </w:rPr>
              <w:t>s</w:t>
            </w:r>
            <w:r w:rsidRPr="000F366E">
              <w:rPr>
                <w:sz w:val="20"/>
                <w:lang w:val="fr-CA"/>
              </w:rPr>
              <w:t xml:space="preserve"> sans dépens. L’ordonnance d’interdiction de publication et de mise sous scellés, prononcée par la juge Karakatsanis le 16 octobre 2013, est rescindée.</w:t>
            </w:r>
          </w:p>
        </w:tc>
      </w:tr>
    </w:tbl>
    <w:p w:rsidR="0010221A" w:rsidRPr="000F366E" w:rsidRDefault="0010221A" w:rsidP="0010221A">
      <w:pPr>
        <w:rPr>
          <w:sz w:val="20"/>
          <w:szCs w:val="20"/>
          <w:lang w:val="fr-CA"/>
        </w:rPr>
      </w:pPr>
    </w:p>
    <w:p w:rsidR="0010221A" w:rsidRPr="001B157C" w:rsidRDefault="0010221A" w:rsidP="0010221A">
      <w:pPr>
        <w:rPr>
          <w:sz w:val="20"/>
          <w:szCs w:val="20"/>
          <w:u w:val="single"/>
        </w:rPr>
      </w:pPr>
      <w:r w:rsidRPr="001B157C">
        <w:rPr>
          <w:sz w:val="20"/>
          <w:szCs w:val="20"/>
          <w:u w:val="single"/>
        </w:rPr>
        <w:t>CASE SUMMARY</w:t>
      </w:r>
    </w:p>
    <w:p w:rsidR="0010221A" w:rsidRDefault="0010221A" w:rsidP="0010221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554"/>
        <w:gridCol w:w="514"/>
        <w:gridCol w:w="4459"/>
      </w:tblGrid>
      <w:tr w:rsidR="00BE278E" w:rsidRPr="00FC0FCC" w:rsidTr="00C21531">
        <w:tc>
          <w:tcPr>
            <w:tcW w:w="5000" w:type="pct"/>
            <w:gridSpan w:val="3"/>
          </w:tcPr>
          <w:p w:rsidR="00BE278E" w:rsidRPr="00FC0FCC" w:rsidRDefault="00BE278E" w:rsidP="00C21531">
            <w:pPr>
              <w:jc w:val="both"/>
              <w:rPr>
                <w:rFonts w:eastAsia="Calibri"/>
                <w:sz w:val="20"/>
                <w:szCs w:val="20"/>
              </w:rPr>
            </w:pPr>
            <w:r w:rsidRPr="00FC0FCC">
              <w:rPr>
                <w:rFonts w:eastAsia="Calibri"/>
                <w:sz w:val="20"/>
                <w:szCs w:val="20"/>
              </w:rPr>
              <w:t>Criminal law — Publication bans — Applicant</w:t>
            </w:r>
            <w:r w:rsidR="00E57F0F">
              <w:rPr>
                <w:rFonts w:eastAsia="Calibri"/>
                <w:sz w:val="20"/>
                <w:szCs w:val="20"/>
              </w:rPr>
              <w:t>s</w:t>
            </w:r>
            <w:r w:rsidRPr="00FC0FCC">
              <w:rPr>
                <w:rFonts w:eastAsia="Calibri"/>
                <w:sz w:val="20"/>
                <w:szCs w:val="20"/>
              </w:rPr>
              <w:t xml:space="preserve"> w</w:t>
            </w:r>
            <w:r w:rsidR="00C21531">
              <w:rPr>
                <w:rFonts w:eastAsia="Calibri"/>
                <w:sz w:val="20"/>
                <w:szCs w:val="20"/>
              </w:rPr>
              <w:t>ere</w:t>
            </w:r>
            <w:r w:rsidRPr="00FC0FCC">
              <w:rPr>
                <w:rFonts w:eastAsia="Calibri"/>
                <w:sz w:val="20"/>
                <w:szCs w:val="20"/>
                <w:lang w:val="en-GB"/>
              </w:rPr>
              <w:t xml:space="preserve"> member</w:t>
            </w:r>
            <w:r w:rsidR="00C21531">
              <w:rPr>
                <w:rFonts w:eastAsia="Calibri"/>
                <w:sz w:val="20"/>
                <w:szCs w:val="20"/>
                <w:lang w:val="en-GB"/>
              </w:rPr>
              <w:t>s</w:t>
            </w:r>
            <w:r w:rsidRPr="00FC0FCC">
              <w:rPr>
                <w:rFonts w:eastAsia="Calibri"/>
                <w:sz w:val="20"/>
                <w:szCs w:val="20"/>
                <w:lang w:val="en-GB"/>
              </w:rPr>
              <w:t xml:space="preserve"> of criminal organization — </w:t>
            </w:r>
            <w:r w:rsidRPr="00FC0FCC">
              <w:rPr>
                <w:rFonts w:eastAsia="Calibri"/>
                <w:sz w:val="20"/>
                <w:szCs w:val="20"/>
              </w:rPr>
              <w:t>Applicant</w:t>
            </w:r>
            <w:r w:rsidR="00C21531">
              <w:rPr>
                <w:rFonts w:eastAsia="Calibri"/>
                <w:sz w:val="20"/>
                <w:szCs w:val="20"/>
              </w:rPr>
              <w:t>s</w:t>
            </w:r>
            <w:r w:rsidRPr="00FC0FCC">
              <w:rPr>
                <w:rFonts w:eastAsia="Calibri"/>
                <w:sz w:val="20"/>
                <w:szCs w:val="20"/>
              </w:rPr>
              <w:t xml:space="preserve"> </w:t>
            </w:r>
            <w:r w:rsidRPr="00FC0FCC">
              <w:rPr>
                <w:rFonts w:eastAsia="Calibri"/>
                <w:sz w:val="20"/>
                <w:szCs w:val="20"/>
                <w:lang w:val="en-GB"/>
              </w:rPr>
              <w:t>cooperated with Crown in case against former associates</w:t>
            </w:r>
            <w:r w:rsidRPr="00FC0FCC">
              <w:rPr>
                <w:rFonts w:eastAsia="Calibri"/>
                <w:sz w:val="20"/>
                <w:szCs w:val="20"/>
              </w:rPr>
              <w:t xml:space="preserve"> — Applicant</w:t>
            </w:r>
            <w:r w:rsidR="00C21531">
              <w:rPr>
                <w:rFonts w:eastAsia="Calibri"/>
                <w:sz w:val="20"/>
                <w:szCs w:val="20"/>
              </w:rPr>
              <w:t>s</w:t>
            </w:r>
            <w:r w:rsidRPr="00FC0FCC">
              <w:rPr>
                <w:rFonts w:eastAsia="Calibri"/>
                <w:sz w:val="20"/>
                <w:szCs w:val="20"/>
              </w:rPr>
              <w:t xml:space="preserve"> now fear risk of harm in prison if cooperation disclosed — Trial judge ordered publication ban of applicants</w:t>
            </w:r>
            <w:r w:rsidR="00C21531">
              <w:rPr>
                <w:rFonts w:eastAsia="Calibri"/>
                <w:sz w:val="20"/>
                <w:szCs w:val="20"/>
              </w:rPr>
              <w:t>’</w:t>
            </w:r>
            <w:r w:rsidRPr="00FC0FCC">
              <w:rPr>
                <w:rFonts w:eastAsia="Calibri"/>
                <w:sz w:val="20"/>
                <w:szCs w:val="20"/>
              </w:rPr>
              <w:t xml:space="preserve"> name</w:t>
            </w:r>
            <w:r w:rsidR="00C21531">
              <w:rPr>
                <w:rFonts w:eastAsia="Calibri"/>
                <w:sz w:val="20"/>
                <w:szCs w:val="20"/>
              </w:rPr>
              <w:t>s</w:t>
            </w:r>
            <w:r w:rsidRPr="00FC0FCC">
              <w:rPr>
                <w:rFonts w:eastAsia="Calibri"/>
                <w:sz w:val="20"/>
                <w:szCs w:val="20"/>
              </w:rPr>
              <w:t>, initials and image</w:t>
            </w:r>
            <w:r w:rsidR="00C21531">
              <w:rPr>
                <w:rFonts w:eastAsia="Calibri"/>
                <w:sz w:val="20"/>
                <w:szCs w:val="20"/>
              </w:rPr>
              <w:t>s</w:t>
            </w:r>
            <w:r w:rsidRPr="00FC0FCC">
              <w:rPr>
                <w:rFonts w:eastAsia="Calibri"/>
                <w:sz w:val="20"/>
                <w:szCs w:val="20"/>
              </w:rPr>
              <w:t xml:space="preserve"> only — Whether trial judge’s publication ban order reasonable — </w:t>
            </w:r>
            <w:r w:rsidRPr="00FC0FCC">
              <w:rPr>
                <w:rFonts w:eastAsia="Calibri"/>
                <w:i/>
                <w:sz w:val="20"/>
                <w:szCs w:val="20"/>
              </w:rPr>
              <w:t>Criminal Code</w:t>
            </w:r>
            <w:r w:rsidRPr="00FC0FCC">
              <w:rPr>
                <w:rFonts w:eastAsia="Calibri"/>
                <w:sz w:val="20"/>
                <w:szCs w:val="20"/>
              </w:rPr>
              <w:t>, s. 486.5.</w:t>
            </w:r>
          </w:p>
          <w:p w:rsidR="00BE278E" w:rsidRPr="00FC0FCC" w:rsidRDefault="00BE278E" w:rsidP="00C21531">
            <w:pPr>
              <w:jc w:val="both"/>
              <w:rPr>
                <w:rFonts w:eastAsia="Calibri"/>
                <w:sz w:val="20"/>
                <w:szCs w:val="20"/>
              </w:rPr>
            </w:pPr>
          </w:p>
        </w:tc>
      </w:tr>
      <w:tr w:rsidR="00BE278E" w:rsidRPr="00FC0FCC" w:rsidTr="00C21531">
        <w:tc>
          <w:tcPr>
            <w:tcW w:w="5000" w:type="pct"/>
            <w:gridSpan w:val="3"/>
          </w:tcPr>
          <w:p w:rsidR="00BE278E" w:rsidRPr="00FC0FCC" w:rsidRDefault="00BE278E" w:rsidP="00C21531">
            <w:pPr>
              <w:tabs>
                <w:tab w:val="left" w:pos="-1167"/>
                <w:tab w:val="left" w:pos="-687"/>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jc w:val="both"/>
              <w:rPr>
                <w:rFonts w:eastAsia="Calibri"/>
                <w:sz w:val="20"/>
                <w:szCs w:val="20"/>
                <w:lang w:val="en-GB"/>
              </w:rPr>
            </w:pPr>
            <w:r w:rsidRPr="00FC0FCC">
              <w:rPr>
                <w:rFonts w:eastAsia="Calibri"/>
                <w:sz w:val="20"/>
                <w:szCs w:val="20"/>
                <w:lang w:val="en-GB"/>
              </w:rPr>
              <w:t>The applicant</w:t>
            </w:r>
            <w:r w:rsidR="00C21531">
              <w:rPr>
                <w:rFonts w:eastAsia="Calibri"/>
                <w:sz w:val="20"/>
                <w:szCs w:val="20"/>
                <w:lang w:val="en-GB"/>
              </w:rPr>
              <w:t>s</w:t>
            </w:r>
            <w:r w:rsidRPr="00FC0FCC">
              <w:rPr>
                <w:rFonts w:eastAsia="Calibri"/>
                <w:sz w:val="20"/>
                <w:szCs w:val="20"/>
                <w:lang w:val="en-GB"/>
              </w:rPr>
              <w:t xml:space="preserve"> X </w:t>
            </w:r>
            <w:r w:rsidR="00C21531">
              <w:rPr>
                <w:rFonts w:eastAsia="Calibri"/>
                <w:sz w:val="20"/>
                <w:szCs w:val="20"/>
                <w:lang w:val="en-GB"/>
              </w:rPr>
              <w:t xml:space="preserve">and Y </w:t>
            </w:r>
            <w:r w:rsidRPr="00FC0FCC">
              <w:rPr>
                <w:rFonts w:eastAsia="Calibri"/>
                <w:sz w:val="20"/>
                <w:szCs w:val="20"/>
                <w:lang w:val="en-GB"/>
              </w:rPr>
              <w:t>cooperated with the Crown in its case against three accused, Messrs. Cody Rae Haevischer, Matthew James Johnston and Quang Vinh Thang Le, who are charged with offences arising out of the “Surrey Six” murders. It was the Crown’s position that as former member</w:t>
            </w:r>
            <w:r w:rsidR="00E57F0F">
              <w:rPr>
                <w:rFonts w:eastAsia="Calibri"/>
                <w:sz w:val="20"/>
                <w:szCs w:val="20"/>
                <w:lang w:val="en-GB"/>
              </w:rPr>
              <w:t>s</w:t>
            </w:r>
            <w:r w:rsidRPr="00FC0FCC">
              <w:rPr>
                <w:rFonts w:eastAsia="Calibri"/>
                <w:sz w:val="20"/>
                <w:szCs w:val="20"/>
                <w:lang w:val="en-GB"/>
              </w:rPr>
              <w:t xml:space="preserve"> of a criminal organization cooperating with the Crown against </w:t>
            </w:r>
            <w:r w:rsidR="00C21531">
              <w:rPr>
                <w:rFonts w:eastAsia="Calibri"/>
                <w:sz w:val="20"/>
                <w:szCs w:val="20"/>
                <w:lang w:val="en-GB"/>
              </w:rPr>
              <w:t>t</w:t>
            </w:r>
            <w:r w:rsidRPr="00FC0FCC">
              <w:rPr>
                <w:rFonts w:eastAsia="Calibri"/>
                <w:sz w:val="20"/>
                <w:szCs w:val="20"/>
                <w:lang w:val="en-GB"/>
              </w:rPr>
              <w:t>h</w:t>
            </w:r>
            <w:r w:rsidR="00C21531">
              <w:rPr>
                <w:rFonts w:eastAsia="Calibri"/>
                <w:sz w:val="20"/>
                <w:szCs w:val="20"/>
                <w:lang w:val="en-GB"/>
              </w:rPr>
              <w:t>e</w:t>
            </w:r>
            <w:r w:rsidRPr="00FC0FCC">
              <w:rPr>
                <w:rFonts w:eastAsia="Calibri"/>
                <w:sz w:val="20"/>
                <w:szCs w:val="20"/>
                <w:lang w:val="en-GB"/>
              </w:rPr>
              <w:t>i</w:t>
            </w:r>
            <w:r w:rsidR="00C21531">
              <w:rPr>
                <w:rFonts w:eastAsia="Calibri"/>
                <w:sz w:val="20"/>
                <w:szCs w:val="20"/>
                <w:lang w:val="en-GB"/>
              </w:rPr>
              <w:t>r</w:t>
            </w:r>
            <w:r w:rsidRPr="00FC0FCC">
              <w:rPr>
                <w:rFonts w:eastAsia="Calibri"/>
                <w:sz w:val="20"/>
                <w:szCs w:val="20"/>
                <w:lang w:val="en-GB"/>
              </w:rPr>
              <w:t xml:space="preserve"> former associates, X </w:t>
            </w:r>
            <w:r w:rsidR="00C21531">
              <w:rPr>
                <w:rFonts w:eastAsia="Calibri"/>
                <w:sz w:val="20"/>
                <w:szCs w:val="20"/>
                <w:lang w:val="en-GB"/>
              </w:rPr>
              <w:t xml:space="preserve">and Y </w:t>
            </w:r>
            <w:r w:rsidRPr="00FC0FCC">
              <w:rPr>
                <w:rFonts w:eastAsia="Calibri"/>
                <w:sz w:val="20"/>
                <w:szCs w:val="20"/>
                <w:lang w:val="en-GB"/>
              </w:rPr>
              <w:t xml:space="preserve">face a real and substantial risk of harm within </w:t>
            </w:r>
            <w:r w:rsidR="00C21531">
              <w:rPr>
                <w:rFonts w:eastAsia="Calibri"/>
                <w:sz w:val="20"/>
                <w:szCs w:val="20"/>
                <w:lang w:val="en-GB"/>
              </w:rPr>
              <w:t>t</w:t>
            </w:r>
            <w:r w:rsidRPr="00FC0FCC">
              <w:rPr>
                <w:rFonts w:eastAsia="Calibri"/>
                <w:sz w:val="20"/>
                <w:szCs w:val="20"/>
                <w:lang w:val="en-GB"/>
              </w:rPr>
              <w:t>h</w:t>
            </w:r>
            <w:r w:rsidR="00C21531">
              <w:rPr>
                <w:rFonts w:eastAsia="Calibri"/>
                <w:sz w:val="20"/>
                <w:szCs w:val="20"/>
                <w:lang w:val="en-GB"/>
              </w:rPr>
              <w:t>e</w:t>
            </w:r>
            <w:r w:rsidRPr="00FC0FCC">
              <w:rPr>
                <w:rFonts w:eastAsia="Calibri"/>
                <w:sz w:val="20"/>
                <w:szCs w:val="20"/>
                <w:lang w:val="en-GB"/>
              </w:rPr>
              <w:t>i</w:t>
            </w:r>
            <w:r w:rsidR="00C21531">
              <w:rPr>
                <w:rFonts w:eastAsia="Calibri"/>
                <w:sz w:val="20"/>
                <w:szCs w:val="20"/>
                <w:lang w:val="en-GB"/>
              </w:rPr>
              <w:t>r</w:t>
            </w:r>
            <w:r w:rsidRPr="00FC0FCC">
              <w:rPr>
                <w:rFonts w:eastAsia="Calibri"/>
                <w:sz w:val="20"/>
                <w:szCs w:val="20"/>
                <w:lang w:val="en-GB"/>
              </w:rPr>
              <w:t xml:space="preserve"> correctional institution</w:t>
            </w:r>
            <w:r w:rsidR="00C21531">
              <w:rPr>
                <w:rFonts w:eastAsia="Calibri"/>
                <w:sz w:val="20"/>
                <w:szCs w:val="20"/>
                <w:lang w:val="en-GB"/>
              </w:rPr>
              <w:t>s</w:t>
            </w:r>
            <w:r w:rsidRPr="00FC0FCC">
              <w:rPr>
                <w:rFonts w:eastAsia="Calibri"/>
                <w:sz w:val="20"/>
                <w:szCs w:val="20"/>
                <w:lang w:val="en-GB"/>
              </w:rPr>
              <w:t xml:space="preserve"> if </w:t>
            </w:r>
            <w:r w:rsidR="00C21531">
              <w:rPr>
                <w:rFonts w:eastAsia="Calibri"/>
                <w:sz w:val="20"/>
                <w:szCs w:val="20"/>
                <w:lang w:val="en-GB"/>
              </w:rPr>
              <w:t>t</w:t>
            </w:r>
            <w:r w:rsidRPr="00FC0FCC">
              <w:rPr>
                <w:rFonts w:eastAsia="Calibri"/>
                <w:sz w:val="20"/>
                <w:szCs w:val="20"/>
                <w:lang w:val="en-GB"/>
              </w:rPr>
              <w:t>h</w:t>
            </w:r>
            <w:r w:rsidR="00C21531">
              <w:rPr>
                <w:rFonts w:eastAsia="Calibri"/>
                <w:sz w:val="20"/>
                <w:szCs w:val="20"/>
                <w:lang w:val="en-GB"/>
              </w:rPr>
              <w:t>e</w:t>
            </w:r>
            <w:r w:rsidRPr="00FC0FCC">
              <w:rPr>
                <w:rFonts w:eastAsia="Calibri"/>
                <w:sz w:val="20"/>
                <w:szCs w:val="20"/>
                <w:lang w:val="en-GB"/>
              </w:rPr>
              <w:t>i</w:t>
            </w:r>
            <w:r w:rsidR="00C21531">
              <w:rPr>
                <w:rFonts w:eastAsia="Calibri"/>
                <w:sz w:val="20"/>
                <w:szCs w:val="20"/>
                <w:lang w:val="en-GB"/>
              </w:rPr>
              <w:t>r</w:t>
            </w:r>
            <w:r w:rsidRPr="00FC0FCC">
              <w:rPr>
                <w:rFonts w:eastAsia="Calibri"/>
                <w:sz w:val="20"/>
                <w:szCs w:val="20"/>
                <w:lang w:val="en-GB"/>
              </w:rPr>
              <w:t xml:space="preserve"> cooperation or other participation in these proceedings is disclosed. Therefore, the Crown applied to the trial court under s. 486.5 of the </w:t>
            </w:r>
            <w:r w:rsidRPr="00FC0FCC">
              <w:rPr>
                <w:rFonts w:eastAsia="Calibri"/>
                <w:i/>
                <w:sz w:val="20"/>
                <w:szCs w:val="20"/>
                <w:lang w:val="en-GB"/>
              </w:rPr>
              <w:t>Criminal Code</w:t>
            </w:r>
            <w:r w:rsidRPr="00FC0FCC">
              <w:rPr>
                <w:rFonts w:eastAsia="Calibri"/>
                <w:sz w:val="20"/>
                <w:szCs w:val="20"/>
                <w:lang w:val="en-GB"/>
              </w:rPr>
              <w:t xml:space="preserve"> for an order prohibiting the publication of any information that could identify X </w:t>
            </w:r>
            <w:r w:rsidR="00C21531">
              <w:rPr>
                <w:rFonts w:eastAsia="Calibri"/>
                <w:sz w:val="20"/>
                <w:szCs w:val="20"/>
                <w:lang w:val="en-GB"/>
              </w:rPr>
              <w:t xml:space="preserve">and Y </w:t>
            </w:r>
            <w:r w:rsidRPr="00FC0FCC">
              <w:rPr>
                <w:rFonts w:eastAsia="Calibri"/>
                <w:sz w:val="20"/>
                <w:szCs w:val="20"/>
                <w:lang w:val="en-GB"/>
              </w:rPr>
              <w:t>as either justice system participant</w:t>
            </w:r>
            <w:r w:rsidR="00C21531">
              <w:rPr>
                <w:rFonts w:eastAsia="Calibri"/>
                <w:sz w:val="20"/>
                <w:szCs w:val="20"/>
                <w:lang w:val="en-GB"/>
              </w:rPr>
              <w:t>s</w:t>
            </w:r>
            <w:r w:rsidRPr="00FC0FCC">
              <w:rPr>
                <w:rFonts w:eastAsia="Calibri"/>
                <w:sz w:val="20"/>
                <w:szCs w:val="20"/>
                <w:lang w:val="en-GB"/>
              </w:rPr>
              <w:t xml:space="preserve"> or  witness</w:t>
            </w:r>
            <w:r w:rsidR="00C21531">
              <w:rPr>
                <w:rFonts w:eastAsia="Calibri"/>
                <w:sz w:val="20"/>
                <w:szCs w:val="20"/>
                <w:lang w:val="en-GB"/>
              </w:rPr>
              <w:t>es</w:t>
            </w:r>
            <w:r w:rsidRPr="00FC0FCC">
              <w:rPr>
                <w:rFonts w:eastAsia="Calibri"/>
                <w:sz w:val="20"/>
                <w:szCs w:val="20"/>
                <w:lang w:val="en-GB"/>
              </w:rPr>
              <w:t xml:space="preserve"> in these proceedings until </w:t>
            </w:r>
            <w:r w:rsidR="00C21531">
              <w:rPr>
                <w:rFonts w:eastAsia="Calibri"/>
                <w:sz w:val="20"/>
                <w:szCs w:val="20"/>
                <w:lang w:val="en-GB"/>
              </w:rPr>
              <w:t>t</w:t>
            </w:r>
            <w:r w:rsidRPr="00FC0FCC">
              <w:rPr>
                <w:rFonts w:eastAsia="Calibri"/>
                <w:sz w:val="20"/>
                <w:szCs w:val="20"/>
                <w:lang w:val="en-GB"/>
              </w:rPr>
              <w:t>he</w:t>
            </w:r>
            <w:r w:rsidR="00C21531">
              <w:rPr>
                <w:rFonts w:eastAsia="Calibri"/>
                <w:sz w:val="20"/>
                <w:szCs w:val="20"/>
                <w:lang w:val="en-GB"/>
              </w:rPr>
              <w:t>y</w:t>
            </w:r>
            <w:r w:rsidRPr="00FC0FCC">
              <w:rPr>
                <w:rFonts w:eastAsia="Calibri"/>
                <w:sz w:val="20"/>
                <w:szCs w:val="20"/>
                <w:lang w:val="en-GB"/>
              </w:rPr>
              <w:t xml:space="preserve"> </w:t>
            </w:r>
            <w:r w:rsidR="00C21531">
              <w:rPr>
                <w:rFonts w:eastAsia="Calibri"/>
                <w:sz w:val="20"/>
                <w:szCs w:val="20"/>
                <w:lang w:val="en-GB"/>
              </w:rPr>
              <w:t>are</w:t>
            </w:r>
            <w:r w:rsidRPr="00FC0FCC">
              <w:rPr>
                <w:rFonts w:eastAsia="Calibri"/>
                <w:sz w:val="20"/>
                <w:szCs w:val="20"/>
                <w:lang w:val="en-GB"/>
              </w:rPr>
              <w:t xml:space="preserve"> released from prison. Postmedia Network Inc. d.b.a. The Vancouver Sun, The Canadian Broadcasting Corporation and Global Television Network Inc. (collectively, the “Media Respondents”) opposed the application. On June 19, 2013, the trial judge ordered a partial publication ban of photographs and pictures of X </w:t>
            </w:r>
            <w:r w:rsidR="00C21531">
              <w:rPr>
                <w:rFonts w:eastAsia="Calibri"/>
                <w:sz w:val="20"/>
                <w:szCs w:val="20"/>
                <w:lang w:val="en-GB"/>
              </w:rPr>
              <w:t xml:space="preserve">and Y </w:t>
            </w:r>
            <w:r w:rsidRPr="00FC0FCC">
              <w:rPr>
                <w:rFonts w:eastAsia="Calibri"/>
                <w:sz w:val="20"/>
                <w:szCs w:val="20"/>
                <w:lang w:val="en-GB"/>
              </w:rPr>
              <w:t xml:space="preserve">and of information concerning measures taken to protect </w:t>
            </w:r>
            <w:r w:rsidR="00C21531">
              <w:rPr>
                <w:rFonts w:eastAsia="Calibri"/>
                <w:sz w:val="20"/>
                <w:szCs w:val="20"/>
                <w:lang w:val="en-GB"/>
              </w:rPr>
              <w:t>t</w:t>
            </w:r>
            <w:r w:rsidRPr="00FC0FCC">
              <w:rPr>
                <w:rFonts w:eastAsia="Calibri"/>
                <w:sz w:val="20"/>
                <w:szCs w:val="20"/>
                <w:lang w:val="en-GB"/>
              </w:rPr>
              <w:t>h</w:t>
            </w:r>
            <w:r w:rsidR="00C21531">
              <w:rPr>
                <w:rFonts w:eastAsia="Calibri"/>
                <w:sz w:val="20"/>
                <w:szCs w:val="20"/>
                <w:lang w:val="en-GB"/>
              </w:rPr>
              <w:t>e</w:t>
            </w:r>
            <w:r w:rsidRPr="00FC0FCC">
              <w:rPr>
                <w:rFonts w:eastAsia="Calibri"/>
                <w:sz w:val="20"/>
                <w:szCs w:val="20"/>
                <w:lang w:val="en-GB"/>
              </w:rPr>
              <w:t>i</w:t>
            </w:r>
            <w:r w:rsidR="00C21531">
              <w:rPr>
                <w:rFonts w:eastAsia="Calibri"/>
                <w:sz w:val="20"/>
                <w:szCs w:val="20"/>
                <w:lang w:val="en-GB"/>
              </w:rPr>
              <w:t>r</w:t>
            </w:r>
            <w:r w:rsidRPr="00FC0FCC">
              <w:rPr>
                <w:rFonts w:eastAsia="Calibri"/>
                <w:sz w:val="20"/>
                <w:szCs w:val="20"/>
                <w:lang w:val="en-GB"/>
              </w:rPr>
              <w:t xml:space="preserve"> personal safety. The order also required that in any publication, </w:t>
            </w:r>
            <w:r w:rsidR="00C21531">
              <w:rPr>
                <w:rFonts w:eastAsia="Calibri"/>
                <w:sz w:val="20"/>
                <w:szCs w:val="20"/>
                <w:lang w:val="en-GB"/>
              </w:rPr>
              <w:t>t</w:t>
            </w:r>
            <w:r w:rsidRPr="00FC0FCC">
              <w:rPr>
                <w:rFonts w:eastAsia="Calibri"/>
                <w:sz w:val="20"/>
                <w:szCs w:val="20"/>
                <w:lang w:val="en-GB"/>
              </w:rPr>
              <w:t>he</w:t>
            </w:r>
            <w:r w:rsidR="00E57F0F">
              <w:rPr>
                <w:rFonts w:eastAsia="Calibri"/>
                <w:sz w:val="20"/>
                <w:szCs w:val="20"/>
                <w:lang w:val="en-GB"/>
              </w:rPr>
              <w:t>y</w:t>
            </w:r>
            <w:r w:rsidRPr="00FC0FCC">
              <w:rPr>
                <w:rFonts w:eastAsia="Calibri"/>
                <w:sz w:val="20"/>
                <w:szCs w:val="20"/>
                <w:lang w:val="en-GB"/>
              </w:rPr>
              <w:t xml:space="preserve"> be referred to as “X” </w:t>
            </w:r>
            <w:r w:rsidR="00C21531">
              <w:rPr>
                <w:rFonts w:eastAsia="Calibri"/>
                <w:sz w:val="20"/>
                <w:szCs w:val="20"/>
                <w:lang w:val="en-GB"/>
              </w:rPr>
              <w:t xml:space="preserve">and </w:t>
            </w:r>
            <w:r w:rsidR="00C21531" w:rsidRPr="00FC0FCC">
              <w:rPr>
                <w:rFonts w:eastAsia="Calibri"/>
                <w:sz w:val="20"/>
                <w:szCs w:val="20"/>
                <w:lang w:val="en-GB"/>
              </w:rPr>
              <w:t>“</w:t>
            </w:r>
            <w:r w:rsidR="00C21531">
              <w:rPr>
                <w:rFonts w:eastAsia="Calibri"/>
                <w:sz w:val="20"/>
                <w:szCs w:val="20"/>
                <w:lang w:val="en-GB"/>
              </w:rPr>
              <w:t>Y</w:t>
            </w:r>
            <w:r w:rsidR="00C21531" w:rsidRPr="00FC0FCC">
              <w:rPr>
                <w:rFonts w:eastAsia="Calibri"/>
                <w:sz w:val="20"/>
                <w:szCs w:val="20"/>
                <w:lang w:val="en-GB"/>
              </w:rPr>
              <w:t>”</w:t>
            </w:r>
            <w:r w:rsidR="00C21531">
              <w:rPr>
                <w:rFonts w:eastAsia="Calibri"/>
                <w:sz w:val="20"/>
                <w:szCs w:val="20"/>
                <w:lang w:val="en-GB"/>
              </w:rPr>
              <w:t xml:space="preserve"> </w:t>
            </w:r>
            <w:r w:rsidRPr="00FC0FCC">
              <w:rPr>
                <w:rFonts w:eastAsia="Calibri"/>
                <w:sz w:val="20"/>
                <w:szCs w:val="20"/>
                <w:lang w:val="en-GB"/>
              </w:rPr>
              <w:t xml:space="preserve">only. </w:t>
            </w:r>
          </w:p>
          <w:p w:rsidR="00BE278E" w:rsidRPr="00FC0FCC" w:rsidRDefault="00BE278E" w:rsidP="00C21531">
            <w:pPr>
              <w:jc w:val="both"/>
              <w:rPr>
                <w:rFonts w:eastAsia="Calibri"/>
                <w:sz w:val="20"/>
                <w:szCs w:val="20"/>
                <w:lang w:val="en-GB"/>
              </w:rPr>
            </w:pPr>
          </w:p>
        </w:tc>
      </w:tr>
      <w:tr w:rsidR="00BE278E" w:rsidRPr="00FC0FCC" w:rsidTr="00C21531">
        <w:tblPrEx>
          <w:tblCellMar>
            <w:bottom w:w="0" w:type="dxa"/>
          </w:tblCellMar>
        </w:tblPrEx>
        <w:trPr>
          <w:trHeight w:val="920"/>
        </w:trPr>
        <w:tc>
          <w:tcPr>
            <w:tcW w:w="2390" w:type="pct"/>
          </w:tcPr>
          <w:p w:rsidR="00BE278E" w:rsidRPr="00FC0FCC" w:rsidRDefault="00BE278E" w:rsidP="00C21531">
            <w:pPr>
              <w:jc w:val="both"/>
              <w:rPr>
                <w:rFonts w:eastAsia="Calibri"/>
                <w:sz w:val="20"/>
                <w:szCs w:val="20"/>
              </w:rPr>
            </w:pPr>
            <w:r w:rsidRPr="00FC0FCC">
              <w:rPr>
                <w:rFonts w:eastAsia="Calibri"/>
                <w:sz w:val="20"/>
                <w:szCs w:val="20"/>
              </w:rPr>
              <w:t>June 19, 2013</w:t>
            </w:r>
          </w:p>
          <w:p w:rsidR="00BE278E" w:rsidRPr="00FC0FCC" w:rsidRDefault="00BE278E" w:rsidP="00C21531">
            <w:pPr>
              <w:jc w:val="both"/>
              <w:rPr>
                <w:rFonts w:eastAsia="Calibri"/>
                <w:sz w:val="20"/>
                <w:szCs w:val="20"/>
              </w:rPr>
            </w:pPr>
            <w:r w:rsidRPr="00FC0FCC">
              <w:rPr>
                <w:rFonts w:eastAsia="Calibri"/>
                <w:sz w:val="20"/>
                <w:szCs w:val="20"/>
              </w:rPr>
              <w:t xml:space="preserve">Supreme Court of British Columbia </w:t>
            </w:r>
          </w:p>
          <w:p w:rsidR="00BE278E" w:rsidRPr="00FC0FCC" w:rsidRDefault="00BE278E" w:rsidP="00C21531">
            <w:pPr>
              <w:jc w:val="both"/>
              <w:rPr>
                <w:rFonts w:eastAsia="Calibri"/>
                <w:sz w:val="20"/>
                <w:szCs w:val="20"/>
              </w:rPr>
            </w:pPr>
            <w:r w:rsidRPr="00FC0FCC">
              <w:rPr>
                <w:rFonts w:eastAsia="Calibri"/>
                <w:sz w:val="20"/>
                <w:szCs w:val="20"/>
              </w:rPr>
              <w:t>(Wedge J.)</w:t>
            </w:r>
          </w:p>
          <w:p w:rsidR="00BE278E" w:rsidRDefault="00BE278E" w:rsidP="00C21531">
            <w:pPr>
              <w:jc w:val="both"/>
              <w:rPr>
                <w:rFonts w:eastAsia="Calibri"/>
                <w:sz w:val="20"/>
              </w:rPr>
            </w:pPr>
            <w:r w:rsidRPr="00FC0FCC">
              <w:rPr>
                <w:rFonts w:eastAsia="Calibri"/>
                <w:sz w:val="20"/>
                <w:szCs w:val="20"/>
              </w:rPr>
              <w:t>2013 BCSC 1085 (unreported)</w:t>
            </w:r>
          </w:p>
          <w:p w:rsidR="00BE278E" w:rsidRPr="00FC0FCC" w:rsidRDefault="00BE278E" w:rsidP="00C21531">
            <w:pPr>
              <w:jc w:val="both"/>
              <w:rPr>
                <w:rFonts w:eastAsia="Calibri"/>
                <w:sz w:val="20"/>
                <w:szCs w:val="20"/>
              </w:rPr>
            </w:pPr>
          </w:p>
        </w:tc>
        <w:tc>
          <w:tcPr>
            <w:tcW w:w="270" w:type="pct"/>
          </w:tcPr>
          <w:p w:rsidR="00BE278E" w:rsidRPr="00FC0FCC" w:rsidRDefault="00BE278E" w:rsidP="00C21531">
            <w:pPr>
              <w:jc w:val="both"/>
              <w:rPr>
                <w:rFonts w:eastAsia="Calibri"/>
                <w:sz w:val="20"/>
                <w:szCs w:val="20"/>
              </w:rPr>
            </w:pPr>
          </w:p>
        </w:tc>
        <w:tc>
          <w:tcPr>
            <w:tcW w:w="2340" w:type="pct"/>
          </w:tcPr>
          <w:p w:rsidR="00BE278E" w:rsidRPr="00FC0FCC" w:rsidRDefault="00BE278E" w:rsidP="00C21531">
            <w:pPr>
              <w:jc w:val="both"/>
              <w:rPr>
                <w:rFonts w:eastAsia="Calibri"/>
                <w:sz w:val="20"/>
                <w:szCs w:val="20"/>
              </w:rPr>
            </w:pPr>
            <w:r w:rsidRPr="00FC0FCC">
              <w:rPr>
                <w:rFonts w:eastAsia="Calibri"/>
                <w:sz w:val="20"/>
                <w:szCs w:val="20"/>
              </w:rPr>
              <w:t>Partial publication ban granted.</w:t>
            </w:r>
          </w:p>
        </w:tc>
      </w:tr>
      <w:tr w:rsidR="00BE278E" w:rsidRPr="00FC0FCC" w:rsidTr="00C21531">
        <w:tblPrEx>
          <w:tblCellMar>
            <w:bottom w:w="0" w:type="dxa"/>
          </w:tblCellMar>
        </w:tblPrEx>
        <w:tc>
          <w:tcPr>
            <w:tcW w:w="2390" w:type="pct"/>
          </w:tcPr>
          <w:p w:rsidR="00BE278E" w:rsidRPr="00FC0FCC" w:rsidRDefault="00BE278E" w:rsidP="00C21531">
            <w:pPr>
              <w:jc w:val="both"/>
              <w:rPr>
                <w:rFonts w:eastAsia="Calibri"/>
                <w:sz w:val="20"/>
                <w:szCs w:val="20"/>
              </w:rPr>
            </w:pPr>
            <w:r w:rsidRPr="00FC0FCC">
              <w:rPr>
                <w:rFonts w:eastAsia="Calibri"/>
                <w:sz w:val="20"/>
                <w:szCs w:val="20"/>
              </w:rPr>
              <w:t>September 18, 2013</w:t>
            </w:r>
          </w:p>
          <w:p w:rsidR="00BE278E" w:rsidRPr="00FC0FCC" w:rsidRDefault="00BE278E" w:rsidP="00C21531">
            <w:pPr>
              <w:jc w:val="both"/>
              <w:rPr>
                <w:rFonts w:eastAsia="Calibri"/>
                <w:sz w:val="20"/>
                <w:szCs w:val="20"/>
              </w:rPr>
            </w:pPr>
            <w:r w:rsidRPr="00FC0FCC">
              <w:rPr>
                <w:rFonts w:eastAsia="Calibri"/>
                <w:sz w:val="20"/>
                <w:szCs w:val="20"/>
              </w:rPr>
              <w:t>Supreme Court of Canada</w:t>
            </w:r>
          </w:p>
          <w:p w:rsidR="00BE278E" w:rsidRPr="00FC0FCC" w:rsidRDefault="00BE278E" w:rsidP="00C21531">
            <w:pPr>
              <w:jc w:val="both"/>
              <w:rPr>
                <w:rFonts w:eastAsia="Calibri"/>
                <w:sz w:val="20"/>
                <w:szCs w:val="20"/>
              </w:rPr>
            </w:pPr>
          </w:p>
          <w:p w:rsidR="00BE278E" w:rsidRPr="00FC0FCC" w:rsidRDefault="00BE278E" w:rsidP="00C21531">
            <w:pPr>
              <w:jc w:val="both"/>
              <w:rPr>
                <w:rFonts w:eastAsia="Calibri"/>
                <w:sz w:val="20"/>
                <w:szCs w:val="20"/>
              </w:rPr>
            </w:pPr>
          </w:p>
        </w:tc>
        <w:tc>
          <w:tcPr>
            <w:tcW w:w="270" w:type="pct"/>
          </w:tcPr>
          <w:p w:rsidR="00BE278E" w:rsidRPr="00FC0FCC" w:rsidRDefault="00BE278E" w:rsidP="00C21531">
            <w:pPr>
              <w:jc w:val="both"/>
              <w:rPr>
                <w:rFonts w:eastAsia="Calibri"/>
                <w:sz w:val="20"/>
                <w:szCs w:val="20"/>
              </w:rPr>
            </w:pPr>
          </w:p>
        </w:tc>
        <w:tc>
          <w:tcPr>
            <w:tcW w:w="2340" w:type="pct"/>
          </w:tcPr>
          <w:p w:rsidR="00BE278E" w:rsidRPr="00FC0FCC" w:rsidRDefault="00BE278E" w:rsidP="00C21531">
            <w:pPr>
              <w:jc w:val="both"/>
              <w:rPr>
                <w:rFonts w:eastAsia="Calibri"/>
                <w:sz w:val="20"/>
                <w:szCs w:val="20"/>
              </w:rPr>
            </w:pPr>
            <w:r w:rsidRPr="00FC0FCC">
              <w:rPr>
                <w:rFonts w:eastAsia="Calibri"/>
                <w:sz w:val="20"/>
                <w:szCs w:val="20"/>
              </w:rPr>
              <w:t>Application</w:t>
            </w:r>
            <w:r w:rsidR="00C21531">
              <w:rPr>
                <w:rFonts w:eastAsia="Calibri"/>
                <w:sz w:val="20"/>
                <w:szCs w:val="20"/>
              </w:rPr>
              <w:t>s</w:t>
            </w:r>
            <w:r w:rsidRPr="00FC0FCC">
              <w:rPr>
                <w:rFonts w:eastAsia="Calibri"/>
                <w:sz w:val="20"/>
                <w:szCs w:val="20"/>
              </w:rPr>
              <w:t xml:space="preserve"> for leave to appeal filed together with motion</w:t>
            </w:r>
            <w:r w:rsidR="00C21531">
              <w:rPr>
                <w:rFonts w:eastAsia="Calibri"/>
                <w:sz w:val="20"/>
                <w:szCs w:val="20"/>
              </w:rPr>
              <w:t>s</w:t>
            </w:r>
            <w:r w:rsidRPr="00FC0FCC">
              <w:rPr>
                <w:rFonts w:eastAsia="Calibri"/>
                <w:sz w:val="20"/>
                <w:szCs w:val="20"/>
              </w:rPr>
              <w:t xml:space="preserve"> to </w:t>
            </w:r>
            <w:r w:rsidRPr="00FC0FCC">
              <w:rPr>
                <w:rFonts w:eastAsia="Calibri"/>
                <w:bCs/>
                <w:sz w:val="20"/>
                <w:szCs w:val="20"/>
              </w:rPr>
              <w:t>prohibit publication of any information in leave application</w:t>
            </w:r>
            <w:r w:rsidR="00C21531">
              <w:rPr>
                <w:rFonts w:eastAsia="Calibri"/>
                <w:bCs/>
                <w:sz w:val="20"/>
                <w:szCs w:val="20"/>
              </w:rPr>
              <w:t>s</w:t>
            </w:r>
            <w:r w:rsidRPr="00FC0FCC">
              <w:rPr>
                <w:rFonts w:eastAsia="Calibri"/>
                <w:bCs/>
                <w:sz w:val="20"/>
                <w:szCs w:val="20"/>
              </w:rPr>
              <w:t xml:space="preserve"> that could identify applicant</w:t>
            </w:r>
            <w:r w:rsidR="00C21531">
              <w:rPr>
                <w:rFonts w:eastAsia="Calibri"/>
                <w:bCs/>
                <w:sz w:val="20"/>
                <w:szCs w:val="20"/>
              </w:rPr>
              <w:t>s</w:t>
            </w:r>
            <w:r w:rsidRPr="00FC0FCC">
              <w:rPr>
                <w:rFonts w:eastAsia="Calibri"/>
                <w:bCs/>
                <w:sz w:val="20"/>
                <w:szCs w:val="20"/>
              </w:rPr>
              <w:t xml:space="preserve"> and to seal entire file.</w:t>
            </w:r>
          </w:p>
          <w:p w:rsidR="00BE278E" w:rsidRPr="00FC0FCC" w:rsidRDefault="00BE278E" w:rsidP="00C21531">
            <w:pPr>
              <w:jc w:val="both"/>
              <w:rPr>
                <w:rFonts w:eastAsia="Calibri"/>
                <w:sz w:val="20"/>
                <w:szCs w:val="20"/>
              </w:rPr>
            </w:pPr>
          </w:p>
        </w:tc>
      </w:tr>
      <w:tr w:rsidR="00BE278E" w:rsidRPr="00FC0FCC" w:rsidTr="00C21531">
        <w:tblPrEx>
          <w:tblCellMar>
            <w:bottom w:w="0" w:type="dxa"/>
          </w:tblCellMar>
        </w:tblPrEx>
        <w:tc>
          <w:tcPr>
            <w:tcW w:w="2390" w:type="pct"/>
          </w:tcPr>
          <w:p w:rsidR="00BE278E" w:rsidRPr="00FC0FCC" w:rsidRDefault="00BE278E" w:rsidP="00C21531">
            <w:pPr>
              <w:jc w:val="both"/>
              <w:rPr>
                <w:rFonts w:eastAsia="Calibri"/>
                <w:sz w:val="20"/>
                <w:szCs w:val="20"/>
              </w:rPr>
            </w:pPr>
            <w:r w:rsidRPr="00FC0FCC">
              <w:rPr>
                <w:rFonts w:eastAsia="Calibri"/>
                <w:sz w:val="20"/>
                <w:szCs w:val="20"/>
              </w:rPr>
              <w:lastRenderedPageBreak/>
              <w:t>October 16, 2013</w:t>
            </w:r>
          </w:p>
          <w:p w:rsidR="00BE278E" w:rsidRPr="00FC0FCC" w:rsidRDefault="00BE278E" w:rsidP="00C21531">
            <w:pPr>
              <w:jc w:val="both"/>
              <w:rPr>
                <w:rFonts w:eastAsia="Calibri"/>
                <w:sz w:val="20"/>
                <w:szCs w:val="20"/>
              </w:rPr>
            </w:pPr>
            <w:r w:rsidRPr="00FC0FCC">
              <w:rPr>
                <w:rFonts w:eastAsia="Calibri"/>
                <w:sz w:val="20"/>
                <w:szCs w:val="20"/>
              </w:rPr>
              <w:t>Supreme Court of Canada</w:t>
            </w:r>
          </w:p>
        </w:tc>
        <w:tc>
          <w:tcPr>
            <w:tcW w:w="270" w:type="pct"/>
          </w:tcPr>
          <w:p w:rsidR="00BE278E" w:rsidRPr="00FC0FCC" w:rsidRDefault="00BE278E" w:rsidP="00C21531">
            <w:pPr>
              <w:jc w:val="both"/>
              <w:rPr>
                <w:rFonts w:eastAsia="Calibri"/>
                <w:sz w:val="20"/>
                <w:szCs w:val="20"/>
              </w:rPr>
            </w:pPr>
          </w:p>
        </w:tc>
        <w:tc>
          <w:tcPr>
            <w:tcW w:w="2340" w:type="pct"/>
          </w:tcPr>
          <w:p w:rsidR="00BE278E" w:rsidRPr="00FC0FCC" w:rsidRDefault="00BE278E" w:rsidP="00C21531">
            <w:pPr>
              <w:jc w:val="both"/>
              <w:rPr>
                <w:rFonts w:eastAsia="Calibri"/>
                <w:sz w:val="20"/>
                <w:szCs w:val="20"/>
              </w:rPr>
            </w:pPr>
            <w:r w:rsidRPr="00FC0FCC">
              <w:rPr>
                <w:rFonts w:eastAsia="Calibri"/>
                <w:sz w:val="20"/>
                <w:szCs w:val="20"/>
              </w:rPr>
              <w:t>Motion</w:t>
            </w:r>
            <w:r w:rsidR="00C21531">
              <w:rPr>
                <w:rFonts w:eastAsia="Calibri"/>
                <w:sz w:val="20"/>
                <w:szCs w:val="20"/>
              </w:rPr>
              <w:t>s</w:t>
            </w:r>
            <w:r w:rsidRPr="00FC0FCC">
              <w:rPr>
                <w:rFonts w:eastAsia="Calibri"/>
                <w:sz w:val="20"/>
                <w:szCs w:val="20"/>
              </w:rPr>
              <w:t xml:space="preserve"> for sealing order and complete publication ban granted until Court determines application for leave to appeal.</w:t>
            </w:r>
          </w:p>
        </w:tc>
      </w:tr>
    </w:tbl>
    <w:p w:rsidR="00BE278E" w:rsidRDefault="00BE278E" w:rsidP="0010221A">
      <w:pPr>
        <w:rPr>
          <w:sz w:val="20"/>
          <w:szCs w:val="20"/>
        </w:rPr>
      </w:pPr>
    </w:p>
    <w:p w:rsidR="0010221A" w:rsidRPr="00C50A5C" w:rsidRDefault="00E672F1" w:rsidP="0010221A">
      <w:pPr>
        <w:rPr>
          <w:sz w:val="20"/>
          <w:szCs w:val="20"/>
        </w:rPr>
      </w:pPr>
      <w:r>
        <w:rPr>
          <w:sz w:val="20"/>
          <w:szCs w:val="20"/>
          <w:lang w:val="fr-CA"/>
        </w:rPr>
        <w:pict>
          <v:rect id="_x0000_i1052" style="width:2in;height:1pt" o:hrpct="0" o:hralign="center" o:hrstd="t" o:hrnoshade="t" o:hr="t" fillcolor="black [3213]" stroked="f"/>
        </w:pict>
      </w:r>
    </w:p>
    <w:p w:rsidR="0010221A" w:rsidRDefault="0010221A" w:rsidP="0010221A">
      <w:pPr>
        <w:rPr>
          <w:sz w:val="20"/>
          <w:szCs w:val="20"/>
        </w:rPr>
      </w:pPr>
    </w:p>
    <w:p w:rsidR="0010221A" w:rsidRPr="001B157C" w:rsidRDefault="0010221A" w:rsidP="0010221A">
      <w:pPr>
        <w:rPr>
          <w:sz w:val="20"/>
          <w:szCs w:val="20"/>
          <w:u w:val="single"/>
          <w:lang w:val="fr-CA"/>
        </w:rPr>
      </w:pPr>
      <w:r w:rsidRPr="001B157C">
        <w:rPr>
          <w:sz w:val="20"/>
          <w:szCs w:val="20"/>
          <w:u w:val="single"/>
          <w:lang w:val="fr-CA"/>
        </w:rPr>
        <w:t>RÉSUMÉ DE L’AFFAIRE</w:t>
      </w:r>
    </w:p>
    <w:p w:rsidR="0010221A" w:rsidRDefault="0010221A" w:rsidP="0010221A">
      <w:pPr>
        <w:rPr>
          <w:sz w:val="20"/>
          <w:szCs w:val="20"/>
          <w:lang w:val="fr-CA"/>
        </w:rPr>
      </w:pPr>
    </w:p>
    <w:tbl>
      <w:tblPr>
        <w:tblW w:w="4959" w:type="pct"/>
        <w:tblLayout w:type="fixed"/>
        <w:tblCellMar>
          <w:left w:w="0" w:type="dxa"/>
          <w:bottom w:w="99" w:type="dxa"/>
          <w:right w:w="0" w:type="dxa"/>
        </w:tblCellMar>
        <w:tblLook w:val="04A0" w:firstRow="1" w:lastRow="0" w:firstColumn="1" w:lastColumn="0" w:noHBand="0" w:noVBand="1"/>
      </w:tblPr>
      <w:tblGrid>
        <w:gridCol w:w="4553"/>
        <w:gridCol w:w="513"/>
        <w:gridCol w:w="4474"/>
      </w:tblGrid>
      <w:tr w:rsidR="00D807DF" w:rsidRPr="00E672F1" w:rsidTr="00C21531">
        <w:tc>
          <w:tcPr>
            <w:tcW w:w="5000" w:type="pct"/>
            <w:gridSpan w:val="3"/>
          </w:tcPr>
          <w:p w:rsidR="00D807DF" w:rsidRPr="005531CC" w:rsidRDefault="00D807DF" w:rsidP="00C21531">
            <w:pPr>
              <w:jc w:val="both"/>
              <w:rPr>
                <w:sz w:val="20"/>
                <w:szCs w:val="20"/>
                <w:lang w:val="fr-CA"/>
              </w:rPr>
            </w:pPr>
            <w:r w:rsidRPr="005531CC">
              <w:rPr>
                <w:sz w:val="20"/>
                <w:szCs w:val="20"/>
                <w:lang w:val="fr-CA"/>
              </w:rPr>
              <w:t xml:space="preserve">Droit criminel — Interdictions de publication — Appartenance antérieure des demandeurs à une organisation criminelle — Collaboration du demandeur avec le ministère public dans la poursuite intentée contre ses anciens associés — Crainte actuelle du demandeur qu’on s’en prenne à lui en prison si sa collaboration est dévoilée — Décision de la juge du procès d’interdire seulement la publication du nom, des initiales et de l’image du demandeur — L’ordonnance de non-publication rendue par la juge du procès est-elle raisonnable? — </w:t>
            </w:r>
            <w:r w:rsidRPr="005531CC">
              <w:rPr>
                <w:i/>
                <w:sz w:val="20"/>
                <w:szCs w:val="20"/>
                <w:lang w:val="fr-CA"/>
              </w:rPr>
              <w:t>Code criminel</w:t>
            </w:r>
            <w:r w:rsidRPr="005531CC">
              <w:rPr>
                <w:sz w:val="20"/>
                <w:szCs w:val="20"/>
                <w:lang w:val="fr-CA"/>
              </w:rPr>
              <w:t>, art. 486.5.</w:t>
            </w:r>
          </w:p>
          <w:p w:rsidR="00D807DF" w:rsidRPr="005531CC" w:rsidRDefault="00D807DF" w:rsidP="00C21531">
            <w:pPr>
              <w:rPr>
                <w:sz w:val="20"/>
                <w:szCs w:val="20"/>
                <w:lang w:val="fr-CA"/>
              </w:rPr>
            </w:pPr>
          </w:p>
        </w:tc>
      </w:tr>
      <w:tr w:rsidR="00D807DF" w:rsidRPr="00E672F1" w:rsidTr="00C21531">
        <w:tc>
          <w:tcPr>
            <w:tcW w:w="5000" w:type="pct"/>
            <w:gridSpan w:val="3"/>
          </w:tcPr>
          <w:p w:rsidR="00D807DF" w:rsidRPr="005531CC" w:rsidRDefault="00D807DF" w:rsidP="00C21531">
            <w:pPr>
              <w:jc w:val="both"/>
              <w:rPr>
                <w:sz w:val="20"/>
                <w:szCs w:val="20"/>
                <w:lang w:val="fr-CA"/>
              </w:rPr>
            </w:pPr>
            <w:r w:rsidRPr="005531CC">
              <w:rPr>
                <w:sz w:val="20"/>
                <w:szCs w:val="20"/>
                <w:lang w:val="fr-CA"/>
              </w:rPr>
              <w:t xml:space="preserve">Les demandeurs X et Y ont collaboré avec le ministère public dans la poursuite que ce dernier a intentée contre trois hommes, Cody Rae Haevischer, Matthew James Johnston et Quang Vinh Thang Le, qui sont inculpés d’infractions découlant des « six meurtres de Surrey ».  Le ministère public estime que X et Y, des anciens membres d’une organisation criminelle qui collaborent avec lui dans la poursuite contre ses ex-associés, courent un risque réel et important que quelqu’un s’en prenne à eux au sein de leur établissement correctionnel si leur collaboration ou autre participation à cette instance est dévoilée.  Le ministère public a donc demandé au tribunal de première instance en vertu de l’art. 486.5 du </w:t>
            </w:r>
            <w:r w:rsidRPr="005531CC">
              <w:rPr>
                <w:i/>
                <w:sz w:val="20"/>
                <w:szCs w:val="20"/>
                <w:lang w:val="fr-CA"/>
              </w:rPr>
              <w:t>Code criminel</w:t>
            </w:r>
            <w:r w:rsidRPr="005531CC">
              <w:rPr>
                <w:sz w:val="20"/>
                <w:szCs w:val="20"/>
                <w:lang w:val="fr-CA"/>
              </w:rPr>
              <w:t xml:space="preserve"> d’interdire par ordonnance la publication de tout renseignement permettant d’identifier X et Y soit comme des personnes associées au système judiciaire, soit comme témoins dans cette instance jusqu’à leur remise en liberté. Postmedia Network Inc., faisant affaire sous la dénomination de The Vancouver Sun, la Société Radio-Canada et Global Television Network Inc. (collectivement les « médias intimés ») se sont opposés à la demande.  Le 19 juin 2013, la juge du procès a interdit partiellement la publication de photos et d’images de X et de Y ainsi que de renseignements sur les mesures prises pour assurer leur sécurité.  Selon l’ordonnance, les demandeurs ne doivent être désignés que par les lettres « X » et « Y » dans quelque publication que ce soit.</w:t>
            </w:r>
          </w:p>
          <w:p w:rsidR="00D807DF" w:rsidRPr="005531CC" w:rsidRDefault="00D807DF" w:rsidP="00C21531">
            <w:pPr>
              <w:rPr>
                <w:sz w:val="20"/>
                <w:szCs w:val="20"/>
                <w:lang w:val="fr-CA"/>
              </w:rPr>
            </w:pPr>
          </w:p>
        </w:tc>
      </w:tr>
      <w:tr w:rsidR="00D807DF" w:rsidRPr="00E672F1" w:rsidTr="00C21531">
        <w:tblPrEx>
          <w:tblCellMar>
            <w:bottom w:w="0" w:type="dxa"/>
          </w:tblCellMar>
        </w:tblPrEx>
        <w:tc>
          <w:tcPr>
            <w:tcW w:w="2386" w:type="pct"/>
          </w:tcPr>
          <w:p w:rsidR="00D807DF" w:rsidRPr="005531CC" w:rsidRDefault="00D807DF" w:rsidP="00C21531">
            <w:pPr>
              <w:rPr>
                <w:sz w:val="20"/>
                <w:szCs w:val="20"/>
                <w:lang w:val="fr-CA"/>
              </w:rPr>
            </w:pPr>
            <w:r w:rsidRPr="00D807DF">
              <w:rPr>
                <w:sz w:val="20"/>
                <w:szCs w:val="20"/>
                <w:lang w:val="fr-CA"/>
              </w:rPr>
              <w:t>19 juin 2013</w:t>
            </w:r>
          </w:p>
          <w:p w:rsidR="00D807DF" w:rsidRPr="005531CC" w:rsidRDefault="00D807DF" w:rsidP="00C21531">
            <w:pPr>
              <w:rPr>
                <w:sz w:val="20"/>
                <w:szCs w:val="20"/>
                <w:lang w:val="fr-CA"/>
              </w:rPr>
            </w:pPr>
            <w:r w:rsidRPr="005531CC">
              <w:rPr>
                <w:sz w:val="20"/>
                <w:szCs w:val="20"/>
                <w:lang w:val="fr-CA"/>
              </w:rPr>
              <w:t xml:space="preserve">Cour suprême de la Colombie-Britannique  </w:t>
            </w:r>
          </w:p>
          <w:p w:rsidR="00D807DF" w:rsidRPr="005531CC" w:rsidRDefault="00D807DF" w:rsidP="00C21531">
            <w:pPr>
              <w:rPr>
                <w:sz w:val="20"/>
                <w:szCs w:val="20"/>
                <w:lang w:val="fr-CA"/>
              </w:rPr>
            </w:pPr>
            <w:r w:rsidRPr="005531CC">
              <w:rPr>
                <w:sz w:val="20"/>
                <w:szCs w:val="20"/>
                <w:lang w:val="fr-CA"/>
              </w:rPr>
              <w:t>(Juge Wedge)</w:t>
            </w:r>
          </w:p>
          <w:p w:rsidR="00D807DF" w:rsidRPr="005531CC" w:rsidRDefault="00D807DF" w:rsidP="00C21531">
            <w:pPr>
              <w:rPr>
                <w:sz w:val="20"/>
                <w:szCs w:val="20"/>
                <w:lang w:val="fr-CA"/>
              </w:rPr>
            </w:pPr>
            <w:r w:rsidRPr="005531CC">
              <w:rPr>
                <w:sz w:val="20"/>
                <w:szCs w:val="20"/>
                <w:lang w:val="fr-CA"/>
              </w:rPr>
              <w:t>2013 BCSC 1085 (non publiée)</w:t>
            </w:r>
          </w:p>
          <w:p w:rsidR="00D807DF" w:rsidRPr="005531CC" w:rsidRDefault="00D807DF" w:rsidP="00C21531">
            <w:pPr>
              <w:rPr>
                <w:sz w:val="20"/>
                <w:szCs w:val="20"/>
                <w:lang w:val="fr-CA"/>
              </w:rPr>
            </w:pPr>
          </w:p>
        </w:tc>
        <w:tc>
          <w:tcPr>
            <w:tcW w:w="269" w:type="pct"/>
          </w:tcPr>
          <w:p w:rsidR="00D807DF" w:rsidRPr="005531CC" w:rsidRDefault="00D807DF" w:rsidP="00C21531">
            <w:pPr>
              <w:rPr>
                <w:sz w:val="20"/>
                <w:szCs w:val="20"/>
                <w:lang w:val="fr-CA"/>
              </w:rPr>
            </w:pPr>
          </w:p>
        </w:tc>
        <w:tc>
          <w:tcPr>
            <w:tcW w:w="2344" w:type="pct"/>
          </w:tcPr>
          <w:p w:rsidR="00D807DF" w:rsidRPr="005531CC" w:rsidRDefault="00D807DF" w:rsidP="00C21531">
            <w:pPr>
              <w:rPr>
                <w:sz w:val="20"/>
                <w:szCs w:val="20"/>
                <w:lang w:val="fr-CA"/>
              </w:rPr>
            </w:pPr>
            <w:r w:rsidRPr="005531CC">
              <w:rPr>
                <w:sz w:val="20"/>
                <w:szCs w:val="20"/>
                <w:lang w:val="fr-CA"/>
              </w:rPr>
              <w:t>Interdiction partielle de publication décrétée.</w:t>
            </w:r>
          </w:p>
        </w:tc>
      </w:tr>
      <w:tr w:rsidR="00D807DF" w:rsidRPr="00E672F1" w:rsidTr="00C21531">
        <w:tblPrEx>
          <w:tblCellMar>
            <w:bottom w:w="0" w:type="dxa"/>
          </w:tblCellMar>
        </w:tblPrEx>
        <w:tc>
          <w:tcPr>
            <w:tcW w:w="2386" w:type="pct"/>
          </w:tcPr>
          <w:p w:rsidR="00D807DF" w:rsidRPr="005531CC" w:rsidRDefault="00D807DF" w:rsidP="00C21531">
            <w:pPr>
              <w:rPr>
                <w:sz w:val="20"/>
                <w:szCs w:val="20"/>
                <w:lang w:val="fr-CA"/>
              </w:rPr>
            </w:pPr>
            <w:r w:rsidRPr="005531CC">
              <w:rPr>
                <w:sz w:val="20"/>
                <w:szCs w:val="20"/>
                <w:lang w:val="fr-CA"/>
              </w:rPr>
              <w:t>18 septembre 2013</w:t>
            </w:r>
          </w:p>
          <w:p w:rsidR="00D807DF" w:rsidRPr="005531CC" w:rsidRDefault="00D807DF" w:rsidP="00C21531">
            <w:pPr>
              <w:rPr>
                <w:sz w:val="20"/>
                <w:szCs w:val="20"/>
                <w:lang w:val="fr-CA"/>
              </w:rPr>
            </w:pPr>
            <w:r w:rsidRPr="005531CC">
              <w:rPr>
                <w:sz w:val="20"/>
                <w:szCs w:val="20"/>
                <w:lang w:val="fr-CA"/>
              </w:rPr>
              <w:t>Cour suprême du Canada</w:t>
            </w:r>
          </w:p>
          <w:p w:rsidR="00D807DF" w:rsidRPr="005531CC" w:rsidRDefault="00D807DF" w:rsidP="00C21531">
            <w:pPr>
              <w:rPr>
                <w:sz w:val="20"/>
                <w:szCs w:val="20"/>
                <w:lang w:val="fr-CA"/>
              </w:rPr>
            </w:pPr>
          </w:p>
          <w:p w:rsidR="00D807DF" w:rsidRPr="005531CC" w:rsidRDefault="00D807DF" w:rsidP="00C21531">
            <w:pPr>
              <w:rPr>
                <w:sz w:val="20"/>
                <w:szCs w:val="20"/>
                <w:lang w:val="fr-CA"/>
              </w:rPr>
            </w:pPr>
          </w:p>
        </w:tc>
        <w:tc>
          <w:tcPr>
            <w:tcW w:w="269" w:type="pct"/>
          </w:tcPr>
          <w:p w:rsidR="00D807DF" w:rsidRPr="005531CC" w:rsidRDefault="00D807DF" w:rsidP="00C21531">
            <w:pPr>
              <w:rPr>
                <w:sz w:val="20"/>
                <w:szCs w:val="20"/>
                <w:lang w:val="fr-CA"/>
              </w:rPr>
            </w:pPr>
          </w:p>
        </w:tc>
        <w:tc>
          <w:tcPr>
            <w:tcW w:w="2344" w:type="pct"/>
          </w:tcPr>
          <w:p w:rsidR="00D807DF" w:rsidRPr="005531CC" w:rsidRDefault="00D807DF" w:rsidP="00C21531">
            <w:pPr>
              <w:jc w:val="both"/>
              <w:rPr>
                <w:sz w:val="20"/>
                <w:szCs w:val="20"/>
                <w:lang w:val="fr-CA"/>
              </w:rPr>
            </w:pPr>
            <w:r w:rsidRPr="005531CC">
              <w:rPr>
                <w:sz w:val="20"/>
                <w:szCs w:val="20"/>
                <w:lang w:val="fr-CA"/>
              </w:rPr>
              <w:t>Demande d’autorisation d’appel déposée avec la requête visant à faire interdire la publication de tout renseignement contenu dans la demande d’autorisation qui permettrait d’identifier le demandeur et à faire mettre sous scellés l’ensemble du dossier</w:t>
            </w:r>
            <w:r w:rsidRPr="005531CC">
              <w:rPr>
                <w:bCs/>
                <w:sz w:val="20"/>
                <w:szCs w:val="20"/>
                <w:lang w:val="fr-CA"/>
              </w:rPr>
              <w:t>.</w:t>
            </w:r>
          </w:p>
          <w:p w:rsidR="00D807DF" w:rsidRPr="005531CC" w:rsidRDefault="00D807DF" w:rsidP="00C21531">
            <w:pPr>
              <w:rPr>
                <w:sz w:val="20"/>
                <w:szCs w:val="20"/>
                <w:lang w:val="fr-CA"/>
              </w:rPr>
            </w:pPr>
          </w:p>
        </w:tc>
      </w:tr>
      <w:tr w:rsidR="00D807DF" w:rsidRPr="00E672F1" w:rsidTr="00C21531">
        <w:tblPrEx>
          <w:tblCellMar>
            <w:bottom w:w="0" w:type="dxa"/>
          </w:tblCellMar>
        </w:tblPrEx>
        <w:tc>
          <w:tcPr>
            <w:tcW w:w="2386" w:type="pct"/>
          </w:tcPr>
          <w:p w:rsidR="00D807DF" w:rsidRPr="005531CC" w:rsidRDefault="00D807DF" w:rsidP="00C21531">
            <w:pPr>
              <w:rPr>
                <w:sz w:val="20"/>
                <w:szCs w:val="20"/>
                <w:lang w:val="fr-CA"/>
              </w:rPr>
            </w:pPr>
            <w:r w:rsidRPr="005531CC">
              <w:rPr>
                <w:sz w:val="20"/>
                <w:szCs w:val="20"/>
                <w:lang w:val="fr-CA"/>
              </w:rPr>
              <w:t>16 octobre 2013</w:t>
            </w:r>
          </w:p>
          <w:p w:rsidR="00D807DF" w:rsidRPr="005531CC" w:rsidRDefault="00D807DF" w:rsidP="00C21531">
            <w:pPr>
              <w:rPr>
                <w:sz w:val="20"/>
                <w:szCs w:val="20"/>
                <w:lang w:val="fr-CA"/>
              </w:rPr>
            </w:pPr>
            <w:r w:rsidRPr="005531CC">
              <w:rPr>
                <w:sz w:val="20"/>
                <w:szCs w:val="20"/>
                <w:lang w:val="fr-CA"/>
              </w:rPr>
              <w:t>Cour suprême du Canada</w:t>
            </w:r>
          </w:p>
        </w:tc>
        <w:tc>
          <w:tcPr>
            <w:tcW w:w="269" w:type="pct"/>
          </w:tcPr>
          <w:p w:rsidR="00D807DF" w:rsidRPr="005531CC" w:rsidRDefault="00D807DF" w:rsidP="00C21531">
            <w:pPr>
              <w:rPr>
                <w:sz w:val="20"/>
                <w:szCs w:val="20"/>
                <w:lang w:val="fr-CA"/>
              </w:rPr>
            </w:pPr>
          </w:p>
        </w:tc>
        <w:tc>
          <w:tcPr>
            <w:tcW w:w="2344" w:type="pct"/>
          </w:tcPr>
          <w:p w:rsidR="00D807DF" w:rsidRPr="005531CC" w:rsidRDefault="00D807DF" w:rsidP="00C21531">
            <w:pPr>
              <w:jc w:val="both"/>
              <w:rPr>
                <w:sz w:val="20"/>
                <w:szCs w:val="20"/>
                <w:lang w:val="fr-CA"/>
              </w:rPr>
            </w:pPr>
            <w:r w:rsidRPr="005531CC">
              <w:rPr>
                <w:sz w:val="20"/>
                <w:szCs w:val="20"/>
                <w:lang w:val="fr-CA"/>
              </w:rPr>
              <w:t>Requête pour obtenir une ordonnance de mise sous scellés et une interdiction absolue de publication accueillie jusqu’à ce que la Cour tranche la demande d’autorisation d’appel.</w:t>
            </w:r>
          </w:p>
        </w:tc>
      </w:tr>
    </w:tbl>
    <w:p w:rsidR="00D807DF" w:rsidRDefault="00D807DF" w:rsidP="0010221A">
      <w:pPr>
        <w:rPr>
          <w:sz w:val="20"/>
          <w:szCs w:val="20"/>
          <w:lang w:val="fr-CA"/>
        </w:rPr>
      </w:pPr>
    </w:p>
    <w:p w:rsidR="0010221A" w:rsidRDefault="00E672F1" w:rsidP="0010221A">
      <w:pPr>
        <w:rPr>
          <w:sz w:val="20"/>
          <w:szCs w:val="20"/>
        </w:rPr>
      </w:pPr>
      <w:r>
        <w:rPr>
          <w:sz w:val="20"/>
          <w:szCs w:val="20"/>
          <w:lang w:val="fr-CA"/>
        </w:rPr>
        <w:pict>
          <v:rect id="_x0000_i1053" style="width:2in;height:1pt" o:hrpct="0" o:hralign="center" o:hrstd="t" o:hrnoshade="t" o:hr="t" fillcolor="black [3213]" stroked="f"/>
        </w:pict>
      </w:r>
    </w:p>
    <w:p w:rsidR="0010221A" w:rsidRDefault="0010221A" w:rsidP="0010221A">
      <w:pPr>
        <w:rPr>
          <w:sz w:val="20"/>
          <w:szCs w:val="20"/>
        </w:rPr>
      </w:pPr>
    </w:p>
    <w:p w:rsidR="000E2959" w:rsidRPr="00796EFB" w:rsidRDefault="000E2959" w:rsidP="000E2959">
      <w:pPr>
        <w:rPr>
          <w:sz w:val="20"/>
          <w:szCs w:val="20"/>
          <w:lang w:val="fr-CA"/>
        </w:rPr>
      </w:pPr>
    </w:p>
    <w:p w:rsidR="000E2959" w:rsidRPr="00796EFB" w:rsidRDefault="000E2959" w:rsidP="000E2959">
      <w:pPr>
        <w:rPr>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46"/>
          <w:headerReference w:type="default" r:id="rId47"/>
          <w:footerReference w:type="even" r:id="rId48"/>
          <w:footerReference w:type="default" r:id="rId49"/>
          <w:headerReference w:type="first" r:id="rId50"/>
          <w:footerReference w:type="first" r:id="rId5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796EFB" w:rsidRPr="00796EFB" w:rsidRDefault="00796EFB" w:rsidP="00796EFB">
      <w:pPr>
        <w:tabs>
          <w:tab w:val="left" w:pos="-1440"/>
          <w:tab w:val="left" w:pos="-720"/>
        </w:tabs>
        <w:jc w:val="both"/>
        <w:rPr>
          <w:rFonts w:eastAsia="Times New Roman" w:cs="Times New Roman"/>
          <w:sz w:val="20"/>
          <w:szCs w:val="20"/>
          <w:lang w:val="fr-CA" w:eastAsia="en-CA"/>
        </w:rPr>
      </w:pPr>
      <w:r w:rsidRPr="00796EFB">
        <w:rPr>
          <w:rFonts w:eastAsia="Times New Roman" w:cs="Times New Roman"/>
          <w:sz w:val="20"/>
          <w:szCs w:val="20"/>
          <w:lang w:val="fr-CA" w:eastAsia="en-CA"/>
        </w:rPr>
        <w:t>29.11.2013</w:t>
      </w:r>
    </w:p>
    <w:p w:rsidR="00796EFB" w:rsidRPr="00796EFB" w:rsidRDefault="00796EFB" w:rsidP="00796EFB">
      <w:pPr>
        <w:tabs>
          <w:tab w:val="left" w:pos="-1440"/>
          <w:tab w:val="left" w:pos="-720"/>
        </w:tabs>
        <w:jc w:val="both"/>
        <w:rPr>
          <w:rFonts w:eastAsia="Times New Roman" w:cs="Times New Roman"/>
          <w:sz w:val="20"/>
          <w:szCs w:val="20"/>
          <w:lang w:val="fr-CA" w:eastAsia="en-CA"/>
        </w:rPr>
      </w:pPr>
    </w:p>
    <w:p w:rsidR="00796EFB" w:rsidRPr="00796EFB" w:rsidRDefault="00796EFB" w:rsidP="00796EFB">
      <w:pPr>
        <w:tabs>
          <w:tab w:val="left" w:pos="-1440"/>
          <w:tab w:val="left" w:pos="-720"/>
        </w:tabs>
        <w:jc w:val="both"/>
        <w:rPr>
          <w:rFonts w:eastAsia="Times New Roman" w:cs="Times New Roman"/>
          <w:sz w:val="20"/>
          <w:szCs w:val="20"/>
          <w:lang w:val="fr-CA" w:eastAsia="en-CA"/>
        </w:rPr>
      </w:pPr>
      <w:r w:rsidRPr="00796EFB">
        <w:rPr>
          <w:rFonts w:eastAsia="Times New Roman" w:cs="Times New Roman"/>
          <w:sz w:val="20"/>
          <w:szCs w:val="20"/>
          <w:lang w:val="fr-CA" w:eastAsia="en-CA"/>
        </w:rPr>
        <w:t>Before / Devant :   THE CHIEF JUSTICE / LA JUGE EN CHEF</w:t>
      </w:r>
    </w:p>
    <w:p w:rsidR="00796EFB" w:rsidRPr="00796EFB" w:rsidRDefault="00796EFB" w:rsidP="00796EFB">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796EFB" w:rsidRPr="00E672F1" w:rsidTr="001A7F7C">
        <w:tc>
          <w:tcPr>
            <w:tcW w:w="4338" w:type="dxa"/>
          </w:tcPr>
          <w:p w:rsidR="00796EFB" w:rsidRPr="00796EFB" w:rsidRDefault="000505AD" w:rsidP="00796EFB">
            <w:pPr>
              <w:tabs>
                <w:tab w:val="left" w:pos="-1440"/>
                <w:tab w:val="left" w:pos="-720"/>
              </w:tabs>
              <w:jc w:val="both"/>
              <w:rPr>
                <w:b/>
              </w:rPr>
            </w:pPr>
            <w:r w:rsidRPr="00796EFB">
              <w:rPr>
                <w:szCs w:val="24"/>
                <w:lang w:val="en-US"/>
              </w:rPr>
              <w:fldChar w:fldCharType="begin"/>
            </w:r>
            <w:r w:rsidR="00796EFB" w:rsidRPr="00796EFB">
              <w:rPr>
                <w:szCs w:val="24"/>
                <w:lang w:val="en-US"/>
              </w:rPr>
              <w:instrText xml:space="preserve"> SEQ CHAPTER \h \r 1</w:instrText>
            </w:r>
            <w:r w:rsidRPr="00796EFB">
              <w:rPr>
                <w:szCs w:val="24"/>
                <w:lang w:val="en-US"/>
              </w:rPr>
              <w:fldChar w:fldCharType="end"/>
            </w:r>
            <w:r w:rsidR="00796EFB" w:rsidRPr="00796EFB">
              <w:rPr>
                <w:b/>
                <w:bCs/>
                <w:lang w:val="en-US"/>
              </w:rPr>
              <w:t xml:space="preserve">Order appointing </w:t>
            </w:r>
            <w:r w:rsidR="00796EFB" w:rsidRPr="00796EFB">
              <w:rPr>
                <w:b/>
                <w:bCs/>
                <w:i/>
                <w:iCs/>
                <w:lang w:val="en-US"/>
              </w:rPr>
              <w:t>amicus curiae</w:t>
            </w:r>
          </w:p>
        </w:tc>
        <w:tc>
          <w:tcPr>
            <w:tcW w:w="1170" w:type="dxa"/>
          </w:tcPr>
          <w:p w:rsidR="00796EFB" w:rsidRPr="00796EFB" w:rsidRDefault="00796EFB" w:rsidP="00796EFB">
            <w:pPr>
              <w:tabs>
                <w:tab w:val="left" w:pos="-1440"/>
                <w:tab w:val="left" w:pos="-720"/>
              </w:tabs>
              <w:jc w:val="both"/>
            </w:pPr>
          </w:p>
          <w:p w:rsidR="00796EFB" w:rsidRPr="00796EFB" w:rsidRDefault="00796EFB" w:rsidP="00796EFB">
            <w:pPr>
              <w:tabs>
                <w:tab w:val="left" w:pos="-1440"/>
                <w:tab w:val="left" w:pos="-720"/>
              </w:tabs>
              <w:jc w:val="both"/>
            </w:pPr>
          </w:p>
        </w:tc>
        <w:tc>
          <w:tcPr>
            <w:tcW w:w="4327" w:type="dxa"/>
          </w:tcPr>
          <w:p w:rsidR="00796EFB" w:rsidRPr="00796EFB" w:rsidRDefault="000505AD" w:rsidP="00796EFB">
            <w:pPr>
              <w:tabs>
                <w:tab w:val="left" w:pos="-1440"/>
                <w:tab w:val="left" w:pos="-720"/>
              </w:tabs>
              <w:jc w:val="both"/>
              <w:rPr>
                <w:lang w:val="fr-CA"/>
              </w:rPr>
            </w:pPr>
            <w:r w:rsidRPr="00796EFB">
              <w:rPr>
                <w:szCs w:val="24"/>
                <w:lang w:val="en-US"/>
              </w:rPr>
              <w:fldChar w:fldCharType="begin"/>
            </w:r>
            <w:r w:rsidR="00796EFB" w:rsidRPr="00796EFB">
              <w:rPr>
                <w:szCs w:val="24"/>
                <w:lang w:val="fr-CA"/>
              </w:rPr>
              <w:instrText xml:space="preserve"> SEQ CHAPTER \h \r 1</w:instrText>
            </w:r>
            <w:r w:rsidRPr="00796EFB">
              <w:rPr>
                <w:szCs w:val="24"/>
                <w:lang w:val="en-US"/>
              </w:rPr>
              <w:fldChar w:fldCharType="end"/>
            </w:r>
            <w:r w:rsidR="00796EFB" w:rsidRPr="00796EFB">
              <w:rPr>
                <w:b/>
                <w:bCs/>
                <w:lang w:val="fr-CA"/>
              </w:rPr>
              <w:t xml:space="preserve">Ordonnance nommant un </w:t>
            </w:r>
            <w:r w:rsidR="00796EFB" w:rsidRPr="00796EFB">
              <w:rPr>
                <w:b/>
                <w:bCs/>
                <w:i/>
                <w:iCs/>
                <w:lang w:val="fr-CA"/>
              </w:rPr>
              <w:t>amicus curiae</w:t>
            </w:r>
            <w:r w:rsidR="00796EFB" w:rsidRPr="00796EFB">
              <w:rPr>
                <w:lang w:val="fr-CA"/>
              </w:rPr>
              <w:t xml:space="preserve"> </w:t>
            </w:r>
            <w:r w:rsidRPr="00796EFB">
              <w:rPr>
                <w:lang w:val="en-US"/>
              </w:rPr>
              <w:fldChar w:fldCharType="begin"/>
            </w:r>
            <w:r w:rsidR="00796EFB" w:rsidRPr="00796EFB">
              <w:rPr>
                <w:lang w:val="fr-CA"/>
              </w:rPr>
              <w:instrText xml:space="preserve"> SEQ CHAPTER \h \r 1</w:instrText>
            </w:r>
            <w:r w:rsidRPr="00796EFB">
              <w:rPr>
                <w:lang w:val="en-US"/>
              </w:rPr>
              <w:fldChar w:fldCharType="end"/>
            </w:r>
            <w:r w:rsidRPr="00796EFB">
              <w:rPr>
                <w:lang w:val="en-US"/>
              </w:rPr>
              <w:fldChar w:fldCharType="begin"/>
            </w:r>
            <w:r w:rsidR="00796EFB" w:rsidRPr="00796EFB">
              <w:rPr>
                <w:lang w:val="fr-CA"/>
              </w:rPr>
              <w:instrText xml:space="preserve"> SEQ CHAPTER \h \r 1</w:instrText>
            </w:r>
            <w:r w:rsidRPr="00796EFB">
              <w:rPr>
                <w:lang w:val="en-US"/>
              </w:rPr>
              <w:fldChar w:fldCharType="end"/>
            </w:r>
            <w:r w:rsidRPr="00796EFB">
              <w:rPr>
                <w:lang w:val="en-US"/>
              </w:rPr>
              <w:fldChar w:fldCharType="begin"/>
            </w:r>
            <w:r w:rsidR="00796EFB" w:rsidRPr="00796EFB">
              <w:rPr>
                <w:lang w:val="fr-CA"/>
              </w:rPr>
              <w:instrText xml:space="preserve"> SEQ CHAPTER \h \r 1</w:instrText>
            </w:r>
            <w:r w:rsidRPr="00796EFB">
              <w:rPr>
                <w:lang w:val="en-US"/>
              </w:rPr>
              <w:fldChar w:fldCharType="end"/>
            </w:r>
            <w:r w:rsidRPr="00796EFB">
              <w:rPr>
                <w:lang w:val="en-US"/>
              </w:rPr>
              <w:fldChar w:fldCharType="begin"/>
            </w:r>
            <w:r w:rsidR="00796EFB" w:rsidRPr="00796EFB">
              <w:rPr>
                <w:lang w:val="fr-CA"/>
              </w:rPr>
              <w:instrText xml:space="preserve"> SEQ CHAPTER \h \r 1</w:instrText>
            </w:r>
            <w:r w:rsidRPr="00796EFB">
              <w:rPr>
                <w:lang w:val="en-US"/>
              </w:rPr>
              <w:fldChar w:fldCharType="end"/>
            </w:r>
          </w:p>
        </w:tc>
      </w:tr>
      <w:tr w:rsidR="00796EFB" w:rsidRPr="00E672F1" w:rsidTr="001A7F7C">
        <w:tc>
          <w:tcPr>
            <w:tcW w:w="4338" w:type="dxa"/>
          </w:tcPr>
          <w:p w:rsidR="00796EFB" w:rsidRPr="00796EFB" w:rsidRDefault="00796EFB" w:rsidP="00796EFB">
            <w:pPr>
              <w:tabs>
                <w:tab w:val="left" w:pos="-1440"/>
                <w:tab w:val="left" w:pos="-720"/>
              </w:tabs>
              <w:jc w:val="both"/>
            </w:pPr>
            <w:r w:rsidRPr="00796EFB">
              <w:t>Estate of the Late Zahra (Ziba) Kazemi et al.</w:t>
            </w:r>
          </w:p>
          <w:p w:rsidR="00796EFB" w:rsidRPr="00796EFB" w:rsidRDefault="00796EFB" w:rsidP="00796EFB">
            <w:pPr>
              <w:tabs>
                <w:tab w:val="left" w:pos="-1440"/>
                <w:tab w:val="left" w:pos="-720"/>
              </w:tabs>
              <w:jc w:val="both"/>
            </w:pPr>
          </w:p>
          <w:p w:rsidR="00796EFB" w:rsidRPr="00796EFB" w:rsidRDefault="00796EFB" w:rsidP="00796EFB">
            <w:pPr>
              <w:tabs>
                <w:tab w:val="left" w:pos="-1440"/>
                <w:tab w:val="left" w:pos="-720"/>
              </w:tabs>
              <w:jc w:val="both"/>
              <w:rPr>
                <w:lang w:val="fr-CA"/>
              </w:rPr>
            </w:pPr>
            <w:r w:rsidRPr="00796EFB">
              <w:tab/>
            </w:r>
            <w:r w:rsidRPr="00796EFB">
              <w:rPr>
                <w:lang w:val="fr-CA"/>
              </w:rPr>
              <w:t>v. (35034)</w:t>
            </w:r>
          </w:p>
          <w:p w:rsidR="00796EFB" w:rsidRPr="00796EFB" w:rsidRDefault="00796EFB" w:rsidP="00796EFB">
            <w:pPr>
              <w:tabs>
                <w:tab w:val="left" w:pos="-1440"/>
                <w:tab w:val="left" w:pos="-720"/>
              </w:tabs>
              <w:jc w:val="both"/>
              <w:rPr>
                <w:lang w:val="fr-CA"/>
              </w:rPr>
            </w:pPr>
          </w:p>
          <w:p w:rsidR="00796EFB" w:rsidRPr="00796EFB" w:rsidRDefault="00796EFB" w:rsidP="00796EFB">
            <w:pPr>
              <w:tabs>
                <w:tab w:val="left" w:pos="-1440"/>
                <w:tab w:val="left" w:pos="-720"/>
              </w:tabs>
              <w:jc w:val="both"/>
              <w:rPr>
                <w:lang w:val="fr-CA"/>
              </w:rPr>
            </w:pPr>
            <w:r w:rsidRPr="00796EFB">
              <w:rPr>
                <w:lang w:val="fr-CA"/>
              </w:rPr>
              <w:t>Islamic Republic of Iran et al. (Que.)</w:t>
            </w:r>
          </w:p>
        </w:tc>
        <w:tc>
          <w:tcPr>
            <w:tcW w:w="1170" w:type="dxa"/>
          </w:tcPr>
          <w:p w:rsidR="00796EFB" w:rsidRPr="00796EFB" w:rsidRDefault="00796EFB" w:rsidP="00796EFB">
            <w:pPr>
              <w:tabs>
                <w:tab w:val="left" w:pos="-1440"/>
                <w:tab w:val="left" w:pos="-720"/>
              </w:tabs>
              <w:jc w:val="both"/>
              <w:rPr>
                <w:lang w:val="fr-CA"/>
              </w:rPr>
            </w:pPr>
          </w:p>
        </w:tc>
        <w:tc>
          <w:tcPr>
            <w:tcW w:w="4327" w:type="dxa"/>
          </w:tcPr>
          <w:p w:rsidR="00796EFB" w:rsidRPr="00796EFB" w:rsidRDefault="00796EFB" w:rsidP="00796EFB">
            <w:pPr>
              <w:tabs>
                <w:tab w:val="left" w:pos="-1440"/>
                <w:tab w:val="left" w:pos="-720"/>
              </w:tabs>
              <w:jc w:val="both"/>
              <w:rPr>
                <w:lang w:val="fr-CA"/>
              </w:rPr>
            </w:pPr>
          </w:p>
        </w:tc>
      </w:tr>
    </w:tbl>
    <w:p w:rsidR="00796EFB" w:rsidRPr="00796EFB" w:rsidRDefault="00796EFB" w:rsidP="00796EFB">
      <w:pPr>
        <w:tabs>
          <w:tab w:val="left" w:pos="-1440"/>
          <w:tab w:val="left" w:pos="-720"/>
        </w:tabs>
        <w:jc w:val="both"/>
        <w:rPr>
          <w:rFonts w:eastAsia="Times New Roman" w:cs="Times New Roman"/>
          <w:sz w:val="20"/>
          <w:szCs w:val="20"/>
          <w:lang w:val="fr-CA" w:eastAsia="en-CA"/>
        </w:rPr>
      </w:pPr>
    </w:p>
    <w:p w:rsidR="00796EFB" w:rsidRPr="00796EFB" w:rsidRDefault="00796EFB" w:rsidP="00796EFB">
      <w:pPr>
        <w:spacing w:line="233" w:lineRule="auto"/>
        <w:jc w:val="both"/>
        <w:rPr>
          <w:rFonts w:eastAsia="Times New Roman" w:cs="Times New Roman"/>
          <w:sz w:val="20"/>
          <w:szCs w:val="20"/>
          <w:lang w:val="en-US" w:eastAsia="en-CA"/>
        </w:rPr>
      </w:pPr>
      <w:r w:rsidRPr="00796EFB">
        <w:rPr>
          <w:rFonts w:eastAsia="Times New Roman" w:cs="Times New Roman"/>
          <w:b/>
          <w:sz w:val="20"/>
          <w:szCs w:val="20"/>
          <w:lang w:val="en-US" w:eastAsia="en-CA"/>
        </w:rPr>
        <w:t>FURTHER TO THE ORDER</w:t>
      </w:r>
      <w:r w:rsidRPr="00796EFB">
        <w:rPr>
          <w:rFonts w:eastAsia="Times New Roman" w:cs="Times New Roman"/>
          <w:sz w:val="20"/>
          <w:szCs w:val="20"/>
          <w:lang w:val="en-US" w:eastAsia="en-CA"/>
        </w:rPr>
        <w:t xml:space="preserve"> dated July 19, 2013, appointing Mr. Christopher D. Bredt as </w:t>
      </w:r>
      <w:r w:rsidRPr="00796EFB">
        <w:rPr>
          <w:rFonts w:eastAsia="Times New Roman" w:cs="Times New Roman"/>
          <w:i/>
          <w:sz w:val="20"/>
          <w:szCs w:val="20"/>
          <w:lang w:val="en-US" w:eastAsia="en-CA"/>
        </w:rPr>
        <w:t>amicus curiae</w:t>
      </w:r>
      <w:r w:rsidRPr="00796EFB">
        <w:rPr>
          <w:rFonts w:eastAsia="Times New Roman" w:cs="Times New Roman"/>
          <w:sz w:val="20"/>
          <w:szCs w:val="20"/>
          <w:lang w:val="en-US" w:eastAsia="en-CA"/>
        </w:rPr>
        <w:t xml:space="preserve"> to assist the Court;</w:t>
      </w:r>
    </w:p>
    <w:p w:rsidR="00796EFB" w:rsidRPr="00796EFB" w:rsidRDefault="00796EFB" w:rsidP="00796EFB">
      <w:pPr>
        <w:spacing w:line="233" w:lineRule="auto"/>
        <w:jc w:val="both"/>
        <w:rPr>
          <w:rFonts w:eastAsia="Times New Roman" w:cs="Times New Roman"/>
          <w:sz w:val="20"/>
          <w:szCs w:val="20"/>
          <w:lang w:val="en-US" w:eastAsia="en-CA"/>
        </w:rPr>
      </w:pPr>
    </w:p>
    <w:p w:rsidR="00796EFB" w:rsidRPr="00796EFB" w:rsidRDefault="00796EFB" w:rsidP="00796EFB">
      <w:pPr>
        <w:jc w:val="both"/>
        <w:rPr>
          <w:rFonts w:eastAsia="Times New Roman" w:cs="Times New Roman"/>
          <w:sz w:val="20"/>
          <w:szCs w:val="20"/>
          <w:lang w:val="en-US" w:eastAsia="en-CA"/>
        </w:rPr>
      </w:pPr>
      <w:r w:rsidRPr="00796EFB">
        <w:rPr>
          <w:rFonts w:eastAsia="Times New Roman" w:cs="Times New Roman"/>
          <w:b/>
          <w:bCs/>
          <w:sz w:val="20"/>
          <w:szCs w:val="20"/>
          <w:lang w:val="en-US" w:eastAsia="en-CA"/>
        </w:rPr>
        <w:t>IT IS HEREBY FURTHER ORDERED THAT</w:t>
      </w:r>
      <w:r w:rsidRPr="00796EFB">
        <w:rPr>
          <w:rFonts w:eastAsia="Times New Roman" w:cs="Times New Roman"/>
          <w:bCs/>
          <w:sz w:val="20"/>
          <w:szCs w:val="20"/>
          <w:lang w:val="en-US" w:eastAsia="en-CA"/>
        </w:rPr>
        <w:t xml:space="preserve"> the </w:t>
      </w:r>
      <w:r w:rsidRPr="00796EFB">
        <w:rPr>
          <w:rFonts w:eastAsia="Times New Roman" w:cs="Times New Roman"/>
          <w:bCs/>
          <w:i/>
          <w:sz w:val="20"/>
          <w:szCs w:val="20"/>
          <w:lang w:val="en-US" w:eastAsia="en-CA"/>
        </w:rPr>
        <w:t>amicus curiae</w:t>
      </w:r>
      <w:r w:rsidRPr="00796EFB">
        <w:rPr>
          <w:rFonts w:eastAsia="Times New Roman" w:cs="Times New Roman"/>
          <w:bCs/>
          <w:sz w:val="20"/>
          <w:szCs w:val="20"/>
          <w:lang w:val="en-US" w:eastAsia="en-CA"/>
        </w:rPr>
        <w:t xml:space="preserve"> is permitted to serve and file a supplemental factum not exceeding 20 pages and a book of authorities on or before January 31, 2014 to address the issues raised by some interveners, namely the manner in which the lower courts interpreted subsection 6(a) of the </w:t>
      </w:r>
      <w:r w:rsidRPr="00796EFB">
        <w:rPr>
          <w:rFonts w:eastAsia="Times New Roman" w:cs="Times New Roman"/>
          <w:bCs/>
          <w:i/>
          <w:sz w:val="20"/>
          <w:szCs w:val="20"/>
          <w:lang w:val="en-US" w:eastAsia="en-CA"/>
        </w:rPr>
        <w:t>State Immunity Act</w:t>
      </w:r>
      <w:r w:rsidRPr="00796EFB">
        <w:rPr>
          <w:rFonts w:eastAsia="Times New Roman" w:cs="Times New Roman"/>
          <w:bCs/>
          <w:sz w:val="20"/>
          <w:szCs w:val="20"/>
          <w:lang w:val="en-US" w:eastAsia="en-CA"/>
        </w:rPr>
        <w:t xml:space="preserve">.  </w:t>
      </w:r>
    </w:p>
    <w:p w:rsidR="00796EFB" w:rsidRPr="00796EFB" w:rsidRDefault="00796EFB" w:rsidP="00796EFB">
      <w:pPr>
        <w:spacing w:line="233" w:lineRule="auto"/>
        <w:jc w:val="both"/>
        <w:rPr>
          <w:rFonts w:eastAsia="Times New Roman" w:cs="Times New Roman"/>
          <w:sz w:val="20"/>
          <w:szCs w:val="20"/>
          <w:lang w:val="en-US" w:eastAsia="en-CA"/>
        </w:rPr>
      </w:pPr>
    </w:p>
    <w:p w:rsidR="00796EFB" w:rsidRPr="00796EFB" w:rsidRDefault="00796EFB" w:rsidP="00796EFB">
      <w:pPr>
        <w:spacing w:line="233" w:lineRule="auto"/>
        <w:jc w:val="both"/>
        <w:rPr>
          <w:rFonts w:eastAsia="Times New Roman" w:cs="Times New Roman"/>
          <w:sz w:val="20"/>
          <w:szCs w:val="20"/>
          <w:lang w:val="en-US" w:eastAsia="en-CA"/>
        </w:rPr>
      </w:pPr>
    </w:p>
    <w:p w:rsidR="00796EFB" w:rsidRPr="00796EFB" w:rsidRDefault="00796EFB" w:rsidP="00796EFB">
      <w:pPr>
        <w:spacing w:line="233" w:lineRule="auto"/>
        <w:jc w:val="both"/>
        <w:rPr>
          <w:rFonts w:eastAsia="Times New Roman" w:cs="Times New Roman"/>
          <w:sz w:val="20"/>
          <w:szCs w:val="20"/>
          <w:lang w:val="en-US" w:eastAsia="en-CA"/>
        </w:rPr>
      </w:pPr>
    </w:p>
    <w:p w:rsidR="00796EFB" w:rsidRPr="00796EFB" w:rsidRDefault="00796EFB" w:rsidP="00796EFB">
      <w:pPr>
        <w:spacing w:line="233" w:lineRule="auto"/>
        <w:jc w:val="both"/>
        <w:rPr>
          <w:rFonts w:eastAsia="Times New Roman" w:cs="Times New Roman"/>
          <w:sz w:val="20"/>
          <w:szCs w:val="20"/>
          <w:lang w:val="fr-CA" w:eastAsia="en-CA"/>
        </w:rPr>
      </w:pPr>
      <w:r w:rsidRPr="00796EFB">
        <w:rPr>
          <w:rFonts w:eastAsia="Times New Roman" w:cs="Times New Roman"/>
          <w:b/>
          <w:sz w:val="20"/>
          <w:szCs w:val="20"/>
          <w:lang w:val="fr-CA" w:eastAsia="en-CA"/>
        </w:rPr>
        <w:t>À LA SUITE DE L’ORDONNANCE</w:t>
      </w:r>
      <w:r w:rsidRPr="00796EFB">
        <w:rPr>
          <w:rFonts w:eastAsia="Times New Roman" w:cs="Times New Roman"/>
          <w:sz w:val="20"/>
          <w:szCs w:val="20"/>
          <w:lang w:val="fr-CA" w:eastAsia="en-CA"/>
        </w:rPr>
        <w:t xml:space="preserve"> datée du 19 juillet 2013 nommant Christopher D. Bredt à titre d’</w:t>
      </w:r>
      <w:r w:rsidRPr="00796EFB">
        <w:rPr>
          <w:rFonts w:eastAsia="Times New Roman" w:cs="Times New Roman"/>
          <w:i/>
          <w:sz w:val="20"/>
          <w:szCs w:val="20"/>
          <w:lang w:val="fr-CA" w:eastAsia="en-CA"/>
        </w:rPr>
        <w:t>amicus curiae</w:t>
      </w:r>
      <w:r w:rsidRPr="00796EFB">
        <w:rPr>
          <w:rFonts w:eastAsia="Times New Roman" w:cs="Times New Roman"/>
          <w:sz w:val="20"/>
          <w:szCs w:val="20"/>
          <w:lang w:val="fr-CA" w:eastAsia="en-CA"/>
        </w:rPr>
        <w:t xml:space="preserve"> chargé d’aider la Cour;</w:t>
      </w:r>
    </w:p>
    <w:p w:rsidR="00796EFB" w:rsidRPr="00796EFB" w:rsidRDefault="00796EFB" w:rsidP="00796EFB">
      <w:pPr>
        <w:spacing w:line="233" w:lineRule="auto"/>
        <w:jc w:val="both"/>
        <w:rPr>
          <w:rFonts w:eastAsia="Times New Roman" w:cs="Times New Roman"/>
          <w:sz w:val="20"/>
          <w:szCs w:val="20"/>
          <w:lang w:val="fr-CA" w:eastAsia="en-CA"/>
        </w:rPr>
      </w:pPr>
    </w:p>
    <w:p w:rsidR="00796EFB" w:rsidRPr="00796EFB" w:rsidRDefault="00796EFB" w:rsidP="00796EFB">
      <w:pPr>
        <w:jc w:val="both"/>
        <w:rPr>
          <w:rFonts w:eastAsia="Times New Roman" w:cs="Times New Roman"/>
          <w:sz w:val="20"/>
          <w:szCs w:val="20"/>
          <w:lang w:val="fr-CA" w:eastAsia="en-CA"/>
        </w:rPr>
      </w:pPr>
      <w:r w:rsidRPr="00796EFB">
        <w:rPr>
          <w:rFonts w:eastAsia="Times New Roman" w:cs="Times New Roman"/>
          <w:b/>
          <w:bCs/>
          <w:sz w:val="20"/>
          <w:szCs w:val="20"/>
          <w:lang w:val="fr-CA" w:eastAsia="en-CA"/>
        </w:rPr>
        <w:t>IL EST EN OUTRE ORDONNÉ QUE</w:t>
      </w:r>
      <w:r w:rsidRPr="00796EFB">
        <w:rPr>
          <w:rFonts w:eastAsia="Times New Roman" w:cs="Times New Roman"/>
          <w:bCs/>
          <w:sz w:val="20"/>
          <w:szCs w:val="20"/>
          <w:lang w:val="fr-CA" w:eastAsia="en-CA"/>
        </w:rPr>
        <w:t xml:space="preserve"> l’</w:t>
      </w:r>
      <w:r w:rsidRPr="00796EFB">
        <w:rPr>
          <w:rFonts w:eastAsia="Times New Roman" w:cs="Times New Roman"/>
          <w:bCs/>
          <w:i/>
          <w:sz w:val="20"/>
          <w:szCs w:val="20"/>
          <w:lang w:val="fr-CA" w:eastAsia="en-CA"/>
        </w:rPr>
        <w:t>amicus curiae</w:t>
      </w:r>
      <w:r w:rsidRPr="00796EFB">
        <w:rPr>
          <w:rFonts w:eastAsia="Times New Roman" w:cs="Times New Roman"/>
          <w:bCs/>
          <w:sz w:val="20"/>
          <w:szCs w:val="20"/>
          <w:lang w:val="fr-CA" w:eastAsia="en-CA"/>
        </w:rPr>
        <w:t xml:space="preserve"> soit autorisé à signifier et à déposer, au plus tard le 31 janvier 2014, un mémoire supplémentaire d’au plus 20 pages ainsi qu’un recueil de sources pour répondre aux questions soulevées par certains intervenants, à savoir la manière dont les juridictions inférieures ont interprété l’al. 6</w:t>
      </w:r>
      <w:r w:rsidRPr="00796EFB">
        <w:rPr>
          <w:rFonts w:eastAsia="Times New Roman" w:cs="Times New Roman"/>
          <w:bCs/>
          <w:i/>
          <w:sz w:val="20"/>
          <w:szCs w:val="20"/>
          <w:lang w:val="fr-CA" w:eastAsia="en-CA"/>
        </w:rPr>
        <w:t>a</w:t>
      </w:r>
      <w:r w:rsidRPr="00796EFB">
        <w:rPr>
          <w:rFonts w:eastAsia="Times New Roman" w:cs="Times New Roman"/>
          <w:bCs/>
          <w:sz w:val="20"/>
          <w:szCs w:val="20"/>
          <w:lang w:val="fr-CA" w:eastAsia="en-CA"/>
        </w:rPr>
        <w:t xml:space="preserve">) de la </w:t>
      </w:r>
      <w:r w:rsidRPr="00796EFB">
        <w:rPr>
          <w:rFonts w:eastAsia="Times New Roman" w:cs="Times New Roman"/>
          <w:bCs/>
          <w:i/>
          <w:sz w:val="20"/>
          <w:szCs w:val="20"/>
          <w:lang w:val="fr-CA" w:eastAsia="en-CA"/>
        </w:rPr>
        <w:t>Loi sur l’immunité des États</w:t>
      </w:r>
      <w:r w:rsidRPr="00796EFB">
        <w:rPr>
          <w:rFonts w:eastAsia="Times New Roman" w:cs="Times New Roman"/>
          <w:bCs/>
          <w:sz w:val="20"/>
          <w:szCs w:val="20"/>
          <w:lang w:val="fr-CA" w:eastAsia="en-CA"/>
        </w:rPr>
        <w:t xml:space="preserve">.  </w:t>
      </w:r>
    </w:p>
    <w:p w:rsidR="00796EFB" w:rsidRPr="00796EFB" w:rsidRDefault="00796EFB" w:rsidP="00796EFB">
      <w:pPr>
        <w:tabs>
          <w:tab w:val="left" w:pos="-1440"/>
          <w:tab w:val="left" w:pos="-720"/>
        </w:tabs>
        <w:jc w:val="both"/>
        <w:rPr>
          <w:rFonts w:eastAsia="Times New Roman" w:cs="Times New Roman"/>
          <w:sz w:val="20"/>
          <w:szCs w:val="20"/>
          <w:lang w:val="fr-CA" w:eastAsia="en-CA"/>
        </w:rPr>
      </w:pPr>
    </w:p>
    <w:p w:rsidR="00796EFB" w:rsidRPr="00796EFB" w:rsidRDefault="00E672F1" w:rsidP="00796EFB">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fr-CA" w:eastAsia="en-CA"/>
        </w:rPr>
        <w:pict>
          <v:rect id="_x0000_i1056" style="width:2in;height:1pt" o:hrpct="0" o:hralign="center" o:hrstd="t" o:hrnoshade="t" o:hr="t" fillcolor="black [3213]" stroked="f"/>
        </w:pict>
      </w:r>
    </w:p>
    <w:p w:rsidR="00796EFB" w:rsidRPr="00796EFB" w:rsidRDefault="00796EFB" w:rsidP="00796EFB">
      <w:pPr>
        <w:tabs>
          <w:tab w:val="left" w:pos="-1440"/>
          <w:tab w:val="left" w:pos="-720"/>
        </w:tabs>
        <w:jc w:val="both"/>
        <w:rPr>
          <w:rFonts w:eastAsia="Times New Roman" w:cs="Times New Roman"/>
          <w:sz w:val="20"/>
          <w:szCs w:val="20"/>
          <w:lang w:eastAsia="en-CA"/>
        </w:rPr>
      </w:pPr>
    </w:p>
    <w:p w:rsidR="00796EFB" w:rsidRPr="00796EFB" w:rsidRDefault="00796EFB" w:rsidP="00796EFB">
      <w:pPr>
        <w:tabs>
          <w:tab w:val="left" w:pos="-1440"/>
          <w:tab w:val="left" w:pos="-720"/>
        </w:tabs>
        <w:jc w:val="both"/>
        <w:rPr>
          <w:rFonts w:eastAsia="Times New Roman" w:cs="Times New Roman"/>
          <w:sz w:val="20"/>
          <w:szCs w:val="20"/>
          <w:lang w:val="fr-CA" w:eastAsia="en-CA"/>
        </w:rPr>
      </w:pPr>
      <w:r w:rsidRPr="00796EFB">
        <w:rPr>
          <w:rFonts w:eastAsia="Times New Roman" w:cs="Times New Roman"/>
          <w:sz w:val="20"/>
          <w:szCs w:val="20"/>
          <w:lang w:val="fr-CA" w:eastAsia="en-CA"/>
        </w:rPr>
        <w:t>02.12.2013</w:t>
      </w:r>
    </w:p>
    <w:p w:rsidR="00796EFB" w:rsidRPr="00796EFB" w:rsidRDefault="00796EFB" w:rsidP="00796EFB">
      <w:pPr>
        <w:tabs>
          <w:tab w:val="left" w:pos="-1440"/>
          <w:tab w:val="left" w:pos="-720"/>
        </w:tabs>
        <w:jc w:val="both"/>
        <w:rPr>
          <w:rFonts w:eastAsia="Times New Roman" w:cs="Times New Roman"/>
          <w:sz w:val="20"/>
          <w:szCs w:val="20"/>
          <w:lang w:val="fr-CA" w:eastAsia="en-CA"/>
        </w:rPr>
      </w:pPr>
    </w:p>
    <w:p w:rsidR="00796EFB" w:rsidRPr="00796EFB" w:rsidRDefault="00796EFB" w:rsidP="00796EFB">
      <w:pPr>
        <w:tabs>
          <w:tab w:val="left" w:pos="-1440"/>
          <w:tab w:val="left" w:pos="-720"/>
        </w:tabs>
        <w:jc w:val="both"/>
        <w:rPr>
          <w:rFonts w:eastAsia="Times New Roman" w:cs="Times New Roman"/>
          <w:sz w:val="20"/>
          <w:szCs w:val="20"/>
          <w:lang w:val="fr-CA" w:eastAsia="en-CA"/>
        </w:rPr>
      </w:pPr>
      <w:r w:rsidRPr="00796EFB">
        <w:rPr>
          <w:rFonts w:eastAsia="Times New Roman" w:cs="Times New Roman"/>
          <w:sz w:val="20"/>
          <w:szCs w:val="20"/>
          <w:lang w:val="fr-CA" w:eastAsia="en-CA"/>
        </w:rPr>
        <w:t>Before / Devant :   KARAKATSANIS J. / LA JUGE KARAKATSANIS</w:t>
      </w:r>
    </w:p>
    <w:p w:rsidR="00796EFB" w:rsidRPr="00796EFB" w:rsidRDefault="00796EFB" w:rsidP="00796EFB">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796EFB" w:rsidRPr="00E672F1" w:rsidTr="001A7F7C">
        <w:tc>
          <w:tcPr>
            <w:tcW w:w="4338" w:type="dxa"/>
            <w:gridSpan w:val="2"/>
          </w:tcPr>
          <w:p w:rsidR="00796EFB" w:rsidRPr="00796EFB" w:rsidRDefault="00796EFB" w:rsidP="00796EFB">
            <w:pPr>
              <w:jc w:val="both"/>
              <w:rPr>
                <w:b/>
              </w:rPr>
            </w:pPr>
            <w:r w:rsidRPr="00796EFB">
              <w:rPr>
                <w:b/>
                <w:lang w:val="en-US"/>
              </w:rPr>
              <w:t xml:space="preserve">Order on interventions with respect to oral argument </w:t>
            </w:r>
            <w:r w:rsidR="000505AD" w:rsidRPr="00796EFB">
              <w:rPr>
                <w:b/>
                <w:lang w:val="en-US"/>
              </w:rPr>
              <w:fldChar w:fldCharType="begin"/>
            </w:r>
            <w:r w:rsidRPr="00796EFB">
              <w:rPr>
                <w:b/>
              </w:rPr>
              <w:instrText xml:space="preserve"> SEQ CHAPTER \h \r 1</w:instrText>
            </w:r>
            <w:r w:rsidR="000505AD" w:rsidRPr="00796EFB">
              <w:rPr>
                <w:b/>
                <w:lang w:val="en-US"/>
              </w:rPr>
              <w:fldChar w:fldCharType="end"/>
            </w:r>
          </w:p>
        </w:tc>
        <w:tc>
          <w:tcPr>
            <w:tcW w:w="1170" w:type="dxa"/>
          </w:tcPr>
          <w:p w:rsidR="00796EFB" w:rsidRPr="00796EFB" w:rsidRDefault="00796EFB" w:rsidP="00796EFB"/>
          <w:p w:rsidR="00796EFB" w:rsidRPr="00796EFB" w:rsidRDefault="00796EFB" w:rsidP="00796EFB"/>
          <w:p w:rsidR="00796EFB" w:rsidRPr="00796EFB" w:rsidRDefault="00796EFB" w:rsidP="00796EFB"/>
        </w:tc>
        <w:tc>
          <w:tcPr>
            <w:tcW w:w="4327" w:type="dxa"/>
          </w:tcPr>
          <w:p w:rsidR="00796EFB" w:rsidRPr="00796EFB" w:rsidRDefault="00796EFB" w:rsidP="00796EFB">
            <w:pPr>
              <w:jc w:val="both"/>
              <w:rPr>
                <w:b/>
                <w:lang w:val="fr-CA"/>
              </w:rPr>
            </w:pPr>
            <w:r w:rsidRPr="00796EFB">
              <w:rPr>
                <w:b/>
                <w:lang w:val="fr-CA"/>
              </w:rPr>
              <w:t>Ordonnance relative à la présentation d’une plaidoirie orale par les intervenantes</w:t>
            </w:r>
            <w:r w:rsidR="000505AD" w:rsidRPr="00796EFB">
              <w:rPr>
                <w:b/>
                <w:lang w:val="en-US"/>
              </w:rPr>
              <w:fldChar w:fldCharType="begin"/>
            </w:r>
            <w:r w:rsidRPr="00796EFB">
              <w:rPr>
                <w:b/>
                <w:lang w:val="fr-CA"/>
              </w:rPr>
              <w:instrText xml:space="preserve"> SEQ CHAPTER \h \r 1</w:instrText>
            </w:r>
            <w:r w:rsidR="000505AD" w:rsidRPr="00796EFB">
              <w:rPr>
                <w:b/>
                <w:lang w:val="en-US"/>
              </w:rPr>
              <w:fldChar w:fldCharType="end"/>
            </w:r>
          </w:p>
        </w:tc>
      </w:tr>
      <w:tr w:rsidR="00796EFB" w:rsidRPr="00796EFB" w:rsidTr="001A7F7C">
        <w:tc>
          <w:tcPr>
            <w:tcW w:w="1368" w:type="dxa"/>
          </w:tcPr>
          <w:p w:rsidR="00796EFB" w:rsidRPr="00796EFB" w:rsidRDefault="00796EFB" w:rsidP="00796EFB">
            <w:r w:rsidRPr="00796EFB">
              <w:t>RE:</w:t>
            </w:r>
          </w:p>
        </w:tc>
        <w:tc>
          <w:tcPr>
            <w:tcW w:w="2970" w:type="dxa"/>
          </w:tcPr>
          <w:p w:rsidR="00796EFB" w:rsidRPr="00796EFB" w:rsidRDefault="00796EFB" w:rsidP="00796EFB">
            <w:r w:rsidRPr="00796EFB">
              <w:t>Ontario Human Rights Commission</w:t>
            </w:r>
            <w:r w:rsidRPr="00796EFB">
              <w:rPr>
                <w:lang w:val="en-US"/>
              </w:rPr>
              <w:t>;</w:t>
            </w:r>
          </w:p>
        </w:tc>
        <w:tc>
          <w:tcPr>
            <w:tcW w:w="1170" w:type="dxa"/>
          </w:tcPr>
          <w:p w:rsidR="00796EFB" w:rsidRPr="00796EFB" w:rsidRDefault="00796EFB" w:rsidP="00796EFB"/>
        </w:tc>
        <w:tc>
          <w:tcPr>
            <w:tcW w:w="4327" w:type="dxa"/>
          </w:tcPr>
          <w:p w:rsidR="00796EFB" w:rsidRPr="00796EFB" w:rsidRDefault="00796EFB" w:rsidP="00796EFB"/>
        </w:tc>
      </w:tr>
      <w:tr w:rsidR="00796EFB" w:rsidRPr="00796EFB" w:rsidTr="001A7F7C">
        <w:tc>
          <w:tcPr>
            <w:tcW w:w="1368" w:type="dxa"/>
          </w:tcPr>
          <w:p w:rsidR="00796EFB" w:rsidRPr="00796EFB" w:rsidRDefault="00796EFB" w:rsidP="00796EFB"/>
        </w:tc>
        <w:tc>
          <w:tcPr>
            <w:tcW w:w="2970" w:type="dxa"/>
          </w:tcPr>
          <w:p w:rsidR="00796EFB" w:rsidRPr="00796EFB" w:rsidRDefault="00796EFB" w:rsidP="00796EFB">
            <w:r w:rsidRPr="00796EFB">
              <w:t>Canadian Human Rights Commission</w:t>
            </w:r>
            <w:r w:rsidRPr="00796EFB">
              <w:rPr>
                <w:lang w:val="en-US"/>
              </w:rPr>
              <w:t>;</w:t>
            </w:r>
          </w:p>
        </w:tc>
        <w:tc>
          <w:tcPr>
            <w:tcW w:w="1170" w:type="dxa"/>
          </w:tcPr>
          <w:p w:rsidR="00796EFB" w:rsidRPr="00796EFB" w:rsidRDefault="00796EFB" w:rsidP="00796EFB"/>
        </w:tc>
        <w:tc>
          <w:tcPr>
            <w:tcW w:w="4327" w:type="dxa"/>
          </w:tcPr>
          <w:p w:rsidR="00796EFB" w:rsidRPr="00796EFB" w:rsidRDefault="00796EFB" w:rsidP="00796EFB"/>
        </w:tc>
      </w:tr>
      <w:tr w:rsidR="00796EFB" w:rsidRPr="00796EFB" w:rsidTr="001A7F7C">
        <w:tc>
          <w:tcPr>
            <w:tcW w:w="1368" w:type="dxa"/>
          </w:tcPr>
          <w:p w:rsidR="00796EFB" w:rsidRPr="00796EFB" w:rsidRDefault="00796EFB" w:rsidP="00796EFB"/>
        </w:tc>
        <w:tc>
          <w:tcPr>
            <w:tcW w:w="2970" w:type="dxa"/>
          </w:tcPr>
          <w:p w:rsidR="00796EFB" w:rsidRPr="00796EFB" w:rsidRDefault="00796EFB" w:rsidP="00796EFB">
            <w:r w:rsidRPr="00796EFB">
              <w:t>Alberta Human Rights Commission</w:t>
            </w:r>
          </w:p>
        </w:tc>
        <w:tc>
          <w:tcPr>
            <w:tcW w:w="1170" w:type="dxa"/>
          </w:tcPr>
          <w:p w:rsidR="00796EFB" w:rsidRPr="00796EFB" w:rsidRDefault="00796EFB" w:rsidP="00796EFB"/>
        </w:tc>
        <w:tc>
          <w:tcPr>
            <w:tcW w:w="4327" w:type="dxa"/>
          </w:tcPr>
          <w:p w:rsidR="00796EFB" w:rsidRPr="00796EFB" w:rsidRDefault="00796EFB" w:rsidP="00796EFB"/>
        </w:tc>
      </w:tr>
      <w:tr w:rsidR="00796EFB" w:rsidRPr="00796EFB" w:rsidTr="001A7F7C">
        <w:tc>
          <w:tcPr>
            <w:tcW w:w="1368" w:type="dxa"/>
          </w:tcPr>
          <w:p w:rsidR="00796EFB" w:rsidRPr="00796EFB" w:rsidRDefault="00796EFB" w:rsidP="00796EFB"/>
        </w:tc>
        <w:tc>
          <w:tcPr>
            <w:tcW w:w="2970" w:type="dxa"/>
          </w:tcPr>
          <w:p w:rsidR="00796EFB" w:rsidRPr="00796EFB" w:rsidRDefault="00796EFB" w:rsidP="00796EFB"/>
        </w:tc>
        <w:tc>
          <w:tcPr>
            <w:tcW w:w="1170" w:type="dxa"/>
          </w:tcPr>
          <w:p w:rsidR="00796EFB" w:rsidRPr="00796EFB" w:rsidRDefault="00796EFB" w:rsidP="00796EFB"/>
        </w:tc>
        <w:tc>
          <w:tcPr>
            <w:tcW w:w="4327" w:type="dxa"/>
          </w:tcPr>
          <w:p w:rsidR="00796EFB" w:rsidRPr="00796EFB" w:rsidRDefault="00796EFB" w:rsidP="00796EFB"/>
        </w:tc>
      </w:tr>
      <w:tr w:rsidR="00796EFB" w:rsidRPr="00796EFB" w:rsidTr="001A7F7C">
        <w:tc>
          <w:tcPr>
            <w:tcW w:w="1368" w:type="dxa"/>
          </w:tcPr>
          <w:p w:rsidR="00796EFB" w:rsidRPr="00796EFB" w:rsidRDefault="00796EFB" w:rsidP="00796EFB">
            <w:r w:rsidRPr="00796EFB">
              <w:t>IN / DANS :</w:t>
            </w:r>
          </w:p>
        </w:tc>
        <w:tc>
          <w:tcPr>
            <w:tcW w:w="2970" w:type="dxa"/>
          </w:tcPr>
          <w:p w:rsidR="00796EFB" w:rsidRPr="00796EFB" w:rsidRDefault="00796EFB" w:rsidP="00796EFB">
            <w:pPr>
              <w:rPr>
                <w:lang w:val="fr-CA"/>
              </w:rPr>
            </w:pPr>
            <w:r w:rsidRPr="00796EFB">
              <w:rPr>
                <w:lang w:val="fr-CA"/>
              </w:rPr>
              <w:t>Michael McCormick</w:t>
            </w:r>
          </w:p>
          <w:p w:rsidR="00796EFB" w:rsidRPr="00796EFB" w:rsidRDefault="00796EFB" w:rsidP="00796EFB">
            <w:pPr>
              <w:rPr>
                <w:lang w:val="fr-CA"/>
              </w:rPr>
            </w:pPr>
          </w:p>
          <w:p w:rsidR="00796EFB" w:rsidRPr="00796EFB" w:rsidRDefault="00796EFB" w:rsidP="00796EFB">
            <w:pPr>
              <w:rPr>
                <w:lang w:val="fr-CA"/>
              </w:rPr>
            </w:pPr>
            <w:r w:rsidRPr="00796EFB">
              <w:rPr>
                <w:lang w:val="fr-CA"/>
              </w:rPr>
              <w:tab/>
              <w:t>v. (34997)</w:t>
            </w:r>
          </w:p>
          <w:p w:rsidR="00796EFB" w:rsidRPr="00796EFB" w:rsidRDefault="00796EFB" w:rsidP="00796EFB">
            <w:pPr>
              <w:rPr>
                <w:lang w:val="fr-CA"/>
              </w:rPr>
            </w:pPr>
          </w:p>
          <w:p w:rsidR="00796EFB" w:rsidRPr="00796EFB" w:rsidRDefault="00796EFB" w:rsidP="00796EFB">
            <w:r w:rsidRPr="00796EFB">
              <w:rPr>
                <w:lang w:val="fr-CA"/>
              </w:rPr>
              <w:t>Fasken Martineau Dumoulin LLP (B.C.)</w:t>
            </w:r>
          </w:p>
        </w:tc>
        <w:tc>
          <w:tcPr>
            <w:tcW w:w="1170" w:type="dxa"/>
          </w:tcPr>
          <w:p w:rsidR="00796EFB" w:rsidRPr="00796EFB" w:rsidRDefault="00796EFB" w:rsidP="00796EFB"/>
        </w:tc>
        <w:tc>
          <w:tcPr>
            <w:tcW w:w="4327" w:type="dxa"/>
          </w:tcPr>
          <w:p w:rsidR="00796EFB" w:rsidRPr="00796EFB" w:rsidRDefault="00796EFB" w:rsidP="00796EFB"/>
        </w:tc>
      </w:tr>
    </w:tbl>
    <w:p w:rsidR="00796EFB" w:rsidRPr="00796EFB" w:rsidRDefault="00796EFB" w:rsidP="00796EFB">
      <w:pPr>
        <w:tabs>
          <w:tab w:val="left" w:pos="-1440"/>
          <w:tab w:val="left" w:pos="-720"/>
        </w:tabs>
        <w:jc w:val="both"/>
        <w:rPr>
          <w:rFonts w:eastAsia="Times New Roman" w:cs="Times New Roman"/>
          <w:sz w:val="20"/>
          <w:szCs w:val="20"/>
          <w:lang w:val="fr-CA" w:eastAsia="en-CA"/>
        </w:rPr>
      </w:pPr>
    </w:p>
    <w:p w:rsidR="00796EFB" w:rsidRDefault="00796EFB">
      <w:pPr>
        <w:rPr>
          <w:rFonts w:eastAsia="Times New Roman" w:cs="Times New Roman"/>
          <w:b/>
          <w:sz w:val="20"/>
          <w:szCs w:val="20"/>
          <w:lang w:val="en-US" w:eastAsia="en-CA"/>
        </w:rPr>
      </w:pPr>
      <w:r>
        <w:rPr>
          <w:rFonts w:eastAsia="Times New Roman" w:cs="Times New Roman"/>
          <w:b/>
          <w:sz w:val="20"/>
          <w:szCs w:val="20"/>
          <w:lang w:val="en-US" w:eastAsia="en-CA"/>
        </w:rPr>
        <w:lastRenderedPageBreak/>
        <w:br w:type="page"/>
      </w:r>
    </w:p>
    <w:p w:rsidR="00796EFB" w:rsidRPr="00796EFB" w:rsidRDefault="00796EFB" w:rsidP="00796EFB">
      <w:pPr>
        <w:spacing w:line="233" w:lineRule="auto"/>
        <w:jc w:val="both"/>
        <w:rPr>
          <w:rFonts w:eastAsia="Times New Roman" w:cs="Times New Roman"/>
          <w:sz w:val="20"/>
          <w:szCs w:val="20"/>
          <w:lang w:val="en-US" w:eastAsia="en-CA"/>
        </w:rPr>
      </w:pPr>
      <w:r w:rsidRPr="00796EFB">
        <w:rPr>
          <w:rFonts w:eastAsia="Times New Roman" w:cs="Times New Roman"/>
          <w:b/>
          <w:sz w:val="20"/>
          <w:szCs w:val="20"/>
          <w:lang w:val="en-US" w:eastAsia="en-CA"/>
        </w:rPr>
        <w:lastRenderedPageBreak/>
        <w:t>FURTHER TO THE ORDER</w:t>
      </w:r>
      <w:r w:rsidRPr="00796EFB">
        <w:rPr>
          <w:rFonts w:eastAsia="Times New Roman" w:cs="Times New Roman"/>
          <w:sz w:val="20"/>
          <w:szCs w:val="20"/>
          <w:lang w:val="en-US" w:eastAsia="en-CA"/>
        </w:rPr>
        <w:t xml:space="preserve"> dated November 27, 2013, setting the time for oral argument for the interveners in the above appeal;</w:t>
      </w:r>
    </w:p>
    <w:p w:rsidR="00796EFB" w:rsidRPr="00796EFB" w:rsidRDefault="00796EFB" w:rsidP="00796EFB">
      <w:pPr>
        <w:spacing w:line="233" w:lineRule="auto"/>
        <w:jc w:val="both"/>
        <w:rPr>
          <w:rFonts w:eastAsia="Times New Roman" w:cs="Times New Roman"/>
          <w:sz w:val="20"/>
          <w:szCs w:val="20"/>
          <w:lang w:val="en-US" w:eastAsia="en-CA"/>
        </w:rPr>
      </w:pPr>
    </w:p>
    <w:p w:rsidR="00796EFB" w:rsidRPr="00796EFB" w:rsidRDefault="00796EFB" w:rsidP="00796EFB">
      <w:pPr>
        <w:spacing w:line="233" w:lineRule="auto"/>
        <w:jc w:val="both"/>
        <w:rPr>
          <w:rFonts w:eastAsia="Times New Roman" w:cs="Times New Roman"/>
          <w:sz w:val="20"/>
          <w:szCs w:val="20"/>
          <w:lang w:val="en-US" w:eastAsia="en-CA"/>
        </w:rPr>
      </w:pPr>
      <w:r w:rsidRPr="00796EFB">
        <w:rPr>
          <w:rFonts w:eastAsia="Times New Roman" w:cs="Times New Roman"/>
          <w:b/>
          <w:sz w:val="20"/>
          <w:szCs w:val="20"/>
          <w:lang w:val="en-US" w:eastAsia="en-CA"/>
        </w:rPr>
        <w:t>AND THE MATERIAL FILED</w:t>
      </w:r>
      <w:r w:rsidRPr="00796EFB">
        <w:rPr>
          <w:rFonts w:eastAsia="Times New Roman" w:cs="Times New Roman"/>
          <w:sz w:val="20"/>
          <w:szCs w:val="20"/>
          <w:lang w:val="en-US" w:eastAsia="en-CA"/>
        </w:rPr>
        <w:t xml:space="preserve"> having been read;</w:t>
      </w:r>
    </w:p>
    <w:p w:rsidR="00796EFB" w:rsidRPr="00796EFB" w:rsidRDefault="00796EFB" w:rsidP="00796EFB">
      <w:pPr>
        <w:spacing w:line="233" w:lineRule="auto"/>
        <w:jc w:val="both"/>
        <w:rPr>
          <w:rFonts w:eastAsia="Times New Roman" w:cs="Times New Roman"/>
          <w:sz w:val="20"/>
          <w:szCs w:val="20"/>
          <w:lang w:val="en-US" w:eastAsia="en-CA"/>
        </w:rPr>
      </w:pPr>
    </w:p>
    <w:p w:rsidR="00796EFB" w:rsidRPr="00796EFB" w:rsidRDefault="00796EFB" w:rsidP="00796EFB">
      <w:pPr>
        <w:spacing w:line="233" w:lineRule="auto"/>
        <w:jc w:val="both"/>
        <w:rPr>
          <w:rFonts w:eastAsia="Times New Roman" w:cs="Times New Roman"/>
          <w:sz w:val="20"/>
          <w:szCs w:val="20"/>
          <w:lang w:val="en-US" w:eastAsia="en-CA"/>
        </w:rPr>
      </w:pPr>
      <w:r w:rsidRPr="00796EFB">
        <w:rPr>
          <w:rFonts w:eastAsia="Times New Roman" w:cs="Times New Roman"/>
          <w:b/>
          <w:sz w:val="20"/>
          <w:szCs w:val="20"/>
          <w:lang w:val="en-US" w:eastAsia="en-CA"/>
        </w:rPr>
        <w:t>IT IS HEREBY FURTHER ORDERED THAT:</w:t>
      </w:r>
      <w:r w:rsidRPr="00796EFB">
        <w:rPr>
          <w:rFonts w:eastAsia="Times New Roman" w:cs="Times New Roman"/>
          <w:sz w:val="20"/>
          <w:szCs w:val="20"/>
          <w:lang w:val="en-US" w:eastAsia="en-CA"/>
        </w:rPr>
        <w:t xml:space="preserve"> </w:t>
      </w:r>
    </w:p>
    <w:p w:rsidR="00796EFB" w:rsidRPr="00796EFB" w:rsidRDefault="00796EFB" w:rsidP="00796EFB">
      <w:pPr>
        <w:spacing w:line="233" w:lineRule="auto"/>
        <w:jc w:val="both"/>
        <w:rPr>
          <w:rFonts w:eastAsia="Times New Roman" w:cs="Times New Roman"/>
          <w:sz w:val="20"/>
          <w:szCs w:val="20"/>
          <w:lang w:val="en-US" w:eastAsia="en-CA"/>
        </w:rPr>
      </w:pPr>
    </w:p>
    <w:p w:rsidR="00796EFB" w:rsidRPr="00796EFB" w:rsidRDefault="00796EFB" w:rsidP="00796EFB">
      <w:pPr>
        <w:spacing w:line="233" w:lineRule="auto"/>
        <w:jc w:val="both"/>
        <w:rPr>
          <w:rFonts w:eastAsia="Times New Roman" w:cs="Times New Roman"/>
          <w:sz w:val="20"/>
          <w:szCs w:val="20"/>
          <w:lang w:val="en-US" w:eastAsia="en-CA"/>
        </w:rPr>
      </w:pPr>
      <w:r w:rsidRPr="00796EFB">
        <w:rPr>
          <w:rFonts w:eastAsia="Times New Roman" w:cs="Times New Roman"/>
          <w:sz w:val="20"/>
          <w:szCs w:val="20"/>
          <w:lang w:val="en-US" w:eastAsia="en-CA"/>
        </w:rPr>
        <w:t xml:space="preserve">The following three interveners, the </w:t>
      </w:r>
      <w:r w:rsidRPr="00796EFB">
        <w:rPr>
          <w:rFonts w:eastAsia="Times New Roman" w:cs="Times New Roman"/>
          <w:sz w:val="20"/>
          <w:szCs w:val="20"/>
          <w:lang w:eastAsia="en-CA"/>
        </w:rPr>
        <w:t>Ontario Human Rights Commission, the Canadian Human Rights Commission and the Alberta Human Rights Commission</w:t>
      </w:r>
      <w:r w:rsidRPr="00796EFB">
        <w:rPr>
          <w:rFonts w:eastAsia="Times New Roman" w:cs="Times New Roman"/>
          <w:sz w:val="20"/>
          <w:szCs w:val="20"/>
          <w:lang w:val="en-US" w:eastAsia="en-CA"/>
        </w:rPr>
        <w:t xml:space="preserve"> shall each present oral argument not exceeding five (5) minutes at the hearing of the appeal. </w:t>
      </w:r>
    </w:p>
    <w:p w:rsidR="00796EFB" w:rsidRPr="00796EFB" w:rsidRDefault="00796EFB" w:rsidP="00796EFB">
      <w:pPr>
        <w:spacing w:line="233" w:lineRule="auto"/>
        <w:jc w:val="both"/>
        <w:rPr>
          <w:rFonts w:eastAsia="Times New Roman" w:cs="Times New Roman"/>
          <w:sz w:val="20"/>
          <w:szCs w:val="20"/>
          <w:lang w:val="en-US" w:eastAsia="en-CA"/>
        </w:rPr>
      </w:pPr>
    </w:p>
    <w:p w:rsidR="00796EFB" w:rsidRPr="00796EFB" w:rsidRDefault="00796EFB" w:rsidP="00796EFB">
      <w:pPr>
        <w:spacing w:line="233" w:lineRule="auto"/>
        <w:jc w:val="both"/>
        <w:rPr>
          <w:rFonts w:eastAsia="Times New Roman" w:cs="Times New Roman"/>
          <w:sz w:val="20"/>
          <w:szCs w:val="20"/>
          <w:lang w:val="en-US" w:eastAsia="en-CA"/>
        </w:rPr>
      </w:pPr>
    </w:p>
    <w:p w:rsidR="00796EFB" w:rsidRPr="00796EFB" w:rsidRDefault="00796EFB" w:rsidP="00796EFB">
      <w:pPr>
        <w:spacing w:line="233" w:lineRule="auto"/>
        <w:jc w:val="both"/>
        <w:rPr>
          <w:rFonts w:eastAsia="Times New Roman" w:cs="Times New Roman"/>
          <w:sz w:val="20"/>
          <w:szCs w:val="20"/>
          <w:lang w:val="en-US" w:eastAsia="en-CA"/>
        </w:rPr>
      </w:pPr>
    </w:p>
    <w:p w:rsidR="00796EFB" w:rsidRPr="00796EFB" w:rsidRDefault="00796EFB" w:rsidP="00796EFB">
      <w:pPr>
        <w:spacing w:line="233" w:lineRule="auto"/>
        <w:jc w:val="both"/>
        <w:rPr>
          <w:rFonts w:eastAsia="Times New Roman" w:cs="Times New Roman"/>
          <w:sz w:val="20"/>
          <w:szCs w:val="20"/>
          <w:lang w:val="fr-CA" w:eastAsia="en-CA"/>
        </w:rPr>
      </w:pPr>
      <w:r w:rsidRPr="00796EFB">
        <w:rPr>
          <w:rFonts w:eastAsia="Times New Roman" w:cs="Times New Roman"/>
          <w:b/>
          <w:sz w:val="20"/>
          <w:szCs w:val="20"/>
          <w:lang w:val="fr-CA" w:eastAsia="en-CA"/>
        </w:rPr>
        <w:t>À LA SUITE DE L’ORDONNANCE</w:t>
      </w:r>
      <w:r w:rsidRPr="00796EFB">
        <w:rPr>
          <w:rFonts w:eastAsia="Times New Roman" w:cs="Times New Roman"/>
          <w:sz w:val="20"/>
          <w:szCs w:val="20"/>
          <w:lang w:val="fr-CA" w:eastAsia="en-CA"/>
        </w:rPr>
        <w:t xml:space="preserve"> datée du 27 novembre 2013 prévoyant la durée de la plaidoirie orale des intervenants dans l’appel;</w:t>
      </w:r>
    </w:p>
    <w:p w:rsidR="00796EFB" w:rsidRPr="00796EFB" w:rsidRDefault="00796EFB" w:rsidP="00796EFB">
      <w:pPr>
        <w:spacing w:line="233" w:lineRule="auto"/>
        <w:jc w:val="both"/>
        <w:rPr>
          <w:rFonts w:eastAsia="Times New Roman" w:cs="Times New Roman"/>
          <w:sz w:val="20"/>
          <w:szCs w:val="20"/>
          <w:lang w:val="fr-CA" w:eastAsia="en-CA"/>
        </w:rPr>
      </w:pPr>
    </w:p>
    <w:p w:rsidR="00796EFB" w:rsidRPr="00796EFB" w:rsidRDefault="00796EFB" w:rsidP="00796EFB">
      <w:pPr>
        <w:spacing w:line="233" w:lineRule="auto"/>
        <w:jc w:val="both"/>
        <w:rPr>
          <w:rFonts w:eastAsia="Times New Roman" w:cs="Times New Roman"/>
          <w:sz w:val="20"/>
          <w:szCs w:val="20"/>
          <w:lang w:val="fr-CA" w:eastAsia="en-CA"/>
        </w:rPr>
      </w:pPr>
      <w:r w:rsidRPr="00796EFB">
        <w:rPr>
          <w:rFonts w:eastAsia="Times New Roman" w:cs="Times New Roman"/>
          <w:b/>
          <w:sz w:val="20"/>
          <w:szCs w:val="20"/>
          <w:lang w:val="fr-CA" w:eastAsia="en-CA"/>
        </w:rPr>
        <w:t>ET APRÈS EXAMEN</w:t>
      </w:r>
      <w:r w:rsidRPr="00796EFB">
        <w:rPr>
          <w:rFonts w:eastAsia="Times New Roman" w:cs="Times New Roman"/>
          <w:sz w:val="20"/>
          <w:szCs w:val="20"/>
          <w:lang w:val="fr-CA" w:eastAsia="en-CA"/>
        </w:rPr>
        <w:t xml:space="preserve"> des documents déposés;</w:t>
      </w:r>
    </w:p>
    <w:p w:rsidR="00796EFB" w:rsidRPr="00796EFB" w:rsidRDefault="00796EFB" w:rsidP="00796EFB">
      <w:pPr>
        <w:spacing w:line="233" w:lineRule="auto"/>
        <w:jc w:val="both"/>
        <w:rPr>
          <w:rFonts w:eastAsia="Times New Roman" w:cs="Times New Roman"/>
          <w:sz w:val="20"/>
          <w:szCs w:val="20"/>
          <w:lang w:val="fr-CA" w:eastAsia="en-CA"/>
        </w:rPr>
      </w:pPr>
    </w:p>
    <w:p w:rsidR="00796EFB" w:rsidRPr="00796EFB" w:rsidRDefault="00796EFB" w:rsidP="00796EFB">
      <w:pPr>
        <w:spacing w:line="233" w:lineRule="auto"/>
        <w:jc w:val="both"/>
        <w:rPr>
          <w:rFonts w:eastAsia="Times New Roman" w:cs="Times New Roman"/>
          <w:sz w:val="20"/>
          <w:szCs w:val="20"/>
          <w:lang w:val="fr-CA" w:eastAsia="en-CA"/>
        </w:rPr>
      </w:pPr>
      <w:r w:rsidRPr="00796EFB">
        <w:rPr>
          <w:rFonts w:eastAsia="Times New Roman" w:cs="Times New Roman"/>
          <w:b/>
          <w:sz w:val="20"/>
          <w:szCs w:val="20"/>
          <w:lang w:val="fr-CA" w:eastAsia="en-CA"/>
        </w:rPr>
        <w:t>IL EST EN OUTRE ORDONNÉ CE QUI SUIT :</w:t>
      </w:r>
      <w:r w:rsidRPr="00796EFB">
        <w:rPr>
          <w:rFonts w:eastAsia="Times New Roman" w:cs="Times New Roman"/>
          <w:sz w:val="20"/>
          <w:szCs w:val="20"/>
          <w:lang w:val="fr-CA" w:eastAsia="en-CA"/>
        </w:rPr>
        <w:t xml:space="preserve"> </w:t>
      </w:r>
    </w:p>
    <w:p w:rsidR="00796EFB" w:rsidRPr="00796EFB" w:rsidRDefault="00796EFB" w:rsidP="00796EFB">
      <w:pPr>
        <w:spacing w:line="233" w:lineRule="auto"/>
        <w:jc w:val="both"/>
        <w:rPr>
          <w:rFonts w:eastAsia="Times New Roman" w:cs="Times New Roman"/>
          <w:sz w:val="20"/>
          <w:szCs w:val="20"/>
          <w:lang w:val="fr-CA" w:eastAsia="en-CA"/>
        </w:rPr>
      </w:pPr>
    </w:p>
    <w:p w:rsidR="00796EFB" w:rsidRPr="00796EFB" w:rsidRDefault="00796EFB" w:rsidP="00796EFB">
      <w:pPr>
        <w:spacing w:line="233" w:lineRule="auto"/>
        <w:jc w:val="both"/>
        <w:rPr>
          <w:rFonts w:eastAsia="Times New Roman" w:cs="Times New Roman"/>
          <w:sz w:val="20"/>
          <w:szCs w:val="20"/>
          <w:lang w:val="fr-CA" w:eastAsia="en-CA"/>
        </w:rPr>
      </w:pPr>
      <w:r w:rsidRPr="00796EFB">
        <w:rPr>
          <w:rFonts w:eastAsia="Times New Roman" w:cs="Times New Roman"/>
          <w:sz w:val="20"/>
          <w:szCs w:val="20"/>
          <w:lang w:val="fr-CA" w:eastAsia="en-CA"/>
        </w:rPr>
        <w:t>Les trois intervenantes la Commission ontarienne des droits de la personne, la Commission canadienne des droits de la personne et la Alberta Human Rights Commission présenteront chacune une plaidoirie orale d’au plus cinq (5) minutes lors de l’audition de l’appel.</w:t>
      </w:r>
    </w:p>
    <w:p w:rsidR="00796EFB" w:rsidRPr="00796EFB" w:rsidRDefault="00796EFB" w:rsidP="00796EFB">
      <w:pPr>
        <w:spacing w:line="233" w:lineRule="auto"/>
        <w:jc w:val="both"/>
        <w:rPr>
          <w:rFonts w:eastAsia="Times New Roman" w:cs="Times New Roman"/>
          <w:sz w:val="20"/>
          <w:szCs w:val="20"/>
          <w:lang w:val="fr-CA" w:eastAsia="en-CA"/>
        </w:rPr>
      </w:pPr>
    </w:p>
    <w:p w:rsidR="00796EFB" w:rsidRPr="00796EFB" w:rsidRDefault="00E672F1" w:rsidP="00796EFB">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7" style="width:2in;height:1pt" o:hrpct="0" o:hralign="center" o:hrstd="t" o:hrnoshade="t" o:hr="t" fillcolor="black [3213]" stroked="f"/>
        </w:pict>
      </w:r>
    </w:p>
    <w:p w:rsidR="00796EFB" w:rsidRPr="00796EFB" w:rsidRDefault="00796EFB" w:rsidP="00796EFB">
      <w:pPr>
        <w:tabs>
          <w:tab w:val="left" w:pos="-1440"/>
          <w:tab w:val="left" w:pos="-720"/>
        </w:tabs>
        <w:jc w:val="both"/>
        <w:rPr>
          <w:rFonts w:eastAsia="Times New Roman" w:cs="Times New Roman"/>
          <w:sz w:val="20"/>
          <w:szCs w:val="20"/>
          <w:lang w:val="fr-CA" w:eastAsia="en-CA"/>
        </w:rPr>
      </w:pPr>
    </w:p>
    <w:p w:rsidR="00796EFB" w:rsidRPr="00796EFB" w:rsidRDefault="00796EFB" w:rsidP="00796EFB">
      <w:pPr>
        <w:tabs>
          <w:tab w:val="left" w:pos="-1440"/>
          <w:tab w:val="left" w:pos="-720"/>
        </w:tabs>
        <w:jc w:val="both"/>
        <w:rPr>
          <w:rFonts w:eastAsia="Times New Roman" w:cs="Times New Roman"/>
          <w:sz w:val="20"/>
          <w:szCs w:val="20"/>
          <w:lang w:val="fr-CA" w:eastAsia="en-CA"/>
        </w:rPr>
      </w:pPr>
      <w:r w:rsidRPr="00796EFB">
        <w:rPr>
          <w:rFonts w:eastAsia="Times New Roman" w:cs="Times New Roman"/>
          <w:sz w:val="20"/>
          <w:szCs w:val="20"/>
          <w:lang w:val="fr-CA" w:eastAsia="en-CA"/>
        </w:rPr>
        <w:t>02.12.2013</w:t>
      </w:r>
    </w:p>
    <w:p w:rsidR="00796EFB" w:rsidRPr="00796EFB" w:rsidRDefault="00796EFB" w:rsidP="00796EFB">
      <w:pPr>
        <w:tabs>
          <w:tab w:val="left" w:pos="-1440"/>
          <w:tab w:val="left" w:pos="-720"/>
        </w:tabs>
        <w:jc w:val="both"/>
        <w:rPr>
          <w:rFonts w:eastAsia="Times New Roman" w:cs="Times New Roman"/>
          <w:sz w:val="20"/>
          <w:szCs w:val="20"/>
          <w:lang w:val="fr-CA" w:eastAsia="en-CA"/>
        </w:rPr>
      </w:pPr>
    </w:p>
    <w:p w:rsidR="00796EFB" w:rsidRPr="00796EFB" w:rsidRDefault="00796EFB" w:rsidP="00796EFB">
      <w:pPr>
        <w:tabs>
          <w:tab w:val="left" w:pos="-1440"/>
          <w:tab w:val="left" w:pos="-720"/>
        </w:tabs>
        <w:jc w:val="both"/>
        <w:rPr>
          <w:rFonts w:eastAsia="Times New Roman" w:cs="Times New Roman"/>
          <w:sz w:val="20"/>
          <w:szCs w:val="20"/>
          <w:lang w:val="fr-CA" w:eastAsia="en-CA"/>
        </w:rPr>
      </w:pPr>
      <w:r w:rsidRPr="00796EFB">
        <w:rPr>
          <w:rFonts w:eastAsia="Times New Roman" w:cs="Times New Roman"/>
          <w:sz w:val="20"/>
          <w:szCs w:val="20"/>
          <w:lang w:val="fr-CA" w:eastAsia="en-CA"/>
        </w:rPr>
        <w:t>Before / Devant :   THE CHIEF JUSTICE / LA JUGE EN CHEF</w:t>
      </w:r>
    </w:p>
    <w:p w:rsidR="00796EFB" w:rsidRPr="00796EFB" w:rsidRDefault="00796EFB" w:rsidP="00796EFB">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796EFB" w:rsidRPr="00E672F1" w:rsidTr="001A7F7C">
        <w:tc>
          <w:tcPr>
            <w:tcW w:w="4338" w:type="dxa"/>
          </w:tcPr>
          <w:p w:rsidR="00796EFB" w:rsidRPr="00796EFB" w:rsidRDefault="000505AD" w:rsidP="00796EFB">
            <w:pPr>
              <w:tabs>
                <w:tab w:val="left" w:pos="-1440"/>
                <w:tab w:val="left" w:pos="-720"/>
              </w:tabs>
              <w:jc w:val="both"/>
              <w:rPr>
                <w:b/>
              </w:rPr>
            </w:pPr>
            <w:r w:rsidRPr="00796EFB">
              <w:rPr>
                <w:lang w:val="en-US"/>
              </w:rPr>
              <w:fldChar w:fldCharType="begin"/>
            </w:r>
            <w:r w:rsidR="00796EFB" w:rsidRPr="00796EFB">
              <w:rPr>
                <w:lang w:val="en-US"/>
              </w:rPr>
              <w:instrText xml:space="preserve"> SEQ CHAPTER \h \r 1</w:instrText>
            </w:r>
            <w:r w:rsidRPr="00796EFB">
              <w:rPr>
                <w:lang w:val="en-US"/>
              </w:rPr>
              <w:fldChar w:fldCharType="end"/>
            </w:r>
            <w:r w:rsidR="00796EFB" w:rsidRPr="00796EFB">
              <w:rPr>
                <w:b/>
                <w:bCs/>
                <w:lang w:val="en-US"/>
              </w:rPr>
              <w:t>Motion to state constitutional questions</w:t>
            </w:r>
          </w:p>
        </w:tc>
        <w:tc>
          <w:tcPr>
            <w:tcW w:w="1170" w:type="dxa"/>
          </w:tcPr>
          <w:p w:rsidR="00796EFB" w:rsidRPr="00796EFB" w:rsidRDefault="00796EFB" w:rsidP="00796EFB">
            <w:pPr>
              <w:tabs>
                <w:tab w:val="left" w:pos="-1440"/>
                <w:tab w:val="left" w:pos="-720"/>
              </w:tabs>
              <w:jc w:val="both"/>
            </w:pPr>
          </w:p>
          <w:p w:rsidR="00796EFB" w:rsidRPr="00796EFB" w:rsidRDefault="00796EFB" w:rsidP="00796EFB">
            <w:pPr>
              <w:tabs>
                <w:tab w:val="left" w:pos="-1440"/>
                <w:tab w:val="left" w:pos="-720"/>
              </w:tabs>
              <w:jc w:val="both"/>
            </w:pPr>
          </w:p>
          <w:p w:rsidR="00796EFB" w:rsidRPr="00796EFB" w:rsidRDefault="00796EFB" w:rsidP="00796EFB">
            <w:pPr>
              <w:tabs>
                <w:tab w:val="left" w:pos="-1440"/>
                <w:tab w:val="left" w:pos="-720"/>
              </w:tabs>
              <w:jc w:val="both"/>
            </w:pPr>
          </w:p>
        </w:tc>
        <w:tc>
          <w:tcPr>
            <w:tcW w:w="4327" w:type="dxa"/>
          </w:tcPr>
          <w:p w:rsidR="00796EFB" w:rsidRPr="00796EFB" w:rsidRDefault="000505AD" w:rsidP="00796EFB">
            <w:pPr>
              <w:tabs>
                <w:tab w:val="left" w:pos="-1440"/>
                <w:tab w:val="left" w:pos="-720"/>
              </w:tabs>
              <w:jc w:val="both"/>
              <w:rPr>
                <w:lang w:val="fr-CA"/>
              </w:rPr>
            </w:pPr>
            <w:r w:rsidRPr="00796EFB">
              <w:rPr>
                <w:lang w:val="en-US"/>
              </w:rPr>
              <w:fldChar w:fldCharType="begin"/>
            </w:r>
            <w:r w:rsidR="00796EFB" w:rsidRPr="00796EFB">
              <w:rPr>
                <w:lang w:val="fr-CA"/>
              </w:rPr>
              <w:instrText xml:space="preserve"> SEQ CHAPTER \h \r 1</w:instrText>
            </w:r>
            <w:r w:rsidRPr="00796EFB">
              <w:rPr>
                <w:lang w:val="en-US"/>
              </w:rPr>
              <w:fldChar w:fldCharType="end"/>
            </w:r>
            <w:r w:rsidR="00796EFB" w:rsidRPr="00796EFB">
              <w:rPr>
                <w:b/>
                <w:bCs/>
                <w:lang w:val="fr-CA"/>
              </w:rPr>
              <w:t>Requête en formulation de questions constitutionnelles</w:t>
            </w:r>
            <w:r w:rsidRPr="00796EFB">
              <w:rPr>
                <w:lang w:val="en-US"/>
              </w:rPr>
              <w:fldChar w:fldCharType="begin"/>
            </w:r>
            <w:r w:rsidR="00796EFB" w:rsidRPr="00796EFB">
              <w:rPr>
                <w:lang w:val="fr-CA"/>
              </w:rPr>
              <w:instrText xml:space="preserve"> SEQ CHAPTER \h \r 1</w:instrText>
            </w:r>
            <w:r w:rsidRPr="00796EFB">
              <w:rPr>
                <w:lang w:val="en-US"/>
              </w:rPr>
              <w:fldChar w:fldCharType="end"/>
            </w:r>
            <w:r w:rsidRPr="00796EFB">
              <w:rPr>
                <w:lang w:val="en-US"/>
              </w:rPr>
              <w:fldChar w:fldCharType="begin"/>
            </w:r>
            <w:r w:rsidR="00796EFB" w:rsidRPr="00796EFB">
              <w:rPr>
                <w:lang w:val="fr-CA"/>
              </w:rPr>
              <w:instrText xml:space="preserve"> SEQ CHAPTER \h \r 1</w:instrText>
            </w:r>
            <w:r w:rsidRPr="00796EFB">
              <w:rPr>
                <w:lang w:val="en-US"/>
              </w:rPr>
              <w:fldChar w:fldCharType="end"/>
            </w:r>
            <w:r w:rsidRPr="00796EFB">
              <w:rPr>
                <w:lang w:val="en-US"/>
              </w:rPr>
              <w:fldChar w:fldCharType="begin"/>
            </w:r>
            <w:r w:rsidR="00796EFB" w:rsidRPr="00796EFB">
              <w:rPr>
                <w:lang w:val="fr-CA"/>
              </w:rPr>
              <w:instrText xml:space="preserve"> SEQ CHAPTER \h \r 1</w:instrText>
            </w:r>
            <w:r w:rsidRPr="00796EFB">
              <w:rPr>
                <w:lang w:val="en-US"/>
              </w:rPr>
              <w:fldChar w:fldCharType="end"/>
            </w:r>
          </w:p>
        </w:tc>
      </w:tr>
      <w:tr w:rsidR="00796EFB" w:rsidRPr="00796EFB" w:rsidTr="001A7F7C">
        <w:tc>
          <w:tcPr>
            <w:tcW w:w="4338" w:type="dxa"/>
          </w:tcPr>
          <w:p w:rsidR="00796EFB" w:rsidRPr="00796EFB" w:rsidRDefault="00796EFB" w:rsidP="00796EFB">
            <w:pPr>
              <w:tabs>
                <w:tab w:val="left" w:pos="-1440"/>
                <w:tab w:val="left" w:pos="-720"/>
              </w:tabs>
              <w:jc w:val="both"/>
            </w:pPr>
            <w:r w:rsidRPr="00796EFB">
              <w:t>Attorney General of Canada</w:t>
            </w:r>
          </w:p>
          <w:p w:rsidR="00796EFB" w:rsidRPr="00796EFB" w:rsidRDefault="00796EFB" w:rsidP="00796EFB">
            <w:pPr>
              <w:tabs>
                <w:tab w:val="left" w:pos="-1440"/>
                <w:tab w:val="left" w:pos="-720"/>
              </w:tabs>
              <w:jc w:val="both"/>
            </w:pPr>
          </w:p>
          <w:p w:rsidR="00796EFB" w:rsidRPr="00796EFB" w:rsidRDefault="00796EFB" w:rsidP="00796EFB">
            <w:pPr>
              <w:tabs>
                <w:tab w:val="left" w:pos="-1440"/>
                <w:tab w:val="left" w:pos="-720"/>
              </w:tabs>
              <w:jc w:val="both"/>
            </w:pPr>
            <w:r w:rsidRPr="00796EFB">
              <w:tab/>
              <w:t>v. (35399)</w:t>
            </w:r>
          </w:p>
          <w:p w:rsidR="00796EFB" w:rsidRPr="00796EFB" w:rsidRDefault="00796EFB" w:rsidP="00796EFB">
            <w:pPr>
              <w:tabs>
                <w:tab w:val="left" w:pos="-1440"/>
                <w:tab w:val="left" w:pos="-720"/>
              </w:tabs>
              <w:jc w:val="both"/>
            </w:pPr>
          </w:p>
          <w:p w:rsidR="00796EFB" w:rsidRPr="00796EFB" w:rsidRDefault="00796EFB" w:rsidP="00796EFB">
            <w:pPr>
              <w:tabs>
                <w:tab w:val="left" w:pos="-1440"/>
                <w:tab w:val="left" w:pos="-720"/>
              </w:tabs>
              <w:jc w:val="both"/>
            </w:pPr>
            <w:r w:rsidRPr="00796EFB">
              <w:t xml:space="preserve">Federation of Law Societies of Canada (B.C.) </w:t>
            </w:r>
          </w:p>
        </w:tc>
        <w:tc>
          <w:tcPr>
            <w:tcW w:w="1170" w:type="dxa"/>
          </w:tcPr>
          <w:p w:rsidR="00796EFB" w:rsidRPr="00796EFB" w:rsidRDefault="00796EFB" w:rsidP="00796EFB">
            <w:pPr>
              <w:tabs>
                <w:tab w:val="left" w:pos="-1440"/>
                <w:tab w:val="left" w:pos="-720"/>
              </w:tabs>
              <w:jc w:val="both"/>
            </w:pPr>
          </w:p>
        </w:tc>
        <w:tc>
          <w:tcPr>
            <w:tcW w:w="4327" w:type="dxa"/>
          </w:tcPr>
          <w:p w:rsidR="00796EFB" w:rsidRPr="00796EFB" w:rsidRDefault="00796EFB" w:rsidP="00796EFB">
            <w:pPr>
              <w:tabs>
                <w:tab w:val="left" w:pos="-1440"/>
                <w:tab w:val="left" w:pos="-720"/>
              </w:tabs>
              <w:jc w:val="both"/>
            </w:pPr>
          </w:p>
        </w:tc>
      </w:tr>
    </w:tbl>
    <w:p w:rsidR="00796EFB" w:rsidRPr="00796EFB" w:rsidRDefault="00796EFB" w:rsidP="00796EFB">
      <w:pPr>
        <w:tabs>
          <w:tab w:val="left" w:pos="-1440"/>
          <w:tab w:val="left" w:pos="-720"/>
        </w:tabs>
        <w:jc w:val="both"/>
        <w:rPr>
          <w:rFonts w:eastAsia="Times New Roman" w:cs="Times New Roman"/>
          <w:sz w:val="20"/>
          <w:szCs w:val="20"/>
          <w:lang w:eastAsia="en-CA"/>
        </w:rPr>
      </w:pPr>
    </w:p>
    <w:p w:rsidR="00796EFB" w:rsidRPr="00796EFB" w:rsidRDefault="00796EFB" w:rsidP="00796EFB">
      <w:pPr>
        <w:tabs>
          <w:tab w:val="left" w:pos="-1440"/>
          <w:tab w:val="left" w:pos="-720"/>
        </w:tabs>
        <w:jc w:val="both"/>
        <w:rPr>
          <w:rFonts w:eastAsia="Times New Roman" w:cs="Times New Roman"/>
          <w:sz w:val="20"/>
          <w:szCs w:val="20"/>
          <w:lang w:eastAsia="en-CA"/>
        </w:rPr>
      </w:pPr>
      <w:r w:rsidRPr="00796EFB">
        <w:rPr>
          <w:rFonts w:eastAsia="Times New Roman" w:cs="Times New Roman"/>
          <w:b/>
          <w:sz w:val="20"/>
          <w:szCs w:val="20"/>
          <w:lang w:eastAsia="en-CA"/>
        </w:rPr>
        <w:t>GRANTED / ACCORDÉE</w:t>
      </w:r>
    </w:p>
    <w:p w:rsidR="00796EFB" w:rsidRPr="00796EFB" w:rsidRDefault="00796EFB" w:rsidP="00796EFB">
      <w:pPr>
        <w:tabs>
          <w:tab w:val="left" w:pos="-1440"/>
          <w:tab w:val="left" w:pos="-720"/>
        </w:tabs>
        <w:jc w:val="both"/>
        <w:rPr>
          <w:rFonts w:eastAsia="Times New Roman" w:cs="Times New Roman"/>
          <w:sz w:val="20"/>
          <w:szCs w:val="20"/>
          <w:lang w:eastAsia="en-CA"/>
        </w:rPr>
      </w:pPr>
    </w:p>
    <w:p w:rsidR="00796EFB" w:rsidRPr="00796EFB" w:rsidRDefault="00796EFB" w:rsidP="00796EFB">
      <w:pPr>
        <w:jc w:val="both"/>
        <w:rPr>
          <w:rFonts w:eastAsia="Times New Roman" w:cs="Times New Roman"/>
          <w:sz w:val="20"/>
          <w:szCs w:val="20"/>
          <w:lang w:val="en-US" w:eastAsia="en-CA"/>
        </w:rPr>
      </w:pPr>
      <w:r w:rsidRPr="00796EFB">
        <w:rPr>
          <w:rFonts w:eastAsia="Times New Roman" w:cs="Times New Roman"/>
          <w:b/>
          <w:bCs/>
          <w:sz w:val="20"/>
          <w:szCs w:val="20"/>
          <w:lang w:val="en-US" w:eastAsia="en-CA"/>
        </w:rPr>
        <w:t>UPON APPLICATION</w:t>
      </w:r>
      <w:r w:rsidRPr="00796EFB">
        <w:rPr>
          <w:rFonts w:eastAsia="Times New Roman" w:cs="Times New Roman"/>
          <w:sz w:val="20"/>
          <w:szCs w:val="20"/>
          <w:lang w:val="en-US" w:eastAsia="en-CA"/>
        </w:rPr>
        <w:t xml:space="preserve"> by the respondent </w:t>
      </w:r>
      <w:r w:rsidR="000505AD" w:rsidRPr="00796EFB">
        <w:rPr>
          <w:rFonts w:eastAsia="Times New Roman" w:cs="Times New Roman"/>
          <w:sz w:val="20"/>
          <w:szCs w:val="20"/>
          <w:lang w:eastAsia="en-CA"/>
        </w:rPr>
        <w:fldChar w:fldCharType="begin"/>
      </w:r>
      <w:r w:rsidRPr="00796EFB">
        <w:rPr>
          <w:rFonts w:eastAsia="Times New Roman" w:cs="Times New Roman"/>
          <w:sz w:val="20"/>
          <w:szCs w:val="20"/>
          <w:lang w:eastAsia="en-CA"/>
        </w:rPr>
        <w:instrText xml:space="preserve"> SEQ CHAPTER \h \r 1</w:instrText>
      </w:r>
      <w:r w:rsidR="000505AD" w:rsidRPr="00796EFB">
        <w:rPr>
          <w:rFonts w:eastAsia="Times New Roman" w:cs="Times New Roman"/>
          <w:sz w:val="20"/>
          <w:szCs w:val="20"/>
          <w:lang w:eastAsia="en-CA"/>
        </w:rPr>
        <w:fldChar w:fldCharType="end"/>
      </w:r>
      <w:r w:rsidRPr="00796EFB">
        <w:rPr>
          <w:rFonts w:eastAsia="Times New Roman" w:cs="Times New Roman"/>
          <w:sz w:val="20"/>
          <w:szCs w:val="20"/>
          <w:lang w:eastAsia="en-CA"/>
        </w:rPr>
        <w:t xml:space="preserve">for an order stating constitutional questions </w:t>
      </w:r>
      <w:r w:rsidRPr="00796EFB">
        <w:rPr>
          <w:rFonts w:eastAsia="Times New Roman" w:cs="Times New Roman"/>
          <w:sz w:val="20"/>
          <w:szCs w:val="20"/>
          <w:lang w:val="en-US" w:eastAsia="en-CA"/>
        </w:rPr>
        <w:t>in the above appeal;</w:t>
      </w:r>
    </w:p>
    <w:p w:rsidR="00796EFB" w:rsidRPr="00796EFB" w:rsidRDefault="00796EFB" w:rsidP="00796EFB">
      <w:pPr>
        <w:jc w:val="both"/>
        <w:rPr>
          <w:rFonts w:eastAsia="Times New Roman" w:cs="Times New Roman"/>
          <w:sz w:val="20"/>
          <w:szCs w:val="20"/>
          <w:lang w:val="en-US" w:eastAsia="en-CA"/>
        </w:rPr>
      </w:pPr>
    </w:p>
    <w:p w:rsidR="00796EFB" w:rsidRPr="00796EFB" w:rsidRDefault="00796EFB" w:rsidP="00796EFB">
      <w:pPr>
        <w:jc w:val="both"/>
        <w:rPr>
          <w:rFonts w:eastAsia="Times New Roman" w:cs="Times New Roman"/>
          <w:sz w:val="20"/>
          <w:szCs w:val="20"/>
          <w:lang w:val="en-US" w:eastAsia="en-CA"/>
        </w:rPr>
      </w:pPr>
      <w:r w:rsidRPr="00796EFB">
        <w:rPr>
          <w:rFonts w:eastAsia="Times New Roman" w:cs="Times New Roman"/>
          <w:b/>
          <w:bCs/>
          <w:sz w:val="20"/>
          <w:szCs w:val="20"/>
          <w:lang w:val="en-US" w:eastAsia="en-CA"/>
        </w:rPr>
        <w:t>AND THE MATERIAL FILED</w:t>
      </w:r>
      <w:r w:rsidRPr="00796EFB">
        <w:rPr>
          <w:rFonts w:eastAsia="Times New Roman" w:cs="Times New Roman"/>
          <w:sz w:val="20"/>
          <w:szCs w:val="20"/>
          <w:lang w:val="en-US" w:eastAsia="en-CA"/>
        </w:rPr>
        <w:t xml:space="preserve"> having been read;</w:t>
      </w:r>
    </w:p>
    <w:p w:rsidR="00796EFB" w:rsidRPr="00796EFB" w:rsidRDefault="00796EFB" w:rsidP="00796EFB">
      <w:pPr>
        <w:jc w:val="both"/>
        <w:rPr>
          <w:rFonts w:eastAsia="Times New Roman" w:cs="Times New Roman"/>
          <w:sz w:val="20"/>
          <w:szCs w:val="20"/>
          <w:lang w:val="en-US" w:eastAsia="en-CA"/>
        </w:rPr>
      </w:pPr>
    </w:p>
    <w:p w:rsidR="00796EFB" w:rsidRPr="00796EFB" w:rsidRDefault="00796EFB" w:rsidP="00796EFB">
      <w:pPr>
        <w:jc w:val="both"/>
        <w:rPr>
          <w:rFonts w:eastAsia="Times New Roman" w:cs="Times New Roman"/>
          <w:b/>
          <w:sz w:val="20"/>
          <w:szCs w:val="20"/>
          <w:lang w:val="en-US" w:eastAsia="en-CA"/>
        </w:rPr>
      </w:pPr>
      <w:r w:rsidRPr="00796EFB">
        <w:rPr>
          <w:rFonts w:eastAsia="Times New Roman" w:cs="Times New Roman"/>
          <w:b/>
          <w:sz w:val="20"/>
          <w:szCs w:val="20"/>
          <w:lang w:val="en-US" w:eastAsia="en-CA"/>
        </w:rPr>
        <w:t>IT IS HEREBY ORDERED THAT</w:t>
      </w:r>
      <w:r w:rsidRPr="00796EFB">
        <w:rPr>
          <w:rFonts w:eastAsia="Times New Roman" w:cs="Times New Roman"/>
          <w:b/>
          <w:bCs/>
          <w:sz w:val="20"/>
          <w:szCs w:val="20"/>
          <w:lang w:val="en-US" w:eastAsia="en-CA"/>
        </w:rPr>
        <w:t xml:space="preserve"> THE CONSTITUTIONAL QUESTIONS BE STATED AS FOLLOWS:</w:t>
      </w:r>
    </w:p>
    <w:p w:rsidR="00796EFB" w:rsidRPr="00796EFB" w:rsidRDefault="00796EFB" w:rsidP="00796EFB">
      <w:pPr>
        <w:jc w:val="both"/>
        <w:rPr>
          <w:rFonts w:eastAsia="Times New Roman" w:cs="Times New Roman"/>
          <w:sz w:val="20"/>
          <w:szCs w:val="20"/>
          <w:lang w:val="en-US" w:eastAsia="en-CA"/>
        </w:rPr>
      </w:pPr>
    </w:p>
    <w:p w:rsidR="00796EFB" w:rsidRPr="00796EFB" w:rsidRDefault="00796EFB" w:rsidP="00796EFB">
      <w:pPr>
        <w:numPr>
          <w:ilvl w:val="0"/>
          <w:numId w:val="9"/>
        </w:numPr>
        <w:jc w:val="both"/>
        <w:rPr>
          <w:rFonts w:cs="Times New Roman"/>
          <w:sz w:val="20"/>
          <w:szCs w:val="20"/>
        </w:rPr>
      </w:pPr>
      <w:r w:rsidRPr="00796EFB">
        <w:rPr>
          <w:rFonts w:cs="Times New Roman"/>
          <w:sz w:val="20"/>
          <w:szCs w:val="20"/>
        </w:rPr>
        <w:t xml:space="preserve">Do ss. 5(i), 5(j), 62, 63, 63.1 or 64 of the </w:t>
      </w:r>
      <w:r w:rsidRPr="00796EFB">
        <w:rPr>
          <w:rFonts w:cs="Times New Roman"/>
          <w:i/>
          <w:iCs/>
          <w:sz w:val="20"/>
          <w:szCs w:val="20"/>
        </w:rPr>
        <w:t>Proceeds of Crime (Money Laundering) and Terrorist Financing Act</w:t>
      </w:r>
      <w:r w:rsidRPr="00796EFB">
        <w:rPr>
          <w:rFonts w:cs="Times New Roman"/>
          <w:sz w:val="20"/>
          <w:szCs w:val="20"/>
        </w:rPr>
        <w:t xml:space="preserve">, S.C. 2000, c. 17, infringe s. 7 of the </w:t>
      </w:r>
      <w:r w:rsidRPr="00796EFB">
        <w:rPr>
          <w:rFonts w:cs="Times New Roman"/>
          <w:i/>
          <w:iCs/>
          <w:sz w:val="20"/>
          <w:szCs w:val="20"/>
        </w:rPr>
        <w:t>Canadian Charter of Rights and Freedoms?</w:t>
      </w:r>
    </w:p>
    <w:p w:rsidR="00796EFB" w:rsidRPr="00796EFB" w:rsidRDefault="00796EFB" w:rsidP="00796EFB">
      <w:pPr>
        <w:ind w:left="720"/>
        <w:jc w:val="both"/>
        <w:rPr>
          <w:rFonts w:cs="Times New Roman"/>
          <w:sz w:val="20"/>
          <w:szCs w:val="20"/>
        </w:rPr>
      </w:pPr>
    </w:p>
    <w:p w:rsidR="00796EFB" w:rsidRPr="00796EFB" w:rsidRDefault="00796EFB" w:rsidP="00796EFB">
      <w:pPr>
        <w:numPr>
          <w:ilvl w:val="0"/>
          <w:numId w:val="9"/>
        </w:numPr>
        <w:autoSpaceDN w:val="0"/>
        <w:spacing w:line="0" w:lineRule="atLeast"/>
        <w:jc w:val="both"/>
        <w:rPr>
          <w:rFonts w:cs="Times New Roman"/>
          <w:sz w:val="20"/>
          <w:szCs w:val="20"/>
        </w:rPr>
      </w:pPr>
      <w:r w:rsidRPr="00796EFB">
        <w:rPr>
          <w:rFonts w:cs="Times New Roman"/>
          <w:sz w:val="20"/>
          <w:szCs w:val="20"/>
        </w:rPr>
        <w:t xml:space="preserve">If so, is the infringement a reasonable limit prescribed by law as can be demonstrably justified in a free and democratic society under s. 1 of the </w:t>
      </w:r>
      <w:r w:rsidRPr="00796EFB">
        <w:rPr>
          <w:rFonts w:cs="Times New Roman"/>
          <w:i/>
          <w:iCs/>
          <w:sz w:val="20"/>
          <w:szCs w:val="20"/>
        </w:rPr>
        <w:t>Canadian Charter of Rights and Freedoms</w:t>
      </w:r>
      <w:r w:rsidRPr="00796EFB">
        <w:rPr>
          <w:rFonts w:cs="Times New Roman"/>
          <w:sz w:val="20"/>
          <w:szCs w:val="20"/>
        </w:rPr>
        <w:t>?</w:t>
      </w:r>
    </w:p>
    <w:p w:rsidR="00796EFB" w:rsidRPr="00796EFB" w:rsidRDefault="00796EFB" w:rsidP="00796EFB">
      <w:pPr>
        <w:ind w:left="720"/>
        <w:contextualSpacing/>
        <w:jc w:val="both"/>
        <w:rPr>
          <w:rFonts w:cs="Times New Roman"/>
          <w:sz w:val="20"/>
          <w:szCs w:val="20"/>
        </w:rPr>
      </w:pPr>
    </w:p>
    <w:p w:rsidR="00796EFB" w:rsidRPr="00796EFB" w:rsidRDefault="00796EFB" w:rsidP="00796EFB">
      <w:pPr>
        <w:numPr>
          <w:ilvl w:val="0"/>
          <w:numId w:val="9"/>
        </w:numPr>
        <w:autoSpaceDN w:val="0"/>
        <w:spacing w:line="0" w:lineRule="atLeast"/>
        <w:jc w:val="both"/>
        <w:rPr>
          <w:rFonts w:cs="Times New Roman"/>
          <w:sz w:val="20"/>
          <w:szCs w:val="20"/>
        </w:rPr>
      </w:pPr>
      <w:r w:rsidRPr="00796EFB">
        <w:rPr>
          <w:rFonts w:cs="Times New Roman"/>
          <w:sz w:val="20"/>
          <w:szCs w:val="20"/>
        </w:rPr>
        <w:lastRenderedPageBreak/>
        <w:t xml:space="preserve">Do ss. 11.1, 33.3, 33.4 or 59.4 of the </w:t>
      </w:r>
      <w:r w:rsidRPr="00796EFB">
        <w:rPr>
          <w:rFonts w:cs="Times New Roman"/>
          <w:i/>
          <w:iCs/>
          <w:sz w:val="20"/>
          <w:szCs w:val="20"/>
        </w:rPr>
        <w:t>Proceeds of Crime (Money Laundering) and Terrorist Financing Regulations</w:t>
      </w:r>
      <w:r w:rsidRPr="00796EFB">
        <w:rPr>
          <w:rFonts w:cs="Times New Roman"/>
          <w:sz w:val="20"/>
          <w:szCs w:val="20"/>
        </w:rPr>
        <w:t xml:space="preserve">, SOR/2002-184, infringe s. 7 of the </w:t>
      </w:r>
      <w:r w:rsidRPr="00796EFB">
        <w:rPr>
          <w:rFonts w:cs="Times New Roman"/>
          <w:i/>
          <w:iCs/>
          <w:sz w:val="20"/>
          <w:szCs w:val="20"/>
        </w:rPr>
        <w:t>Canadian Charter of Rights and Freedoms</w:t>
      </w:r>
      <w:r w:rsidRPr="00796EFB">
        <w:rPr>
          <w:rFonts w:cs="Times New Roman"/>
          <w:sz w:val="20"/>
          <w:szCs w:val="20"/>
        </w:rPr>
        <w:t>?</w:t>
      </w:r>
    </w:p>
    <w:p w:rsidR="00796EFB" w:rsidRPr="00796EFB" w:rsidRDefault="00796EFB" w:rsidP="00796EFB">
      <w:pPr>
        <w:ind w:left="720"/>
        <w:contextualSpacing/>
        <w:jc w:val="both"/>
        <w:rPr>
          <w:rFonts w:cs="Times New Roman"/>
          <w:sz w:val="20"/>
          <w:szCs w:val="20"/>
        </w:rPr>
      </w:pPr>
    </w:p>
    <w:p w:rsidR="00796EFB" w:rsidRPr="00796EFB" w:rsidRDefault="00796EFB" w:rsidP="00796EFB">
      <w:pPr>
        <w:numPr>
          <w:ilvl w:val="0"/>
          <w:numId w:val="9"/>
        </w:numPr>
        <w:autoSpaceDN w:val="0"/>
        <w:spacing w:line="0" w:lineRule="atLeast"/>
        <w:jc w:val="both"/>
        <w:rPr>
          <w:rFonts w:cs="Times New Roman"/>
          <w:sz w:val="20"/>
          <w:szCs w:val="20"/>
        </w:rPr>
      </w:pPr>
      <w:r w:rsidRPr="00796EFB">
        <w:rPr>
          <w:rFonts w:cs="Times New Roman"/>
          <w:sz w:val="20"/>
          <w:szCs w:val="20"/>
        </w:rPr>
        <w:t xml:space="preserve">If so, is the infringement a reasonable limit prescribed by law as can be demonstrably justified in a free and democratic society under s. 1 of the </w:t>
      </w:r>
      <w:r w:rsidRPr="00796EFB">
        <w:rPr>
          <w:rFonts w:cs="Times New Roman"/>
          <w:i/>
          <w:iCs/>
          <w:sz w:val="20"/>
          <w:szCs w:val="20"/>
        </w:rPr>
        <w:t>Canadian Charter of Rights and Freedoms</w:t>
      </w:r>
      <w:r w:rsidRPr="00796EFB">
        <w:rPr>
          <w:rFonts w:cs="Times New Roman"/>
          <w:sz w:val="20"/>
          <w:szCs w:val="20"/>
        </w:rPr>
        <w:t>?</w:t>
      </w:r>
    </w:p>
    <w:p w:rsidR="00796EFB" w:rsidRPr="00796EFB" w:rsidRDefault="00796EFB" w:rsidP="00796EFB">
      <w:pPr>
        <w:ind w:left="720"/>
        <w:contextualSpacing/>
        <w:jc w:val="both"/>
        <w:rPr>
          <w:rFonts w:cs="Times New Roman"/>
          <w:sz w:val="20"/>
          <w:szCs w:val="20"/>
        </w:rPr>
      </w:pPr>
    </w:p>
    <w:p w:rsidR="00796EFB" w:rsidRPr="00796EFB" w:rsidRDefault="00796EFB" w:rsidP="00796EFB">
      <w:pPr>
        <w:numPr>
          <w:ilvl w:val="0"/>
          <w:numId w:val="9"/>
        </w:numPr>
        <w:jc w:val="both"/>
        <w:rPr>
          <w:rFonts w:cs="Times New Roman"/>
          <w:sz w:val="20"/>
          <w:szCs w:val="20"/>
        </w:rPr>
      </w:pPr>
      <w:r w:rsidRPr="00796EFB">
        <w:rPr>
          <w:rFonts w:cs="Times New Roman"/>
          <w:sz w:val="20"/>
          <w:szCs w:val="20"/>
        </w:rPr>
        <w:t xml:space="preserve">Do ss. 5(i), 5(j), 62, 63, 63.1 or 64 of the </w:t>
      </w:r>
      <w:r w:rsidRPr="00796EFB">
        <w:rPr>
          <w:rFonts w:cs="Times New Roman"/>
          <w:i/>
          <w:iCs/>
          <w:sz w:val="20"/>
          <w:szCs w:val="20"/>
        </w:rPr>
        <w:t>Proceeds of Crime (Money Laundering) and Terrorist Financing Act</w:t>
      </w:r>
      <w:r w:rsidRPr="00796EFB">
        <w:rPr>
          <w:rFonts w:cs="Times New Roman"/>
          <w:sz w:val="20"/>
          <w:szCs w:val="20"/>
        </w:rPr>
        <w:t xml:space="preserve">, S.C. 2000, c. 17, infringe s. 8 of the </w:t>
      </w:r>
      <w:r w:rsidRPr="00796EFB">
        <w:rPr>
          <w:rFonts w:cs="Times New Roman"/>
          <w:i/>
          <w:iCs/>
          <w:sz w:val="20"/>
          <w:szCs w:val="20"/>
        </w:rPr>
        <w:t>Canadian Charter of Rights and Freedoms?</w:t>
      </w:r>
    </w:p>
    <w:p w:rsidR="00796EFB" w:rsidRPr="00796EFB" w:rsidRDefault="00796EFB" w:rsidP="00796EFB">
      <w:pPr>
        <w:ind w:left="720"/>
        <w:jc w:val="both"/>
        <w:rPr>
          <w:rFonts w:cs="Times New Roman"/>
          <w:sz w:val="20"/>
          <w:szCs w:val="20"/>
        </w:rPr>
      </w:pPr>
    </w:p>
    <w:p w:rsidR="00796EFB" w:rsidRPr="00796EFB" w:rsidRDefault="00796EFB" w:rsidP="00796EFB">
      <w:pPr>
        <w:numPr>
          <w:ilvl w:val="0"/>
          <w:numId w:val="9"/>
        </w:numPr>
        <w:autoSpaceDN w:val="0"/>
        <w:spacing w:line="0" w:lineRule="atLeast"/>
        <w:jc w:val="both"/>
        <w:rPr>
          <w:rFonts w:cs="Times New Roman"/>
          <w:sz w:val="20"/>
          <w:szCs w:val="20"/>
        </w:rPr>
      </w:pPr>
      <w:r w:rsidRPr="00796EFB">
        <w:rPr>
          <w:rFonts w:cs="Times New Roman"/>
          <w:sz w:val="20"/>
          <w:szCs w:val="20"/>
        </w:rPr>
        <w:t xml:space="preserve">If so, is the infringement a reasonable limit prescribed by law as can be demonstrably justified in a free and democratic society under s. 1 of the </w:t>
      </w:r>
      <w:r w:rsidRPr="00796EFB">
        <w:rPr>
          <w:rFonts w:cs="Times New Roman"/>
          <w:i/>
          <w:iCs/>
          <w:sz w:val="20"/>
          <w:szCs w:val="20"/>
        </w:rPr>
        <w:t>Canadian Charter of Rights and Freedoms</w:t>
      </w:r>
      <w:r w:rsidRPr="00796EFB">
        <w:rPr>
          <w:rFonts w:cs="Times New Roman"/>
          <w:sz w:val="20"/>
          <w:szCs w:val="20"/>
        </w:rPr>
        <w:t>?</w:t>
      </w:r>
    </w:p>
    <w:p w:rsidR="00796EFB" w:rsidRPr="00796EFB" w:rsidRDefault="00796EFB" w:rsidP="00796EFB">
      <w:pPr>
        <w:spacing w:line="0" w:lineRule="atLeast"/>
        <w:ind w:left="720"/>
        <w:jc w:val="both"/>
        <w:rPr>
          <w:rFonts w:cs="Times New Roman"/>
          <w:sz w:val="20"/>
          <w:szCs w:val="20"/>
        </w:rPr>
      </w:pPr>
    </w:p>
    <w:p w:rsidR="00796EFB" w:rsidRPr="00796EFB" w:rsidRDefault="00796EFB" w:rsidP="00796EFB">
      <w:pPr>
        <w:numPr>
          <w:ilvl w:val="0"/>
          <w:numId w:val="9"/>
        </w:numPr>
        <w:autoSpaceDN w:val="0"/>
        <w:spacing w:line="0" w:lineRule="atLeast"/>
        <w:jc w:val="both"/>
        <w:rPr>
          <w:rFonts w:cs="Times New Roman"/>
          <w:sz w:val="20"/>
          <w:szCs w:val="20"/>
        </w:rPr>
      </w:pPr>
      <w:r w:rsidRPr="00796EFB">
        <w:rPr>
          <w:rFonts w:cs="Times New Roman"/>
          <w:sz w:val="20"/>
          <w:szCs w:val="20"/>
        </w:rPr>
        <w:t xml:space="preserve">Do ss. 11.1, 33.3, 33.4 or 59.4 of the </w:t>
      </w:r>
      <w:r w:rsidRPr="00796EFB">
        <w:rPr>
          <w:rFonts w:cs="Times New Roman"/>
          <w:i/>
          <w:iCs/>
          <w:sz w:val="20"/>
          <w:szCs w:val="20"/>
        </w:rPr>
        <w:t>Proceeds of Crime (Money Laundering) and Terrorist Financing Regulations</w:t>
      </w:r>
      <w:r w:rsidRPr="00796EFB">
        <w:rPr>
          <w:rFonts w:cs="Times New Roman"/>
          <w:sz w:val="20"/>
          <w:szCs w:val="20"/>
        </w:rPr>
        <w:t xml:space="preserve">, SOR/2002-184, infringe s. 8 of the </w:t>
      </w:r>
      <w:r w:rsidRPr="00796EFB">
        <w:rPr>
          <w:rFonts w:cs="Times New Roman"/>
          <w:i/>
          <w:iCs/>
          <w:sz w:val="20"/>
          <w:szCs w:val="20"/>
        </w:rPr>
        <w:t>Canadian Charter of Rights and Freedoms</w:t>
      </w:r>
      <w:r w:rsidRPr="00796EFB">
        <w:rPr>
          <w:rFonts w:cs="Times New Roman"/>
          <w:sz w:val="20"/>
          <w:szCs w:val="20"/>
        </w:rPr>
        <w:t>?</w:t>
      </w:r>
    </w:p>
    <w:p w:rsidR="00796EFB" w:rsidRPr="00796EFB" w:rsidRDefault="00796EFB" w:rsidP="00796EFB">
      <w:pPr>
        <w:ind w:left="720"/>
        <w:contextualSpacing/>
        <w:jc w:val="both"/>
        <w:rPr>
          <w:rFonts w:cs="Times New Roman"/>
          <w:sz w:val="20"/>
          <w:szCs w:val="20"/>
        </w:rPr>
      </w:pPr>
    </w:p>
    <w:p w:rsidR="00796EFB" w:rsidRPr="00796EFB" w:rsidRDefault="00796EFB" w:rsidP="00796EFB">
      <w:pPr>
        <w:numPr>
          <w:ilvl w:val="0"/>
          <w:numId w:val="9"/>
        </w:numPr>
        <w:autoSpaceDN w:val="0"/>
        <w:spacing w:line="0" w:lineRule="atLeast"/>
        <w:jc w:val="both"/>
        <w:rPr>
          <w:rFonts w:cs="Times New Roman"/>
          <w:sz w:val="20"/>
          <w:szCs w:val="20"/>
        </w:rPr>
      </w:pPr>
      <w:r w:rsidRPr="00796EFB">
        <w:rPr>
          <w:rFonts w:cs="Times New Roman"/>
          <w:sz w:val="20"/>
          <w:szCs w:val="20"/>
        </w:rPr>
        <w:t xml:space="preserve">If so, is the infringement a reasonable limit prescribed by law as can be demonstrably justified in a free and democratic society under s. 1 of the </w:t>
      </w:r>
      <w:r w:rsidRPr="00796EFB">
        <w:rPr>
          <w:rFonts w:cs="Times New Roman"/>
          <w:i/>
          <w:iCs/>
          <w:sz w:val="20"/>
          <w:szCs w:val="20"/>
        </w:rPr>
        <w:t>Canadian Charter of Rights and Freedoms</w:t>
      </w:r>
      <w:r w:rsidRPr="00796EFB">
        <w:rPr>
          <w:rFonts w:cs="Times New Roman"/>
          <w:sz w:val="20"/>
          <w:szCs w:val="20"/>
        </w:rPr>
        <w:t>?</w:t>
      </w:r>
    </w:p>
    <w:p w:rsidR="00796EFB" w:rsidRPr="00796EFB" w:rsidRDefault="00796EFB" w:rsidP="00796EFB">
      <w:pPr>
        <w:jc w:val="both"/>
        <w:rPr>
          <w:rFonts w:eastAsia="Times New Roman" w:cs="Times New Roman"/>
          <w:b/>
          <w:bCs/>
          <w:sz w:val="20"/>
          <w:szCs w:val="20"/>
          <w:lang w:val="en-US" w:eastAsia="en-CA"/>
        </w:rPr>
      </w:pPr>
    </w:p>
    <w:p w:rsidR="00796EFB" w:rsidRPr="00796EFB" w:rsidRDefault="00796EFB" w:rsidP="00796EFB">
      <w:pPr>
        <w:jc w:val="both"/>
        <w:rPr>
          <w:rFonts w:eastAsia="Times New Roman" w:cs="Times New Roman"/>
          <w:bCs/>
          <w:sz w:val="20"/>
          <w:szCs w:val="20"/>
          <w:lang w:val="en-US" w:eastAsia="en-CA"/>
        </w:rPr>
      </w:pPr>
      <w:r w:rsidRPr="00796EFB">
        <w:rPr>
          <w:rFonts w:eastAsia="Times New Roman" w:cs="Times New Roman"/>
          <w:bCs/>
          <w:sz w:val="20"/>
          <w:szCs w:val="20"/>
          <w:lang w:val="en-US" w:eastAsia="en-CA"/>
        </w:rPr>
        <w:t xml:space="preserve">Any attorney general who intervenes pursuant to par. 61(4) of the </w:t>
      </w:r>
      <w:r w:rsidRPr="00796EFB">
        <w:rPr>
          <w:rFonts w:eastAsia="Times New Roman" w:cs="Times New Roman"/>
          <w:bCs/>
          <w:i/>
          <w:sz w:val="20"/>
          <w:szCs w:val="20"/>
          <w:lang w:val="en-US" w:eastAsia="en-CA"/>
        </w:rPr>
        <w:t>Rules of the Supreme Court of Canada</w:t>
      </w:r>
      <w:r w:rsidRPr="00796EFB">
        <w:rPr>
          <w:rFonts w:eastAsia="Times New Roman" w:cs="Times New Roman"/>
          <w:bCs/>
          <w:sz w:val="20"/>
          <w:szCs w:val="20"/>
          <w:lang w:val="en-US" w:eastAsia="en-CA"/>
        </w:rPr>
        <w:t xml:space="preserve"> shall pay the appellant and respondent the costs of any additional disbursements they incur as a result of the intervention.</w:t>
      </w:r>
    </w:p>
    <w:p w:rsidR="00796EFB" w:rsidRPr="00796EFB" w:rsidRDefault="00796EFB" w:rsidP="00796EFB">
      <w:pPr>
        <w:jc w:val="both"/>
        <w:rPr>
          <w:rFonts w:eastAsia="Times New Roman" w:cs="Times New Roman"/>
          <w:b/>
          <w:bCs/>
          <w:sz w:val="20"/>
          <w:szCs w:val="20"/>
          <w:lang w:val="en-US" w:eastAsia="en-CA"/>
        </w:rPr>
      </w:pPr>
    </w:p>
    <w:p w:rsidR="00796EFB" w:rsidRPr="00796EFB" w:rsidRDefault="00796EFB" w:rsidP="00796EFB">
      <w:pPr>
        <w:jc w:val="both"/>
        <w:rPr>
          <w:rFonts w:eastAsia="Times New Roman" w:cs="Times New Roman"/>
          <w:b/>
          <w:bCs/>
          <w:sz w:val="20"/>
          <w:szCs w:val="20"/>
          <w:lang w:val="en-US" w:eastAsia="en-CA"/>
        </w:rPr>
      </w:pPr>
      <w:r w:rsidRPr="00796EFB">
        <w:rPr>
          <w:rFonts w:eastAsia="Times New Roman" w:cs="Times New Roman"/>
          <w:b/>
          <w:bCs/>
          <w:sz w:val="20"/>
          <w:szCs w:val="20"/>
          <w:lang w:val="en-US" w:eastAsia="en-CA"/>
        </w:rPr>
        <w:t>IT IS HEREBY FURTHER ORDERED THAT:</w:t>
      </w:r>
    </w:p>
    <w:p w:rsidR="00796EFB" w:rsidRPr="00796EFB" w:rsidRDefault="00796EFB" w:rsidP="00796EFB">
      <w:pPr>
        <w:jc w:val="both"/>
        <w:rPr>
          <w:rFonts w:eastAsia="Times New Roman" w:cs="Times New Roman"/>
          <w:b/>
          <w:bCs/>
          <w:sz w:val="20"/>
          <w:szCs w:val="20"/>
          <w:lang w:val="en-US" w:eastAsia="en-CA"/>
        </w:rPr>
      </w:pPr>
    </w:p>
    <w:p w:rsidR="00796EFB" w:rsidRPr="00796EFB" w:rsidRDefault="00796EFB" w:rsidP="00796EFB">
      <w:pPr>
        <w:numPr>
          <w:ilvl w:val="0"/>
          <w:numId w:val="7"/>
        </w:numPr>
        <w:autoSpaceDE w:val="0"/>
        <w:autoSpaceDN w:val="0"/>
        <w:adjustRightInd w:val="0"/>
        <w:contextualSpacing/>
        <w:jc w:val="both"/>
        <w:rPr>
          <w:rFonts w:cs="Times New Roman"/>
          <w:bCs/>
          <w:sz w:val="20"/>
          <w:szCs w:val="20"/>
        </w:rPr>
      </w:pPr>
      <w:r w:rsidRPr="00796EFB">
        <w:rPr>
          <w:rFonts w:cs="Times New Roman"/>
          <w:sz w:val="20"/>
          <w:szCs w:val="20"/>
        </w:rPr>
        <w:t>The appellant’s record, factum and book of authorities shall be served and filed on or before February 28, 2014.</w:t>
      </w:r>
    </w:p>
    <w:p w:rsidR="00796EFB" w:rsidRPr="00796EFB" w:rsidRDefault="00796EFB" w:rsidP="00796EFB">
      <w:pPr>
        <w:ind w:left="720"/>
        <w:contextualSpacing/>
        <w:jc w:val="both"/>
        <w:rPr>
          <w:rFonts w:cs="Times New Roman"/>
          <w:bCs/>
          <w:sz w:val="20"/>
          <w:szCs w:val="20"/>
        </w:rPr>
      </w:pPr>
    </w:p>
    <w:p w:rsidR="00796EFB" w:rsidRPr="00796EFB" w:rsidRDefault="00796EFB" w:rsidP="00796EFB">
      <w:pPr>
        <w:numPr>
          <w:ilvl w:val="0"/>
          <w:numId w:val="7"/>
        </w:numPr>
        <w:autoSpaceDE w:val="0"/>
        <w:autoSpaceDN w:val="0"/>
        <w:adjustRightInd w:val="0"/>
        <w:contextualSpacing/>
        <w:jc w:val="both"/>
        <w:rPr>
          <w:rFonts w:cs="Times New Roman"/>
          <w:bCs/>
          <w:sz w:val="20"/>
          <w:szCs w:val="20"/>
        </w:rPr>
      </w:pPr>
      <w:r w:rsidRPr="00796EFB">
        <w:rPr>
          <w:rFonts w:cs="Times New Roman"/>
          <w:bCs/>
          <w:sz w:val="20"/>
          <w:szCs w:val="20"/>
        </w:rPr>
        <w:t xml:space="preserve">Any person wishing to intervene in this appeal under Rule 55 of the </w:t>
      </w:r>
      <w:r w:rsidRPr="00796EFB">
        <w:rPr>
          <w:rFonts w:cs="Times New Roman"/>
          <w:bCs/>
          <w:i/>
          <w:sz w:val="20"/>
          <w:szCs w:val="20"/>
        </w:rPr>
        <w:t>Rules of the Supreme Court of Canada</w:t>
      </w:r>
      <w:r w:rsidRPr="00796EFB">
        <w:rPr>
          <w:rFonts w:cs="Times New Roman"/>
          <w:bCs/>
          <w:sz w:val="20"/>
          <w:szCs w:val="20"/>
        </w:rPr>
        <w:t xml:space="preserve"> shall serve and file a motion for leave to intervene on or before March 21, 2014. </w:t>
      </w:r>
    </w:p>
    <w:p w:rsidR="00796EFB" w:rsidRPr="00796EFB" w:rsidRDefault="00796EFB" w:rsidP="00796EFB">
      <w:pPr>
        <w:ind w:left="720"/>
        <w:contextualSpacing/>
        <w:jc w:val="both"/>
        <w:rPr>
          <w:rFonts w:cs="Times New Roman"/>
          <w:bCs/>
          <w:sz w:val="20"/>
          <w:szCs w:val="20"/>
        </w:rPr>
      </w:pPr>
    </w:p>
    <w:p w:rsidR="00796EFB" w:rsidRPr="00796EFB" w:rsidRDefault="00796EFB" w:rsidP="00796EFB">
      <w:pPr>
        <w:numPr>
          <w:ilvl w:val="0"/>
          <w:numId w:val="7"/>
        </w:numPr>
        <w:autoSpaceDE w:val="0"/>
        <w:autoSpaceDN w:val="0"/>
        <w:adjustRightInd w:val="0"/>
        <w:contextualSpacing/>
        <w:jc w:val="both"/>
        <w:rPr>
          <w:rFonts w:cs="Times New Roman"/>
          <w:bCs/>
          <w:sz w:val="20"/>
          <w:szCs w:val="20"/>
        </w:rPr>
      </w:pPr>
      <w:r w:rsidRPr="00796EFB">
        <w:rPr>
          <w:rFonts w:cs="Times New Roman"/>
          <w:bCs/>
          <w:sz w:val="20"/>
          <w:szCs w:val="20"/>
        </w:rPr>
        <w:t>The appellant and respondent shall serve and file their responses, if any, to the motions for leave to intervene on or before March 26, 2014.</w:t>
      </w:r>
    </w:p>
    <w:p w:rsidR="00796EFB" w:rsidRPr="00796EFB" w:rsidRDefault="00796EFB" w:rsidP="00796EFB">
      <w:pPr>
        <w:ind w:left="720"/>
        <w:contextualSpacing/>
        <w:jc w:val="both"/>
        <w:rPr>
          <w:rFonts w:cs="Times New Roman"/>
          <w:bCs/>
          <w:sz w:val="20"/>
          <w:szCs w:val="20"/>
        </w:rPr>
      </w:pPr>
    </w:p>
    <w:p w:rsidR="00796EFB" w:rsidRPr="00796EFB" w:rsidRDefault="00796EFB" w:rsidP="00796EFB">
      <w:pPr>
        <w:numPr>
          <w:ilvl w:val="0"/>
          <w:numId w:val="7"/>
        </w:numPr>
        <w:autoSpaceDE w:val="0"/>
        <w:autoSpaceDN w:val="0"/>
        <w:adjustRightInd w:val="0"/>
        <w:contextualSpacing/>
        <w:jc w:val="both"/>
        <w:rPr>
          <w:rFonts w:cs="Times New Roman"/>
          <w:bCs/>
          <w:sz w:val="20"/>
          <w:szCs w:val="20"/>
        </w:rPr>
      </w:pPr>
      <w:r w:rsidRPr="00796EFB">
        <w:rPr>
          <w:rFonts w:cs="Times New Roman"/>
          <w:bCs/>
          <w:sz w:val="20"/>
          <w:szCs w:val="20"/>
        </w:rPr>
        <w:t xml:space="preserve">Replies to the responses, if any, to the motions for leave to intervene shall be served and filed on or before March 28, 2014. </w:t>
      </w:r>
    </w:p>
    <w:p w:rsidR="00796EFB" w:rsidRPr="00796EFB" w:rsidRDefault="00796EFB" w:rsidP="00796EFB">
      <w:pPr>
        <w:ind w:left="720"/>
        <w:contextualSpacing/>
        <w:jc w:val="both"/>
        <w:rPr>
          <w:rFonts w:cs="Times New Roman"/>
          <w:bCs/>
          <w:sz w:val="20"/>
          <w:szCs w:val="20"/>
        </w:rPr>
      </w:pPr>
    </w:p>
    <w:p w:rsidR="00796EFB" w:rsidRPr="00796EFB" w:rsidRDefault="00796EFB" w:rsidP="00796EFB">
      <w:pPr>
        <w:numPr>
          <w:ilvl w:val="0"/>
          <w:numId w:val="7"/>
        </w:numPr>
        <w:autoSpaceDE w:val="0"/>
        <w:autoSpaceDN w:val="0"/>
        <w:adjustRightInd w:val="0"/>
        <w:contextualSpacing/>
        <w:jc w:val="both"/>
        <w:rPr>
          <w:rFonts w:cs="Times New Roman"/>
          <w:bCs/>
          <w:sz w:val="20"/>
          <w:szCs w:val="20"/>
        </w:rPr>
      </w:pPr>
      <w:r w:rsidRPr="00796EFB">
        <w:rPr>
          <w:rFonts w:cs="Times New Roman"/>
          <w:sz w:val="20"/>
          <w:szCs w:val="20"/>
        </w:rPr>
        <w:t>The respondent’s record, factum and book of authorities shall be served and filed no later than eight (8) weeks after the service of the appellant’s materials.</w:t>
      </w:r>
    </w:p>
    <w:p w:rsidR="00796EFB" w:rsidRPr="00796EFB" w:rsidRDefault="00796EFB" w:rsidP="00796EFB">
      <w:pPr>
        <w:jc w:val="both"/>
        <w:rPr>
          <w:rFonts w:eastAsia="Times New Roman" w:cs="Times New Roman"/>
          <w:bCs/>
          <w:sz w:val="20"/>
          <w:szCs w:val="20"/>
          <w:lang w:val="en-US" w:eastAsia="en-CA"/>
        </w:rPr>
      </w:pPr>
    </w:p>
    <w:p w:rsidR="00796EFB" w:rsidRPr="00796EFB" w:rsidRDefault="00796EFB" w:rsidP="00796EFB">
      <w:pPr>
        <w:numPr>
          <w:ilvl w:val="0"/>
          <w:numId w:val="7"/>
        </w:numPr>
        <w:autoSpaceDE w:val="0"/>
        <w:autoSpaceDN w:val="0"/>
        <w:adjustRightInd w:val="0"/>
        <w:contextualSpacing/>
        <w:jc w:val="both"/>
        <w:rPr>
          <w:rFonts w:cs="Times New Roman"/>
          <w:bCs/>
          <w:sz w:val="20"/>
          <w:szCs w:val="20"/>
        </w:rPr>
      </w:pPr>
      <w:r w:rsidRPr="00796EFB">
        <w:rPr>
          <w:rFonts w:cs="Times New Roman"/>
          <w:sz w:val="20"/>
          <w:szCs w:val="20"/>
        </w:rPr>
        <w:t xml:space="preserve">Any attorney general wishing to intervene pursuant to par. 61(4) of the </w:t>
      </w:r>
      <w:r w:rsidRPr="00796EFB">
        <w:rPr>
          <w:rFonts w:cs="Times New Roman"/>
          <w:i/>
          <w:sz w:val="20"/>
          <w:szCs w:val="20"/>
        </w:rPr>
        <w:t>Rules of the Supreme Court of Canada</w:t>
      </w:r>
      <w:r w:rsidRPr="00796EFB">
        <w:rPr>
          <w:rFonts w:cs="Times New Roman"/>
          <w:sz w:val="20"/>
          <w:szCs w:val="20"/>
        </w:rPr>
        <w:t xml:space="preserve"> shall serve and file their factum and book of authorities on or before April 29, 2014.</w:t>
      </w:r>
    </w:p>
    <w:p w:rsidR="00796EFB" w:rsidRPr="00796EFB" w:rsidRDefault="00796EFB" w:rsidP="00796EFB">
      <w:pPr>
        <w:ind w:left="720"/>
        <w:contextualSpacing/>
        <w:jc w:val="both"/>
        <w:rPr>
          <w:rFonts w:cs="Times New Roman"/>
          <w:b/>
          <w:bCs/>
          <w:sz w:val="20"/>
          <w:szCs w:val="20"/>
        </w:rPr>
      </w:pPr>
    </w:p>
    <w:p w:rsidR="00796EFB" w:rsidRPr="00796EFB" w:rsidRDefault="00796EFB" w:rsidP="00796EFB">
      <w:pPr>
        <w:jc w:val="both"/>
        <w:rPr>
          <w:rFonts w:eastAsia="Times New Roman" w:cs="Times New Roman"/>
          <w:b/>
          <w:bCs/>
          <w:sz w:val="20"/>
          <w:szCs w:val="20"/>
          <w:lang w:val="en-US" w:eastAsia="en-CA"/>
        </w:rPr>
      </w:pPr>
    </w:p>
    <w:p w:rsidR="00796EFB" w:rsidRPr="00796EFB" w:rsidRDefault="00796EFB" w:rsidP="00796EFB">
      <w:pPr>
        <w:jc w:val="both"/>
        <w:rPr>
          <w:rFonts w:eastAsia="Times New Roman" w:cs="Times New Roman"/>
          <w:b/>
          <w:bCs/>
          <w:sz w:val="20"/>
          <w:szCs w:val="20"/>
          <w:lang w:val="en-US" w:eastAsia="en-CA"/>
        </w:rPr>
      </w:pPr>
    </w:p>
    <w:p w:rsidR="00796EFB" w:rsidRPr="00796EFB" w:rsidRDefault="00796EFB" w:rsidP="00796EFB">
      <w:pPr>
        <w:jc w:val="both"/>
        <w:rPr>
          <w:rFonts w:eastAsia="Times New Roman" w:cs="Times New Roman"/>
          <w:sz w:val="20"/>
          <w:szCs w:val="20"/>
          <w:lang w:val="fr-CA" w:eastAsia="en-CA"/>
        </w:rPr>
      </w:pPr>
      <w:r w:rsidRPr="00796EFB">
        <w:rPr>
          <w:rFonts w:eastAsia="Times New Roman" w:cs="Times New Roman"/>
          <w:b/>
          <w:bCs/>
          <w:sz w:val="20"/>
          <w:szCs w:val="20"/>
          <w:lang w:val="fr-CA" w:eastAsia="en-CA"/>
        </w:rPr>
        <w:t>À LA SUITE DE LA DEMANDE</w:t>
      </w:r>
      <w:r w:rsidRPr="00796EFB">
        <w:rPr>
          <w:rFonts w:eastAsia="Times New Roman" w:cs="Times New Roman"/>
          <w:sz w:val="20"/>
          <w:szCs w:val="20"/>
          <w:lang w:val="fr-CA" w:eastAsia="en-CA"/>
        </w:rPr>
        <w:t xml:space="preserve"> de l’intimée visant à obtenir la formulation de questions constitutionnelles dans l'appel susmentionné;</w:t>
      </w:r>
    </w:p>
    <w:p w:rsidR="00796EFB" w:rsidRPr="00796EFB" w:rsidRDefault="00796EFB" w:rsidP="00796EFB">
      <w:pPr>
        <w:jc w:val="both"/>
        <w:rPr>
          <w:rFonts w:eastAsia="Times New Roman" w:cs="Times New Roman"/>
          <w:sz w:val="20"/>
          <w:szCs w:val="20"/>
          <w:lang w:val="fr-CA" w:eastAsia="en-CA"/>
        </w:rPr>
      </w:pPr>
    </w:p>
    <w:p w:rsidR="00796EFB" w:rsidRPr="00796EFB" w:rsidRDefault="00796EFB" w:rsidP="00796EFB">
      <w:pPr>
        <w:jc w:val="both"/>
        <w:rPr>
          <w:rFonts w:eastAsia="Times New Roman" w:cs="Times New Roman"/>
          <w:sz w:val="20"/>
          <w:szCs w:val="20"/>
          <w:lang w:val="fr-CA" w:eastAsia="en-CA"/>
        </w:rPr>
      </w:pPr>
      <w:r w:rsidRPr="00796EFB">
        <w:rPr>
          <w:rFonts w:eastAsia="Times New Roman" w:cs="Times New Roman"/>
          <w:b/>
          <w:bCs/>
          <w:sz w:val="20"/>
          <w:szCs w:val="20"/>
          <w:lang w:val="fr-CA" w:eastAsia="en-CA"/>
        </w:rPr>
        <w:t>ET APRÈS AVOIR LU</w:t>
      </w:r>
      <w:r w:rsidRPr="00796EFB">
        <w:rPr>
          <w:rFonts w:eastAsia="Times New Roman" w:cs="Times New Roman"/>
          <w:sz w:val="20"/>
          <w:szCs w:val="20"/>
          <w:lang w:val="fr-CA" w:eastAsia="en-CA"/>
        </w:rPr>
        <w:t xml:space="preserve"> la documentation déposée;</w:t>
      </w:r>
    </w:p>
    <w:p w:rsidR="00796EFB" w:rsidRPr="00796EFB" w:rsidRDefault="00796EFB" w:rsidP="00796EFB">
      <w:pPr>
        <w:jc w:val="both"/>
        <w:rPr>
          <w:rFonts w:eastAsia="Times New Roman" w:cs="Times New Roman"/>
          <w:sz w:val="20"/>
          <w:szCs w:val="20"/>
          <w:lang w:val="fr-CA" w:eastAsia="en-CA"/>
        </w:rPr>
      </w:pPr>
    </w:p>
    <w:p w:rsidR="00796EFB" w:rsidRPr="00796EFB" w:rsidRDefault="00796EFB" w:rsidP="00796EFB">
      <w:pPr>
        <w:jc w:val="both"/>
        <w:rPr>
          <w:rFonts w:eastAsia="Times New Roman" w:cs="Times New Roman"/>
          <w:b/>
          <w:bCs/>
          <w:sz w:val="20"/>
          <w:szCs w:val="20"/>
          <w:lang w:val="fr-CA" w:eastAsia="en-CA"/>
        </w:rPr>
      </w:pPr>
      <w:r w:rsidRPr="00796EFB">
        <w:rPr>
          <w:rFonts w:eastAsia="Times New Roman" w:cs="Times New Roman"/>
          <w:b/>
          <w:bCs/>
          <w:sz w:val="20"/>
          <w:szCs w:val="20"/>
          <w:lang w:val="fr-CA" w:eastAsia="en-CA"/>
        </w:rPr>
        <w:t>LES QUESTIONS CONSTITUTIONNELLES SUIVANTES SONT FORMULÉES :</w:t>
      </w:r>
    </w:p>
    <w:p w:rsidR="00796EFB" w:rsidRPr="00796EFB" w:rsidRDefault="00796EFB" w:rsidP="00796EFB">
      <w:pPr>
        <w:jc w:val="both"/>
        <w:rPr>
          <w:rFonts w:eastAsia="Times New Roman" w:cs="Times New Roman"/>
          <w:sz w:val="20"/>
          <w:szCs w:val="20"/>
          <w:lang w:val="fr-CA" w:eastAsia="en-CA"/>
        </w:rPr>
      </w:pPr>
    </w:p>
    <w:p w:rsidR="00796EFB" w:rsidRPr="00796EFB" w:rsidRDefault="00796EFB" w:rsidP="00796EFB">
      <w:pPr>
        <w:widowControl w:val="0"/>
        <w:numPr>
          <w:ilvl w:val="0"/>
          <w:numId w:val="10"/>
        </w:numPr>
        <w:autoSpaceDE w:val="0"/>
        <w:autoSpaceDN w:val="0"/>
        <w:adjustRightInd w:val="0"/>
        <w:ind w:left="720"/>
        <w:contextualSpacing/>
        <w:jc w:val="both"/>
        <w:rPr>
          <w:rFonts w:cs="Times New Roman"/>
          <w:sz w:val="20"/>
          <w:lang w:val="fr-CA"/>
        </w:rPr>
      </w:pPr>
      <w:r w:rsidRPr="00796EFB">
        <w:rPr>
          <w:rFonts w:cs="Times New Roman"/>
          <w:sz w:val="20"/>
          <w:szCs w:val="20"/>
          <w:lang w:val="fr-CA"/>
        </w:rPr>
        <w:t xml:space="preserve">Les alinéas 5(i) et 5(j) et les art. 62, 63, 63.1 ou 64 de la </w:t>
      </w:r>
      <w:r w:rsidRPr="00796EFB">
        <w:rPr>
          <w:rFonts w:cs="Times New Roman"/>
          <w:i/>
          <w:iCs/>
          <w:sz w:val="20"/>
          <w:lang w:val="fr-CA"/>
        </w:rPr>
        <w:t xml:space="preserve">Loi sur le recyclage des produits de la criminalité et le financement des activités terroristes, L.C. 2000, ch. 17, violent-ils l’art. 7 de la Charte canadienne des droits et libertés ? </w:t>
      </w:r>
    </w:p>
    <w:p w:rsidR="00796EFB" w:rsidRPr="00796EFB" w:rsidRDefault="00796EFB" w:rsidP="00796EFB">
      <w:pPr>
        <w:ind w:left="360"/>
        <w:contextualSpacing/>
        <w:jc w:val="both"/>
        <w:rPr>
          <w:rFonts w:cs="Times New Roman"/>
          <w:sz w:val="20"/>
          <w:szCs w:val="20"/>
          <w:lang w:val="fr-CA"/>
        </w:rPr>
      </w:pPr>
    </w:p>
    <w:p w:rsidR="00796EFB" w:rsidRPr="00796EFB" w:rsidRDefault="00796EFB" w:rsidP="00796EFB">
      <w:pPr>
        <w:widowControl w:val="0"/>
        <w:numPr>
          <w:ilvl w:val="0"/>
          <w:numId w:val="10"/>
        </w:numPr>
        <w:autoSpaceDE w:val="0"/>
        <w:autoSpaceDN w:val="0"/>
        <w:adjustRightInd w:val="0"/>
        <w:spacing w:line="0" w:lineRule="atLeast"/>
        <w:ind w:left="720"/>
        <w:contextualSpacing/>
        <w:jc w:val="both"/>
        <w:rPr>
          <w:rFonts w:cs="Times New Roman"/>
          <w:sz w:val="20"/>
          <w:szCs w:val="20"/>
          <w:lang w:val="fr-CA"/>
        </w:rPr>
      </w:pPr>
      <w:r w:rsidRPr="00796EFB">
        <w:rPr>
          <w:rFonts w:cs="Times New Roman"/>
          <w:sz w:val="20"/>
          <w:szCs w:val="20"/>
          <w:lang w:val="fr-CA"/>
        </w:rPr>
        <w:t xml:space="preserve">Dans l’affirmative, s’agit-il d’une violation constituant une limite raisonnable, établie par une règle de droit et </w:t>
      </w:r>
      <w:r w:rsidRPr="00796EFB">
        <w:rPr>
          <w:rFonts w:cs="Times New Roman"/>
          <w:sz w:val="20"/>
          <w:szCs w:val="20"/>
          <w:lang w:val="fr-CA"/>
        </w:rPr>
        <w:lastRenderedPageBreak/>
        <w:t xml:space="preserve">dont la justification peut se démontrer dans le cadre d’une société libre et démocratique conformément à l’article premier de la </w:t>
      </w:r>
      <w:r w:rsidRPr="00796EFB">
        <w:rPr>
          <w:rFonts w:cs="Times New Roman"/>
          <w:i/>
          <w:sz w:val="20"/>
          <w:szCs w:val="20"/>
          <w:lang w:val="fr-CA"/>
        </w:rPr>
        <w:t>Charte canadienne des droits et libertés</w:t>
      </w:r>
      <w:r w:rsidRPr="00796EFB">
        <w:rPr>
          <w:rFonts w:cs="Times New Roman"/>
          <w:sz w:val="20"/>
          <w:szCs w:val="20"/>
          <w:lang w:val="fr-CA"/>
        </w:rPr>
        <w:t>?</w:t>
      </w:r>
    </w:p>
    <w:p w:rsidR="00796EFB" w:rsidRPr="00796EFB" w:rsidRDefault="00796EFB" w:rsidP="00796EFB">
      <w:pPr>
        <w:spacing w:line="0" w:lineRule="atLeast"/>
        <w:ind w:left="720"/>
        <w:contextualSpacing/>
        <w:jc w:val="both"/>
        <w:rPr>
          <w:rFonts w:cs="Times New Roman"/>
          <w:sz w:val="20"/>
          <w:szCs w:val="20"/>
          <w:lang w:val="fr-CA"/>
        </w:rPr>
      </w:pPr>
    </w:p>
    <w:p w:rsidR="00796EFB" w:rsidRPr="00796EFB" w:rsidRDefault="00796EFB" w:rsidP="00796EFB">
      <w:pPr>
        <w:widowControl w:val="0"/>
        <w:numPr>
          <w:ilvl w:val="0"/>
          <w:numId w:val="10"/>
        </w:numPr>
        <w:autoSpaceDE w:val="0"/>
        <w:autoSpaceDN w:val="0"/>
        <w:adjustRightInd w:val="0"/>
        <w:ind w:left="720"/>
        <w:contextualSpacing/>
        <w:jc w:val="both"/>
        <w:rPr>
          <w:rFonts w:cs="Times New Roman"/>
          <w:sz w:val="20"/>
          <w:lang w:val="fr-CA"/>
        </w:rPr>
      </w:pPr>
      <w:r w:rsidRPr="00796EFB">
        <w:rPr>
          <w:rFonts w:cs="Times New Roman"/>
          <w:sz w:val="20"/>
          <w:szCs w:val="20"/>
          <w:lang w:val="fr-CA"/>
        </w:rPr>
        <w:t xml:space="preserve">Les articles 11.1, 33.3, 33.4 ou 59.4 du </w:t>
      </w:r>
      <w:r w:rsidRPr="00796EFB">
        <w:rPr>
          <w:rFonts w:cs="Times New Roman"/>
          <w:i/>
          <w:color w:val="000000"/>
          <w:sz w:val="20"/>
          <w:szCs w:val="20"/>
          <w:lang w:val="fr-CA"/>
        </w:rPr>
        <w:t>Règlement sur le recyclage des produits de la criminalité et le financement des activités terroristes</w:t>
      </w:r>
      <w:r w:rsidRPr="00796EFB">
        <w:rPr>
          <w:rFonts w:cs="Times New Roman"/>
          <w:i/>
          <w:iCs/>
          <w:sz w:val="20"/>
          <w:lang w:val="fr-CA"/>
        </w:rPr>
        <w:t xml:space="preserve">, DORS/2002-184, violent-ils l’art. 7 de la Charte canadienne des droits et libertés ? </w:t>
      </w:r>
    </w:p>
    <w:p w:rsidR="00796EFB" w:rsidRPr="00796EFB" w:rsidRDefault="00796EFB" w:rsidP="00796EFB">
      <w:pPr>
        <w:ind w:left="720"/>
        <w:contextualSpacing/>
        <w:jc w:val="both"/>
        <w:rPr>
          <w:rFonts w:cs="Times New Roman"/>
          <w:sz w:val="20"/>
          <w:szCs w:val="20"/>
          <w:lang w:val="fr-CA"/>
        </w:rPr>
      </w:pPr>
    </w:p>
    <w:p w:rsidR="00796EFB" w:rsidRPr="00796EFB" w:rsidRDefault="00796EFB" w:rsidP="00796EFB">
      <w:pPr>
        <w:widowControl w:val="0"/>
        <w:numPr>
          <w:ilvl w:val="0"/>
          <w:numId w:val="10"/>
        </w:numPr>
        <w:autoSpaceDE w:val="0"/>
        <w:autoSpaceDN w:val="0"/>
        <w:adjustRightInd w:val="0"/>
        <w:spacing w:line="0" w:lineRule="atLeast"/>
        <w:ind w:left="720"/>
        <w:contextualSpacing/>
        <w:jc w:val="both"/>
        <w:rPr>
          <w:rFonts w:cs="Times New Roman"/>
          <w:sz w:val="20"/>
          <w:szCs w:val="20"/>
          <w:lang w:val="fr-CA"/>
        </w:rPr>
      </w:pPr>
      <w:r w:rsidRPr="00796EFB">
        <w:rPr>
          <w:rFonts w:cs="Times New Roman"/>
          <w:sz w:val="20"/>
          <w:szCs w:val="20"/>
          <w:lang w:val="fr-CA"/>
        </w:rPr>
        <w:t xml:space="preserve">Dans l’affirmative, s’agit-il d’une violation constituant une limite raisonnable, établie par une règle de droit et dont la justification peut se démontrer dans le cadre d’une société libre et démocratique conformément à l’article premier de la </w:t>
      </w:r>
      <w:r w:rsidRPr="00796EFB">
        <w:rPr>
          <w:rFonts w:cs="Times New Roman"/>
          <w:i/>
          <w:sz w:val="20"/>
          <w:szCs w:val="20"/>
          <w:lang w:val="fr-CA"/>
        </w:rPr>
        <w:t>Charte canadienne des droits et libertés</w:t>
      </w:r>
      <w:r w:rsidRPr="00796EFB">
        <w:rPr>
          <w:rFonts w:cs="Times New Roman"/>
          <w:sz w:val="20"/>
          <w:szCs w:val="20"/>
          <w:lang w:val="fr-CA"/>
        </w:rPr>
        <w:t>?</w:t>
      </w:r>
    </w:p>
    <w:p w:rsidR="00796EFB" w:rsidRPr="00796EFB" w:rsidRDefault="00796EFB" w:rsidP="00796EFB">
      <w:pPr>
        <w:spacing w:line="0" w:lineRule="atLeast"/>
        <w:ind w:left="720"/>
        <w:contextualSpacing/>
        <w:jc w:val="both"/>
        <w:rPr>
          <w:rFonts w:cs="Times New Roman"/>
          <w:sz w:val="20"/>
          <w:szCs w:val="20"/>
          <w:lang w:val="fr-CA"/>
        </w:rPr>
      </w:pPr>
    </w:p>
    <w:p w:rsidR="00796EFB" w:rsidRPr="00796EFB" w:rsidRDefault="00796EFB" w:rsidP="00796EFB">
      <w:pPr>
        <w:widowControl w:val="0"/>
        <w:numPr>
          <w:ilvl w:val="0"/>
          <w:numId w:val="10"/>
        </w:numPr>
        <w:autoSpaceDE w:val="0"/>
        <w:autoSpaceDN w:val="0"/>
        <w:adjustRightInd w:val="0"/>
        <w:ind w:left="720"/>
        <w:contextualSpacing/>
        <w:jc w:val="both"/>
        <w:rPr>
          <w:rFonts w:cs="Times New Roman"/>
          <w:sz w:val="20"/>
          <w:lang w:val="fr-CA"/>
        </w:rPr>
      </w:pPr>
      <w:r w:rsidRPr="00796EFB">
        <w:rPr>
          <w:rFonts w:cs="Times New Roman"/>
          <w:sz w:val="20"/>
          <w:szCs w:val="20"/>
          <w:lang w:val="fr-CA"/>
        </w:rPr>
        <w:t xml:space="preserve">Les alinéas 5(i) et 5(j) et les art. 62, 63, 63.1 ou 64 de la </w:t>
      </w:r>
      <w:r w:rsidRPr="00796EFB">
        <w:rPr>
          <w:rFonts w:cs="Times New Roman"/>
          <w:i/>
          <w:iCs/>
          <w:sz w:val="20"/>
          <w:lang w:val="fr-CA"/>
        </w:rPr>
        <w:t xml:space="preserve">Loi sur le recyclage des produits de la criminalité et le financement des activités terroristes, L.C. 2000, ch. 17, violent-ils l’art. 8 de la Charte canadienne des droits et libertés ? </w:t>
      </w:r>
    </w:p>
    <w:p w:rsidR="00796EFB" w:rsidRPr="00796EFB" w:rsidRDefault="00796EFB" w:rsidP="00796EFB">
      <w:pPr>
        <w:ind w:left="720"/>
        <w:contextualSpacing/>
        <w:jc w:val="both"/>
        <w:rPr>
          <w:rFonts w:cs="Times New Roman"/>
          <w:sz w:val="20"/>
          <w:szCs w:val="20"/>
          <w:lang w:val="fr-CA"/>
        </w:rPr>
      </w:pPr>
    </w:p>
    <w:p w:rsidR="00796EFB" w:rsidRPr="00796EFB" w:rsidRDefault="00796EFB" w:rsidP="00796EFB">
      <w:pPr>
        <w:widowControl w:val="0"/>
        <w:numPr>
          <w:ilvl w:val="0"/>
          <w:numId w:val="10"/>
        </w:numPr>
        <w:autoSpaceDE w:val="0"/>
        <w:autoSpaceDN w:val="0"/>
        <w:adjustRightInd w:val="0"/>
        <w:spacing w:line="0" w:lineRule="atLeast"/>
        <w:ind w:left="720"/>
        <w:contextualSpacing/>
        <w:jc w:val="both"/>
        <w:rPr>
          <w:rFonts w:cs="Times New Roman"/>
          <w:sz w:val="20"/>
          <w:szCs w:val="20"/>
          <w:lang w:val="fr-CA"/>
        </w:rPr>
      </w:pPr>
      <w:r w:rsidRPr="00796EFB">
        <w:rPr>
          <w:rFonts w:cs="Times New Roman"/>
          <w:sz w:val="20"/>
          <w:szCs w:val="20"/>
          <w:lang w:val="fr-CA"/>
        </w:rPr>
        <w:t xml:space="preserve">Dans l’affirmative, s’agit-il d’une violation constituant une limite raisonnable, établie par une règle de droit et dont la justification peut se démontrer dans le cadre d’une société libre et démocratique conformément à l’article premier de la </w:t>
      </w:r>
      <w:r w:rsidRPr="00796EFB">
        <w:rPr>
          <w:rFonts w:cs="Times New Roman"/>
          <w:i/>
          <w:sz w:val="20"/>
          <w:szCs w:val="20"/>
          <w:lang w:val="fr-CA"/>
        </w:rPr>
        <w:t>Charte canadienne des droits et libertés</w:t>
      </w:r>
      <w:r w:rsidRPr="00796EFB">
        <w:rPr>
          <w:rFonts w:cs="Times New Roman"/>
          <w:sz w:val="20"/>
          <w:szCs w:val="20"/>
          <w:lang w:val="fr-CA"/>
        </w:rPr>
        <w:t>?</w:t>
      </w:r>
    </w:p>
    <w:p w:rsidR="00796EFB" w:rsidRPr="00796EFB" w:rsidRDefault="00796EFB" w:rsidP="00796EFB">
      <w:pPr>
        <w:spacing w:line="0" w:lineRule="atLeast"/>
        <w:ind w:left="720"/>
        <w:contextualSpacing/>
        <w:jc w:val="both"/>
        <w:rPr>
          <w:rFonts w:cs="Times New Roman"/>
          <w:sz w:val="20"/>
          <w:szCs w:val="20"/>
          <w:lang w:val="fr-CA"/>
        </w:rPr>
      </w:pPr>
    </w:p>
    <w:p w:rsidR="00796EFB" w:rsidRPr="00796EFB" w:rsidRDefault="00796EFB" w:rsidP="00796EFB">
      <w:pPr>
        <w:widowControl w:val="0"/>
        <w:numPr>
          <w:ilvl w:val="0"/>
          <w:numId w:val="10"/>
        </w:numPr>
        <w:autoSpaceDE w:val="0"/>
        <w:autoSpaceDN w:val="0"/>
        <w:adjustRightInd w:val="0"/>
        <w:ind w:left="720"/>
        <w:contextualSpacing/>
        <w:jc w:val="both"/>
        <w:rPr>
          <w:rFonts w:cs="Times New Roman"/>
          <w:sz w:val="20"/>
          <w:lang w:val="fr-CA"/>
        </w:rPr>
      </w:pPr>
      <w:r w:rsidRPr="00796EFB">
        <w:rPr>
          <w:rFonts w:cs="Times New Roman"/>
          <w:sz w:val="20"/>
          <w:szCs w:val="20"/>
          <w:lang w:val="fr-CA"/>
        </w:rPr>
        <w:t xml:space="preserve">Les articles 11.1, 33.3, 33.4 ou 59.4 du </w:t>
      </w:r>
      <w:r w:rsidRPr="00796EFB">
        <w:rPr>
          <w:rFonts w:cs="Times New Roman"/>
          <w:i/>
          <w:color w:val="000000"/>
          <w:sz w:val="20"/>
          <w:szCs w:val="20"/>
          <w:lang w:val="fr-CA"/>
        </w:rPr>
        <w:t>Règlement sur le recyclage des produits de la criminalité et le financement des activités terroristes</w:t>
      </w:r>
      <w:r w:rsidRPr="00796EFB">
        <w:rPr>
          <w:rFonts w:cs="Times New Roman"/>
          <w:i/>
          <w:iCs/>
          <w:sz w:val="20"/>
          <w:lang w:val="fr-CA"/>
        </w:rPr>
        <w:t xml:space="preserve">, DORS/2002-184, violent-ils l’art. 8 de la Charte canadienne des droits et libertés ? </w:t>
      </w:r>
    </w:p>
    <w:p w:rsidR="00796EFB" w:rsidRPr="00796EFB" w:rsidRDefault="00796EFB" w:rsidP="00796EFB">
      <w:pPr>
        <w:ind w:left="720"/>
        <w:contextualSpacing/>
        <w:jc w:val="both"/>
        <w:rPr>
          <w:rFonts w:cs="Times New Roman"/>
          <w:sz w:val="20"/>
          <w:szCs w:val="20"/>
          <w:lang w:val="fr-CA"/>
        </w:rPr>
      </w:pPr>
    </w:p>
    <w:p w:rsidR="00796EFB" w:rsidRPr="00796EFB" w:rsidRDefault="00796EFB" w:rsidP="00796EFB">
      <w:pPr>
        <w:widowControl w:val="0"/>
        <w:numPr>
          <w:ilvl w:val="0"/>
          <w:numId w:val="10"/>
        </w:numPr>
        <w:autoSpaceDE w:val="0"/>
        <w:autoSpaceDN w:val="0"/>
        <w:adjustRightInd w:val="0"/>
        <w:spacing w:line="0" w:lineRule="atLeast"/>
        <w:ind w:left="720"/>
        <w:contextualSpacing/>
        <w:jc w:val="both"/>
        <w:rPr>
          <w:rFonts w:cs="Times New Roman"/>
          <w:sz w:val="20"/>
          <w:szCs w:val="20"/>
          <w:lang w:val="fr-CA"/>
        </w:rPr>
      </w:pPr>
      <w:r w:rsidRPr="00796EFB">
        <w:rPr>
          <w:rFonts w:cs="Times New Roman"/>
          <w:sz w:val="20"/>
          <w:szCs w:val="20"/>
          <w:lang w:val="fr-CA"/>
        </w:rPr>
        <w:t xml:space="preserve">Dans l’affirmative, s’agit-il d’une violation constituant une limite raisonnable, établie par une règle de droit et dont la justification peut se démontrer dans le cadre d’une société libre et démocratique conformément à l’article premier de la </w:t>
      </w:r>
      <w:r w:rsidRPr="00796EFB">
        <w:rPr>
          <w:rFonts w:cs="Times New Roman"/>
          <w:i/>
          <w:sz w:val="20"/>
          <w:szCs w:val="20"/>
          <w:lang w:val="fr-CA"/>
        </w:rPr>
        <w:t>Charte canadienne des droits et libertés</w:t>
      </w:r>
      <w:r w:rsidRPr="00796EFB">
        <w:rPr>
          <w:rFonts w:cs="Times New Roman"/>
          <w:sz w:val="20"/>
          <w:szCs w:val="20"/>
          <w:lang w:val="fr-CA"/>
        </w:rPr>
        <w:t>?</w:t>
      </w:r>
    </w:p>
    <w:p w:rsidR="00796EFB" w:rsidRPr="00796EFB" w:rsidRDefault="00796EFB" w:rsidP="00796EFB">
      <w:pPr>
        <w:jc w:val="both"/>
        <w:rPr>
          <w:rFonts w:eastAsia="Times New Roman" w:cs="Times New Roman"/>
          <w:sz w:val="20"/>
          <w:szCs w:val="20"/>
          <w:lang w:val="fr-CA" w:eastAsia="en-CA"/>
        </w:rPr>
      </w:pPr>
    </w:p>
    <w:p w:rsidR="00796EFB" w:rsidRPr="00796EFB" w:rsidRDefault="00796EFB" w:rsidP="00796EFB">
      <w:pPr>
        <w:jc w:val="both"/>
        <w:rPr>
          <w:rFonts w:eastAsia="Times New Roman" w:cs="Times New Roman"/>
          <w:sz w:val="20"/>
          <w:szCs w:val="20"/>
          <w:lang w:val="fr-FR" w:eastAsia="en-CA"/>
        </w:rPr>
      </w:pPr>
      <w:r w:rsidRPr="00796EFB">
        <w:rPr>
          <w:rFonts w:eastAsia="Times New Roman" w:cs="Times New Roman"/>
          <w:sz w:val="20"/>
          <w:szCs w:val="20"/>
          <w:lang w:val="fr-CA" w:eastAsia="en-CA"/>
        </w:rPr>
        <w:t>T</w:t>
      </w:r>
      <w:r w:rsidRPr="00796EFB">
        <w:rPr>
          <w:rFonts w:eastAsia="Times New Roman" w:cs="Times New Roman"/>
          <w:sz w:val="20"/>
          <w:szCs w:val="20"/>
          <w:lang w:val="fr-FR" w:eastAsia="en-CA"/>
        </w:rPr>
        <w:t xml:space="preserve">out procureur général qui interviendra en vertu du par. 61(4) des </w:t>
      </w:r>
      <w:r w:rsidRPr="00796EFB">
        <w:rPr>
          <w:rFonts w:eastAsia="Times New Roman" w:cs="Times New Roman"/>
          <w:i/>
          <w:iCs/>
          <w:sz w:val="20"/>
          <w:szCs w:val="20"/>
          <w:lang w:val="fr-FR" w:eastAsia="en-CA"/>
        </w:rPr>
        <w:t>Règles de la Cour suprême du Canada</w:t>
      </w:r>
      <w:r w:rsidRPr="00796EFB">
        <w:rPr>
          <w:rFonts w:eastAsia="Times New Roman" w:cs="Times New Roman"/>
          <w:sz w:val="20"/>
          <w:szCs w:val="20"/>
          <w:lang w:val="fr-FR" w:eastAsia="en-CA"/>
        </w:rPr>
        <w:t xml:space="preserve"> sera tenu de payer à l’appelant et à l’intimée les dépens supplémentaires résultant de son intervention.</w:t>
      </w:r>
    </w:p>
    <w:p w:rsidR="00796EFB" w:rsidRPr="00796EFB" w:rsidRDefault="00796EFB" w:rsidP="00796EFB">
      <w:pPr>
        <w:jc w:val="both"/>
        <w:rPr>
          <w:rFonts w:eastAsia="Times New Roman" w:cs="Times New Roman"/>
          <w:sz w:val="20"/>
          <w:szCs w:val="20"/>
          <w:lang w:val="fr-FR" w:eastAsia="en-CA"/>
        </w:rPr>
      </w:pPr>
    </w:p>
    <w:p w:rsidR="00796EFB" w:rsidRPr="00796EFB" w:rsidRDefault="00796EFB" w:rsidP="00796EFB">
      <w:pPr>
        <w:jc w:val="both"/>
        <w:rPr>
          <w:rFonts w:eastAsia="Times New Roman" w:cs="Times New Roman"/>
          <w:sz w:val="20"/>
          <w:szCs w:val="20"/>
          <w:lang w:val="fr-CA" w:eastAsia="en-CA"/>
        </w:rPr>
      </w:pPr>
      <w:r w:rsidRPr="00796EFB">
        <w:rPr>
          <w:rFonts w:eastAsia="Times New Roman" w:cs="Times New Roman"/>
          <w:b/>
          <w:sz w:val="20"/>
          <w:szCs w:val="20"/>
          <w:lang w:val="fr-CA" w:eastAsia="en-CA"/>
        </w:rPr>
        <w:t>IL EST EN OUTRE ORDONNÉ CE QUI SUIT :</w:t>
      </w:r>
    </w:p>
    <w:p w:rsidR="00796EFB" w:rsidRPr="00796EFB" w:rsidRDefault="00796EFB" w:rsidP="00796EFB">
      <w:pPr>
        <w:ind w:left="720"/>
        <w:contextualSpacing/>
        <w:jc w:val="both"/>
        <w:rPr>
          <w:rFonts w:cs="Times New Roman"/>
          <w:sz w:val="20"/>
          <w:szCs w:val="20"/>
          <w:lang w:val="fr-CA"/>
        </w:rPr>
      </w:pPr>
    </w:p>
    <w:p w:rsidR="00796EFB" w:rsidRPr="00796EFB" w:rsidRDefault="00796EFB" w:rsidP="00796EFB">
      <w:pPr>
        <w:numPr>
          <w:ilvl w:val="0"/>
          <w:numId w:val="8"/>
        </w:numPr>
        <w:spacing w:after="200"/>
        <w:ind w:left="720"/>
        <w:contextualSpacing/>
        <w:jc w:val="both"/>
        <w:rPr>
          <w:rFonts w:cs="Times New Roman"/>
          <w:sz w:val="20"/>
          <w:szCs w:val="20"/>
          <w:lang w:val="fr-CA"/>
        </w:rPr>
      </w:pPr>
      <w:r w:rsidRPr="00796EFB">
        <w:rPr>
          <w:rFonts w:cs="Times New Roman"/>
          <w:sz w:val="20"/>
          <w:szCs w:val="20"/>
          <w:lang w:val="fr-CA"/>
        </w:rPr>
        <w:t>Les dossier, mémoire et recueil de sources de l’appelant seront signifiés et déposés au plus tard le 28 février 2014.</w:t>
      </w:r>
    </w:p>
    <w:p w:rsidR="00796EFB" w:rsidRPr="00796EFB" w:rsidRDefault="00796EFB" w:rsidP="00796EFB">
      <w:pPr>
        <w:widowControl w:val="0"/>
        <w:numPr>
          <w:ilvl w:val="0"/>
          <w:numId w:val="8"/>
        </w:numPr>
        <w:tabs>
          <w:tab w:val="left" w:pos="-1440"/>
        </w:tabs>
        <w:autoSpaceDE w:val="0"/>
        <w:autoSpaceDN w:val="0"/>
        <w:adjustRightInd w:val="0"/>
        <w:ind w:left="720"/>
        <w:jc w:val="both"/>
        <w:outlineLvl w:val="0"/>
        <w:rPr>
          <w:rFonts w:eastAsia="Times New Roman" w:cs="Times New Roman"/>
          <w:sz w:val="20"/>
          <w:szCs w:val="20"/>
          <w:lang w:val="fr-FR" w:eastAsia="en-CA"/>
        </w:rPr>
      </w:pPr>
      <w:r w:rsidRPr="00796EFB">
        <w:rPr>
          <w:rFonts w:eastAsia="Times New Roman" w:cs="Times New Roman"/>
          <w:sz w:val="20"/>
          <w:szCs w:val="20"/>
          <w:lang w:val="fr-FR" w:eastAsia="en-CA"/>
        </w:rPr>
        <w:t xml:space="preserve">Toute personne qui souhaite intervenir dans le présent appel en vertu de la règle 55 des </w:t>
      </w:r>
      <w:r w:rsidRPr="00796EFB">
        <w:rPr>
          <w:rFonts w:eastAsia="Times New Roman" w:cs="Times New Roman"/>
          <w:i/>
          <w:sz w:val="20"/>
          <w:szCs w:val="20"/>
          <w:lang w:val="fr-FR" w:eastAsia="en-CA"/>
        </w:rPr>
        <w:t xml:space="preserve">Règles de la Cour suprême du Canada </w:t>
      </w:r>
      <w:r w:rsidRPr="00796EFB">
        <w:rPr>
          <w:rFonts w:eastAsia="Times New Roman" w:cs="Times New Roman"/>
          <w:sz w:val="20"/>
          <w:szCs w:val="20"/>
          <w:lang w:val="fr-FR" w:eastAsia="en-CA"/>
        </w:rPr>
        <w:t xml:space="preserve">signifiera et déposera une requête en autorisation d’intervenir au plus tard le 21 mars 2014. </w:t>
      </w:r>
    </w:p>
    <w:p w:rsidR="00796EFB" w:rsidRPr="00796EFB" w:rsidRDefault="00796EFB" w:rsidP="00796EFB">
      <w:pPr>
        <w:widowControl w:val="0"/>
        <w:tabs>
          <w:tab w:val="left" w:pos="-1440"/>
        </w:tabs>
        <w:jc w:val="both"/>
        <w:outlineLvl w:val="0"/>
        <w:rPr>
          <w:rFonts w:eastAsia="Times New Roman" w:cs="Times New Roman"/>
          <w:sz w:val="20"/>
          <w:szCs w:val="20"/>
          <w:lang w:val="fr-FR" w:eastAsia="en-CA"/>
        </w:rPr>
      </w:pPr>
    </w:p>
    <w:p w:rsidR="00796EFB" w:rsidRPr="00796EFB" w:rsidRDefault="00796EFB" w:rsidP="00796EFB">
      <w:pPr>
        <w:widowControl w:val="0"/>
        <w:numPr>
          <w:ilvl w:val="0"/>
          <w:numId w:val="8"/>
        </w:numPr>
        <w:tabs>
          <w:tab w:val="left" w:pos="-1440"/>
        </w:tabs>
        <w:autoSpaceDE w:val="0"/>
        <w:autoSpaceDN w:val="0"/>
        <w:adjustRightInd w:val="0"/>
        <w:ind w:left="720"/>
        <w:jc w:val="both"/>
        <w:outlineLvl w:val="0"/>
        <w:rPr>
          <w:rFonts w:eastAsia="Times New Roman" w:cs="Times New Roman"/>
          <w:sz w:val="20"/>
          <w:szCs w:val="20"/>
          <w:lang w:val="fr-FR" w:eastAsia="en-CA"/>
        </w:rPr>
      </w:pPr>
      <w:r w:rsidRPr="00796EFB">
        <w:rPr>
          <w:rFonts w:eastAsia="Times New Roman" w:cs="Times New Roman"/>
          <w:sz w:val="20"/>
          <w:szCs w:val="20"/>
          <w:lang w:val="fr-FR" w:eastAsia="en-CA"/>
        </w:rPr>
        <w:t xml:space="preserve">L’appelant et l’intimée signifieront et déposeront leurs réponses aux demandes d’autorisation d’intervenir, le cas échéant, au plus tard le 26 mars 2014. </w:t>
      </w:r>
    </w:p>
    <w:p w:rsidR="00796EFB" w:rsidRPr="00796EFB" w:rsidRDefault="00796EFB" w:rsidP="00796EFB">
      <w:pPr>
        <w:widowControl w:val="0"/>
        <w:tabs>
          <w:tab w:val="left" w:pos="-1440"/>
        </w:tabs>
        <w:jc w:val="both"/>
        <w:outlineLvl w:val="0"/>
        <w:rPr>
          <w:rFonts w:eastAsia="Times New Roman" w:cs="Times New Roman"/>
          <w:sz w:val="20"/>
          <w:szCs w:val="20"/>
          <w:lang w:val="fr-FR" w:eastAsia="en-CA"/>
        </w:rPr>
      </w:pPr>
    </w:p>
    <w:p w:rsidR="00796EFB" w:rsidRPr="00796EFB" w:rsidRDefault="00796EFB" w:rsidP="00796EFB">
      <w:pPr>
        <w:widowControl w:val="0"/>
        <w:numPr>
          <w:ilvl w:val="0"/>
          <w:numId w:val="8"/>
        </w:numPr>
        <w:tabs>
          <w:tab w:val="left" w:pos="-1440"/>
        </w:tabs>
        <w:autoSpaceDE w:val="0"/>
        <w:autoSpaceDN w:val="0"/>
        <w:adjustRightInd w:val="0"/>
        <w:ind w:left="720"/>
        <w:jc w:val="both"/>
        <w:outlineLvl w:val="0"/>
        <w:rPr>
          <w:rFonts w:eastAsia="Times New Roman" w:cs="Times New Roman"/>
          <w:sz w:val="20"/>
          <w:szCs w:val="20"/>
          <w:lang w:val="fr-FR" w:eastAsia="en-CA"/>
        </w:rPr>
      </w:pPr>
      <w:r w:rsidRPr="00796EFB">
        <w:rPr>
          <w:rFonts w:eastAsia="Times New Roman" w:cs="Times New Roman"/>
          <w:sz w:val="20"/>
          <w:szCs w:val="20"/>
          <w:lang w:val="fr-FR" w:eastAsia="en-CA"/>
        </w:rPr>
        <w:t xml:space="preserve">Les répliques, le cas échéant, aux réponses aux demandes d’autorisation d’intervenir seront signifiées et déposées au plus tard le 28 mars 2014. </w:t>
      </w:r>
    </w:p>
    <w:p w:rsidR="00796EFB" w:rsidRPr="00796EFB" w:rsidRDefault="00796EFB" w:rsidP="00796EFB">
      <w:pPr>
        <w:ind w:left="720"/>
        <w:contextualSpacing/>
        <w:jc w:val="both"/>
        <w:rPr>
          <w:rFonts w:cs="Times New Roman"/>
          <w:sz w:val="20"/>
          <w:szCs w:val="20"/>
          <w:lang w:val="fr-FR"/>
        </w:rPr>
      </w:pPr>
    </w:p>
    <w:p w:rsidR="00796EFB" w:rsidRPr="00796EFB" w:rsidRDefault="00796EFB" w:rsidP="00796EFB">
      <w:pPr>
        <w:numPr>
          <w:ilvl w:val="0"/>
          <w:numId w:val="8"/>
        </w:numPr>
        <w:spacing w:after="200"/>
        <w:ind w:left="720"/>
        <w:contextualSpacing/>
        <w:jc w:val="both"/>
        <w:rPr>
          <w:rFonts w:cs="Times New Roman"/>
          <w:sz w:val="20"/>
          <w:szCs w:val="20"/>
          <w:lang w:val="fr-CA"/>
        </w:rPr>
      </w:pPr>
      <w:r w:rsidRPr="00796EFB">
        <w:rPr>
          <w:rFonts w:cs="Times New Roman"/>
          <w:sz w:val="20"/>
          <w:szCs w:val="20"/>
          <w:lang w:val="fr-CA"/>
        </w:rPr>
        <w:t>Les dossier, mémoire et recueil de sources de l’intimée seront signifiés et déposés au plus tard huit (8) semaines suivant la signification des matériaux de l’appelant.</w:t>
      </w:r>
    </w:p>
    <w:p w:rsidR="00796EFB" w:rsidRPr="00796EFB" w:rsidRDefault="00796EFB" w:rsidP="00796EFB">
      <w:pPr>
        <w:ind w:left="720"/>
        <w:contextualSpacing/>
        <w:jc w:val="both"/>
        <w:rPr>
          <w:rFonts w:cs="Times New Roman"/>
          <w:sz w:val="20"/>
          <w:szCs w:val="20"/>
          <w:lang w:val="fr-FR"/>
        </w:rPr>
      </w:pPr>
    </w:p>
    <w:p w:rsidR="00796EFB" w:rsidRPr="00796EFB" w:rsidRDefault="00796EFB" w:rsidP="00796EFB">
      <w:pPr>
        <w:numPr>
          <w:ilvl w:val="0"/>
          <w:numId w:val="8"/>
        </w:numPr>
        <w:ind w:left="720"/>
        <w:jc w:val="both"/>
        <w:rPr>
          <w:rFonts w:cs="Times New Roman"/>
          <w:sz w:val="20"/>
          <w:szCs w:val="20"/>
          <w:lang w:val="fr-CA"/>
        </w:rPr>
      </w:pPr>
      <w:r w:rsidRPr="00796EFB">
        <w:rPr>
          <w:rFonts w:cs="Times New Roman"/>
          <w:sz w:val="20"/>
          <w:szCs w:val="20"/>
          <w:lang w:val="fr-CA"/>
        </w:rPr>
        <w:t xml:space="preserve">Tout procureur général qui interviendra en vertu du par. 61(4) des </w:t>
      </w:r>
      <w:r w:rsidRPr="00796EFB">
        <w:rPr>
          <w:rFonts w:cs="Times New Roman"/>
          <w:i/>
          <w:sz w:val="20"/>
          <w:szCs w:val="20"/>
          <w:lang w:val="fr-CA"/>
        </w:rPr>
        <w:t>Règles de la Cour suprême du Canada</w:t>
      </w:r>
      <w:r w:rsidRPr="00796EFB">
        <w:rPr>
          <w:rFonts w:cs="Times New Roman"/>
          <w:sz w:val="20"/>
          <w:szCs w:val="20"/>
          <w:lang w:val="fr-CA"/>
        </w:rPr>
        <w:t xml:space="preserve"> devra signifier et déposer son mémoire et son recueil de sources au plus tard le 29 avril 2014.</w:t>
      </w:r>
    </w:p>
    <w:p w:rsidR="00796EFB" w:rsidRPr="00796EFB" w:rsidRDefault="00796EFB" w:rsidP="00796EFB">
      <w:pPr>
        <w:tabs>
          <w:tab w:val="left" w:pos="-1440"/>
          <w:tab w:val="left" w:pos="-720"/>
        </w:tabs>
        <w:jc w:val="both"/>
        <w:rPr>
          <w:rFonts w:eastAsia="Times New Roman" w:cs="Times New Roman"/>
          <w:sz w:val="20"/>
          <w:szCs w:val="20"/>
          <w:lang w:val="fr-CA" w:eastAsia="en-CA"/>
        </w:rPr>
      </w:pPr>
    </w:p>
    <w:p w:rsidR="00796EFB" w:rsidRPr="00796EFB" w:rsidRDefault="00E672F1" w:rsidP="00796EFB">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8" style="width:2in;height:1pt" o:hrpct="0" o:hralign="center" o:hrstd="t" o:hrnoshade="t" o:hr="t" fillcolor="black [3213]" stroked="f"/>
        </w:pict>
      </w:r>
    </w:p>
    <w:p w:rsidR="00796EFB" w:rsidRPr="00796EFB" w:rsidRDefault="00796EFB" w:rsidP="00796EFB">
      <w:pPr>
        <w:tabs>
          <w:tab w:val="left" w:pos="-1440"/>
          <w:tab w:val="left" w:pos="-720"/>
        </w:tabs>
        <w:jc w:val="both"/>
        <w:rPr>
          <w:rFonts w:eastAsia="Times New Roman" w:cs="Times New Roman"/>
          <w:sz w:val="20"/>
          <w:szCs w:val="20"/>
          <w:lang w:val="fr-CA" w:eastAsia="en-CA"/>
        </w:rPr>
      </w:pPr>
    </w:p>
    <w:p w:rsidR="00796EFB" w:rsidRDefault="00796EFB">
      <w:pPr>
        <w:rPr>
          <w:rFonts w:eastAsia="Times New Roman" w:cs="Times New Roman"/>
          <w:sz w:val="20"/>
          <w:szCs w:val="20"/>
          <w:lang w:val="fr-CA" w:eastAsia="en-CA"/>
        </w:rPr>
      </w:pPr>
      <w:r>
        <w:rPr>
          <w:rFonts w:eastAsia="Times New Roman" w:cs="Times New Roman"/>
          <w:sz w:val="20"/>
          <w:szCs w:val="20"/>
          <w:lang w:val="fr-CA" w:eastAsia="en-CA"/>
        </w:rPr>
        <w:br w:type="page"/>
      </w:r>
    </w:p>
    <w:p w:rsidR="00796EFB" w:rsidRPr="00796EFB" w:rsidRDefault="00796EFB" w:rsidP="00796EFB">
      <w:pPr>
        <w:tabs>
          <w:tab w:val="left" w:pos="-1440"/>
          <w:tab w:val="left" w:pos="-720"/>
        </w:tabs>
        <w:jc w:val="both"/>
        <w:rPr>
          <w:rFonts w:eastAsia="Times New Roman" w:cs="Times New Roman"/>
          <w:sz w:val="20"/>
          <w:szCs w:val="20"/>
          <w:lang w:val="fr-CA" w:eastAsia="en-CA"/>
        </w:rPr>
      </w:pPr>
      <w:r w:rsidRPr="00796EFB">
        <w:rPr>
          <w:rFonts w:eastAsia="Times New Roman" w:cs="Times New Roman"/>
          <w:sz w:val="20"/>
          <w:szCs w:val="20"/>
          <w:lang w:val="fr-CA" w:eastAsia="en-CA"/>
        </w:rPr>
        <w:lastRenderedPageBreak/>
        <w:t>02.12.2013</w:t>
      </w:r>
    </w:p>
    <w:p w:rsidR="00796EFB" w:rsidRPr="00796EFB" w:rsidRDefault="00796EFB" w:rsidP="00796EFB">
      <w:pPr>
        <w:tabs>
          <w:tab w:val="left" w:pos="-1440"/>
          <w:tab w:val="left" w:pos="-720"/>
        </w:tabs>
        <w:jc w:val="both"/>
        <w:rPr>
          <w:rFonts w:eastAsia="Times New Roman" w:cs="Times New Roman"/>
          <w:sz w:val="20"/>
          <w:szCs w:val="20"/>
          <w:lang w:val="fr-CA" w:eastAsia="en-CA"/>
        </w:rPr>
      </w:pPr>
    </w:p>
    <w:p w:rsidR="00796EFB" w:rsidRPr="00796EFB" w:rsidRDefault="00796EFB" w:rsidP="00796EFB">
      <w:pPr>
        <w:tabs>
          <w:tab w:val="left" w:pos="-1440"/>
          <w:tab w:val="left" w:pos="-720"/>
        </w:tabs>
        <w:jc w:val="both"/>
        <w:rPr>
          <w:rFonts w:eastAsia="Times New Roman" w:cs="Times New Roman"/>
          <w:sz w:val="20"/>
          <w:szCs w:val="20"/>
          <w:lang w:val="fr-CA" w:eastAsia="en-CA"/>
        </w:rPr>
      </w:pPr>
      <w:r w:rsidRPr="00796EFB">
        <w:rPr>
          <w:rFonts w:eastAsia="Times New Roman" w:cs="Times New Roman"/>
          <w:sz w:val="20"/>
          <w:szCs w:val="20"/>
          <w:lang w:val="fr-CA" w:eastAsia="en-CA"/>
        </w:rPr>
        <w:t>Before / Devant :   THE CHIEF JUSTICE / LA JUGE EN CHEF</w:t>
      </w:r>
    </w:p>
    <w:p w:rsidR="00796EFB" w:rsidRPr="00796EFB" w:rsidRDefault="00796EFB" w:rsidP="00796EFB">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796EFB" w:rsidRPr="00796EFB" w:rsidTr="001A7F7C">
        <w:tc>
          <w:tcPr>
            <w:tcW w:w="4338" w:type="dxa"/>
            <w:gridSpan w:val="2"/>
          </w:tcPr>
          <w:p w:rsidR="00796EFB" w:rsidRPr="00796EFB" w:rsidRDefault="00796EFB" w:rsidP="00796EFB">
            <w:pPr>
              <w:rPr>
                <w:b/>
              </w:rPr>
            </w:pPr>
            <w:r w:rsidRPr="00796EFB">
              <w:rPr>
                <w:b/>
              </w:rPr>
              <w:t>Motions for leave to intervene</w:t>
            </w:r>
            <w:r w:rsidRPr="00796EFB">
              <w:rPr>
                <w:lang w:val="en-US"/>
              </w:rPr>
              <w:t xml:space="preserve"> </w:t>
            </w:r>
            <w:r w:rsidR="000505AD" w:rsidRPr="00796EFB">
              <w:rPr>
                <w:lang w:val="en-US"/>
              </w:rPr>
              <w:fldChar w:fldCharType="begin"/>
            </w:r>
            <w:r w:rsidRPr="00796EFB">
              <w:instrText xml:space="preserve"> SEQ CHAPTER \h \r 1</w:instrText>
            </w:r>
            <w:r w:rsidR="000505AD" w:rsidRPr="00796EFB">
              <w:rPr>
                <w:lang w:val="en-US"/>
              </w:rPr>
              <w:fldChar w:fldCharType="end"/>
            </w:r>
          </w:p>
        </w:tc>
        <w:tc>
          <w:tcPr>
            <w:tcW w:w="1170" w:type="dxa"/>
          </w:tcPr>
          <w:p w:rsidR="00796EFB" w:rsidRPr="00796EFB" w:rsidRDefault="00796EFB" w:rsidP="00796EFB"/>
          <w:p w:rsidR="00796EFB" w:rsidRPr="00796EFB" w:rsidRDefault="00796EFB" w:rsidP="00796EFB"/>
        </w:tc>
        <w:tc>
          <w:tcPr>
            <w:tcW w:w="4327" w:type="dxa"/>
          </w:tcPr>
          <w:p w:rsidR="00796EFB" w:rsidRPr="00796EFB" w:rsidRDefault="00796EFB" w:rsidP="00796EFB">
            <w:pPr>
              <w:rPr>
                <w:b/>
              </w:rPr>
            </w:pPr>
            <w:r w:rsidRPr="00796EFB">
              <w:rPr>
                <w:b/>
                <w:bCs/>
                <w:lang w:val="fr-CA"/>
              </w:rPr>
              <w:t>Requêtes en autorisation d’intervenir</w:t>
            </w:r>
            <w:r w:rsidRPr="00796EFB">
              <w:rPr>
                <w:lang w:val="en-US"/>
              </w:rPr>
              <w:t xml:space="preserve"> </w:t>
            </w:r>
            <w:r w:rsidR="000505AD" w:rsidRPr="00796EFB">
              <w:rPr>
                <w:lang w:val="en-US"/>
              </w:rPr>
              <w:fldChar w:fldCharType="begin"/>
            </w:r>
            <w:r w:rsidRPr="00796EFB">
              <w:instrText xml:space="preserve"> SEQ CHAPTER \h \r 1</w:instrText>
            </w:r>
            <w:r w:rsidR="000505AD" w:rsidRPr="00796EFB">
              <w:rPr>
                <w:lang w:val="en-US"/>
              </w:rPr>
              <w:fldChar w:fldCharType="end"/>
            </w:r>
          </w:p>
        </w:tc>
      </w:tr>
      <w:tr w:rsidR="00796EFB" w:rsidRPr="00796EFB" w:rsidTr="001A7F7C">
        <w:tc>
          <w:tcPr>
            <w:tcW w:w="1368" w:type="dxa"/>
          </w:tcPr>
          <w:p w:rsidR="00796EFB" w:rsidRPr="00796EFB" w:rsidRDefault="00796EFB" w:rsidP="00796EFB">
            <w:r w:rsidRPr="00796EFB">
              <w:t>BY / PAR</w:t>
            </w:r>
          </w:p>
        </w:tc>
        <w:tc>
          <w:tcPr>
            <w:tcW w:w="2970" w:type="dxa"/>
          </w:tcPr>
          <w:p w:rsidR="00796EFB" w:rsidRPr="00796EFB" w:rsidRDefault="00796EFB" w:rsidP="00796EFB">
            <w:r w:rsidRPr="00796EFB">
              <w:rPr>
                <w:lang w:val="en-US"/>
              </w:rPr>
              <w:t>Rocco Galati;</w:t>
            </w:r>
          </w:p>
        </w:tc>
        <w:tc>
          <w:tcPr>
            <w:tcW w:w="1170" w:type="dxa"/>
          </w:tcPr>
          <w:p w:rsidR="00796EFB" w:rsidRPr="00796EFB" w:rsidRDefault="00796EFB" w:rsidP="00796EFB"/>
        </w:tc>
        <w:tc>
          <w:tcPr>
            <w:tcW w:w="4327" w:type="dxa"/>
          </w:tcPr>
          <w:p w:rsidR="00796EFB" w:rsidRPr="00796EFB" w:rsidRDefault="00796EFB" w:rsidP="00796EFB"/>
        </w:tc>
      </w:tr>
      <w:tr w:rsidR="00796EFB" w:rsidRPr="00796EFB" w:rsidTr="001A7F7C">
        <w:tc>
          <w:tcPr>
            <w:tcW w:w="1368" w:type="dxa"/>
          </w:tcPr>
          <w:p w:rsidR="00796EFB" w:rsidRPr="00796EFB" w:rsidRDefault="00796EFB" w:rsidP="00796EFB"/>
        </w:tc>
        <w:tc>
          <w:tcPr>
            <w:tcW w:w="2970" w:type="dxa"/>
          </w:tcPr>
          <w:p w:rsidR="00796EFB" w:rsidRPr="00796EFB" w:rsidRDefault="00796EFB" w:rsidP="00796EFB">
            <w:pPr>
              <w:rPr>
                <w:lang w:val="en-US"/>
              </w:rPr>
            </w:pPr>
          </w:p>
        </w:tc>
        <w:tc>
          <w:tcPr>
            <w:tcW w:w="1170" w:type="dxa"/>
          </w:tcPr>
          <w:p w:rsidR="00796EFB" w:rsidRPr="00796EFB" w:rsidRDefault="00796EFB" w:rsidP="00796EFB"/>
        </w:tc>
        <w:tc>
          <w:tcPr>
            <w:tcW w:w="4327" w:type="dxa"/>
          </w:tcPr>
          <w:p w:rsidR="00796EFB" w:rsidRPr="00796EFB" w:rsidRDefault="00796EFB" w:rsidP="00796EFB"/>
        </w:tc>
      </w:tr>
      <w:tr w:rsidR="00796EFB" w:rsidRPr="00796EFB" w:rsidTr="001A7F7C">
        <w:tc>
          <w:tcPr>
            <w:tcW w:w="1368" w:type="dxa"/>
          </w:tcPr>
          <w:p w:rsidR="00796EFB" w:rsidRPr="00796EFB" w:rsidRDefault="00796EFB" w:rsidP="00796EFB"/>
        </w:tc>
        <w:tc>
          <w:tcPr>
            <w:tcW w:w="2970" w:type="dxa"/>
          </w:tcPr>
          <w:p w:rsidR="00796EFB" w:rsidRPr="00796EFB" w:rsidRDefault="00796EFB" w:rsidP="00796EFB">
            <w:pPr>
              <w:rPr>
                <w:lang w:val="en-US"/>
              </w:rPr>
            </w:pPr>
            <w:r w:rsidRPr="00796EFB">
              <w:rPr>
                <w:lang w:val="en-US"/>
              </w:rPr>
              <w:t>Constitutional Rights Centre Inc.;</w:t>
            </w:r>
          </w:p>
        </w:tc>
        <w:tc>
          <w:tcPr>
            <w:tcW w:w="1170" w:type="dxa"/>
          </w:tcPr>
          <w:p w:rsidR="00796EFB" w:rsidRPr="00796EFB" w:rsidRDefault="00796EFB" w:rsidP="00796EFB"/>
        </w:tc>
        <w:tc>
          <w:tcPr>
            <w:tcW w:w="4327" w:type="dxa"/>
          </w:tcPr>
          <w:p w:rsidR="00796EFB" w:rsidRPr="00796EFB" w:rsidRDefault="00796EFB" w:rsidP="00796EFB"/>
        </w:tc>
      </w:tr>
      <w:tr w:rsidR="00796EFB" w:rsidRPr="00796EFB" w:rsidTr="001A7F7C">
        <w:tc>
          <w:tcPr>
            <w:tcW w:w="1368" w:type="dxa"/>
          </w:tcPr>
          <w:p w:rsidR="00796EFB" w:rsidRPr="00796EFB" w:rsidRDefault="00796EFB" w:rsidP="00796EFB"/>
        </w:tc>
        <w:tc>
          <w:tcPr>
            <w:tcW w:w="2970" w:type="dxa"/>
          </w:tcPr>
          <w:p w:rsidR="00796EFB" w:rsidRPr="00796EFB" w:rsidRDefault="00796EFB" w:rsidP="00796EFB">
            <w:pPr>
              <w:rPr>
                <w:lang w:val="en-US"/>
              </w:rPr>
            </w:pPr>
          </w:p>
        </w:tc>
        <w:tc>
          <w:tcPr>
            <w:tcW w:w="1170" w:type="dxa"/>
          </w:tcPr>
          <w:p w:rsidR="00796EFB" w:rsidRPr="00796EFB" w:rsidRDefault="00796EFB" w:rsidP="00796EFB"/>
        </w:tc>
        <w:tc>
          <w:tcPr>
            <w:tcW w:w="4327" w:type="dxa"/>
          </w:tcPr>
          <w:p w:rsidR="00796EFB" w:rsidRPr="00796EFB" w:rsidRDefault="00796EFB" w:rsidP="00796EFB"/>
        </w:tc>
      </w:tr>
      <w:tr w:rsidR="00796EFB" w:rsidRPr="00796EFB" w:rsidTr="001A7F7C">
        <w:tc>
          <w:tcPr>
            <w:tcW w:w="1368" w:type="dxa"/>
          </w:tcPr>
          <w:p w:rsidR="00796EFB" w:rsidRPr="00796EFB" w:rsidRDefault="00796EFB" w:rsidP="00796EFB"/>
        </w:tc>
        <w:tc>
          <w:tcPr>
            <w:tcW w:w="2970" w:type="dxa"/>
          </w:tcPr>
          <w:p w:rsidR="00796EFB" w:rsidRPr="00796EFB" w:rsidRDefault="00796EFB" w:rsidP="00796EFB">
            <w:pPr>
              <w:rPr>
                <w:lang w:val="en-US"/>
              </w:rPr>
            </w:pPr>
            <w:r w:rsidRPr="00796EFB">
              <w:rPr>
                <w:lang w:val="en-US"/>
              </w:rPr>
              <w:t>Honourable Robert Décary;</w:t>
            </w:r>
          </w:p>
        </w:tc>
        <w:tc>
          <w:tcPr>
            <w:tcW w:w="1170" w:type="dxa"/>
          </w:tcPr>
          <w:p w:rsidR="00796EFB" w:rsidRPr="00796EFB" w:rsidRDefault="00796EFB" w:rsidP="00796EFB"/>
        </w:tc>
        <w:tc>
          <w:tcPr>
            <w:tcW w:w="4327" w:type="dxa"/>
          </w:tcPr>
          <w:p w:rsidR="00796EFB" w:rsidRPr="00796EFB" w:rsidRDefault="00796EFB" w:rsidP="00796EFB"/>
        </w:tc>
      </w:tr>
      <w:tr w:rsidR="00796EFB" w:rsidRPr="00796EFB" w:rsidTr="001A7F7C">
        <w:tc>
          <w:tcPr>
            <w:tcW w:w="1368" w:type="dxa"/>
          </w:tcPr>
          <w:p w:rsidR="00796EFB" w:rsidRPr="00796EFB" w:rsidRDefault="00796EFB" w:rsidP="00796EFB"/>
        </w:tc>
        <w:tc>
          <w:tcPr>
            <w:tcW w:w="2970" w:type="dxa"/>
          </w:tcPr>
          <w:p w:rsidR="00796EFB" w:rsidRPr="00796EFB" w:rsidRDefault="00796EFB" w:rsidP="00796EFB">
            <w:pPr>
              <w:rPr>
                <w:lang w:val="en-US"/>
              </w:rPr>
            </w:pPr>
          </w:p>
        </w:tc>
        <w:tc>
          <w:tcPr>
            <w:tcW w:w="1170" w:type="dxa"/>
          </w:tcPr>
          <w:p w:rsidR="00796EFB" w:rsidRPr="00796EFB" w:rsidRDefault="00796EFB" w:rsidP="00796EFB"/>
        </w:tc>
        <w:tc>
          <w:tcPr>
            <w:tcW w:w="4327" w:type="dxa"/>
          </w:tcPr>
          <w:p w:rsidR="00796EFB" w:rsidRPr="00796EFB" w:rsidRDefault="00796EFB" w:rsidP="00796EFB"/>
        </w:tc>
      </w:tr>
      <w:tr w:rsidR="00796EFB" w:rsidRPr="00796EFB" w:rsidTr="001A7F7C">
        <w:tc>
          <w:tcPr>
            <w:tcW w:w="1368" w:type="dxa"/>
          </w:tcPr>
          <w:p w:rsidR="00796EFB" w:rsidRPr="00796EFB" w:rsidRDefault="00796EFB" w:rsidP="00796EFB"/>
        </w:tc>
        <w:tc>
          <w:tcPr>
            <w:tcW w:w="2970" w:type="dxa"/>
          </w:tcPr>
          <w:p w:rsidR="00796EFB" w:rsidRPr="00796EFB" w:rsidRDefault="00796EFB" w:rsidP="00796EFB">
            <w:pPr>
              <w:rPr>
                <w:lang w:val="en-US"/>
              </w:rPr>
            </w:pPr>
            <w:r w:rsidRPr="00796EFB">
              <w:rPr>
                <w:lang w:val="en-US"/>
              </w:rPr>
              <w:t>Honourable Alice Desjardins and the Honourable Gilles Létourneau;</w:t>
            </w:r>
          </w:p>
        </w:tc>
        <w:tc>
          <w:tcPr>
            <w:tcW w:w="1170" w:type="dxa"/>
          </w:tcPr>
          <w:p w:rsidR="00796EFB" w:rsidRPr="00796EFB" w:rsidRDefault="00796EFB" w:rsidP="00796EFB"/>
        </w:tc>
        <w:tc>
          <w:tcPr>
            <w:tcW w:w="4327" w:type="dxa"/>
          </w:tcPr>
          <w:p w:rsidR="00796EFB" w:rsidRPr="00796EFB" w:rsidRDefault="00796EFB" w:rsidP="00796EFB"/>
        </w:tc>
      </w:tr>
      <w:tr w:rsidR="00796EFB" w:rsidRPr="00796EFB" w:rsidTr="001A7F7C">
        <w:tc>
          <w:tcPr>
            <w:tcW w:w="1368" w:type="dxa"/>
          </w:tcPr>
          <w:p w:rsidR="00796EFB" w:rsidRPr="00796EFB" w:rsidRDefault="00796EFB" w:rsidP="00796EFB"/>
        </w:tc>
        <w:tc>
          <w:tcPr>
            <w:tcW w:w="2970" w:type="dxa"/>
          </w:tcPr>
          <w:p w:rsidR="00796EFB" w:rsidRPr="00796EFB" w:rsidRDefault="00796EFB" w:rsidP="00796EFB">
            <w:pPr>
              <w:rPr>
                <w:lang w:val="en-US"/>
              </w:rPr>
            </w:pPr>
          </w:p>
        </w:tc>
        <w:tc>
          <w:tcPr>
            <w:tcW w:w="1170" w:type="dxa"/>
          </w:tcPr>
          <w:p w:rsidR="00796EFB" w:rsidRPr="00796EFB" w:rsidRDefault="00796EFB" w:rsidP="00796EFB"/>
        </w:tc>
        <w:tc>
          <w:tcPr>
            <w:tcW w:w="4327" w:type="dxa"/>
          </w:tcPr>
          <w:p w:rsidR="00796EFB" w:rsidRPr="00796EFB" w:rsidRDefault="00796EFB" w:rsidP="00796EFB"/>
        </w:tc>
      </w:tr>
      <w:tr w:rsidR="00796EFB" w:rsidRPr="00796EFB" w:rsidTr="001A7F7C">
        <w:tc>
          <w:tcPr>
            <w:tcW w:w="1368" w:type="dxa"/>
          </w:tcPr>
          <w:p w:rsidR="00796EFB" w:rsidRPr="00796EFB" w:rsidRDefault="00796EFB" w:rsidP="00796EFB"/>
        </w:tc>
        <w:tc>
          <w:tcPr>
            <w:tcW w:w="2970" w:type="dxa"/>
          </w:tcPr>
          <w:p w:rsidR="00796EFB" w:rsidRPr="00796EFB" w:rsidRDefault="00796EFB" w:rsidP="00796EFB">
            <w:pPr>
              <w:rPr>
                <w:lang w:val="en-US"/>
              </w:rPr>
            </w:pPr>
            <w:r w:rsidRPr="00796EFB">
              <w:rPr>
                <w:lang w:val="en-US"/>
              </w:rPr>
              <w:t>Canadian Association of Provincial Court Judges</w:t>
            </w:r>
          </w:p>
        </w:tc>
        <w:tc>
          <w:tcPr>
            <w:tcW w:w="1170" w:type="dxa"/>
          </w:tcPr>
          <w:p w:rsidR="00796EFB" w:rsidRPr="00796EFB" w:rsidRDefault="00796EFB" w:rsidP="00796EFB"/>
        </w:tc>
        <w:tc>
          <w:tcPr>
            <w:tcW w:w="4327" w:type="dxa"/>
          </w:tcPr>
          <w:p w:rsidR="00796EFB" w:rsidRPr="00796EFB" w:rsidRDefault="00796EFB" w:rsidP="00796EFB"/>
        </w:tc>
      </w:tr>
      <w:tr w:rsidR="00796EFB" w:rsidRPr="00796EFB" w:rsidTr="001A7F7C">
        <w:tc>
          <w:tcPr>
            <w:tcW w:w="1368" w:type="dxa"/>
          </w:tcPr>
          <w:p w:rsidR="00796EFB" w:rsidRPr="00796EFB" w:rsidRDefault="00796EFB" w:rsidP="00796EFB"/>
        </w:tc>
        <w:tc>
          <w:tcPr>
            <w:tcW w:w="2970" w:type="dxa"/>
          </w:tcPr>
          <w:p w:rsidR="00796EFB" w:rsidRPr="00796EFB" w:rsidRDefault="00796EFB" w:rsidP="00796EFB">
            <w:pPr>
              <w:rPr>
                <w:lang w:val="en-US"/>
              </w:rPr>
            </w:pPr>
          </w:p>
        </w:tc>
        <w:tc>
          <w:tcPr>
            <w:tcW w:w="1170" w:type="dxa"/>
          </w:tcPr>
          <w:p w:rsidR="00796EFB" w:rsidRPr="00796EFB" w:rsidRDefault="00796EFB" w:rsidP="00796EFB"/>
        </w:tc>
        <w:tc>
          <w:tcPr>
            <w:tcW w:w="4327" w:type="dxa"/>
          </w:tcPr>
          <w:p w:rsidR="00796EFB" w:rsidRPr="00796EFB" w:rsidRDefault="00796EFB" w:rsidP="00796EFB"/>
        </w:tc>
      </w:tr>
      <w:tr w:rsidR="00796EFB" w:rsidRPr="00796EFB" w:rsidTr="001A7F7C">
        <w:tc>
          <w:tcPr>
            <w:tcW w:w="1368" w:type="dxa"/>
          </w:tcPr>
          <w:p w:rsidR="00796EFB" w:rsidRPr="00796EFB" w:rsidRDefault="00796EFB" w:rsidP="00796EFB">
            <w:r w:rsidRPr="00796EFB">
              <w:t>IN / DANS :</w:t>
            </w:r>
          </w:p>
        </w:tc>
        <w:tc>
          <w:tcPr>
            <w:tcW w:w="2970" w:type="dxa"/>
          </w:tcPr>
          <w:p w:rsidR="00796EFB" w:rsidRPr="00796EFB" w:rsidRDefault="00796EFB" w:rsidP="00796EFB">
            <w:pPr>
              <w:spacing w:line="233" w:lineRule="auto"/>
              <w:jc w:val="both"/>
              <w:rPr>
                <w:b/>
                <w:bCs/>
                <w:lang w:val="en-US"/>
              </w:rPr>
            </w:pPr>
            <w:r w:rsidRPr="00796EFB">
              <w:rPr>
                <w:b/>
                <w:bCs/>
                <w:lang w:val="en-US"/>
              </w:rPr>
              <w:t>IN THE MATTER OF SECTION 53 OF THE SUPREME COURT ACT, R.S.C. 1985, C. S-26; et al.</w:t>
            </w:r>
          </w:p>
          <w:p w:rsidR="00796EFB" w:rsidRPr="00796EFB" w:rsidRDefault="00796EFB" w:rsidP="00796EFB">
            <w:pPr>
              <w:spacing w:line="233" w:lineRule="auto"/>
              <w:jc w:val="both"/>
              <w:rPr>
                <w:b/>
                <w:bCs/>
                <w:lang w:val="en-US"/>
              </w:rPr>
            </w:pPr>
          </w:p>
          <w:p w:rsidR="00796EFB" w:rsidRPr="00796EFB" w:rsidRDefault="00796EFB" w:rsidP="00796EFB">
            <w:pPr>
              <w:spacing w:line="233" w:lineRule="auto"/>
              <w:jc w:val="both"/>
            </w:pPr>
            <w:r w:rsidRPr="00796EFB">
              <w:rPr>
                <w:b/>
                <w:lang w:val="fr-CA"/>
              </w:rPr>
              <w:t xml:space="preserve">DANS L’AFFAIRE DE L’ARTICLE 53 DE LA LOI SUR LA COUR SUPRÊME, L.R.C. 1985, CH. S-26 et autre </w:t>
            </w:r>
            <w:r w:rsidRPr="00796EFB">
              <w:t>(35586)</w:t>
            </w:r>
          </w:p>
        </w:tc>
        <w:tc>
          <w:tcPr>
            <w:tcW w:w="1170" w:type="dxa"/>
          </w:tcPr>
          <w:p w:rsidR="00796EFB" w:rsidRPr="00796EFB" w:rsidRDefault="00796EFB" w:rsidP="00796EFB"/>
        </w:tc>
        <w:tc>
          <w:tcPr>
            <w:tcW w:w="4327" w:type="dxa"/>
          </w:tcPr>
          <w:p w:rsidR="00796EFB" w:rsidRPr="00796EFB" w:rsidRDefault="00796EFB" w:rsidP="00796EFB"/>
        </w:tc>
      </w:tr>
    </w:tbl>
    <w:p w:rsidR="00796EFB" w:rsidRPr="00796EFB" w:rsidRDefault="00796EFB" w:rsidP="00796EFB">
      <w:pPr>
        <w:tabs>
          <w:tab w:val="left" w:pos="-1440"/>
          <w:tab w:val="left" w:pos="-720"/>
        </w:tabs>
        <w:jc w:val="both"/>
        <w:rPr>
          <w:rFonts w:eastAsia="Times New Roman" w:cs="Times New Roman"/>
          <w:sz w:val="20"/>
          <w:szCs w:val="20"/>
          <w:lang w:eastAsia="en-CA"/>
        </w:rPr>
      </w:pPr>
    </w:p>
    <w:p w:rsidR="00796EFB" w:rsidRPr="00796EFB" w:rsidRDefault="00796EFB" w:rsidP="00796EFB">
      <w:pPr>
        <w:tabs>
          <w:tab w:val="left" w:pos="-1440"/>
          <w:tab w:val="left" w:pos="-720"/>
        </w:tabs>
        <w:jc w:val="both"/>
        <w:rPr>
          <w:rFonts w:eastAsia="Times New Roman" w:cs="Times New Roman"/>
          <w:sz w:val="20"/>
          <w:szCs w:val="20"/>
          <w:lang w:val="fr-CA" w:eastAsia="en-CA"/>
        </w:rPr>
      </w:pPr>
      <w:r w:rsidRPr="00796EFB">
        <w:rPr>
          <w:rFonts w:eastAsia="Times New Roman" w:cs="Times New Roman"/>
          <w:b/>
          <w:sz w:val="20"/>
          <w:szCs w:val="20"/>
          <w:lang w:val="fr-CA" w:eastAsia="en-CA"/>
        </w:rPr>
        <w:t>GRANTED IN PART / ACCORDÉE EN PARTIE</w:t>
      </w:r>
    </w:p>
    <w:p w:rsidR="00796EFB" w:rsidRPr="00796EFB" w:rsidRDefault="00796EFB" w:rsidP="00796EFB">
      <w:pPr>
        <w:tabs>
          <w:tab w:val="left" w:pos="-1440"/>
          <w:tab w:val="left" w:pos="-720"/>
        </w:tabs>
        <w:jc w:val="both"/>
        <w:rPr>
          <w:rFonts w:eastAsia="Times New Roman" w:cs="Times New Roman"/>
          <w:sz w:val="20"/>
          <w:szCs w:val="20"/>
          <w:lang w:val="fr-CA" w:eastAsia="en-CA"/>
        </w:rPr>
      </w:pPr>
    </w:p>
    <w:p w:rsidR="00796EFB" w:rsidRPr="00796EFB" w:rsidRDefault="00796EFB" w:rsidP="00796EFB">
      <w:pPr>
        <w:spacing w:line="233" w:lineRule="auto"/>
        <w:jc w:val="both"/>
        <w:rPr>
          <w:rFonts w:eastAsia="Times New Roman" w:cs="Times New Roman"/>
          <w:sz w:val="20"/>
          <w:szCs w:val="20"/>
          <w:lang w:val="en-US" w:eastAsia="en-CA"/>
        </w:rPr>
      </w:pPr>
      <w:r w:rsidRPr="00796EFB">
        <w:rPr>
          <w:rFonts w:eastAsia="Times New Roman" w:cs="Times New Roman"/>
          <w:b/>
          <w:bCs/>
          <w:sz w:val="20"/>
          <w:szCs w:val="20"/>
          <w:lang w:val="en-US" w:eastAsia="en-CA"/>
        </w:rPr>
        <w:t>UPON APPLICATION</w:t>
      </w:r>
      <w:r w:rsidRPr="00796EFB">
        <w:rPr>
          <w:rFonts w:eastAsia="Times New Roman" w:cs="Times New Roman"/>
          <w:sz w:val="20"/>
          <w:szCs w:val="20"/>
          <w:lang w:val="en-US" w:eastAsia="en-CA"/>
        </w:rPr>
        <w:t xml:space="preserve"> by Rocco Galati for leave to intervene in the reference, to have a judge other than Justice Rothstein determine the motion for leave to intervene and for costs on a solicitor-client basis on the motion for leave to intervene and in the reference;</w:t>
      </w:r>
    </w:p>
    <w:p w:rsidR="00796EFB" w:rsidRPr="00796EFB" w:rsidRDefault="00796EFB" w:rsidP="00796EFB">
      <w:pPr>
        <w:spacing w:line="233" w:lineRule="auto"/>
        <w:jc w:val="both"/>
        <w:rPr>
          <w:rFonts w:eastAsia="Times New Roman" w:cs="Times New Roman"/>
          <w:sz w:val="20"/>
          <w:szCs w:val="20"/>
          <w:lang w:val="en-US" w:eastAsia="en-CA"/>
        </w:rPr>
      </w:pPr>
    </w:p>
    <w:p w:rsidR="00796EFB" w:rsidRPr="00796EFB" w:rsidRDefault="00796EFB" w:rsidP="00796EFB">
      <w:pPr>
        <w:spacing w:line="233" w:lineRule="auto"/>
        <w:jc w:val="both"/>
        <w:rPr>
          <w:rFonts w:eastAsia="Times New Roman" w:cs="Times New Roman"/>
          <w:sz w:val="20"/>
          <w:szCs w:val="20"/>
          <w:lang w:val="en-US" w:eastAsia="en-CA"/>
        </w:rPr>
      </w:pPr>
      <w:r w:rsidRPr="00796EFB">
        <w:rPr>
          <w:rFonts w:eastAsia="Times New Roman" w:cs="Times New Roman"/>
          <w:b/>
          <w:sz w:val="20"/>
          <w:szCs w:val="20"/>
          <w:lang w:val="en-US" w:eastAsia="en-CA"/>
        </w:rPr>
        <w:t>AND UPON APPLICATION</w:t>
      </w:r>
      <w:r w:rsidRPr="00796EFB">
        <w:rPr>
          <w:rFonts w:eastAsia="Times New Roman" w:cs="Times New Roman"/>
          <w:sz w:val="20"/>
          <w:szCs w:val="20"/>
          <w:lang w:val="en-US" w:eastAsia="en-CA"/>
        </w:rPr>
        <w:t xml:space="preserve"> by the Constitutional Rights Centre Inc. for leave to intervene in the reference and for costs on the motion for leave to intervene;</w:t>
      </w:r>
    </w:p>
    <w:p w:rsidR="00796EFB" w:rsidRPr="00796EFB" w:rsidRDefault="00796EFB" w:rsidP="00796EFB">
      <w:pPr>
        <w:spacing w:line="233" w:lineRule="auto"/>
        <w:jc w:val="both"/>
        <w:rPr>
          <w:rFonts w:eastAsia="Times New Roman" w:cs="Times New Roman"/>
          <w:sz w:val="20"/>
          <w:szCs w:val="20"/>
          <w:lang w:val="en-US" w:eastAsia="en-CA"/>
        </w:rPr>
      </w:pPr>
    </w:p>
    <w:p w:rsidR="00796EFB" w:rsidRPr="00796EFB" w:rsidRDefault="00796EFB" w:rsidP="00796EFB">
      <w:pPr>
        <w:spacing w:line="233" w:lineRule="auto"/>
        <w:jc w:val="both"/>
        <w:rPr>
          <w:rFonts w:eastAsia="Times New Roman" w:cs="Times New Roman"/>
          <w:sz w:val="20"/>
          <w:szCs w:val="20"/>
          <w:lang w:val="en-US" w:eastAsia="en-CA"/>
        </w:rPr>
      </w:pPr>
      <w:r w:rsidRPr="00796EFB">
        <w:rPr>
          <w:rFonts w:eastAsia="Times New Roman" w:cs="Times New Roman"/>
          <w:b/>
          <w:sz w:val="20"/>
          <w:szCs w:val="20"/>
          <w:lang w:val="en-US" w:eastAsia="en-CA"/>
        </w:rPr>
        <w:t>AND UPON APPLICATION</w:t>
      </w:r>
      <w:r w:rsidRPr="00796EFB">
        <w:rPr>
          <w:rFonts w:eastAsia="Times New Roman" w:cs="Times New Roman"/>
          <w:sz w:val="20"/>
          <w:szCs w:val="20"/>
          <w:lang w:val="en-US" w:eastAsia="en-CA"/>
        </w:rPr>
        <w:t xml:space="preserve"> by the Honourable Robert Décary, the Honourable Alice Desjardins and the Honourable Gilles Létourneau for leave to intervene and for leave to file affidavit evidence;</w:t>
      </w:r>
    </w:p>
    <w:p w:rsidR="00796EFB" w:rsidRPr="00796EFB" w:rsidRDefault="00796EFB" w:rsidP="00796EFB">
      <w:pPr>
        <w:spacing w:line="233" w:lineRule="auto"/>
        <w:jc w:val="both"/>
        <w:rPr>
          <w:rFonts w:eastAsia="Times New Roman" w:cs="Times New Roman"/>
          <w:sz w:val="20"/>
          <w:szCs w:val="20"/>
          <w:lang w:val="en-US" w:eastAsia="en-CA"/>
        </w:rPr>
      </w:pPr>
    </w:p>
    <w:p w:rsidR="00796EFB" w:rsidRPr="00796EFB" w:rsidRDefault="00796EFB" w:rsidP="00796EFB">
      <w:pPr>
        <w:spacing w:line="233" w:lineRule="auto"/>
        <w:jc w:val="both"/>
        <w:rPr>
          <w:rFonts w:eastAsia="Times New Roman" w:cs="Times New Roman"/>
          <w:sz w:val="20"/>
          <w:szCs w:val="20"/>
          <w:lang w:val="en-US" w:eastAsia="en-CA"/>
        </w:rPr>
      </w:pPr>
      <w:r w:rsidRPr="00796EFB">
        <w:rPr>
          <w:rFonts w:eastAsia="Times New Roman" w:cs="Times New Roman"/>
          <w:b/>
          <w:sz w:val="20"/>
          <w:szCs w:val="20"/>
          <w:lang w:val="en-US" w:eastAsia="en-CA"/>
        </w:rPr>
        <w:t>AND UPON APPLICATION</w:t>
      </w:r>
      <w:r w:rsidRPr="00796EFB">
        <w:rPr>
          <w:rFonts w:eastAsia="Times New Roman" w:cs="Times New Roman"/>
          <w:sz w:val="20"/>
          <w:szCs w:val="20"/>
          <w:lang w:val="en-US" w:eastAsia="en-CA"/>
        </w:rPr>
        <w:t xml:space="preserve"> by the Canadian Association of Provincial Court Judges for leave to intervene in the reference;</w:t>
      </w:r>
    </w:p>
    <w:p w:rsidR="00796EFB" w:rsidRPr="00796EFB" w:rsidRDefault="00796EFB" w:rsidP="00796EFB">
      <w:pPr>
        <w:spacing w:line="233" w:lineRule="auto"/>
        <w:jc w:val="both"/>
        <w:rPr>
          <w:rFonts w:eastAsia="Times New Roman" w:cs="Times New Roman"/>
          <w:sz w:val="20"/>
          <w:szCs w:val="20"/>
          <w:lang w:val="en-US" w:eastAsia="en-CA"/>
        </w:rPr>
      </w:pPr>
    </w:p>
    <w:p w:rsidR="00796EFB" w:rsidRPr="00796EFB" w:rsidRDefault="00796EFB" w:rsidP="00796EFB">
      <w:pPr>
        <w:jc w:val="both"/>
        <w:rPr>
          <w:rFonts w:eastAsia="Times New Roman" w:cs="Times New Roman"/>
          <w:sz w:val="20"/>
          <w:szCs w:val="20"/>
          <w:lang w:val="en-GB" w:eastAsia="en-CA"/>
        </w:rPr>
      </w:pPr>
      <w:r w:rsidRPr="00796EFB">
        <w:rPr>
          <w:rFonts w:eastAsia="Times New Roman" w:cs="Times New Roman"/>
          <w:b/>
          <w:bCs/>
          <w:sz w:val="20"/>
          <w:szCs w:val="20"/>
          <w:lang w:val="en-GB" w:eastAsia="en-CA"/>
        </w:rPr>
        <w:t>AND THE MATERIAL FILED</w:t>
      </w:r>
      <w:r w:rsidRPr="00796EFB">
        <w:rPr>
          <w:rFonts w:eastAsia="Times New Roman" w:cs="Times New Roman"/>
          <w:sz w:val="20"/>
          <w:szCs w:val="20"/>
          <w:lang w:val="en-GB" w:eastAsia="en-CA"/>
        </w:rPr>
        <w:t xml:space="preserve"> having been read;</w:t>
      </w:r>
    </w:p>
    <w:p w:rsidR="00796EFB" w:rsidRPr="00796EFB" w:rsidRDefault="00796EFB" w:rsidP="00796EFB">
      <w:pPr>
        <w:jc w:val="both"/>
        <w:rPr>
          <w:rFonts w:eastAsia="Times New Roman" w:cs="Times New Roman"/>
          <w:sz w:val="20"/>
          <w:szCs w:val="20"/>
          <w:lang w:val="en-GB" w:eastAsia="en-CA"/>
        </w:rPr>
      </w:pPr>
    </w:p>
    <w:p w:rsidR="00796EFB" w:rsidRPr="00796EFB" w:rsidRDefault="00796EFB" w:rsidP="00796EFB">
      <w:pPr>
        <w:jc w:val="both"/>
        <w:rPr>
          <w:rFonts w:eastAsia="Times New Roman" w:cs="Times New Roman"/>
          <w:sz w:val="20"/>
          <w:szCs w:val="20"/>
          <w:lang w:val="en-GB" w:eastAsia="en-CA"/>
        </w:rPr>
      </w:pPr>
      <w:r w:rsidRPr="00796EFB">
        <w:rPr>
          <w:rFonts w:eastAsia="Times New Roman" w:cs="Times New Roman"/>
          <w:b/>
          <w:bCs/>
          <w:sz w:val="20"/>
          <w:szCs w:val="20"/>
          <w:lang w:val="en-GB" w:eastAsia="en-CA"/>
        </w:rPr>
        <w:t>IT IS HEREBY ORDERED THAT:</w:t>
      </w:r>
    </w:p>
    <w:p w:rsidR="00796EFB" w:rsidRPr="00796EFB" w:rsidRDefault="00796EFB" w:rsidP="00796EFB">
      <w:pPr>
        <w:spacing w:line="233" w:lineRule="auto"/>
        <w:jc w:val="both"/>
        <w:rPr>
          <w:rFonts w:eastAsia="Times New Roman" w:cs="Times New Roman"/>
          <w:sz w:val="20"/>
          <w:szCs w:val="20"/>
          <w:lang w:val="en-GB" w:eastAsia="en-CA"/>
        </w:rPr>
      </w:pPr>
    </w:p>
    <w:p w:rsidR="00796EFB" w:rsidRPr="00796EFB" w:rsidRDefault="00796EFB" w:rsidP="00796EFB">
      <w:pPr>
        <w:widowControl w:val="0"/>
        <w:numPr>
          <w:ilvl w:val="0"/>
          <w:numId w:val="11"/>
        </w:numPr>
        <w:autoSpaceDE w:val="0"/>
        <w:autoSpaceDN w:val="0"/>
        <w:adjustRightInd w:val="0"/>
        <w:spacing w:line="233" w:lineRule="auto"/>
        <w:contextualSpacing/>
        <w:jc w:val="both"/>
        <w:rPr>
          <w:rFonts w:cs="Times New Roman"/>
          <w:sz w:val="20"/>
          <w:szCs w:val="20"/>
          <w:lang w:val="en-GB"/>
        </w:rPr>
      </w:pPr>
      <w:r w:rsidRPr="00796EFB">
        <w:rPr>
          <w:rFonts w:cs="Times New Roman"/>
          <w:sz w:val="20"/>
          <w:szCs w:val="20"/>
          <w:lang w:val="en-GB"/>
        </w:rPr>
        <w:t>The motion for leave to intervene of Rocco Galati is granted and the said intervener shall be entitled to serve and file a factum not to exceed 20 pages in length on or before January 3</w:t>
      </w:r>
      <w:r w:rsidRPr="00796EFB">
        <w:rPr>
          <w:rFonts w:cs="Times New Roman"/>
          <w:sz w:val="20"/>
          <w:szCs w:val="20"/>
        </w:rPr>
        <w:t>, 2014 and to present 15 minutes of oral argument at the hearing of the reference. The request that a judge other than Justice Rothstein determine the motion for leave to intervene is moot. There will be no order as to costs.</w:t>
      </w:r>
    </w:p>
    <w:p w:rsidR="00796EFB" w:rsidRPr="00796EFB" w:rsidRDefault="00796EFB" w:rsidP="00796EFB">
      <w:pPr>
        <w:spacing w:line="233" w:lineRule="auto"/>
        <w:jc w:val="both"/>
        <w:rPr>
          <w:rFonts w:eastAsia="Times New Roman" w:cs="Times New Roman"/>
          <w:sz w:val="20"/>
          <w:szCs w:val="20"/>
          <w:lang w:val="en-GB" w:eastAsia="en-CA"/>
        </w:rPr>
      </w:pPr>
    </w:p>
    <w:p w:rsidR="00796EFB" w:rsidRPr="00796EFB" w:rsidRDefault="00796EFB" w:rsidP="00796EFB">
      <w:pPr>
        <w:widowControl w:val="0"/>
        <w:numPr>
          <w:ilvl w:val="0"/>
          <w:numId w:val="11"/>
        </w:numPr>
        <w:autoSpaceDE w:val="0"/>
        <w:autoSpaceDN w:val="0"/>
        <w:adjustRightInd w:val="0"/>
        <w:spacing w:line="233" w:lineRule="auto"/>
        <w:contextualSpacing/>
        <w:jc w:val="both"/>
        <w:rPr>
          <w:rFonts w:cs="Times New Roman"/>
          <w:sz w:val="20"/>
          <w:szCs w:val="20"/>
          <w:lang w:val="en-GB"/>
        </w:rPr>
      </w:pPr>
      <w:r w:rsidRPr="00796EFB">
        <w:rPr>
          <w:rFonts w:cs="Times New Roman"/>
          <w:sz w:val="20"/>
          <w:szCs w:val="20"/>
          <w:lang w:val="en-GB"/>
        </w:rPr>
        <w:t xml:space="preserve">The motion for leave to intervene of the </w:t>
      </w:r>
      <w:r w:rsidRPr="00796EFB">
        <w:rPr>
          <w:rFonts w:cs="Times New Roman"/>
          <w:sz w:val="20"/>
          <w:szCs w:val="20"/>
        </w:rPr>
        <w:t xml:space="preserve">Constitutional Rights Centre Inc. is granted and the said intervener shall be entitled to serve and file a factum not to exceed 20 pages on or before January 3, 2014 and to present </w:t>
      </w:r>
      <w:r w:rsidRPr="00796EFB">
        <w:rPr>
          <w:rFonts w:cs="Times New Roman"/>
          <w:sz w:val="20"/>
          <w:szCs w:val="20"/>
        </w:rPr>
        <w:lastRenderedPageBreak/>
        <w:t xml:space="preserve">15 minutes of oral argument at the hearing of the reference. There will be no order as to costs. </w:t>
      </w:r>
    </w:p>
    <w:p w:rsidR="00796EFB" w:rsidRPr="00796EFB" w:rsidRDefault="00796EFB" w:rsidP="00796EFB">
      <w:pPr>
        <w:spacing w:line="233" w:lineRule="auto"/>
        <w:ind w:left="720"/>
        <w:contextualSpacing/>
        <w:jc w:val="both"/>
        <w:rPr>
          <w:rFonts w:cs="Times New Roman"/>
          <w:sz w:val="20"/>
          <w:szCs w:val="20"/>
          <w:lang w:val="en-GB"/>
        </w:rPr>
      </w:pPr>
    </w:p>
    <w:p w:rsidR="00796EFB" w:rsidRPr="00796EFB" w:rsidRDefault="00796EFB" w:rsidP="00796EFB">
      <w:pPr>
        <w:widowControl w:val="0"/>
        <w:numPr>
          <w:ilvl w:val="0"/>
          <w:numId w:val="11"/>
        </w:numPr>
        <w:autoSpaceDE w:val="0"/>
        <w:autoSpaceDN w:val="0"/>
        <w:adjustRightInd w:val="0"/>
        <w:spacing w:line="233" w:lineRule="auto"/>
        <w:contextualSpacing/>
        <w:jc w:val="both"/>
        <w:rPr>
          <w:rFonts w:cs="Times New Roman"/>
          <w:sz w:val="20"/>
          <w:szCs w:val="20"/>
          <w:lang w:val="en-GB"/>
        </w:rPr>
      </w:pPr>
      <w:r w:rsidRPr="00796EFB">
        <w:rPr>
          <w:rFonts w:cs="Times New Roman"/>
          <w:sz w:val="20"/>
          <w:szCs w:val="20"/>
          <w:lang w:val="en-GB"/>
        </w:rPr>
        <w:t xml:space="preserve">The motion for leave to intervene filed by the Honourable </w:t>
      </w:r>
      <w:r w:rsidRPr="00796EFB">
        <w:rPr>
          <w:rFonts w:cs="Times New Roman"/>
          <w:sz w:val="20"/>
          <w:szCs w:val="20"/>
        </w:rPr>
        <w:t xml:space="preserve">Robert Décary, the Honourable Alice Desjardins and the Honourable Gilles Létourneau </w:t>
      </w:r>
      <w:r w:rsidRPr="00796EFB">
        <w:rPr>
          <w:rFonts w:cs="Times New Roman"/>
          <w:sz w:val="20"/>
          <w:szCs w:val="20"/>
          <w:lang w:val="en-GB"/>
        </w:rPr>
        <w:t>is granted and the said interveners shall be entitled to serve and file a single factum not to exceed 20 pages in length on or before January 3</w:t>
      </w:r>
      <w:r w:rsidRPr="00796EFB">
        <w:rPr>
          <w:rFonts w:cs="Times New Roman"/>
          <w:sz w:val="20"/>
          <w:szCs w:val="20"/>
        </w:rPr>
        <w:t>, 2014 and to present a total of 15 minutes of oral argument at the hearing of the reference. The request for leave to file affidavit evidence is denied.</w:t>
      </w:r>
    </w:p>
    <w:p w:rsidR="00796EFB" w:rsidRPr="00796EFB" w:rsidRDefault="00796EFB" w:rsidP="00796EFB">
      <w:pPr>
        <w:spacing w:line="233" w:lineRule="auto"/>
        <w:jc w:val="both"/>
        <w:rPr>
          <w:rFonts w:eastAsia="Times New Roman" w:cs="Times New Roman"/>
          <w:sz w:val="20"/>
          <w:szCs w:val="20"/>
          <w:lang w:val="en-GB" w:eastAsia="en-CA"/>
        </w:rPr>
      </w:pPr>
    </w:p>
    <w:p w:rsidR="00796EFB" w:rsidRPr="00796EFB" w:rsidRDefault="00796EFB" w:rsidP="00796EFB">
      <w:pPr>
        <w:widowControl w:val="0"/>
        <w:numPr>
          <w:ilvl w:val="0"/>
          <w:numId w:val="11"/>
        </w:numPr>
        <w:autoSpaceDE w:val="0"/>
        <w:autoSpaceDN w:val="0"/>
        <w:adjustRightInd w:val="0"/>
        <w:spacing w:line="233" w:lineRule="auto"/>
        <w:contextualSpacing/>
        <w:jc w:val="both"/>
        <w:rPr>
          <w:rFonts w:cs="Times New Roman"/>
          <w:sz w:val="20"/>
          <w:szCs w:val="20"/>
          <w:lang w:val="en-GB"/>
        </w:rPr>
      </w:pPr>
      <w:r w:rsidRPr="00796EFB">
        <w:rPr>
          <w:rFonts w:cs="Times New Roman"/>
          <w:sz w:val="20"/>
          <w:szCs w:val="20"/>
          <w:lang w:val="en-GB"/>
        </w:rPr>
        <w:t xml:space="preserve">The motion for leave to intervene of </w:t>
      </w:r>
      <w:r w:rsidRPr="00796EFB">
        <w:rPr>
          <w:rFonts w:cs="Times New Roman"/>
          <w:sz w:val="20"/>
          <w:szCs w:val="20"/>
        </w:rPr>
        <w:t>the Canadian Association of Provincial Court Judges</w:t>
      </w:r>
      <w:r w:rsidRPr="00796EFB">
        <w:rPr>
          <w:rFonts w:cs="Times New Roman"/>
          <w:sz w:val="20"/>
          <w:szCs w:val="20"/>
          <w:lang w:val="en-GB"/>
        </w:rPr>
        <w:t xml:space="preserve"> is granted and the said intervener shall be entitled to serve and file a factum not to exceed 20 pages in length on or before January 3</w:t>
      </w:r>
      <w:r w:rsidRPr="00796EFB">
        <w:rPr>
          <w:rFonts w:cs="Times New Roman"/>
          <w:sz w:val="20"/>
          <w:szCs w:val="20"/>
        </w:rPr>
        <w:t>, 2014 and to present 15 minutes of oral argument at the hearing of the reference.</w:t>
      </w:r>
    </w:p>
    <w:p w:rsidR="00796EFB" w:rsidRPr="00796EFB" w:rsidRDefault="00796EFB" w:rsidP="00796EFB">
      <w:pPr>
        <w:spacing w:line="233" w:lineRule="auto"/>
        <w:jc w:val="both"/>
        <w:rPr>
          <w:rFonts w:eastAsia="Times New Roman" w:cs="Times New Roman"/>
          <w:sz w:val="20"/>
          <w:szCs w:val="20"/>
          <w:lang w:val="en-US" w:eastAsia="en-CA"/>
        </w:rPr>
      </w:pPr>
    </w:p>
    <w:p w:rsidR="00796EFB" w:rsidRPr="00796EFB" w:rsidRDefault="00796EFB" w:rsidP="00796EFB">
      <w:pPr>
        <w:spacing w:line="233" w:lineRule="auto"/>
        <w:jc w:val="both"/>
        <w:rPr>
          <w:rFonts w:eastAsia="Times New Roman" w:cs="Times New Roman"/>
          <w:sz w:val="20"/>
          <w:szCs w:val="20"/>
          <w:lang w:val="en-US" w:eastAsia="en-CA"/>
        </w:rPr>
      </w:pPr>
    </w:p>
    <w:p w:rsidR="00796EFB" w:rsidRPr="00796EFB" w:rsidRDefault="00796EFB" w:rsidP="00796EFB">
      <w:pPr>
        <w:spacing w:line="233" w:lineRule="auto"/>
        <w:jc w:val="both"/>
        <w:rPr>
          <w:rFonts w:eastAsia="Times New Roman" w:cs="Times New Roman"/>
          <w:sz w:val="20"/>
          <w:szCs w:val="20"/>
          <w:lang w:val="en-US" w:eastAsia="en-CA"/>
        </w:rPr>
      </w:pPr>
    </w:p>
    <w:p w:rsidR="00796EFB" w:rsidRPr="00796EFB" w:rsidRDefault="00796EFB" w:rsidP="00796EFB">
      <w:pPr>
        <w:spacing w:line="233" w:lineRule="auto"/>
        <w:jc w:val="both"/>
        <w:rPr>
          <w:rFonts w:eastAsia="Times New Roman" w:cs="Times New Roman"/>
          <w:sz w:val="20"/>
          <w:szCs w:val="20"/>
          <w:lang w:val="fr-CA" w:eastAsia="en-CA"/>
        </w:rPr>
      </w:pPr>
      <w:r w:rsidRPr="00796EFB">
        <w:rPr>
          <w:rFonts w:eastAsia="Times New Roman" w:cs="Times New Roman"/>
          <w:b/>
          <w:sz w:val="20"/>
          <w:szCs w:val="20"/>
          <w:lang w:val="fr-CA" w:eastAsia="en-CA"/>
        </w:rPr>
        <w:t>À LA SUITE DE LA DEMANDE</w:t>
      </w:r>
      <w:r w:rsidRPr="00796EFB">
        <w:rPr>
          <w:rFonts w:eastAsia="Times New Roman" w:cs="Times New Roman"/>
          <w:sz w:val="20"/>
          <w:szCs w:val="20"/>
          <w:lang w:val="fr-CA" w:eastAsia="en-CA"/>
        </w:rPr>
        <w:t xml:space="preserve"> présentée par Rocco Galati pour être autorisé à intervenir au renvoi, pour que la requête en intervention soit décidée par un autre juge que le juge Rothstein et pour que lui soient accordés, sur la base avocat-client, les dépens à l’égard de la requête en autorisation d’intervenir et du renvoi;</w:t>
      </w:r>
    </w:p>
    <w:p w:rsidR="00796EFB" w:rsidRPr="00796EFB" w:rsidRDefault="00796EFB" w:rsidP="00796EFB">
      <w:pPr>
        <w:spacing w:line="233" w:lineRule="auto"/>
        <w:jc w:val="both"/>
        <w:rPr>
          <w:rFonts w:eastAsia="Times New Roman" w:cs="Times New Roman"/>
          <w:sz w:val="20"/>
          <w:szCs w:val="20"/>
          <w:lang w:val="fr-CA" w:eastAsia="en-CA"/>
        </w:rPr>
      </w:pPr>
    </w:p>
    <w:p w:rsidR="00796EFB" w:rsidRPr="00796EFB" w:rsidRDefault="00796EFB" w:rsidP="00796EFB">
      <w:pPr>
        <w:spacing w:line="233" w:lineRule="auto"/>
        <w:jc w:val="both"/>
        <w:rPr>
          <w:rFonts w:eastAsia="Times New Roman" w:cs="Times New Roman"/>
          <w:sz w:val="20"/>
          <w:szCs w:val="20"/>
          <w:lang w:val="fr-CA" w:eastAsia="en-CA"/>
        </w:rPr>
      </w:pPr>
      <w:r w:rsidRPr="00796EFB">
        <w:rPr>
          <w:rFonts w:eastAsia="Times New Roman" w:cs="Times New Roman"/>
          <w:b/>
          <w:sz w:val="20"/>
          <w:szCs w:val="20"/>
          <w:lang w:val="fr-CA" w:eastAsia="en-CA"/>
        </w:rPr>
        <w:t>ET À LA SUITE DE LA DEMANDE</w:t>
      </w:r>
      <w:r w:rsidRPr="00796EFB">
        <w:rPr>
          <w:rFonts w:eastAsia="Times New Roman" w:cs="Times New Roman"/>
          <w:sz w:val="20"/>
          <w:szCs w:val="20"/>
          <w:lang w:val="fr-CA" w:eastAsia="en-CA"/>
        </w:rPr>
        <w:t xml:space="preserve"> présentée par le Constitutional Rights Centre Inc. pour être autorisé à intervenir au renvoi et pour que lui soient accordés les dépens à l’égard de la requête en autorisation d’intervenir;</w:t>
      </w:r>
    </w:p>
    <w:p w:rsidR="00796EFB" w:rsidRPr="00796EFB" w:rsidRDefault="00796EFB" w:rsidP="00796EFB">
      <w:pPr>
        <w:spacing w:line="233" w:lineRule="auto"/>
        <w:jc w:val="both"/>
        <w:rPr>
          <w:rFonts w:eastAsia="Times New Roman" w:cs="Times New Roman"/>
          <w:sz w:val="20"/>
          <w:szCs w:val="20"/>
          <w:lang w:val="fr-CA" w:eastAsia="en-CA"/>
        </w:rPr>
      </w:pPr>
    </w:p>
    <w:p w:rsidR="00796EFB" w:rsidRPr="00796EFB" w:rsidRDefault="00796EFB" w:rsidP="00796EFB">
      <w:pPr>
        <w:spacing w:line="233" w:lineRule="auto"/>
        <w:jc w:val="both"/>
        <w:rPr>
          <w:rFonts w:eastAsia="Times New Roman" w:cs="Times New Roman"/>
          <w:sz w:val="20"/>
          <w:szCs w:val="20"/>
          <w:lang w:val="fr-CA" w:eastAsia="en-CA"/>
        </w:rPr>
      </w:pPr>
      <w:r w:rsidRPr="00796EFB">
        <w:rPr>
          <w:rFonts w:eastAsia="Times New Roman" w:cs="Times New Roman"/>
          <w:b/>
          <w:sz w:val="20"/>
          <w:szCs w:val="20"/>
          <w:lang w:val="fr-CA" w:eastAsia="en-CA"/>
        </w:rPr>
        <w:t>ET À LA SUITE DE LA DEMANDE</w:t>
      </w:r>
      <w:r w:rsidRPr="00796EFB">
        <w:rPr>
          <w:rFonts w:eastAsia="Times New Roman" w:cs="Times New Roman"/>
          <w:sz w:val="20"/>
          <w:szCs w:val="20"/>
          <w:lang w:val="fr-CA" w:eastAsia="en-CA"/>
        </w:rPr>
        <w:t xml:space="preserve"> présentée par l’honorable Robert Décary, l’honorable Alice Desjardins et l’honorable Gilles Létourneau pour être autorisés à intervenir et à déposer des affidavits en preuve;</w:t>
      </w:r>
    </w:p>
    <w:p w:rsidR="00796EFB" w:rsidRPr="00796EFB" w:rsidRDefault="00796EFB" w:rsidP="00796EFB">
      <w:pPr>
        <w:spacing w:line="233" w:lineRule="auto"/>
        <w:jc w:val="both"/>
        <w:rPr>
          <w:rFonts w:eastAsia="Times New Roman" w:cs="Times New Roman"/>
          <w:sz w:val="20"/>
          <w:szCs w:val="20"/>
          <w:lang w:val="fr-CA" w:eastAsia="en-CA"/>
        </w:rPr>
      </w:pPr>
    </w:p>
    <w:p w:rsidR="00796EFB" w:rsidRPr="00796EFB" w:rsidRDefault="00796EFB" w:rsidP="00796EFB">
      <w:pPr>
        <w:spacing w:line="233" w:lineRule="auto"/>
        <w:jc w:val="both"/>
        <w:rPr>
          <w:rFonts w:eastAsia="Times New Roman" w:cs="Times New Roman"/>
          <w:sz w:val="20"/>
          <w:szCs w:val="20"/>
          <w:lang w:val="fr-CA" w:eastAsia="en-CA"/>
        </w:rPr>
      </w:pPr>
      <w:r w:rsidRPr="00796EFB">
        <w:rPr>
          <w:rFonts w:eastAsia="Times New Roman" w:cs="Times New Roman"/>
          <w:b/>
          <w:sz w:val="20"/>
          <w:szCs w:val="20"/>
          <w:lang w:val="fr-CA" w:eastAsia="en-CA"/>
        </w:rPr>
        <w:t>ET À LA SUITE DE LA DEMANDE</w:t>
      </w:r>
      <w:r w:rsidRPr="00796EFB">
        <w:rPr>
          <w:rFonts w:eastAsia="Times New Roman" w:cs="Times New Roman"/>
          <w:sz w:val="20"/>
          <w:szCs w:val="20"/>
          <w:lang w:val="fr-CA" w:eastAsia="en-CA"/>
        </w:rPr>
        <w:t xml:space="preserve"> présentée par l’Association Canadienne des Juges de Cours Provinciales pour être autorisée à intervenir au renvoi;</w:t>
      </w:r>
    </w:p>
    <w:p w:rsidR="00796EFB" w:rsidRPr="00796EFB" w:rsidRDefault="00796EFB" w:rsidP="00796EFB">
      <w:pPr>
        <w:spacing w:line="233" w:lineRule="auto"/>
        <w:jc w:val="both"/>
        <w:rPr>
          <w:rFonts w:eastAsia="Times New Roman" w:cs="Times New Roman"/>
          <w:sz w:val="20"/>
          <w:szCs w:val="20"/>
          <w:lang w:val="fr-CA" w:eastAsia="en-CA"/>
        </w:rPr>
      </w:pPr>
    </w:p>
    <w:p w:rsidR="00796EFB" w:rsidRPr="00796EFB" w:rsidRDefault="00796EFB" w:rsidP="00796EFB">
      <w:pPr>
        <w:spacing w:line="233" w:lineRule="auto"/>
        <w:jc w:val="both"/>
        <w:rPr>
          <w:rFonts w:eastAsia="Times New Roman" w:cs="Times New Roman"/>
          <w:sz w:val="20"/>
          <w:szCs w:val="20"/>
          <w:lang w:val="fr-CA" w:eastAsia="en-CA"/>
        </w:rPr>
      </w:pPr>
      <w:r w:rsidRPr="00796EFB">
        <w:rPr>
          <w:rFonts w:eastAsia="Times New Roman" w:cs="Times New Roman"/>
          <w:b/>
          <w:sz w:val="20"/>
          <w:szCs w:val="20"/>
          <w:lang w:val="fr-CA" w:eastAsia="en-CA"/>
        </w:rPr>
        <w:t>ET APRÈS EXAMEN</w:t>
      </w:r>
      <w:r w:rsidRPr="00796EFB">
        <w:rPr>
          <w:rFonts w:eastAsia="Times New Roman" w:cs="Times New Roman"/>
          <w:sz w:val="20"/>
          <w:szCs w:val="20"/>
          <w:lang w:val="fr-CA" w:eastAsia="en-CA"/>
        </w:rPr>
        <w:t xml:space="preserve"> des documents déposés;</w:t>
      </w:r>
    </w:p>
    <w:p w:rsidR="00796EFB" w:rsidRPr="00796EFB" w:rsidRDefault="00796EFB" w:rsidP="00796EFB">
      <w:pPr>
        <w:spacing w:line="233" w:lineRule="auto"/>
        <w:jc w:val="both"/>
        <w:rPr>
          <w:rFonts w:eastAsia="Times New Roman" w:cs="Times New Roman"/>
          <w:sz w:val="20"/>
          <w:szCs w:val="20"/>
          <w:lang w:val="fr-CA" w:eastAsia="en-CA"/>
        </w:rPr>
      </w:pPr>
    </w:p>
    <w:p w:rsidR="00796EFB" w:rsidRPr="00796EFB" w:rsidRDefault="00796EFB" w:rsidP="00796EFB">
      <w:pPr>
        <w:spacing w:line="233" w:lineRule="auto"/>
        <w:jc w:val="both"/>
        <w:rPr>
          <w:rFonts w:eastAsia="Times New Roman" w:cs="Times New Roman"/>
          <w:sz w:val="20"/>
          <w:szCs w:val="20"/>
          <w:lang w:val="fr-CA" w:eastAsia="en-CA"/>
        </w:rPr>
      </w:pPr>
      <w:r w:rsidRPr="00796EFB">
        <w:rPr>
          <w:rFonts w:eastAsia="Times New Roman" w:cs="Times New Roman"/>
          <w:b/>
          <w:sz w:val="20"/>
          <w:szCs w:val="20"/>
          <w:lang w:val="fr-CA" w:eastAsia="en-CA"/>
        </w:rPr>
        <w:t>IL EST PAR LA PRÉSENTE ORDONNÉ CE QUI SUIT :</w:t>
      </w:r>
    </w:p>
    <w:p w:rsidR="00796EFB" w:rsidRPr="00796EFB" w:rsidRDefault="00796EFB" w:rsidP="00796EFB">
      <w:pPr>
        <w:spacing w:line="233" w:lineRule="auto"/>
        <w:jc w:val="both"/>
        <w:rPr>
          <w:rFonts w:eastAsia="Times New Roman" w:cs="Times New Roman"/>
          <w:sz w:val="20"/>
          <w:szCs w:val="20"/>
          <w:lang w:val="fr-CA" w:eastAsia="en-CA"/>
        </w:rPr>
      </w:pPr>
    </w:p>
    <w:p w:rsidR="00796EFB" w:rsidRPr="00796EFB" w:rsidRDefault="00796EFB" w:rsidP="00796EFB">
      <w:pPr>
        <w:widowControl w:val="0"/>
        <w:numPr>
          <w:ilvl w:val="0"/>
          <w:numId w:val="12"/>
        </w:numPr>
        <w:autoSpaceDE w:val="0"/>
        <w:autoSpaceDN w:val="0"/>
        <w:adjustRightInd w:val="0"/>
        <w:spacing w:line="233" w:lineRule="auto"/>
        <w:contextualSpacing/>
        <w:jc w:val="both"/>
        <w:rPr>
          <w:rFonts w:cs="Times New Roman"/>
          <w:sz w:val="20"/>
          <w:szCs w:val="20"/>
          <w:lang w:val="fr-CA"/>
        </w:rPr>
      </w:pPr>
      <w:r w:rsidRPr="00796EFB">
        <w:rPr>
          <w:rFonts w:cs="Times New Roman"/>
          <w:sz w:val="20"/>
          <w:szCs w:val="20"/>
          <w:lang w:val="fr-CA"/>
        </w:rPr>
        <w:t>La requête en autorisation d’intervenir présentée par Rocco Galati est accueillie et l’intervenant pourra signifier et déposer un mémoire d’au plus 20 pages au plus tard le 3 janvier 2014 et présenter une plaidoirie orale d’au plus 15 minutes lors de l’audition du renvoi. La demande que la requête en autorisation d’intervenir soit décidée par un autre juge que le juge Rothstein est devenue sans objet.</w:t>
      </w:r>
      <w:r w:rsidRPr="00796EFB">
        <w:rPr>
          <w:sz w:val="20"/>
          <w:szCs w:val="20"/>
          <w:lang w:val="fr-FR"/>
        </w:rPr>
        <w:t xml:space="preserve"> </w:t>
      </w:r>
      <w:r w:rsidRPr="00796EFB">
        <w:rPr>
          <w:rFonts w:cs="Times New Roman"/>
          <w:sz w:val="20"/>
          <w:szCs w:val="20"/>
          <w:lang w:val="fr-FR"/>
        </w:rPr>
        <w:t>Aucune ordonnance ne sera rendue concernant les dépens.</w:t>
      </w:r>
    </w:p>
    <w:p w:rsidR="00796EFB" w:rsidRPr="00796EFB" w:rsidRDefault="00796EFB" w:rsidP="00796EFB">
      <w:pPr>
        <w:spacing w:line="233" w:lineRule="auto"/>
        <w:ind w:left="720"/>
        <w:contextualSpacing/>
        <w:jc w:val="both"/>
        <w:rPr>
          <w:rFonts w:cs="Times New Roman"/>
          <w:sz w:val="20"/>
          <w:szCs w:val="20"/>
          <w:lang w:val="fr-CA"/>
        </w:rPr>
      </w:pPr>
    </w:p>
    <w:p w:rsidR="00796EFB" w:rsidRPr="00796EFB" w:rsidRDefault="00796EFB" w:rsidP="00796EFB">
      <w:pPr>
        <w:widowControl w:val="0"/>
        <w:numPr>
          <w:ilvl w:val="0"/>
          <w:numId w:val="12"/>
        </w:numPr>
        <w:autoSpaceDE w:val="0"/>
        <w:autoSpaceDN w:val="0"/>
        <w:adjustRightInd w:val="0"/>
        <w:spacing w:line="233" w:lineRule="auto"/>
        <w:contextualSpacing/>
        <w:jc w:val="both"/>
        <w:rPr>
          <w:rFonts w:cs="Times New Roman"/>
          <w:sz w:val="20"/>
          <w:szCs w:val="20"/>
          <w:lang w:val="fr-CA"/>
        </w:rPr>
      </w:pPr>
      <w:r w:rsidRPr="00796EFB">
        <w:rPr>
          <w:rFonts w:cs="Times New Roman"/>
          <w:sz w:val="20"/>
          <w:szCs w:val="20"/>
          <w:lang w:val="fr-CA"/>
        </w:rPr>
        <w:t>La requête en autorisation d’intervenir présentée par le Constitutional Rights Centre Inc. est accueillie et l’intervenant pourra signifier et déposer un mémoire d’au plus 20 pages au plus tard le 3 janvier 2014 et présenter une plaidoirie orale d’au plus 15 minutes lors de l’audition du renvoi.</w:t>
      </w:r>
      <w:r w:rsidRPr="00796EFB">
        <w:rPr>
          <w:rFonts w:cs="Times New Roman"/>
          <w:sz w:val="20"/>
          <w:szCs w:val="20"/>
          <w:lang w:val="fr-FR"/>
        </w:rPr>
        <w:t xml:space="preserve"> Aucune ordonnance ne sera rendue concernant les dépens.</w:t>
      </w:r>
    </w:p>
    <w:p w:rsidR="00796EFB" w:rsidRPr="00796EFB" w:rsidRDefault="00796EFB" w:rsidP="00796EFB">
      <w:pPr>
        <w:spacing w:line="233" w:lineRule="auto"/>
        <w:jc w:val="both"/>
        <w:rPr>
          <w:rFonts w:eastAsia="Times New Roman" w:cs="Times New Roman"/>
          <w:sz w:val="20"/>
          <w:szCs w:val="20"/>
          <w:lang w:val="fr-CA" w:eastAsia="en-CA"/>
        </w:rPr>
      </w:pPr>
    </w:p>
    <w:p w:rsidR="00796EFB" w:rsidRPr="00796EFB" w:rsidRDefault="00796EFB" w:rsidP="00796EFB">
      <w:pPr>
        <w:widowControl w:val="0"/>
        <w:numPr>
          <w:ilvl w:val="0"/>
          <w:numId w:val="12"/>
        </w:numPr>
        <w:autoSpaceDE w:val="0"/>
        <w:autoSpaceDN w:val="0"/>
        <w:adjustRightInd w:val="0"/>
        <w:spacing w:line="233" w:lineRule="auto"/>
        <w:contextualSpacing/>
        <w:jc w:val="both"/>
        <w:rPr>
          <w:rFonts w:cs="Times New Roman"/>
          <w:sz w:val="20"/>
          <w:szCs w:val="20"/>
          <w:lang w:val="fr-CA"/>
        </w:rPr>
      </w:pPr>
      <w:r w:rsidRPr="00796EFB">
        <w:rPr>
          <w:rFonts w:cs="Times New Roman"/>
          <w:sz w:val="20"/>
          <w:szCs w:val="20"/>
          <w:lang w:val="fr-CA"/>
        </w:rPr>
        <w:t>La requête en autorisation d’intervenir présentée par l’honorable Robert Décary, l’honorable Alice Desjardins et l’honorable Gilles Létourneau est accueillie et les intervenants pourront signifier et déposer un mémoire conjoint d’au plus 20 pages au plus tard le 3 janvier 2014 et présenter une plaidoirie orale conjointe d’au plus 15 minutes lors de l’audition du renvoi. Leur demande en vue d’être autorisés à déposer des affidavits en preuve est refusée.</w:t>
      </w:r>
    </w:p>
    <w:p w:rsidR="00796EFB" w:rsidRPr="00796EFB" w:rsidRDefault="00796EFB" w:rsidP="00796EFB">
      <w:pPr>
        <w:spacing w:line="233" w:lineRule="auto"/>
        <w:jc w:val="both"/>
        <w:rPr>
          <w:rFonts w:eastAsia="Times New Roman" w:cs="Times New Roman"/>
          <w:sz w:val="20"/>
          <w:szCs w:val="20"/>
          <w:lang w:val="fr-CA" w:eastAsia="en-CA"/>
        </w:rPr>
      </w:pPr>
    </w:p>
    <w:p w:rsidR="00796EFB" w:rsidRPr="00796EFB" w:rsidRDefault="00796EFB" w:rsidP="00796EFB">
      <w:pPr>
        <w:widowControl w:val="0"/>
        <w:numPr>
          <w:ilvl w:val="0"/>
          <w:numId w:val="12"/>
        </w:numPr>
        <w:autoSpaceDE w:val="0"/>
        <w:autoSpaceDN w:val="0"/>
        <w:adjustRightInd w:val="0"/>
        <w:spacing w:line="233" w:lineRule="auto"/>
        <w:contextualSpacing/>
        <w:jc w:val="both"/>
        <w:rPr>
          <w:rFonts w:cs="Times New Roman"/>
          <w:sz w:val="20"/>
          <w:szCs w:val="20"/>
          <w:lang w:val="fr-CA"/>
        </w:rPr>
      </w:pPr>
      <w:r w:rsidRPr="00796EFB">
        <w:rPr>
          <w:rFonts w:cs="Times New Roman"/>
          <w:sz w:val="20"/>
          <w:szCs w:val="20"/>
          <w:lang w:val="fr-CA"/>
        </w:rPr>
        <w:t>La requête en autorisation d’intervenir présentée par l’Association Canadienne des Juges de Cours Provinciales est accueillie et l’intervenante pourra signifier et déposer un mémoire d’au plus 20 pages au plus tard le 3 janvier 2014 et présenter une plaidoirie orale d’au plus 15 minutes lors de l’audition du renvoi.</w:t>
      </w:r>
    </w:p>
    <w:p w:rsidR="00796EFB" w:rsidRPr="00796EFB" w:rsidRDefault="00796EFB" w:rsidP="00796EFB">
      <w:pPr>
        <w:tabs>
          <w:tab w:val="left" w:pos="-1440"/>
          <w:tab w:val="left" w:pos="-720"/>
        </w:tabs>
        <w:jc w:val="both"/>
        <w:rPr>
          <w:rFonts w:eastAsia="Times New Roman" w:cs="Times New Roman"/>
          <w:sz w:val="20"/>
          <w:szCs w:val="20"/>
          <w:lang w:val="fr-CA" w:eastAsia="en-CA"/>
        </w:rPr>
      </w:pPr>
    </w:p>
    <w:p w:rsidR="00796EFB" w:rsidRPr="00796EFB" w:rsidRDefault="00E672F1" w:rsidP="00796EFB">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9" style="width:2in;height:1pt" o:hrpct="0" o:hralign="center" o:hrstd="t" o:hrnoshade="t" o:hr="t" fillcolor="black [3213]" stroked="f"/>
        </w:pict>
      </w:r>
    </w:p>
    <w:p w:rsidR="00796EFB" w:rsidRPr="00796EFB" w:rsidRDefault="00796EFB" w:rsidP="00796EFB">
      <w:pPr>
        <w:tabs>
          <w:tab w:val="left" w:pos="-1440"/>
          <w:tab w:val="left" w:pos="-720"/>
        </w:tabs>
        <w:jc w:val="both"/>
        <w:rPr>
          <w:rFonts w:eastAsia="Times New Roman" w:cs="Times New Roman"/>
          <w:sz w:val="20"/>
          <w:szCs w:val="20"/>
          <w:lang w:val="fr-CA" w:eastAsia="en-CA"/>
        </w:rPr>
      </w:pPr>
    </w:p>
    <w:p w:rsidR="00796EFB" w:rsidRDefault="00796EFB">
      <w:pPr>
        <w:rPr>
          <w:rFonts w:eastAsia="Times New Roman" w:cs="Times New Roman"/>
          <w:sz w:val="20"/>
          <w:szCs w:val="20"/>
          <w:lang w:val="fr-CA" w:eastAsia="en-CA"/>
        </w:rPr>
      </w:pPr>
      <w:r>
        <w:rPr>
          <w:rFonts w:eastAsia="Times New Roman" w:cs="Times New Roman"/>
          <w:sz w:val="20"/>
          <w:szCs w:val="20"/>
          <w:lang w:val="fr-CA" w:eastAsia="en-CA"/>
        </w:rPr>
        <w:br w:type="page"/>
      </w:r>
    </w:p>
    <w:p w:rsidR="00796EFB" w:rsidRPr="00796EFB" w:rsidRDefault="00796EFB" w:rsidP="00796EFB">
      <w:pPr>
        <w:tabs>
          <w:tab w:val="left" w:pos="-1440"/>
          <w:tab w:val="left" w:pos="-720"/>
        </w:tabs>
        <w:jc w:val="both"/>
        <w:rPr>
          <w:rFonts w:eastAsia="Times New Roman" w:cs="Times New Roman"/>
          <w:sz w:val="20"/>
          <w:szCs w:val="20"/>
          <w:lang w:val="fr-CA" w:eastAsia="en-CA"/>
        </w:rPr>
      </w:pPr>
      <w:r w:rsidRPr="00796EFB">
        <w:rPr>
          <w:rFonts w:eastAsia="Times New Roman" w:cs="Times New Roman"/>
          <w:sz w:val="20"/>
          <w:szCs w:val="20"/>
          <w:lang w:val="fr-CA" w:eastAsia="en-CA"/>
        </w:rPr>
        <w:lastRenderedPageBreak/>
        <w:t>03.12.2013</w:t>
      </w:r>
    </w:p>
    <w:p w:rsidR="00796EFB" w:rsidRPr="00796EFB" w:rsidRDefault="00796EFB" w:rsidP="00796EFB">
      <w:pPr>
        <w:tabs>
          <w:tab w:val="left" w:pos="-1440"/>
          <w:tab w:val="left" w:pos="-720"/>
        </w:tabs>
        <w:jc w:val="both"/>
        <w:rPr>
          <w:rFonts w:eastAsia="Times New Roman" w:cs="Times New Roman"/>
          <w:sz w:val="20"/>
          <w:szCs w:val="20"/>
          <w:lang w:val="fr-CA" w:eastAsia="en-CA"/>
        </w:rPr>
      </w:pPr>
    </w:p>
    <w:p w:rsidR="00796EFB" w:rsidRPr="00796EFB" w:rsidRDefault="00796EFB" w:rsidP="00796EFB">
      <w:pPr>
        <w:tabs>
          <w:tab w:val="left" w:pos="-1440"/>
          <w:tab w:val="left" w:pos="-720"/>
        </w:tabs>
        <w:jc w:val="both"/>
        <w:rPr>
          <w:rFonts w:eastAsia="Times New Roman" w:cs="Times New Roman"/>
          <w:sz w:val="20"/>
          <w:szCs w:val="20"/>
          <w:lang w:val="fr-CA" w:eastAsia="en-CA"/>
        </w:rPr>
      </w:pPr>
      <w:r w:rsidRPr="00796EFB">
        <w:rPr>
          <w:rFonts w:eastAsia="Times New Roman" w:cs="Times New Roman"/>
          <w:sz w:val="20"/>
          <w:szCs w:val="20"/>
          <w:lang w:val="fr-CA" w:eastAsia="en-CA"/>
        </w:rPr>
        <w:t>Before / Devant :   ROTHSTEIN J. / LE JUGE ROTHSTEIN</w:t>
      </w:r>
    </w:p>
    <w:p w:rsidR="00796EFB" w:rsidRPr="00796EFB" w:rsidRDefault="00796EFB" w:rsidP="00796EFB">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796EFB" w:rsidRPr="00E672F1" w:rsidTr="001A7F7C">
        <w:tc>
          <w:tcPr>
            <w:tcW w:w="4338" w:type="dxa"/>
          </w:tcPr>
          <w:p w:rsidR="00796EFB" w:rsidRPr="00796EFB" w:rsidRDefault="00796EFB" w:rsidP="00796EFB">
            <w:pPr>
              <w:tabs>
                <w:tab w:val="left" w:pos="-1440"/>
                <w:tab w:val="left" w:pos="-720"/>
              </w:tabs>
              <w:jc w:val="both"/>
              <w:rPr>
                <w:b/>
              </w:rPr>
            </w:pPr>
            <w:r w:rsidRPr="00796EFB">
              <w:rPr>
                <w:b/>
                <w:bCs/>
                <w:color w:val="000000"/>
                <w:lang w:val="en-GB"/>
              </w:rPr>
              <w:t>Motion for an extension of time</w:t>
            </w:r>
          </w:p>
        </w:tc>
        <w:tc>
          <w:tcPr>
            <w:tcW w:w="1170" w:type="dxa"/>
          </w:tcPr>
          <w:p w:rsidR="00796EFB" w:rsidRPr="00796EFB" w:rsidRDefault="00796EFB" w:rsidP="00796EFB">
            <w:pPr>
              <w:tabs>
                <w:tab w:val="left" w:pos="-1440"/>
                <w:tab w:val="left" w:pos="-720"/>
              </w:tabs>
              <w:jc w:val="both"/>
            </w:pPr>
          </w:p>
          <w:p w:rsidR="00796EFB" w:rsidRPr="00796EFB" w:rsidRDefault="00796EFB" w:rsidP="00796EFB">
            <w:pPr>
              <w:tabs>
                <w:tab w:val="left" w:pos="-1440"/>
                <w:tab w:val="left" w:pos="-720"/>
              </w:tabs>
              <w:jc w:val="both"/>
            </w:pPr>
          </w:p>
        </w:tc>
        <w:tc>
          <w:tcPr>
            <w:tcW w:w="4327" w:type="dxa"/>
          </w:tcPr>
          <w:p w:rsidR="00796EFB" w:rsidRPr="00796EFB" w:rsidRDefault="00796EFB" w:rsidP="00796EFB">
            <w:pPr>
              <w:tabs>
                <w:tab w:val="left" w:pos="-1440"/>
                <w:tab w:val="left" w:pos="-720"/>
              </w:tabs>
              <w:jc w:val="both"/>
              <w:rPr>
                <w:lang w:val="fr-CA"/>
              </w:rPr>
            </w:pPr>
            <w:r w:rsidRPr="00796EFB">
              <w:rPr>
                <w:b/>
                <w:bCs/>
                <w:color w:val="000000"/>
                <w:lang w:val="fr-CA"/>
              </w:rPr>
              <w:t>Requête en prorogation de délai</w:t>
            </w:r>
            <w:r w:rsidRPr="00796EFB">
              <w:rPr>
                <w:szCs w:val="24"/>
                <w:lang w:val="fr-CA"/>
              </w:rPr>
              <w:t xml:space="preserve"> </w:t>
            </w:r>
            <w:r w:rsidR="000505AD" w:rsidRPr="00796EFB">
              <w:rPr>
                <w:szCs w:val="24"/>
                <w:lang w:val="en-US"/>
              </w:rPr>
              <w:fldChar w:fldCharType="begin"/>
            </w:r>
            <w:r w:rsidRPr="00796EFB">
              <w:rPr>
                <w:szCs w:val="24"/>
                <w:lang w:val="fr-CA"/>
              </w:rPr>
              <w:instrText xml:space="preserve"> SEQ CHAPTER \h \r 1</w:instrText>
            </w:r>
            <w:r w:rsidR="000505AD" w:rsidRPr="00796EFB">
              <w:rPr>
                <w:szCs w:val="24"/>
                <w:lang w:val="en-US"/>
              </w:rPr>
              <w:fldChar w:fldCharType="end"/>
            </w:r>
            <w:r w:rsidR="000505AD" w:rsidRPr="00796EFB">
              <w:rPr>
                <w:szCs w:val="24"/>
                <w:lang w:val="en-US"/>
              </w:rPr>
              <w:fldChar w:fldCharType="begin"/>
            </w:r>
            <w:r w:rsidRPr="00796EFB">
              <w:rPr>
                <w:szCs w:val="24"/>
                <w:lang w:val="fr-CA"/>
              </w:rPr>
              <w:instrText xml:space="preserve"> SEQ CHAPTER \h \r 1</w:instrText>
            </w:r>
            <w:r w:rsidR="000505AD" w:rsidRPr="00796EFB">
              <w:rPr>
                <w:szCs w:val="24"/>
                <w:lang w:val="en-US"/>
              </w:rPr>
              <w:fldChar w:fldCharType="end"/>
            </w:r>
          </w:p>
        </w:tc>
      </w:tr>
      <w:tr w:rsidR="00796EFB" w:rsidRPr="00796EFB" w:rsidTr="001A7F7C">
        <w:tc>
          <w:tcPr>
            <w:tcW w:w="4338" w:type="dxa"/>
          </w:tcPr>
          <w:p w:rsidR="00796EFB" w:rsidRPr="00796EFB" w:rsidRDefault="00796EFB" w:rsidP="00796EFB">
            <w:pPr>
              <w:tabs>
                <w:tab w:val="left" w:pos="-1440"/>
                <w:tab w:val="left" w:pos="-720"/>
              </w:tabs>
              <w:jc w:val="both"/>
            </w:pPr>
            <w:r w:rsidRPr="00796EFB">
              <w:t>Robert Meredith et al.</w:t>
            </w:r>
          </w:p>
          <w:p w:rsidR="00796EFB" w:rsidRPr="00796EFB" w:rsidRDefault="00796EFB" w:rsidP="00796EFB">
            <w:pPr>
              <w:tabs>
                <w:tab w:val="left" w:pos="-1440"/>
                <w:tab w:val="left" w:pos="-720"/>
              </w:tabs>
              <w:jc w:val="both"/>
            </w:pPr>
          </w:p>
          <w:p w:rsidR="00796EFB" w:rsidRPr="00796EFB" w:rsidRDefault="00796EFB" w:rsidP="00796EFB">
            <w:pPr>
              <w:tabs>
                <w:tab w:val="left" w:pos="-1440"/>
                <w:tab w:val="left" w:pos="-720"/>
              </w:tabs>
              <w:jc w:val="both"/>
            </w:pPr>
            <w:r w:rsidRPr="00796EFB">
              <w:tab/>
              <w:t>v. (35424)</w:t>
            </w:r>
          </w:p>
          <w:p w:rsidR="00796EFB" w:rsidRPr="00796EFB" w:rsidRDefault="00796EFB" w:rsidP="00796EFB">
            <w:pPr>
              <w:tabs>
                <w:tab w:val="left" w:pos="-1440"/>
                <w:tab w:val="left" w:pos="-720"/>
              </w:tabs>
              <w:jc w:val="both"/>
            </w:pPr>
          </w:p>
          <w:p w:rsidR="00796EFB" w:rsidRPr="00796EFB" w:rsidRDefault="00796EFB" w:rsidP="00796EFB">
            <w:pPr>
              <w:tabs>
                <w:tab w:val="left" w:pos="-1440"/>
                <w:tab w:val="left" w:pos="-720"/>
              </w:tabs>
              <w:jc w:val="both"/>
            </w:pPr>
            <w:r w:rsidRPr="00796EFB">
              <w:t>Attorney General of Canada (F.C.)</w:t>
            </w:r>
          </w:p>
        </w:tc>
        <w:tc>
          <w:tcPr>
            <w:tcW w:w="1170" w:type="dxa"/>
          </w:tcPr>
          <w:p w:rsidR="00796EFB" w:rsidRPr="00796EFB" w:rsidRDefault="00796EFB" w:rsidP="00796EFB">
            <w:pPr>
              <w:tabs>
                <w:tab w:val="left" w:pos="-1440"/>
                <w:tab w:val="left" w:pos="-720"/>
              </w:tabs>
              <w:jc w:val="both"/>
            </w:pPr>
          </w:p>
        </w:tc>
        <w:tc>
          <w:tcPr>
            <w:tcW w:w="4327" w:type="dxa"/>
          </w:tcPr>
          <w:p w:rsidR="00796EFB" w:rsidRPr="00796EFB" w:rsidRDefault="00796EFB" w:rsidP="00796EFB">
            <w:pPr>
              <w:tabs>
                <w:tab w:val="left" w:pos="-1440"/>
                <w:tab w:val="left" w:pos="-720"/>
              </w:tabs>
              <w:jc w:val="both"/>
            </w:pPr>
          </w:p>
        </w:tc>
      </w:tr>
    </w:tbl>
    <w:p w:rsidR="00796EFB" w:rsidRPr="00796EFB" w:rsidRDefault="00796EFB" w:rsidP="00796EFB">
      <w:pPr>
        <w:tabs>
          <w:tab w:val="left" w:pos="-1440"/>
          <w:tab w:val="left" w:pos="-720"/>
        </w:tabs>
        <w:jc w:val="both"/>
        <w:rPr>
          <w:rFonts w:eastAsia="Times New Roman" w:cs="Times New Roman"/>
          <w:sz w:val="20"/>
          <w:szCs w:val="20"/>
          <w:lang w:eastAsia="en-CA"/>
        </w:rPr>
      </w:pPr>
    </w:p>
    <w:p w:rsidR="00796EFB" w:rsidRPr="00796EFB" w:rsidRDefault="00796EFB" w:rsidP="00796EFB">
      <w:pPr>
        <w:tabs>
          <w:tab w:val="left" w:pos="-1440"/>
          <w:tab w:val="left" w:pos="-720"/>
        </w:tabs>
        <w:jc w:val="both"/>
        <w:rPr>
          <w:rFonts w:eastAsia="Times New Roman" w:cs="Times New Roman"/>
          <w:b/>
          <w:sz w:val="20"/>
          <w:szCs w:val="20"/>
          <w:lang w:eastAsia="en-CA"/>
        </w:rPr>
      </w:pPr>
      <w:r w:rsidRPr="00796EFB">
        <w:rPr>
          <w:rFonts w:eastAsia="Times New Roman" w:cs="Times New Roman"/>
          <w:b/>
          <w:sz w:val="20"/>
          <w:szCs w:val="20"/>
          <w:lang w:eastAsia="en-CA"/>
        </w:rPr>
        <w:t>GRANTED / ACCORDÉE</w:t>
      </w:r>
    </w:p>
    <w:p w:rsidR="00796EFB" w:rsidRPr="00796EFB" w:rsidRDefault="00796EFB" w:rsidP="00796EFB">
      <w:pPr>
        <w:tabs>
          <w:tab w:val="left" w:pos="-1440"/>
          <w:tab w:val="left" w:pos="-720"/>
        </w:tabs>
        <w:jc w:val="both"/>
        <w:rPr>
          <w:rFonts w:eastAsia="Times New Roman" w:cs="Times New Roman"/>
          <w:sz w:val="20"/>
          <w:szCs w:val="20"/>
          <w:lang w:eastAsia="en-CA"/>
        </w:rPr>
      </w:pPr>
    </w:p>
    <w:p w:rsidR="00796EFB" w:rsidRPr="00796EFB" w:rsidRDefault="00796EFB" w:rsidP="00796EFB">
      <w:pPr>
        <w:spacing w:line="233" w:lineRule="auto"/>
        <w:jc w:val="both"/>
        <w:rPr>
          <w:rFonts w:eastAsia="Times New Roman" w:cs="Times New Roman"/>
          <w:sz w:val="20"/>
          <w:szCs w:val="20"/>
          <w:lang w:eastAsia="en-CA"/>
        </w:rPr>
      </w:pPr>
      <w:r w:rsidRPr="00796EFB">
        <w:rPr>
          <w:rFonts w:eastAsia="Times New Roman" w:cs="Times New Roman"/>
          <w:b/>
          <w:sz w:val="20"/>
          <w:szCs w:val="20"/>
          <w:lang w:eastAsia="en-CA"/>
        </w:rPr>
        <w:t xml:space="preserve">UPON APPLICATION </w:t>
      </w:r>
      <w:r w:rsidRPr="00796EFB">
        <w:rPr>
          <w:rFonts w:eastAsia="Times New Roman" w:cs="Times New Roman"/>
          <w:sz w:val="20"/>
          <w:szCs w:val="20"/>
          <w:lang w:eastAsia="en-CA"/>
        </w:rPr>
        <w:t>by the appellants</w:t>
      </w:r>
      <w:r w:rsidRPr="00796EFB">
        <w:rPr>
          <w:rFonts w:eastAsia="Times New Roman" w:cs="Times New Roman"/>
          <w:b/>
          <w:sz w:val="20"/>
          <w:szCs w:val="20"/>
          <w:lang w:eastAsia="en-CA"/>
        </w:rPr>
        <w:t xml:space="preserve"> </w:t>
      </w:r>
      <w:r w:rsidRPr="00796EFB">
        <w:rPr>
          <w:rFonts w:eastAsia="Times New Roman" w:cs="Times New Roman"/>
          <w:sz w:val="20"/>
          <w:szCs w:val="20"/>
          <w:lang w:eastAsia="en-CA"/>
        </w:rPr>
        <w:t>for an extension of time to</w:t>
      </w:r>
      <w:r w:rsidRPr="00796EFB">
        <w:rPr>
          <w:rFonts w:eastAsia="Times New Roman" w:cs="Times New Roman"/>
          <w:b/>
          <w:sz w:val="20"/>
          <w:szCs w:val="20"/>
          <w:lang w:eastAsia="en-CA"/>
        </w:rPr>
        <w:t xml:space="preserve"> </w:t>
      </w:r>
      <w:r w:rsidRPr="00796EFB">
        <w:rPr>
          <w:rFonts w:eastAsia="Times New Roman" w:cs="Times New Roman"/>
          <w:sz w:val="20"/>
          <w:szCs w:val="20"/>
          <w:lang w:eastAsia="en-CA"/>
        </w:rPr>
        <w:t>serve and file the Notice of Constitutional Questions;</w:t>
      </w:r>
    </w:p>
    <w:p w:rsidR="00796EFB" w:rsidRPr="00796EFB" w:rsidRDefault="00796EFB" w:rsidP="00796EFB">
      <w:pPr>
        <w:spacing w:line="233" w:lineRule="auto"/>
        <w:jc w:val="both"/>
        <w:rPr>
          <w:rFonts w:eastAsia="Times New Roman" w:cs="Times New Roman"/>
          <w:b/>
          <w:sz w:val="20"/>
          <w:szCs w:val="20"/>
          <w:lang w:eastAsia="en-CA"/>
        </w:rPr>
      </w:pPr>
    </w:p>
    <w:p w:rsidR="00796EFB" w:rsidRPr="00796EFB" w:rsidRDefault="00796EFB" w:rsidP="00796EFB">
      <w:pPr>
        <w:spacing w:line="233" w:lineRule="auto"/>
        <w:jc w:val="both"/>
        <w:rPr>
          <w:rFonts w:eastAsia="Times New Roman" w:cs="Times New Roman"/>
          <w:sz w:val="20"/>
          <w:szCs w:val="20"/>
          <w:lang w:eastAsia="en-CA"/>
        </w:rPr>
      </w:pPr>
      <w:r w:rsidRPr="00796EFB">
        <w:rPr>
          <w:rFonts w:eastAsia="Times New Roman" w:cs="Times New Roman"/>
          <w:b/>
          <w:bCs/>
          <w:sz w:val="20"/>
          <w:szCs w:val="20"/>
          <w:lang w:eastAsia="en-CA"/>
        </w:rPr>
        <w:t>AND THE MATERIAL FILED</w:t>
      </w:r>
      <w:r w:rsidRPr="00796EFB">
        <w:rPr>
          <w:rFonts w:eastAsia="Times New Roman" w:cs="Times New Roman"/>
          <w:sz w:val="20"/>
          <w:szCs w:val="20"/>
          <w:lang w:eastAsia="en-CA"/>
        </w:rPr>
        <w:t xml:space="preserve"> having been read;</w:t>
      </w:r>
    </w:p>
    <w:p w:rsidR="00796EFB" w:rsidRPr="00796EFB" w:rsidRDefault="00796EFB" w:rsidP="00796EFB">
      <w:pPr>
        <w:spacing w:line="233" w:lineRule="auto"/>
        <w:jc w:val="both"/>
        <w:rPr>
          <w:rFonts w:eastAsia="Times New Roman" w:cs="Times New Roman"/>
          <w:sz w:val="20"/>
          <w:szCs w:val="20"/>
          <w:lang w:eastAsia="en-CA"/>
        </w:rPr>
      </w:pPr>
    </w:p>
    <w:p w:rsidR="00796EFB" w:rsidRPr="00796EFB" w:rsidRDefault="00796EFB" w:rsidP="00796EFB">
      <w:pPr>
        <w:spacing w:line="233" w:lineRule="auto"/>
        <w:jc w:val="both"/>
        <w:rPr>
          <w:rFonts w:eastAsia="Times New Roman" w:cs="Times New Roman"/>
          <w:b/>
          <w:bCs/>
          <w:sz w:val="20"/>
          <w:szCs w:val="20"/>
          <w:lang w:eastAsia="en-CA"/>
        </w:rPr>
      </w:pPr>
      <w:r w:rsidRPr="00796EFB">
        <w:rPr>
          <w:rFonts w:eastAsia="Times New Roman" w:cs="Times New Roman"/>
          <w:b/>
          <w:bCs/>
          <w:sz w:val="20"/>
          <w:szCs w:val="20"/>
          <w:lang w:eastAsia="en-CA"/>
        </w:rPr>
        <w:t>IT IS HEREBY ORDERED THAT:</w:t>
      </w:r>
    </w:p>
    <w:p w:rsidR="00796EFB" w:rsidRPr="00796EFB" w:rsidRDefault="00796EFB" w:rsidP="00796EFB">
      <w:pPr>
        <w:spacing w:line="233" w:lineRule="auto"/>
        <w:jc w:val="both"/>
        <w:rPr>
          <w:rFonts w:eastAsia="Times New Roman" w:cs="Times New Roman"/>
          <w:b/>
          <w:bCs/>
          <w:sz w:val="20"/>
          <w:szCs w:val="20"/>
          <w:lang w:eastAsia="en-CA"/>
        </w:rPr>
      </w:pPr>
    </w:p>
    <w:p w:rsidR="00796EFB" w:rsidRPr="00796EFB" w:rsidRDefault="00796EFB" w:rsidP="00796EFB">
      <w:pPr>
        <w:ind w:firstLine="720"/>
        <w:jc w:val="both"/>
        <w:rPr>
          <w:rFonts w:eastAsia="Times New Roman" w:cs="Times New Roman"/>
          <w:sz w:val="20"/>
          <w:szCs w:val="20"/>
          <w:lang w:val="fr-CA" w:eastAsia="en-CA"/>
        </w:rPr>
      </w:pPr>
      <w:r w:rsidRPr="00796EFB">
        <w:rPr>
          <w:rFonts w:eastAsia="Times New Roman" w:cs="Times New Roman"/>
          <w:sz w:val="20"/>
          <w:szCs w:val="20"/>
          <w:lang w:val="fr-CA" w:eastAsia="en-CA"/>
        </w:rPr>
        <w:t>The motion is granted. </w:t>
      </w:r>
    </w:p>
    <w:p w:rsidR="00796EFB" w:rsidRPr="00796EFB" w:rsidRDefault="00796EFB" w:rsidP="00796EFB">
      <w:pPr>
        <w:spacing w:line="233" w:lineRule="auto"/>
        <w:jc w:val="both"/>
        <w:rPr>
          <w:rFonts w:eastAsia="Times New Roman" w:cs="Times New Roman"/>
          <w:sz w:val="20"/>
          <w:szCs w:val="20"/>
          <w:lang w:val="fr-CA" w:eastAsia="en-CA"/>
        </w:rPr>
      </w:pPr>
    </w:p>
    <w:p w:rsidR="00796EFB" w:rsidRPr="00796EFB" w:rsidRDefault="00796EFB" w:rsidP="00796EFB">
      <w:pPr>
        <w:spacing w:line="233" w:lineRule="auto"/>
        <w:jc w:val="both"/>
        <w:rPr>
          <w:rFonts w:eastAsia="Times New Roman" w:cs="Times New Roman"/>
          <w:sz w:val="20"/>
          <w:szCs w:val="20"/>
          <w:lang w:val="fr-CA" w:eastAsia="en-CA"/>
        </w:rPr>
      </w:pPr>
    </w:p>
    <w:p w:rsidR="00796EFB" w:rsidRPr="00796EFB" w:rsidRDefault="00796EFB" w:rsidP="00796EFB">
      <w:pPr>
        <w:spacing w:line="233" w:lineRule="auto"/>
        <w:jc w:val="both"/>
        <w:rPr>
          <w:rFonts w:eastAsia="Times New Roman" w:cs="Times New Roman"/>
          <w:sz w:val="20"/>
          <w:szCs w:val="20"/>
          <w:lang w:val="fr-CA" w:eastAsia="en-CA"/>
        </w:rPr>
      </w:pPr>
    </w:p>
    <w:p w:rsidR="00796EFB" w:rsidRPr="00796EFB" w:rsidRDefault="00796EFB" w:rsidP="00796EFB">
      <w:pPr>
        <w:spacing w:line="233" w:lineRule="auto"/>
        <w:jc w:val="both"/>
        <w:rPr>
          <w:rFonts w:eastAsia="Times New Roman" w:cs="Times New Roman"/>
          <w:sz w:val="20"/>
          <w:szCs w:val="20"/>
          <w:lang w:val="fr-CA" w:eastAsia="en-CA"/>
        </w:rPr>
      </w:pPr>
      <w:r w:rsidRPr="00796EFB">
        <w:rPr>
          <w:rFonts w:eastAsia="Times New Roman" w:cs="Times New Roman"/>
          <w:b/>
          <w:sz w:val="20"/>
          <w:szCs w:val="20"/>
          <w:lang w:val="fr-CA" w:eastAsia="en-CA"/>
        </w:rPr>
        <w:t>À LA SUITE DE LA DEMANDE</w:t>
      </w:r>
      <w:r w:rsidRPr="00796EFB">
        <w:rPr>
          <w:rFonts w:eastAsia="Times New Roman" w:cs="Times New Roman"/>
          <w:sz w:val="20"/>
          <w:szCs w:val="20"/>
          <w:lang w:val="fr-CA" w:eastAsia="en-CA"/>
        </w:rPr>
        <w:t xml:space="preserve"> présentée par les appelants pour obtenir la prorogation du délai pour signifier et déposer l’avis de questions constitutionnelles;</w:t>
      </w:r>
    </w:p>
    <w:p w:rsidR="00796EFB" w:rsidRPr="00796EFB" w:rsidRDefault="00796EFB" w:rsidP="00796EFB">
      <w:pPr>
        <w:spacing w:line="233" w:lineRule="auto"/>
        <w:jc w:val="both"/>
        <w:rPr>
          <w:rFonts w:eastAsia="Times New Roman" w:cs="Times New Roman"/>
          <w:b/>
          <w:sz w:val="20"/>
          <w:szCs w:val="20"/>
          <w:lang w:val="fr-CA" w:eastAsia="en-CA"/>
        </w:rPr>
      </w:pPr>
    </w:p>
    <w:p w:rsidR="00796EFB" w:rsidRPr="00796EFB" w:rsidRDefault="00796EFB" w:rsidP="00796EFB">
      <w:pPr>
        <w:spacing w:line="233" w:lineRule="auto"/>
        <w:jc w:val="both"/>
        <w:rPr>
          <w:rFonts w:eastAsia="Times New Roman" w:cs="Times New Roman"/>
          <w:sz w:val="20"/>
          <w:szCs w:val="20"/>
          <w:lang w:val="fr-CA" w:eastAsia="en-CA"/>
        </w:rPr>
      </w:pPr>
      <w:r w:rsidRPr="00796EFB">
        <w:rPr>
          <w:rFonts w:eastAsia="Times New Roman" w:cs="Times New Roman"/>
          <w:b/>
          <w:bCs/>
          <w:sz w:val="20"/>
          <w:szCs w:val="20"/>
          <w:lang w:val="fr-CA" w:eastAsia="en-CA"/>
        </w:rPr>
        <w:t>ET APRÈS EXAMEN</w:t>
      </w:r>
      <w:r w:rsidRPr="00796EFB">
        <w:rPr>
          <w:rFonts w:eastAsia="Times New Roman" w:cs="Times New Roman"/>
          <w:sz w:val="20"/>
          <w:szCs w:val="20"/>
          <w:lang w:val="fr-CA" w:eastAsia="en-CA"/>
        </w:rPr>
        <w:t xml:space="preserve"> des documents déposés;</w:t>
      </w:r>
    </w:p>
    <w:p w:rsidR="00796EFB" w:rsidRPr="00796EFB" w:rsidRDefault="00796EFB" w:rsidP="00796EFB">
      <w:pPr>
        <w:spacing w:line="233" w:lineRule="auto"/>
        <w:jc w:val="both"/>
        <w:rPr>
          <w:rFonts w:eastAsia="Times New Roman" w:cs="Times New Roman"/>
          <w:sz w:val="20"/>
          <w:szCs w:val="20"/>
          <w:lang w:val="fr-CA" w:eastAsia="en-CA"/>
        </w:rPr>
      </w:pPr>
    </w:p>
    <w:p w:rsidR="00796EFB" w:rsidRPr="00796EFB" w:rsidRDefault="00796EFB" w:rsidP="00796EFB">
      <w:pPr>
        <w:spacing w:line="233" w:lineRule="auto"/>
        <w:jc w:val="both"/>
        <w:rPr>
          <w:rFonts w:eastAsia="Times New Roman" w:cs="Times New Roman"/>
          <w:b/>
          <w:bCs/>
          <w:sz w:val="20"/>
          <w:szCs w:val="20"/>
          <w:lang w:val="fr-CA" w:eastAsia="en-CA"/>
        </w:rPr>
      </w:pPr>
      <w:r w:rsidRPr="00796EFB">
        <w:rPr>
          <w:rFonts w:eastAsia="Times New Roman" w:cs="Times New Roman"/>
          <w:b/>
          <w:bCs/>
          <w:sz w:val="20"/>
          <w:szCs w:val="20"/>
          <w:lang w:val="fr-CA" w:eastAsia="en-CA"/>
        </w:rPr>
        <w:t>IL EST ORDONNÉ CE QUI SUIT :</w:t>
      </w:r>
    </w:p>
    <w:p w:rsidR="00796EFB" w:rsidRPr="00796EFB" w:rsidRDefault="00796EFB" w:rsidP="00796EFB">
      <w:pPr>
        <w:spacing w:line="233" w:lineRule="auto"/>
        <w:jc w:val="both"/>
        <w:rPr>
          <w:rFonts w:eastAsia="Times New Roman" w:cs="Times New Roman"/>
          <w:b/>
          <w:bCs/>
          <w:sz w:val="20"/>
          <w:szCs w:val="20"/>
          <w:lang w:val="fr-CA" w:eastAsia="en-CA"/>
        </w:rPr>
      </w:pPr>
    </w:p>
    <w:p w:rsidR="00796EFB" w:rsidRPr="00796EFB" w:rsidRDefault="00796EFB" w:rsidP="00796EFB">
      <w:pPr>
        <w:ind w:firstLine="720"/>
        <w:jc w:val="both"/>
        <w:rPr>
          <w:rFonts w:eastAsia="Times New Roman" w:cs="Times New Roman"/>
          <w:sz w:val="20"/>
          <w:szCs w:val="20"/>
          <w:lang w:val="fr-CA" w:eastAsia="en-CA"/>
        </w:rPr>
      </w:pPr>
      <w:r w:rsidRPr="00796EFB">
        <w:rPr>
          <w:rFonts w:eastAsia="Times New Roman" w:cs="Times New Roman"/>
          <w:sz w:val="20"/>
          <w:szCs w:val="20"/>
          <w:lang w:val="fr-CA" w:eastAsia="en-CA"/>
        </w:rPr>
        <w:t>La requête est accueillie. </w:t>
      </w:r>
    </w:p>
    <w:p w:rsidR="00796EFB" w:rsidRPr="00796EFB" w:rsidRDefault="00796EFB" w:rsidP="00796EFB">
      <w:pPr>
        <w:ind w:firstLine="720"/>
        <w:jc w:val="both"/>
        <w:rPr>
          <w:rFonts w:eastAsia="Times New Roman" w:cs="Times New Roman"/>
          <w:sz w:val="20"/>
          <w:szCs w:val="20"/>
          <w:lang w:val="fr-CA" w:eastAsia="en-CA"/>
        </w:rPr>
      </w:pPr>
    </w:p>
    <w:p w:rsidR="00796EFB" w:rsidRPr="00796EFB" w:rsidRDefault="00E672F1" w:rsidP="00796EFB">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60" style="width:2in;height:1pt" o:hrpct="0" o:hralign="center" o:hrstd="t" o:hrnoshade="t" o:hr="t" fillcolor="black [3213]" stroked="f"/>
        </w:pict>
      </w:r>
    </w:p>
    <w:p w:rsidR="00796EFB" w:rsidRPr="00796EFB" w:rsidRDefault="00796EFB" w:rsidP="00796EFB">
      <w:pPr>
        <w:tabs>
          <w:tab w:val="left" w:pos="-1440"/>
          <w:tab w:val="left" w:pos="-720"/>
        </w:tabs>
        <w:jc w:val="both"/>
        <w:rPr>
          <w:rFonts w:eastAsia="Times New Roman" w:cs="Times New Roman"/>
          <w:sz w:val="20"/>
          <w:szCs w:val="20"/>
          <w:lang w:val="fr-CA" w:eastAsia="en-CA"/>
        </w:rPr>
      </w:pPr>
    </w:p>
    <w:p w:rsidR="00796EFB" w:rsidRPr="00796EFB" w:rsidRDefault="00796EFB" w:rsidP="00796EFB">
      <w:pPr>
        <w:tabs>
          <w:tab w:val="left" w:pos="-1440"/>
          <w:tab w:val="left" w:pos="-720"/>
        </w:tabs>
        <w:jc w:val="both"/>
        <w:rPr>
          <w:rFonts w:eastAsia="Times New Roman" w:cs="Times New Roman"/>
          <w:sz w:val="20"/>
          <w:szCs w:val="20"/>
          <w:lang w:val="fr-CA" w:eastAsia="en-CA"/>
        </w:rPr>
      </w:pPr>
      <w:r w:rsidRPr="00796EFB">
        <w:rPr>
          <w:rFonts w:eastAsia="Times New Roman" w:cs="Times New Roman"/>
          <w:sz w:val="20"/>
          <w:szCs w:val="20"/>
          <w:lang w:val="fr-CA" w:eastAsia="en-CA"/>
        </w:rPr>
        <w:t>03.12.2013</w:t>
      </w:r>
    </w:p>
    <w:p w:rsidR="00796EFB" w:rsidRPr="00796EFB" w:rsidRDefault="00796EFB" w:rsidP="00796EFB">
      <w:pPr>
        <w:tabs>
          <w:tab w:val="left" w:pos="-1440"/>
          <w:tab w:val="left" w:pos="-720"/>
        </w:tabs>
        <w:jc w:val="both"/>
        <w:rPr>
          <w:rFonts w:eastAsia="Times New Roman" w:cs="Times New Roman"/>
          <w:sz w:val="20"/>
          <w:szCs w:val="20"/>
          <w:lang w:val="fr-CA" w:eastAsia="en-CA"/>
        </w:rPr>
      </w:pPr>
    </w:p>
    <w:p w:rsidR="00796EFB" w:rsidRPr="00796EFB" w:rsidRDefault="00796EFB" w:rsidP="00796EFB">
      <w:pPr>
        <w:tabs>
          <w:tab w:val="left" w:pos="-1440"/>
          <w:tab w:val="left" w:pos="-720"/>
        </w:tabs>
        <w:jc w:val="both"/>
        <w:rPr>
          <w:rFonts w:eastAsia="Times New Roman" w:cs="Times New Roman"/>
          <w:sz w:val="20"/>
          <w:szCs w:val="20"/>
          <w:lang w:val="fr-CA" w:eastAsia="en-CA"/>
        </w:rPr>
      </w:pPr>
      <w:r w:rsidRPr="00796EFB">
        <w:rPr>
          <w:rFonts w:eastAsia="Times New Roman" w:cs="Times New Roman"/>
          <w:sz w:val="20"/>
          <w:szCs w:val="20"/>
          <w:lang w:val="fr-CA" w:eastAsia="en-CA"/>
        </w:rPr>
        <w:t>Before / Devant :   WAGNER J. / LE JUGE WAGNER</w:t>
      </w:r>
    </w:p>
    <w:p w:rsidR="00796EFB" w:rsidRPr="00796EFB" w:rsidRDefault="00796EFB" w:rsidP="00796EFB">
      <w:pPr>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796EFB" w:rsidRPr="00796EFB" w:rsidTr="001A7F7C">
        <w:trPr>
          <w:trHeight w:val="151"/>
        </w:trPr>
        <w:tc>
          <w:tcPr>
            <w:tcW w:w="4338" w:type="dxa"/>
          </w:tcPr>
          <w:p w:rsidR="00796EFB" w:rsidRPr="00796EFB" w:rsidRDefault="000505AD" w:rsidP="00796EFB">
            <w:pPr>
              <w:tabs>
                <w:tab w:val="left" w:pos="-1440"/>
                <w:tab w:val="left" w:pos="-720"/>
              </w:tabs>
              <w:jc w:val="both"/>
              <w:rPr>
                <w:lang w:val="fr-CA"/>
              </w:rPr>
            </w:pPr>
            <w:r w:rsidRPr="00796EFB">
              <w:rPr>
                <w:lang w:val="en-US"/>
              </w:rPr>
              <w:fldChar w:fldCharType="begin"/>
            </w:r>
            <w:r w:rsidR="00796EFB" w:rsidRPr="00796EFB">
              <w:rPr>
                <w:lang w:val="fr-CA"/>
              </w:rPr>
              <w:instrText xml:space="preserve"> SEQ CHAPTER \h \r 1</w:instrText>
            </w:r>
            <w:r w:rsidRPr="00796EFB">
              <w:rPr>
                <w:lang w:val="en-US"/>
              </w:rPr>
              <w:fldChar w:fldCharType="end"/>
            </w:r>
            <w:r w:rsidR="00796EFB" w:rsidRPr="00796EFB">
              <w:rPr>
                <w:b/>
                <w:bCs/>
                <w:lang w:val="fr-CA"/>
              </w:rPr>
              <w:t>Miscellaneous motion</w:t>
            </w:r>
          </w:p>
          <w:p w:rsidR="00796EFB" w:rsidRPr="00796EFB" w:rsidRDefault="000505AD" w:rsidP="00796EFB">
            <w:pPr>
              <w:tabs>
                <w:tab w:val="left" w:pos="-1440"/>
                <w:tab w:val="left" w:pos="-720"/>
              </w:tabs>
              <w:jc w:val="both"/>
              <w:rPr>
                <w:lang w:val="fr-CA"/>
              </w:rPr>
            </w:pPr>
            <w:r w:rsidRPr="00796EFB">
              <w:rPr>
                <w:lang w:val="en-US"/>
              </w:rPr>
              <w:fldChar w:fldCharType="begin"/>
            </w:r>
            <w:r w:rsidR="00796EFB" w:rsidRPr="00796EFB">
              <w:rPr>
                <w:lang w:val="fr-CA"/>
              </w:rPr>
              <w:instrText xml:space="preserve"> SEQ CHAPTER \h \r 1</w:instrText>
            </w:r>
            <w:r w:rsidRPr="00796EFB">
              <w:rPr>
                <w:lang w:val="en-US"/>
              </w:rPr>
              <w:fldChar w:fldCharType="end"/>
            </w:r>
          </w:p>
        </w:tc>
        <w:tc>
          <w:tcPr>
            <w:tcW w:w="1170" w:type="dxa"/>
          </w:tcPr>
          <w:p w:rsidR="00796EFB" w:rsidRPr="00796EFB" w:rsidRDefault="00796EFB" w:rsidP="00796EFB">
            <w:pPr>
              <w:jc w:val="both"/>
              <w:rPr>
                <w:lang w:val="fr-CA"/>
              </w:rPr>
            </w:pPr>
          </w:p>
          <w:p w:rsidR="00796EFB" w:rsidRPr="00796EFB" w:rsidRDefault="00796EFB" w:rsidP="00796EFB">
            <w:pPr>
              <w:jc w:val="both"/>
              <w:rPr>
                <w:lang w:val="fr-CA"/>
              </w:rPr>
            </w:pPr>
          </w:p>
        </w:tc>
        <w:tc>
          <w:tcPr>
            <w:tcW w:w="4327" w:type="dxa"/>
          </w:tcPr>
          <w:p w:rsidR="00796EFB" w:rsidRPr="00796EFB" w:rsidRDefault="000505AD" w:rsidP="00796EFB">
            <w:pPr>
              <w:jc w:val="both"/>
              <w:rPr>
                <w:b/>
                <w:lang w:val="fr-CA"/>
              </w:rPr>
            </w:pPr>
            <w:r w:rsidRPr="00796EFB">
              <w:rPr>
                <w:lang w:val="en-US"/>
              </w:rPr>
              <w:fldChar w:fldCharType="begin"/>
            </w:r>
            <w:r w:rsidR="00796EFB" w:rsidRPr="00796EFB">
              <w:rPr>
                <w:lang w:val="fr-CA"/>
              </w:rPr>
              <w:instrText xml:space="preserve"> SEQ CHAPTER \h \r 1</w:instrText>
            </w:r>
            <w:r w:rsidRPr="00796EFB">
              <w:rPr>
                <w:lang w:val="en-US"/>
              </w:rPr>
              <w:fldChar w:fldCharType="end"/>
            </w:r>
            <w:r w:rsidR="00796EFB" w:rsidRPr="00796EFB">
              <w:rPr>
                <w:b/>
                <w:bCs/>
                <w:lang w:val="fr-CA"/>
              </w:rPr>
              <w:t>Requête diverse</w:t>
            </w:r>
          </w:p>
          <w:p w:rsidR="00796EFB" w:rsidRPr="00796EFB" w:rsidRDefault="000505AD" w:rsidP="00796EFB">
            <w:pPr>
              <w:jc w:val="both"/>
              <w:rPr>
                <w:b/>
                <w:lang w:val="fr-CA"/>
              </w:rPr>
            </w:pPr>
            <w:r w:rsidRPr="00796EFB">
              <w:rPr>
                <w:b/>
                <w:lang w:val="en-US"/>
              </w:rPr>
              <w:fldChar w:fldCharType="begin"/>
            </w:r>
            <w:r w:rsidR="00796EFB" w:rsidRPr="00796EFB">
              <w:rPr>
                <w:b/>
                <w:lang w:val="fr-CA"/>
              </w:rPr>
              <w:instrText xml:space="preserve"> SEQ CHAPTER \h \r 1</w:instrText>
            </w:r>
            <w:r w:rsidRPr="00796EFB">
              <w:rPr>
                <w:b/>
                <w:lang w:val="en-US"/>
              </w:rPr>
              <w:fldChar w:fldCharType="end"/>
            </w:r>
            <w:r w:rsidRPr="00796EFB">
              <w:rPr>
                <w:b/>
                <w:lang w:val="en-US"/>
              </w:rPr>
              <w:fldChar w:fldCharType="begin"/>
            </w:r>
            <w:r w:rsidR="00796EFB" w:rsidRPr="00796EFB">
              <w:rPr>
                <w:b/>
                <w:lang w:val="fr-CA"/>
              </w:rPr>
              <w:instrText xml:space="preserve"> SEQ CHAPTER \h \r 1</w:instrText>
            </w:r>
            <w:r w:rsidRPr="00796EFB">
              <w:rPr>
                <w:b/>
                <w:lang w:val="en-US"/>
              </w:rPr>
              <w:fldChar w:fldCharType="end"/>
            </w:r>
          </w:p>
        </w:tc>
      </w:tr>
      <w:tr w:rsidR="00796EFB" w:rsidRPr="00796EFB" w:rsidTr="001A7F7C">
        <w:trPr>
          <w:trHeight w:val="150"/>
        </w:trPr>
        <w:tc>
          <w:tcPr>
            <w:tcW w:w="4338" w:type="dxa"/>
          </w:tcPr>
          <w:p w:rsidR="00796EFB" w:rsidRPr="00796EFB" w:rsidRDefault="00796EFB" w:rsidP="00796EFB">
            <w:pPr>
              <w:tabs>
                <w:tab w:val="left" w:pos="-1440"/>
                <w:tab w:val="left" w:pos="-720"/>
              </w:tabs>
              <w:jc w:val="both"/>
            </w:pPr>
            <w:r w:rsidRPr="00796EFB">
              <w:t>Brother Kornelis Klevering</w:t>
            </w:r>
          </w:p>
          <w:p w:rsidR="00796EFB" w:rsidRPr="00796EFB" w:rsidRDefault="00796EFB" w:rsidP="00796EFB">
            <w:pPr>
              <w:tabs>
                <w:tab w:val="left" w:pos="-1440"/>
                <w:tab w:val="left" w:pos="-720"/>
              </w:tabs>
              <w:jc w:val="both"/>
            </w:pPr>
          </w:p>
          <w:p w:rsidR="00796EFB" w:rsidRPr="00796EFB" w:rsidRDefault="00796EFB" w:rsidP="00796EFB">
            <w:pPr>
              <w:tabs>
                <w:tab w:val="left" w:pos="-1440"/>
                <w:tab w:val="left" w:pos="-720"/>
              </w:tabs>
              <w:jc w:val="both"/>
            </w:pPr>
            <w:r w:rsidRPr="00796EFB">
              <w:tab/>
              <w:t>v. (35620)</w:t>
            </w:r>
          </w:p>
          <w:p w:rsidR="00796EFB" w:rsidRPr="00796EFB" w:rsidRDefault="00796EFB" w:rsidP="00796EFB">
            <w:pPr>
              <w:tabs>
                <w:tab w:val="left" w:pos="-1440"/>
                <w:tab w:val="left" w:pos="-720"/>
              </w:tabs>
              <w:jc w:val="both"/>
            </w:pPr>
          </w:p>
          <w:p w:rsidR="00796EFB" w:rsidRPr="00796EFB" w:rsidRDefault="00796EFB" w:rsidP="00796EFB">
            <w:pPr>
              <w:tabs>
                <w:tab w:val="left" w:pos="-1440"/>
                <w:tab w:val="left" w:pos="-720"/>
              </w:tabs>
              <w:jc w:val="both"/>
            </w:pPr>
            <w:r w:rsidRPr="00796EFB">
              <w:t>Attorney General of Canada et al. (F.C.)</w:t>
            </w:r>
          </w:p>
        </w:tc>
        <w:tc>
          <w:tcPr>
            <w:tcW w:w="1170" w:type="dxa"/>
          </w:tcPr>
          <w:p w:rsidR="00796EFB" w:rsidRPr="00796EFB" w:rsidRDefault="00796EFB" w:rsidP="00796EFB">
            <w:pPr>
              <w:jc w:val="both"/>
            </w:pPr>
          </w:p>
        </w:tc>
        <w:tc>
          <w:tcPr>
            <w:tcW w:w="4327" w:type="dxa"/>
          </w:tcPr>
          <w:p w:rsidR="00796EFB" w:rsidRPr="00796EFB" w:rsidRDefault="00796EFB" w:rsidP="00796EFB">
            <w:pPr>
              <w:jc w:val="both"/>
            </w:pPr>
          </w:p>
        </w:tc>
      </w:tr>
    </w:tbl>
    <w:p w:rsidR="00796EFB" w:rsidRPr="00796EFB" w:rsidRDefault="00796EFB" w:rsidP="00796EFB">
      <w:pPr>
        <w:tabs>
          <w:tab w:val="left" w:pos="-1440"/>
          <w:tab w:val="left" w:pos="-720"/>
        </w:tabs>
        <w:jc w:val="both"/>
        <w:rPr>
          <w:rFonts w:eastAsia="Times New Roman" w:cs="Times New Roman"/>
          <w:sz w:val="20"/>
          <w:szCs w:val="20"/>
          <w:lang w:eastAsia="en-CA"/>
        </w:rPr>
      </w:pPr>
    </w:p>
    <w:p w:rsidR="00796EFB" w:rsidRPr="00796EFB" w:rsidRDefault="00796EFB" w:rsidP="00796EFB">
      <w:pPr>
        <w:tabs>
          <w:tab w:val="left" w:pos="-1440"/>
          <w:tab w:val="left" w:pos="-720"/>
        </w:tabs>
        <w:jc w:val="both"/>
        <w:rPr>
          <w:rFonts w:eastAsia="Times New Roman" w:cs="Times New Roman"/>
          <w:sz w:val="20"/>
          <w:szCs w:val="20"/>
          <w:lang w:eastAsia="en-CA"/>
        </w:rPr>
      </w:pPr>
      <w:r w:rsidRPr="00796EFB">
        <w:rPr>
          <w:rFonts w:eastAsia="Times New Roman" w:cs="Times New Roman"/>
          <w:b/>
          <w:sz w:val="20"/>
          <w:szCs w:val="20"/>
          <w:lang w:eastAsia="en-CA"/>
        </w:rPr>
        <w:t>DISMISSED / REJETÉE</w:t>
      </w:r>
    </w:p>
    <w:p w:rsidR="00796EFB" w:rsidRPr="00796EFB" w:rsidRDefault="00796EFB" w:rsidP="00796EFB">
      <w:pPr>
        <w:tabs>
          <w:tab w:val="left" w:pos="-1440"/>
          <w:tab w:val="left" w:pos="-720"/>
        </w:tabs>
        <w:jc w:val="both"/>
        <w:rPr>
          <w:rFonts w:eastAsia="Times New Roman" w:cs="Times New Roman"/>
          <w:sz w:val="20"/>
          <w:szCs w:val="20"/>
          <w:lang w:eastAsia="en-CA"/>
        </w:rPr>
      </w:pPr>
    </w:p>
    <w:p w:rsidR="00796EFB" w:rsidRPr="00796EFB" w:rsidRDefault="00796EFB" w:rsidP="00796EFB">
      <w:pPr>
        <w:jc w:val="both"/>
        <w:rPr>
          <w:rFonts w:eastAsia="Times New Roman" w:cs="Times New Roman"/>
          <w:sz w:val="20"/>
          <w:szCs w:val="20"/>
          <w:lang w:val="en-US" w:eastAsia="en-CA"/>
        </w:rPr>
      </w:pPr>
      <w:r w:rsidRPr="00796EFB">
        <w:rPr>
          <w:rFonts w:eastAsia="Times New Roman" w:cs="Times New Roman"/>
          <w:b/>
          <w:sz w:val="20"/>
          <w:szCs w:val="20"/>
          <w:lang w:val="en-US" w:eastAsia="en-CA"/>
        </w:rPr>
        <w:t>UPON APPLICATION</w:t>
      </w:r>
      <w:r w:rsidRPr="00796EFB">
        <w:rPr>
          <w:rFonts w:eastAsia="Times New Roman" w:cs="Times New Roman"/>
          <w:sz w:val="20"/>
          <w:szCs w:val="20"/>
          <w:lang w:val="en-US" w:eastAsia="en-CA"/>
        </w:rPr>
        <w:t xml:space="preserve"> of the applicant pursuant to Rule 78(1) of the </w:t>
      </w:r>
      <w:r w:rsidRPr="00796EFB">
        <w:rPr>
          <w:rFonts w:eastAsia="Times New Roman" w:cs="Times New Roman"/>
          <w:i/>
          <w:sz w:val="20"/>
          <w:szCs w:val="20"/>
          <w:lang w:val="en-US" w:eastAsia="en-CA"/>
        </w:rPr>
        <w:t>Rules of the Supreme Court of Canada</w:t>
      </w:r>
      <w:r w:rsidRPr="00796EFB">
        <w:rPr>
          <w:rFonts w:eastAsia="Times New Roman" w:cs="Times New Roman"/>
          <w:sz w:val="20"/>
          <w:szCs w:val="20"/>
          <w:lang w:val="en-US" w:eastAsia="en-CA"/>
        </w:rPr>
        <w:t xml:space="preserve"> for an order allowing the filing of the appellant’s Notice of Appeal, setting a date for when written material may be submitted and the time for when a full hearing of the appeal may be held or such further and other order that the said judge may deem appropriate;</w:t>
      </w:r>
    </w:p>
    <w:p w:rsidR="00796EFB" w:rsidRPr="00796EFB" w:rsidRDefault="00796EFB" w:rsidP="00796EFB">
      <w:pPr>
        <w:jc w:val="both"/>
        <w:rPr>
          <w:rFonts w:eastAsia="Times New Roman" w:cs="Times New Roman"/>
          <w:sz w:val="20"/>
          <w:szCs w:val="20"/>
          <w:lang w:val="en-US" w:eastAsia="en-CA"/>
        </w:rPr>
      </w:pPr>
    </w:p>
    <w:p w:rsidR="00796EFB" w:rsidRDefault="00796EFB">
      <w:pPr>
        <w:rPr>
          <w:rFonts w:eastAsia="Times New Roman" w:cs="Times New Roman"/>
          <w:b/>
          <w:sz w:val="20"/>
          <w:szCs w:val="20"/>
          <w:lang w:val="en-US" w:eastAsia="en-CA"/>
        </w:rPr>
      </w:pPr>
      <w:r>
        <w:rPr>
          <w:rFonts w:eastAsia="Times New Roman" w:cs="Times New Roman"/>
          <w:b/>
          <w:sz w:val="20"/>
          <w:szCs w:val="20"/>
          <w:lang w:val="en-US" w:eastAsia="en-CA"/>
        </w:rPr>
        <w:lastRenderedPageBreak/>
        <w:br w:type="page"/>
      </w:r>
    </w:p>
    <w:p w:rsidR="00796EFB" w:rsidRPr="00796EFB" w:rsidRDefault="00796EFB" w:rsidP="00796EFB">
      <w:pPr>
        <w:jc w:val="both"/>
        <w:rPr>
          <w:rFonts w:eastAsia="Times New Roman" w:cs="Times New Roman"/>
          <w:b/>
          <w:sz w:val="20"/>
          <w:szCs w:val="20"/>
          <w:lang w:val="en-US" w:eastAsia="en-CA"/>
        </w:rPr>
      </w:pPr>
      <w:r w:rsidRPr="00796EFB">
        <w:rPr>
          <w:rFonts w:eastAsia="Times New Roman" w:cs="Times New Roman"/>
          <w:b/>
          <w:sz w:val="20"/>
          <w:szCs w:val="20"/>
          <w:lang w:val="en-US" w:eastAsia="en-CA"/>
        </w:rPr>
        <w:lastRenderedPageBreak/>
        <w:t>IT IS HEREBY ORDERED THAT:</w:t>
      </w:r>
    </w:p>
    <w:p w:rsidR="00796EFB" w:rsidRPr="00796EFB" w:rsidRDefault="00796EFB" w:rsidP="00796EFB">
      <w:pPr>
        <w:jc w:val="both"/>
        <w:rPr>
          <w:rFonts w:eastAsia="Times New Roman" w:cs="Times New Roman"/>
          <w:sz w:val="20"/>
          <w:szCs w:val="20"/>
          <w:lang w:val="en-US" w:eastAsia="en-CA"/>
        </w:rPr>
      </w:pPr>
    </w:p>
    <w:p w:rsidR="00796EFB" w:rsidRPr="00796EFB" w:rsidRDefault="00796EFB" w:rsidP="00796EFB">
      <w:pPr>
        <w:ind w:left="360"/>
        <w:jc w:val="both"/>
        <w:rPr>
          <w:rFonts w:eastAsia="Times New Roman" w:cs="Times New Roman"/>
          <w:sz w:val="20"/>
          <w:szCs w:val="20"/>
          <w:lang w:val="fr-CA" w:eastAsia="en-CA"/>
        </w:rPr>
      </w:pPr>
      <w:r w:rsidRPr="00796EFB">
        <w:rPr>
          <w:rFonts w:eastAsia="Times New Roman" w:cs="Times New Roman"/>
          <w:sz w:val="20"/>
          <w:szCs w:val="20"/>
          <w:lang w:val="fr-CA" w:eastAsia="en-CA"/>
        </w:rPr>
        <w:t>The motion is dismissed.</w:t>
      </w:r>
    </w:p>
    <w:p w:rsidR="00796EFB" w:rsidRPr="00796EFB" w:rsidRDefault="00796EFB" w:rsidP="00796EFB">
      <w:pPr>
        <w:jc w:val="both"/>
        <w:rPr>
          <w:rFonts w:eastAsia="Times New Roman" w:cs="Times New Roman"/>
          <w:sz w:val="20"/>
          <w:szCs w:val="20"/>
          <w:lang w:val="fr-CA" w:eastAsia="en-CA"/>
        </w:rPr>
      </w:pPr>
    </w:p>
    <w:p w:rsidR="00796EFB" w:rsidRPr="00796EFB" w:rsidRDefault="00796EFB" w:rsidP="00796EFB">
      <w:pPr>
        <w:jc w:val="both"/>
        <w:rPr>
          <w:rFonts w:eastAsia="Times New Roman" w:cs="Times New Roman"/>
          <w:sz w:val="20"/>
          <w:szCs w:val="20"/>
          <w:lang w:val="fr-CA" w:eastAsia="en-CA"/>
        </w:rPr>
      </w:pPr>
    </w:p>
    <w:p w:rsidR="00796EFB" w:rsidRPr="00796EFB" w:rsidRDefault="00796EFB" w:rsidP="00796EFB">
      <w:pPr>
        <w:jc w:val="both"/>
        <w:rPr>
          <w:rFonts w:eastAsia="Times New Roman" w:cs="Times New Roman"/>
          <w:sz w:val="20"/>
          <w:szCs w:val="20"/>
          <w:lang w:val="fr-CA" w:eastAsia="en-CA"/>
        </w:rPr>
      </w:pPr>
    </w:p>
    <w:p w:rsidR="00796EFB" w:rsidRPr="00796EFB" w:rsidRDefault="00796EFB" w:rsidP="00796EFB">
      <w:pPr>
        <w:jc w:val="both"/>
        <w:rPr>
          <w:rFonts w:eastAsia="Times New Roman" w:cs="Times New Roman"/>
          <w:sz w:val="20"/>
          <w:szCs w:val="20"/>
          <w:lang w:val="fr-CA" w:eastAsia="en-CA"/>
        </w:rPr>
      </w:pPr>
      <w:r w:rsidRPr="00796EFB">
        <w:rPr>
          <w:rFonts w:eastAsia="Times New Roman" w:cs="Times New Roman"/>
          <w:b/>
          <w:sz w:val="20"/>
          <w:szCs w:val="20"/>
          <w:lang w:val="fr-CA" w:eastAsia="en-CA"/>
        </w:rPr>
        <w:t>À LA SUITE D’UNE REQUÊTE</w:t>
      </w:r>
      <w:r w:rsidRPr="00796EFB">
        <w:rPr>
          <w:rFonts w:eastAsia="Times New Roman" w:cs="Times New Roman"/>
          <w:sz w:val="20"/>
          <w:szCs w:val="20"/>
          <w:lang w:val="fr-CA" w:eastAsia="en-CA"/>
        </w:rPr>
        <w:t xml:space="preserve"> du demandeur fondée sur le par. 78(1) des </w:t>
      </w:r>
      <w:r w:rsidRPr="00796EFB">
        <w:rPr>
          <w:rFonts w:eastAsia="Times New Roman" w:cs="Times New Roman"/>
          <w:i/>
          <w:sz w:val="20"/>
          <w:szCs w:val="20"/>
          <w:lang w:val="fr-CA" w:eastAsia="en-CA"/>
        </w:rPr>
        <w:t>Règles de la Cour suprême du Canada</w:t>
      </w:r>
      <w:r w:rsidRPr="00796EFB">
        <w:rPr>
          <w:rFonts w:eastAsia="Times New Roman" w:cs="Times New Roman"/>
          <w:sz w:val="20"/>
          <w:szCs w:val="20"/>
          <w:lang w:val="fr-CA" w:eastAsia="en-CA"/>
        </w:rPr>
        <w:t xml:space="preserve"> visant à obtenir une ordonnance autorisant le dépôt de l’avis d’appel et fixant une date pour le dépôt des documents et l’audition de l’appel, ou toute autre ordonnance que le juge pourra estimer appropriée;</w:t>
      </w:r>
    </w:p>
    <w:p w:rsidR="00796EFB" w:rsidRPr="00796EFB" w:rsidRDefault="00796EFB" w:rsidP="00796EFB">
      <w:pPr>
        <w:jc w:val="both"/>
        <w:rPr>
          <w:rFonts w:eastAsia="Times New Roman" w:cs="Times New Roman"/>
          <w:sz w:val="20"/>
          <w:szCs w:val="20"/>
          <w:lang w:val="fr-CA" w:eastAsia="en-CA"/>
        </w:rPr>
      </w:pPr>
    </w:p>
    <w:p w:rsidR="00796EFB" w:rsidRPr="00796EFB" w:rsidRDefault="00796EFB" w:rsidP="00796EFB">
      <w:pPr>
        <w:jc w:val="both"/>
        <w:rPr>
          <w:rFonts w:eastAsia="Times New Roman" w:cs="Times New Roman"/>
          <w:b/>
          <w:sz w:val="20"/>
          <w:szCs w:val="20"/>
          <w:lang w:val="fr-CA" w:eastAsia="en-CA"/>
        </w:rPr>
      </w:pPr>
      <w:r w:rsidRPr="00796EFB">
        <w:rPr>
          <w:rFonts w:eastAsia="Times New Roman" w:cs="Times New Roman"/>
          <w:b/>
          <w:sz w:val="20"/>
          <w:szCs w:val="20"/>
          <w:lang w:val="fr-CA" w:eastAsia="en-CA"/>
        </w:rPr>
        <w:t>IL EST ORDONNÉ CE QUI SUIT :</w:t>
      </w:r>
    </w:p>
    <w:p w:rsidR="00796EFB" w:rsidRPr="00796EFB" w:rsidRDefault="00796EFB" w:rsidP="00796EFB">
      <w:pPr>
        <w:jc w:val="both"/>
        <w:rPr>
          <w:rFonts w:eastAsia="Times New Roman" w:cs="Times New Roman"/>
          <w:sz w:val="20"/>
          <w:szCs w:val="20"/>
          <w:lang w:val="fr-CA" w:eastAsia="en-CA"/>
        </w:rPr>
      </w:pPr>
    </w:p>
    <w:p w:rsidR="00796EFB" w:rsidRPr="00796EFB" w:rsidRDefault="00796EFB" w:rsidP="00796EFB">
      <w:pPr>
        <w:ind w:left="360"/>
        <w:jc w:val="both"/>
        <w:rPr>
          <w:rFonts w:eastAsia="Times New Roman" w:cs="Times New Roman"/>
          <w:sz w:val="20"/>
          <w:szCs w:val="20"/>
          <w:lang w:val="fr-CA" w:eastAsia="en-CA"/>
        </w:rPr>
      </w:pPr>
      <w:r w:rsidRPr="00796EFB">
        <w:rPr>
          <w:rFonts w:eastAsia="Times New Roman" w:cs="Times New Roman"/>
          <w:sz w:val="20"/>
          <w:szCs w:val="20"/>
          <w:lang w:val="fr-CA" w:eastAsia="en-CA"/>
        </w:rPr>
        <w:t>La requête est rejetée.</w:t>
      </w:r>
    </w:p>
    <w:p w:rsidR="00796EFB" w:rsidRPr="00796EFB" w:rsidRDefault="00796EFB" w:rsidP="00796EFB">
      <w:pPr>
        <w:tabs>
          <w:tab w:val="left" w:pos="-1440"/>
          <w:tab w:val="left" w:pos="-720"/>
        </w:tabs>
        <w:jc w:val="both"/>
        <w:rPr>
          <w:rFonts w:eastAsia="Times New Roman" w:cs="Times New Roman"/>
          <w:sz w:val="20"/>
          <w:szCs w:val="20"/>
          <w:lang w:val="fr-CA" w:eastAsia="en-CA"/>
        </w:rPr>
      </w:pPr>
    </w:p>
    <w:p w:rsidR="00796EFB" w:rsidRPr="00796EFB" w:rsidRDefault="00E672F1" w:rsidP="00796EFB">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61" style="width:2in;height:1pt" o:hrpct="0" o:hralign="center" o:hrstd="t" o:hrnoshade="t" o:hr="t" fillcolor="black [3213]" stroked="f"/>
        </w:pict>
      </w:r>
    </w:p>
    <w:p w:rsidR="00796EFB" w:rsidRPr="00796EFB" w:rsidRDefault="00796EFB" w:rsidP="00796EFB">
      <w:pPr>
        <w:tabs>
          <w:tab w:val="left" w:pos="-1440"/>
          <w:tab w:val="left" w:pos="-720"/>
        </w:tabs>
        <w:jc w:val="both"/>
        <w:rPr>
          <w:rFonts w:eastAsia="Times New Roman" w:cs="Times New Roman"/>
          <w:sz w:val="20"/>
          <w:szCs w:val="20"/>
          <w:lang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52"/>
          <w:headerReference w:type="default" r:id="rId53"/>
          <w:footerReference w:type="even" r:id="rId54"/>
          <w:footerReference w:type="default" r:id="rId55"/>
          <w:headerReference w:type="first" r:id="rId56"/>
          <w:footerReference w:type="first" r:id="rId5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E672F1"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32DB7" w:rsidRPr="00FC7239" w:rsidRDefault="00FC7239" w:rsidP="00732DB7">
      <w:pPr>
        <w:widowControl w:val="0"/>
        <w:rPr>
          <w:sz w:val="20"/>
          <w:szCs w:val="20"/>
          <w:lang w:val="fr-CA"/>
        </w:rPr>
      </w:pPr>
      <w:r w:rsidRPr="00FC7239">
        <w:rPr>
          <w:sz w:val="20"/>
          <w:szCs w:val="20"/>
          <w:lang w:val="fr-CA"/>
        </w:rPr>
        <w:t>06</w:t>
      </w:r>
      <w:r w:rsidR="00732DB7" w:rsidRPr="00FC7239">
        <w:rPr>
          <w:sz w:val="20"/>
          <w:szCs w:val="20"/>
          <w:lang w:val="fr-CA"/>
        </w:rPr>
        <w:t>.</w:t>
      </w:r>
      <w:r w:rsidRPr="00FC7239">
        <w:rPr>
          <w:sz w:val="20"/>
          <w:szCs w:val="20"/>
          <w:lang w:val="fr-CA"/>
        </w:rPr>
        <w:t>12</w:t>
      </w:r>
      <w:r w:rsidR="00732DB7" w:rsidRPr="00FC7239">
        <w:rPr>
          <w:sz w:val="20"/>
          <w:szCs w:val="20"/>
          <w:lang w:val="fr-CA"/>
        </w:rPr>
        <w:t>.201</w:t>
      </w:r>
      <w:r w:rsidRPr="00FC7239">
        <w:rPr>
          <w:sz w:val="20"/>
          <w:szCs w:val="20"/>
          <w:lang w:val="fr-CA"/>
        </w:rPr>
        <w:t>3</w:t>
      </w:r>
    </w:p>
    <w:p w:rsidR="00732DB7" w:rsidRPr="00FC7239" w:rsidRDefault="00732DB7" w:rsidP="00732DB7">
      <w:pPr>
        <w:widowControl w:val="0"/>
        <w:rPr>
          <w:sz w:val="20"/>
          <w:szCs w:val="20"/>
          <w:lang w:val="fr-CA"/>
        </w:rPr>
      </w:pPr>
    </w:p>
    <w:p w:rsidR="00FC7239" w:rsidRPr="00C00730" w:rsidRDefault="00FC7239" w:rsidP="00FC7239">
      <w:pPr>
        <w:widowControl w:val="0"/>
        <w:ind w:left="720" w:hanging="720"/>
        <w:rPr>
          <w:sz w:val="20"/>
          <w:szCs w:val="20"/>
          <w:u w:val="single"/>
          <w:lang w:val="fr-CA"/>
        </w:rPr>
      </w:pPr>
      <w:r w:rsidRPr="00C00730">
        <w:rPr>
          <w:sz w:val="20"/>
          <w:szCs w:val="20"/>
          <w:lang w:val="fr-CA"/>
        </w:rPr>
        <w:t xml:space="preserve">Coram: </w:t>
      </w:r>
      <w:r w:rsidRPr="00C00730">
        <w:rPr>
          <w:sz w:val="20"/>
          <w:szCs w:val="20"/>
          <w:lang w:val="fr-CA"/>
        </w:rPr>
        <w:tab/>
      </w:r>
      <w:r w:rsidRPr="00C00730">
        <w:rPr>
          <w:sz w:val="20"/>
          <w:szCs w:val="20"/>
          <w:u w:val="single"/>
          <w:lang w:val="fr-CA"/>
        </w:rPr>
        <w:t xml:space="preserve">La juge en chef McLachlin et les juges LeBel, Abella, Rothstein, Cromwell, Karakatsanis et Wagner </w:t>
      </w:r>
    </w:p>
    <w:p w:rsidR="00732DB7" w:rsidRPr="00276DE5" w:rsidRDefault="00732DB7" w:rsidP="00732DB7">
      <w:pPr>
        <w:widowControl w:val="0"/>
        <w:rPr>
          <w:b/>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32DB7" w:rsidRPr="00C50A5C" w:rsidTr="00697C62">
        <w:tc>
          <w:tcPr>
            <w:tcW w:w="4380" w:type="dxa"/>
            <w:tcMar>
              <w:left w:w="0" w:type="dxa"/>
              <w:right w:w="0" w:type="dxa"/>
            </w:tcMar>
          </w:tcPr>
          <w:p w:rsidR="00FC7239" w:rsidRDefault="00FC7239" w:rsidP="00FC7239">
            <w:pPr>
              <w:widowControl w:val="0"/>
              <w:rPr>
                <w:b/>
                <w:sz w:val="20"/>
                <w:szCs w:val="20"/>
                <w:lang w:val="fr-CA"/>
              </w:rPr>
            </w:pPr>
            <w:r w:rsidRPr="00FC7239">
              <w:rPr>
                <w:b/>
                <w:sz w:val="20"/>
                <w:szCs w:val="20"/>
                <w:lang w:val="fr-CA"/>
              </w:rPr>
              <w:t xml:space="preserve">Travailleurs et travailleuses de l’alimentation et du commerce, section locale 503 </w:t>
            </w:r>
          </w:p>
          <w:p w:rsidR="00FC7239" w:rsidRDefault="00FC7239" w:rsidP="00FC7239">
            <w:pPr>
              <w:widowControl w:val="0"/>
              <w:rPr>
                <w:b/>
                <w:sz w:val="20"/>
                <w:szCs w:val="20"/>
                <w:lang w:val="fr-CA"/>
              </w:rPr>
            </w:pPr>
          </w:p>
          <w:p w:rsidR="00FC7239" w:rsidRDefault="00FC7239" w:rsidP="00FC7239">
            <w:pPr>
              <w:widowControl w:val="0"/>
              <w:rPr>
                <w:b/>
                <w:sz w:val="20"/>
                <w:szCs w:val="20"/>
                <w:lang w:val="fr-CA"/>
              </w:rPr>
            </w:pPr>
            <w:r>
              <w:rPr>
                <w:b/>
                <w:sz w:val="20"/>
                <w:szCs w:val="20"/>
                <w:lang w:val="fr-CA"/>
              </w:rPr>
              <w:tab/>
            </w:r>
            <w:r w:rsidRPr="00FC7239">
              <w:rPr>
                <w:b/>
                <w:sz w:val="20"/>
                <w:szCs w:val="20"/>
                <w:lang w:val="fr-CA"/>
              </w:rPr>
              <w:t xml:space="preserve">c. </w:t>
            </w:r>
            <w:r w:rsidRPr="00C00730">
              <w:rPr>
                <w:sz w:val="20"/>
                <w:szCs w:val="20"/>
                <w:lang w:val="fr-CA"/>
              </w:rPr>
              <w:t>(</w:t>
            </w:r>
            <w:hyperlink r:id="rId58" w:history="1">
              <w:r w:rsidRPr="00C00730">
                <w:rPr>
                  <w:rStyle w:val="Hyperlink"/>
                  <w:sz w:val="20"/>
                  <w:szCs w:val="20"/>
                  <w:lang w:val="fr-CA"/>
                </w:rPr>
                <w:t>34920</w:t>
              </w:r>
            </w:hyperlink>
            <w:r w:rsidRPr="00C00730">
              <w:rPr>
                <w:sz w:val="20"/>
                <w:szCs w:val="20"/>
                <w:lang w:val="fr-CA"/>
              </w:rPr>
              <w:t>)</w:t>
            </w:r>
          </w:p>
          <w:p w:rsidR="00FC7239" w:rsidRDefault="00FC7239" w:rsidP="00FC7239">
            <w:pPr>
              <w:widowControl w:val="0"/>
              <w:rPr>
                <w:b/>
                <w:sz w:val="20"/>
                <w:szCs w:val="20"/>
                <w:lang w:val="fr-CA"/>
              </w:rPr>
            </w:pPr>
          </w:p>
          <w:p w:rsidR="00732DB7" w:rsidRPr="00C50A5C" w:rsidRDefault="00FC7239" w:rsidP="00FC7239">
            <w:pPr>
              <w:widowControl w:val="0"/>
              <w:rPr>
                <w:sz w:val="20"/>
                <w:szCs w:val="20"/>
                <w:lang w:val="fr-CA"/>
              </w:rPr>
            </w:pPr>
            <w:r w:rsidRPr="00FC7239">
              <w:rPr>
                <w:b/>
                <w:sz w:val="20"/>
                <w:szCs w:val="20"/>
                <w:lang w:val="fr-CA"/>
              </w:rPr>
              <w:t>Compagnie Wal-Mart du Canada</w:t>
            </w:r>
            <w:r w:rsidRPr="00C00730">
              <w:rPr>
                <w:b/>
                <w:i/>
                <w:iCs/>
                <w:sz w:val="20"/>
                <w:szCs w:val="20"/>
                <w:lang w:val="fr-CA"/>
              </w:rPr>
              <w:t xml:space="preserve"> </w:t>
            </w:r>
            <w:r w:rsidRPr="00C00730">
              <w:rPr>
                <w:b/>
                <w:sz w:val="20"/>
                <w:szCs w:val="20"/>
                <w:lang w:val="fr-CA"/>
              </w:rPr>
              <w:t>(Qc) (Civile) (Autorisation)</w:t>
            </w:r>
            <w:r w:rsidRPr="00C00730">
              <w:rPr>
                <w:sz w:val="20"/>
                <w:szCs w:val="20"/>
                <w:lang w:val="fr-CA"/>
              </w:rPr>
              <w:t xml:space="preserve"> </w:t>
            </w:r>
          </w:p>
        </w:tc>
        <w:tc>
          <w:tcPr>
            <w:tcW w:w="720" w:type="dxa"/>
            <w:tcMar>
              <w:left w:w="0" w:type="dxa"/>
              <w:right w:w="0" w:type="dxa"/>
            </w:tcMar>
          </w:tcPr>
          <w:p w:rsidR="00732DB7" w:rsidRPr="00C50A5C" w:rsidRDefault="00732DB7" w:rsidP="00732DB7">
            <w:pPr>
              <w:widowControl w:val="0"/>
              <w:jc w:val="center"/>
              <w:rPr>
                <w:sz w:val="20"/>
                <w:szCs w:val="20"/>
                <w:lang w:val="fr-CA"/>
              </w:rPr>
            </w:pPr>
          </w:p>
        </w:tc>
        <w:tc>
          <w:tcPr>
            <w:tcW w:w="4380" w:type="dxa"/>
            <w:tcMar>
              <w:left w:w="0" w:type="dxa"/>
              <w:right w:w="0" w:type="dxa"/>
            </w:tcMar>
          </w:tcPr>
          <w:p w:rsidR="0051469D" w:rsidRPr="00277E8E" w:rsidRDefault="0051469D" w:rsidP="0051469D">
            <w:pPr>
              <w:tabs>
                <w:tab w:val="left" w:pos="-2970"/>
              </w:tabs>
              <w:jc w:val="both"/>
              <w:rPr>
                <w:sz w:val="20"/>
                <w:szCs w:val="20"/>
                <w:lang w:val="fr-CA"/>
              </w:rPr>
            </w:pPr>
            <w:r w:rsidRPr="00277E8E">
              <w:rPr>
                <w:sz w:val="20"/>
                <w:szCs w:val="20"/>
                <w:lang w:val="fr-CA"/>
              </w:rPr>
              <w:t>Claude Leblanc</w:t>
            </w:r>
            <w:r>
              <w:rPr>
                <w:sz w:val="20"/>
                <w:szCs w:val="20"/>
                <w:lang w:val="fr-CA"/>
              </w:rPr>
              <w:t xml:space="preserve">, </w:t>
            </w:r>
            <w:r w:rsidRPr="00277E8E">
              <w:rPr>
                <w:sz w:val="20"/>
                <w:szCs w:val="20"/>
                <w:lang w:val="fr-CA"/>
              </w:rPr>
              <w:t>Bernard Philion</w:t>
            </w:r>
            <w:r>
              <w:rPr>
                <w:sz w:val="20"/>
                <w:szCs w:val="20"/>
                <w:lang w:val="fr-CA"/>
              </w:rPr>
              <w:t xml:space="preserve">, </w:t>
            </w:r>
            <w:r w:rsidRPr="00277E8E">
              <w:rPr>
                <w:sz w:val="20"/>
                <w:szCs w:val="20"/>
                <w:lang w:val="fr-CA"/>
              </w:rPr>
              <w:t>Gilles Grenier</w:t>
            </w:r>
            <w:r>
              <w:rPr>
                <w:sz w:val="20"/>
                <w:szCs w:val="20"/>
                <w:lang w:val="fr-CA"/>
              </w:rPr>
              <w:t xml:space="preserve"> et </w:t>
            </w:r>
            <w:r w:rsidRPr="00277E8E">
              <w:rPr>
                <w:sz w:val="20"/>
                <w:szCs w:val="20"/>
                <w:lang w:val="fr-CA"/>
              </w:rPr>
              <w:t xml:space="preserve">Stéphanie Lindsay </w:t>
            </w:r>
            <w:r>
              <w:rPr>
                <w:sz w:val="20"/>
                <w:szCs w:val="20"/>
                <w:lang w:val="fr-CA"/>
              </w:rPr>
              <w:t>p</w:t>
            </w:r>
            <w:r w:rsidRPr="00277E8E">
              <w:rPr>
                <w:sz w:val="20"/>
                <w:szCs w:val="20"/>
                <w:lang w:val="fr-CA"/>
              </w:rPr>
              <w:t>our l’appelante.</w:t>
            </w:r>
          </w:p>
          <w:p w:rsidR="0051469D" w:rsidRPr="00277E8E" w:rsidRDefault="0051469D" w:rsidP="0051469D">
            <w:pPr>
              <w:tabs>
                <w:tab w:val="left" w:pos="-2970"/>
              </w:tabs>
              <w:jc w:val="both"/>
              <w:rPr>
                <w:sz w:val="20"/>
                <w:szCs w:val="20"/>
                <w:lang w:val="fr-CA"/>
              </w:rPr>
            </w:pPr>
          </w:p>
          <w:p w:rsidR="0051469D" w:rsidRPr="00277E8E" w:rsidRDefault="0051469D" w:rsidP="0051469D">
            <w:pPr>
              <w:tabs>
                <w:tab w:val="left" w:pos="-2970"/>
              </w:tabs>
              <w:jc w:val="both"/>
              <w:rPr>
                <w:sz w:val="20"/>
                <w:szCs w:val="20"/>
                <w:lang w:val="fr-CA"/>
              </w:rPr>
            </w:pPr>
            <w:r w:rsidRPr="00277E8E">
              <w:rPr>
                <w:sz w:val="20"/>
                <w:szCs w:val="20"/>
                <w:lang w:val="fr-CA"/>
              </w:rPr>
              <w:t>Éric Lévesque</w:t>
            </w:r>
            <w:r>
              <w:rPr>
                <w:sz w:val="20"/>
                <w:szCs w:val="20"/>
                <w:lang w:val="fr-CA"/>
              </w:rPr>
              <w:t xml:space="preserve">, </w:t>
            </w:r>
            <w:r w:rsidRPr="00277E8E">
              <w:rPr>
                <w:sz w:val="20"/>
                <w:szCs w:val="20"/>
                <w:lang w:val="fr-CA"/>
              </w:rPr>
              <w:t>Isabelle Lanson</w:t>
            </w:r>
            <w:r>
              <w:rPr>
                <w:sz w:val="20"/>
                <w:szCs w:val="20"/>
                <w:lang w:val="fr-CA"/>
              </w:rPr>
              <w:t xml:space="preserve"> et </w:t>
            </w:r>
            <w:r w:rsidRPr="00277E8E">
              <w:rPr>
                <w:sz w:val="20"/>
                <w:szCs w:val="20"/>
                <w:lang w:val="fr-CA"/>
              </w:rPr>
              <w:t>Karim Lebnan</w:t>
            </w:r>
            <w:r>
              <w:rPr>
                <w:sz w:val="20"/>
                <w:szCs w:val="20"/>
                <w:lang w:val="fr-CA"/>
              </w:rPr>
              <w:t xml:space="preserve"> p</w:t>
            </w:r>
            <w:r w:rsidRPr="00277E8E">
              <w:rPr>
                <w:sz w:val="20"/>
                <w:szCs w:val="20"/>
                <w:lang w:val="fr-CA"/>
              </w:rPr>
              <w:t>our l’intervenante</w:t>
            </w:r>
            <w:r>
              <w:rPr>
                <w:sz w:val="20"/>
                <w:szCs w:val="20"/>
                <w:lang w:val="fr-CA"/>
              </w:rPr>
              <w:t xml:space="preserve"> </w:t>
            </w:r>
            <w:r w:rsidRPr="00277E8E">
              <w:rPr>
                <w:sz w:val="20"/>
                <w:szCs w:val="20"/>
                <w:lang w:val="fr-CA"/>
              </w:rPr>
              <w:t>Confédération des syndicats nationaux</w:t>
            </w:r>
            <w:r>
              <w:rPr>
                <w:sz w:val="20"/>
                <w:szCs w:val="20"/>
                <w:lang w:val="fr-CA"/>
              </w:rPr>
              <w:t>.</w:t>
            </w:r>
          </w:p>
          <w:p w:rsidR="0051469D" w:rsidRPr="00277E8E" w:rsidRDefault="0051469D" w:rsidP="0051469D">
            <w:pPr>
              <w:tabs>
                <w:tab w:val="left" w:pos="-2970"/>
              </w:tabs>
              <w:jc w:val="both"/>
              <w:rPr>
                <w:sz w:val="20"/>
                <w:szCs w:val="20"/>
                <w:lang w:val="fr-CA"/>
              </w:rPr>
            </w:pPr>
          </w:p>
          <w:p w:rsidR="0051469D" w:rsidRDefault="0051469D" w:rsidP="0051469D">
            <w:pPr>
              <w:tabs>
                <w:tab w:val="left" w:pos="-2970"/>
              </w:tabs>
              <w:jc w:val="both"/>
              <w:rPr>
                <w:sz w:val="20"/>
                <w:szCs w:val="20"/>
                <w:lang w:val="fr-CA"/>
              </w:rPr>
            </w:pPr>
            <w:r w:rsidRPr="00277E8E">
              <w:rPr>
                <w:sz w:val="20"/>
                <w:szCs w:val="20"/>
                <w:lang w:val="fr-CA"/>
              </w:rPr>
              <w:t>Corrado De Stefano</w:t>
            </w:r>
            <w:r>
              <w:rPr>
                <w:sz w:val="20"/>
                <w:szCs w:val="20"/>
                <w:lang w:val="fr-CA"/>
              </w:rPr>
              <w:t xml:space="preserve">, </w:t>
            </w:r>
            <w:r w:rsidRPr="00277E8E">
              <w:rPr>
                <w:sz w:val="20"/>
                <w:szCs w:val="20"/>
                <w:lang w:val="fr-CA"/>
              </w:rPr>
              <w:t>Frédéric Massé</w:t>
            </w:r>
            <w:r>
              <w:rPr>
                <w:sz w:val="20"/>
                <w:szCs w:val="20"/>
                <w:lang w:val="fr-CA"/>
              </w:rPr>
              <w:t xml:space="preserve">, </w:t>
            </w:r>
            <w:r w:rsidRPr="00277E8E">
              <w:rPr>
                <w:sz w:val="20"/>
                <w:szCs w:val="20"/>
                <w:lang w:val="fr-CA"/>
              </w:rPr>
              <w:t>Danny Kaufer</w:t>
            </w:r>
            <w:r>
              <w:rPr>
                <w:sz w:val="20"/>
                <w:szCs w:val="20"/>
                <w:lang w:val="fr-CA"/>
              </w:rPr>
              <w:t xml:space="preserve"> et </w:t>
            </w:r>
            <w:r w:rsidRPr="00277E8E">
              <w:rPr>
                <w:sz w:val="20"/>
                <w:szCs w:val="20"/>
                <w:lang w:val="fr-CA"/>
              </w:rPr>
              <w:t>Louis Leclerc</w:t>
            </w:r>
            <w:r>
              <w:rPr>
                <w:sz w:val="20"/>
                <w:szCs w:val="20"/>
                <w:lang w:val="fr-CA"/>
              </w:rPr>
              <w:t xml:space="preserve"> p</w:t>
            </w:r>
            <w:r w:rsidRPr="00277E8E">
              <w:rPr>
                <w:sz w:val="20"/>
                <w:szCs w:val="20"/>
                <w:lang w:val="fr-CA"/>
              </w:rPr>
              <w:t>our l’intimée</w:t>
            </w:r>
            <w:r>
              <w:rPr>
                <w:sz w:val="20"/>
                <w:szCs w:val="20"/>
                <w:lang w:val="fr-CA"/>
              </w:rPr>
              <w:t xml:space="preserve">. </w:t>
            </w:r>
          </w:p>
          <w:p w:rsidR="0051469D" w:rsidRPr="00277E8E" w:rsidRDefault="0051469D" w:rsidP="0051469D">
            <w:pPr>
              <w:tabs>
                <w:tab w:val="left" w:pos="-2970"/>
              </w:tabs>
              <w:jc w:val="both"/>
              <w:rPr>
                <w:sz w:val="20"/>
                <w:szCs w:val="20"/>
                <w:lang w:val="fr-CA"/>
              </w:rPr>
            </w:pPr>
          </w:p>
          <w:p w:rsidR="0051469D" w:rsidRPr="00277E8E" w:rsidRDefault="0051469D" w:rsidP="0051469D">
            <w:pPr>
              <w:tabs>
                <w:tab w:val="left" w:pos="-2970"/>
              </w:tabs>
              <w:jc w:val="both"/>
              <w:rPr>
                <w:sz w:val="20"/>
                <w:szCs w:val="20"/>
                <w:lang w:val="fr-CA"/>
              </w:rPr>
            </w:pPr>
            <w:r w:rsidRPr="00277E8E">
              <w:rPr>
                <w:sz w:val="20"/>
                <w:szCs w:val="20"/>
                <w:lang w:val="fr-CA"/>
              </w:rPr>
              <w:t>Ronald J. McRobie</w:t>
            </w:r>
            <w:r>
              <w:rPr>
                <w:sz w:val="20"/>
                <w:szCs w:val="20"/>
                <w:lang w:val="fr-CA"/>
              </w:rPr>
              <w:t xml:space="preserve">, </w:t>
            </w:r>
            <w:r w:rsidRPr="00277E8E">
              <w:rPr>
                <w:sz w:val="20"/>
                <w:szCs w:val="20"/>
                <w:lang w:val="fr-CA"/>
              </w:rPr>
              <w:t>Dominique Monet</w:t>
            </w:r>
            <w:r>
              <w:rPr>
                <w:sz w:val="20"/>
                <w:szCs w:val="20"/>
                <w:lang w:val="fr-CA"/>
              </w:rPr>
              <w:t xml:space="preserve"> et </w:t>
            </w:r>
            <w:r w:rsidRPr="00277E8E">
              <w:rPr>
                <w:sz w:val="20"/>
                <w:szCs w:val="20"/>
                <w:lang w:val="fr-CA"/>
              </w:rPr>
              <w:t>Guy-François Lamy</w:t>
            </w:r>
            <w:r>
              <w:rPr>
                <w:sz w:val="20"/>
                <w:szCs w:val="20"/>
                <w:lang w:val="fr-CA"/>
              </w:rPr>
              <w:t xml:space="preserve"> p</w:t>
            </w:r>
            <w:r w:rsidRPr="00277E8E">
              <w:rPr>
                <w:sz w:val="20"/>
                <w:szCs w:val="20"/>
                <w:lang w:val="fr-CA"/>
              </w:rPr>
              <w:t>our l’intervenant</w:t>
            </w:r>
            <w:r>
              <w:rPr>
                <w:sz w:val="20"/>
                <w:szCs w:val="20"/>
                <w:lang w:val="fr-CA"/>
              </w:rPr>
              <w:t xml:space="preserve"> </w:t>
            </w:r>
            <w:r w:rsidRPr="00277E8E">
              <w:rPr>
                <w:sz w:val="20"/>
                <w:szCs w:val="20"/>
                <w:lang w:val="fr-CA"/>
              </w:rPr>
              <w:t>Conseil du patronat du Québec inc.</w:t>
            </w:r>
          </w:p>
          <w:p w:rsidR="0051469D" w:rsidRPr="00277E8E" w:rsidRDefault="0051469D" w:rsidP="0051469D">
            <w:pPr>
              <w:tabs>
                <w:tab w:val="left" w:pos="-2970"/>
              </w:tabs>
              <w:jc w:val="both"/>
              <w:rPr>
                <w:sz w:val="20"/>
                <w:szCs w:val="20"/>
                <w:lang w:val="fr-CA"/>
              </w:rPr>
            </w:pPr>
          </w:p>
          <w:p w:rsidR="0051469D" w:rsidRPr="00277E8E" w:rsidRDefault="0051469D" w:rsidP="0051469D">
            <w:pPr>
              <w:tabs>
                <w:tab w:val="left" w:pos="-2970"/>
              </w:tabs>
              <w:jc w:val="both"/>
              <w:rPr>
                <w:sz w:val="20"/>
                <w:szCs w:val="20"/>
                <w:lang w:val="fr-CA"/>
              </w:rPr>
            </w:pPr>
            <w:r w:rsidRPr="00277E8E">
              <w:rPr>
                <w:sz w:val="20"/>
                <w:szCs w:val="20"/>
                <w:lang w:val="fr-CA"/>
              </w:rPr>
              <w:t>George Avraam</w:t>
            </w:r>
            <w:r>
              <w:rPr>
                <w:sz w:val="20"/>
                <w:szCs w:val="20"/>
                <w:lang w:val="fr-CA"/>
              </w:rPr>
              <w:t xml:space="preserve">, </w:t>
            </w:r>
            <w:r w:rsidRPr="00277E8E">
              <w:rPr>
                <w:sz w:val="20"/>
                <w:szCs w:val="20"/>
                <w:lang w:val="fr-CA"/>
              </w:rPr>
              <w:t>Mark Mendl</w:t>
            </w:r>
            <w:r>
              <w:rPr>
                <w:sz w:val="20"/>
                <w:szCs w:val="20"/>
                <w:lang w:val="fr-CA"/>
              </w:rPr>
              <w:t xml:space="preserve"> et </w:t>
            </w:r>
            <w:r w:rsidRPr="00277E8E">
              <w:rPr>
                <w:sz w:val="20"/>
                <w:szCs w:val="20"/>
                <w:lang w:val="fr-CA"/>
              </w:rPr>
              <w:t>Cherrine Chow</w:t>
            </w:r>
            <w:r>
              <w:rPr>
                <w:sz w:val="20"/>
                <w:szCs w:val="20"/>
                <w:lang w:val="fr-CA"/>
              </w:rPr>
              <w:t xml:space="preserve"> p</w:t>
            </w:r>
            <w:r w:rsidRPr="00277E8E">
              <w:rPr>
                <w:sz w:val="20"/>
                <w:szCs w:val="20"/>
                <w:lang w:val="fr-CA"/>
              </w:rPr>
              <w:t>our l’intervenant</w:t>
            </w:r>
            <w:r>
              <w:rPr>
                <w:sz w:val="20"/>
                <w:szCs w:val="20"/>
                <w:lang w:val="fr-CA"/>
              </w:rPr>
              <w:t xml:space="preserve"> </w:t>
            </w:r>
            <w:r w:rsidRPr="00277E8E">
              <w:rPr>
                <w:sz w:val="20"/>
                <w:szCs w:val="20"/>
                <w:lang w:val="fr-CA"/>
              </w:rPr>
              <w:t>Alliance des manufacturiers et des exportateurs du Canada</w:t>
            </w:r>
            <w:r>
              <w:rPr>
                <w:sz w:val="20"/>
                <w:szCs w:val="20"/>
                <w:lang w:val="fr-CA"/>
              </w:rPr>
              <w:t>.</w:t>
            </w:r>
          </w:p>
          <w:p w:rsidR="0051469D" w:rsidRPr="00277E8E" w:rsidRDefault="0051469D" w:rsidP="0051469D">
            <w:pPr>
              <w:tabs>
                <w:tab w:val="left" w:pos="-2970"/>
              </w:tabs>
              <w:jc w:val="both"/>
              <w:rPr>
                <w:sz w:val="20"/>
                <w:szCs w:val="20"/>
                <w:lang w:val="fr-CA"/>
              </w:rPr>
            </w:pPr>
          </w:p>
          <w:p w:rsidR="00732DB7" w:rsidRPr="0051469D" w:rsidRDefault="0051469D" w:rsidP="0051469D">
            <w:pPr>
              <w:tabs>
                <w:tab w:val="left" w:pos="-2970"/>
              </w:tabs>
              <w:jc w:val="both"/>
              <w:rPr>
                <w:sz w:val="20"/>
                <w:szCs w:val="20"/>
                <w:lang w:val="en-US"/>
              </w:rPr>
            </w:pPr>
            <w:r w:rsidRPr="00277E8E">
              <w:rPr>
                <w:sz w:val="20"/>
                <w:szCs w:val="20"/>
                <w:lang w:val="en-US"/>
              </w:rPr>
              <w:t>Stephen F. Penney</w:t>
            </w:r>
            <w:r>
              <w:rPr>
                <w:sz w:val="20"/>
                <w:szCs w:val="20"/>
                <w:lang w:val="en-US"/>
              </w:rPr>
              <w:t xml:space="preserve"> and </w:t>
            </w:r>
            <w:r w:rsidRPr="00277E8E">
              <w:rPr>
                <w:sz w:val="20"/>
                <w:szCs w:val="20"/>
                <w:lang w:val="en-US"/>
              </w:rPr>
              <w:t>Jeffrey W. Beedell</w:t>
            </w:r>
            <w:r>
              <w:rPr>
                <w:sz w:val="20"/>
                <w:szCs w:val="20"/>
                <w:lang w:val="en-US"/>
              </w:rPr>
              <w:t xml:space="preserve"> f</w:t>
            </w:r>
            <w:r w:rsidRPr="00277E8E">
              <w:rPr>
                <w:sz w:val="20"/>
                <w:szCs w:val="20"/>
                <w:lang w:val="en-US"/>
              </w:rPr>
              <w:t xml:space="preserve">or the </w:t>
            </w:r>
            <w:r>
              <w:rPr>
                <w:sz w:val="20"/>
                <w:szCs w:val="20"/>
                <w:lang w:val="en-US"/>
              </w:rPr>
              <w:t>i</w:t>
            </w:r>
            <w:r w:rsidRPr="00277E8E">
              <w:rPr>
                <w:sz w:val="20"/>
                <w:szCs w:val="20"/>
                <w:lang w:val="en-US"/>
              </w:rPr>
              <w:t>ntervener</w:t>
            </w:r>
            <w:r>
              <w:rPr>
                <w:sz w:val="20"/>
                <w:szCs w:val="20"/>
                <w:lang w:val="en-US"/>
              </w:rPr>
              <w:t xml:space="preserve"> </w:t>
            </w:r>
            <w:r w:rsidRPr="00277E8E">
              <w:rPr>
                <w:sz w:val="20"/>
                <w:szCs w:val="20"/>
                <w:lang w:val="en-US"/>
              </w:rPr>
              <w:t>Canadian Association of Counsel to Employers</w:t>
            </w:r>
            <w:r>
              <w:rPr>
                <w:sz w:val="20"/>
                <w:szCs w:val="20"/>
                <w:lang w:val="en-US"/>
              </w:rPr>
              <w:t>.</w:t>
            </w:r>
          </w:p>
        </w:tc>
      </w:tr>
    </w:tbl>
    <w:p w:rsidR="00C1697B" w:rsidRDefault="00C1697B" w:rsidP="00C1697B">
      <w:pPr>
        <w:widowControl w:val="0"/>
      </w:pPr>
    </w:p>
    <w:p w:rsidR="00C1697B" w:rsidRPr="0085476B" w:rsidRDefault="00C1697B" w:rsidP="00C1697B">
      <w:pPr>
        <w:widowControl w:val="0"/>
        <w:rPr>
          <w:sz w:val="20"/>
          <w:szCs w:val="20"/>
        </w:rPr>
      </w:pPr>
      <w:r w:rsidRPr="0085476B">
        <w:rPr>
          <w:b/>
          <w:sz w:val="20"/>
          <w:szCs w:val="20"/>
        </w:rPr>
        <w:t xml:space="preserve">RESERVED / </w:t>
      </w:r>
      <w:r w:rsidRPr="0085476B">
        <w:rPr>
          <w:b/>
          <w:sz w:val="20"/>
          <w:szCs w:val="20"/>
          <w:lang w:val="fr-CA"/>
        </w:rPr>
        <w:t>EN DÉLIBÉRÉ</w:t>
      </w:r>
    </w:p>
    <w:p w:rsidR="00C1697B" w:rsidRDefault="00C1697B"/>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1697B" w:rsidRPr="00E672F1" w:rsidTr="00C1697B">
        <w:tc>
          <w:tcPr>
            <w:tcW w:w="4380" w:type="dxa"/>
            <w:tcMar>
              <w:left w:w="0" w:type="dxa"/>
              <w:right w:w="0" w:type="dxa"/>
            </w:tcMar>
          </w:tcPr>
          <w:p w:rsidR="00C1697B" w:rsidRPr="00CC4D84" w:rsidRDefault="00C1697B" w:rsidP="00C1697B">
            <w:pPr>
              <w:widowControl w:val="0"/>
              <w:jc w:val="both"/>
              <w:rPr>
                <w:b/>
                <w:sz w:val="20"/>
                <w:szCs w:val="20"/>
                <w:u w:val="single"/>
              </w:rPr>
            </w:pPr>
            <w:r w:rsidRPr="00CC4D84">
              <w:rPr>
                <w:b/>
                <w:sz w:val="20"/>
                <w:szCs w:val="20"/>
                <w:u w:val="single"/>
              </w:rPr>
              <w:t>Nature of the case:</w:t>
            </w:r>
          </w:p>
          <w:p w:rsidR="00C1697B" w:rsidRPr="00C1697B" w:rsidRDefault="00C1697B" w:rsidP="00C1697B">
            <w:pPr>
              <w:widowControl w:val="0"/>
              <w:jc w:val="both"/>
              <w:rPr>
                <w:b/>
                <w:sz w:val="20"/>
                <w:szCs w:val="20"/>
              </w:rPr>
            </w:pPr>
          </w:p>
          <w:p w:rsidR="00C1697B" w:rsidRPr="00C1697B" w:rsidRDefault="00DF3972" w:rsidP="00C1697B">
            <w:pPr>
              <w:widowControl w:val="0"/>
              <w:jc w:val="both"/>
              <w:rPr>
                <w:b/>
                <w:sz w:val="20"/>
                <w:szCs w:val="20"/>
              </w:rPr>
            </w:pPr>
            <w:r w:rsidRPr="00CB584A">
              <w:rPr>
                <w:sz w:val="20"/>
                <w:szCs w:val="20"/>
              </w:rPr>
              <w:t xml:space="preserve">Labour relations - Human rights - Freedom of association - Jurisdiction and powers - Conditions of employment - Complaint alleging dismissal for union activities - In absence of justification by employer, whether terminations of employment resulting from closure of establishment constitute unlawful change to employees’ conditions of employment within meaning of s. 59 of </w:t>
            </w:r>
            <w:r w:rsidRPr="00CB584A">
              <w:rPr>
                <w:i/>
                <w:sz w:val="20"/>
                <w:szCs w:val="20"/>
              </w:rPr>
              <w:t>Labour Code</w:t>
            </w:r>
            <w:r w:rsidRPr="00CB584A">
              <w:rPr>
                <w:sz w:val="20"/>
                <w:szCs w:val="20"/>
              </w:rPr>
              <w:t>, R.S.Q., c. C</w:t>
            </w:r>
            <w:r w:rsidRPr="00CB584A">
              <w:rPr>
                <w:sz w:val="20"/>
                <w:szCs w:val="20"/>
              </w:rPr>
              <w:noBreakHyphen/>
              <w:t xml:space="preserve">27 - Given that arbitrator may not order reopening of business, whether </w:t>
            </w:r>
            <w:r w:rsidRPr="00CB584A">
              <w:rPr>
                <w:i/>
                <w:sz w:val="20"/>
                <w:szCs w:val="20"/>
              </w:rPr>
              <w:t>Labour Code</w:t>
            </w:r>
            <w:r w:rsidRPr="00CB584A">
              <w:rPr>
                <w:sz w:val="20"/>
                <w:szCs w:val="20"/>
              </w:rPr>
              <w:t xml:space="preserve"> grants arbitrator power to award other remedies.</w:t>
            </w:r>
          </w:p>
        </w:tc>
        <w:tc>
          <w:tcPr>
            <w:tcW w:w="720" w:type="dxa"/>
            <w:tcMar>
              <w:left w:w="0" w:type="dxa"/>
              <w:right w:w="0" w:type="dxa"/>
            </w:tcMar>
          </w:tcPr>
          <w:p w:rsidR="00C1697B" w:rsidRPr="00C1697B" w:rsidRDefault="00C1697B" w:rsidP="00C1697B">
            <w:pPr>
              <w:widowControl w:val="0"/>
              <w:jc w:val="center"/>
              <w:rPr>
                <w:sz w:val="20"/>
                <w:szCs w:val="20"/>
              </w:rPr>
            </w:pPr>
          </w:p>
        </w:tc>
        <w:tc>
          <w:tcPr>
            <w:tcW w:w="4380" w:type="dxa"/>
            <w:tcMar>
              <w:left w:w="0" w:type="dxa"/>
              <w:right w:w="0" w:type="dxa"/>
            </w:tcMar>
          </w:tcPr>
          <w:p w:rsidR="00C1697B" w:rsidRPr="00CC4D84" w:rsidRDefault="00C1697B" w:rsidP="00C1697B">
            <w:pPr>
              <w:widowControl w:val="0"/>
              <w:jc w:val="both"/>
              <w:rPr>
                <w:b/>
                <w:sz w:val="20"/>
                <w:szCs w:val="20"/>
                <w:u w:val="single"/>
                <w:lang w:val="fr-CA"/>
              </w:rPr>
            </w:pPr>
            <w:r w:rsidRPr="00CC4D84">
              <w:rPr>
                <w:b/>
                <w:sz w:val="20"/>
                <w:szCs w:val="20"/>
                <w:u w:val="single"/>
                <w:lang w:val="fr-CA"/>
              </w:rPr>
              <w:t>Nature de la cause :</w:t>
            </w:r>
          </w:p>
          <w:p w:rsidR="00C1697B" w:rsidRPr="00C1697B" w:rsidRDefault="00C1697B" w:rsidP="00C1697B">
            <w:pPr>
              <w:widowControl w:val="0"/>
              <w:jc w:val="both"/>
              <w:rPr>
                <w:sz w:val="20"/>
                <w:szCs w:val="20"/>
                <w:lang w:val="fr-CA"/>
              </w:rPr>
            </w:pPr>
          </w:p>
          <w:p w:rsidR="00C1697B" w:rsidRPr="00C1697B" w:rsidRDefault="00DF3972" w:rsidP="00C1697B">
            <w:pPr>
              <w:widowControl w:val="0"/>
              <w:jc w:val="both"/>
              <w:rPr>
                <w:sz w:val="20"/>
                <w:szCs w:val="20"/>
                <w:lang w:val="fr-CA"/>
              </w:rPr>
            </w:pPr>
            <w:r w:rsidRPr="00F3609B">
              <w:rPr>
                <w:sz w:val="20"/>
                <w:szCs w:val="20"/>
                <w:lang w:val="fr-CA"/>
              </w:rPr>
              <w:t xml:space="preserve">Relations du travail </w:t>
            </w:r>
            <w:r w:rsidRPr="00F3609B">
              <w:rPr>
                <w:sz w:val="20"/>
                <w:szCs w:val="20"/>
                <w:lang w:val="fr-CA"/>
              </w:rPr>
              <w:noBreakHyphen/>
              <w:t xml:space="preserve"> Droits de la personne </w:t>
            </w:r>
            <w:r w:rsidRPr="00F3609B">
              <w:rPr>
                <w:sz w:val="20"/>
                <w:szCs w:val="20"/>
                <w:lang w:val="fr-CA"/>
              </w:rPr>
              <w:noBreakHyphen/>
              <w:t xml:space="preserve"> Droit d’association </w:t>
            </w:r>
            <w:r w:rsidRPr="00F3609B">
              <w:rPr>
                <w:sz w:val="20"/>
                <w:szCs w:val="20"/>
                <w:lang w:val="fr-CA"/>
              </w:rPr>
              <w:noBreakHyphen/>
              <w:t xml:space="preserve"> Compétence et pouvoirs </w:t>
            </w:r>
            <w:r w:rsidRPr="00F3609B">
              <w:rPr>
                <w:sz w:val="20"/>
                <w:szCs w:val="20"/>
                <w:lang w:val="fr-CA"/>
              </w:rPr>
              <w:noBreakHyphen/>
              <w:t xml:space="preserve"> Conditions de travail </w:t>
            </w:r>
            <w:r w:rsidRPr="00F3609B">
              <w:rPr>
                <w:sz w:val="20"/>
                <w:szCs w:val="20"/>
                <w:lang w:val="fr-CA"/>
              </w:rPr>
              <w:noBreakHyphen/>
              <w:t xml:space="preserve"> Plainte alléguant un congédiement en raison d’activités syndicale </w:t>
            </w:r>
            <w:r w:rsidRPr="00F3609B">
              <w:rPr>
                <w:sz w:val="20"/>
                <w:szCs w:val="20"/>
                <w:lang w:val="fr-CA"/>
              </w:rPr>
              <w:noBreakHyphen/>
              <w:t xml:space="preserve"> Les terminaisons d’emploi qui découlent de la fermeture d’un établissement constituent</w:t>
            </w:r>
            <w:r w:rsidRPr="00F3609B">
              <w:rPr>
                <w:sz w:val="20"/>
                <w:szCs w:val="20"/>
                <w:lang w:val="fr-CA"/>
              </w:rPr>
              <w:noBreakHyphen/>
              <w:t xml:space="preserve">elles, en l’absence de toute justification d’un employeur, une modification illégale des conditions de travail des salariés au sens de l’art. 59 du </w:t>
            </w:r>
            <w:r w:rsidRPr="00F3609B">
              <w:rPr>
                <w:i/>
                <w:sz w:val="20"/>
                <w:szCs w:val="20"/>
                <w:lang w:val="fr-CA"/>
              </w:rPr>
              <w:t>Code du travail</w:t>
            </w:r>
            <w:r w:rsidRPr="00F3609B">
              <w:rPr>
                <w:sz w:val="20"/>
                <w:szCs w:val="20"/>
                <w:lang w:val="fr-CA"/>
              </w:rPr>
              <w:t>, L.R.Q., ch. C</w:t>
            </w:r>
            <w:r w:rsidRPr="00F3609B">
              <w:rPr>
                <w:sz w:val="20"/>
                <w:szCs w:val="20"/>
                <w:lang w:val="fr-CA"/>
              </w:rPr>
              <w:noBreakHyphen/>
              <w:t xml:space="preserve">27? </w:t>
            </w:r>
            <w:r w:rsidRPr="00F3609B">
              <w:rPr>
                <w:sz w:val="20"/>
                <w:szCs w:val="20"/>
                <w:lang w:val="fr-CA"/>
              </w:rPr>
              <w:noBreakHyphen/>
              <w:t xml:space="preserve"> Étant acquis que l’arbitre ne peut ordonner la réouverture de l’entreprise, le </w:t>
            </w:r>
            <w:r w:rsidRPr="00F3609B">
              <w:rPr>
                <w:i/>
                <w:sz w:val="20"/>
                <w:szCs w:val="20"/>
                <w:lang w:val="fr-CA"/>
              </w:rPr>
              <w:t>Code du travail</w:t>
            </w:r>
            <w:r w:rsidRPr="00F3609B">
              <w:rPr>
                <w:sz w:val="20"/>
                <w:szCs w:val="20"/>
                <w:lang w:val="fr-CA"/>
              </w:rPr>
              <w:t xml:space="preserve"> lui confère</w:t>
            </w:r>
            <w:r w:rsidRPr="00F3609B">
              <w:rPr>
                <w:sz w:val="20"/>
                <w:szCs w:val="20"/>
                <w:lang w:val="fr-CA"/>
              </w:rPr>
              <w:noBreakHyphen/>
              <w:t>t</w:t>
            </w:r>
            <w:r w:rsidRPr="00F3609B">
              <w:rPr>
                <w:sz w:val="20"/>
                <w:szCs w:val="20"/>
                <w:lang w:val="fr-CA"/>
              </w:rPr>
              <w:noBreakHyphen/>
              <w:t>il la compétence d’octroyer d’autres mesures réparatrices?</w:t>
            </w:r>
          </w:p>
        </w:tc>
      </w:tr>
    </w:tbl>
    <w:p w:rsidR="00732DB7" w:rsidRDefault="00732DB7" w:rsidP="00732DB7">
      <w:pPr>
        <w:widowControl w:val="0"/>
        <w:rPr>
          <w:sz w:val="20"/>
          <w:szCs w:val="20"/>
          <w:lang w:val="fr-CA"/>
        </w:rPr>
      </w:pPr>
    </w:p>
    <w:p w:rsidR="002A27D1" w:rsidRDefault="00E672F1" w:rsidP="002A27D1">
      <w:pPr>
        <w:widowControl w:val="0"/>
        <w:rPr>
          <w:sz w:val="20"/>
          <w:szCs w:val="20"/>
        </w:rPr>
      </w:pPr>
      <w:r>
        <w:rPr>
          <w:sz w:val="20"/>
          <w:szCs w:val="20"/>
          <w:lang w:val="fr-CA"/>
        </w:rPr>
        <w:pict>
          <v:rect id="_x0000_i1064" style="width:2in;height:1pt" o:hrpct="0" o:hralign="center" o:hrstd="t" o:hrnoshade="t" o:hr="t" fillcolor="black [3213]" stroked="f"/>
        </w:pict>
      </w:r>
    </w:p>
    <w:p w:rsidR="002A27D1" w:rsidRDefault="002A27D1" w:rsidP="002A27D1">
      <w:pPr>
        <w:widowControl w:val="0"/>
        <w:rPr>
          <w:sz w:val="20"/>
          <w:szCs w:val="20"/>
        </w:rPr>
      </w:pPr>
    </w:p>
    <w:p w:rsidR="00FC7239" w:rsidRPr="00276DE5" w:rsidRDefault="00FC7239" w:rsidP="00FC7239">
      <w:pPr>
        <w:widowControl w:val="0"/>
        <w:rPr>
          <w:sz w:val="20"/>
          <w:szCs w:val="20"/>
        </w:rPr>
      </w:pPr>
      <w:r w:rsidRPr="00276DE5">
        <w:rPr>
          <w:sz w:val="20"/>
          <w:szCs w:val="20"/>
        </w:rPr>
        <w:t>09.12.2013</w:t>
      </w:r>
    </w:p>
    <w:p w:rsidR="00FC7239" w:rsidRPr="00796EFB" w:rsidRDefault="00FC7239" w:rsidP="00FC7239">
      <w:pPr>
        <w:widowControl w:val="0"/>
        <w:rPr>
          <w:sz w:val="20"/>
          <w:szCs w:val="20"/>
        </w:rPr>
      </w:pPr>
    </w:p>
    <w:p w:rsidR="00FC7239" w:rsidRPr="00E829A1" w:rsidRDefault="00FC7239" w:rsidP="00FC7239">
      <w:pPr>
        <w:widowControl w:val="0"/>
        <w:ind w:left="720" w:hanging="720"/>
        <w:rPr>
          <w:rFonts w:eastAsia="Calibri" w:cs="Times New Roman"/>
          <w:sz w:val="20"/>
          <w:szCs w:val="20"/>
        </w:rPr>
      </w:pPr>
      <w:r w:rsidRPr="00E829A1">
        <w:rPr>
          <w:rFonts w:eastAsia="Calibri" w:cs="Times New Roman"/>
          <w:sz w:val="20"/>
          <w:szCs w:val="20"/>
        </w:rPr>
        <w:t>Coram:</w:t>
      </w:r>
      <w:r w:rsidRPr="00E829A1">
        <w:rPr>
          <w:rFonts w:eastAsia="Calibri" w:cs="Times New Roman"/>
          <w:sz w:val="20"/>
          <w:szCs w:val="20"/>
        </w:rPr>
        <w:tab/>
      </w:r>
      <w:r w:rsidRPr="00E829A1">
        <w:rPr>
          <w:rFonts w:eastAsia="Calibri" w:cs="Times New Roman"/>
          <w:sz w:val="20"/>
          <w:szCs w:val="20"/>
          <w:u w:val="single"/>
        </w:rPr>
        <w:t>McLachlin C.J. and LeBel, Abella, Rothstein, Cromwell, Moldaver</w:t>
      </w:r>
      <w:r>
        <w:rPr>
          <w:rFonts w:eastAsia="Calibri" w:cs="Times New Roman"/>
          <w:sz w:val="20"/>
          <w:szCs w:val="20"/>
          <w:u w:val="single"/>
        </w:rPr>
        <w:t xml:space="preserve">, </w:t>
      </w:r>
      <w:r w:rsidRPr="00E829A1">
        <w:rPr>
          <w:rFonts w:eastAsia="Calibri" w:cs="Times New Roman"/>
          <w:sz w:val="20"/>
          <w:szCs w:val="20"/>
          <w:u w:val="single"/>
        </w:rPr>
        <w:t xml:space="preserve">Karakatsanis and </w:t>
      </w:r>
      <w:r>
        <w:rPr>
          <w:rFonts w:eastAsia="Calibri" w:cs="Times New Roman"/>
          <w:sz w:val="20"/>
          <w:szCs w:val="20"/>
          <w:u w:val="single"/>
        </w:rPr>
        <w:t xml:space="preserve">Wagner </w:t>
      </w:r>
      <w:r w:rsidRPr="00E829A1">
        <w:rPr>
          <w:rFonts w:eastAsia="Calibri" w:cs="Times New Roman"/>
          <w:sz w:val="20"/>
          <w:szCs w:val="20"/>
          <w:u w:val="single"/>
        </w:rPr>
        <w:t>JJ.</w:t>
      </w:r>
    </w:p>
    <w:p w:rsidR="00FC7239" w:rsidRPr="00276DE5" w:rsidRDefault="00FC7239" w:rsidP="00FC7239">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FC7239" w:rsidRPr="00276DE5" w:rsidTr="00FC7239">
        <w:tc>
          <w:tcPr>
            <w:tcW w:w="4380" w:type="dxa"/>
            <w:tcMar>
              <w:left w:w="0" w:type="dxa"/>
              <w:right w:w="0" w:type="dxa"/>
            </w:tcMar>
          </w:tcPr>
          <w:p w:rsidR="00FC7239" w:rsidRPr="00276DE5" w:rsidRDefault="00276DE5" w:rsidP="00FC7239">
            <w:pPr>
              <w:widowControl w:val="0"/>
              <w:rPr>
                <w:b/>
                <w:sz w:val="20"/>
                <w:szCs w:val="20"/>
              </w:rPr>
            </w:pPr>
            <w:r w:rsidRPr="00276DE5">
              <w:rPr>
                <w:b/>
                <w:sz w:val="20"/>
                <w:szCs w:val="20"/>
              </w:rPr>
              <w:t xml:space="preserve">Matthew David Spencer </w:t>
            </w:r>
          </w:p>
          <w:p w:rsidR="00FC7239" w:rsidRPr="00276DE5" w:rsidRDefault="00FC7239" w:rsidP="00FC7239">
            <w:pPr>
              <w:widowControl w:val="0"/>
              <w:rPr>
                <w:b/>
                <w:sz w:val="20"/>
                <w:szCs w:val="20"/>
              </w:rPr>
            </w:pPr>
          </w:p>
          <w:p w:rsidR="00FC7239" w:rsidRPr="00276DE5" w:rsidRDefault="00FC7239" w:rsidP="00FC7239">
            <w:pPr>
              <w:widowControl w:val="0"/>
              <w:rPr>
                <w:b/>
                <w:sz w:val="20"/>
                <w:szCs w:val="20"/>
              </w:rPr>
            </w:pPr>
            <w:r w:rsidRPr="00796EFB">
              <w:rPr>
                <w:b/>
                <w:sz w:val="20"/>
                <w:szCs w:val="20"/>
              </w:rPr>
              <w:tab/>
            </w:r>
            <w:r w:rsidR="00AA0608">
              <w:rPr>
                <w:b/>
                <w:sz w:val="20"/>
                <w:szCs w:val="20"/>
              </w:rPr>
              <w:t>v</w:t>
            </w:r>
            <w:r w:rsidRPr="00276DE5">
              <w:rPr>
                <w:b/>
                <w:sz w:val="20"/>
                <w:szCs w:val="20"/>
              </w:rPr>
              <w:t xml:space="preserve">. </w:t>
            </w:r>
            <w:r w:rsidR="00276DE5" w:rsidRPr="00276DE5">
              <w:rPr>
                <w:sz w:val="20"/>
                <w:szCs w:val="20"/>
              </w:rPr>
              <w:t>(</w:t>
            </w:r>
            <w:hyperlink r:id="rId59" w:history="1">
              <w:r w:rsidR="00276DE5" w:rsidRPr="00276DE5">
                <w:rPr>
                  <w:rStyle w:val="Hyperlink"/>
                  <w:sz w:val="20"/>
                  <w:szCs w:val="20"/>
                </w:rPr>
                <w:t>34644</w:t>
              </w:r>
            </w:hyperlink>
            <w:r w:rsidR="00276DE5" w:rsidRPr="00276DE5">
              <w:rPr>
                <w:sz w:val="20"/>
                <w:szCs w:val="20"/>
              </w:rPr>
              <w:t>)</w:t>
            </w:r>
          </w:p>
          <w:p w:rsidR="00FC7239" w:rsidRPr="00276DE5" w:rsidRDefault="00FC7239" w:rsidP="00FC7239">
            <w:pPr>
              <w:widowControl w:val="0"/>
              <w:rPr>
                <w:b/>
                <w:sz w:val="20"/>
                <w:szCs w:val="20"/>
              </w:rPr>
            </w:pPr>
          </w:p>
          <w:p w:rsidR="00FC7239" w:rsidRPr="00C50A5C" w:rsidRDefault="00276DE5" w:rsidP="00276DE5">
            <w:pPr>
              <w:widowControl w:val="0"/>
              <w:rPr>
                <w:sz w:val="20"/>
                <w:szCs w:val="20"/>
                <w:lang w:val="fr-CA"/>
              </w:rPr>
            </w:pPr>
            <w:r w:rsidRPr="00276DE5">
              <w:rPr>
                <w:b/>
                <w:sz w:val="20"/>
                <w:szCs w:val="20"/>
              </w:rPr>
              <w:t>Her Majesty the Queen (</w:t>
            </w:r>
            <w:r w:rsidRPr="005B7F69">
              <w:rPr>
                <w:b/>
                <w:sz w:val="20"/>
                <w:szCs w:val="20"/>
              </w:rPr>
              <w:t xml:space="preserve">Sask.) </w:t>
            </w:r>
            <w:r w:rsidRPr="005B7F69">
              <w:rPr>
                <w:b/>
                <w:sz w:val="20"/>
                <w:szCs w:val="20"/>
                <w:lang w:val="fr-CA"/>
              </w:rPr>
              <w:t>(Criminal) (By</w:t>
            </w:r>
            <w:r>
              <w:rPr>
                <w:b/>
                <w:sz w:val="20"/>
                <w:szCs w:val="20"/>
                <w:lang w:val="fr-CA"/>
              </w:rPr>
              <w:t> </w:t>
            </w:r>
            <w:r w:rsidRPr="005B7F69">
              <w:rPr>
                <w:b/>
                <w:sz w:val="20"/>
                <w:szCs w:val="20"/>
                <w:lang w:val="fr-CA"/>
              </w:rPr>
              <w:t>Leave)</w:t>
            </w:r>
          </w:p>
        </w:tc>
        <w:tc>
          <w:tcPr>
            <w:tcW w:w="720" w:type="dxa"/>
            <w:tcMar>
              <w:left w:w="0" w:type="dxa"/>
              <w:right w:w="0" w:type="dxa"/>
            </w:tcMar>
          </w:tcPr>
          <w:p w:rsidR="00FC7239" w:rsidRPr="00C50A5C" w:rsidRDefault="00FC7239" w:rsidP="00FC7239">
            <w:pPr>
              <w:widowControl w:val="0"/>
              <w:jc w:val="center"/>
              <w:rPr>
                <w:sz w:val="20"/>
                <w:szCs w:val="20"/>
                <w:lang w:val="fr-CA"/>
              </w:rPr>
            </w:pPr>
          </w:p>
        </w:tc>
        <w:tc>
          <w:tcPr>
            <w:tcW w:w="4380" w:type="dxa"/>
            <w:tcMar>
              <w:left w:w="0" w:type="dxa"/>
              <w:right w:w="0" w:type="dxa"/>
            </w:tcMar>
          </w:tcPr>
          <w:p w:rsidR="00276DE5" w:rsidRPr="006F56C1" w:rsidRDefault="00276DE5" w:rsidP="00276DE5">
            <w:pPr>
              <w:jc w:val="both"/>
              <w:rPr>
                <w:sz w:val="20"/>
                <w:szCs w:val="20"/>
              </w:rPr>
            </w:pPr>
            <w:r w:rsidRPr="006F56C1">
              <w:rPr>
                <w:sz w:val="20"/>
                <w:szCs w:val="20"/>
              </w:rPr>
              <w:t>Aaron A. Fox, Q.C.</w:t>
            </w:r>
            <w:r>
              <w:rPr>
                <w:sz w:val="20"/>
                <w:szCs w:val="20"/>
              </w:rPr>
              <w:t xml:space="preserve"> and </w:t>
            </w:r>
            <w:r w:rsidRPr="006F56C1">
              <w:rPr>
                <w:sz w:val="20"/>
                <w:szCs w:val="20"/>
              </w:rPr>
              <w:t>Darren Kraushaar</w:t>
            </w:r>
            <w:r>
              <w:rPr>
                <w:sz w:val="20"/>
                <w:szCs w:val="20"/>
              </w:rPr>
              <w:t xml:space="preserve"> f</w:t>
            </w:r>
            <w:r w:rsidRPr="006F56C1">
              <w:rPr>
                <w:sz w:val="20"/>
                <w:szCs w:val="20"/>
              </w:rPr>
              <w:t xml:space="preserve">or the </w:t>
            </w:r>
            <w:r>
              <w:rPr>
                <w:sz w:val="20"/>
                <w:szCs w:val="20"/>
              </w:rPr>
              <w:t>a</w:t>
            </w:r>
            <w:r w:rsidRPr="006F56C1">
              <w:rPr>
                <w:sz w:val="20"/>
                <w:szCs w:val="20"/>
              </w:rPr>
              <w:t>ppellant</w:t>
            </w:r>
            <w:r>
              <w:rPr>
                <w:sz w:val="20"/>
                <w:szCs w:val="20"/>
              </w:rPr>
              <w:t>.</w:t>
            </w:r>
          </w:p>
          <w:p w:rsidR="00276DE5" w:rsidRPr="006F56C1" w:rsidRDefault="00276DE5" w:rsidP="00276DE5">
            <w:pPr>
              <w:jc w:val="both"/>
              <w:rPr>
                <w:sz w:val="20"/>
                <w:szCs w:val="20"/>
              </w:rPr>
            </w:pPr>
          </w:p>
          <w:p w:rsidR="00276DE5" w:rsidRPr="006F56C1" w:rsidRDefault="00276DE5" w:rsidP="00276DE5">
            <w:pPr>
              <w:jc w:val="both"/>
              <w:rPr>
                <w:sz w:val="20"/>
                <w:szCs w:val="20"/>
              </w:rPr>
            </w:pPr>
            <w:r w:rsidRPr="006F56C1">
              <w:rPr>
                <w:sz w:val="20"/>
                <w:szCs w:val="20"/>
              </w:rPr>
              <w:t>Anil K. Kapoor</w:t>
            </w:r>
            <w:r>
              <w:rPr>
                <w:sz w:val="20"/>
                <w:szCs w:val="20"/>
              </w:rPr>
              <w:t xml:space="preserve"> and </w:t>
            </w:r>
            <w:r w:rsidRPr="006F56C1">
              <w:rPr>
                <w:sz w:val="20"/>
                <w:szCs w:val="20"/>
              </w:rPr>
              <w:t>Lindsay L. Daviau</w:t>
            </w:r>
            <w:r>
              <w:rPr>
                <w:sz w:val="20"/>
                <w:szCs w:val="20"/>
              </w:rPr>
              <w:t xml:space="preserve"> f</w:t>
            </w:r>
            <w:r w:rsidRPr="006F56C1">
              <w:rPr>
                <w:sz w:val="20"/>
                <w:szCs w:val="20"/>
              </w:rPr>
              <w:t xml:space="preserve">or the </w:t>
            </w:r>
            <w:r>
              <w:rPr>
                <w:sz w:val="20"/>
                <w:szCs w:val="20"/>
              </w:rPr>
              <w:lastRenderedPageBreak/>
              <w:t>i</w:t>
            </w:r>
            <w:r w:rsidRPr="006F56C1">
              <w:rPr>
                <w:sz w:val="20"/>
                <w:szCs w:val="20"/>
              </w:rPr>
              <w:t>ntervener</w:t>
            </w:r>
            <w:r>
              <w:rPr>
                <w:sz w:val="20"/>
                <w:szCs w:val="20"/>
              </w:rPr>
              <w:t xml:space="preserve"> </w:t>
            </w:r>
            <w:r w:rsidRPr="006F56C1">
              <w:rPr>
                <w:sz w:val="20"/>
                <w:szCs w:val="20"/>
              </w:rPr>
              <w:t>Canadian Civil Liberties Association</w:t>
            </w:r>
            <w:r>
              <w:rPr>
                <w:sz w:val="20"/>
                <w:szCs w:val="20"/>
              </w:rPr>
              <w:t>.</w:t>
            </w:r>
          </w:p>
          <w:p w:rsidR="00276DE5" w:rsidRPr="006F56C1" w:rsidRDefault="00276DE5" w:rsidP="00276DE5">
            <w:pPr>
              <w:jc w:val="both"/>
              <w:rPr>
                <w:sz w:val="20"/>
                <w:szCs w:val="20"/>
              </w:rPr>
            </w:pPr>
          </w:p>
          <w:p w:rsidR="00276DE5" w:rsidRPr="006F56C1" w:rsidRDefault="00276DE5" w:rsidP="00276DE5">
            <w:pPr>
              <w:jc w:val="both"/>
              <w:rPr>
                <w:sz w:val="20"/>
                <w:szCs w:val="20"/>
              </w:rPr>
            </w:pPr>
            <w:r w:rsidRPr="006F56C1">
              <w:rPr>
                <w:sz w:val="20"/>
                <w:szCs w:val="20"/>
              </w:rPr>
              <w:t>Jonathan Dawe</w:t>
            </w:r>
            <w:r>
              <w:rPr>
                <w:sz w:val="20"/>
                <w:szCs w:val="20"/>
              </w:rPr>
              <w:t xml:space="preserve"> and </w:t>
            </w:r>
            <w:r w:rsidRPr="006F56C1">
              <w:rPr>
                <w:sz w:val="20"/>
                <w:szCs w:val="20"/>
              </w:rPr>
              <w:t>Jill R. Presser</w:t>
            </w:r>
            <w:r>
              <w:rPr>
                <w:sz w:val="20"/>
                <w:szCs w:val="20"/>
              </w:rPr>
              <w:t xml:space="preserve"> f</w:t>
            </w:r>
            <w:r w:rsidRPr="006F56C1">
              <w:rPr>
                <w:sz w:val="20"/>
                <w:szCs w:val="20"/>
              </w:rPr>
              <w:t xml:space="preserve">or the </w:t>
            </w:r>
            <w:r>
              <w:rPr>
                <w:sz w:val="20"/>
                <w:szCs w:val="20"/>
              </w:rPr>
              <w:t>i</w:t>
            </w:r>
            <w:r w:rsidRPr="006F56C1">
              <w:rPr>
                <w:sz w:val="20"/>
                <w:szCs w:val="20"/>
              </w:rPr>
              <w:t>ntervener</w:t>
            </w:r>
            <w:r>
              <w:rPr>
                <w:sz w:val="20"/>
                <w:szCs w:val="20"/>
              </w:rPr>
              <w:t xml:space="preserve"> </w:t>
            </w:r>
            <w:r w:rsidRPr="006F56C1">
              <w:rPr>
                <w:sz w:val="20"/>
                <w:szCs w:val="20"/>
              </w:rPr>
              <w:t>Criminal Lawyers’ Association</w:t>
            </w:r>
            <w:r>
              <w:rPr>
                <w:sz w:val="20"/>
                <w:szCs w:val="20"/>
              </w:rPr>
              <w:t xml:space="preserve"> </w:t>
            </w:r>
            <w:r w:rsidRPr="006F56C1">
              <w:rPr>
                <w:sz w:val="20"/>
                <w:szCs w:val="20"/>
              </w:rPr>
              <w:t>of Ontario</w:t>
            </w:r>
            <w:r>
              <w:rPr>
                <w:sz w:val="20"/>
                <w:szCs w:val="20"/>
              </w:rPr>
              <w:t>.</w:t>
            </w:r>
          </w:p>
          <w:p w:rsidR="00276DE5" w:rsidRPr="006F56C1" w:rsidRDefault="00276DE5" w:rsidP="00276DE5">
            <w:pPr>
              <w:jc w:val="both"/>
              <w:rPr>
                <w:sz w:val="20"/>
                <w:szCs w:val="20"/>
              </w:rPr>
            </w:pPr>
          </w:p>
          <w:p w:rsidR="00276DE5" w:rsidRPr="006F56C1" w:rsidRDefault="00276DE5" w:rsidP="00276DE5">
            <w:pPr>
              <w:jc w:val="both"/>
              <w:rPr>
                <w:sz w:val="20"/>
                <w:szCs w:val="20"/>
              </w:rPr>
            </w:pPr>
            <w:r w:rsidRPr="006F56C1">
              <w:rPr>
                <w:sz w:val="20"/>
                <w:szCs w:val="20"/>
              </w:rPr>
              <w:t>Mahmud Jamal</w:t>
            </w:r>
            <w:r>
              <w:rPr>
                <w:sz w:val="20"/>
                <w:szCs w:val="20"/>
              </w:rPr>
              <w:t xml:space="preserve">, </w:t>
            </w:r>
            <w:r w:rsidRPr="006F56C1">
              <w:rPr>
                <w:sz w:val="20"/>
                <w:szCs w:val="20"/>
              </w:rPr>
              <w:t>Patricia Kosseim</w:t>
            </w:r>
            <w:r>
              <w:rPr>
                <w:sz w:val="20"/>
                <w:szCs w:val="20"/>
              </w:rPr>
              <w:t xml:space="preserve">, </w:t>
            </w:r>
            <w:r w:rsidRPr="006F56C1">
              <w:rPr>
                <w:sz w:val="20"/>
                <w:szCs w:val="20"/>
              </w:rPr>
              <w:t>Daniel Caron</w:t>
            </w:r>
            <w:r>
              <w:rPr>
                <w:sz w:val="20"/>
                <w:szCs w:val="20"/>
              </w:rPr>
              <w:t xml:space="preserve"> and </w:t>
            </w:r>
            <w:r w:rsidRPr="006F56C1">
              <w:rPr>
                <w:sz w:val="20"/>
                <w:szCs w:val="20"/>
              </w:rPr>
              <w:t>Sarah Speevak</w:t>
            </w:r>
            <w:r>
              <w:rPr>
                <w:sz w:val="20"/>
                <w:szCs w:val="20"/>
              </w:rPr>
              <w:t xml:space="preserve"> f</w:t>
            </w:r>
            <w:r w:rsidRPr="006F56C1">
              <w:rPr>
                <w:sz w:val="20"/>
                <w:szCs w:val="20"/>
              </w:rPr>
              <w:t xml:space="preserve">or the </w:t>
            </w:r>
            <w:r>
              <w:rPr>
                <w:sz w:val="20"/>
                <w:szCs w:val="20"/>
              </w:rPr>
              <w:t>i</w:t>
            </w:r>
            <w:r w:rsidRPr="006F56C1">
              <w:rPr>
                <w:sz w:val="20"/>
                <w:szCs w:val="20"/>
              </w:rPr>
              <w:t>ntervener</w:t>
            </w:r>
            <w:r>
              <w:rPr>
                <w:sz w:val="20"/>
                <w:szCs w:val="20"/>
              </w:rPr>
              <w:t xml:space="preserve"> </w:t>
            </w:r>
            <w:r w:rsidRPr="006F56C1">
              <w:rPr>
                <w:sz w:val="20"/>
                <w:szCs w:val="20"/>
              </w:rPr>
              <w:t>Privacy Commissioner of Canada</w:t>
            </w:r>
            <w:r>
              <w:rPr>
                <w:sz w:val="20"/>
                <w:szCs w:val="20"/>
              </w:rPr>
              <w:t>.</w:t>
            </w:r>
          </w:p>
          <w:p w:rsidR="00276DE5" w:rsidRPr="006F56C1" w:rsidRDefault="00276DE5" w:rsidP="00276DE5">
            <w:pPr>
              <w:jc w:val="both"/>
              <w:rPr>
                <w:sz w:val="20"/>
                <w:szCs w:val="20"/>
              </w:rPr>
            </w:pPr>
          </w:p>
          <w:p w:rsidR="00276DE5" w:rsidRPr="006F56C1" w:rsidRDefault="00276DE5" w:rsidP="00276DE5">
            <w:pPr>
              <w:jc w:val="both"/>
              <w:rPr>
                <w:sz w:val="20"/>
                <w:szCs w:val="20"/>
              </w:rPr>
            </w:pPr>
            <w:r w:rsidRPr="006F56C1">
              <w:rPr>
                <w:sz w:val="20"/>
                <w:szCs w:val="20"/>
              </w:rPr>
              <w:t>Anthony B. Gerein</w:t>
            </w:r>
            <w:r>
              <w:rPr>
                <w:sz w:val="20"/>
                <w:szCs w:val="20"/>
              </w:rPr>
              <w:t xml:space="preserve"> f</w:t>
            </w:r>
            <w:r w:rsidRPr="006F56C1">
              <w:rPr>
                <w:sz w:val="20"/>
                <w:szCs w:val="20"/>
              </w:rPr>
              <w:t xml:space="preserve">or the </w:t>
            </w:r>
            <w:r>
              <w:rPr>
                <w:sz w:val="20"/>
                <w:szCs w:val="20"/>
              </w:rPr>
              <w:t>r</w:t>
            </w:r>
            <w:r w:rsidRPr="006F56C1">
              <w:rPr>
                <w:sz w:val="20"/>
                <w:szCs w:val="20"/>
              </w:rPr>
              <w:t>espondent.</w:t>
            </w:r>
          </w:p>
          <w:p w:rsidR="00276DE5" w:rsidRPr="006F56C1" w:rsidRDefault="00276DE5" w:rsidP="00276DE5">
            <w:pPr>
              <w:jc w:val="both"/>
              <w:rPr>
                <w:sz w:val="20"/>
                <w:szCs w:val="20"/>
              </w:rPr>
            </w:pPr>
          </w:p>
          <w:p w:rsidR="00276DE5" w:rsidRPr="006F56C1" w:rsidRDefault="00276DE5" w:rsidP="00276DE5">
            <w:pPr>
              <w:jc w:val="both"/>
              <w:rPr>
                <w:sz w:val="20"/>
                <w:szCs w:val="20"/>
              </w:rPr>
            </w:pPr>
            <w:r w:rsidRPr="006F56C1">
              <w:rPr>
                <w:sz w:val="20"/>
                <w:szCs w:val="20"/>
              </w:rPr>
              <w:t>Ronald C. Reimer</w:t>
            </w:r>
            <w:r>
              <w:rPr>
                <w:sz w:val="20"/>
                <w:szCs w:val="20"/>
              </w:rPr>
              <w:t xml:space="preserve"> and </w:t>
            </w:r>
            <w:r w:rsidRPr="006F56C1">
              <w:rPr>
                <w:sz w:val="20"/>
                <w:szCs w:val="20"/>
              </w:rPr>
              <w:t>David Schermbrucker</w:t>
            </w:r>
            <w:r>
              <w:rPr>
                <w:sz w:val="20"/>
                <w:szCs w:val="20"/>
              </w:rPr>
              <w:t xml:space="preserve"> f</w:t>
            </w:r>
            <w:r w:rsidRPr="006F56C1">
              <w:rPr>
                <w:sz w:val="20"/>
                <w:szCs w:val="20"/>
              </w:rPr>
              <w:t xml:space="preserve">or the </w:t>
            </w:r>
            <w:r>
              <w:rPr>
                <w:sz w:val="20"/>
                <w:szCs w:val="20"/>
              </w:rPr>
              <w:t>i</w:t>
            </w:r>
            <w:r w:rsidRPr="006F56C1">
              <w:rPr>
                <w:sz w:val="20"/>
                <w:szCs w:val="20"/>
              </w:rPr>
              <w:t>ntervener</w:t>
            </w:r>
            <w:r>
              <w:rPr>
                <w:sz w:val="20"/>
                <w:szCs w:val="20"/>
              </w:rPr>
              <w:t xml:space="preserve"> </w:t>
            </w:r>
            <w:r w:rsidRPr="006F56C1">
              <w:rPr>
                <w:sz w:val="20"/>
                <w:szCs w:val="20"/>
              </w:rPr>
              <w:t>Director of Public Prosecutions</w:t>
            </w:r>
            <w:r>
              <w:rPr>
                <w:sz w:val="20"/>
                <w:szCs w:val="20"/>
              </w:rPr>
              <w:t>.</w:t>
            </w:r>
          </w:p>
          <w:p w:rsidR="00276DE5" w:rsidRPr="006F56C1" w:rsidRDefault="00276DE5" w:rsidP="00276DE5">
            <w:pPr>
              <w:jc w:val="both"/>
              <w:rPr>
                <w:sz w:val="20"/>
                <w:szCs w:val="20"/>
              </w:rPr>
            </w:pPr>
          </w:p>
          <w:p w:rsidR="00276DE5" w:rsidRPr="006F56C1" w:rsidRDefault="00276DE5" w:rsidP="00276DE5">
            <w:pPr>
              <w:jc w:val="both"/>
              <w:rPr>
                <w:sz w:val="20"/>
                <w:szCs w:val="20"/>
              </w:rPr>
            </w:pPr>
            <w:r w:rsidRPr="006F56C1">
              <w:rPr>
                <w:sz w:val="20"/>
                <w:szCs w:val="20"/>
              </w:rPr>
              <w:t>Susan Magotiaux</w:t>
            </w:r>
            <w:r>
              <w:rPr>
                <w:sz w:val="20"/>
                <w:szCs w:val="20"/>
              </w:rPr>
              <w:t xml:space="preserve"> and </w:t>
            </w:r>
            <w:r w:rsidRPr="006F56C1">
              <w:rPr>
                <w:sz w:val="20"/>
                <w:szCs w:val="20"/>
              </w:rPr>
              <w:t>Allison Dellandrea</w:t>
            </w:r>
            <w:r>
              <w:rPr>
                <w:sz w:val="20"/>
                <w:szCs w:val="20"/>
              </w:rPr>
              <w:t xml:space="preserve"> f</w:t>
            </w:r>
            <w:r w:rsidRPr="006F56C1">
              <w:rPr>
                <w:sz w:val="20"/>
                <w:szCs w:val="20"/>
              </w:rPr>
              <w:t xml:space="preserve">or the </w:t>
            </w:r>
            <w:r>
              <w:rPr>
                <w:sz w:val="20"/>
                <w:szCs w:val="20"/>
              </w:rPr>
              <w:t>i</w:t>
            </w:r>
            <w:r w:rsidRPr="006F56C1">
              <w:rPr>
                <w:sz w:val="20"/>
                <w:szCs w:val="20"/>
              </w:rPr>
              <w:t>ntervener</w:t>
            </w:r>
            <w:r>
              <w:rPr>
                <w:sz w:val="20"/>
                <w:szCs w:val="20"/>
              </w:rPr>
              <w:t xml:space="preserve"> </w:t>
            </w:r>
            <w:r w:rsidRPr="006F56C1">
              <w:rPr>
                <w:sz w:val="20"/>
                <w:szCs w:val="20"/>
              </w:rPr>
              <w:t>Attorney General of Ontario</w:t>
            </w:r>
            <w:r>
              <w:rPr>
                <w:sz w:val="20"/>
                <w:szCs w:val="20"/>
              </w:rPr>
              <w:t>.</w:t>
            </w:r>
          </w:p>
          <w:p w:rsidR="00276DE5" w:rsidRPr="006F56C1" w:rsidRDefault="00276DE5" w:rsidP="00276DE5">
            <w:pPr>
              <w:jc w:val="both"/>
              <w:rPr>
                <w:sz w:val="20"/>
                <w:szCs w:val="20"/>
              </w:rPr>
            </w:pPr>
          </w:p>
          <w:p w:rsidR="00FC7239" w:rsidRPr="00276DE5" w:rsidRDefault="00276DE5" w:rsidP="00276DE5">
            <w:pPr>
              <w:widowControl w:val="0"/>
              <w:jc w:val="both"/>
              <w:rPr>
                <w:sz w:val="20"/>
                <w:szCs w:val="20"/>
              </w:rPr>
            </w:pPr>
            <w:r w:rsidRPr="006F56C1">
              <w:rPr>
                <w:sz w:val="20"/>
                <w:szCs w:val="20"/>
              </w:rPr>
              <w:t>Jolaine Antonio</w:t>
            </w:r>
            <w:r>
              <w:rPr>
                <w:sz w:val="20"/>
                <w:szCs w:val="20"/>
              </w:rPr>
              <w:t xml:space="preserve"> f</w:t>
            </w:r>
            <w:r w:rsidRPr="006F56C1">
              <w:rPr>
                <w:sz w:val="20"/>
                <w:szCs w:val="20"/>
              </w:rPr>
              <w:t xml:space="preserve">or the </w:t>
            </w:r>
            <w:r>
              <w:rPr>
                <w:sz w:val="20"/>
                <w:szCs w:val="20"/>
              </w:rPr>
              <w:t>i</w:t>
            </w:r>
            <w:r w:rsidRPr="006F56C1">
              <w:rPr>
                <w:sz w:val="20"/>
                <w:szCs w:val="20"/>
              </w:rPr>
              <w:t>ntervener</w:t>
            </w:r>
            <w:r>
              <w:rPr>
                <w:sz w:val="20"/>
                <w:szCs w:val="20"/>
              </w:rPr>
              <w:t xml:space="preserve"> </w:t>
            </w:r>
            <w:r w:rsidRPr="006F56C1">
              <w:rPr>
                <w:sz w:val="20"/>
                <w:szCs w:val="20"/>
              </w:rPr>
              <w:t>Attorney General of Alberta</w:t>
            </w:r>
            <w:r>
              <w:rPr>
                <w:sz w:val="20"/>
                <w:szCs w:val="20"/>
              </w:rPr>
              <w:t>.</w:t>
            </w:r>
          </w:p>
        </w:tc>
      </w:tr>
    </w:tbl>
    <w:p w:rsidR="00FC7239" w:rsidRPr="00276DE5" w:rsidRDefault="00FC7239" w:rsidP="00FC7239">
      <w:pPr>
        <w:widowControl w:val="0"/>
      </w:pPr>
    </w:p>
    <w:p w:rsidR="00FC7239" w:rsidRPr="0085476B" w:rsidRDefault="00FC7239" w:rsidP="00FC7239">
      <w:pPr>
        <w:widowControl w:val="0"/>
        <w:rPr>
          <w:sz w:val="20"/>
          <w:szCs w:val="20"/>
        </w:rPr>
      </w:pPr>
      <w:r w:rsidRPr="0085476B">
        <w:rPr>
          <w:b/>
          <w:sz w:val="20"/>
          <w:szCs w:val="20"/>
        </w:rPr>
        <w:t xml:space="preserve">RESERVED / </w:t>
      </w:r>
      <w:r w:rsidRPr="0085476B">
        <w:rPr>
          <w:b/>
          <w:sz w:val="20"/>
          <w:szCs w:val="20"/>
          <w:lang w:val="fr-CA"/>
        </w:rPr>
        <w:t>EN DÉLIBÉRÉ</w:t>
      </w:r>
    </w:p>
    <w:p w:rsidR="00FC7239" w:rsidRDefault="00FC7239" w:rsidP="00FC7239"/>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FC7239" w:rsidRPr="00FC7239" w:rsidTr="00FC7239">
        <w:tc>
          <w:tcPr>
            <w:tcW w:w="4380" w:type="dxa"/>
            <w:tcMar>
              <w:left w:w="0" w:type="dxa"/>
              <w:right w:w="0" w:type="dxa"/>
            </w:tcMar>
          </w:tcPr>
          <w:p w:rsidR="00FC7239" w:rsidRPr="00CC4D84" w:rsidRDefault="00FC7239" w:rsidP="00FC7239">
            <w:pPr>
              <w:widowControl w:val="0"/>
              <w:jc w:val="both"/>
              <w:rPr>
                <w:b/>
                <w:sz w:val="20"/>
                <w:szCs w:val="20"/>
                <w:u w:val="single"/>
              </w:rPr>
            </w:pPr>
            <w:r w:rsidRPr="00CC4D84">
              <w:rPr>
                <w:b/>
                <w:sz w:val="20"/>
                <w:szCs w:val="20"/>
                <w:u w:val="single"/>
              </w:rPr>
              <w:t>Nature of the case:</w:t>
            </w:r>
          </w:p>
          <w:p w:rsidR="00FC7239" w:rsidRPr="00C1697B" w:rsidRDefault="00FC7239" w:rsidP="00FC7239">
            <w:pPr>
              <w:widowControl w:val="0"/>
              <w:jc w:val="both"/>
              <w:rPr>
                <w:b/>
                <w:sz w:val="20"/>
                <w:szCs w:val="20"/>
              </w:rPr>
            </w:pPr>
          </w:p>
          <w:p w:rsidR="00FC7239" w:rsidRPr="00C1697B" w:rsidRDefault="00DF3972" w:rsidP="00FC7239">
            <w:pPr>
              <w:widowControl w:val="0"/>
              <w:jc w:val="both"/>
              <w:rPr>
                <w:b/>
                <w:sz w:val="20"/>
                <w:szCs w:val="20"/>
              </w:rPr>
            </w:pPr>
            <w:r w:rsidRPr="00BE2FDA">
              <w:rPr>
                <w:i/>
                <w:sz w:val="20"/>
                <w:szCs w:val="20"/>
              </w:rPr>
              <w:t xml:space="preserve">Canadian Charter of Rights and Freedoms </w:t>
            </w:r>
            <w:r w:rsidRPr="00BE2FDA">
              <w:rPr>
                <w:sz w:val="20"/>
                <w:szCs w:val="20"/>
              </w:rPr>
              <w:t xml:space="preserve">- Search and seizure - Whether the Court of Appeal erred in concluding that there was no reasonable expectation of privacy in the information attached to an IP address - If the appellant’s rights under s. 8 of the </w:t>
            </w:r>
            <w:r w:rsidRPr="00BE2FDA">
              <w:rPr>
                <w:i/>
                <w:sz w:val="20"/>
                <w:szCs w:val="20"/>
              </w:rPr>
              <w:t xml:space="preserve">Charter </w:t>
            </w:r>
            <w:r w:rsidRPr="00BE2FDA">
              <w:rPr>
                <w:sz w:val="20"/>
                <w:szCs w:val="20"/>
              </w:rPr>
              <w:t xml:space="preserve">were breached, whether the evidence gathered upon the execution of the search warrant should be excluded pursuant to s. 24(2) of the </w:t>
            </w:r>
            <w:r w:rsidRPr="00BE2FDA">
              <w:rPr>
                <w:i/>
                <w:sz w:val="20"/>
                <w:szCs w:val="20"/>
              </w:rPr>
              <w:t>Charter</w:t>
            </w:r>
            <w:r w:rsidRPr="00BE2FDA">
              <w:rPr>
                <w:sz w:val="20"/>
                <w:szCs w:val="20"/>
              </w:rPr>
              <w:t xml:space="preserve"> - Whether the Court of Appeal erred in overturning the trial judge’s decision according to which the appellant did not have the requisite </w:t>
            </w:r>
            <w:r w:rsidRPr="00BE2FDA">
              <w:rPr>
                <w:i/>
                <w:sz w:val="20"/>
                <w:szCs w:val="20"/>
              </w:rPr>
              <w:t>mens rea</w:t>
            </w:r>
            <w:r w:rsidRPr="00BE2FDA">
              <w:rPr>
                <w:sz w:val="20"/>
                <w:szCs w:val="20"/>
              </w:rPr>
              <w:t xml:space="preserve"> to commit the offence of making available child pornography, on the basis that the trial judge failed to consider the question of wilful blindness on the part of the appellant - </w:t>
            </w:r>
            <w:r w:rsidRPr="00BE2FDA">
              <w:rPr>
                <w:i/>
                <w:sz w:val="20"/>
                <w:szCs w:val="20"/>
              </w:rPr>
              <w:t>Criminal Code</w:t>
            </w:r>
            <w:r w:rsidRPr="00BE2FDA">
              <w:rPr>
                <w:sz w:val="20"/>
                <w:szCs w:val="20"/>
              </w:rPr>
              <w:t>, R.S.C. 1985, c. C-46, s. 163.1(3).</w:t>
            </w:r>
          </w:p>
        </w:tc>
        <w:tc>
          <w:tcPr>
            <w:tcW w:w="720" w:type="dxa"/>
            <w:tcMar>
              <w:left w:w="0" w:type="dxa"/>
              <w:right w:w="0" w:type="dxa"/>
            </w:tcMar>
          </w:tcPr>
          <w:p w:rsidR="00FC7239" w:rsidRPr="00C1697B" w:rsidRDefault="00FC7239" w:rsidP="00FC7239">
            <w:pPr>
              <w:widowControl w:val="0"/>
              <w:jc w:val="center"/>
              <w:rPr>
                <w:sz w:val="20"/>
                <w:szCs w:val="20"/>
              </w:rPr>
            </w:pPr>
          </w:p>
        </w:tc>
        <w:tc>
          <w:tcPr>
            <w:tcW w:w="4380" w:type="dxa"/>
            <w:tcMar>
              <w:left w:w="0" w:type="dxa"/>
              <w:right w:w="0" w:type="dxa"/>
            </w:tcMar>
          </w:tcPr>
          <w:p w:rsidR="00FC7239" w:rsidRPr="00CC4D84" w:rsidRDefault="00FC7239" w:rsidP="00FC7239">
            <w:pPr>
              <w:widowControl w:val="0"/>
              <w:jc w:val="both"/>
              <w:rPr>
                <w:b/>
                <w:sz w:val="20"/>
                <w:szCs w:val="20"/>
                <w:u w:val="single"/>
                <w:lang w:val="fr-CA"/>
              </w:rPr>
            </w:pPr>
            <w:r w:rsidRPr="00CC4D84">
              <w:rPr>
                <w:b/>
                <w:sz w:val="20"/>
                <w:szCs w:val="20"/>
                <w:u w:val="single"/>
                <w:lang w:val="fr-CA"/>
              </w:rPr>
              <w:t>Nature de la cause :</w:t>
            </w:r>
          </w:p>
          <w:p w:rsidR="00FC7239" w:rsidRPr="00C1697B" w:rsidRDefault="00FC7239" w:rsidP="00FC7239">
            <w:pPr>
              <w:widowControl w:val="0"/>
              <w:jc w:val="both"/>
              <w:rPr>
                <w:sz w:val="20"/>
                <w:szCs w:val="20"/>
                <w:lang w:val="fr-CA"/>
              </w:rPr>
            </w:pPr>
          </w:p>
          <w:p w:rsidR="00FC7239" w:rsidRPr="00C1697B" w:rsidRDefault="00DF3972" w:rsidP="00FC7239">
            <w:pPr>
              <w:widowControl w:val="0"/>
              <w:jc w:val="both"/>
              <w:rPr>
                <w:sz w:val="20"/>
                <w:szCs w:val="20"/>
                <w:lang w:val="fr-CA"/>
              </w:rPr>
            </w:pPr>
            <w:r w:rsidRPr="00E06C85">
              <w:rPr>
                <w:i/>
                <w:sz w:val="20"/>
                <w:szCs w:val="20"/>
                <w:lang w:val="fr-CA"/>
              </w:rPr>
              <w:t xml:space="preserve">Charte canadienne des droits et libertés </w:t>
            </w:r>
            <w:r w:rsidRPr="00E06C85">
              <w:rPr>
                <w:sz w:val="20"/>
                <w:szCs w:val="20"/>
                <w:lang w:val="fr-CA"/>
              </w:rPr>
              <w:noBreakHyphen/>
              <w:t xml:space="preserve"> Fouilles et perquisitions </w:t>
            </w:r>
            <w:r w:rsidRPr="00E06C85">
              <w:rPr>
                <w:sz w:val="20"/>
                <w:szCs w:val="20"/>
                <w:lang w:val="fr-CA"/>
              </w:rPr>
              <w:noBreakHyphen/>
              <w:t xml:space="preserve"> La Cour d’appel a</w:t>
            </w:r>
            <w:r w:rsidRPr="00E06C85">
              <w:rPr>
                <w:sz w:val="20"/>
                <w:szCs w:val="20"/>
                <w:lang w:val="fr-CA"/>
              </w:rPr>
              <w:noBreakHyphen/>
              <w:t>t</w:t>
            </w:r>
            <w:r w:rsidRPr="00E06C85">
              <w:rPr>
                <w:sz w:val="20"/>
                <w:szCs w:val="20"/>
                <w:lang w:val="fr-CA"/>
              </w:rPr>
              <w:noBreakHyphen/>
              <w:t xml:space="preserve">elle eu tort de conclure qu’il ne saurait y avoir d’attente raisonnable en matière de vie privée à l’égard des renseignements liés à une adresse IP? </w:t>
            </w:r>
            <w:r w:rsidRPr="00E06C85">
              <w:rPr>
                <w:sz w:val="20"/>
                <w:szCs w:val="20"/>
                <w:lang w:val="fr-CA"/>
              </w:rPr>
              <w:noBreakHyphen/>
              <w:t xml:space="preserve"> Si les droits de l’appelant garantis par l’art. 8 de la </w:t>
            </w:r>
            <w:r w:rsidRPr="00E06C85">
              <w:rPr>
                <w:i/>
                <w:sz w:val="20"/>
                <w:szCs w:val="20"/>
                <w:lang w:val="fr-CA"/>
              </w:rPr>
              <w:t xml:space="preserve">Charte </w:t>
            </w:r>
            <w:r w:rsidRPr="00E06C85">
              <w:rPr>
                <w:sz w:val="20"/>
                <w:szCs w:val="20"/>
                <w:lang w:val="fr-CA"/>
              </w:rPr>
              <w:t>ont été violés, la preuve recueillie à la suite de l’exécution du mandat de perquisition devrait</w:t>
            </w:r>
            <w:r w:rsidRPr="00E06C85">
              <w:rPr>
                <w:sz w:val="20"/>
                <w:szCs w:val="20"/>
                <w:lang w:val="fr-CA"/>
              </w:rPr>
              <w:noBreakHyphen/>
              <w:t xml:space="preserve">elle être exclue en application du par. 24(2) de la </w:t>
            </w:r>
            <w:r w:rsidRPr="00E06C85">
              <w:rPr>
                <w:i/>
                <w:sz w:val="20"/>
                <w:szCs w:val="20"/>
                <w:lang w:val="fr-CA"/>
              </w:rPr>
              <w:t>Charte</w:t>
            </w:r>
            <w:r w:rsidRPr="00E06C85">
              <w:rPr>
                <w:sz w:val="20"/>
                <w:szCs w:val="20"/>
                <w:lang w:val="fr-CA"/>
              </w:rPr>
              <w:t xml:space="preserve">? </w:t>
            </w:r>
            <w:r w:rsidRPr="00E06C85">
              <w:rPr>
                <w:sz w:val="20"/>
                <w:szCs w:val="20"/>
                <w:lang w:val="fr-CA"/>
              </w:rPr>
              <w:noBreakHyphen/>
              <w:t xml:space="preserve"> La Cour d’appel a</w:t>
            </w:r>
            <w:r w:rsidRPr="00E06C85">
              <w:rPr>
                <w:sz w:val="20"/>
                <w:szCs w:val="20"/>
                <w:lang w:val="fr-CA"/>
              </w:rPr>
              <w:noBreakHyphen/>
              <w:t>t</w:t>
            </w:r>
            <w:r w:rsidRPr="00E06C85">
              <w:rPr>
                <w:sz w:val="20"/>
                <w:szCs w:val="20"/>
                <w:lang w:val="fr-CA"/>
              </w:rPr>
              <w:noBreakHyphen/>
              <w:t xml:space="preserve">elle eu tort d’infirmer la décision du juge de première instance selon laquelle l’appelant n’avait pas la </w:t>
            </w:r>
            <w:r w:rsidRPr="00E06C85">
              <w:rPr>
                <w:i/>
                <w:sz w:val="20"/>
                <w:szCs w:val="20"/>
                <w:lang w:val="fr-CA"/>
              </w:rPr>
              <w:t>mens rea</w:t>
            </w:r>
            <w:r w:rsidRPr="00E06C85">
              <w:rPr>
                <w:sz w:val="20"/>
                <w:szCs w:val="20"/>
                <w:lang w:val="fr-CA"/>
              </w:rPr>
              <w:t xml:space="preserve"> requise pour commettre l’infraction de rendre accessible de la pornographie juvénile, au motif que le juge du procès avait omis de considérer la question de l’aveuglement volontaire de l’appelant? </w:t>
            </w:r>
            <w:r w:rsidRPr="00E06C85">
              <w:rPr>
                <w:sz w:val="20"/>
                <w:szCs w:val="20"/>
                <w:lang w:val="fr-CA"/>
              </w:rPr>
              <w:noBreakHyphen/>
              <w:t xml:space="preserve"> </w:t>
            </w:r>
            <w:r w:rsidRPr="00E06C85">
              <w:rPr>
                <w:i/>
                <w:sz w:val="20"/>
                <w:szCs w:val="20"/>
                <w:lang w:val="fr-CA"/>
              </w:rPr>
              <w:t>Code criminel</w:t>
            </w:r>
            <w:r w:rsidRPr="00E06C85">
              <w:rPr>
                <w:sz w:val="20"/>
                <w:szCs w:val="20"/>
                <w:lang w:val="fr-CA"/>
              </w:rPr>
              <w:t>, L.R.C. 1985, ch. C</w:t>
            </w:r>
            <w:r w:rsidRPr="00E06C85">
              <w:rPr>
                <w:sz w:val="20"/>
                <w:szCs w:val="20"/>
                <w:lang w:val="fr-CA"/>
              </w:rPr>
              <w:noBreakHyphen/>
              <w:t>46, par. 163.1(3).</w:t>
            </w:r>
          </w:p>
        </w:tc>
      </w:tr>
    </w:tbl>
    <w:p w:rsidR="00FC7239" w:rsidRDefault="00FC7239" w:rsidP="00FC7239">
      <w:pPr>
        <w:widowControl w:val="0"/>
        <w:rPr>
          <w:sz w:val="20"/>
          <w:szCs w:val="20"/>
          <w:lang w:val="fr-CA"/>
        </w:rPr>
      </w:pPr>
    </w:p>
    <w:p w:rsidR="00FC7239" w:rsidRDefault="00E672F1" w:rsidP="00FC7239">
      <w:pPr>
        <w:widowControl w:val="0"/>
        <w:rPr>
          <w:sz w:val="20"/>
          <w:szCs w:val="20"/>
        </w:rPr>
      </w:pPr>
      <w:r>
        <w:rPr>
          <w:sz w:val="20"/>
          <w:szCs w:val="20"/>
          <w:lang w:val="fr-CA"/>
        </w:rPr>
        <w:pict>
          <v:rect id="_x0000_i1065" style="width:2in;height:1pt" o:hrpct="0" o:hralign="center" o:hrstd="t" o:hrnoshade="t" o:hr="t" fillcolor="black [3213]" stroked="f"/>
        </w:pict>
      </w:r>
    </w:p>
    <w:p w:rsidR="00FC7239" w:rsidRDefault="00FC7239" w:rsidP="00FC7239">
      <w:pPr>
        <w:widowControl w:val="0"/>
        <w:rPr>
          <w:sz w:val="20"/>
          <w:szCs w:val="20"/>
        </w:rPr>
      </w:pPr>
    </w:p>
    <w:p w:rsidR="00FC7239" w:rsidRPr="00FC7239" w:rsidRDefault="00FC7239" w:rsidP="00FC7239">
      <w:pPr>
        <w:widowControl w:val="0"/>
        <w:rPr>
          <w:sz w:val="20"/>
          <w:szCs w:val="20"/>
        </w:rPr>
      </w:pPr>
      <w:r>
        <w:rPr>
          <w:sz w:val="20"/>
          <w:szCs w:val="20"/>
        </w:rPr>
        <w:t>1</w:t>
      </w:r>
      <w:r w:rsidRPr="00FC7239">
        <w:rPr>
          <w:sz w:val="20"/>
          <w:szCs w:val="20"/>
        </w:rPr>
        <w:t>0.12.2013</w:t>
      </w:r>
    </w:p>
    <w:p w:rsidR="00FC7239" w:rsidRDefault="00FC7239" w:rsidP="00FC7239">
      <w:pPr>
        <w:widowControl w:val="0"/>
        <w:rPr>
          <w:sz w:val="20"/>
          <w:szCs w:val="20"/>
        </w:rPr>
      </w:pPr>
    </w:p>
    <w:p w:rsidR="00B00C6C" w:rsidRPr="005F7AC6" w:rsidRDefault="00B00C6C" w:rsidP="00B00C6C">
      <w:pPr>
        <w:widowControl w:val="0"/>
        <w:ind w:left="720" w:hanging="720"/>
        <w:rPr>
          <w:sz w:val="20"/>
          <w:szCs w:val="20"/>
          <w:u w:val="single"/>
        </w:rPr>
      </w:pPr>
      <w:r w:rsidRPr="005F7AC6">
        <w:rPr>
          <w:sz w:val="20"/>
          <w:szCs w:val="20"/>
        </w:rPr>
        <w:t xml:space="preserve">Coram: </w:t>
      </w:r>
      <w:r w:rsidRPr="005F7AC6">
        <w:rPr>
          <w:sz w:val="20"/>
          <w:szCs w:val="20"/>
        </w:rPr>
        <w:tab/>
      </w:r>
      <w:r w:rsidRPr="005F7AC6">
        <w:rPr>
          <w:sz w:val="20"/>
          <w:szCs w:val="20"/>
          <w:u w:val="single"/>
        </w:rPr>
        <w:t xml:space="preserve">McLachlin C.J. and LeBel, Abella, Rothstein, Cromwell, Karakatsanis and Wagner JJ. </w:t>
      </w:r>
    </w:p>
    <w:p w:rsidR="00FC7239" w:rsidRPr="00FC7239" w:rsidRDefault="00FC7239" w:rsidP="00FC7239">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FC7239" w:rsidRPr="00E672F1" w:rsidTr="00FC7239">
        <w:tc>
          <w:tcPr>
            <w:tcW w:w="4380" w:type="dxa"/>
            <w:tcMar>
              <w:left w:w="0" w:type="dxa"/>
              <w:right w:w="0" w:type="dxa"/>
            </w:tcMar>
          </w:tcPr>
          <w:p w:rsidR="00FC7239" w:rsidRPr="00FC7239" w:rsidRDefault="00B00C6C" w:rsidP="00FC7239">
            <w:pPr>
              <w:widowControl w:val="0"/>
              <w:rPr>
                <w:b/>
                <w:sz w:val="20"/>
                <w:szCs w:val="20"/>
              </w:rPr>
            </w:pPr>
            <w:r w:rsidRPr="005F7AC6">
              <w:rPr>
                <w:b/>
                <w:sz w:val="20"/>
                <w:szCs w:val="20"/>
              </w:rPr>
              <w:t xml:space="preserve">Douglas Martin </w:t>
            </w:r>
          </w:p>
          <w:p w:rsidR="00FC7239" w:rsidRPr="00600976" w:rsidRDefault="00FC7239" w:rsidP="00FC7239">
            <w:pPr>
              <w:widowControl w:val="0"/>
              <w:rPr>
                <w:b/>
                <w:sz w:val="20"/>
                <w:szCs w:val="20"/>
              </w:rPr>
            </w:pPr>
          </w:p>
          <w:p w:rsidR="00FC7239" w:rsidRPr="00B00C6C" w:rsidRDefault="00FC7239" w:rsidP="00FC7239">
            <w:pPr>
              <w:widowControl w:val="0"/>
              <w:rPr>
                <w:b/>
                <w:sz w:val="20"/>
                <w:szCs w:val="20"/>
              </w:rPr>
            </w:pPr>
            <w:r w:rsidRPr="00600976">
              <w:rPr>
                <w:b/>
                <w:sz w:val="20"/>
                <w:szCs w:val="20"/>
              </w:rPr>
              <w:tab/>
            </w:r>
            <w:r w:rsidRPr="00B00C6C">
              <w:rPr>
                <w:b/>
                <w:sz w:val="20"/>
                <w:szCs w:val="20"/>
              </w:rPr>
              <w:t xml:space="preserve">c. </w:t>
            </w:r>
            <w:r w:rsidR="00B00C6C" w:rsidRPr="005F7AC6">
              <w:rPr>
                <w:sz w:val="20"/>
                <w:szCs w:val="20"/>
              </w:rPr>
              <w:t>(</w:t>
            </w:r>
            <w:hyperlink r:id="rId60" w:history="1">
              <w:r w:rsidR="00B00C6C" w:rsidRPr="005F7AC6">
                <w:rPr>
                  <w:rStyle w:val="Hyperlink"/>
                  <w:sz w:val="20"/>
                  <w:szCs w:val="20"/>
                </w:rPr>
                <w:t>35052</w:t>
              </w:r>
            </w:hyperlink>
            <w:r w:rsidR="00B00C6C" w:rsidRPr="005F7AC6">
              <w:rPr>
                <w:sz w:val="20"/>
                <w:szCs w:val="20"/>
              </w:rPr>
              <w:t>)</w:t>
            </w:r>
          </w:p>
          <w:p w:rsidR="00FC7239" w:rsidRPr="00B00C6C" w:rsidRDefault="00FC7239" w:rsidP="00FC7239">
            <w:pPr>
              <w:widowControl w:val="0"/>
              <w:rPr>
                <w:b/>
                <w:sz w:val="20"/>
                <w:szCs w:val="20"/>
              </w:rPr>
            </w:pPr>
          </w:p>
          <w:p w:rsidR="00FC7239" w:rsidRPr="00C50A5C" w:rsidRDefault="00B00C6C" w:rsidP="00FC7239">
            <w:pPr>
              <w:widowControl w:val="0"/>
              <w:rPr>
                <w:sz w:val="20"/>
                <w:szCs w:val="20"/>
                <w:lang w:val="fr-CA"/>
              </w:rPr>
            </w:pPr>
            <w:r w:rsidRPr="005F7AC6">
              <w:rPr>
                <w:b/>
                <w:sz w:val="20"/>
                <w:szCs w:val="20"/>
              </w:rPr>
              <w:lastRenderedPageBreak/>
              <w:t>Workers’ Compensation Board of Alberta et al. (Alta.) (Civil) (By Leave)</w:t>
            </w:r>
          </w:p>
        </w:tc>
        <w:tc>
          <w:tcPr>
            <w:tcW w:w="720" w:type="dxa"/>
            <w:tcMar>
              <w:left w:w="0" w:type="dxa"/>
              <w:right w:w="0" w:type="dxa"/>
            </w:tcMar>
          </w:tcPr>
          <w:p w:rsidR="00FC7239" w:rsidRPr="00C50A5C" w:rsidRDefault="00FC7239" w:rsidP="00FC7239">
            <w:pPr>
              <w:widowControl w:val="0"/>
              <w:jc w:val="center"/>
              <w:rPr>
                <w:sz w:val="20"/>
                <w:szCs w:val="20"/>
                <w:lang w:val="fr-CA"/>
              </w:rPr>
            </w:pPr>
          </w:p>
        </w:tc>
        <w:tc>
          <w:tcPr>
            <w:tcW w:w="4380" w:type="dxa"/>
            <w:tcMar>
              <w:left w:w="0" w:type="dxa"/>
              <w:right w:w="0" w:type="dxa"/>
            </w:tcMar>
          </w:tcPr>
          <w:p w:rsidR="00C70F7C" w:rsidRPr="009E4A1C" w:rsidRDefault="00C70F7C" w:rsidP="00C70F7C">
            <w:pPr>
              <w:jc w:val="both"/>
              <w:rPr>
                <w:sz w:val="20"/>
                <w:szCs w:val="20"/>
              </w:rPr>
            </w:pPr>
            <w:r w:rsidRPr="009E4A1C">
              <w:rPr>
                <w:sz w:val="20"/>
                <w:szCs w:val="20"/>
              </w:rPr>
              <w:t>Andrew Raven</w:t>
            </w:r>
            <w:r>
              <w:rPr>
                <w:sz w:val="20"/>
                <w:szCs w:val="20"/>
              </w:rPr>
              <w:t xml:space="preserve">, </w:t>
            </w:r>
            <w:r w:rsidRPr="009E4A1C">
              <w:rPr>
                <w:sz w:val="20"/>
                <w:szCs w:val="20"/>
              </w:rPr>
              <w:t>Andrew Astritis</w:t>
            </w:r>
            <w:r>
              <w:rPr>
                <w:sz w:val="20"/>
                <w:szCs w:val="20"/>
              </w:rPr>
              <w:t xml:space="preserve"> and </w:t>
            </w:r>
            <w:r w:rsidRPr="009E4A1C">
              <w:rPr>
                <w:sz w:val="20"/>
                <w:szCs w:val="20"/>
                <w:lang w:val="en-US"/>
              </w:rPr>
              <w:t>Amanda Montague</w:t>
            </w:r>
            <w:r>
              <w:rPr>
                <w:sz w:val="20"/>
                <w:szCs w:val="20"/>
                <w:lang w:val="en-US"/>
              </w:rPr>
              <w:t>-</w:t>
            </w:r>
            <w:r w:rsidRPr="009E4A1C">
              <w:rPr>
                <w:sz w:val="20"/>
                <w:szCs w:val="20"/>
                <w:lang w:val="en-US"/>
              </w:rPr>
              <w:t>Reinholdt</w:t>
            </w:r>
            <w:r>
              <w:rPr>
                <w:sz w:val="20"/>
                <w:szCs w:val="20"/>
                <w:lang w:val="en-US"/>
              </w:rPr>
              <w:t xml:space="preserve"> f</w:t>
            </w:r>
            <w:r w:rsidRPr="009E4A1C">
              <w:rPr>
                <w:sz w:val="20"/>
                <w:szCs w:val="20"/>
              </w:rPr>
              <w:t xml:space="preserve">or the </w:t>
            </w:r>
            <w:r>
              <w:rPr>
                <w:sz w:val="20"/>
                <w:szCs w:val="20"/>
              </w:rPr>
              <w:t>a</w:t>
            </w:r>
            <w:r w:rsidRPr="009E4A1C">
              <w:rPr>
                <w:sz w:val="20"/>
                <w:szCs w:val="20"/>
              </w:rPr>
              <w:t>ppellant.</w:t>
            </w:r>
          </w:p>
          <w:p w:rsidR="00C70F7C" w:rsidRPr="009E4A1C" w:rsidRDefault="00C70F7C" w:rsidP="00C70F7C">
            <w:pPr>
              <w:jc w:val="both"/>
              <w:rPr>
                <w:sz w:val="20"/>
                <w:szCs w:val="20"/>
                <w:lang w:val="en-US"/>
              </w:rPr>
            </w:pPr>
          </w:p>
          <w:p w:rsidR="00C70F7C" w:rsidRPr="009E4A1C" w:rsidRDefault="00C70F7C" w:rsidP="00C70F7C">
            <w:pPr>
              <w:jc w:val="both"/>
              <w:rPr>
                <w:sz w:val="20"/>
                <w:szCs w:val="20"/>
              </w:rPr>
            </w:pPr>
            <w:r w:rsidRPr="009E4A1C">
              <w:rPr>
                <w:sz w:val="20"/>
                <w:szCs w:val="20"/>
              </w:rPr>
              <w:t>Douglas R. Mah</w:t>
            </w:r>
            <w:r>
              <w:rPr>
                <w:sz w:val="20"/>
                <w:szCs w:val="20"/>
              </w:rPr>
              <w:t xml:space="preserve"> and </w:t>
            </w:r>
            <w:r w:rsidRPr="009E4A1C">
              <w:rPr>
                <w:sz w:val="20"/>
                <w:szCs w:val="20"/>
                <w:lang w:val="en-US"/>
              </w:rPr>
              <w:t>Ron Goltz</w:t>
            </w:r>
            <w:r>
              <w:rPr>
                <w:sz w:val="20"/>
                <w:szCs w:val="20"/>
                <w:lang w:val="en-US"/>
              </w:rPr>
              <w:t xml:space="preserve"> f</w:t>
            </w:r>
            <w:r w:rsidRPr="009E4A1C">
              <w:rPr>
                <w:sz w:val="20"/>
                <w:szCs w:val="20"/>
              </w:rPr>
              <w:t xml:space="preserve">or the </w:t>
            </w:r>
            <w:r>
              <w:rPr>
                <w:sz w:val="20"/>
                <w:szCs w:val="20"/>
              </w:rPr>
              <w:t>r</w:t>
            </w:r>
            <w:r w:rsidRPr="009E4A1C">
              <w:rPr>
                <w:sz w:val="20"/>
                <w:szCs w:val="20"/>
              </w:rPr>
              <w:t>espondent</w:t>
            </w:r>
            <w:r>
              <w:rPr>
                <w:sz w:val="20"/>
                <w:szCs w:val="20"/>
              </w:rPr>
              <w:t xml:space="preserve"> </w:t>
            </w:r>
            <w:r w:rsidRPr="009E4A1C">
              <w:rPr>
                <w:sz w:val="20"/>
                <w:szCs w:val="20"/>
              </w:rPr>
              <w:t>Workers</w:t>
            </w:r>
            <w:r>
              <w:rPr>
                <w:sz w:val="20"/>
                <w:szCs w:val="20"/>
              </w:rPr>
              <w:t>’</w:t>
            </w:r>
            <w:r w:rsidRPr="009E4A1C">
              <w:rPr>
                <w:sz w:val="20"/>
                <w:szCs w:val="20"/>
              </w:rPr>
              <w:t xml:space="preserve"> Compensation Board of Alberta</w:t>
            </w:r>
            <w:r>
              <w:rPr>
                <w:sz w:val="20"/>
                <w:szCs w:val="20"/>
              </w:rPr>
              <w:t>.</w:t>
            </w:r>
          </w:p>
          <w:p w:rsidR="00C70F7C" w:rsidRPr="009E4A1C" w:rsidRDefault="00C70F7C" w:rsidP="00C70F7C">
            <w:pPr>
              <w:jc w:val="both"/>
              <w:rPr>
                <w:sz w:val="20"/>
                <w:szCs w:val="20"/>
              </w:rPr>
            </w:pPr>
          </w:p>
          <w:p w:rsidR="00C70F7C" w:rsidRPr="009E4A1C" w:rsidRDefault="00C70F7C" w:rsidP="00C70F7C">
            <w:pPr>
              <w:jc w:val="both"/>
              <w:rPr>
                <w:sz w:val="20"/>
                <w:szCs w:val="20"/>
                <w:lang w:val="en-US"/>
              </w:rPr>
            </w:pPr>
            <w:r w:rsidRPr="009E4A1C">
              <w:rPr>
                <w:sz w:val="20"/>
                <w:szCs w:val="20"/>
                <w:lang w:val="en-US"/>
              </w:rPr>
              <w:t>Sandra R. Hermiston</w:t>
            </w:r>
            <w:r>
              <w:rPr>
                <w:sz w:val="20"/>
                <w:szCs w:val="20"/>
                <w:lang w:val="en-US"/>
              </w:rPr>
              <w:t xml:space="preserve"> f</w:t>
            </w:r>
            <w:r w:rsidRPr="009E4A1C">
              <w:rPr>
                <w:sz w:val="20"/>
                <w:szCs w:val="20"/>
                <w:lang w:val="en-US"/>
              </w:rPr>
              <w:t xml:space="preserve">or the </w:t>
            </w:r>
            <w:r>
              <w:rPr>
                <w:sz w:val="20"/>
                <w:szCs w:val="20"/>
                <w:lang w:val="en-US"/>
              </w:rPr>
              <w:t>r</w:t>
            </w:r>
            <w:r w:rsidRPr="009E4A1C">
              <w:rPr>
                <w:sz w:val="20"/>
                <w:szCs w:val="20"/>
                <w:lang w:val="en-US"/>
              </w:rPr>
              <w:t>espondent</w:t>
            </w:r>
            <w:r>
              <w:rPr>
                <w:sz w:val="20"/>
                <w:szCs w:val="20"/>
                <w:lang w:val="en-US"/>
              </w:rPr>
              <w:t xml:space="preserve"> </w:t>
            </w:r>
            <w:r w:rsidRPr="009E4A1C">
              <w:rPr>
                <w:sz w:val="20"/>
                <w:szCs w:val="20"/>
                <w:lang w:val="en-US"/>
              </w:rPr>
              <w:t xml:space="preserve">Appeals </w:t>
            </w:r>
            <w:r w:rsidRPr="009E4A1C">
              <w:rPr>
                <w:sz w:val="20"/>
                <w:szCs w:val="20"/>
                <w:lang w:val="en-US"/>
              </w:rPr>
              <w:lastRenderedPageBreak/>
              <w:t>Commission for Alberta</w:t>
            </w:r>
            <w:r>
              <w:rPr>
                <w:sz w:val="20"/>
                <w:szCs w:val="20"/>
                <w:lang w:val="en-US"/>
              </w:rPr>
              <w:t xml:space="preserve"> </w:t>
            </w:r>
            <w:r w:rsidRPr="009E4A1C">
              <w:rPr>
                <w:sz w:val="20"/>
                <w:szCs w:val="20"/>
                <w:lang w:val="en-US"/>
              </w:rPr>
              <w:t>Workers</w:t>
            </w:r>
            <w:r>
              <w:rPr>
                <w:sz w:val="20"/>
                <w:szCs w:val="20"/>
                <w:lang w:val="en-US"/>
              </w:rPr>
              <w:t>’</w:t>
            </w:r>
            <w:r w:rsidRPr="009E4A1C">
              <w:rPr>
                <w:sz w:val="20"/>
                <w:szCs w:val="20"/>
                <w:lang w:val="en-US"/>
              </w:rPr>
              <w:t xml:space="preserve"> Compensation</w:t>
            </w:r>
            <w:r>
              <w:rPr>
                <w:sz w:val="20"/>
                <w:szCs w:val="20"/>
                <w:lang w:val="en-US"/>
              </w:rPr>
              <w:t>.</w:t>
            </w:r>
          </w:p>
          <w:p w:rsidR="00C70F7C" w:rsidRPr="009E4A1C" w:rsidRDefault="00C70F7C" w:rsidP="00C70F7C">
            <w:pPr>
              <w:jc w:val="both"/>
              <w:rPr>
                <w:sz w:val="20"/>
                <w:szCs w:val="20"/>
                <w:lang w:val="en-US"/>
              </w:rPr>
            </w:pPr>
          </w:p>
          <w:p w:rsidR="00C70F7C" w:rsidRPr="009E4A1C" w:rsidRDefault="00C70F7C" w:rsidP="00C70F7C">
            <w:pPr>
              <w:jc w:val="both"/>
              <w:rPr>
                <w:sz w:val="20"/>
                <w:szCs w:val="20"/>
              </w:rPr>
            </w:pPr>
            <w:r w:rsidRPr="009E4A1C">
              <w:rPr>
                <w:sz w:val="20"/>
                <w:szCs w:val="20"/>
              </w:rPr>
              <w:t>John S. Tyhurst</w:t>
            </w:r>
            <w:r>
              <w:rPr>
                <w:sz w:val="20"/>
                <w:szCs w:val="20"/>
              </w:rPr>
              <w:t xml:space="preserve"> f</w:t>
            </w:r>
            <w:r w:rsidRPr="009E4A1C">
              <w:rPr>
                <w:sz w:val="20"/>
                <w:szCs w:val="20"/>
              </w:rPr>
              <w:t xml:space="preserve">or the </w:t>
            </w:r>
            <w:r>
              <w:rPr>
                <w:sz w:val="20"/>
                <w:szCs w:val="20"/>
              </w:rPr>
              <w:t>r</w:t>
            </w:r>
            <w:r w:rsidRPr="009E4A1C">
              <w:rPr>
                <w:sz w:val="20"/>
                <w:szCs w:val="20"/>
              </w:rPr>
              <w:t>espondent</w:t>
            </w:r>
            <w:r>
              <w:rPr>
                <w:sz w:val="20"/>
                <w:szCs w:val="20"/>
              </w:rPr>
              <w:t xml:space="preserve"> </w:t>
            </w:r>
            <w:r w:rsidRPr="009E4A1C">
              <w:rPr>
                <w:sz w:val="20"/>
                <w:szCs w:val="20"/>
              </w:rPr>
              <w:t>Attorney General of Canada</w:t>
            </w:r>
            <w:r>
              <w:rPr>
                <w:sz w:val="20"/>
                <w:szCs w:val="20"/>
              </w:rPr>
              <w:t>.</w:t>
            </w:r>
          </w:p>
          <w:p w:rsidR="00C70F7C" w:rsidRPr="009E4A1C" w:rsidRDefault="00C70F7C" w:rsidP="00C70F7C">
            <w:pPr>
              <w:jc w:val="both"/>
              <w:rPr>
                <w:sz w:val="20"/>
                <w:szCs w:val="20"/>
                <w:lang w:val="en-US"/>
              </w:rPr>
            </w:pPr>
          </w:p>
          <w:p w:rsidR="00C70F7C" w:rsidRPr="009E4A1C" w:rsidRDefault="00C70F7C" w:rsidP="00C70F7C">
            <w:pPr>
              <w:jc w:val="both"/>
              <w:rPr>
                <w:sz w:val="20"/>
                <w:szCs w:val="20"/>
                <w:lang w:val="en-US"/>
              </w:rPr>
            </w:pPr>
            <w:r w:rsidRPr="009E4A1C">
              <w:rPr>
                <w:sz w:val="20"/>
                <w:szCs w:val="20"/>
              </w:rPr>
              <w:t>Laurel M. Courtenay</w:t>
            </w:r>
            <w:r>
              <w:rPr>
                <w:sz w:val="20"/>
                <w:szCs w:val="20"/>
              </w:rPr>
              <w:t xml:space="preserve"> and </w:t>
            </w:r>
            <w:r w:rsidRPr="009E4A1C">
              <w:rPr>
                <w:sz w:val="20"/>
                <w:szCs w:val="20"/>
              </w:rPr>
              <w:t xml:space="preserve">Scott A. Nielsen </w:t>
            </w:r>
            <w:r>
              <w:rPr>
                <w:sz w:val="20"/>
                <w:szCs w:val="20"/>
              </w:rPr>
              <w:t>f</w:t>
            </w:r>
            <w:r w:rsidRPr="009E4A1C">
              <w:rPr>
                <w:sz w:val="20"/>
                <w:szCs w:val="20"/>
              </w:rPr>
              <w:t xml:space="preserve">or the </w:t>
            </w:r>
            <w:r>
              <w:rPr>
                <w:sz w:val="20"/>
                <w:szCs w:val="20"/>
              </w:rPr>
              <w:t>i</w:t>
            </w:r>
            <w:r w:rsidRPr="009E4A1C">
              <w:rPr>
                <w:sz w:val="20"/>
                <w:szCs w:val="20"/>
              </w:rPr>
              <w:t>ntervener</w:t>
            </w:r>
            <w:r>
              <w:rPr>
                <w:sz w:val="20"/>
                <w:szCs w:val="20"/>
              </w:rPr>
              <w:t xml:space="preserve"> </w:t>
            </w:r>
            <w:r w:rsidRPr="009E4A1C">
              <w:rPr>
                <w:sz w:val="20"/>
                <w:szCs w:val="20"/>
              </w:rPr>
              <w:t>Workers</w:t>
            </w:r>
            <w:r>
              <w:rPr>
                <w:sz w:val="20"/>
                <w:szCs w:val="20"/>
              </w:rPr>
              <w:t>’</w:t>
            </w:r>
            <w:r w:rsidRPr="009E4A1C">
              <w:rPr>
                <w:sz w:val="20"/>
                <w:szCs w:val="20"/>
              </w:rPr>
              <w:t xml:space="preserve"> Compensation Board of </w:t>
            </w:r>
            <w:r w:rsidRPr="009E4A1C">
              <w:rPr>
                <w:sz w:val="20"/>
                <w:szCs w:val="20"/>
                <w:lang w:val="en-US"/>
              </w:rPr>
              <w:t>British Columbia</w:t>
            </w:r>
            <w:r>
              <w:rPr>
                <w:sz w:val="20"/>
                <w:szCs w:val="20"/>
                <w:lang w:val="en-US"/>
              </w:rPr>
              <w:t>.</w:t>
            </w:r>
          </w:p>
          <w:p w:rsidR="00C70F7C" w:rsidRPr="009E4A1C" w:rsidRDefault="00C70F7C" w:rsidP="00C70F7C">
            <w:pPr>
              <w:jc w:val="both"/>
              <w:rPr>
                <w:sz w:val="20"/>
                <w:szCs w:val="20"/>
                <w:lang w:val="en-US"/>
              </w:rPr>
            </w:pPr>
          </w:p>
          <w:p w:rsidR="00C70F7C" w:rsidRPr="009E4A1C" w:rsidRDefault="00C70F7C" w:rsidP="00C70F7C">
            <w:pPr>
              <w:jc w:val="both"/>
              <w:rPr>
                <w:sz w:val="20"/>
                <w:szCs w:val="20"/>
              </w:rPr>
            </w:pPr>
            <w:r w:rsidRPr="009E4A1C">
              <w:rPr>
                <w:bCs/>
                <w:sz w:val="20"/>
                <w:szCs w:val="20"/>
              </w:rPr>
              <w:t>Roderick (Rory) H. Rogers, Q.C.</w:t>
            </w:r>
            <w:r>
              <w:rPr>
                <w:bCs/>
                <w:sz w:val="20"/>
                <w:szCs w:val="20"/>
              </w:rPr>
              <w:t xml:space="preserve"> and </w:t>
            </w:r>
            <w:r w:rsidRPr="009E4A1C">
              <w:rPr>
                <w:sz w:val="20"/>
                <w:szCs w:val="20"/>
              </w:rPr>
              <w:t>Madeleine F. Hearns</w:t>
            </w:r>
            <w:r>
              <w:rPr>
                <w:sz w:val="20"/>
                <w:szCs w:val="20"/>
              </w:rPr>
              <w:t xml:space="preserve"> f</w:t>
            </w:r>
            <w:r w:rsidRPr="009E4A1C">
              <w:rPr>
                <w:sz w:val="20"/>
                <w:szCs w:val="20"/>
              </w:rPr>
              <w:t xml:space="preserve">or the </w:t>
            </w:r>
            <w:r>
              <w:rPr>
                <w:sz w:val="20"/>
                <w:szCs w:val="20"/>
              </w:rPr>
              <w:t>i</w:t>
            </w:r>
            <w:r w:rsidRPr="009E4A1C">
              <w:rPr>
                <w:sz w:val="20"/>
                <w:szCs w:val="20"/>
              </w:rPr>
              <w:t>ntervener</w:t>
            </w:r>
            <w:r>
              <w:rPr>
                <w:sz w:val="20"/>
                <w:szCs w:val="20"/>
              </w:rPr>
              <w:t xml:space="preserve"> </w:t>
            </w:r>
            <w:r w:rsidRPr="009E4A1C">
              <w:rPr>
                <w:sz w:val="20"/>
                <w:szCs w:val="20"/>
              </w:rPr>
              <w:t>Workers</w:t>
            </w:r>
            <w:r>
              <w:rPr>
                <w:sz w:val="20"/>
                <w:szCs w:val="20"/>
              </w:rPr>
              <w:t>’</w:t>
            </w:r>
            <w:r w:rsidRPr="009E4A1C">
              <w:rPr>
                <w:sz w:val="20"/>
                <w:szCs w:val="20"/>
              </w:rPr>
              <w:t xml:space="preserve"> Compensation Board of </w:t>
            </w:r>
            <w:r>
              <w:rPr>
                <w:sz w:val="20"/>
                <w:szCs w:val="20"/>
              </w:rPr>
              <w:t>N</w:t>
            </w:r>
            <w:r w:rsidRPr="009E4A1C">
              <w:rPr>
                <w:sz w:val="20"/>
                <w:szCs w:val="20"/>
              </w:rPr>
              <w:t>ova Scotia</w:t>
            </w:r>
            <w:r>
              <w:rPr>
                <w:sz w:val="20"/>
                <w:szCs w:val="20"/>
              </w:rPr>
              <w:t>.</w:t>
            </w:r>
          </w:p>
          <w:p w:rsidR="00C70F7C" w:rsidRPr="009E4A1C" w:rsidRDefault="00C70F7C" w:rsidP="00C70F7C">
            <w:pPr>
              <w:jc w:val="both"/>
              <w:rPr>
                <w:sz w:val="20"/>
                <w:szCs w:val="20"/>
              </w:rPr>
            </w:pPr>
          </w:p>
          <w:p w:rsidR="00FC7239" w:rsidRPr="00FC7239" w:rsidRDefault="00C70F7C" w:rsidP="00C70F7C">
            <w:pPr>
              <w:jc w:val="both"/>
              <w:rPr>
                <w:sz w:val="20"/>
                <w:szCs w:val="20"/>
                <w:lang w:val="fr-CA"/>
              </w:rPr>
            </w:pPr>
            <w:r w:rsidRPr="009E4A1C">
              <w:rPr>
                <w:sz w:val="20"/>
                <w:szCs w:val="20"/>
                <w:lang w:val="fr-CA"/>
              </w:rPr>
              <w:t>Pierre-Michel Lajeunesse</w:t>
            </w:r>
            <w:r>
              <w:rPr>
                <w:sz w:val="20"/>
                <w:szCs w:val="20"/>
                <w:lang w:val="fr-CA"/>
              </w:rPr>
              <w:t xml:space="preserve"> et </w:t>
            </w:r>
            <w:r w:rsidRPr="009E4A1C">
              <w:rPr>
                <w:sz w:val="20"/>
                <w:szCs w:val="20"/>
                <w:lang w:val="fr-CA"/>
              </w:rPr>
              <w:t xml:space="preserve">Lucille Giard </w:t>
            </w:r>
            <w:r>
              <w:rPr>
                <w:sz w:val="20"/>
                <w:szCs w:val="20"/>
                <w:lang w:val="fr-CA"/>
              </w:rPr>
              <w:t>p</w:t>
            </w:r>
            <w:r w:rsidRPr="009E4A1C">
              <w:rPr>
                <w:sz w:val="20"/>
                <w:szCs w:val="20"/>
                <w:lang w:val="fr-CA"/>
              </w:rPr>
              <w:t>our l’intervenante</w:t>
            </w:r>
            <w:r>
              <w:rPr>
                <w:sz w:val="20"/>
                <w:szCs w:val="20"/>
                <w:lang w:val="fr-CA"/>
              </w:rPr>
              <w:t xml:space="preserve"> </w:t>
            </w:r>
            <w:r w:rsidRPr="009E4A1C">
              <w:rPr>
                <w:sz w:val="20"/>
                <w:szCs w:val="20"/>
                <w:lang w:val="fr-CA"/>
              </w:rPr>
              <w:t>Commission de la santé et de la sécurité du travail</w:t>
            </w:r>
            <w:r>
              <w:rPr>
                <w:sz w:val="20"/>
                <w:szCs w:val="20"/>
                <w:lang w:val="fr-CA"/>
              </w:rPr>
              <w:t>.</w:t>
            </w:r>
          </w:p>
        </w:tc>
      </w:tr>
    </w:tbl>
    <w:p w:rsidR="00FC7239" w:rsidRPr="00FC7239" w:rsidRDefault="00FC7239" w:rsidP="00FC7239">
      <w:pPr>
        <w:widowControl w:val="0"/>
        <w:rPr>
          <w:lang w:val="fr-CA"/>
        </w:rPr>
      </w:pPr>
    </w:p>
    <w:p w:rsidR="00FC7239" w:rsidRPr="0085476B" w:rsidRDefault="00FC7239" w:rsidP="00FC7239">
      <w:pPr>
        <w:widowControl w:val="0"/>
        <w:rPr>
          <w:sz w:val="20"/>
          <w:szCs w:val="20"/>
        </w:rPr>
      </w:pPr>
      <w:r w:rsidRPr="0085476B">
        <w:rPr>
          <w:b/>
          <w:sz w:val="20"/>
          <w:szCs w:val="20"/>
        </w:rPr>
        <w:t xml:space="preserve">RESERVED / </w:t>
      </w:r>
      <w:r w:rsidRPr="0085476B">
        <w:rPr>
          <w:b/>
          <w:sz w:val="20"/>
          <w:szCs w:val="20"/>
          <w:lang w:val="fr-CA"/>
        </w:rPr>
        <w:t>EN DÉLIBÉRÉ</w:t>
      </w:r>
    </w:p>
    <w:p w:rsidR="00FC7239" w:rsidRDefault="00FC7239" w:rsidP="00FC7239"/>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FC7239" w:rsidRPr="00E672F1" w:rsidTr="00FC7239">
        <w:tc>
          <w:tcPr>
            <w:tcW w:w="4380" w:type="dxa"/>
            <w:tcMar>
              <w:left w:w="0" w:type="dxa"/>
              <w:right w:w="0" w:type="dxa"/>
            </w:tcMar>
          </w:tcPr>
          <w:p w:rsidR="00FC7239" w:rsidRPr="00CC4D84" w:rsidRDefault="00FC7239" w:rsidP="00FC7239">
            <w:pPr>
              <w:widowControl w:val="0"/>
              <w:jc w:val="both"/>
              <w:rPr>
                <w:b/>
                <w:sz w:val="20"/>
                <w:szCs w:val="20"/>
                <w:u w:val="single"/>
              </w:rPr>
            </w:pPr>
            <w:r w:rsidRPr="00CC4D84">
              <w:rPr>
                <w:b/>
                <w:sz w:val="20"/>
                <w:szCs w:val="20"/>
                <w:u w:val="single"/>
              </w:rPr>
              <w:t>Nature of the case:</w:t>
            </w:r>
          </w:p>
          <w:p w:rsidR="00FC7239" w:rsidRPr="00C1697B" w:rsidRDefault="00FC7239" w:rsidP="00FC7239">
            <w:pPr>
              <w:widowControl w:val="0"/>
              <w:jc w:val="both"/>
              <w:rPr>
                <w:b/>
                <w:sz w:val="20"/>
                <w:szCs w:val="20"/>
              </w:rPr>
            </w:pPr>
          </w:p>
          <w:p w:rsidR="00FC7239" w:rsidRPr="00C1697B" w:rsidRDefault="00DF3972" w:rsidP="00FC7239">
            <w:pPr>
              <w:widowControl w:val="0"/>
              <w:jc w:val="both"/>
              <w:rPr>
                <w:b/>
                <w:sz w:val="20"/>
                <w:szCs w:val="20"/>
              </w:rPr>
            </w:pPr>
            <w:r w:rsidRPr="0022728B">
              <w:rPr>
                <w:sz w:val="20"/>
                <w:szCs w:val="20"/>
              </w:rPr>
              <w:t xml:space="preserve">Statutes - Statutory interpretation - Eligibility for compensation - What is the appropriate standard of review? - Is a federal government employee’s eligibility for workers’ compensation determined by the </w:t>
            </w:r>
            <w:r w:rsidRPr="0022728B">
              <w:rPr>
                <w:i/>
                <w:sz w:val="20"/>
                <w:szCs w:val="20"/>
              </w:rPr>
              <w:t>Government Employees Compensation Act</w:t>
            </w:r>
            <w:r w:rsidRPr="0022728B">
              <w:rPr>
                <w:sz w:val="20"/>
                <w:szCs w:val="20"/>
              </w:rPr>
              <w:t xml:space="preserve">, R.S.C. 1985, c. G-5, or by provincial legislation? - Does the definition of “accident” under the </w:t>
            </w:r>
            <w:r w:rsidRPr="0022728B">
              <w:rPr>
                <w:i/>
                <w:sz w:val="20"/>
                <w:szCs w:val="20"/>
              </w:rPr>
              <w:t>GECA</w:t>
            </w:r>
            <w:r w:rsidRPr="0022728B">
              <w:rPr>
                <w:sz w:val="20"/>
                <w:szCs w:val="20"/>
              </w:rPr>
              <w:t xml:space="preserve"> require “excessive or unusual” events for psychological stress claims? - In the alternative, did the Commission err in concluding that the appellant did not meet the requirements of the Workers’ Compensation Board of Alberta policy?</w:t>
            </w:r>
          </w:p>
        </w:tc>
        <w:tc>
          <w:tcPr>
            <w:tcW w:w="720" w:type="dxa"/>
            <w:tcMar>
              <w:left w:w="0" w:type="dxa"/>
              <w:right w:w="0" w:type="dxa"/>
            </w:tcMar>
          </w:tcPr>
          <w:p w:rsidR="00FC7239" w:rsidRPr="00C1697B" w:rsidRDefault="00FC7239" w:rsidP="00FC7239">
            <w:pPr>
              <w:widowControl w:val="0"/>
              <w:jc w:val="center"/>
              <w:rPr>
                <w:sz w:val="20"/>
                <w:szCs w:val="20"/>
              </w:rPr>
            </w:pPr>
          </w:p>
        </w:tc>
        <w:tc>
          <w:tcPr>
            <w:tcW w:w="4380" w:type="dxa"/>
            <w:tcMar>
              <w:left w:w="0" w:type="dxa"/>
              <w:right w:w="0" w:type="dxa"/>
            </w:tcMar>
          </w:tcPr>
          <w:p w:rsidR="00FC7239" w:rsidRPr="00CC4D84" w:rsidRDefault="00FC7239" w:rsidP="00FC7239">
            <w:pPr>
              <w:widowControl w:val="0"/>
              <w:jc w:val="both"/>
              <w:rPr>
                <w:b/>
                <w:sz w:val="20"/>
                <w:szCs w:val="20"/>
                <w:u w:val="single"/>
                <w:lang w:val="fr-CA"/>
              </w:rPr>
            </w:pPr>
            <w:r w:rsidRPr="00CC4D84">
              <w:rPr>
                <w:b/>
                <w:sz w:val="20"/>
                <w:szCs w:val="20"/>
                <w:u w:val="single"/>
                <w:lang w:val="fr-CA"/>
              </w:rPr>
              <w:t>Nature de la cause :</w:t>
            </w:r>
          </w:p>
          <w:p w:rsidR="00FC7239" w:rsidRPr="00C1697B" w:rsidRDefault="00FC7239" w:rsidP="00FC7239">
            <w:pPr>
              <w:widowControl w:val="0"/>
              <w:jc w:val="both"/>
              <w:rPr>
                <w:sz w:val="20"/>
                <w:szCs w:val="20"/>
                <w:lang w:val="fr-CA"/>
              </w:rPr>
            </w:pPr>
          </w:p>
          <w:p w:rsidR="00FC7239" w:rsidRPr="00C1697B" w:rsidRDefault="00DF3972" w:rsidP="00FC7239">
            <w:pPr>
              <w:widowControl w:val="0"/>
              <w:jc w:val="both"/>
              <w:rPr>
                <w:sz w:val="20"/>
                <w:szCs w:val="20"/>
                <w:lang w:val="fr-CA"/>
              </w:rPr>
            </w:pPr>
            <w:r w:rsidRPr="001507C5">
              <w:rPr>
                <w:sz w:val="20"/>
                <w:szCs w:val="20"/>
                <w:lang w:val="fr-CA"/>
              </w:rPr>
              <w:t xml:space="preserve">Lois </w:t>
            </w:r>
            <w:r w:rsidRPr="001507C5">
              <w:rPr>
                <w:sz w:val="20"/>
                <w:szCs w:val="20"/>
                <w:lang w:val="fr-CA"/>
              </w:rPr>
              <w:noBreakHyphen/>
              <w:t xml:space="preserve"> Interprétation des lois </w:t>
            </w:r>
            <w:r w:rsidRPr="001507C5">
              <w:rPr>
                <w:sz w:val="20"/>
                <w:szCs w:val="20"/>
                <w:lang w:val="fr-CA"/>
              </w:rPr>
              <w:noBreakHyphen/>
              <w:t xml:space="preserve"> Admissibilité à une indemnité </w:t>
            </w:r>
            <w:r w:rsidRPr="001507C5">
              <w:rPr>
                <w:sz w:val="20"/>
                <w:szCs w:val="20"/>
                <w:lang w:val="fr-CA"/>
              </w:rPr>
              <w:noBreakHyphen/>
              <w:t xml:space="preserve"> Quelle est la norme de contrôle appropriée? </w:t>
            </w:r>
            <w:r w:rsidRPr="001507C5">
              <w:rPr>
                <w:sz w:val="20"/>
                <w:szCs w:val="20"/>
                <w:lang w:val="fr-CA"/>
              </w:rPr>
              <w:noBreakHyphen/>
              <w:t xml:space="preserve"> L’admissibilité d’un fonctionnaire fédéral à une indemnité pour accident du travail est</w:t>
            </w:r>
            <w:r w:rsidRPr="001507C5">
              <w:rPr>
                <w:sz w:val="20"/>
                <w:szCs w:val="20"/>
                <w:lang w:val="fr-CA"/>
              </w:rPr>
              <w:noBreakHyphen/>
              <w:t xml:space="preserve">elle prévue par la </w:t>
            </w:r>
            <w:r w:rsidRPr="001507C5">
              <w:rPr>
                <w:i/>
                <w:sz w:val="20"/>
                <w:szCs w:val="20"/>
                <w:lang w:val="fr-CA"/>
              </w:rPr>
              <w:t>Loi sur l’indemnisation des agents de l’État</w:t>
            </w:r>
            <w:r w:rsidRPr="001507C5">
              <w:rPr>
                <w:sz w:val="20"/>
                <w:szCs w:val="20"/>
                <w:lang w:val="fr-CA"/>
              </w:rPr>
              <w:t>, R.S.C. 1985, ch. G</w:t>
            </w:r>
            <w:r w:rsidRPr="001507C5">
              <w:rPr>
                <w:sz w:val="20"/>
                <w:szCs w:val="20"/>
                <w:lang w:val="fr-CA"/>
              </w:rPr>
              <w:noBreakHyphen/>
              <w:t xml:space="preserve">5,  ou la loi provinciale? </w:t>
            </w:r>
            <w:r w:rsidRPr="001507C5">
              <w:rPr>
                <w:sz w:val="20"/>
                <w:szCs w:val="20"/>
                <w:lang w:val="fr-CA"/>
              </w:rPr>
              <w:noBreakHyphen/>
              <w:t xml:space="preserve"> D’après la définition d’« accident » dans la </w:t>
            </w:r>
            <w:r w:rsidRPr="001507C5">
              <w:rPr>
                <w:i/>
                <w:sz w:val="20"/>
                <w:szCs w:val="20"/>
                <w:lang w:val="fr-CA"/>
              </w:rPr>
              <w:t>LIAÉ</w:t>
            </w:r>
            <w:r w:rsidRPr="001507C5">
              <w:rPr>
                <w:sz w:val="20"/>
                <w:szCs w:val="20"/>
                <w:lang w:val="fr-CA"/>
              </w:rPr>
              <w:t>,</w:t>
            </w:r>
            <w:r w:rsidRPr="001507C5">
              <w:rPr>
                <w:i/>
                <w:sz w:val="20"/>
                <w:szCs w:val="20"/>
                <w:lang w:val="fr-CA"/>
              </w:rPr>
              <w:t xml:space="preserve"> </w:t>
            </w:r>
            <w:r w:rsidRPr="001507C5">
              <w:rPr>
                <w:sz w:val="20"/>
                <w:szCs w:val="20"/>
                <w:lang w:val="fr-CA"/>
              </w:rPr>
              <w:t>faut</w:t>
            </w:r>
            <w:r w:rsidRPr="001507C5">
              <w:rPr>
                <w:sz w:val="20"/>
                <w:szCs w:val="20"/>
                <w:lang w:val="fr-CA"/>
              </w:rPr>
              <w:noBreakHyphen/>
              <w:t xml:space="preserve">il un événement « excessif ou inusité » pour justifier une demande fondée sur un stress psychologique? </w:t>
            </w:r>
            <w:r w:rsidRPr="001507C5">
              <w:rPr>
                <w:sz w:val="20"/>
                <w:szCs w:val="20"/>
                <w:lang w:val="fr-CA"/>
              </w:rPr>
              <w:noBreakHyphen/>
              <w:t xml:space="preserve"> Subsidiairement, la commission a</w:t>
            </w:r>
            <w:r w:rsidRPr="001507C5">
              <w:rPr>
                <w:sz w:val="20"/>
                <w:szCs w:val="20"/>
                <w:lang w:val="fr-CA"/>
              </w:rPr>
              <w:noBreakHyphen/>
              <w:t>t</w:t>
            </w:r>
            <w:r w:rsidRPr="001507C5">
              <w:rPr>
                <w:sz w:val="20"/>
                <w:szCs w:val="20"/>
                <w:lang w:val="fr-CA"/>
              </w:rPr>
              <w:noBreakHyphen/>
              <w:t>elle eu tort de conclure que l’appelant n’avait pas répondu aux exigences de la politique du Worker’s Compensation Board de l’Alberta?</w:t>
            </w:r>
          </w:p>
        </w:tc>
      </w:tr>
    </w:tbl>
    <w:p w:rsidR="00FC7239" w:rsidRDefault="00FC7239" w:rsidP="00FC7239">
      <w:pPr>
        <w:widowControl w:val="0"/>
        <w:rPr>
          <w:sz w:val="20"/>
          <w:szCs w:val="20"/>
          <w:lang w:val="fr-CA"/>
        </w:rPr>
      </w:pPr>
    </w:p>
    <w:p w:rsidR="00FC7239" w:rsidRDefault="00E672F1" w:rsidP="00FC7239">
      <w:pPr>
        <w:widowControl w:val="0"/>
        <w:rPr>
          <w:sz w:val="20"/>
          <w:szCs w:val="20"/>
        </w:rPr>
      </w:pPr>
      <w:r>
        <w:rPr>
          <w:sz w:val="20"/>
          <w:szCs w:val="20"/>
          <w:lang w:val="fr-CA"/>
        </w:rPr>
        <w:pict>
          <v:rect id="_x0000_i1066" style="width:2in;height:1pt" o:hrpct="0" o:hralign="center" o:hrstd="t" o:hrnoshade="t" o:hr="t" fillcolor="black [3213]" stroked="f"/>
        </w:pict>
      </w:r>
    </w:p>
    <w:p w:rsidR="00FC7239" w:rsidRDefault="00FC7239" w:rsidP="00FC7239">
      <w:pPr>
        <w:widowControl w:val="0"/>
        <w:rPr>
          <w:sz w:val="20"/>
          <w:szCs w:val="20"/>
        </w:rPr>
      </w:pPr>
    </w:p>
    <w:p w:rsidR="00FC7239" w:rsidRPr="00CF0A0F" w:rsidRDefault="00FC7239" w:rsidP="00FC7239">
      <w:pPr>
        <w:widowControl w:val="0"/>
        <w:rPr>
          <w:sz w:val="20"/>
          <w:szCs w:val="20"/>
          <w:lang w:val="fr-CA"/>
        </w:rPr>
      </w:pPr>
      <w:r w:rsidRPr="00CF0A0F">
        <w:rPr>
          <w:sz w:val="20"/>
          <w:szCs w:val="20"/>
          <w:lang w:val="fr-CA"/>
        </w:rPr>
        <w:t>11.12.2013</w:t>
      </w:r>
    </w:p>
    <w:p w:rsidR="00FC7239" w:rsidRPr="00CF0A0F" w:rsidRDefault="00FC7239" w:rsidP="00FC7239">
      <w:pPr>
        <w:widowControl w:val="0"/>
        <w:rPr>
          <w:sz w:val="20"/>
          <w:szCs w:val="20"/>
          <w:lang w:val="fr-CA"/>
        </w:rPr>
      </w:pPr>
    </w:p>
    <w:p w:rsidR="00600976" w:rsidRPr="00600976" w:rsidRDefault="00600976" w:rsidP="00600976">
      <w:pPr>
        <w:widowControl w:val="0"/>
        <w:ind w:left="720" w:hanging="720"/>
        <w:rPr>
          <w:sz w:val="20"/>
          <w:szCs w:val="20"/>
          <w:u w:val="single"/>
          <w:lang w:val="fr-CA"/>
        </w:rPr>
      </w:pPr>
      <w:r w:rsidRPr="00600976">
        <w:rPr>
          <w:sz w:val="20"/>
          <w:szCs w:val="20"/>
          <w:lang w:val="fr-CA"/>
        </w:rPr>
        <w:t xml:space="preserve">Coram: </w:t>
      </w:r>
      <w:r w:rsidRPr="00600976">
        <w:rPr>
          <w:sz w:val="20"/>
          <w:szCs w:val="20"/>
          <w:lang w:val="fr-CA"/>
        </w:rPr>
        <w:tab/>
      </w:r>
      <w:r w:rsidRPr="00600976">
        <w:rPr>
          <w:sz w:val="20"/>
          <w:szCs w:val="20"/>
          <w:u w:val="single"/>
          <w:lang w:val="fr-CA"/>
        </w:rPr>
        <w:t xml:space="preserve">La juge en chef McLachlin et les juges LeBel, Rothstein, Cromwell, Moldaver, Karakatsanis et Wagner </w:t>
      </w:r>
    </w:p>
    <w:p w:rsidR="00FC7239" w:rsidRPr="00CF0A0F" w:rsidRDefault="00FC7239" w:rsidP="00FC7239">
      <w:pPr>
        <w:widowControl w:val="0"/>
        <w:rPr>
          <w:b/>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FC7239" w:rsidRPr="00E672F1" w:rsidTr="00FC7239">
        <w:tc>
          <w:tcPr>
            <w:tcW w:w="4380" w:type="dxa"/>
            <w:tcMar>
              <w:left w:w="0" w:type="dxa"/>
              <w:right w:w="0" w:type="dxa"/>
            </w:tcMar>
          </w:tcPr>
          <w:p w:rsidR="00600976" w:rsidRDefault="00600976" w:rsidP="00600976">
            <w:pPr>
              <w:widowControl w:val="0"/>
              <w:rPr>
                <w:b/>
                <w:sz w:val="20"/>
                <w:szCs w:val="20"/>
                <w:lang w:val="fr-CA"/>
              </w:rPr>
            </w:pPr>
            <w:r w:rsidRPr="00600976">
              <w:rPr>
                <w:b/>
                <w:sz w:val="20"/>
                <w:szCs w:val="20"/>
                <w:lang w:val="fr-CA"/>
              </w:rPr>
              <w:t xml:space="preserve">Union Carbide Canada Inc. et autre </w:t>
            </w:r>
          </w:p>
          <w:p w:rsidR="00600976" w:rsidRDefault="00600976" w:rsidP="00600976">
            <w:pPr>
              <w:widowControl w:val="0"/>
              <w:rPr>
                <w:b/>
                <w:sz w:val="20"/>
                <w:szCs w:val="20"/>
                <w:lang w:val="fr-CA"/>
              </w:rPr>
            </w:pPr>
          </w:p>
          <w:p w:rsidR="00600976" w:rsidRDefault="00600976" w:rsidP="00600976">
            <w:pPr>
              <w:widowControl w:val="0"/>
              <w:rPr>
                <w:b/>
                <w:sz w:val="20"/>
                <w:szCs w:val="20"/>
                <w:lang w:val="fr-CA"/>
              </w:rPr>
            </w:pPr>
            <w:r>
              <w:rPr>
                <w:b/>
                <w:sz w:val="20"/>
                <w:szCs w:val="20"/>
                <w:lang w:val="fr-CA"/>
              </w:rPr>
              <w:tab/>
            </w:r>
            <w:r w:rsidRPr="00600976">
              <w:rPr>
                <w:b/>
                <w:sz w:val="20"/>
                <w:szCs w:val="20"/>
                <w:lang w:val="fr-CA"/>
              </w:rPr>
              <w:t xml:space="preserve">c. </w:t>
            </w:r>
            <w:r w:rsidRPr="00600976">
              <w:rPr>
                <w:sz w:val="20"/>
                <w:szCs w:val="20"/>
                <w:lang w:val="fr-CA"/>
              </w:rPr>
              <w:t>(</w:t>
            </w:r>
            <w:hyperlink r:id="rId61" w:history="1">
              <w:r w:rsidRPr="00600976">
                <w:rPr>
                  <w:rStyle w:val="Hyperlink"/>
                  <w:sz w:val="20"/>
                  <w:szCs w:val="20"/>
                  <w:lang w:val="fr-CA"/>
                </w:rPr>
                <w:t>35008</w:t>
              </w:r>
            </w:hyperlink>
            <w:r w:rsidRPr="00600976">
              <w:rPr>
                <w:sz w:val="20"/>
                <w:szCs w:val="20"/>
                <w:lang w:val="fr-CA"/>
              </w:rPr>
              <w:t>)</w:t>
            </w:r>
          </w:p>
          <w:p w:rsidR="00600976" w:rsidRDefault="00600976" w:rsidP="00600976">
            <w:pPr>
              <w:widowControl w:val="0"/>
              <w:rPr>
                <w:b/>
                <w:sz w:val="20"/>
                <w:szCs w:val="20"/>
                <w:lang w:val="fr-CA"/>
              </w:rPr>
            </w:pPr>
          </w:p>
          <w:p w:rsidR="00FC7239" w:rsidRPr="00C50A5C" w:rsidRDefault="00600976" w:rsidP="00600976">
            <w:pPr>
              <w:widowControl w:val="0"/>
              <w:rPr>
                <w:sz w:val="20"/>
                <w:szCs w:val="20"/>
                <w:lang w:val="fr-CA"/>
              </w:rPr>
            </w:pPr>
            <w:r w:rsidRPr="00600976">
              <w:rPr>
                <w:b/>
                <w:sz w:val="20"/>
                <w:szCs w:val="20"/>
                <w:lang w:val="fr-CA"/>
              </w:rPr>
              <w:t>Bombardier Inc. et autre</w:t>
            </w:r>
            <w:r w:rsidRPr="00600976">
              <w:rPr>
                <w:b/>
                <w:i/>
                <w:iCs/>
                <w:sz w:val="20"/>
                <w:szCs w:val="20"/>
                <w:lang w:val="fr-CA"/>
              </w:rPr>
              <w:t xml:space="preserve"> </w:t>
            </w:r>
            <w:r w:rsidRPr="00600976">
              <w:rPr>
                <w:b/>
                <w:sz w:val="20"/>
                <w:szCs w:val="20"/>
                <w:lang w:val="fr-CA"/>
              </w:rPr>
              <w:t>(Qc) (Civile) (Autorisation)</w:t>
            </w:r>
            <w:r w:rsidR="00FC7239" w:rsidRPr="00C00730">
              <w:rPr>
                <w:sz w:val="20"/>
                <w:szCs w:val="20"/>
                <w:lang w:val="fr-CA"/>
              </w:rPr>
              <w:t xml:space="preserve"> </w:t>
            </w:r>
          </w:p>
        </w:tc>
        <w:tc>
          <w:tcPr>
            <w:tcW w:w="720" w:type="dxa"/>
            <w:tcMar>
              <w:left w:w="0" w:type="dxa"/>
              <w:right w:w="0" w:type="dxa"/>
            </w:tcMar>
          </w:tcPr>
          <w:p w:rsidR="00FC7239" w:rsidRPr="00C50A5C" w:rsidRDefault="00FC7239" w:rsidP="00FC7239">
            <w:pPr>
              <w:widowControl w:val="0"/>
              <w:jc w:val="center"/>
              <w:rPr>
                <w:sz w:val="20"/>
                <w:szCs w:val="20"/>
                <w:lang w:val="fr-CA"/>
              </w:rPr>
            </w:pPr>
          </w:p>
        </w:tc>
        <w:tc>
          <w:tcPr>
            <w:tcW w:w="4380" w:type="dxa"/>
            <w:tcMar>
              <w:left w:w="0" w:type="dxa"/>
              <w:right w:w="0" w:type="dxa"/>
            </w:tcMar>
          </w:tcPr>
          <w:p w:rsidR="00600976" w:rsidRDefault="00600976" w:rsidP="00600976">
            <w:pPr>
              <w:jc w:val="both"/>
              <w:rPr>
                <w:sz w:val="20"/>
                <w:szCs w:val="20"/>
                <w:lang w:val="fr-CA"/>
              </w:rPr>
            </w:pPr>
            <w:r w:rsidRPr="00363133">
              <w:rPr>
                <w:sz w:val="20"/>
                <w:szCs w:val="20"/>
                <w:lang w:val="fr-CA"/>
              </w:rPr>
              <w:t>Richard A. Hinse</w:t>
            </w:r>
            <w:r>
              <w:rPr>
                <w:sz w:val="20"/>
                <w:szCs w:val="20"/>
                <w:lang w:val="fr-CA"/>
              </w:rPr>
              <w:t xml:space="preserve">, </w:t>
            </w:r>
            <w:r w:rsidRPr="00363133">
              <w:rPr>
                <w:sz w:val="20"/>
                <w:szCs w:val="20"/>
                <w:lang w:val="fr-CA"/>
              </w:rPr>
              <w:t>Robert W. Mason</w:t>
            </w:r>
            <w:r>
              <w:rPr>
                <w:sz w:val="20"/>
                <w:szCs w:val="20"/>
                <w:lang w:val="fr-CA"/>
              </w:rPr>
              <w:t xml:space="preserve"> et </w:t>
            </w:r>
            <w:r w:rsidRPr="00363133">
              <w:rPr>
                <w:sz w:val="20"/>
                <w:szCs w:val="20"/>
                <w:lang w:val="fr-CA"/>
              </w:rPr>
              <w:t>Dominique Vallières</w:t>
            </w:r>
            <w:r>
              <w:rPr>
                <w:sz w:val="20"/>
                <w:szCs w:val="20"/>
                <w:lang w:val="fr-CA"/>
              </w:rPr>
              <w:t xml:space="preserve"> p</w:t>
            </w:r>
            <w:r w:rsidRPr="00363133">
              <w:rPr>
                <w:sz w:val="20"/>
                <w:szCs w:val="20"/>
                <w:lang w:val="fr-CA"/>
              </w:rPr>
              <w:t>our les appellants</w:t>
            </w:r>
            <w:r>
              <w:rPr>
                <w:sz w:val="20"/>
                <w:szCs w:val="20"/>
                <w:lang w:val="fr-CA"/>
              </w:rPr>
              <w:t>.</w:t>
            </w:r>
          </w:p>
          <w:p w:rsidR="00600976" w:rsidRPr="00363133" w:rsidRDefault="00600976" w:rsidP="00600976">
            <w:pPr>
              <w:jc w:val="both"/>
              <w:rPr>
                <w:sz w:val="20"/>
                <w:szCs w:val="20"/>
                <w:lang w:val="fr-CA"/>
              </w:rPr>
            </w:pPr>
          </w:p>
          <w:p w:rsidR="00600976" w:rsidRPr="00363133" w:rsidRDefault="00600976" w:rsidP="00600976">
            <w:pPr>
              <w:jc w:val="both"/>
              <w:rPr>
                <w:sz w:val="20"/>
                <w:szCs w:val="20"/>
                <w:lang w:val="en-US"/>
              </w:rPr>
            </w:pPr>
            <w:r w:rsidRPr="00363133">
              <w:rPr>
                <w:sz w:val="20"/>
                <w:szCs w:val="20"/>
                <w:lang w:val="en-US"/>
              </w:rPr>
              <w:t>Jonathan Eades</w:t>
            </w:r>
            <w:r>
              <w:rPr>
                <w:sz w:val="20"/>
                <w:szCs w:val="20"/>
                <w:lang w:val="en-US"/>
              </w:rPr>
              <w:t xml:space="preserve"> and </w:t>
            </w:r>
            <w:r w:rsidRPr="00363133">
              <w:rPr>
                <w:sz w:val="20"/>
                <w:szCs w:val="20"/>
                <w:lang w:val="en-US"/>
              </w:rPr>
              <w:t>Mark Witten</w:t>
            </w:r>
            <w:r>
              <w:rPr>
                <w:sz w:val="20"/>
                <w:szCs w:val="20"/>
                <w:lang w:val="en-US"/>
              </w:rPr>
              <w:t xml:space="preserve"> f</w:t>
            </w:r>
            <w:r w:rsidRPr="00363133">
              <w:rPr>
                <w:sz w:val="20"/>
                <w:szCs w:val="20"/>
                <w:lang w:val="en-US"/>
              </w:rPr>
              <w:t xml:space="preserve">or the </w:t>
            </w:r>
            <w:r>
              <w:rPr>
                <w:sz w:val="20"/>
                <w:szCs w:val="20"/>
                <w:lang w:val="en-US"/>
              </w:rPr>
              <w:t>i</w:t>
            </w:r>
            <w:r w:rsidRPr="00363133">
              <w:rPr>
                <w:sz w:val="20"/>
                <w:szCs w:val="20"/>
                <w:lang w:val="en-US"/>
              </w:rPr>
              <w:t>ntervenerAttorney General of British Columbia</w:t>
            </w:r>
            <w:r>
              <w:rPr>
                <w:sz w:val="20"/>
                <w:szCs w:val="20"/>
                <w:lang w:val="en-US"/>
              </w:rPr>
              <w:t>.</w:t>
            </w:r>
          </w:p>
          <w:p w:rsidR="00600976" w:rsidRPr="00363133" w:rsidRDefault="00600976" w:rsidP="00600976">
            <w:pPr>
              <w:jc w:val="both"/>
              <w:rPr>
                <w:sz w:val="20"/>
                <w:szCs w:val="20"/>
                <w:lang w:val="en-US"/>
              </w:rPr>
            </w:pPr>
          </w:p>
          <w:p w:rsidR="00600976" w:rsidRPr="00363133" w:rsidRDefault="00600976" w:rsidP="00600976">
            <w:pPr>
              <w:jc w:val="both"/>
              <w:rPr>
                <w:sz w:val="20"/>
                <w:szCs w:val="20"/>
              </w:rPr>
            </w:pPr>
            <w:r w:rsidRPr="00363133">
              <w:rPr>
                <w:sz w:val="20"/>
                <w:szCs w:val="20"/>
                <w:lang w:val="en-US"/>
              </w:rPr>
              <w:t>William C. McDowell</w:t>
            </w:r>
            <w:r>
              <w:rPr>
                <w:sz w:val="20"/>
                <w:szCs w:val="20"/>
                <w:lang w:val="en-US"/>
              </w:rPr>
              <w:t xml:space="preserve"> and </w:t>
            </w:r>
            <w:r w:rsidRPr="00363133">
              <w:rPr>
                <w:sz w:val="20"/>
                <w:szCs w:val="20"/>
              </w:rPr>
              <w:t>Kaitlyn Pentney</w:t>
            </w:r>
            <w:r>
              <w:rPr>
                <w:sz w:val="20"/>
                <w:szCs w:val="20"/>
              </w:rPr>
              <w:t xml:space="preserve"> f</w:t>
            </w:r>
            <w:r w:rsidRPr="00363133">
              <w:rPr>
                <w:sz w:val="20"/>
                <w:szCs w:val="20"/>
                <w:lang w:val="en-US"/>
              </w:rPr>
              <w:t xml:space="preserve">or the </w:t>
            </w:r>
            <w:r>
              <w:rPr>
                <w:sz w:val="20"/>
                <w:szCs w:val="20"/>
                <w:lang w:val="en-US"/>
              </w:rPr>
              <w:t>i</w:t>
            </w:r>
            <w:r w:rsidRPr="00363133">
              <w:rPr>
                <w:sz w:val="20"/>
                <w:szCs w:val="20"/>
                <w:lang w:val="en-US"/>
              </w:rPr>
              <w:t>ntervener</w:t>
            </w:r>
            <w:r>
              <w:rPr>
                <w:sz w:val="20"/>
                <w:szCs w:val="20"/>
                <w:lang w:val="en-US"/>
              </w:rPr>
              <w:t xml:space="preserve"> </w:t>
            </w:r>
            <w:r w:rsidRPr="00363133">
              <w:rPr>
                <w:sz w:val="20"/>
                <w:szCs w:val="20"/>
              </w:rPr>
              <w:t>Arbitration Place Inc.</w:t>
            </w:r>
          </w:p>
          <w:p w:rsidR="00600976" w:rsidRPr="00363133" w:rsidRDefault="00600976" w:rsidP="00600976">
            <w:pPr>
              <w:jc w:val="both"/>
              <w:rPr>
                <w:sz w:val="20"/>
                <w:szCs w:val="20"/>
              </w:rPr>
            </w:pPr>
          </w:p>
          <w:p w:rsidR="00FC7239" w:rsidRPr="00FC7239" w:rsidRDefault="00600976" w:rsidP="00600976">
            <w:pPr>
              <w:widowControl w:val="0"/>
              <w:jc w:val="both"/>
              <w:rPr>
                <w:sz w:val="20"/>
                <w:szCs w:val="20"/>
                <w:lang w:val="fr-CA"/>
              </w:rPr>
            </w:pPr>
            <w:r w:rsidRPr="00363133">
              <w:rPr>
                <w:sz w:val="20"/>
                <w:szCs w:val="20"/>
                <w:lang w:val="fr-CA"/>
              </w:rPr>
              <w:t>Martin F. Sheehan</w:t>
            </w:r>
            <w:r>
              <w:rPr>
                <w:sz w:val="20"/>
                <w:szCs w:val="20"/>
                <w:lang w:val="fr-CA"/>
              </w:rPr>
              <w:t xml:space="preserve"> et </w:t>
            </w:r>
            <w:r w:rsidRPr="00363133">
              <w:rPr>
                <w:sz w:val="20"/>
                <w:szCs w:val="20"/>
                <w:lang w:val="fr-CA"/>
              </w:rPr>
              <w:t>Stéphanie Lavallée</w:t>
            </w:r>
            <w:r>
              <w:rPr>
                <w:sz w:val="20"/>
                <w:szCs w:val="20"/>
                <w:lang w:val="fr-CA"/>
              </w:rPr>
              <w:t xml:space="preserve"> p</w:t>
            </w:r>
            <w:r w:rsidRPr="00363133">
              <w:rPr>
                <w:sz w:val="20"/>
                <w:szCs w:val="20"/>
                <w:lang w:val="fr-CA"/>
              </w:rPr>
              <w:t>our les intimées.</w:t>
            </w:r>
          </w:p>
        </w:tc>
      </w:tr>
    </w:tbl>
    <w:p w:rsidR="00FC7239" w:rsidRPr="00FC7239" w:rsidRDefault="00FC7239" w:rsidP="00FC7239">
      <w:pPr>
        <w:widowControl w:val="0"/>
        <w:rPr>
          <w:lang w:val="fr-CA"/>
        </w:rPr>
      </w:pPr>
    </w:p>
    <w:p w:rsidR="00FC7239" w:rsidRPr="0085476B" w:rsidRDefault="00FC7239" w:rsidP="00FC7239">
      <w:pPr>
        <w:widowControl w:val="0"/>
        <w:rPr>
          <w:sz w:val="20"/>
          <w:szCs w:val="20"/>
        </w:rPr>
      </w:pPr>
      <w:r w:rsidRPr="0085476B">
        <w:rPr>
          <w:b/>
          <w:sz w:val="20"/>
          <w:szCs w:val="20"/>
        </w:rPr>
        <w:t xml:space="preserve">RESERVED / </w:t>
      </w:r>
      <w:r w:rsidRPr="0085476B">
        <w:rPr>
          <w:b/>
          <w:sz w:val="20"/>
          <w:szCs w:val="20"/>
          <w:lang w:val="fr-CA"/>
        </w:rPr>
        <w:t>EN DÉLIBÉRÉ</w:t>
      </w:r>
    </w:p>
    <w:p w:rsidR="00FC7239" w:rsidRDefault="00FC7239" w:rsidP="00FC7239"/>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FC7239" w:rsidRPr="00E672F1" w:rsidTr="00FC7239">
        <w:tc>
          <w:tcPr>
            <w:tcW w:w="4380" w:type="dxa"/>
            <w:tcMar>
              <w:left w:w="0" w:type="dxa"/>
              <w:right w:w="0" w:type="dxa"/>
            </w:tcMar>
          </w:tcPr>
          <w:p w:rsidR="00FC7239" w:rsidRPr="00CC4D84" w:rsidRDefault="00FC7239" w:rsidP="00FC7239">
            <w:pPr>
              <w:widowControl w:val="0"/>
              <w:jc w:val="both"/>
              <w:rPr>
                <w:b/>
                <w:sz w:val="20"/>
                <w:szCs w:val="20"/>
                <w:u w:val="single"/>
              </w:rPr>
            </w:pPr>
            <w:r w:rsidRPr="00CC4D84">
              <w:rPr>
                <w:b/>
                <w:sz w:val="20"/>
                <w:szCs w:val="20"/>
                <w:u w:val="single"/>
              </w:rPr>
              <w:t>Nature of the case:</w:t>
            </w:r>
          </w:p>
          <w:p w:rsidR="00FC7239" w:rsidRPr="00C1697B" w:rsidRDefault="00FC7239" w:rsidP="00FC7239">
            <w:pPr>
              <w:widowControl w:val="0"/>
              <w:jc w:val="both"/>
              <w:rPr>
                <w:b/>
                <w:sz w:val="20"/>
                <w:szCs w:val="20"/>
              </w:rPr>
            </w:pPr>
          </w:p>
          <w:p w:rsidR="00FC7239" w:rsidRPr="00C1697B" w:rsidRDefault="005C65C3" w:rsidP="00FC7239">
            <w:pPr>
              <w:widowControl w:val="0"/>
              <w:jc w:val="both"/>
              <w:rPr>
                <w:b/>
                <w:sz w:val="20"/>
                <w:szCs w:val="20"/>
              </w:rPr>
            </w:pPr>
            <w:r w:rsidRPr="000677B1">
              <w:rPr>
                <w:sz w:val="20"/>
                <w:szCs w:val="20"/>
              </w:rPr>
              <w:t>Evidence - Admissibility - Civil procedure - Mediation - General principle of confidentiality of mediation and specific confidentiality agreement - Whether privilege of confidentiality ceases to apply where one party alleges existence of transaction - Suit by business against supplier - Mediation followed by disagreement on outcome of mediation - Motion to homologate transaction containing allegations related to mediation - Motion to strike allegations - Scope to be given by courts to confidentiality agreement freely entered into concerning mediation session - Whether principle of higher public order requires application of generally accepted exception whereby discussions at mediation session cease to be privileged where very existence of transaction must be established, notwithstanding clause freely agreed to by parties completely and absolutely foregoing reliance on content of mediation session, or whether law of parties must be applied instead.</w:t>
            </w:r>
          </w:p>
        </w:tc>
        <w:tc>
          <w:tcPr>
            <w:tcW w:w="720" w:type="dxa"/>
            <w:tcMar>
              <w:left w:w="0" w:type="dxa"/>
              <w:right w:w="0" w:type="dxa"/>
            </w:tcMar>
          </w:tcPr>
          <w:p w:rsidR="00FC7239" w:rsidRPr="00C1697B" w:rsidRDefault="00FC7239" w:rsidP="00FC7239">
            <w:pPr>
              <w:widowControl w:val="0"/>
              <w:jc w:val="center"/>
              <w:rPr>
                <w:sz w:val="20"/>
                <w:szCs w:val="20"/>
              </w:rPr>
            </w:pPr>
          </w:p>
        </w:tc>
        <w:tc>
          <w:tcPr>
            <w:tcW w:w="4380" w:type="dxa"/>
            <w:tcMar>
              <w:left w:w="0" w:type="dxa"/>
              <w:right w:w="0" w:type="dxa"/>
            </w:tcMar>
          </w:tcPr>
          <w:p w:rsidR="00FC7239" w:rsidRPr="00CC4D84" w:rsidRDefault="00FC7239" w:rsidP="00FC7239">
            <w:pPr>
              <w:widowControl w:val="0"/>
              <w:jc w:val="both"/>
              <w:rPr>
                <w:b/>
                <w:sz w:val="20"/>
                <w:szCs w:val="20"/>
                <w:u w:val="single"/>
                <w:lang w:val="fr-CA"/>
              </w:rPr>
            </w:pPr>
            <w:r w:rsidRPr="00CC4D84">
              <w:rPr>
                <w:b/>
                <w:sz w:val="20"/>
                <w:szCs w:val="20"/>
                <w:u w:val="single"/>
                <w:lang w:val="fr-CA"/>
              </w:rPr>
              <w:t>Nature de la cause :</w:t>
            </w:r>
          </w:p>
          <w:p w:rsidR="00FC7239" w:rsidRPr="00C1697B" w:rsidRDefault="00FC7239" w:rsidP="00FC7239">
            <w:pPr>
              <w:widowControl w:val="0"/>
              <w:jc w:val="both"/>
              <w:rPr>
                <w:sz w:val="20"/>
                <w:szCs w:val="20"/>
                <w:lang w:val="fr-CA"/>
              </w:rPr>
            </w:pPr>
          </w:p>
          <w:p w:rsidR="00FC7239" w:rsidRPr="00C1697B" w:rsidRDefault="00DF3972" w:rsidP="00FC7239">
            <w:pPr>
              <w:widowControl w:val="0"/>
              <w:jc w:val="both"/>
              <w:rPr>
                <w:sz w:val="20"/>
                <w:szCs w:val="20"/>
                <w:lang w:val="fr-CA"/>
              </w:rPr>
            </w:pPr>
            <w:r w:rsidRPr="00853FFE">
              <w:rPr>
                <w:sz w:val="20"/>
                <w:szCs w:val="20"/>
                <w:lang w:val="fr-CA"/>
              </w:rPr>
              <w:t xml:space="preserve">Preuve </w:t>
            </w:r>
            <w:r w:rsidRPr="00853FFE">
              <w:rPr>
                <w:sz w:val="20"/>
                <w:szCs w:val="20"/>
                <w:lang w:val="fr-CA"/>
              </w:rPr>
              <w:noBreakHyphen/>
              <w:t xml:space="preserve"> Admissibilité </w:t>
            </w:r>
            <w:r w:rsidRPr="00853FFE">
              <w:rPr>
                <w:sz w:val="20"/>
                <w:szCs w:val="20"/>
                <w:lang w:val="fr-CA"/>
              </w:rPr>
              <w:noBreakHyphen/>
              <w:t xml:space="preserve"> Procédure civile </w:t>
            </w:r>
            <w:r w:rsidRPr="00853FFE">
              <w:rPr>
                <w:sz w:val="20"/>
                <w:szCs w:val="20"/>
                <w:lang w:val="fr-CA"/>
              </w:rPr>
              <w:noBreakHyphen/>
              <w:t xml:space="preserve"> Médiation </w:t>
            </w:r>
            <w:r w:rsidRPr="00853FFE">
              <w:rPr>
                <w:sz w:val="20"/>
                <w:szCs w:val="20"/>
                <w:lang w:val="fr-CA"/>
              </w:rPr>
              <w:noBreakHyphen/>
              <w:t xml:space="preserve"> Principe général de confidentialité de la médiation et entente spécifique de confidentialité </w:t>
            </w:r>
            <w:r w:rsidRPr="00853FFE">
              <w:rPr>
                <w:sz w:val="20"/>
                <w:szCs w:val="20"/>
                <w:lang w:val="fr-CA"/>
              </w:rPr>
              <w:noBreakHyphen/>
              <w:t xml:space="preserve"> Disparition ou non du privilège de confidentialité en cas d’allégation de transaction par une partie </w:t>
            </w:r>
            <w:r w:rsidRPr="00853FFE">
              <w:rPr>
                <w:sz w:val="20"/>
                <w:szCs w:val="20"/>
                <w:lang w:val="fr-CA"/>
              </w:rPr>
              <w:noBreakHyphen/>
              <w:t xml:space="preserve"> Poursuite d’une entreprise contre un fournisseur </w:t>
            </w:r>
            <w:r w:rsidRPr="00853FFE">
              <w:rPr>
                <w:sz w:val="20"/>
                <w:szCs w:val="20"/>
                <w:lang w:val="fr-CA"/>
              </w:rPr>
              <w:noBreakHyphen/>
              <w:t xml:space="preserve"> Médiation suivie de mésentente sur l’issue de celle</w:t>
            </w:r>
            <w:r w:rsidRPr="00853FFE">
              <w:rPr>
                <w:sz w:val="20"/>
                <w:szCs w:val="20"/>
                <w:lang w:val="fr-CA"/>
              </w:rPr>
              <w:noBreakHyphen/>
              <w:t xml:space="preserve">ci </w:t>
            </w:r>
            <w:r w:rsidRPr="00853FFE">
              <w:rPr>
                <w:sz w:val="20"/>
                <w:szCs w:val="20"/>
                <w:lang w:val="fr-CA"/>
              </w:rPr>
              <w:noBreakHyphen/>
              <w:t xml:space="preserve"> Requête en homologation de transaction contenant des allégations liées à la médiation </w:t>
            </w:r>
            <w:r w:rsidRPr="00853FFE">
              <w:rPr>
                <w:sz w:val="20"/>
                <w:szCs w:val="20"/>
                <w:lang w:val="fr-CA"/>
              </w:rPr>
              <w:noBreakHyphen/>
              <w:t xml:space="preserve"> Requête en radiation d’allégués </w:t>
            </w:r>
            <w:r w:rsidRPr="00853FFE">
              <w:rPr>
                <w:sz w:val="20"/>
                <w:szCs w:val="20"/>
                <w:lang w:val="fr-CA"/>
              </w:rPr>
              <w:noBreakHyphen/>
              <w:t xml:space="preserve"> Quelle portée les tribunaux doivent</w:t>
            </w:r>
            <w:r w:rsidRPr="00853FFE">
              <w:rPr>
                <w:sz w:val="20"/>
                <w:szCs w:val="20"/>
                <w:lang w:val="fr-CA"/>
              </w:rPr>
              <w:noBreakHyphen/>
              <w:t xml:space="preserve">ils donner à une entente de confidentialité librement consentie concernant une séance de médiation? </w:t>
            </w:r>
            <w:r w:rsidRPr="00853FFE">
              <w:rPr>
                <w:sz w:val="20"/>
                <w:szCs w:val="20"/>
                <w:lang w:val="fr-CA"/>
              </w:rPr>
              <w:noBreakHyphen/>
              <w:t xml:space="preserve"> Est</w:t>
            </w:r>
            <w:r w:rsidRPr="00853FFE">
              <w:rPr>
                <w:sz w:val="20"/>
                <w:szCs w:val="20"/>
                <w:lang w:val="fr-CA"/>
              </w:rPr>
              <w:noBreakHyphen/>
              <w:t>ce qu’un principe d’ordre public supérieur exige que l’exception généralement admise de la perte du privilège entourant les échanges tenus lors d’une séance de médiation, lorsque l’existence même d’une transaction doit être établie, s’applique malgré une clause librement consentie comportant une renonciation complète et absolue à invoquer le contenu d’une séance de médiation, ou doit</w:t>
            </w:r>
            <w:r w:rsidRPr="00853FFE">
              <w:rPr>
                <w:sz w:val="20"/>
                <w:szCs w:val="20"/>
                <w:lang w:val="fr-CA"/>
              </w:rPr>
              <w:noBreakHyphen/>
              <w:t>on plutôt appliquer la loi des parties?</w:t>
            </w:r>
          </w:p>
        </w:tc>
      </w:tr>
    </w:tbl>
    <w:p w:rsidR="00FC7239" w:rsidRDefault="00FC7239" w:rsidP="00FC7239">
      <w:pPr>
        <w:widowControl w:val="0"/>
        <w:rPr>
          <w:sz w:val="20"/>
          <w:szCs w:val="20"/>
          <w:lang w:val="fr-CA"/>
        </w:rPr>
      </w:pPr>
    </w:p>
    <w:p w:rsidR="00FC7239" w:rsidRDefault="00E672F1" w:rsidP="00FC7239">
      <w:pPr>
        <w:widowControl w:val="0"/>
        <w:rPr>
          <w:sz w:val="20"/>
          <w:szCs w:val="20"/>
        </w:rPr>
      </w:pPr>
      <w:r>
        <w:rPr>
          <w:sz w:val="20"/>
          <w:szCs w:val="20"/>
          <w:lang w:val="fr-CA"/>
        </w:rPr>
        <w:pict>
          <v:rect id="_x0000_i1067" style="width:2in;height:1pt" o:hrpct="0" o:hralign="center" o:hrstd="t" o:hrnoshade="t" o:hr="t" fillcolor="black [3213]" stroked="f"/>
        </w:pict>
      </w:r>
    </w:p>
    <w:p w:rsidR="00FC7239" w:rsidRDefault="00FC7239" w:rsidP="00FC7239">
      <w:pPr>
        <w:widowControl w:val="0"/>
        <w:rPr>
          <w:sz w:val="20"/>
          <w:szCs w:val="20"/>
        </w:rPr>
      </w:pPr>
    </w:p>
    <w:p w:rsidR="00FC7239" w:rsidRPr="00FC7239" w:rsidRDefault="00FC7239" w:rsidP="00FC7239">
      <w:pPr>
        <w:widowControl w:val="0"/>
        <w:rPr>
          <w:sz w:val="20"/>
          <w:szCs w:val="20"/>
        </w:rPr>
      </w:pPr>
      <w:r>
        <w:rPr>
          <w:sz w:val="20"/>
          <w:szCs w:val="20"/>
        </w:rPr>
        <w:t>12</w:t>
      </w:r>
      <w:r w:rsidRPr="00FC7239">
        <w:rPr>
          <w:sz w:val="20"/>
          <w:szCs w:val="20"/>
        </w:rPr>
        <w:t>.12.2013</w:t>
      </w:r>
    </w:p>
    <w:p w:rsidR="00FC7239" w:rsidRDefault="00FC7239" w:rsidP="00FC7239">
      <w:pPr>
        <w:widowControl w:val="0"/>
        <w:rPr>
          <w:sz w:val="20"/>
          <w:szCs w:val="20"/>
        </w:rPr>
      </w:pPr>
    </w:p>
    <w:p w:rsidR="000F7500" w:rsidRPr="000F7500" w:rsidRDefault="000F7500" w:rsidP="000F7500">
      <w:pPr>
        <w:widowControl w:val="0"/>
        <w:tabs>
          <w:tab w:val="left" w:pos="720"/>
          <w:tab w:val="left" w:pos="1110"/>
          <w:tab w:val="left" w:pos="2851"/>
          <w:tab w:val="left" w:pos="4320"/>
          <w:tab w:val="left" w:pos="10224"/>
          <w:tab w:val="left" w:pos="11376"/>
        </w:tabs>
        <w:ind w:left="1110" w:hanging="1110"/>
        <w:rPr>
          <w:sz w:val="20"/>
          <w:szCs w:val="20"/>
          <w:u w:val="single"/>
        </w:rPr>
      </w:pPr>
      <w:r w:rsidRPr="000F7500">
        <w:rPr>
          <w:sz w:val="20"/>
          <w:szCs w:val="20"/>
        </w:rPr>
        <w:t xml:space="preserve">Coram: </w:t>
      </w:r>
      <w:r w:rsidRPr="000F7500">
        <w:rPr>
          <w:sz w:val="20"/>
          <w:szCs w:val="20"/>
        </w:rPr>
        <w:tab/>
      </w:r>
      <w:r w:rsidRPr="000F7500">
        <w:rPr>
          <w:sz w:val="20"/>
          <w:szCs w:val="20"/>
          <w:u w:val="single"/>
        </w:rPr>
        <w:t>McLachlin C.J. and LeBel, Abella, Rothstein, Moldaver, Karakatsanis and Wagner JJ.</w:t>
      </w:r>
    </w:p>
    <w:p w:rsidR="00FC7239" w:rsidRPr="00FC7239" w:rsidRDefault="00FC7239" w:rsidP="00FC7239">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FC7239" w:rsidRPr="002866BE" w:rsidTr="00FC7239">
        <w:tc>
          <w:tcPr>
            <w:tcW w:w="4380" w:type="dxa"/>
            <w:tcMar>
              <w:left w:w="0" w:type="dxa"/>
              <w:right w:w="0" w:type="dxa"/>
            </w:tcMar>
          </w:tcPr>
          <w:p w:rsidR="000F7500" w:rsidRDefault="000F7500" w:rsidP="000F7500">
            <w:pPr>
              <w:widowControl w:val="0"/>
              <w:tabs>
                <w:tab w:val="left" w:pos="720"/>
                <w:tab w:val="left" w:pos="1440"/>
                <w:tab w:val="left" w:pos="2851"/>
                <w:tab w:val="left" w:pos="4320"/>
                <w:tab w:val="left" w:pos="10224"/>
                <w:tab w:val="left" w:pos="11376"/>
              </w:tabs>
              <w:rPr>
                <w:b/>
                <w:sz w:val="20"/>
                <w:szCs w:val="20"/>
              </w:rPr>
            </w:pPr>
            <w:r w:rsidRPr="000F7500">
              <w:rPr>
                <w:b/>
                <w:sz w:val="20"/>
                <w:szCs w:val="20"/>
              </w:rPr>
              <w:t xml:space="preserve">Sattva Capital Corporation (formerly Sattva Capital Inc.) </w:t>
            </w:r>
          </w:p>
          <w:p w:rsidR="000F7500" w:rsidRDefault="000F7500" w:rsidP="000F7500">
            <w:pPr>
              <w:widowControl w:val="0"/>
              <w:tabs>
                <w:tab w:val="left" w:pos="720"/>
                <w:tab w:val="left" w:pos="1440"/>
                <w:tab w:val="left" w:pos="2851"/>
                <w:tab w:val="left" w:pos="4320"/>
                <w:tab w:val="left" w:pos="10224"/>
                <w:tab w:val="left" w:pos="11376"/>
              </w:tabs>
              <w:rPr>
                <w:b/>
                <w:sz w:val="20"/>
                <w:szCs w:val="20"/>
              </w:rPr>
            </w:pPr>
          </w:p>
          <w:p w:rsidR="000F7500" w:rsidRDefault="000F7500" w:rsidP="000F7500">
            <w:pPr>
              <w:widowControl w:val="0"/>
              <w:tabs>
                <w:tab w:val="left" w:pos="720"/>
                <w:tab w:val="left" w:pos="1440"/>
                <w:tab w:val="left" w:pos="2851"/>
                <w:tab w:val="left" w:pos="4320"/>
                <w:tab w:val="left" w:pos="10224"/>
                <w:tab w:val="left" w:pos="11376"/>
              </w:tabs>
              <w:rPr>
                <w:b/>
                <w:sz w:val="20"/>
                <w:szCs w:val="20"/>
              </w:rPr>
            </w:pPr>
            <w:r>
              <w:rPr>
                <w:b/>
                <w:sz w:val="20"/>
                <w:szCs w:val="20"/>
              </w:rPr>
              <w:tab/>
            </w:r>
            <w:r w:rsidRPr="000F7500">
              <w:rPr>
                <w:b/>
                <w:sz w:val="20"/>
                <w:szCs w:val="20"/>
              </w:rPr>
              <w:t xml:space="preserve">v. </w:t>
            </w:r>
            <w:r w:rsidRPr="000F7500">
              <w:rPr>
                <w:sz w:val="20"/>
                <w:szCs w:val="20"/>
              </w:rPr>
              <w:t>(</w:t>
            </w:r>
            <w:hyperlink r:id="rId62" w:history="1">
              <w:r w:rsidRPr="000F7500">
                <w:rPr>
                  <w:rStyle w:val="Hyperlink"/>
                  <w:sz w:val="20"/>
                  <w:szCs w:val="20"/>
                </w:rPr>
                <w:t>35026</w:t>
              </w:r>
            </w:hyperlink>
            <w:r w:rsidRPr="000F7500">
              <w:rPr>
                <w:sz w:val="20"/>
                <w:szCs w:val="20"/>
              </w:rPr>
              <w:t>)</w:t>
            </w:r>
          </w:p>
          <w:p w:rsidR="000F7500" w:rsidRDefault="000F7500" w:rsidP="000F7500">
            <w:pPr>
              <w:widowControl w:val="0"/>
              <w:tabs>
                <w:tab w:val="left" w:pos="720"/>
                <w:tab w:val="left" w:pos="1440"/>
                <w:tab w:val="left" w:pos="2851"/>
                <w:tab w:val="left" w:pos="4320"/>
                <w:tab w:val="left" w:pos="10224"/>
                <w:tab w:val="left" w:pos="11376"/>
              </w:tabs>
              <w:rPr>
                <w:b/>
                <w:sz w:val="20"/>
                <w:szCs w:val="20"/>
              </w:rPr>
            </w:pPr>
          </w:p>
          <w:p w:rsidR="00FC7239" w:rsidRPr="000F7500" w:rsidRDefault="000F7500" w:rsidP="000F7500">
            <w:pPr>
              <w:widowControl w:val="0"/>
              <w:tabs>
                <w:tab w:val="left" w:pos="720"/>
                <w:tab w:val="left" w:pos="1440"/>
                <w:tab w:val="left" w:pos="2851"/>
                <w:tab w:val="left" w:pos="4320"/>
                <w:tab w:val="left" w:pos="10224"/>
                <w:tab w:val="left" w:pos="11376"/>
              </w:tabs>
              <w:rPr>
                <w:sz w:val="20"/>
                <w:szCs w:val="20"/>
              </w:rPr>
            </w:pPr>
            <w:r w:rsidRPr="000F7500">
              <w:rPr>
                <w:b/>
                <w:sz w:val="20"/>
                <w:szCs w:val="20"/>
              </w:rPr>
              <w:t>Creston Moly Corporation (formerly Georgia Ventures Inc.) (B.C.) (Civil) (By Leave)</w:t>
            </w:r>
            <w:r w:rsidRPr="000F7500">
              <w:rPr>
                <w:sz w:val="20"/>
                <w:szCs w:val="20"/>
              </w:rPr>
              <w:t xml:space="preserve"> </w:t>
            </w:r>
            <w:r w:rsidR="00FC7239" w:rsidRPr="000F7500">
              <w:rPr>
                <w:sz w:val="20"/>
                <w:szCs w:val="20"/>
              </w:rPr>
              <w:t xml:space="preserve"> </w:t>
            </w:r>
          </w:p>
        </w:tc>
        <w:tc>
          <w:tcPr>
            <w:tcW w:w="720" w:type="dxa"/>
            <w:tcMar>
              <w:left w:w="0" w:type="dxa"/>
              <w:right w:w="0" w:type="dxa"/>
            </w:tcMar>
          </w:tcPr>
          <w:p w:rsidR="00FC7239" w:rsidRPr="000F7500" w:rsidRDefault="00FC7239" w:rsidP="00FC7239">
            <w:pPr>
              <w:widowControl w:val="0"/>
              <w:jc w:val="center"/>
              <w:rPr>
                <w:sz w:val="20"/>
                <w:szCs w:val="20"/>
              </w:rPr>
            </w:pPr>
          </w:p>
        </w:tc>
        <w:tc>
          <w:tcPr>
            <w:tcW w:w="4380" w:type="dxa"/>
            <w:tcMar>
              <w:left w:w="0" w:type="dxa"/>
              <w:right w:w="0" w:type="dxa"/>
            </w:tcMar>
          </w:tcPr>
          <w:p w:rsidR="002866BE" w:rsidRPr="00865211" w:rsidRDefault="002866BE" w:rsidP="002866BE">
            <w:pPr>
              <w:jc w:val="both"/>
              <w:rPr>
                <w:sz w:val="20"/>
                <w:szCs w:val="20"/>
              </w:rPr>
            </w:pPr>
            <w:r w:rsidRPr="00865211">
              <w:rPr>
                <w:sz w:val="20"/>
                <w:szCs w:val="20"/>
                <w:lang w:val="en-US"/>
              </w:rPr>
              <w:t>Michael Feder</w:t>
            </w:r>
            <w:r>
              <w:rPr>
                <w:sz w:val="20"/>
                <w:szCs w:val="20"/>
                <w:lang w:val="en-US"/>
              </w:rPr>
              <w:t xml:space="preserve"> and</w:t>
            </w:r>
            <w:r w:rsidRPr="00865211">
              <w:rPr>
                <w:sz w:val="20"/>
                <w:szCs w:val="20"/>
              </w:rPr>
              <w:t xml:space="preserve"> Tammy Shoranick</w:t>
            </w:r>
            <w:r>
              <w:rPr>
                <w:sz w:val="20"/>
                <w:szCs w:val="20"/>
              </w:rPr>
              <w:t xml:space="preserve"> f</w:t>
            </w:r>
            <w:r w:rsidRPr="00865211">
              <w:rPr>
                <w:sz w:val="20"/>
                <w:szCs w:val="20"/>
              </w:rPr>
              <w:t xml:space="preserve">or the </w:t>
            </w:r>
            <w:r>
              <w:rPr>
                <w:sz w:val="20"/>
                <w:szCs w:val="20"/>
              </w:rPr>
              <w:t>a</w:t>
            </w:r>
            <w:r w:rsidRPr="00865211">
              <w:rPr>
                <w:sz w:val="20"/>
                <w:szCs w:val="20"/>
              </w:rPr>
              <w:t>ppellant.</w:t>
            </w:r>
          </w:p>
          <w:p w:rsidR="002866BE" w:rsidRPr="00865211" w:rsidRDefault="002866BE" w:rsidP="002866BE">
            <w:pPr>
              <w:jc w:val="both"/>
              <w:rPr>
                <w:sz w:val="20"/>
                <w:szCs w:val="20"/>
                <w:lang w:val="en-US"/>
              </w:rPr>
            </w:pPr>
          </w:p>
          <w:p w:rsidR="002866BE" w:rsidRPr="00865211" w:rsidRDefault="002866BE" w:rsidP="002866BE">
            <w:pPr>
              <w:jc w:val="both"/>
              <w:rPr>
                <w:sz w:val="20"/>
                <w:szCs w:val="20"/>
                <w:lang w:val="en-US"/>
              </w:rPr>
            </w:pPr>
            <w:r w:rsidRPr="00865211">
              <w:rPr>
                <w:sz w:val="20"/>
                <w:szCs w:val="20"/>
                <w:lang w:val="en-US"/>
              </w:rPr>
              <w:t>Jonathan Eades</w:t>
            </w:r>
            <w:r>
              <w:rPr>
                <w:sz w:val="20"/>
                <w:szCs w:val="20"/>
                <w:lang w:val="en-US"/>
              </w:rPr>
              <w:t xml:space="preserve"> and </w:t>
            </w:r>
            <w:r w:rsidRPr="00865211">
              <w:rPr>
                <w:sz w:val="20"/>
                <w:szCs w:val="20"/>
                <w:lang w:val="en-US"/>
              </w:rPr>
              <w:t>Micah Weintraub</w:t>
            </w:r>
            <w:r>
              <w:rPr>
                <w:sz w:val="20"/>
                <w:szCs w:val="20"/>
                <w:lang w:val="en-US"/>
              </w:rPr>
              <w:t xml:space="preserve"> f</w:t>
            </w:r>
            <w:r w:rsidRPr="00865211">
              <w:rPr>
                <w:sz w:val="20"/>
                <w:szCs w:val="20"/>
              </w:rPr>
              <w:t xml:space="preserve">or the </w:t>
            </w:r>
            <w:r>
              <w:rPr>
                <w:sz w:val="20"/>
                <w:szCs w:val="20"/>
              </w:rPr>
              <w:t>i</w:t>
            </w:r>
            <w:r w:rsidRPr="00865211">
              <w:rPr>
                <w:sz w:val="20"/>
                <w:szCs w:val="20"/>
              </w:rPr>
              <w:t>ntervener</w:t>
            </w:r>
            <w:r>
              <w:rPr>
                <w:sz w:val="20"/>
                <w:szCs w:val="20"/>
              </w:rPr>
              <w:t xml:space="preserve"> </w:t>
            </w:r>
            <w:r w:rsidRPr="00865211">
              <w:rPr>
                <w:sz w:val="20"/>
                <w:szCs w:val="20"/>
              </w:rPr>
              <w:t>Attorney General of British Columbia</w:t>
            </w:r>
            <w:r>
              <w:rPr>
                <w:sz w:val="20"/>
                <w:szCs w:val="20"/>
              </w:rPr>
              <w:t>.</w:t>
            </w:r>
          </w:p>
          <w:p w:rsidR="002866BE" w:rsidRDefault="002866BE" w:rsidP="002866BE">
            <w:pPr>
              <w:jc w:val="both"/>
              <w:rPr>
                <w:sz w:val="20"/>
                <w:szCs w:val="20"/>
                <w:lang w:val="en-US"/>
              </w:rPr>
            </w:pPr>
          </w:p>
          <w:p w:rsidR="002866BE" w:rsidRPr="00865211" w:rsidRDefault="002866BE" w:rsidP="002866BE">
            <w:pPr>
              <w:jc w:val="both"/>
              <w:rPr>
                <w:sz w:val="20"/>
                <w:szCs w:val="20"/>
                <w:lang w:val="en-US"/>
              </w:rPr>
            </w:pPr>
            <w:r w:rsidRPr="00865211">
              <w:rPr>
                <w:sz w:val="20"/>
                <w:szCs w:val="20"/>
              </w:rPr>
              <w:t>David Wotherspoon</w:t>
            </w:r>
            <w:r>
              <w:rPr>
                <w:sz w:val="20"/>
                <w:szCs w:val="20"/>
              </w:rPr>
              <w:t xml:space="preserve"> and </w:t>
            </w:r>
            <w:r w:rsidRPr="00865211">
              <w:rPr>
                <w:sz w:val="20"/>
                <w:szCs w:val="20"/>
                <w:lang w:val="en-US"/>
              </w:rPr>
              <w:t>Gavin Cameron</w:t>
            </w:r>
            <w:r>
              <w:rPr>
                <w:sz w:val="20"/>
                <w:szCs w:val="20"/>
                <w:lang w:val="en-US"/>
              </w:rPr>
              <w:t xml:space="preserve"> f</w:t>
            </w:r>
            <w:r w:rsidRPr="00865211">
              <w:rPr>
                <w:sz w:val="20"/>
                <w:szCs w:val="20"/>
                <w:lang w:val="en-US"/>
              </w:rPr>
              <w:t xml:space="preserve">or the </w:t>
            </w:r>
            <w:r>
              <w:rPr>
                <w:sz w:val="20"/>
                <w:szCs w:val="20"/>
                <w:lang w:val="en-US"/>
              </w:rPr>
              <w:t>i</w:t>
            </w:r>
            <w:r w:rsidRPr="00865211">
              <w:rPr>
                <w:sz w:val="20"/>
                <w:szCs w:val="20"/>
                <w:lang w:val="en-US"/>
              </w:rPr>
              <w:t>ntervener</w:t>
            </w:r>
            <w:r>
              <w:rPr>
                <w:sz w:val="20"/>
                <w:szCs w:val="20"/>
                <w:lang w:val="en-US"/>
              </w:rPr>
              <w:t xml:space="preserve"> </w:t>
            </w:r>
            <w:r w:rsidRPr="00865211">
              <w:rPr>
                <w:sz w:val="20"/>
                <w:szCs w:val="20"/>
                <w:lang w:val="en-US"/>
              </w:rPr>
              <w:t>BCICAC Foundation</w:t>
            </w:r>
            <w:r>
              <w:rPr>
                <w:sz w:val="20"/>
                <w:szCs w:val="20"/>
                <w:lang w:val="en-US"/>
              </w:rPr>
              <w:t>.</w:t>
            </w:r>
          </w:p>
          <w:p w:rsidR="002866BE" w:rsidRDefault="002866BE" w:rsidP="002866BE">
            <w:pPr>
              <w:jc w:val="both"/>
              <w:rPr>
                <w:sz w:val="20"/>
                <w:szCs w:val="20"/>
                <w:lang w:val="en-US"/>
              </w:rPr>
            </w:pPr>
          </w:p>
          <w:p w:rsidR="00FC7239" w:rsidRPr="002866BE" w:rsidRDefault="002866BE" w:rsidP="002866BE">
            <w:pPr>
              <w:widowControl w:val="0"/>
              <w:jc w:val="both"/>
              <w:rPr>
                <w:sz w:val="20"/>
                <w:szCs w:val="20"/>
              </w:rPr>
            </w:pPr>
            <w:r w:rsidRPr="00865211">
              <w:rPr>
                <w:sz w:val="20"/>
                <w:szCs w:val="20"/>
              </w:rPr>
              <w:t>Darrell W. Roberts, Q.C.</w:t>
            </w:r>
            <w:r>
              <w:rPr>
                <w:sz w:val="20"/>
                <w:szCs w:val="20"/>
              </w:rPr>
              <w:t xml:space="preserve"> and </w:t>
            </w:r>
            <w:r w:rsidRPr="00865211">
              <w:rPr>
                <w:sz w:val="20"/>
                <w:szCs w:val="20"/>
              </w:rPr>
              <w:t>David Mitchell</w:t>
            </w:r>
            <w:r>
              <w:rPr>
                <w:sz w:val="20"/>
                <w:szCs w:val="20"/>
              </w:rPr>
              <w:t xml:space="preserve"> f</w:t>
            </w:r>
            <w:r w:rsidRPr="00865211">
              <w:rPr>
                <w:sz w:val="20"/>
                <w:szCs w:val="20"/>
              </w:rPr>
              <w:t xml:space="preserve">or the </w:t>
            </w:r>
            <w:r>
              <w:rPr>
                <w:sz w:val="20"/>
                <w:szCs w:val="20"/>
              </w:rPr>
              <w:t>r</w:t>
            </w:r>
            <w:r w:rsidRPr="00865211">
              <w:rPr>
                <w:sz w:val="20"/>
                <w:szCs w:val="20"/>
              </w:rPr>
              <w:t>espondent.</w:t>
            </w:r>
          </w:p>
        </w:tc>
      </w:tr>
    </w:tbl>
    <w:p w:rsidR="00FC7239" w:rsidRPr="002866BE" w:rsidRDefault="00FC7239" w:rsidP="00FC7239">
      <w:pPr>
        <w:widowControl w:val="0"/>
      </w:pPr>
    </w:p>
    <w:p w:rsidR="00FC7239" w:rsidRPr="0085476B" w:rsidRDefault="00FC7239" w:rsidP="00FC7239">
      <w:pPr>
        <w:widowControl w:val="0"/>
        <w:rPr>
          <w:sz w:val="20"/>
          <w:szCs w:val="20"/>
        </w:rPr>
      </w:pPr>
      <w:r w:rsidRPr="0085476B">
        <w:rPr>
          <w:b/>
          <w:sz w:val="20"/>
          <w:szCs w:val="20"/>
        </w:rPr>
        <w:t xml:space="preserve">RESERVED / </w:t>
      </w:r>
      <w:r w:rsidRPr="0085476B">
        <w:rPr>
          <w:b/>
          <w:sz w:val="20"/>
          <w:szCs w:val="20"/>
          <w:lang w:val="fr-CA"/>
        </w:rPr>
        <w:t>EN DÉLIBÉRÉ</w:t>
      </w:r>
    </w:p>
    <w:p w:rsidR="00FC7239" w:rsidRDefault="00FC7239" w:rsidP="00FC7239"/>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FC7239" w:rsidRPr="00E672F1" w:rsidTr="00FC7239">
        <w:tc>
          <w:tcPr>
            <w:tcW w:w="4380" w:type="dxa"/>
            <w:tcMar>
              <w:left w:w="0" w:type="dxa"/>
              <w:right w:w="0" w:type="dxa"/>
            </w:tcMar>
          </w:tcPr>
          <w:p w:rsidR="00FC7239" w:rsidRPr="00CC4D84" w:rsidRDefault="00FC7239" w:rsidP="00FC7239">
            <w:pPr>
              <w:widowControl w:val="0"/>
              <w:jc w:val="both"/>
              <w:rPr>
                <w:b/>
                <w:sz w:val="20"/>
                <w:szCs w:val="20"/>
                <w:u w:val="single"/>
              </w:rPr>
            </w:pPr>
            <w:r w:rsidRPr="00CC4D84">
              <w:rPr>
                <w:b/>
                <w:sz w:val="20"/>
                <w:szCs w:val="20"/>
                <w:u w:val="single"/>
              </w:rPr>
              <w:t>Nature of the case:</w:t>
            </w:r>
          </w:p>
          <w:p w:rsidR="00FC7239" w:rsidRPr="00C1697B" w:rsidRDefault="00FC7239" w:rsidP="00FC7239">
            <w:pPr>
              <w:widowControl w:val="0"/>
              <w:jc w:val="both"/>
              <w:rPr>
                <w:b/>
                <w:sz w:val="20"/>
                <w:szCs w:val="20"/>
              </w:rPr>
            </w:pPr>
          </w:p>
          <w:p w:rsidR="00FC7239" w:rsidRPr="00C1697B" w:rsidRDefault="005C65C3" w:rsidP="00FC7239">
            <w:pPr>
              <w:widowControl w:val="0"/>
              <w:jc w:val="both"/>
              <w:rPr>
                <w:b/>
                <w:sz w:val="20"/>
                <w:szCs w:val="20"/>
              </w:rPr>
            </w:pPr>
            <w:r w:rsidRPr="007B3E09">
              <w:rPr>
                <w:sz w:val="20"/>
                <w:szCs w:val="20"/>
              </w:rPr>
              <w:t xml:space="preserve">Contracts </w:t>
            </w:r>
            <w:r w:rsidRPr="007B3E09">
              <w:rPr>
                <w:sz w:val="20"/>
                <w:szCs w:val="20"/>
              </w:rPr>
              <w:noBreakHyphen/>
              <w:t xml:space="preserve"> Interpretation </w:t>
            </w:r>
            <w:r w:rsidRPr="007B3E09">
              <w:rPr>
                <w:sz w:val="20"/>
                <w:szCs w:val="20"/>
              </w:rPr>
              <w:noBreakHyphen/>
              <w:t xml:space="preserve"> Finder’s fee agreement </w:t>
            </w:r>
            <w:r w:rsidRPr="007B3E09">
              <w:rPr>
                <w:sz w:val="20"/>
                <w:szCs w:val="20"/>
              </w:rPr>
              <w:noBreakHyphen/>
              <w:t xml:space="preserve"> Arbitration </w:t>
            </w:r>
            <w:r w:rsidRPr="007B3E09">
              <w:rPr>
                <w:sz w:val="20"/>
                <w:szCs w:val="20"/>
              </w:rPr>
              <w:noBreakHyphen/>
              <w:t xml:space="preserve"> Administrative law </w:t>
            </w:r>
            <w:r w:rsidRPr="007B3E09">
              <w:rPr>
                <w:sz w:val="20"/>
                <w:szCs w:val="20"/>
              </w:rPr>
              <w:noBreakHyphen/>
              <w:t xml:space="preserve"> Appeals </w:t>
            </w:r>
            <w:r w:rsidRPr="007B3E09">
              <w:rPr>
                <w:sz w:val="20"/>
                <w:szCs w:val="20"/>
              </w:rPr>
              <w:noBreakHyphen/>
              <w:t xml:space="preserve"> What qualifies as a question or point of law arising out of an arbitral award for the purposes of an appeal or proposed appeal under s. 31 of the </w:t>
            </w:r>
            <w:r w:rsidRPr="007B3E09">
              <w:rPr>
                <w:i/>
                <w:sz w:val="20"/>
                <w:szCs w:val="20"/>
              </w:rPr>
              <w:t>Commercial Arbitration Act</w:t>
            </w:r>
            <w:r w:rsidRPr="007B3E09">
              <w:rPr>
                <w:sz w:val="20"/>
                <w:szCs w:val="20"/>
              </w:rPr>
              <w:t xml:space="preserve">, R.S.B.C. 1996, c. 55? </w:t>
            </w:r>
            <w:r w:rsidRPr="007B3E09">
              <w:rPr>
                <w:sz w:val="20"/>
                <w:szCs w:val="20"/>
              </w:rPr>
              <w:noBreakHyphen/>
              <w:t xml:space="preserve"> In an appeal on a question or point of law under s. 31, may the </w:t>
            </w:r>
            <w:r w:rsidRPr="007B3E09">
              <w:rPr>
                <w:sz w:val="20"/>
                <w:szCs w:val="20"/>
              </w:rPr>
              <w:lastRenderedPageBreak/>
              <w:t xml:space="preserve">court disregard the arbitrator’s findings of fact in answering the question? </w:t>
            </w:r>
            <w:r w:rsidRPr="007B3E09">
              <w:rPr>
                <w:sz w:val="20"/>
                <w:szCs w:val="20"/>
              </w:rPr>
              <w:noBreakHyphen/>
              <w:t xml:space="preserve"> To what extent, if at all, is the court hearing an appeal on a question or point of law under s. 31 bound by determinations made on the application for leave to appeal?</w:t>
            </w:r>
          </w:p>
        </w:tc>
        <w:tc>
          <w:tcPr>
            <w:tcW w:w="720" w:type="dxa"/>
            <w:tcMar>
              <w:left w:w="0" w:type="dxa"/>
              <w:right w:w="0" w:type="dxa"/>
            </w:tcMar>
          </w:tcPr>
          <w:p w:rsidR="00FC7239" w:rsidRPr="00C1697B" w:rsidRDefault="00FC7239" w:rsidP="00FC7239">
            <w:pPr>
              <w:widowControl w:val="0"/>
              <w:jc w:val="center"/>
              <w:rPr>
                <w:sz w:val="20"/>
                <w:szCs w:val="20"/>
              </w:rPr>
            </w:pPr>
          </w:p>
        </w:tc>
        <w:tc>
          <w:tcPr>
            <w:tcW w:w="4380" w:type="dxa"/>
            <w:tcMar>
              <w:left w:w="0" w:type="dxa"/>
              <w:right w:w="0" w:type="dxa"/>
            </w:tcMar>
          </w:tcPr>
          <w:p w:rsidR="00FC7239" w:rsidRPr="00CC4D84" w:rsidRDefault="00FC7239" w:rsidP="00FC7239">
            <w:pPr>
              <w:widowControl w:val="0"/>
              <w:jc w:val="both"/>
              <w:rPr>
                <w:b/>
                <w:sz w:val="20"/>
                <w:szCs w:val="20"/>
                <w:u w:val="single"/>
                <w:lang w:val="fr-CA"/>
              </w:rPr>
            </w:pPr>
            <w:r w:rsidRPr="00CC4D84">
              <w:rPr>
                <w:b/>
                <w:sz w:val="20"/>
                <w:szCs w:val="20"/>
                <w:u w:val="single"/>
                <w:lang w:val="fr-CA"/>
              </w:rPr>
              <w:t>Nature de la cause :</w:t>
            </w:r>
          </w:p>
          <w:p w:rsidR="00FC7239" w:rsidRPr="00C1697B" w:rsidRDefault="00FC7239" w:rsidP="00FC7239">
            <w:pPr>
              <w:widowControl w:val="0"/>
              <w:jc w:val="both"/>
              <w:rPr>
                <w:sz w:val="20"/>
                <w:szCs w:val="20"/>
                <w:lang w:val="fr-CA"/>
              </w:rPr>
            </w:pPr>
          </w:p>
          <w:p w:rsidR="00FC7239" w:rsidRPr="00C1697B" w:rsidRDefault="005C65C3" w:rsidP="00FC7239">
            <w:pPr>
              <w:widowControl w:val="0"/>
              <w:jc w:val="both"/>
              <w:rPr>
                <w:sz w:val="20"/>
                <w:szCs w:val="20"/>
                <w:lang w:val="fr-CA"/>
              </w:rPr>
            </w:pPr>
            <w:r w:rsidRPr="00422B27">
              <w:rPr>
                <w:sz w:val="20"/>
                <w:szCs w:val="20"/>
                <w:lang w:val="fr-CA"/>
              </w:rPr>
              <w:t xml:space="preserve">Contrats </w:t>
            </w:r>
            <w:r w:rsidRPr="00422B27">
              <w:rPr>
                <w:sz w:val="20"/>
                <w:szCs w:val="20"/>
                <w:lang w:val="fr-CA"/>
              </w:rPr>
              <w:noBreakHyphen/>
              <w:t xml:space="preserve"> Interprétation </w:t>
            </w:r>
            <w:r w:rsidRPr="00422B27">
              <w:rPr>
                <w:sz w:val="20"/>
                <w:szCs w:val="20"/>
                <w:lang w:val="fr-CA"/>
              </w:rPr>
              <w:noBreakHyphen/>
              <w:t xml:space="preserve"> Contrat de commission d’intermédiaire </w:t>
            </w:r>
            <w:r w:rsidRPr="00422B27">
              <w:rPr>
                <w:sz w:val="20"/>
                <w:szCs w:val="20"/>
                <w:lang w:val="fr-CA"/>
              </w:rPr>
              <w:noBreakHyphen/>
              <w:t xml:space="preserve"> Arbitrage </w:t>
            </w:r>
            <w:r w:rsidRPr="00422B27">
              <w:rPr>
                <w:sz w:val="20"/>
                <w:szCs w:val="20"/>
                <w:lang w:val="fr-CA"/>
              </w:rPr>
              <w:noBreakHyphen/>
              <w:t xml:space="preserve"> Droit administratif </w:t>
            </w:r>
            <w:r w:rsidRPr="00422B27">
              <w:rPr>
                <w:sz w:val="20"/>
                <w:szCs w:val="20"/>
                <w:lang w:val="fr-CA"/>
              </w:rPr>
              <w:noBreakHyphen/>
              <w:t xml:space="preserve"> Appels </w:t>
            </w:r>
            <w:r w:rsidRPr="00422B27">
              <w:rPr>
                <w:sz w:val="20"/>
                <w:szCs w:val="20"/>
                <w:lang w:val="fr-CA"/>
              </w:rPr>
              <w:noBreakHyphen/>
              <w:t xml:space="preserve"> Quelles sont les questions de droit découlant d’une sentence arbitrale susceptibles de donner lieu à un appel réel ou projeté en application de l’art. 31 de la </w:t>
            </w:r>
            <w:r w:rsidRPr="00422B27">
              <w:rPr>
                <w:i/>
                <w:sz w:val="20"/>
                <w:szCs w:val="20"/>
                <w:lang w:val="fr-CA"/>
              </w:rPr>
              <w:t>Commercial Arbitration Act</w:t>
            </w:r>
            <w:r w:rsidRPr="00422B27">
              <w:rPr>
                <w:sz w:val="20"/>
                <w:szCs w:val="20"/>
                <w:lang w:val="fr-CA"/>
              </w:rPr>
              <w:t xml:space="preserve">, R.S.B.C. 1996, ch. 55? </w:t>
            </w:r>
            <w:r w:rsidRPr="00422B27">
              <w:rPr>
                <w:sz w:val="20"/>
                <w:szCs w:val="20"/>
                <w:lang w:val="fr-CA"/>
              </w:rPr>
              <w:noBreakHyphen/>
              <w:t xml:space="preserve"> Dans un appel sur une question de droit aux </w:t>
            </w:r>
            <w:r w:rsidRPr="00422B27">
              <w:rPr>
                <w:sz w:val="20"/>
                <w:szCs w:val="20"/>
                <w:lang w:val="fr-CA"/>
              </w:rPr>
              <w:lastRenderedPageBreak/>
              <w:t>termes de l’art. 31, la cour peut</w:t>
            </w:r>
            <w:r w:rsidRPr="00422B27">
              <w:rPr>
                <w:sz w:val="20"/>
                <w:szCs w:val="20"/>
                <w:lang w:val="fr-CA"/>
              </w:rPr>
              <w:noBreakHyphen/>
              <w:t xml:space="preserve">elle faire abstraction des conclusions de fait de l’arbitre en répondant à la question? </w:t>
            </w:r>
            <w:r w:rsidRPr="00422B27">
              <w:rPr>
                <w:sz w:val="20"/>
                <w:szCs w:val="20"/>
                <w:lang w:val="fr-CA"/>
              </w:rPr>
              <w:noBreakHyphen/>
              <w:t xml:space="preserve"> Dans quelle mesure, s’il en est, la cour saisie d’un appel sur une question de droit en application de l’art. 31 est</w:t>
            </w:r>
            <w:r w:rsidRPr="00422B27">
              <w:rPr>
                <w:sz w:val="20"/>
                <w:szCs w:val="20"/>
                <w:lang w:val="fr-CA"/>
              </w:rPr>
              <w:noBreakHyphen/>
              <w:t>elle liée par des décisions prises dans le cadre d’une demande d’autorisation d’appel?</w:t>
            </w:r>
          </w:p>
        </w:tc>
      </w:tr>
    </w:tbl>
    <w:p w:rsidR="00FC7239" w:rsidRDefault="00FC7239" w:rsidP="00FC7239">
      <w:pPr>
        <w:widowControl w:val="0"/>
        <w:rPr>
          <w:sz w:val="20"/>
          <w:szCs w:val="20"/>
          <w:lang w:val="fr-CA"/>
        </w:rPr>
      </w:pPr>
    </w:p>
    <w:p w:rsidR="00FC7239" w:rsidRDefault="00E672F1" w:rsidP="00FC7239">
      <w:pPr>
        <w:widowControl w:val="0"/>
        <w:rPr>
          <w:sz w:val="20"/>
          <w:szCs w:val="20"/>
        </w:rPr>
      </w:pPr>
      <w:r>
        <w:rPr>
          <w:sz w:val="20"/>
          <w:szCs w:val="20"/>
          <w:lang w:val="fr-CA"/>
        </w:rPr>
        <w:pict>
          <v:rect id="_x0000_i1068" style="width:2in;height:1pt" o:hrpct="0" o:hralign="center" o:hrstd="t" o:hrnoshade="t" o:hr="t" fillcolor="black [3213]" stroked="f"/>
        </w:pict>
      </w:r>
    </w:p>
    <w:p w:rsidR="00FC7239" w:rsidRDefault="00FC7239" w:rsidP="00FC7239">
      <w:pPr>
        <w:widowControl w:val="0"/>
        <w:rPr>
          <w:sz w:val="20"/>
          <w:szCs w:val="20"/>
        </w:rPr>
      </w:pPr>
    </w:p>
    <w:p w:rsidR="00FC7239" w:rsidRDefault="00FC7239" w:rsidP="002A27D1">
      <w:pPr>
        <w:widowControl w:val="0"/>
        <w:rPr>
          <w:sz w:val="20"/>
          <w:szCs w:val="20"/>
        </w:rPr>
      </w:pPr>
    </w:p>
    <w:p w:rsidR="00FC7239" w:rsidRDefault="00FC7239" w:rsidP="002A27D1">
      <w:pPr>
        <w:widowControl w:val="0"/>
        <w:rPr>
          <w:sz w:val="20"/>
          <w:szCs w:val="20"/>
        </w:rPr>
      </w:pPr>
    </w:p>
    <w:p w:rsidR="00FC7239" w:rsidRDefault="00FC7239" w:rsidP="002A27D1">
      <w:pPr>
        <w:widowControl w:val="0"/>
        <w:rPr>
          <w:sz w:val="20"/>
          <w:szCs w:val="20"/>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63"/>
          <w:headerReference w:type="default" r:id="rId64"/>
          <w:footerReference w:type="even" r:id="rId65"/>
          <w:footerReference w:type="default" r:id="rId66"/>
          <w:headerReference w:type="first" r:id="rId67"/>
          <w:footerReference w:type="first" r:id="rId68"/>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E672F1"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AE75BC" w:rsidP="00AF1715">
      <w:pPr>
        <w:rPr>
          <w:b/>
          <w:sz w:val="20"/>
          <w:szCs w:val="20"/>
        </w:rPr>
      </w:pPr>
      <w:r>
        <w:rPr>
          <w:b/>
          <w:sz w:val="20"/>
          <w:szCs w:val="20"/>
        </w:rPr>
        <w:t>DECEM</w:t>
      </w:r>
      <w:r w:rsidR="00AF1715" w:rsidRPr="003B3977">
        <w:rPr>
          <w:b/>
          <w:sz w:val="20"/>
          <w:szCs w:val="20"/>
        </w:rPr>
        <w:t xml:space="preserve">BER </w:t>
      </w:r>
      <w:r>
        <w:rPr>
          <w:b/>
          <w:sz w:val="20"/>
          <w:szCs w:val="20"/>
        </w:rPr>
        <w:t>1</w:t>
      </w:r>
      <w:r w:rsidR="004E1E0A">
        <w:rPr>
          <w:b/>
          <w:sz w:val="20"/>
          <w:szCs w:val="20"/>
        </w:rPr>
        <w:t>2</w:t>
      </w:r>
      <w:r w:rsidR="00AF1715" w:rsidRPr="003B3977">
        <w:rPr>
          <w:b/>
          <w:sz w:val="20"/>
          <w:szCs w:val="20"/>
        </w:rPr>
        <w:t>, 201</w:t>
      </w:r>
      <w:r>
        <w:rPr>
          <w:b/>
          <w:sz w:val="20"/>
          <w:szCs w:val="20"/>
        </w:rPr>
        <w:t>3</w:t>
      </w:r>
      <w:r w:rsidR="00AF1715" w:rsidRPr="003B3977">
        <w:rPr>
          <w:b/>
          <w:sz w:val="20"/>
          <w:szCs w:val="20"/>
        </w:rPr>
        <w:t xml:space="preserve"> / LE </w:t>
      </w:r>
      <w:r>
        <w:rPr>
          <w:b/>
          <w:sz w:val="20"/>
          <w:szCs w:val="20"/>
        </w:rPr>
        <w:t>1</w:t>
      </w:r>
      <w:r w:rsidR="004E1E0A">
        <w:rPr>
          <w:b/>
          <w:sz w:val="20"/>
          <w:szCs w:val="20"/>
        </w:rPr>
        <w:t>2</w:t>
      </w:r>
      <w:r w:rsidR="00AF1715" w:rsidRPr="003B3977">
        <w:rPr>
          <w:b/>
          <w:sz w:val="20"/>
          <w:szCs w:val="20"/>
        </w:rPr>
        <w:t xml:space="preserve"> </w:t>
      </w:r>
      <w:r>
        <w:rPr>
          <w:b/>
          <w:sz w:val="20"/>
          <w:szCs w:val="20"/>
        </w:rPr>
        <w:t>DÉCEM</w:t>
      </w:r>
      <w:r w:rsidR="00AF1715" w:rsidRPr="003B3977">
        <w:rPr>
          <w:b/>
          <w:sz w:val="20"/>
          <w:szCs w:val="20"/>
        </w:rPr>
        <w:t>BRE 201</w:t>
      </w:r>
      <w:r>
        <w:rPr>
          <w:b/>
          <w:sz w:val="20"/>
          <w:szCs w:val="20"/>
        </w:rPr>
        <w:t>3</w:t>
      </w:r>
    </w:p>
    <w:p w:rsidR="00AF1715" w:rsidRPr="003B3977" w:rsidRDefault="00AF1715" w:rsidP="00AF1715">
      <w:pPr>
        <w:rPr>
          <w:sz w:val="20"/>
          <w:szCs w:val="20"/>
        </w:rPr>
      </w:pPr>
    </w:p>
    <w:p w:rsidR="008F37AC" w:rsidRPr="004E28EC" w:rsidRDefault="000505AD" w:rsidP="008F37AC">
      <w:pPr>
        <w:ind w:left="1440" w:hanging="1440"/>
        <w:jc w:val="both"/>
        <w:rPr>
          <w:sz w:val="20"/>
          <w:szCs w:val="20"/>
        </w:rPr>
      </w:pPr>
      <w:r w:rsidRPr="004E28EC">
        <w:rPr>
          <w:b/>
          <w:sz w:val="20"/>
          <w:szCs w:val="20"/>
        </w:rPr>
        <w:fldChar w:fldCharType="begin"/>
      </w:r>
      <w:r w:rsidR="008F37AC" w:rsidRPr="004E28EC">
        <w:rPr>
          <w:b/>
          <w:sz w:val="20"/>
          <w:szCs w:val="20"/>
        </w:rPr>
        <w:instrText xml:space="preserve"> SEQ CHAPTER \h \r 1</w:instrText>
      </w:r>
      <w:r w:rsidRPr="004E28EC">
        <w:rPr>
          <w:b/>
          <w:sz w:val="20"/>
          <w:szCs w:val="20"/>
        </w:rPr>
        <w:fldChar w:fldCharType="end"/>
      </w:r>
      <w:r w:rsidR="008F37AC" w:rsidRPr="004E28EC">
        <w:rPr>
          <w:b/>
          <w:sz w:val="20"/>
          <w:szCs w:val="20"/>
        </w:rPr>
        <w:t>34738</w:t>
      </w:r>
      <w:r w:rsidR="008F37AC" w:rsidRPr="004E28EC">
        <w:rPr>
          <w:sz w:val="20"/>
          <w:szCs w:val="20"/>
        </w:rPr>
        <w:tab/>
      </w:r>
      <w:r w:rsidR="008F37AC" w:rsidRPr="004E28EC">
        <w:rPr>
          <w:b/>
          <w:sz w:val="20"/>
          <w:szCs w:val="20"/>
          <w:u w:val="single"/>
        </w:rPr>
        <w:t>AIC Limited v. Dennis Fischer, Sheila Snyder, Lawrence Dykun, Ray Shugar and Wayne Dzeoba – AND BETWEEN – CI Mutual Funds Inc. v. Dennis Fischer, Sheila Snyder, Lawrence Dykun, Ray Shugar and Wayne Dzeoba</w:t>
      </w:r>
      <w:r w:rsidR="008F37AC" w:rsidRPr="004E28EC">
        <w:rPr>
          <w:iCs/>
          <w:sz w:val="20"/>
          <w:szCs w:val="20"/>
        </w:rPr>
        <w:t xml:space="preserve"> (Ont.)</w:t>
      </w:r>
    </w:p>
    <w:p w:rsidR="008F37AC" w:rsidRPr="004E28EC" w:rsidRDefault="008F37AC" w:rsidP="008F37A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4E28EC">
        <w:rPr>
          <w:b/>
          <w:sz w:val="20"/>
          <w:szCs w:val="20"/>
        </w:rPr>
        <w:t>2013 SCC 69 / 2013 CSC 69</w:t>
      </w:r>
    </w:p>
    <w:p w:rsidR="008F37AC" w:rsidRPr="004E28EC" w:rsidRDefault="008F37AC" w:rsidP="008F37A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8F37AC" w:rsidRPr="004E28EC" w:rsidRDefault="008F37AC" w:rsidP="008F37AC">
      <w:pPr>
        <w:ind w:left="1440" w:hanging="1440"/>
        <w:rPr>
          <w:sz w:val="20"/>
          <w:szCs w:val="20"/>
          <w:u w:val="single"/>
        </w:rPr>
      </w:pPr>
      <w:r w:rsidRPr="004E28EC">
        <w:rPr>
          <w:sz w:val="20"/>
          <w:szCs w:val="20"/>
        </w:rPr>
        <w:t>Coram:</w:t>
      </w:r>
      <w:r w:rsidRPr="004E28EC">
        <w:rPr>
          <w:sz w:val="20"/>
          <w:szCs w:val="20"/>
        </w:rPr>
        <w:tab/>
      </w:r>
      <w:r w:rsidRPr="004E28EC">
        <w:rPr>
          <w:sz w:val="20"/>
          <w:szCs w:val="20"/>
          <w:u w:val="single"/>
        </w:rPr>
        <w:t xml:space="preserve">McLachlin C.J. and LeBel, Rothstein, Cromwell, Moldaver, Karakatsanis and Wagner JJ. </w:t>
      </w:r>
    </w:p>
    <w:p w:rsidR="008F37AC" w:rsidRPr="004E28EC" w:rsidRDefault="008F37AC" w:rsidP="008F37AC">
      <w:pPr>
        <w:tabs>
          <w:tab w:val="left" w:pos="0"/>
          <w:tab w:val="left" w:pos="720"/>
          <w:tab w:val="left" w:pos="2160"/>
          <w:tab w:val="left" w:pos="2880"/>
          <w:tab w:val="left" w:pos="3600"/>
          <w:tab w:val="left" w:pos="4320"/>
          <w:tab w:val="left" w:pos="5040"/>
          <w:tab w:val="left" w:pos="5760"/>
          <w:tab w:val="left" w:pos="6480"/>
          <w:tab w:val="left" w:pos="7200"/>
        </w:tabs>
        <w:ind w:left="1440" w:hanging="1440"/>
        <w:jc w:val="both"/>
        <w:rPr>
          <w:sz w:val="20"/>
          <w:szCs w:val="20"/>
          <w:u w:val="single"/>
        </w:rPr>
      </w:pPr>
    </w:p>
    <w:p w:rsidR="008F37AC" w:rsidRPr="004E28EC" w:rsidRDefault="008F37AC" w:rsidP="008F37AC">
      <w:pPr>
        <w:jc w:val="both"/>
        <w:rPr>
          <w:sz w:val="20"/>
          <w:szCs w:val="20"/>
        </w:rPr>
      </w:pPr>
      <w:r w:rsidRPr="004E28EC">
        <w:rPr>
          <w:sz w:val="20"/>
          <w:szCs w:val="20"/>
        </w:rPr>
        <w:t xml:space="preserve">The appeal from the judgment </w:t>
      </w:r>
      <w:bookmarkStart w:id="2" w:name="BM_1_"/>
      <w:bookmarkEnd w:id="2"/>
      <w:r w:rsidRPr="004E28EC">
        <w:rPr>
          <w:sz w:val="20"/>
          <w:szCs w:val="20"/>
        </w:rPr>
        <w:t>of the Court of Appeal for Ontario, Numbers C53852 and C53853, 2012 ONCA 47, dated January 27, 2012, heard on April 18, 2013, is dismissed with costs.</w:t>
      </w:r>
    </w:p>
    <w:p w:rsidR="008F37AC" w:rsidRPr="004E28EC" w:rsidRDefault="008F37AC" w:rsidP="008F37AC">
      <w:pPr>
        <w:jc w:val="both"/>
        <w:rPr>
          <w:sz w:val="20"/>
          <w:szCs w:val="20"/>
        </w:rPr>
      </w:pPr>
    </w:p>
    <w:p w:rsidR="008F37AC" w:rsidRPr="004E28EC" w:rsidRDefault="008F37AC" w:rsidP="008F37AC">
      <w:pPr>
        <w:jc w:val="both"/>
        <w:rPr>
          <w:sz w:val="20"/>
          <w:szCs w:val="20"/>
          <w:lang w:val="fr-CA"/>
        </w:rPr>
      </w:pPr>
      <w:r w:rsidRPr="004E28EC">
        <w:rPr>
          <w:sz w:val="20"/>
          <w:szCs w:val="20"/>
          <w:lang w:val="fr-CA"/>
        </w:rPr>
        <w:t xml:space="preserve">L’appel interjeté contre l’arrêt de la Cour d’appel de l’Ontario, numéros C53852 et C53853, 2012 ONCA 47, en date du 27 janvier 2012, entendu le 18 avril 2013, est rejeté avec dépens. </w:t>
      </w:r>
    </w:p>
    <w:p w:rsidR="00AF1715" w:rsidRPr="003B3977" w:rsidRDefault="00AF1715" w:rsidP="00AF1715">
      <w:pPr>
        <w:rPr>
          <w:sz w:val="20"/>
          <w:szCs w:val="20"/>
          <w:lang w:val="fr-CA"/>
        </w:rPr>
      </w:pPr>
    </w:p>
    <w:p w:rsidR="00AF1715" w:rsidRPr="003B3977" w:rsidRDefault="00E672F1" w:rsidP="00AF1715">
      <w:pPr>
        <w:spacing w:line="0" w:lineRule="atLeast"/>
        <w:rPr>
          <w:sz w:val="20"/>
          <w:szCs w:val="20"/>
        </w:rPr>
      </w:pPr>
      <w:r>
        <w:rPr>
          <w:b/>
          <w:sz w:val="20"/>
          <w:szCs w:val="20"/>
        </w:rPr>
        <w:pict>
          <v:rect id="_x0000_i1071" style="width:144.3pt;height:1pt" o:hrpct="300" o:hralign="center" o:hrstd="t" o:hrnoshade="t" o:hr="t" fillcolor="black [3213]" stroked="f"/>
        </w:pict>
      </w:r>
    </w:p>
    <w:p w:rsidR="00AF1715" w:rsidRPr="003B3977" w:rsidRDefault="00AF1715" w:rsidP="00AF1715">
      <w:pPr>
        <w:spacing w:line="0" w:lineRule="atLeast"/>
        <w:rPr>
          <w:sz w:val="20"/>
          <w:szCs w:val="20"/>
        </w:rPr>
      </w:pPr>
    </w:p>
    <w:p w:rsidR="00D004FC" w:rsidRPr="00DB0B47" w:rsidRDefault="00AE75BC" w:rsidP="00D004FC">
      <w:pPr>
        <w:rPr>
          <w:b/>
          <w:sz w:val="20"/>
          <w:szCs w:val="20"/>
        </w:rPr>
      </w:pPr>
      <w:r w:rsidRPr="00DB0B47">
        <w:rPr>
          <w:b/>
          <w:sz w:val="20"/>
          <w:szCs w:val="20"/>
        </w:rPr>
        <w:t>DECE</w:t>
      </w:r>
      <w:r w:rsidR="00D004FC" w:rsidRPr="00DB0B47">
        <w:rPr>
          <w:b/>
          <w:sz w:val="20"/>
          <w:szCs w:val="20"/>
        </w:rPr>
        <w:t>M</w:t>
      </w:r>
      <w:r w:rsidRPr="00DB0B47">
        <w:rPr>
          <w:b/>
          <w:sz w:val="20"/>
          <w:szCs w:val="20"/>
        </w:rPr>
        <w:t>BER</w:t>
      </w:r>
      <w:r w:rsidR="00D004FC" w:rsidRPr="00DB0B47">
        <w:rPr>
          <w:b/>
          <w:sz w:val="20"/>
          <w:szCs w:val="20"/>
        </w:rPr>
        <w:t xml:space="preserve"> 1</w:t>
      </w:r>
      <w:r w:rsidRPr="00DB0B47">
        <w:rPr>
          <w:b/>
          <w:sz w:val="20"/>
          <w:szCs w:val="20"/>
        </w:rPr>
        <w:t>3</w:t>
      </w:r>
      <w:r w:rsidR="00D004FC" w:rsidRPr="00DB0B47">
        <w:rPr>
          <w:b/>
          <w:sz w:val="20"/>
          <w:szCs w:val="20"/>
        </w:rPr>
        <w:t>, 2013 / LE 1</w:t>
      </w:r>
      <w:r w:rsidRPr="00DB0B47">
        <w:rPr>
          <w:b/>
          <w:sz w:val="20"/>
          <w:szCs w:val="20"/>
        </w:rPr>
        <w:t>3</w:t>
      </w:r>
      <w:r w:rsidR="00D004FC" w:rsidRPr="00DB0B47">
        <w:rPr>
          <w:b/>
          <w:sz w:val="20"/>
          <w:szCs w:val="20"/>
        </w:rPr>
        <w:t xml:space="preserve"> </w:t>
      </w:r>
      <w:r w:rsidRPr="00DB0B47">
        <w:rPr>
          <w:b/>
          <w:sz w:val="20"/>
          <w:szCs w:val="20"/>
        </w:rPr>
        <w:t>DÉCE</w:t>
      </w:r>
      <w:r w:rsidR="00D004FC" w:rsidRPr="00DB0B47">
        <w:rPr>
          <w:b/>
          <w:sz w:val="20"/>
          <w:szCs w:val="20"/>
        </w:rPr>
        <w:t>M</w:t>
      </w:r>
      <w:r w:rsidRPr="00DB0B47">
        <w:rPr>
          <w:b/>
          <w:sz w:val="20"/>
          <w:szCs w:val="20"/>
        </w:rPr>
        <w:t>BRE</w:t>
      </w:r>
      <w:r w:rsidR="00D004FC" w:rsidRPr="00DB0B47">
        <w:rPr>
          <w:b/>
          <w:sz w:val="20"/>
          <w:szCs w:val="20"/>
        </w:rPr>
        <w:t xml:space="preserve"> 2013</w:t>
      </w:r>
    </w:p>
    <w:p w:rsidR="00D004FC" w:rsidRPr="00DB0B47" w:rsidRDefault="00D004FC" w:rsidP="00D004FC">
      <w:pPr>
        <w:spacing w:line="0" w:lineRule="atLeast"/>
        <w:rPr>
          <w:rFonts w:cs="Times New Roman"/>
          <w:sz w:val="20"/>
          <w:szCs w:val="20"/>
        </w:rPr>
      </w:pPr>
    </w:p>
    <w:p w:rsidR="00052958" w:rsidRPr="00C01763" w:rsidRDefault="000505AD" w:rsidP="00052958">
      <w:pPr>
        <w:ind w:left="1440" w:hanging="1440"/>
        <w:jc w:val="both"/>
        <w:rPr>
          <w:sz w:val="20"/>
          <w:szCs w:val="20"/>
        </w:rPr>
      </w:pPr>
      <w:r w:rsidRPr="00C01763">
        <w:rPr>
          <w:b/>
          <w:sz w:val="20"/>
          <w:szCs w:val="20"/>
        </w:rPr>
        <w:fldChar w:fldCharType="begin"/>
      </w:r>
      <w:r w:rsidR="00052958" w:rsidRPr="00C01763">
        <w:rPr>
          <w:b/>
          <w:sz w:val="20"/>
          <w:szCs w:val="20"/>
        </w:rPr>
        <w:instrText xml:space="preserve"> SEQ CHAPTER \h \r 1</w:instrText>
      </w:r>
      <w:r w:rsidRPr="00C01763">
        <w:rPr>
          <w:b/>
          <w:sz w:val="20"/>
          <w:szCs w:val="20"/>
        </w:rPr>
        <w:fldChar w:fldCharType="end"/>
      </w:r>
      <w:r w:rsidR="00052958" w:rsidRPr="00C01763">
        <w:rPr>
          <w:b/>
          <w:sz w:val="20"/>
          <w:szCs w:val="20"/>
        </w:rPr>
        <w:t>34472</w:t>
      </w:r>
      <w:r w:rsidR="00052958" w:rsidRPr="00C01763">
        <w:rPr>
          <w:sz w:val="20"/>
          <w:szCs w:val="20"/>
        </w:rPr>
        <w:tab/>
      </w:r>
      <w:r w:rsidR="00052958" w:rsidRPr="00C01763">
        <w:rPr>
          <w:b/>
          <w:sz w:val="20"/>
          <w:szCs w:val="20"/>
          <w:u w:val="single"/>
        </w:rPr>
        <w:t>IBM Canada Limited v. Richard Waterman</w:t>
      </w:r>
      <w:r w:rsidR="00052958" w:rsidRPr="00C01763">
        <w:rPr>
          <w:b/>
          <w:sz w:val="20"/>
          <w:szCs w:val="20"/>
        </w:rPr>
        <w:t xml:space="preserve"> </w:t>
      </w:r>
      <w:r w:rsidR="00052958" w:rsidRPr="00C01763">
        <w:rPr>
          <w:iCs/>
          <w:sz w:val="20"/>
          <w:szCs w:val="20"/>
        </w:rPr>
        <w:t>(B.C.)</w:t>
      </w:r>
    </w:p>
    <w:p w:rsidR="00052958" w:rsidRPr="00C01763" w:rsidRDefault="00052958" w:rsidP="00052958">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C01763">
        <w:rPr>
          <w:b/>
          <w:sz w:val="20"/>
          <w:szCs w:val="20"/>
        </w:rPr>
        <w:t>2013 SCC 70 / 2013 CSC 70</w:t>
      </w:r>
    </w:p>
    <w:p w:rsidR="00052958" w:rsidRPr="00C01763" w:rsidRDefault="00052958" w:rsidP="0005295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052958" w:rsidRPr="00C01763" w:rsidRDefault="00052958" w:rsidP="00052958">
      <w:pPr>
        <w:ind w:left="1440" w:hanging="1440"/>
        <w:rPr>
          <w:sz w:val="20"/>
          <w:szCs w:val="20"/>
          <w:u w:val="single"/>
        </w:rPr>
      </w:pPr>
      <w:r w:rsidRPr="00C01763">
        <w:rPr>
          <w:sz w:val="20"/>
          <w:szCs w:val="20"/>
        </w:rPr>
        <w:t>Coram:</w:t>
      </w:r>
      <w:r w:rsidRPr="00C01763">
        <w:rPr>
          <w:sz w:val="20"/>
          <w:szCs w:val="20"/>
        </w:rPr>
        <w:tab/>
      </w:r>
      <w:r w:rsidRPr="00C01763">
        <w:rPr>
          <w:sz w:val="20"/>
          <w:szCs w:val="20"/>
          <w:u w:val="single"/>
        </w:rPr>
        <w:t xml:space="preserve">McLachlin C.J. and LeBel, Fish, Abella, Rothstein, Cromwell, Moldaver, Karakatsanis and Wagner JJ. </w:t>
      </w:r>
    </w:p>
    <w:p w:rsidR="00052958" w:rsidRPr="00C01763" w:rsidRDefault="00052958" w:rsidP="00052958">
      <w:pPr>
        <w:ind w:left="1440" w:hanging="1440"/>
        <w:rPr>
          <w:sz w:val="20"/>
          <w:szCs w:val="20"/>
          <w:u w:val="single"/>
        </w:rPr>
      </w:pPr>
    </w:p>
    <w:p w:rsidR="00052958" w:rsidRPr="00C01763" w:rsidRDefault="00052958" w:rsidP="00052958">
      <w:pPr>
        <w:jc w:val="both"/>
        <w:rPr>
          <w:rFonts w:eastAsia="Calibri"/>
          <w:sz w:val="20"/>
          <w:szCs w:val="20"/>
          <w:lang w:val="fr-CA"/>
        </w:rPr>
      </w:pPr>
      <w:r w:rsidRPr="00C01763">
        <w:rPr>
          <w:rFonts w:eastAsia="Calibri"/>
          <w:sz w:val="20"/>
          <w:szCs w:val="20"/>
        </w:rPr>
        <w:t xml:space="preserve">The appeal from the judgment of the Court of Appeal for British Columbia (Vancouver), Number CA038053, 2011 BCCA 337, dated August 2, 2011, heard on December 14, 2012, is dismissed with costs throughout.  </w:t>
      </w:r>
      <w:r w:rsidRPr="00C01763">
        <w:rPr>
          <w:rFonts w:eastAsia="Calibri"/>
          <w:sz w:val="20"/>
          <w:szCs w:val="20"/>
          <w:lang w:val="fr-CA"/>
        </w:rPr>
        <w:t>McLachlin C.J. and Rothstein J. are dissenting.</w:t>
      </w:r>
    </w:p>
    <w:p w:rsidR="00052958" w:rsidRPr="00C01763" w:rsidRDefault="00052958" w:rsidP="00052958">
      <w:pPr>
        <w:jc w:val="both"/>
        <w:rPr>
          <w:rFonts w:eastAsia="Calibri"/>
          <w:sz w:val="20"/>
          <w:szCs w:val="20"/>
          <w:lang w:val="fr-CA"/>
        </w:rPr>
      </w:pPr>
    </w:p>
    <w:p w:rsidR="00052958" w:rsidRPr="00C01763" w:rsidRDefault="00052958" w:rsidP="00052958">
      <w:pPr>
        <w:jc w:val="both"/>
        <w:rPr>
          <w:rFonts w:eastAsia="Calibri"/>
          <w:sz w:val="20"/>
          <w:szCs w:val="20"/>
          <w:lang w:val="fr-CA"/>
        </w:rPr>
      </w:pPr>
      <w:r w:rsidRPr="00C01763">
        <w:rPr>
          <w:rFonts w:eastAsia="Calibri"/>
          <w:sz w:val="20"/>
          <w:szCs w:val="20"/>
          <w:lang w:val="fr-CA"/>
        </w:rPr>
        <w:t>L’appel interjeté contre l’arrêt de la Cour d’appel de la Colombie-Britannique (Vancouver), numéro CA038053, 2011 BCCA 337, en date du 2 août 2011, entendu le 14 décembre 2012, est rejeté avec dépens devant toutes les cours.  La juge en chef McLachlin et le juge Rothstein sont dissidents.</w:t>
      </w:r>
    </w:p>
    <w:p w:rsidR="008F37AC" w:rsidRDefault="008F37AC" w:rsidP="00D004FC">
      <w:pPr>
        <w:spacing w:line="0" w:lineRule="atLeast"/>
        <w:rPr>
          <w:rFonts w:cs="Times New Roman"/>
          <w:sz w:val="20"/>
          <w:szCs w:val="20"/>
          <w:lang w:val="fr-CA"/>
        </w:rPr>
      </w:pPr>
    </w:p>
    <w:p w:rsidR="00D004FC" w:rsidRDefault="00E672F1" w:rsidP="00D004FC">
      <w:pPr>
        <w:jc w:val="both"/>
        <w:rPr>
          <w:rFonts w:cs="Times New Roman"/>
          <w:b/>
          <w:sz w:val="20"/>
          <w:szCs w:val="20"/>
        </w:rPr>
      </w:pPr>
      <w:r>
        <w:rPr>
          <w:rFonts w:cs="Times New Roman"/>
          <w:b/>
          <w:sz w:val="20"/>
          <w:szCs w:val="20"/>
        </w:rPr>
        <w:pict>
          <v:rect id="_x0000_i1072"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69"/>
          <w:headerReference w:type="default" r:id="rId70"/>
          <w:footerReference w:type="even" r:id="rId71"/>
          <w:footerReference w:type="default" r:id="rId72"/>
          <w:headerReference w:type="first" r:id="rId73"/>
          <w:footerReference w:type="first" r:id="rId74"/>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B40DC2" w:rsidRPr="00776C57" w:rsidRDefault="00B40DC2" w:rsidP="00B40DC2">
      <w:pPr>
        <w:ind w:left="1440" w:hanging="1440"/>
        <w:jc w:val="both"/>
        <w:rPr>
          <w:rFonts w:eastAsia="Calibri"/>
          <w:b/>
          <w:sz w:val="20"/>
          <w:szCs w:val="20"/>
        </w:rPr>
      </w:pPr>
      <w:r w:rsidRPr="00776C57">
        <w:rPr>
          <w:rFonts w:eastAsia="Calibri"/>
          <w:i/>
          <w:sz w:val="20"/>
          <w:szCs w:val="20"/>
          <w:lang w:val="fr-CA"/>
        </w:rPr>
        <w:t xml:space="preserve">AIC Limited et al v. Dennis Fischer et al </w:t>
      </w:r>
      <w:r w:rsidRPr="00776C57">
        <w:rPr>
          <w:rFonts w:eastAsia="Calibri"/>
          <w:sz w:val="20"/>
          <w:szCs w:val="20"/>
          <w:lang w:val="fr-CA"/>
        </w:rPr>
        <w:t xml:space="preserve">(Ont.) </w:t>
      </w:r>
      <w:r w:rsidRPr="00776C57">
        <w:rPr>
          <w:rFonts w:eastAsia="Calibri"/>
          <w:sz w:val="20"/>
          <w:szCs w:val="20"/>
        </w:rPr>
        <w:t>(</w:t>
      </w:r>
      <w:hyperlink r:id="rId75" w:history="1">
        <w:r w:rsidRPr="00776C57">
          <w:rPr>
            <w:rStyle w:val="Hyperlink"/>
            <w:rFonts w:eastAsia="Calibri"/>
            <w:sz w:val="20"/>
            <w:szCs w:val="20"/>
          </w:rPr>
          <w:t>34738</w:t>
        </w:r>
      </w:hyperlink>
      <w:r w:rsidRPr="00776C57">
        <w:rPr>
          <w:rFonts w:eastAsia="Calibri"/>
          <w:sz w:val="20"/>
          <w:szCs w:val="20"/>
        </w:rPr>
        <w:t>)</w:t>
      </w:r>
    </w:p>
    <w:p w:rsidR="00CF0A0F" w:rsidRPr="00CF0A0F" w:rsidRDefault="00CF0A0F" w:rsidP="00CF0A0F">
      <w:pPr>
        <w:jc w:val="both"/>
        <w:rPr>
          <w:b/>
          <w:sz w:val="20"/>
          <w:szCs w:val="20"/>
        </w:rPr>
      </w:pPr>
      <w:r w:rsidRPr="005E7FEB">
        <w:rPr>
          <w:b/>
          <w:sz w:val="20"/>
          <w:szCs w:val="20"/>
        </w:rPr>
        <w:t xml:space="preserve">Indexed as:  </w:t>
      </w:r>
      <w:r w:rsidRPr="00CF0A0F">
        <w:rPr>
          <w:rStyle w:val="SCCAppellantForIndexChar"/>
          <w:rFonts w:eastAsiaTheme="minorHAnsi"/>
          <w:sz w:val="20"/>
          <w:lang w:val="en-CA"/>
        </w:rPr>
        <w:t>AIC Limited</w:t>
      </w:r>
      <w:r w:rsidRPr="005E7FEB">
        <w:rPr>
          <w:b/>
          <w:sz w:val="20"/>
          <w:szCs w:val="20"/>
        </w:rPr>
        <w:t xml:space="preserve"> </w:t>
      </w:r>
      <w:r w:rsidRPr="005E7FEB">
        <w:rPr>
          <w:b/>
          <w:i/>
          <w:sz w:val="20"/>
          <w:szCs w:val="20"/>
        </w:rPr>
        <w:t>v.</w:t>
      </w:r>
      <w:r w:rsidRPr="005E7FEB">
        <w:rPr>
          <w:b/>
          <w:sz w:val="20"/>
          <w:szCs w:val="20"/>
        </w:rPr>
        <w:t xml:space="preserve"> </w:t>
      </w:r>
      <w:r w:rsidRPr="005E7FEB">
        <w:rPr>
          <w:rStyle w:val="SCCRespondentForIndexChar"/>
          <w:rFonts w:eastAsiaTheme="minorHAnsi"/>
          <w:sz w:val="20"/>
        </w:rPr>
        <w:t>Fischer</w:t>
      </w:r>
      <w:r>
        <w:rPr>
          <w:rStyle w:val="SCCRespondentForIndexChar"/>
          <w:rFonts w:eastAsiaTheme="minorHAnsi"/>
          <w:sz w:val="20"/>
        </w:rPr>
        <w:t xml:space="preserve"> / </w:t>
      </w:r>
      <w:r w:rsidRPr="00CF0A0F">
        <w:rPr>
          <w:b/>
          <w:sz w:val="20"/>
          <w:szCs w:val="20"/>
        </w:rPr>
        <w:t>Répertorié : </w:t>
      </w:r>
      <w:r w:rsidRPr="00CF0A0F">
        <w:rPr>
          <w:rStyle w:val="SCCAppellantForIndexChar"/>
          <w:rFonts w:eastAsiaTheme="minorHAnsi"/>
          <w:sz w:val="20"/>
          <w:lang w:val="en-CA"/>
        </w:rPr>
        <w:t>AIC Limitée</w:t>
      </w:r>
      <w:r w:rsidRPr="00CF0A0F">
        <w:rPr>
          <w:b/>
          <w:sz w:val="20"/>
          <w:szCs w:val="20"/>
        </w:rPr>
        <w:t xml:space="preserve"> </w:t>
      </w:r>
      <w:r w:rsidRPr="00CF0A0F">
        <w:rPr>
          <w:b/>
          <w:i/>
          <w:sz w:val="20"/>
          <w:szCs w:val="20"/>
        </w:rPr>
        <w:t>c.</w:t>
      </w:r>
      <w:r w:rsidRPr="00CF0A0F">
        <w:rPr>
          <w:b/>
          <w:sz w:val="20"/>
          <w:szCs w:val="20"/>
        </w:rPr>
        <w:t xml:space="preserve"> </w:t>
      </w:r>
      <w:r w:rsidRPr="00CF0A0F">
        <w:rPr>
          <w:rStyle w:val="SCCRespondentForIndexChar"/>
          <w:rFonts w:eastAsiaTheme="minorHAnsi"/>
          <w:sz w:val="20"/>
        </w:rPr>
        <w:t>Fischer</w:t>
      </w:r>
    </w:p>
    <w:p w:rsidR="005C6840" w:rsidRPr="003B3977" w:rsidRDefault="005C6840" w:rsidP="005C6840">
      <w:pPr>
        <w:pStyle w:val="SCCSystemYear"/>
        <w:jc w:val="both"/>
        <w:rPr>
          <w:sz w:val="20"/>
        </w:rPr>
      </w:pPr>
      <w:r w:rsidRPr="003B3977">
        <w:rPr>
          <w:sz w:val="20"/>
        </w:rPr>
        <w:t>Neutral citation:  201</w:t>
      </w:r>
      <w:r w:rsidR="00F761A3">
        <w:rPr>
          <w:sz w:val="20"/>
        </w:rPr>
        <w:t>3</w:t>
      </w:r>
      <w:r w:rsidRPr="003B3977">
        <w:rPr>
          <w:sz w:val="20"/>
        </w:rPr>
        <w:t xml:space="preserve"> SCC </w:t>
      </w:r>
      <w:r w:rsidR="007267EE">
        <w:rPr>
          <w:sz w:val="20"/>
        </w:rPr>
        <w:t>69</w:t>
      </w:r>
      <w:r w:rsidRPr="003B3977">
        <w:rPr>
          <w:sz w:val="20"/>
        </w:rPr>
        <w:t xml:space="preserve"> / Référence neutre : 201</w:t>
      </w:r>
      <w:r w:rsidR="00F761A3">
        <w:rPr>
          <w:sz w:val="20"/>
        </w:rPr>
        <w:t>3</w:t>
      </w:r>
      <w:r w:rsidRPr="003B3977">
        <w:rPr>
          <w:sz w:val="20"/>
        </w:rPr>
        <w:t xml:space="preserve"> CSC </w:t>
      </w:r>
      <w:r w:rsidR="007267EE">
        <w:rPr>
          <w:sz w:val="20"/>
        </w:rPr>
        <w:t>69</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w:t>
      </w:r>
      <w:r w:rsidR="00CF0A0F">
        <w:rPr>
          <w:rFonts w:cs="Times New Roman"/>
          <w:sz w:val="20"/>
          <w:szCs w:val="20"/>
          <w:lang w:val="fr-CA"/>
        </w:rPr>
        <w:t>April 18</w:t>
      </w:r>
      <w:r w:rsidRPr="003B3977">
        <w:rPr>
          <w:rFonts w:cs="Times New Roman"/>
          <w:sz w:val="20"/>
          <w:szCs w:val="20"/>
          <w:lang w:val="fr-CA"/>
        </w:rPr>
        <w:t>, 201</w:t>
      </w:r>
      <w:r w:rsidR="00CF0A0F">
        <w:rPr>
          <w:rFonts w:cs="Times New Roman"/>
          <w:sz w:val="20"/>
          <w:szCs w:val="20"/>
          <w:lang w:val="fr-CA"/>
        </w:rPr>
        <w:t>3</w:t>
      </w:r>
      <w:r w:rsidRPr="003B3977">
        <w:rPr>
          <w:rFonts w:cs="Times New Roman"/>
          <w:sz w:val="20"/>
          <w:szCs w:val="20"/>
          <w:lang w:val="fr-CA"/>
        </w:rPr>
        <w:t xml:space="preserve"> / Judgment:  </w:t>
      </w:r>
      <w:r w:rsidR="00B40DC2">
        <w:rPr>
          <w:rFonts w:cs="Times New Roman"/>
          <w:sz w:val="20"/>
          <w:szCs w:val="20"/>
          <w:lang w:val="fr-CA"/>
        </w:rPr>
        <w:t>Decem</w:t>
      </w:r>
      <w:r w:rsidRPr="003B3977">
        <w:rPr>
          <w:rFonts w:cs="Times New Roman"/>
          <w:sz w:val="20"/>
          <w:szCs w:val="20"/>
          <w:lang w:val="fr-CA"/>
        </w:rPr>
        <w:t xml:space="preserve">ber </w:t>
      </w:r>
      <w:r w:rsidR="00B40DC2">
        <w:rPr>
          <w:rFonts w:cs="Times New Roman"/>
          <w:sz w:val="20"/>
          <w:szCs w:val="20"/>
          <w:lang w:val="fr-CA"/>
        </w:rPr>
        <w:t>1</w:t>
      </w:r>
      <w:r w:rsidRPr="003B3977">
        <w:rPr>
          <w:rFonts w:cs="Times New Roman"/>
          <w:sz w:val="20"/>
          <w:szCs w:val="20"/>
          <w:lang w:val="fr-CA"/>
        </w:rPr>
        <w:t>2, 201</w:t>
      </w:r>
      <w:r w:rsidR="00B40DC2">
        <w:rPr>
          <w:rFonts w:cs="Times New Roman"/>
          <w:sz w:val="20"/>
          <w:szCs w:val="20"/>
          <w:lang w:val="fr-CA"/>
        </w:rPr>
        <w:t>3</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CF0A0F">
        <w:rPr>
          <w:rFonts w:cs="Times New Roman"/>
          <w:sz w:val="20"/>
          <w:szCs w:val="20"/>
          <w:lang w:val="fr-CA"/>
        </w:rPr>
        <w:t>1</w:t>
      </w:r>
      <w:r w:rsidRPr="003B3977">
        <w:rPr>
          <w:rFonts w:cs="Times New Roman"/>
          <w:sz w:val="20"/>
          <w:szCs w:val="20"/>
          <w:lang w:val="fr-CA"/>
        </w:rPr>
        <w:t xml:space="preserve">8 </w:t>
      </w:r>
      <w:r w:rsidR="00CF0A0F">
        <w:rPr>
          <w:rFonts w:cs="Times New Roman"/>
          <w:sz w:val="20"/>
          <w:szCs w:val="20"/>
          <w:lang w:val="fr-CA"/>
        </w:rPr>
        <w:t>av</w:t>
      </w:r>
      <w:r w:rsidRPr="003B3977">
        <w:rPr>
          <w:rFonts w:cs="Times New Roman"/>
          <w:sz w:val="20"/>
          <w:szCs w:val="20"/>
          <w:lang w:val="fr-CA"/>
        </w:rPr>
        <w:t>r</w:t>
      </w:r>
      <w:r w:rsidR="00CF0A0F">
        <w:rPr>
          <w:rFonts w:cs="Times New Roman"/>
          <w:sz w:val="20"/>
          <w:szCs w:val="20"/>
          <w:lang w:val="fr-CA"/>
        </w:rPr>
        <w:t>il</w:t>
      </w:r>
      <w:r w:rsidRPr="003B3977">
        <w:rPr>
          <w:rFonts w:cs="Times New Roman"/>
          <w:sz w:val="20"/>
          <w:szCs w:val="20"/>
          <w:lang w:val="fr-CA"/>
        </w:rPr>
        <w:t xml:space="preserve"> 201</w:t>
      </w:r>
      <w:r w:rsidR="00CF0A0F">
        <w:rPr>
          <w:rFonts w:cs="Times New Roman"/>
          <w:sz w:val="20"/>
          <w:szCs w:val="20"/>
          <w:lang w:val="fr-CA"/>
        </w:rPr>
        <w:t>3</w:t>
      </w:r>
      <w:r w:rsidRPr="003B3977">
        <w:rPr>
          <w:rFonts w:cs="Times New Roman"/>
          <w:sz w:val="20"/>
          <w:szCs w:val="20"/>
          <w:lang w:val="fr-CA"/>
        </w:rPr>
        <w:t xml:space="preserve"> / Jugement : Le </w:t>
      </w:r>
      <w:r w:rsidR="00B40DC2">
        <w:rPr>
          <w:rFonts w:cs="Times New Roman"/>
          <w:sz w:val="20"/>
          <w:szCs w:val="20"/>
          <w:lang w:val="fr-CA"/>
        </w:rPr>
        <w:t>1</w:t>
      </w:r>
      <w:r w:rsidRPr="003B3977">
        <w:rPr>
          <w:rFonts w:cs="Times New Roman"/>
          <w:sz w:val="20"/>
          <w:szCs w:val="20"/>
          <w:lang w:val="fr-CA"/>
        </w:rPr>
        <w:t>2</w:t>
      </w:r>
      <w:r w:rsidR="00B40DC2">
        <w:rPr>
          <w:rFonts w:cs="Times New Roman"/>
          <w:sz w:val="20"/>
          <w:szCs w:val="20"/>
          <w:lang w:val="fr-CA"/>
        </w:rPr>
        <w:t xml:space="preserve"> décem</w:t>
      </w:r>
      <w:r w:rsidRPr="003B3977">
        <w:rPr>
          <w:rFonts w:cs="Times New Roman"/>
          <w:sz w:val="20"/>
          <w:szCs w:val="20"/>
          <w:lang w:val="fr-CA"/>
        </w:rPr>
        <w:t>bre 201</w:t>
      </w:r>
      <w:r w:rsidR="00B40DC2">
        <w:rPr>
          <w:rFonts w:cs="Times New Roman"/>
          <w:sz w:val="20"/>
          <w:szCs w:val="20"/>
          <w:lang w:val="fr-CA"/>
        </w:rPr>
        <w:t>3</w:t>
      </w:r>
    </w:p>
    <w:p w:rsidR="005C6840" w:rsidRPr="003B3977" w:rsidRDefault="00E672F1" w:rsidP="005C6840">
      <w:pPr>
        <w:rPr>
          <w:rFonts w:cs="Times New Roman"/>
          <w:sz w:val="20"/>
          <w:szCs w:val="20"/>
          <w:lang w:val="fr-CA"/>
        </w:rPr>
      </w:pPr>
      <w:r>
        <w:rPr>
          <w:rFonts w:cs="Times New Roman"/>
          <w:i/>
          <w:sz w:val="20"/>
          <w:szCs w:val="20"/>
        </w:rPr>
        <w:pict>
          <v:rect id="_x0000_i1075"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CF0A0F" w:rsidRPr="005E7FEB" w:rsidRDefault="00CF0A0F" w:rsidP="00CF0A0F">
      <w:pPr>
        <w:jc w:val="both"/>
        <w:rPr>
          <w:sz w:val="20"/>
          <w:szCs w:val="20"/>
        </w:rPr>
      </w:pPr>
      <w:r w:rsidRPr="005E7FEB">
        <w:rPr>
          <w:sz w:val="20"/>
          <w:szCs w:val="20"/>
        </w:rPr>
        <w:t>Present:  McLachlin C.J. and LeBel, Rothstein, Cromwell, Moldaver, Karakatsanis and Wagner JJ.</w:t>
      </w:r>
    </w:p>
    <w:p w:rsidR="00CF0A0F" w:rsidRDefault="00CF0A0F" w:rsidP="00CF0A0F">
      <w:pPr>
        <w:pStyle w:val="SCCLowerCourtNameLowercase"/>
        <w:spacing w:line="240" w:lineRule="auto"/>
        <w:rPr>
          <w:sz w:val="20"/>
        </w:rPr>
      </w:pPr>
    </w:p>
    <w:p w:rsidR="00CF0A0F" w:rsidRPr="005E7FEB" w:rsidRDefault="00CF0A0F" w:rsidP="00CF0A0F">
      <w:pPr>
        <w:pStyle w:val="SCCNormalDoubleSpacing"/>
        <w:spacing w:line="240" w:lineRule="auto"/>
        <w:rPr>
          <w:i/>
          <w:sz w:val="20"/>
        </w:rPr>
      </w:pPr>
      <w:r w:rsidRPr="005E7FEB">
        <w:rPr>
          <w:sz w:val="20"/>
        </w:rPr>
        <w:tab/>
      </w:r>
      <w:r w:rsidRPr="005E7FEB">
        <w:rPr>
          <w:i/>
          <w:iCs/>
          <w:sz w:val="20"/>
        </w:rPr>
        <w:t xml:space="preserve">Civil procedure — Class actions — Certification — Market timing — Investors suing mutual fund managers for breaching fiduciary duties to investors and negligence for failing to curb market timing activities — Investors seeking certification of action as class </w:t>
      </w:r>
      <w:r w:rsidRPr="005E7FEB">
        <w:rPr>
          <w:i/>
          <w:sz w:val="20"/>
        </w:rPr>
        <w:t>proceeding</w:t>
      </w:r>
      <w:r w:rsidRPr="005E7FEB">
        <w:rPr>
          <w:i/>
          <w:iCs/>
          <w:sz w:val="20"/>
        </w:rPr>
        <w:t xml:space="preserve"> under provincial class action legislation — Whether proposed investor class action meets preferability requirement for certification given settlement payments made to investors following proceedings conducted by Ontario Securities Commission — Class Proceedings Act,</w:t>
      </w:r>
      <w:r w:rsidRPr="005E7FEB">
        <w:rPr>
          <w:i/>
          <w:sz w:val="20"/>
        </w:rPr>
        <w:t xml:space="preserve"> 1992, S.O. 1992, c. 6, s. 5(1)(d).</w:t>
      </w:r>
    </w:p>
    <w:p w:rsidR="00CF0A0F" w:rsidRDefault="00CF0A0F" w:rsidP="00CF0A0F">
      <w:pPr>
        <w:pStyle w:val="SCCNormalDoubleSpacing"/>
        <w:spacing w:line="240" w:lineRule="auto"/>
        <w:rPr>
          <w:sz w:val="20"/>
        </w:rPr>
      </w:pPr>
    </w:p>
    <w:p w:rsidR="00CF0A0F" w:rsidRPr="005E7FEB" w:rsidRDefault="00CF0A0F" w:rsidP="00CF0A0F">
      <w:pPr>
        <w:pStyle w:val="SCCNormalDoubleSpacing"/>
        <w:spacing w:line="240" w:lineRule="auto"/>
        <w:rPr>
          <w:sz w:val="20"/>
        </w:rPr>
      </w:pPr>
      <w:r w:rsidRPr="005E7FEB">
        <w:rPr>
          <w:sz w:val="20"/>
        </w:rPr>
        <w:tab/>
        <w:t>A group of mutual fund managers were the subject of an investigation conducted by the Ontario Securities Commission (“OSC”) into “market timing”, a practice which was alleged to have caused long</w:t>
      </w:r>
      <w:r w:rsidRPr="005E7FEB">
        <w:rPr>
          <w:sz w:val="20"/>
        </w:rPr>
        <w:noBreakHyphen/>
        <w:t xml:space="preserve">term investors to suffer losses in the value of their investments.  The fund managers ultimately entered into agreements with the OSC that paid investors millions in settlement.  The settlement agreements anticipated and did not preclude the possibility of civil proceedings against the mutual fund managers.  Following the settlement agreements, the investors applied to certify a class action against the fund managers relating to the same market timing conduct.  The motion judge found that a class action was not a preferable procedure and denied certification.  The Divisional Court reversed the motion judge and granted certification.  The Court of Appeal upheld the Divisional Court’s result. </w:t>
      </w:r>
    </w:p>
    <w:p w:rsidR="00CF0A0F" w:rsidRDefault="00CF0A0F" w:rsidP="00CF0A0F">
      <w:pPr>
        <w:pStyle w:val="SCCNormalDoubleSpacing"/>
        <w:spacing w:line="240" w:lineRule="auto"/>
        <w:rPr>
          <w:i/>
          <w:sz w:val="20"/>
        </w:rPr>
      </w:pPr>
    </w:p>
    <w:p w:rsidR="00CF0A0F" w:rsidRPr="005E7FEB" w:rsidRDefault="00CF0A0F" w:rsidP="00CF0A0F">
      <w:pPr>
        <w:pStyle w:val="SCCNormalDoubleSpacing"/>
        <w:spacing w:line="240" w:lineRule="auto"/>
        <w:rPr>
          <w:sz w:val="20"/>
        </w:rPr>
      </w:pPr>
      <w:r w:rsidRPr="005E7FEB">
        <w:rPr>
          <w:i/>
          <w:sz w:val="20"/>
        </w:rPr>
        <w:tab/>
        <w:t>Held</w:t>
      </w:r>
      <w:r w:rsidRPr="005E7FEB">
        <w:rPr>
          <w:sz w:val="20"/>
        </w:rPr>
        <w:t>:  The appeal should be dismissed.</w:t>
      </w:r>
    </w:p>
    <w:p w:rsidR="00CF0A0F" w:rsidRDefault="00CF0A0F" w:rsidP="00CF0A0F">
      <w:pPr>
        <w:pStyle w:val="SCCNormalDoubleSpacing"/>
        <w:spacing w:line="240" w:lineRule="auto"/>
        <w:rPr>
          <w:sz w:val="20"/>
        </w:rPr>
      </w:pPr>
    </w:p>
    <w:p w:rsidR="00CF0A0F" w:rsidRPr="005E7FEB" w:rsidRDefault="00CF0A0F" w:rsidP="00CF0A0F">
      <w:pPr>
        <w:pStyle w:val="SCCNormalDoubleSpacing"/>
        <w:spacing w:line="240" w:lineRule="auto"/>
        <w:rPr>
          <w:sz w:val="20"/>
        </w:rPr>
      </w:pPr>
      <w:r w:rsidRPr="005E7FEB">
        <w:rPr>
          <w:sz w:val="20"/>
        </w:rPr>
        <w:tab/>
        <w:t xml:space="preserve">The appeal focuses on one branch of the statutory requirement for certification, the requirement that “a class proceeding would be the preferable procedure for the resolution of the common issues”:  </w:t>
      </w:r>
      <w:r w:rsidRPr="005E7FEB">
        <w:rPr>
          <w:i/>
          <w:iCs/>
          <w:sz w:val="20"/>
        </w:rPr>
        <w:t xml:space="preserve">Class Proceedings Act, </w:t>
      </w:r>
      <w:r w:rsidRPr="005E7FEB">
        <w:rPr>
          <w:i/>
          <w:sz w:val="20"/>
        </w:rPr>
        <w:t>1992</w:t>
      </w:r>
      <w:r w:rsidRPr="005E7FEB">
        <w:rPr>
          <w:sz w:val="20"/>
        </w:rPr>
        <w:t>, S.O. 1992, c. 6, s. 5(1)(d).  The question is whether the proposed class proceeding, as compared to the non</w:t>
      </w:r>
      <w:r w:rsidRPr="005E7FEB">
        <w:rPr>
          <w:sz w:val="20"/>
        </w:rPr>
        <w:noBreakHyphen/>
        <w:t>litigation OSC proceedings, is preferable from the point of view of providing access to justice.  It is clear that the preferability requirement is broad enough to take into account all reasonably available means of resolving the class members’ claims including avenues of redress other than court actions.  In assessing preferability, the court must look at the common issues in the context of the action as a whole.  However, the court cannot engage in a detailed assessment of the merits or likely outcome of the class action or any alternatives to it.  The party seeking certification of a class action must show some basis in fact for each of the certification requirements.</w:t>
      </w:r>
    </w:p>
    <w:p w:rsidR="00CF0A0F" w:rsidRDefault="00CF0A0F" w:rsidP="00CF0A0F">
      <w:pPr>
        <w:pStyle w:val="SCCNormalDoubleSpacing"/>
        <w:spacing w:line="240" w:lineRule="auto"/>
        <w:rPr>
          <w:sz w:val="20"/>
        </w:rPr>
      </w:pPr>
    </w:p>
    <w:p w:rsidR="00CF0A0F" w:rsidRPr="005E7FEB" w:rsidRDefault="00CF0A0F" w:rsidP="00CF0A0F">
      <w:pPr>
        <w:pStyle w:val="SCCNormalDoubleSpacing"/>
        <w:spacing w:line="240" w:lineRule="auto"/>
        <w:rPr>
          <w:sz w:val="20"/>
        </w:rPr>
      </w:pPr>
      <w:r w:rsidRPr="005E7FEB">
        <w:rPr>
          <w:sz w:val="20"/>
        </w:rPr>
        <w:tab/>
        <w:t>The preferability inquiry has to be conducted through the lens of the three principal goals of class actions, namely judicial economy, behaviour modification and access to justice but the ultimate question is whether other available means of resolving the claim are preferable, not if a class action would fully achieve those goals.  Access to justice is an important goal of class proceedings.  Within the proper scope of the certification process, both substantive and procedural aspects must be assessed in determining whether a class action is the preferable procedure.  A class action will serve the goal of access to justice if:  (1) there are access to justice concerns that a class action could address; and (2) these concerns remain even when alternative avenues of redress are considered.  To determine whether both of these elements are present, it may be helpful to address a series of questions.  These questions must not be considered in isolation or in a specific order, but should inform the overall comparative analysis.</w:t>
      </w:r>
    </w:p>
    <w:p w:rsidR="00CF0A0F" w:rsidRDefault="00CF0A0F" w:rsidP="00CF0A0F">
      <w:pPr>
        <w:pStyle w:val="SCCNormalDoubleSpacing"/>
        <w:spacing w:line="240" w:lineRule="auto"/>
        <w:rPr>
          <w:sz w:val="20"/>
        </w:rPr>
      </w:pPr>
    </w:p>
    <w:p w:rsidR="00CF0A0F" w:rsidRPr="005E7FEB" w:rsidRDefault="00CF0A0F" w:rsidP="00CF0A0F">
      <w:pPr>
        <w:pStyle w:val="SCCNormalDoubleSpacing"/>
        <w:spacing w:line="240" w:lineRule="auto"/>
        <w:rPr>
          <w:sz w:val="20"/>
        </w:rPr>
      </w:pPr>
      <w:r w:rsidRPr="005E7FEB">
        <w:rPr>
          <w:sz w:val="20"/>
        </w:rPr>
        <w:tab/>
        <w:t xml:space="preserve">The first question is: what are the barriers to access to justice?  There are two potential barriers to access to justice in this case.  First, an economic barrier arises from the nature of the claim.  The individual claims are not large enough to support viable individual actions.  The second barrier is related to the first.  As a result of the nature of the claim, there is potentially no access to a fair process, geared towards protecting the rights of class members, to seek a resolution of the common issues for what could potentially be a class of over a million members.  Thus, traditional </w:t>
      </w:r>
      <w:r w:rsidRPr="005E7FEB">
        <w:rPr>
          <w:sz w:val="20"/>
        </w:rPr>
        <w:lastRenderedPageBreak/>
        <w:t>litigation cannot achieve either the substantive or the procedural dimensions of access to justice in a case such as this.  Although generally the most common barrier to access to justice is an economic one; they can also be psychological or social in nature.  A common procedural barrier is that there is no other procedure available to afford meaningful redress.</w:t>
      </w:r>
    </w:p>
    <w:p w:rsidR="00CF0A0F" w:rsidRDefault="00CF0A0F" w:rsidP="00CF0A0F">
      <w:pPr>
        <w:pStyle w:val="SCCNormalDoubleSpacing"/>
        <w:spacing w:line="240" w:lineRule="auto"/>
        <w:rPr>
          <w:sz w:val="20"/>
        </w:rPr>
      </w:pPr>
    </w:p>
    <w:p w:rsidR="00CF0A0F" w:rsidRPr="005E7FEB" w:rsidRDefault="00CF0A0F" w:rsidP="00CF0A0F">
      <w:pPr>
        <w:pStyle w:val="SCCNormalDoubleSpacing"/>
        <w:spacing w:line="240" w:lineRule="auto"/>
        <w:rPr>
          <w:sz w:val="20"/>
        </w:rPr>
      </w:pPr>
      <w:r w:rsidRPr="005E7FEB">
        <w:rPr>
          <w:sz w:val="20"/>
        </w:rPr>
        <w:tab/>
        <w:t>The second question is: what is the potential of the class proceedings to address those barriers?  This analysis is not made in isolation, but within the comparative analysis, for the purpose of assessing the class proceedings’ potential to address the access to justice concerns in comparison to the alternative procedure’s ability to do so.  Even though a class action is a procedural tool, achieving substantive results is one of its underlying goals.  Consideration of its capacity to overcome barriers to access to justice should take account of both the procedural and substantive dimensions of access to justice.  In this case, the proposed class action addresses both barriers.  It has the potential to make it economically feasible to advance on behalf of the class a group of individual claims that would otherwise not be economically feasible to pursue in the courts and it provides class members with a fair process to resolve their claims.</w:t>
      </w:r>
    </w:p>
    <w:p w:rsidR="00CF0A0F" w:rsidRDefault="00CF0A0F" w:rsidP="00CF0A0F">
      <w:pPr>
        <w:pStyle w:val="SCCNormalDoubleSpacing"/>
        <w:spacing w:line="240" w:lineRule="auto"/>
        <w:rPr>
          <w:sz w:val="20"/>
        </w:rPr>
      </w:pPr>
    </w:p>
    <w:p w:rsidR="00CF0A0F" w:rsidRPr="005E7FEB" w:rsidRDefault="00CF0A0F" w:rsidP="00CF0A0F">
      <w:pPr>
        <w:pStyle w:val="SCCNormalDoubleSpacing"/>
        <w:spacing w:line="240" w:lineRule="auto"/>
        <w:rPr>
          <w:sz w:val="20"/>
        </w:rPr>
      </w:pPr>
      <w:r w:rsidRPr="005E7FEB">
        <w:rPr>
          <w:sz w:val="20"/>
        </w:rPr>
        <w:tab/>
        <w:t>The third question is:  what are the alternatives to class proceedings?  The motions court must look at all the alternatives globally in order to determine to what extent they address the barriers to access to justice posed by the particular claim.  There is no realistic litigation alternative in this case.  The only alternative procedure that was advanced is the OSC proceedings and settlement agreements, the results of which are already known.</w:t>
      </w:r>
    </w:p>
    <w:p w:rsidR="00CF0A0F" w:rsidRDefault="00CF0A0F" w:rsidP="00CF0A0F">
      <w:pPr>
        <w:pStyle w:val="SCCNormalDoubleSpacing"/>
        <w:spacing w:line="240" w:lineRule="auto"/>
        <w:rPr>
          <w:sz w:val="20"/>
        </w:rPr>
      </w:pPr>
    </w:p>
    <w:p w:rsidR="00CF0A0F" w:rsidRPr="005E7FEB" w:rsidRDefault="00CF0A0F" w:rsidP="00CF0A0F">
      <w:pPr>
        <w:pStyle w:val="SCCNormalDoubleSpacing"/>
        <w:spacing w:line="240" w:lineRule="auto"/>
        <w:rPr>
          <w:sz w:val="20"/>
          <w:lang w:val="en-US"/>
        </w:rPr>
      </w:pPr>
      <w:r w:rsidRPr="005E7FEB">
        <w:rPr>
          <w:sz w:val="20"/>
        </w:rPr>
        <w:tab/>
        <w:t>The fourth question is: to what extent do the alternatives address the relevant barriers to access to justice?  T</w:t>
      </w:r>
      <w:r w:rsidRPr="005E7FEB">
        <w:rPr>
          <w:sz w:val="20"/>
          <w:lang w:val="en-US"/>
        </w:rPr>
        <w:t>he question is whether the alternative has the potential to provide effective redress for the substance of the claims and to do so in a manner that accords suitable procedural rights.</w:t>
      </w:r>
    </w:p>
    <w:p w:rsidR="00CF0A0F" w:rsidRDefault="00CF0A0F" w:rsidP="00CF0A0F">
      <w:pPr>
        <w:pStyle w:val="SCCNormalDoubleSpacing"/>
        <w:spacing w:line="240" w:lineRule="auto"/>
        <w:rPr>
          <w:sz w:val="20"/>
          <w:lang w:val="en-US"/>
        </w:rPr>
      </w:pPr>
    </w:p>
    <w:p w:rsidR="00CF0A0F" w:rsidRPr="005E7FEB" w:rsidRDefault="00CF0A0F" w:rsidP="00CF0A0F">
      <w:pPr>
        <w:pStyle w:val="SCCNormalDoubleSpacing"/>
        <w:spacing w:line="240" w:lineRule="auto"/>
        <w:rPr>
          <w:sz w:val="20"/>
        </w:rPr>
      </w:pPr>
      <w:r w:rsidRPr="005E7FEB">
        <w:rPr>
          <w:sz w:val="20"/>
          <w:lang w:val="en-US"/>
        </w:rPr>
        <w:tab/>
        <w:t xml:space="preserve">The last question is: how do the two proceedings compare?  In comparing the two proceedings, </w:t>
      </w:r>
      <w:r w:rsidRPr="005E7FEB">
        <w:rPr>
          <w:sz w:val="20"/>
        </w:rPr>
        <w:t>the motions court must determine whether, on the record before it, the class action has been shown to be the preferable procedure to address the specific procedural and substantive access to justice concerns in a case.  The court must also, to the extent possible within the proper scope of the certification hearing, consider the costs as well as the benefits of the proposed class proceeding in relation to those of the proposed alternative procedure.</w:t>
      </w:r>
    </w:p>
    <w:p w:rsidR="00CF0A0F" w:rsidRDefault="00CF0A0F" w:rsidP="00CF0A0F">
      <w:pPr>
        <w:pStyle w:val="SCCNormalDoubleSpacing"/>
        <w:spacing w:line="240" w:lineRule="auto"/>
        <w:rPr>
          <w:sz w:val="20"/>
        </w:rPr>
      </w:pPr>
    </w:p>
    <w:p w:rsidR="00CF0A0F" w:rsidRPr="005E7FEB" w:rsidRDefault="00CF0A0F" w:rsidP="00CF0A0F">
      <w:pPr>
        <w:pStyle w:val="SCCNormalDoubleSpacing"/>
        <w:spacing w:line="240" w:lineRule="auto"/>
        <w:rPr>
          <w:sz w:val="20"/>
        </w:rPr>
      </w:pPr>
      <w:r w:rsidRPr="005E7FEB">
        <w:rPr>
          <w:sz w:val="20"/>
        </w:rPr>
        <w:tab/>
        <w:t>In answering the last two questions in this case, investor participation in the process leading to compensation is an important factor to consider and one that weighs heavily in favour of finding that the class proceeding meets the preferability requirement in this case.  The regulatory nature of, and the limited participation rights for investors in the OSC proceedings, coupled with the absence of information about how the OSC staff assessed investor compensation support the conclusion that significant procedural access to justice concerns remain which the proposed class action can address.  Moreover, the focus and nature of the OSC process reinforce the concerns about whether substantial access to justice was achieved.  The substantive outcome of the OSC proceedings cannot be dismissed as irrelevant to the question of whether the OSC proceedings addressed the access to justice barrier that is present in this case or whether the way in which it did so suggests that the class proceeding is not the preferred alternative.</w:t>
      </w:r>
    </w:p>
    <w:p w:rsidR="00CF0A0F" w:rsidRDefault="00CF0A0F" w:rsidP="00CF0A0F">
      <w:pPr>
        <w:pStyle w:val="SCCNormalDoubleSpacing"/>
        <w:spacing w:line="240" w:lineRule="auto"/>
        <w:rPr>
          <w:sz w:val="20"/>
        </w:rPr>
      </w:pPr>
    </w:p>
    <w:p w:rsidR="00CF0A0F" w:rsidRDefault="00CF0A0F" w:rsidP="00CF0A0F">
      <w:pPr>
        <w:pStyle w:val="SCCNormalDoubleSpacing"/>
        <w:spacing w:line="240" w:lineRule="auto"/>
        <w:rPr>
          <w:sz w:val="20"/>
        </w:rPr>
      </w:pPr>
      <w:r w:rsidRPr="005E7FEB">
        <w:rPr>
          <w:sz w:val="20"/>
        </w:rPr>
        <w:tab/>
        <w:t>However, the substantive outcome of the OSC proceedings and their impact on the preferability analysis must be examined through the appropriate evidentiary lens.  In the rather unusual circumstances of this case, where the OSC proceedings have run their course and the results of those proceedings are known, the comparative analysis cannot ignore the question of whether a cost</w:t>
      </w:r>
      <w:r w:rsidRPr="005E7FEB">
        <w:rPr>
          <w:sz w:val="20"/>
        </w:rPr>
        <w:noBreakHyphen/>
        <w:t>benefit analysis supports the contention that the proposed class proceeding is the preferable way to address the claims here.  The record in this case, which shows in detail the results of the completed proposed alternative proceedings, also shows that substantive access to justice concerns still remain.  Further, there is no reason to believe that potential additional recovery would be consumed by the costs of the proceedings.  The investors provided an appropriate basis to support the view that the class action proceeding would overcome access to justice barriers that subsisted after the completion of the OSC proceedings and that a cost</w:t>
      </w:r>
      <w:r w:rsidRPr="005E7FEB">
        <w:rPr>
          <w:sz w:val="20"/>
        </w:rPr>
        <w:noBreakHyphen/>
        <w:t>benefit analysis supported the conclusion that the class proceedings were the preferable proceeding for the investors to pursue their claims.  The motion judge in this case erred in principle in his analysis and this justified appellate intervention in his exercise of discretion to refuse certification.  The correct legal principles support the decision to certify the proposed class action.</w:t>
      </w:r>
    </w:p>
    <w:p w:rsidR="00CF0A0F" w:rsidRDefault="00CF0A0F" w:rsidP="00CF0A0F">
      <w:pPr>
        <w:pStyle w:val="SCCNormalDoubleSpacing"/>
        <w:spacing w:line="240" w:lineRule="auto"/>
        <w:rPr>
          <w:sz w:val="20"/>
        </w:rPr>
      </w:pPr>
    </w:p>
    <w:p w:rsidR="00CF0A0F" w:rsidRPr="005E7FEB" w:rsidRDefault="00CF0A0F" w:rsidP="00CF0A0F">
      <w:pPr>
        <w:pStyle w:val="SCCNormalDoubleSpacing"/>
        <w:spacing w:line="240" w:lineRule="auto"/>
        <w:rPr>
          <w:sz w:val="20"/>
        </w:rPr>
      </w:pPr>
      <w:r w:rsidRPr="005E7FEB">
        <w:rPr>
          <w:sz w:val="20"/>
        </w:rPr>
        <w:tab/>
        <w:t>APPEAL from a judgment of the Ontario Court of Appeal (Winkler C.J.O., Epstein J.A. and Pardu J. (</w:t>
      </w:r>
      <w:r w:rsidRPr="005E7FEB">
        <w:rPr>
          <w:i/>
          <w:sz w:val="20"/>
        </w:rPr>
        <w:t>ad hoc</w:t>
      </w:r>
      <w:r w:rsidRPr="005E7FEB">
        <w:rPr>
          <w:sz w:val="20"/>
        </w:rPr>
        <w:t xml:space="preserve">)), 2012 ONCA 47, 109 O.R. (3d) 498, 287 O.A.C. 148, 346 D.L.R. (4th) 598, 15 C.P.C. (7th) 81, [2012] O.J. </w:t>
      </w:r>
      <w:r w:rsidRPr="005E7FEB">
        <w:rPr>
          <w:sz w:val="20"/>
        </w:rPr>
        <w:lastRenderedPageBreak/>
        <w:t>No. 343 (QL), 2012 CarswellOnt 635, affirming a decision of Molloy, Swinton and Herman JJ., 2011 ONSC 292, 104 O.R. (3d) 615, 276 O.A.C. 84, 6 C.P.C. (7th) 139, [2011] O.J. No. 562 (QL), 2011 CarswellOnt 800, setting aside in part a decision of Perell J., 2010 ONSC 296, 89 C.P.C. (6th) 205, [2010] O.J. No. 112 (QL), 2010 CarswellOnt 135.  Appeal dismissed.</w:t>
      </w:r>
    </w:p>
    <w:p w:rsidR="00CF0A0F" w:rsidRDefault="00CF0A0F" w:rsidP="00CF0A0F">
      <w:pPr>
        <w:pStyle w:val="SCCNormalDoubleSpacing"/>
        <w:spacing w:line="240" w:lineRule="auto"/>
        <w:rPr>
          <w:rStyle w:val="SCCCounselNameChar"/>
          <w:sz w:val="20"/>
        </w:rPr>
      </w:pPr>
    </w:p>
    <w:p w:rsidR="00CF0A0F" w:rsidRPr="005E7FEB" w:rsidRDefault="00CF0A0F" w:rsidP="00CF0A0F">
      <w:pPr>
        <w:pStyle w:val="SCCNormalDoubleSpacing"/>
        <w:spacing w:line="240" w:lineRule="auto"/>
        <w:rPr>
          <w:sz w:val="20"/>
        </w:rPr>
      </w:pPr>
      <w:r w:rsidRPr="005E7FEB">
        <w:rPr>
          <w:rStyle w:val="SCCCounselNameChar"/>
          <w:sz w:val="20"/>
        </w:rPr>
        <w:tab/>
        <w:t>James D. G. Douglas</w:t>
      </w:r>
      <w:r w:rsidRPr="00CF0A0F">
        <w:rPr>
          <w:rStyle w:val="SCCCounselSeparatorChar"/>
          <w:sz w:val="20"/>
          <w:lang w:val="en-CA"/>
        </w:rPr>
        <w:t xml:space="preserve">, </w:t>
      </w:r>
      <w:r w:rsidRPr="005E7FEB">
        <w:rPr>
          <w:rStyle w:val="SCCCounselNameChar"/>
          <w:sz w:val="20"/>
        </w:rPr>
        <w:t>David Di Paolo</w:t>
      </w:r>
      <w:r w:rsidRPr="00CF0A0F">
        <w:rPr>
          <w:rStyle w:val="SCCCounselSeparatorChar"/>
          <w:sz w:val="20"/>
          <w:lang w:val="en-CA"/>
        </w:rPr>
        <w:t xml:space="preserve"> and </w:t>
      </w:r>
      <w:r w:rsidRPr="005E7FEB">
        <w:rPr>
          <w:rStyle w:val="SCCCounselNameChar"/>
          <w:sz w:val="20"/>
        </w:rPr>
        <w:t>Margot Finley</w:t>
      </w:r>
      <w:r w:rsidRPr="005E7FEB">
        <w:rPr>
          <w:rStyle w:val="SCCCounselPartyRoleChar"/>
          <w:sz w:val="20"/>
        </w:rPr>
        <w:t>, for the appellant AIC Limited.</w:t>
      </w:r>
    </w:p>
    <w:p w:rsidR="00CF0A0F" w:rsidRDefault="00CF0A0F" w:rsidP="00CF0A0F">
      <w:pPr>
        <w:pStyle w:val="SCCNormalDoubleSpacing"/>
        <w:spacing w:line="240" w:lineRule="auto"/>
        <w:rPr>
          <w:rStyle w:val="SCCCounselNameChar"/>
          <w:sz w:val="20"/>
        </w:rPr>
      </w:pPr>
    </w:p>
    <w:p w:rsidR="00CF0A0F" w:rsidRPr="005E7FEB" w:rsidRDefault="00CF0A0F" w:rsidP="00CF0A0F">
      <w:pPr>
        <w:pStyle w:val="SCCNormalDoubleSpacing"/>
        <w:spacing w:line="240" w:lineRule="auto"/>
        <w:rPr>
          <w:sz w:val="20"/>
        </w:rPr>
      </w:pPr>
      <w:r w:rsidRPr="005E7FEB">
        <w:rPr>
          <w:rStyle w:val="SCCCounselNameChar"/>
          <w:sz w:val="20"/>
        </w:rPr>
        <w:tab/>
        <w:t>Benjamin Zarnett</w:t>
      </w:r>
      <w:r w:rsidRPr="00CF0A0F">
        <w:rPr>
          <w:rStyle w:val="SCCCounselSeparatorChar"/>
          <w:sz w:val="20"/>
          <w:lang w:val="en-CA"/>
        </w:rPr>
        <w:t xml:space="preserve">, </w:t>
      </w:r>
      <w:r w:rsidRPr="005E7FEB">
        <w:rPr>
          <w:rStyle w:val="SCCCounselNameChar"/>
          <w:sz w:val="20"/>
        </w:rPr>
        <w:t>Jessica Kimmel</w:t>
      </w:r>
      <w:r w:rsidRPr="00CF0A0F">
        <w:rPr>
          <w:rStyle w:val="SCCCounselSeparatorChar"/>
          <w:sz w:val="20"/>
          <w:lang w:val="en-CA"/>
        </w:rPr>
        <w:t xml:space="preserve"> and </w:t>
      </w:r>
      <w:r w:rsidRPr="005E7FEB">
        <w:rPr>
          <w:rStyle w:val="SCCCounselNameChar"/>
          <w:sz w:val="20"/>
        </w:rPr>
        <w:t>Melanie Ouanounou</w:t>
      </w:r>
      <w:r w:rsidRPr="005E7FEB">
        <w:rPr>
          <w:rStyle w:val="SCCCounselPartyRoleChar"/>
          <w:sz w:val="20"/>
        </w:rPr>
        <w:t xml:space="preserve">, for the appellant </w:t>
      </w:r>
      <w:r w:rsidRPr="005E7FEB">
        <w:rPr>
          <w:sz w:val="20"/>
        </w:rPr>
        <w:t>CI Mutual Funds Inc</w:t>
      </w:r>
      <w:r w:rsidRPr="005E7FEB">
        <w:rPr>
          <w:rStyle w:val="SCCCounselPartyRoleChar"/>
          <w:sz w:val="20"/>
        </w:rPr>
        <w:t>.</w:t>
      </w:r>
    </w:p>
    <w:p w:rsidR="00CF0A0F" w:rsidRDefault="00CF0A0F" w:rsidP="00CF0A0F">
      <w:pPr>
        <w:pStyle w:val="SCCNormalDoubleSpacing"/>
        <w:spacing w:line="240" w:lineRule="auto"/>
        <w:rPr>
          <w:rStyle w:val="SCCCounselNameChar"/>
          <w:sz w:val="20"/>
        </w:rPr>
      </w:pPr>
    </w:p>
    <w:p w:rsidR="00CF0A0F" w:rsidRPr="005E7FEB" w:rsidRDefault="00CF0A0F" w:rsidP="00CF0A0F">
      <w:pPr>
        <w:pStyle w:val="SCCNormalDoubleSpacing"/>
        <w:spacing w:line="240" w:lineRule="auto"/>
        <w:rPr>
          <w:sz w:val="20"/>
        </w:rPr>
      </w:pPr>
      <w:r w:rsidRPr="005E7FEB">
        <w:rPr>
          <w:rStyle w:val="SCCCounselNameChar"/>
          <w:sz w:val="20"/>
        </w:rPr>
        <w:tab/>
        <w:t>Allan C. Hutchinson</w:t>
      </w:r>
      <w:r w:rsidRPr="005E7FEB">
        <w:rPr>
          <w:rStyle w:val="SCCCounselPartyRoleChar"/>
          <w:sz w:val="20"/>
        </w:rPr>
        <w:t xml:space="preserve">, </w:t>
      </w:r>
      <w:r w:rsidRPr="005E7FEB">
        <w:rPr>
          <w:rStyle w:val="SCCCounselNameChar"/>
          <w:sz w:val="20"/>
        </w:rPr>
        <w:t>Peter R. Jervis</w:t>
      </w:r>
      <w:r w:rsidRPr="00CF0A0F">
        <w:rPr>
          <w:rStyle w:val="SCCCounselSeparatorChar"/>
          <w:sz w:val="20"/>
          <w:lang w:val="en-CA"/>
        </w:rPr>
        <w:t xml:space="preserve">, </w:t>
      </w:r>
      <w:r w:rsidRPr="005E7FEB">
        <w:rPr>
          <w:rStyle w:val="SCCCounselNameChar"/>
          <w:sz w:val="20"/>
        </w:rPr>
        <w:t>Joel P. Rochon</w:t>
      </w:r>
      <w:r w:rsidRPr="00CF0A0F">
        <w:rPr>
          <w:rStyle w:val="SCCCounselSeparatorChar"/>
          <w:sz w:val="20"/>
          <w:lang w:val="en-CA"/>
        </w:rPr>
        <w:t xml:space="preserve"> and </w:t>
      </w:r>
      <w:r w:rsidRPr="005E7FEB">
        <w:rPr>
          <w:rStyle w:val="SCCCounselNameChar"/>
          <w:sz w:val="20"/>
        </w:rPr>
        <w:t>Remissa Hirji</w:t>
      </w:r>
      <w:r w:rsidRPr="005E7FEB">
        <w:rPr>
          <w:rStyle w:val="SCCCounselPartyRoleChar"/>
          <w:sz w:val="20"/>
        </w:rPr>
        <w:t>, for the respondents.</w:t>
      </w:r>
    </w:p>
    <w:p w:rsidR="00CF0A0F" w:rsidRDefault="00CF0A0F" w:rsidP="00CF0A0F">
      <w:pPr>
        <w:pStyle w:val="SCCLawFirm"/>
        <w:spacing w:line="240" w:lineRule="auto"/>
        <w:rPr>
          <w:sz w:val="20"/>
        </w:rPr>
      </w:pPr>
    </w:p>
    <w:p w:rsidR="00CF0A0F" w:rsidRPr="005E7FEB" w:rsidRDefault="00CF0A0F" w:rsidP="00CF0A0F">
      <w:pPr>
        <w:pStyle w:val="SCCLawFirm"/>
        <w:spacing w:line="240" w:lineRule="auto"/>
        <w:rPr>
          <w:sz w:val="20"/>
        </w:rPr>
      </w:pPr>
      <w:r w:rsidRPr="005E7FEB">
        <w:rPr>
          <w:sz w:val="20"/>
        </w:rPr>
        <w:tab/>
        <w:t>Solicitors for the appellant AIC Limited:  Borden Ladner Gervais, Toronto.</w:t>
      </w:r>
    </w:p>
    <w:p w:rsidR="00CF0A0F" w:rsidRDefault="00CF0A0F" w:rsidP="00CF0A0F">
      <w:pPr>
        <w:pStyle w:val="SCCLawFirm"/>
        <w:spacing w:line="240" w:lineRule="auto"/>
        <w:rPr>
          <w:sz w:val="20"/>
        </w:rPr>
      </w:pPr>
    </w:p>
    <w:p w:rsidR="00CF0A0F" w:rsidRPr="005E7FEB" w:rsidRDefault="00CF0A0F" w:rsidP="00CF0A0F">
      <w:pPr>
        <w:pStyle w:val="SCCLawFirm"/>
        <w:spacing w:line="240" w:lineRule="auto"/>
        <w:rPr>
          <w:sz w:val="20"/>
        </w:rPr>
      </w:pPr>
      <w:r w:rsidRPr="005E7FEB">
        <w:rPr>
          <w:sz w:val="20"/>
        </w:rPr>
        <w:tab/>
        <w:t>Solicitors for the appellant CI Mutual Funds Inc</w:t>
      </w:r>
      <w:r w:rsidRPr="005E7FEB">
        <w:rPr>
          <w:rStyle w:val="SCCCounselPartyRoleChar"/>
          <w:sz w:val="20"/>
        </w:rPr>
        <w:t>.</w:t>
      </w:r>
      <w:r w:rsidRPr="005E7FEB">
        <w:rPr>
          <w:sz w:val="20"/>
        </w:rPr>
        <w:t>:  Goodmans, Toronto.</w:t>
      </w:r>
    </w:p>
    <w:p w:rsidR="00CF0A0F" w:rsidRDefault="00CF0A0F" w:rsidP="00CF0A0F">
      <w:pPr>
        <w:pStyle w:val="SCCLawFirm"/>
        <w:spacing w:line="240" w:lineRule="auto"/>
        <w:rPr>
          <w:sz w:val="20"/>
        </w:rPr>
      </w:pPr>
    </w:p>
    <w:p w:rsidR="00CF0A0F" w:rsidRDefault="00CF0A0F" w:rsidP="00CF0A0F">
      <w:pPr>
        <w:pStyle w:val="SCCLawFirm"/>
        <w:spacing w:line="240" w:lineRule="auto"/>
        <w:rPr>
          <w:sz w:val="20"/>
        </w:rPr>
      </w:pPr>
      <w:r w:rsidRPr="005E7FEB">
        <w:rPr>
          <w:sz w:val="20"/>
        </w:rPr>
        <w:tab/>
        <w:t>Solicitors for the respondents:  Rochon Genova, Toronto.</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2B78E6" w:rsidRPr="00956158" w:rsidRDefault="002B78E6" w:rsidP="002B78E6">
      <w:pPr>
        <w:jc w:val="both"/>
        <w:rPr>
          <w:sz w:val="20"/>
          <w:szCs w:val="20"/>
          <w:lang w:val="fr-CA"/>
        </w:rPr>
      </w:pPr>
      <w:r w:rsidRPr="00956158">
        <w:rPr>
          <w:sz w:val="20"/>
          <w:szCs w:val="20"/>
          <w:lang w:val="fr-CA"/>
        </w:rPr>
        <w:t>Présents : La juge en chef McLachlin et les juges LeBel, Rothstein, Cromwell, Moldaver, Karakatsanis et Wagner.</w:t>
      </w:r>
    </w:p>
    <w:p w:rsidR="002B78E6" w:rsidRDefault="002B78E6" w:rsidP="002B78E6">
      <w:pPr>
        <w:jc w:val="both"/>
        <w:rPr>
          <w:smallCaps/>
          <w:sz w:val="20"/>
          <w:lang w:val="fr-CA"/>
        </w:rPr>
      </w:pPr>
    </w:p>
    <w:p w:rsidR="002B78E6" w:rsidRPr="00956158" w:rsidRDefault="002B78E6" w:rsidP="002B78E6">
      <w:pPr>
        <w:pStyle w:val="SCCNormalDoubleSpacing"/>
        <w:spacing w:line="240" w:lineRule="auto"/>
        <w:rPr>
          <w:i/>
          <w:sz w:val="20"/>
          <w:lang w:val="fr-CA"/>
        </w:rPr>
      </w:pPr>
      <w:r w:rsidRPr="00956158">
        <w:rPr>
          <w:sz w:val="20"/>
          <w:lang w:val="fr-CA"/>
        </w:rPr>
        <w:tab/>
      </w:r>
      <w:r w:rsidRPr="00956158">
        <w:rPr>
          <w:i/>
          <w:sz w:val="20"/>
          <w:lang w:val="fr-CA"/>
        </w:rPr>
        <w:t>Procédure civile</w:t>
      </w:r>
      <w:r w:rsidRPr="00956158">
        <w:rPr>
          <w:i/>
          <w:iCs/>
          <w:sz w:val="20"/>
          <w:lang w:val="fr-CA"/>
        </w:rPr>
        <w:t xml:space="preserve"> — Recours collectifs — Certification — Arbitrage sur la valeur liquidative — Action intentée par des investisseurs contre des gestionnaires de fonds pour manquement à leurs obligations fiduciaires envers les investisseurs et négligence pour avoir omis de prendre des mesure en vue de restreindre les arbitrages — Motion en vue de faire certifier que l’instance est un recours collectif présentée par les investisseurs en vertu de la loi provinciale sur les recours collectifs — Le recours collectif projeté satisfait-il au critère de certification du meilleur moyen, compte tenu de l’indemnité versée aux investisseurs par suite de l’instance intentée par la Commission des valeurs mobilières de l’Ontario? — Loi de 1992 sur les recours collectifs, L.O. 1992, ch. 6, art. 5(1)d).</w:t>
      </w:r>
    </w:p>
    <w:p w:rsidR="002B78E6" w:rsidRDefault="002B78E6" w:rsidP="002B78E6">
      <w:pPr>
        <w:pStyle w:val="SCCNormalDoubleSpacing"/>
        <w:spacing w:line="240" w:lineRule="auto"/>
        <w:rPr>
          <w:sz w:val="20"/>
          <w:lang w:val="fr-CA"/>
        </w:rPr>
      </w:pPr>
    </w:p>
    <w:p w:rsidR="002B78E6" w:rsidRPr="00956158" w:rsidRDefault="002B78E6" w:rsidP="002B78E6">
      <w:pPr>
        <w:pStyle w:val="SCCNormalDoubleSpacing"/>
        <w:spacing w:line="240" w:lineRule="auto"/>
        <w:rPr>
          <w:sz w:val="20"/>
          <w:lang w:val="fr-CA"/>
        </w:rPr>
      </w:pPr>
      <w:r w:rsidRPr="00956158">
        <w:rPr>
          <w:sz w:val="20"/>
          <w:lang w:val="fr-CA"/>
        </w:rPr>
        <w:tab/>
        <w:t xml:space="preserve">Un groupe de gestionnaires de fonds mutuels étaient visés par une enquête menée par la Commission des valeurs mobilières de l’Ontario (la « CVMO ») sur l’« arbitrage sur la valeur liquidative », une pratique qui aurait fait baisser la valeur des placements d’investisseurs à long terme.  Les gestionnaires de fonds ont fini par conclure des ententes de règlement avec la CVMO en exécution desquelles ils ont versé des millions de dollars aux investisseurs.  Les ententes envisageaient la possibilité de poursuites civiles contre les gestionnaires de fonds mutuels; elles n’y faisaient pas obstacle.  Postérieurement aux ententes de règlement, les investisseurs ont demandé la certification d’un recours collectif visant les gestionnaires de fonds et reposant sur les mêmes actes d’arbitrage sur la valeur liquidative.  Le juge saisi de la motion a conclu que le recours collectif n’était pas le meilleur moyen et a refusé de le certifier.  La Cour divisionnaire a infirmé cette décision et accordé la certification.  La Cour d’appel a confirmé la conclusion de la Cour divisionnaire. </w:t>
      </w:r>
    </w:p>
    <w:p w:rsidR="002B78E6" w:rsidRDefault="002B78E6" w:rsidP="002B78E6">
      <w:pPr>
        <w:pStyle w:val="SCCNormalDoubleSpacing"/>
        <w:spacing w:line="240" w:lineRule="auto"/>
        <w:rPr>
          <w:i/>
          <w:sz w:val="20"/>
          <w:lang w:val="fr-CA"/>
        </w:rPr>
      </w:pPr>
    </w:p>
    <w:p w:rsidR="002B78E6" w:rsidRPr="00956158" w:rsidRDefault="002B78E6" w:rsidP="002B78E6">
      <w:pPr>
        <w:pStyle w:val="SCCNormalDoubleSpacing"/>
        <w:spacing w:line="240" w:lineRule="auto"/>
        <w:rPr>
          <w:sz w:val="20"/>
          <w:lang w:val="fr-CA"/>
        </w:rPr>
      </w:pPr>
      <w:r w:rsidRPr="00956158">
        <w:rPr>
          <w:i/>
          <w:sz w:val="20"/>
          <w:lang w:val="fr-CA"/>
        </w:rPr>
        <w:tab/>
        <w:t>Arrêt</w:t>
      </w:r>
      <w:r w:rsidRPr="00956158">
        <w:rPr>
          <w:sz w:val="20"/>
          <w:lang w:val="fr-CA"/>
        </w:rPr>
        <w:t> : Le pourvoi est rejeté.</w:t>
      </w:r>
    </w:p>
    <w:p w:rsidR="002B78E6" w:rsidRDefault="002B78E6" w:rsidP="002B78E6">
      <w:pPr>
        <w:pStyle w:val="SCCNormalDoubleSpacing"/>
        <w:spacing w:line="240" w:lineRule="auto"/>
        <w:rPr>
          <w:sz w:val="20"/>
          <w:lang w:val="fr-CA"/>
        </w:rPr>
      </w:pPr>
    </w:p>
    <w:p w:rsidR="002B78E6" w:rsidRPr="00956158" w:rsidRDefault="002B78E6" w:rsidP="002B78E6">
      <w:pPr>
        <w:pStyle w:val="SCCNormalDoubleSpacing"/>
        <w:spacing w:line="240" w:lineRule="auto"/>
        <w:rPr>
          <w:sz w:val="20"/>
          <w:lang w:val="fr-CA"/>
        </w:rPr>
      </w:pPr>
      <w:r w:rsidRPr="00956158">
        <w:rPr>
          <w:sz w:val="20"/>
          <w:lang w:val="fr-CA"/>
        </w:rPr>
        <w:tab/>
        <w:t>Le pourvoi porte sur l’un des critères de certification établis par la loi, à savoir « le recours collectif est le meilleur moyen de régler les questions communes » (</w:t>
      </w:r>
      <w:r w:rsidRPr="00956158">
        <w:rPr>
          <w:i/>
          <w:sz w:val="20"/>
          <w:lang w:val="fr-CA"/>
        </w:rPr>
        <w:t>Loi de 1992 sur les recours collectifs</w:t>
      </w:r>
      <w:r w:rsidRPr="00956158">
        <w:rPr>
          <w:sz w:val="20"/>
          <w:lang w:val="fr-CA"/>
        </w:rPr>
        <w:t>, L.O. 1992, ch. 6, art. 5(1)d)).  La question est celle de savoir si le recours collectif projeté constitue un meilleur moyen de régler les questions en cause, dans l’optique de l’accès à la justice, que l’instance non judiciaire devant la CVMO.  Il est clair que le critère du meilleur moyen est assez large pour englober tous les moyens raisonnables offerts pour régler les demandes des membres du groupe, notamment les voies de droit autres que les poursuites judiciaires.  Dans l’analyse relative au meilleur moyen, le tribunal doit considérer les questions communes dans le contexte général de l’action.  Or, le tribunal ne saurait à cette étape procéder à l’appréciation détaillée du bien</w:t>
      </w:r>
      <w:r w:rsidRPr="00956158">
        <w:rPr>
          <w:sz w:val="20"/>
          <w:lang w:val="fr-CA"/>
        </w:rPr>
        <w:noBreakHyphen/>
        <w:t xml:space="preserve">fondé du recours collectif ou des autres voies de droit ou de leur issue probable.  Il incombe à la partie qui cherche à faire certifier un recours collectif d’établir un certain fondement factuel pour chacune des conditions de certification.   </w:t>
      </w:r>
    </w:p>
    <w:p w:rsidR="002B78E6" w:rsidRDefault="002B78E6" w:rsidP="002B78E6">
      <w:pPr>
        <w:pStyle w:val="SCCNormalDoubleSpacing"/>
        <w:spacing w:line="240" w:lineRule="auto"/>
        <w:rPr>
          <w:sz w:val="20"/>
          <w:lang w:val="fr-CA"/>
        </w:rPr>
      </w:pPr>
    </w:p>
    <w:p w:rsidR="002B78E6" w:rsidRPr="00956158" w:rsidRDefault="002B78E6" w:rsidP="002B78E6">
      <w:pPr>
        <w:pStyle w:val="SCCNormalDoubleSpacing"/>
        <w:spacing w:line="240" w:lineRule="auto"/>
        <w:rPr>
          <w:sz w:val="20"/>
          <w:lang w:val="fr-CA"/>
        </w:rPr>
      </w:pPr>
      <w:r w:rsidRPr="00956158">
        <w:rPr>
          <w:sz w:val="20"/>
          <w:lang w:val="fr-CA"/>
        </w:rPr>
        <w:tab/>
        <w:t xml:space="preserve">L’analyse relative au meilleur moyen s’effectue à la lumière des trois principaux objectifs du recours collectif : l’économie des ressources judiciaires, la modification des comportements et l’accès à la justice, mais la question à laquelle il faut ultimement répondre est celle de savoir s’il existe des moyens préférables de régler les demandes, non </w:t>
      </w:r>
      <w:r w:rsidRPr="00956158">
        <w:rPr>
          <w:sz w:val="20"/>
          <w:lang w:val="fr-CA"/>
        </w:rPr>
        <w:lastRenderedPageBreak/>
        <w:t>pas si le recours collectif projeté réalisera pleinement ces objectifs.  L’accès à la justice est assurément un objectif important du recours collectif.  Dans la mesure permise à l’étape de la certification, l’analyse servant à déterminer si le recours collectif est le meilleur moyen doit porter à la fois sur le fond et sur la forme.  Le recours collectif permet de réaliser l’objectif d’accès à la justice si (1) il existe des préoccupations à ce sujet auxquelles ce type d’action peut remédier et (2) ces préoccupations subsistent lorsque d’autres voies de droit sont envisagées.  Pour établir si ces deux conditions sont remplies, il peut être utile de poser une série de questions.  Elles ne sauraient être examinées isolément, ni dans un certain ordre, mais elles devraient éclairer une analyse comparative globale.</w:t>
      </w:r>
    </w:p>
    <w:p w:rsidR="002B78E6" w:rsidRDefault="002B78E6" w:rsidP="002B78E6">
      <w:pPr>
        <w:pStyle w:val="SCCNormalDoubleSpacing"/>
        <w:spacing w:line="240" w:lineRule="auto"/>
        <w:rPr>
          <w:sz w:val="20"/>
          <w:lang w:val="fr-CA"/>
        </w:rPr>
      </w:pPr>
    </w:p>
    <w:p w:rsidR="002B78E6" w:rsidRPr="00956158" w:rsidRDefault="002B78E6" w:rsidP="002B78E6">
      <w:pPr>
        <w:pStyle w:val="SCCNormalDoubleSpacing"/>
        <w:spacing w:line="240" w:lineRule="auto"/>
        <w:rPr>
          <w:sz w:val="20"/>
          <w:lang w:val="fr-CA"/>
        </w:rPr>
      </w:pPr>
      <w:r w:rsidRPr="00956158">
        <w:rPr>
          <w:sz w:val="20"/>
          <w:lang w:val="fr-CA"/>
        </w:rPr>
        <w:tab/>
        <w:t>La première question est la suivante : quels sont les obstacles à l’accès à la justice?  Deux obstacles potentiels à l’accès à la justice se dressent en l’espèce.  Le premier, d’ordre financier, est lié à la nature de la demande.  Le montant des demandes individuelles est trop modeste pour qu’un recours individuel soit viable.  Le deuxième obstacle est lié au premier.  La nature de la demande est telle qu’il n’existe peut</w:t>
      </w:r>
      <w:r w:rsidRPr="00956158">
        <w:rPr>
          <w:sz w:val="20"/>
          <w:lang w:val="fr-CA"/>
        </w:rPr>
        <w:noBreakHyphen/>
        <w:t xml:space="preserve">être pas d’autre moyen équitable de permettre aux membres du groupe d’exercer leurs droits et de mener au règlement des questions communes d’un groupe pouvant compter plus d’un million de membres.  Ainsi, dans un tel cas, l’action en justice classique ne sert pas l’accès à la justice, ni du point de vue substantiel, ni du point de vue procédural.  Si, en règle générale, l’obstacle à l’accès à la justice le plus fréquent est d’ordre financier, il peut également être d’ordre psychologique ou social.  L’impossibilité d’exercer tout autre recours qui permettrait d’obtenir une véritable réparation constitue un obstacle d’ordre procédural fréquent.    </w:t>
      </w:r>
    </w:p>
    <w:p w:rsidR="002B78E6" w:rsidRDefault="002B78E6" w:rsidP="002B78E6">
      <w:pPr>
        <w:pStyle w:val="SCCNormalDoubleSpacing"/>
        <w:spacing w:line="240" w:lineRule="auto"/>
        <w:rPr>
          <w:sz w:val="20"/>
          <w:lang w:val="fr-CA"/>
        </w:rPr>
      </w:pPr>
    </w:p>
    <w:p w:rsidR="002B78E6" w:rsidRPr="00956158" w:rsidRDefault="002B78E6" w:rsidP="002B78E6">
      <w:pPr>
        <w:pStyle w:val="SCCNormalDoubleSpacing"/>
        <w:spacing w:line="240" w:lineRule="auto"/>
        <w:rPr>
          <w:sz w:val="20"/>
          <w:lang w:val="fr-CA"/>
        </w:rPr>
      </w:pPr>
      <w:r w:rsidRPr="00956158">
        <w:rPr>
          <w:sz w:val="20"/>
          <w:lang w:val="fr-CA"/>
        </w:rPr>
        <w:tab/>
        <w:t>La deuxième question est la suivante : dans quelle mesure le recours collectif permet-il d’éliminer ces obstacles?  Cette analyse ne s’effectue pas en vase clos, mais s’inscrit dans l’analyse comparative et vise à confronter le recours collectif aux autres moyens, eu égard à leur capacité respective de répondre aux préoccupations en matière d’accès à la justice.  Bien qu’il s’agisse d’un instrument de procédure, le recours collectif a, entre autres, pour objet sous</w:t>
      </w:r>
      <w:r w:rsidRPr="00956158">
        <w:rPr>
          <w:sz w:val="20"/>
          <w:lang w:val="fr-CA"/>
        </w:rPr>
        <w:noBreakHyphen/>
        <w:t xml:space="preserve">jacent de procurer des résultats positifs quant au fond.  Dans l’évaluation de la capacité de ce type de recours d’aplanir les obstacles à l’accès à la justice, il faut prendre en compte la dimension procédurale et la dimension substantielle de la notion d’accès.  En l’espèce, le recours collectif proposé élimine ces deux obstacles.  Il permet à un groupe de faire valoir un ensemble de demandes individuelles qu’il serait autrement impossible pour des raisons d’ordre financier de soumettre aux tribunaux et il fournit aux membres du groupe une voie de droit équitable.  </w:t>
      </w:r>
    </w:p>
    <w:p w:rsidR="002B78E6" w:rsidRDefault="002B78E6" w:rsidP="002B78E6">
      <w:pPr>
        <w:pStyle w:val="SCCNormalDoubleSpacing"/>
        <w:spacing w:line="240" w:lineRule="auto"/>
        <w:rPr>
          <w:sz w:val="20"/>
          <w:lang w:val="fr-CA"/>
        </w:rPr>
      </w:pPr>
    </w:p>
    <w:p w:rsidR="002B78E6" w:rsidRPr="00956158" w:rsidRDefault="002B78E6" w:rsidP="002B78E6">
      <w:pPr>
        <w:pStyle w:val="SCCNormalDoubleSpacing"/>
        <w:spacing w:line="240" w:lineRule="auto"/>
        <w:rPr>
          <w:sz w:val="20"/>
          <w:lang w:val="fr-CA"/>
        </w:rPr>
      </w:pPr>
      <w:r w:rsidRPr="00956158">
        <w:rPr>
          <w:sz w:val="20"/>
          <w:lang w:val="fr-CA"/>
        </w:rPr>
        <w:tab/>
        <w:t>La troisième question est la suivante : quels autres moyens y a</w:t>
      </w:r>
      <w:r w:rsidRPr="00956158">
        <w:rPr>
          <w:sz w:val="20"/>
          <w:lang w:val="fr-CA"/>
        </w:rPr>
        <w:noBreakHyphen/>
        <w:t>t</w:t>
      </w:r>
      <w:r w:rsidRPr="00956158">
        <w:rPr>
          <w:sz w:val="20"/>
          <w:lang w:val="fr-CA"/>
        </w:rPr>
        <w:noBreakHyphen/>
        <w:t xml:space="preserve">il?  Le tribunal saisi de la motion doit examiner de façon globale les autres moyens et déterminer s’ils permettent d’éliminer les obstacles à l’accès à la justice que soulève la demande.  Il n’existe pas d’autre solution judiciaire réaliste en l’espèce.  La seule autre voie de droit évoquée est l’instance devant la CVMO et les règlements intervenus, dont l’issue est connue.  </w:t>
      </w:r>
    </w:p>
    <w:p w:rsidR="002B78E6" w:rsidRDefault="002B78E6" w:rsidP="002B78E6">
      <w:pPr>
        <w:pStyle w:val="SCCNormalDoubleSpacing"/>
        <w:spacing w:line="240" w:lineRule="auto"/>
        <w:rPr>
          <w:sz w:val="20"/>
          <w:lang w:val="fr-CA"/>
        </w:rPr>
      </w:pPr>
    </w:p>
    <w:p w:rsidR="002B78E6" w:rsidRPr="00956158" w:rsidRDefault="002B78E6" w:rsidP="002B78E6">
      <w:pPr>
        <w:pStyle w:val="SCCNormalDoubleSpacing"/>
        <w:spacing w:line="240" w:lineRule="auto"/>
        <w:rPr>
          <w:sz w:val="20"/>
          <w:lang w:val="fr-CA"/>
        </w:rPr>
      </w:pPr>
      <w:r w:rsidRPr="00956158">
        <w:rPr>
          <w:sz w:val="20"/>
          <w:lang w:val="fr-CA"/>
        </w:rPr>
        <w:tab/>
        <w:t xml:space="preserve">La quatrième question est la suivante : dans quelle mesure les autres moyens permettent-ils d’aplanir les obstacles à l’accès à la justice?  Il s’agit de déterminer si l’autre moyen permettra de régler utilement les demandes quant au fond tout en assurant la possibilité d’exercer des droits procéduraux adéquats.  </w:t>
      </w:r>
    </w:p>
    <w:p w:rsidR="002B78E6" w:rsidRDefault="002B78E6" w:rsidP="002B78E6">
      <w:pPr>
        <w:pStyle w:val="SCCNormalDoubleSpacing"/>
        <w:spacing w:line="240" w:lineRule="auto"/>
        <w:rPr>
          <w:sz w:val="20"/>
          <w:lang w:val="fr-CA"/>
        </w:rPr>
      </w:pPr>
    </w:p>
    <w:p w:rsidR="002B78E6" w:rsidRPr="00956158" w:rsidRDefault="002B78E6" w:rsidP="002B78E6">
      <w:pPr>
        <w:pStyle w:val="SCCNormalDoubleSpacing"/>
        <w:spacing w:line="240" w:lineRule="auto"/>
        <w:rPr>
          <w:sz w:val="20"/>
          <w:lang w:val="fr-CA"/>
        </w:rPr>
      </w:pPr>
      <w:r w:rsidRPr="00956158">
        <w:rPr>
          <w:sz w:val="20"/>
          <w:lang w:val="fr-CA"/>
        </w:rPr>
        <w:tab/>
        <w:t>La dernière question est la suivante : quel est le résultat de la comparaison des deux instances?  Dans l’exercice de comparaison, le tribunal saisi de la motion doit déterminer, au vu de la preuve, s’il a été démontré que le recours collectif est le meilleur moyen de régler les préoccupations relatives à l’accès à la justice, sur le plan de la procédure et sur le plan du fond.  Il doit aussi, sans outrepasser le cadre de l’audience sur la certification, comparer les coûts et les avantages du recours collectif projeté à ceux de l’autre moyen proposé.</w:t>
      </w:r>
    </w:p>
    <w:p w:rsidR="002B78E6" w:rsidRDefault="002B78E6" w:rsidP="002B78E6">
      <w:pPr>
        <w:pStyle w:val="SCCNormalDoubleSpacing"/>
        <w:spacing w:line="240" w:lineRule="auto"/>
        <w:rPr>
          <w:sz w:val="20"/>
          <w:lang w:val="fr-CA"/>
        </w:rPr>
      </w:pPr>
    </w:p>
    <w:p w:rsidR="002B78E6" w:rsidRPr="00956158" w:rsidRDefault="002B78E6" w:rsidP="002B78E6">
      <w:pPr>
        <w:pStyle w:val="SCCNormalDoubleSpacing"/>
        <w:spacing w:line="240" w:lineRule="auto"/>
        <w:rPr>
          <w:sz w:val="20"/>
          <w:lang w:val="fr-CA"/>
        </w:rPr>
      </w:pPr>
      <w:r w:rsidRPr="00956158">
        <w:rPr>
          <w:sz w:val="20"/>
          <w:lang w:val="fr-CA"/>
        </w:rPr>
        <w:tab/>
        <w:t xml:space="preserve">En réponse aux deux dernières questions en l’espèce, il faut mentionner que la participation des investisseurs à la procédure menant à l’indemnisation constitue un facteur important, qui milite fortement en faveur de la conclusion que le recours collectif satisfait au critère du meilleur moyen en l’espèce.  La nature réglementaire de l’instance devant la CVMO et les droits de participation limités qu’elle offrait aux investisseurs, conjugués à l’absence d’information sur les calculs effectués par son personnel en vue de l’indemnisation des investisseurs, étayent la conclusion qu’il subsiste d’importants obstacles à l’accès à la justice sur le plan procédural auxquels le recours collectif peut remédier.  Par ailleurs, l’objet et la nature de la procédure devant la CVMO accentuent les préoccupations en matière d’accès à la justice sur le plan du fond.  On ne peut conclure que l’issue concrète de cette instance ne joue pas pour déterminer si cette voie de droit a permis de lever l’obstacle à l’accès à la justice en l’espèce ou s’il en ressort que le recours collectif n’est pas le meilleur moyen.  </w:t>
      </w:r>
    </w:p>
    <w:p w:rsidR="002B78E6" w:rsidRDefault="002B78E6" w:rsidP="002B78E6">
      <w:pPr>
        <w:pStyle w:val="SCCNormalDoubleSpacing"/>
        <w:spacing w:line="240" w:lineRule="auto"/>
        <w:rPr>
          <w:sz w:val="20"/>
          <w:lang w:val="fr-CA"/>
        </w:rPr>
      </w:pPr>
    </w:p>
    <w:p w:rsidR="002B78E6" w:rsidRDefault="002B78E6" w:rsidP="002B78E6">
      <w:pPr>
        <w:pStyle w:val="SCCNormalDoubleSpacing"/>
        <w:spacing w:line="240" w:lineRule="auto"/>
        <w:rPr>
          <w:sz w:val="20"/>
          <w:lang w:val="fr-CA"/>
        </w:rPr>
      </w:pPr>
      <w:r w:rsidRPr="00956158">
        <w:rPr>
          <w:sz w:val="20"/>
          <w:lang w:val="fr-CA"/>
        </w:rPr>
        <w:lastRenderedPageBreak/>
        <w:tab/>
        <w:t>Toutefois, l’issue concrète de l’instance devant la CVMO et son effet sur l’analyse relative au meilleur moyen doivent être examinés à la lumière des normes de preuve applicables.  Les circonstances de l’espèce sont plutôt inhabituelles, car l’issue de l’instance devant la CVMO est connue.  L’analyse comparative doit donc aborder la question de savoir si l’examen des coûts et des avantages étaye la thèse selon laquelle le recours collectif est le meilleur moyen de régler les réclamations.  La preuve présente l’issue de l’autre voie de droit en détail et révèle qu’il subsiste des préoccupations relatives à l’accès à la justice quant au fond.  En outre, il n’y a aucune raison de croire que les coûts du recours annuleraient le montant des dommages</w:t>
      </w:r>
      <w:r w:rsidRPr="00956158">
        <w:rPr>
          <w:sz w:val="20"/>
          <w:lang w:val="fr-CA"/>
        </w:rPr>
        <w:noBreakHyphen/>
        <w:t xml:space="preserve">intérêts susceptibles d’être accordés.  Les investisseurs ont bien étayé l’opinion que le recours collectif permettrait d’écarter les obstacles à l’accès à la justice subsistant après l’instance devant la CVMO et qu’à la lumière d’un examen des coûts et des avantages, il s’agit du meilleur moyen de faire valoir les demandes des investisseurs.  L’analyse du juge saisi de la motion est entachée d’erreurs de principe.  En conséquence, la révision en appel de l’exercice de son pouvoir discrétionnaire de refuser la certification est justifiée.  Les bons principes juridiques applicables étayent la décision de certifier le recours collectif projeté.  </w:t>
      </w:r>
    </w:p>
    <w:p w:rsidR="002B78E6" w:rsidRDefault="002B78E6" w:rsidP="002B78E6">
      <w:pPr>
        <w:pStyle w:val="SCCNormalDoubleSpacing"/>
        <w:spacing w:line="240" w:lineRule="auto"/>
        <w:rPr>
          <w:sz w:val="20"/>
          <w:lang w:val="fr-CA"/>
        </w:rPr>
      </w:pPr>
    </w:p>
    <w:p w:rsidR="002B78E6" w:rsidRPr="00956158" w:rsidRDefault="002B78E6" w:rsidP="002B78E6">
      <w:pPr>
        <w:pStyle w:val="SCCNormalDoubleSpacing"/>
        <w:spacing w:line="240" w:lineRule="auto"/>
        <w:rPr>
          <w:sz w:val="20"/>
          <w:lang w:val="fr-CA"/>
        </w:rPr>
      </w:pPr>
      <w:r w:rsidRPr="002B78E6">
        <w:rPr>
          <w:sz w:val="20"/>
          <w:lang w:val="fr-CA"/>
        </w:rPr>
        <w:tab/>
      </w:r>
      <w:r w:rsidRPr="00956158">
        <w:rPr>
          <w:sz w:val="20"/>
          <w:lang w:val="fr-CA"/>
        </w:rPr>
        <w:t>POURVOI contre un arrêt de la Cour d’appel de l’Ontario (le juge en chef Winkler, la juge Epstein et la juge Pardu (</w:t>
      </w:r>
      <w:r w:rsidRPr="00956158">
        <w:rPr>
          <w:i/>
          <w:sz w:val="20"/>
          <w:lang w:val="fr-CA"/>
        </w:rPr>
        <w:t>ad hoc</w:t>
      </w:r>
      <w:r w:rsidRPr="00956158">
        <w:rPr>
          <w:sz w:val="20"/>
          <w:lang w:val="fr-CA"/>
        </w:rPr>
        <w:t>)), 2012 ONCA 47, 109 O.R. (3d) 498, 287 O.A.C. 148, 346 D.L.R. (4th) 598, 15 C.P.C. (7th) 81, [2012] O.J. No. 343 (QL), 2012 CarswellOnt 635, qui a confirmé une décision des juges Molloy, Swinton et Herman, 2011 ONSC 292, 104 O.R. (3d) 615, 276 O.A.C. 84, 6 C.P.C. (7th) 139, [2011] O.J. No. 562 (QL), 2011 CarswellOnt 800, qui avait infirmé en partie une décision du juge Perell, 2010 ONSC 296, 89 C.P.C. (6th) 205, [2010] O.J. No. 112 (QL), 2010 CarswellOnt 135.  Pourvoi rejeté.</w:t>
      </w:r>
    </w:p>
    <w:p w:rsidR="002B78E6" w:rsidRDefault="002B78E6" w:rsidP="002B78E6">
      <w:pPr>
        <w:pStyle w:val="SCCNormalDoubleSpacing"/>
        <w:spacing w:line="240" w:lineRule="auto"/>
        <w:rPr>
          <w:rStyle w:val="SCCCounselNameChar"/>
          <w:sz w:val="20"/>
          <w:lang w:val="fr-CA"/>
        </w:rPr>
      </w:pPr>
    </w:p>
    <w:p w:rsidR="002B78E6" w:rsidRPr="00956158" w:rsidRDefault="002B78E6" w:rsidP="002B78E6">
      <w:pPr>
        <w:pStyle w:val="SCCNormalDoubleSpacing"/>
        <w:spacing w:line="240" w:lineRule="auto"/>
        <w:rPr>
          <w:sz w:val="20"/>
          <w:lang w:val="fr-CA"/>
        </w:rPr>
      </w:pPr>
      <w:r w:rsidRPr="00956158">
        <w:rPr>
          <w:rStyle w:val="SCCCounselNameChar"/>
          <w:sz w:val="20"/>
          <w:lang w:val="fr-CA"/>
        </w:rPr>
        <w:tab/>
        <w:t>James D. G. Douglas</w:t>
      </w:r>
      <w:r w:rsidRPr="00956158">
        <w:rPr>
          <w:rStyle w:val="SCCCounselSeparatorChar"/>
          <w:sz w:val="20"/>
        </w:rPr>
        <w:t xml:space="preserve">, </w:t>
      </w:r>
      <w:r w:rsidRPr="00956158">
        <w:rPr>
          <w:rStyle w:val="SCCCounselNameChar"/>
          <w:sz w:val="20"/>
          <w:lang w:val="fr-CA"/>
        </w:rPr>
        <w:t>David Di Paolo</w:t>
      </w:r>
      <w:r w:rsidRPr="00956158">
        <w:rPr>
          <w:rStyle w:val="SCCCounselSeparatorChar"/>
          <w:sz w:val="20"/>
        </w:rPr>
        <w:t xml:space="preserve"> et </w:t>
      </w:r>
      <w:r w:rsidRPr="00956158">
        <w:rPr>
          <w:rStyle w:val="SCCCounselNameChar"/>
          <w:sz w:val="20"/>
          <w:lang w:val="fr-CA"/>
        </w:rPr>
        <w:t>Margot Finley</w:t>
      </w:r>
      <w:r w:rsidRPr="00956158">
        <w:rPr>
          <w:rStyle w:val="SCCCounselPartyRoleChar"/>
          <w:sz w:val="20"/>
          <w:lang w:val="fr-CA"/>
        </w:rPr>
        <w:t>, pour l’appelante AIC Limitée.</w:t>
      </w:r>
    </w:p>
    <w:p w:rsidR="002B78E6" w:rsidRDefault="002B78E6" w:rsidP="002B78E6">
      <w:pPr>
        <w:pStyle w:val="SCCNormalDoubleSpacing"/>
        <w:spacing w:line="240" w:lineRule="auto"/>
        <w:rPr>
          <w:rStyle w:val="SCCCounselNameChar"/>
          <w:sz w:val="20"/>
          <w:lang w:val="fr-CA"/>
        </w:rPr>
      </w:pPr>
    </w:p>
    <w:p w:rsidR="002B78E6" w:rsidRPr="00956158" w:rsidRDefault="002B78E6" w:rsidP="002B78E6">
      <w:pPr>
        <w:pStyle w:val="SCCNormalDoubleSpacing"/>
        <w:spacing w:line="240" w:lineRule="auto"/>
        <w:rPr>
          <w:sz w:val="20"/>
          <w:lang w:val="fr-CA"/>
        </w:rPr>
      </w:pPr>
      <w:r w:rsidRPr="00956158">
        <w:rPr>
          <w:rStyle w:val="SCCCounselNameChar"/>
          <w:sz w:val="20"/>
          <w:lang w:val="fr-CA"/>
        </w:rPr>
        <w:tab/>
        <w:t>Benjamin Zarnett</w:t>
      </w:r>
      <w:r w:rsidRPr="00956158">
        <w:rPr>
          <w:rStyle w:val="SCCCounselSeparatorChar"/>
          <w:sz w:val="20"/>
        </w:rPr>
        <w:t xml:space="preserve">, </w:t>
      </w:r>
      <w:r w:rsidRPr="00956158">
        <w:rPr>
          <w:rStyle w:val="SCCCounselNameChar"/>
          <w:sz w:val="20"/>
          <w:lang w:val="fr-CA"/>
        </w:rPr>
        <w:t>Jessica Kimmel</w:t>
      </w:r>
      <w:r w:rsidRPr="00956158">
        <w:rPr>
          <w:rStyle w:val="SCCCounselSeparatorChar"/>
          <w:sz w:val="20"/>
        </w:rPr>
        <w:t xml:space="preserve"> et </w:t>
      </w:r>
      <w:r w:rsidRPr="00956158">
        <w:rPr>
          <w:rStyle w:val="SCCCounselNameChar"/>
          <w:sz w:val="20"/>
          <w:lang w:val="fr-CA"/>
        </w:rPr>
        <w:t>Melanie Ouanounou</w:t>
      </w:r>
      <w:r w:rsidRPr="00956158">
        <w:rPr>
          <w:rStyle w:val="SCCCounselPartyRoleChar"/>
          <w:sz w:val="20"/>
          <w:lang w:val="fr-CA"/>
        </w:rPr>
        <w:t xml:space="preserve">, pour l’appelante </w:t>
      </w:r>
      <w:r w:rsidRPr="00956158">
        <w:rPr>
          <w:sz w:val="20"/>
          <w:lang w:val="fr-CA"/>
        </w:rPr>
        <w:t>CI Mutual Funds Inc</w:t>
      </w:r>
      <w:r w:rsidRPr="00956158">
        <w:rPr>
          <w:rStyle w:val="SCCCounselPartyRoleChar"/>
          <w:sz w:val="20"/>
          <w:lang w:val="fr-CA"/>
        </w:rPr>
        <w:t>.</w:t>
      </w:r>
    </w:p>
    <w:p w:rsidR="002B78E6" w:rsidRDefault="002B78E6" w:rsidP="002B78E6">
      <w:pPr>
        <w:pStyle w:val="SCCNormalDoubleSpacing"/>
        <w:spacing w:line="240" w:lineRule="auto"/>
        <w:rPr>
          <w:rStyle w:val="SCCCounselNameChar"/>
          <w:sz w:val="20"/>
          <w:lang w:val="fr-CA"/>
        </w:rPr>
      </w:pPr>
    </w:p>
    <w:p w:rsidR="002B78E6" w:rsidRPr="00956158" w:rsidRDefault="002B78E6" w:rsidP="002B78E6">
      <w:pPr>
        <w:pStyle w:val="SCCNormalDoubleSpacing"/>
        <w:spacing w:line="240" w:lineRule="auto"/>
        <w:rPr>
          <w:sz w:val="20"/>
          <w:lang w:val="fr-CA"/>
        </w:rPr>
      </w:pPr>
      <w:r w:rsidRPr="00956158">
        <w:rPr>
          <w:rStyle w:val="SCCCounselNameChar"/>
          <w:sz w:val="20"/>
          <w:lang w:val="fr-CA"/>
        </w:rPr>
        <w:tab/>
        <w:t>Allan C. Hutchinson</w:t>
      </w:r>
      <w:r w:rsidRPr="00956158">
        <w:rPr>
          <w:rStyle w:val="SCCCounselPartyRoleChar"/>
          <w:sz w:val="20"/>
          <w:lang w:val="fr-CA"/>
        </w:rPr>
        <w:t xml:space="preserve">, </w:t>
      </w:r>
      <w:r w:rsidRPr="00956158">
        <w:rPr>
          <w:rStyle w:val="SCCCounselNameChar"/>
          <w:sz w:val="20"/>
          <w:lang w:val="fr-CA"/>
        </w:rPr>
        <w:t>Peter R. Jervis</w:t>
      </w:r>
      <w:r w:rsidRPr="00956158">
        <w:rPr>
          <w:rStyle w:val="SCCCounselSeparatorChar"/>
          <w:sz w:val="20"/>
        </w:rPr>
        <w:t xml:space="preserve">, </w:t>
      </w:r>
      <w:r w:rsidRPr="00956158">
        <w:rPr>
          <w:rStyle w:val="SCCCounselNameChar"/>
          <w:sz w:val="20"/>
          <w:lang w:val="fr-CA"/>
        </w:rPr>
        <w:t>Joel P. Rochon</w:t>
      </w:r>
      <w:r w:rsidRPr="00956158">
        <w:rPr>
          <w:rStyle w:val="SCCCounselSeparatorChar"/>
          <w:sz w:val="20"/>
        </w:rPr>
        <w:t xml:space="preserve"> et </w:t>
      </w:r>
      <w:r w:rsidRPr="00956158">
        <w:rPr>
          <w:rStyle w:val="SCCCounselNameChar"/>
          <w:sz w:val="20"/>
          <w:lang w:val="fr-CA"/>
        </w:rPr>
        <w:t>Remissa Hirji</w:t>
      </w:r>
      <w:r w:rsidRPr="00956158">
        <w:rPr>
          <w:rStyle w:val="SCCCounselPartyRoleChar"/>
          <w:sz w:val="20"/>
          <w:lang w:val="fr-CA"/>
        </w:rPr>
        <w:t>, pour les intimés.</w:t>
      </w:r>
    </w:p>
    <w:p w:rsidR="002B78E6" w:rsidRDefault="002B78E6" w:rsidP="002B78E6">
      <w:pPr>
        <w:pStyle w:val="SCCLawFirm"/>
        <w:spacing w:line="240" w:lineRule="auto"/>
        <w:rPr>
          <w:sz w:val="20"/>
          <w:lang w:val="fr-CA"/>
        </w:rPr>
      </w:pPr>
    </w:p>
    <w:p w:rsidR="002B78E6" w:rsidRPr="00956158" w:rsidRDefault="002B78E6" w:rsidP="002B78E6">
      <w:pPr>
        <w:pStyle w:val="SCCLawFirm"/>
        <w:spacing w:line="240" w:lineRule="auto"/>
        <w:rPr>
          <w:sz w:val="20"/>
          <w:lang w:val="fr-CA"/>
        </w:rPr>
      </w:pPr>
      <w:r w:rsidRPr="00956158">
        <w:rPr>
          <w:sz w:val="20"/>
          <w:lang w:val="fr-CA"/>
        </w:rPr>
        <w:tab/>
        <w:t xml:space="preserve">Procureurs de l’appelante </w:t>
      </w:r>
      <w:r w:rsidRPr="00956158">
        <w:rPr>
          <w:rStyle w:val="SCCCounselPartyRoleChar"/>
          <w:sz w:val="20"/>
          <w:lang w:val="fr-CA"/>
        </w:rPr>
        <w:t>AIC Limitée</w:t>
      </w:r>
      <w:r w:rsidRPr="00956158">
        <w:rPr>
          <w:sz w:val="20"/>
          <w:lang w:val="fr-CA"/>
        </w:rPr>
        <w:t> : Borden Ladner Gervais, Toronto.</w:t>
      </w:r>
    </w:p>
    <w:p w:rsidR="002B78E6" w:rsidRDefault="002B78E6" w:rsidP="002B78E6">
      <w:pPr>
        <w:pStyle w:val="SCCLawFirm"/>
        <w:spacing w:line="240" w:lineRule="auto"/>
        <w:rPr>
          <w:sz w:val="20"/>
          <w:lang w:val="fr-CA"/>
        </w:rPr>
      </w:pPr>
    </w:p>
    <w:p w:rsidR="002B78E6" w:rsidRPr="00956158" w:rsidRDefault="002B78E6" w:rsidP="002B78E6">
      <w:pPr>
        <w:pStyle w:val="SCCLawFirm"/>
        <w:spacing w:line="240" w:lineRule="auto"/>
        <w:rPr>
          <w:sz w:val="20"/>
          <w:lang w:val="fr-CA"/>
        </w:rPr>
      </w:pPr>
      <w:r w:rsidRPr="00956158">
        <w:rPr>
          <w:sz w:val="20"/>
          <w:lang w:val="fr-CA"/>
        </w:rPr>
        <w:tab/>
        <w:t>Procureurs de l’appelante CI Mutual Funds Inc. : Goodmans, Toronto.</w:t>
      </w:r>
    </w:p>
    <w:p w:rsidR="002B78E6" w:rsidRDefault="002B78E6" w:rsidP="002B78E6">
      <w:pPr>
        <w:pStyle w:val="SCCLawFirm"/>
        <w:spacing w:line="240" w:lineRule="auto"/>
        <w:rPr>
          <w:sz w:val="20"/>
          <w:lang w:val="fr-CA"/>
        </w:rPr>
      </w:pPr>
    </w:p>
    <w:p w:rsidR="002B78E6" w:rsidRDefault="002B78E6" w:rsidP="002B78E6">
      <w:pPr>
        <w:pStyle w:val="SCCLawFirm"/>
        <w:spacing w:line="240" w:lineRule="auto"/>
        <w:rPr>
          <w:sz w:val="20"/>
          <w:lang w:val="fr-CA"/>
        </w:rPr>
      </w:pPr>
      <w:r w:rsidRPr="00956158">
        <w:rPr>
          <w:sz w:val="20"/>
          <w:lang w:val="fr-CA"/>
        </w:rPr>
        <w:tab/>
        <w:t>Procureurs des intimés : Rochon Genova, Toronto.</w:t>
      </w:r>
    </w:p>
    <w:p w:rsidR="003B3977" w:rsidRDefault="003B3977" w:rsidP="005C6840">
      <w:pPr>
        <w:rPr>
          <w:rFonts w:cs="Times New Roman"/>
          <w:sz w:val="20"/>
          <w:szCs w:val="20"/>
          <w:lang w:val="fr-CA"/>
        </w:rPr>
      </w:pPr>
    </w:p>
    <w:p w:rsidR="005C6840" w:rsidRDefault="00E672F1" w:rsidP="005C6840">
      <w:pPr>
        <w:rPr>
          <w:lang w:val="fr-CA"/>
        </w:rPr>
      </w:pPr>
      <w:r>
        <w:rPr>
          <w:rFonts w:cs="Times New Roman"/>
          <w:sz w:val="20"/>
          <w:szCs w:val="20"/>
          <w:lang w:val="fr-CA"/>
        </w:rPr>
        <w:pict>
          <v:rect id="_x0000_i1076" style="width:144.3pt;height:1pt" o:hrpct="300" o:hralign="center" o:hrstd="t" o:hrnoshade="t" o:hr="t" fillcolor="black [3213]" stroked="f"/>
        </w:pict>
      </w:r>
      <w:r w:rsidR="005C6840">
        <w:rPr>
          <w:lang w:val="fr-CA"/>
        </w:rPr>
        <w:br w:type="page"/>
      </w:r>
    </w:p>
    <w:p w:rsidR="00B40DC2" w:rsidRPr="00776C57" w:rsidRDefault="00B40DC2" w:rsidP="00B40DC2">
      <w:pPr>
        <w:ind w:left="1440" w:hanging="1440"/>
        <w:jc w:val="both"/>
        <w:rPr>
          <w:rFonts w:eastAsia="Calibri"/>
          <w:b/>
          <w:sz w:val="20"/>
          <w:szCs w:val="20"/>
        </w:rPr>
      </w:pPr>
      <w:r w:rsidRPr="00776C57">
        <w:rPr>
          <w:rFonts w:eastAsia="Calibri"/>
          <w:i/>
          <w:sz w:val="20"/>
          <w:szCs w:val="20"/>
        </w:rPr>
        <w:lastRenderedPageBreak/>
        <w:t xml:space="preserve">IBM Canada Limited v. Richard Waterman </w:t>
      </w:r>
      <w:r w:rsidRPr="00776C57">
        <w:rPr>
          <w:rFonts w:eastAsia="Calibri"/>
          <w:sz w:val="20"/>
          <w:szCs w:val="20"/>
        </w:rPr>
        <w:t>(B.C.) (</w:t>
      </w:r>
      <w:hyperlink r:id="rId76" w:history="1">
        <w:r w:rsidRPr="00776C57">
          <w:rPr>
            <w:rStyle w:val="Hyperlink"/>
            <w:rFonts w:eastAsia="Calibri"/>
            <w:sz w:val="20"/>
            <w:szCs w:val="20"/>
          </w:rPr>
          <w:t>34472</w:t>
        </w:r>
      </w:hyperlink>
      <w:r w:rsidRPr="00776C57">
        <w:rPr>
          <w:rFonts w:eastAsia="Calibri"/>
          <w:sz w:val="20"/>
          <w:szCs w:val="20"/>
        </w:rPr>
        <w:t>)</w:t>
      </w:r>
    </w:p>
    <w:p w:rsidR="00FC483A" w:rsidRPr="00FC483A" w:rsidRDefault="00FC483A" w:rsidP="00FC483A">
      <w:pPr>
        <w:jc w:val="both"/>
        <w:rPr>
          <w:b/>
          <w:sz w:val="20"/>
          <w:szCs w:val="20"/>
        </w:rPr>
      </w:pPr>
      <w:r w:rsidRPr="005F2B50">
        <w:rPr>
          <w:b/>
          <w:sz w:val="20"/>
          <w:szCs w:val="20"/>
        </w:rPr>
        <w:t xml:space="preserve">Indexed as:  IBM Canada Limited </w:t>
      </w:r>
      <w:r w:rsidRPr="005F2B50">
        <w:rPr>
          <w:b/>
          <w:i/>
          <w:sz w:val="20"/>
          <w:szCs w:val="20"/>
        </w:rPr>
        <w:t>v.</w:t>
      </w:r>
      <w:r w:rsidRPr="005F2B50">
        <w:rPr>
          <w:b/>
          <w:sz w:val="20"/>
          <w:szCs w:val="20"/>
        </w:rPr>
        <w:t xml:space="preserve"> Waterman</w:t>
      </w:r>
      <w:r>
        <w:rPr>
          <w:b/>
          <w:sz w:val="20"/>
          <w:szCs w:val="20"/>
        </w:rPr>
        <w:t xml:space="preserve"> / </w:t>
      </w:r>
      <w:r w:rsidRPr="00FC483A">
        <w:rPr>
          <w:b/>
          <w:sz w:val="20"/>
          <w:szCs w:val="20"/>
        </w:rPr>
        <w:t xml:space="preserve">Répertorié : IBM Canada Limitée </w:t>
      </w:r>
      <w:r w:rsidRPr="00FC483A">
        <w:rPr>
          <w:b/>
          <w:i/>
          <w:sz w:val="20"/>
          <w:szCs w:val="20"/>
        </w:rPr>
        <w:t>c.</w:t>
      </w:r>
      <w:r w:rsidRPr="00FC483A">
        <w:rPr>
          <w:b/>
          <w:sz w:val="20"/>
          <w:szCs w:val="20"/>
        </w:rPr>
        <w:t xml:space="preserve"> Waterman</w:t>
      </w:r>
    </w:p>
    <w:p w:rsidR="00902E51" w:rsidRPr="00352A49" w:rsidRDefault="00902E51" w:rsidP="00902E51">
      <w:pPr>
        <w:pStyle w:val="SCCSystemYear"/>
        <w:jc w:val="both"/>
        <w:rPr>
          <w:sz w:val="20"/>
        </w:rPr>
      </w:pPr>
      <w:r w:rsidRPr="00352A49">
        <w:rPr>
          <w:sz w:val="20"/>
        </w:rPr>
        <w:t>Neutral citation:  2013 SCC 7</w:t>
      </w:r>
      <w:r w:rsidR="003369F3">
        <w:rPr>
          <w:sz w:val="20"/>
        </w:rPr>
        <w:t>0</w:t>
      </w:r>
      <w:r w:rsidRPr="00352A49">
        <w:rPr>
          <w:sz w:val="20"/>
        </w:rPr>
        <w:t xml:space="preserve"> / Référence neutre : 2013 CSC 7</w:t>
      </w:r>
      <w:r w:rsidR="003369F3">
        <w:rPr>
          <w:sz w:val="20"/>
        </w:rPr>
        <w:t>0</w:t>
      </w:r>
    </w:p>
    <w:p w:rsidR="00902E51" w:rsidRPr="00352A49" w:rsidRDefault="00902E51" w:rsidP="00902E51">
      <w:pPr>
        <w:rPr>
          <w:sz w:val="20"/>
          <w:szCs w:val="20"/>
          <w:lang w:val="fr-CA"/>
        </w:rPr>
      </w:pPr>
      <w:r w:rsidRPr="00352A49">
        <w:rPr>
          <w:sz w:val="20"/>
          <w:szCs w:val="20"/>
          <w:lang w:val="fr-CA"/>
        </w:rPr>
        <w:t xml:space="preserve">Hearing:  </w:t>
      </w:r>
      <w:r w:rsidR="00FC483A">
        <w:rPr>
          <w:sz w:val="20"/>
          <w:szCs w:val="20"/>
          <w:lang w:val="fr-CA"/>
        </w:rPr>
        <w:t>December</w:t>
      </w:r>
      <w:r w:rsidRPr="00352A49">
        <w:rPr>
          <w:sz w:val="20"/>
          <w:szCs w:val="20"/>
          <w:lang w:val="fr-CA"/>
        </w:rPr>
        <w:t xml:space="preserve"> </w:t>
      </w:r>
      <w:r w:rsidR="00FC483A">
        <w:rPr>
          <w:sz w:val="20"/>
          <w:szCs w:val="20"/>
          <w:lang w:val="fr-CA"/>
        </w:rPr>
        <w:t>14</w:t>
      </w:r>
      <w:r w:rsidRPr="00352A49">
        <w:rPr>
          <w:sz w:val="20"/>
          <w:szCs w:val="20"/>
          <w:lang w:val="fr-CA"/>
        </w:rPr>
        <w:t>, 201</w:t>
      </w:r>
      <w:r w:rsidR="00FC483A">
        <w:rPr>
          <w:sz w:val="20"/>
          <w:szCs w:val="20"/>
          <w:lang w:val="fr-CA"/>
        </w:rPr>
        <w:t>2</w:t>
      </w:r>
      <w:r w:rsidRPr="00352A49">
        <w:rPr>
          <w:sz w:val="20"/>
          <w:szCs w:val="20"/>
          <w:lang w:val="fr-CA"/>
        </w:rPr>
        <w:t xml:space="preserve"> / Judgment:  </w:t>
      </w:r>
      <w:r w:rsidR="00B40DC2">
        <w:rPr>
          <w:sz w:val="20"/>
          <w:szCs w:val="20"/>
          <w:lang w:val="fr-CA"/>
        </w:rPr>
        <w:t>December 13</w:t>
      </w:r>
      <w:r w:rsidRPr="00352A49">
        <w:rPr>
          <w:sz w:val="20"/>
          <w:szCs w:val="20"/>
          <w:lang w:val="fr-CA"/>
        </w:rPr>
        <w:t>, 2013</w:t>
      </w:r>
    </w:p>
    <w:p w:rsidR="00902E51" w:rsidRPr="003B3977" w:rsidRDefault="00902E51" w:rsidP="00902E51">
      <w:pPr>
        <w:rPr>
          <w:sz w:val="20"/>
          <w:szCs w:val="20"/>
          <w:lang w:val="fr-CA"/>
        </w:rPr>
      </w:pPr>
      <w:r w:rsidRPr="003B3977">
        <w:rPr>
          <w:sz w:val="20"/>
          <w:szCs w:val="20"/>
          <w:lang w:val="fr-CA"/>
        </w:rPr>
        <w:t xml:space="preserve">Audition : Le </w:t>
      </w:r>
      <w:r w:rsidR="00FC483A">
        <w:rPr>
          <w:sz w:val="20"/>
          <w:szCs w:val="20"/>
          <w:lang w:val="fr-CA"/>
        </w:rPr>
        <w:t>14</w:t>
      </w:r>
      <w:r>
        <w:rPr>
          <w:sz w:val="20"/>
          <w:szCs w:val="20"/>
          <w:lang w:val="fr-CA"/>
        </w:rPr>
        <w:t xml:space="preserve"> </w:t>
      </w:r>
      <w:r w:rsidR="00FC483A">
        <w:rPr>
          <w:sz w:val="20"/>
          <w:szCs w:val="20"/>
          <w:lang w:val="fr-CA"/>
        </w:rPr>
        <w:t>déce</w:t>
      </w:r>
      <w:r w:rsidRPr="003B3977">
        <w:rPr>
          <w:sz w:val="20"/>
          <w:szCs w:val="20"/>
          <w:lang w:val="fr-CA"/>
        </w:rPr>
        <w:t>m</w:t>
      </w:r>
      <w:r w:rsidR="00FC483A">
        <w:rPr>
          <w:sz w:val="20"/>
          <w:szCs w:val="20"/>
          <w:lang w:val="fr-CA"/>
        </w:rPr>
        <w:t>b</w:t>
      </w:r>
      <w:r>
        <w:rPr>
          <w:sz w:val="20"/>
          <w:szCs w:val="20"/>
          <w:lang w:val="fr-CA"/>
        </w:rPr>
        <w:t>r</w:t>
      </w:r>
      <w:r w:rsidR="00FC483A">
        <w:rPr>
          <w:sz w:val="20"/>
          <w:szCs w:val="20"/>
          <w:lang w:val="fr-CA"/>
        </w:rPr>
        <w:t>e</w:t>
      </w:r>
      <w:r w:rsidRPr="003B3977">
        <w:rPr>
          <w:sz w:val="20"/>
          <w:szCs w:val="20"/>
          <w:lang w:val="fr-CA"/>
        </w:rPr>
        <w:t xml:space="preserve"> 201</w:t>
      </w:r>
      <w:r w:rsidR="00FC483A">
        <w:rPr>
          <w:sz w:val="20"/>
          <w:szCs w:val="20"/>
          <w:lang w:val="fr-CA"/>
        </w:rPr>
        <w:t>2</w:t>
      </w:r>
      <w:r w:rsidRPr="003B3977">
        <w:rPr>
          <w:sz w:val="20"/>
          <w:szCs w:val="20"/>
          <w:lang w:val="fr-CA"/>
        </w:rPr>
        <w:t xml:space="preserve"> / Jugement : Le </w:t>
      </w:r>
      <w:r>
        <w:rPr>
          <w:sz w:val="20"/>
          <w:szCs w:val="20"/>
          <w:lang w:val="fr-CA"/>
        </w:rPr>
        <w:t>1</w:t>
      </w:r>
      <w:r w:rsidR="00B40DC2">
        <w:rPr>
          <w:sz w:val="20"/>
          <w:szCs w:val="20"/>
          <w:lang w:val="fr-CA"/>
        </w:rPr>
        <w:t>3 déce</w:t>
      </w:r>
      <w:r>
        <w:rPr>
          <w:sz w:val="20"/>
          <w:szCs w:val="20"/>
          <w:lang w:val="fr-CA"/>
        </w:rPr>
        <w:t>m</w:t>
      </w:r>
      <w:r w:rsidR="00B40DC2">
        <w:rPr>
          <w:sz w:val="20"/>
          <w:szCs w:val="20"/>
          <w:lang w:val="fr-CA"/>
        </w:rPr>
        <w:t>bre</w:t>
      </w:r>
      <w:r w:rsidRPr="003B3977">
        <w:rPr>
          <w:sz w:val="20"/>
          <w:szCs w:val="20"/>
          <w:lang w:val="fr-CA"/>
        </w:rPr>
        <w:t xml:space="preserve"> 201</w:t>
      </w:r>
      <w:r>
        <w:rPr>
          <w:sz w:val="20"/>
          <w:szCs w:val="20"/>
          <w:lang w:val="fr-CA"/>
        </w:rPr>
        <w:t>3</w:t>
      </w:r>
    </w:p>
    <w:p w:rsidR="005C6840" w:rsidRPr="003B3977" w:rsidRDefault="00E672F1" w:rsidP="005C6840">
      <w:pPr>
        <w:rPr>
          <w:sz w:val="20"/>
          <w:szCs w:val="20"/>
          <w:lang w:val="fr-CA"/>
        </w:rPr>
      </w:pPr>
      <w:r>
        <w:rPr>
          <w:i/>
          <w:sz w:val="20"/>
          <w:szCs w:val="20"/>
        </w:rPr>
        <w:pict>
          <v:rect id="_x0000_i1077"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FC483A" w:rsidRPr="005F2B50" w:rsidRDefault="00FC483A" w:rsidP="00FC483A">
      <w:pPr>
        <w:jc w:val="both"/>
        <w:rPr>
          <w:sz w:val="20"/>
          <w:szCs w:val="20"/>
        </w:rPr>
      </w:pPr>
      <w:r w:rsidRPr="005F2B50">
        <w:rPr>
          <w:sz w:val="20"/>
          <w:szCs w:val="20"/>
        </w:rPr>
        <w:t>Present:  McLachlin C.J. and LeBel, Fish, Abella, Rothstein, Cromwell, Moldaver, Karakatsanis and Wagner JJ.</w:t>
      </w:r>
    </w:p>
    <w:p w:rsidR="00FC483A" w:rsidRDefault="00FC483A" w:rsidP="00FC483A">
      <w:pPr>
        <w:pStyle w:val="SCCLowerCourtNameLowercase"/>
        <w:spacing w:line="240" w:lineRule="auto"/>
        <w:rPr>
          <w:sz w:val="20"/>
        </w:rPr>
      </w:pPr>
    </w:p>
    <w:p w:rsidR="00FC483A" w:rsidRDefault="00FC483A" w:rsidP="00FC483A">
      <w:pPr>
        <w:pStyle w:val="SCCNormalDoubleSpacing"/>
        <w:spacing w:line="240" w:lineRule="auto"/>
        <w:rPr>
          <w:i/>
          <w:sz w:val="20"/>
          <w:lang w:val="en-US"/>
        </w:rPr>
      </w:pPr>
      <w:r w:rsidRPr="005F2B50">
        <w:rPr>
          <w:sz w:val="20"/>
        </w:rPr>
        <w:tab/>
      </w:r>
      <w:r w:rsidRPr="005F2B50">
        <w:rPr>
          <w:i/>
          <w:sz w:val="20"/>
          <w:lang w:val="en-US"/>
        </w:rPr>
        <w:t xml:space="preserve">Employment law </w:t>
      </w:r>
      <w:r w:rsidRPr="005F2B50">
        <w:rPr>
          <w:i/>
          <w:sz w:val="20"/>
        </w:rPr>
        <w:t xml:space="preserve">— </w:t>
      </w:r>
      <w:r w:rsidRPr="005F2B50">
        <w:rPr>
          <w:i/>
          <w:sz w:val="20"/>
          <w:lang w:val="en-US"/>
        </w:rPr>
        <w:t xml:space="preserve">Wrongful dismissal </w:t>
      </w:r>
      <w:r w:rsidRPr="005F2B50">
        <w:rPr>
          <w:i/>
          <w:sz w:val="20"/>
        </w:rPr>
        <w:t xml:space="preserve">— </w:t>
      </w:r>
      <w:r w:rsidRPr="005F2B50">
        <w:rPr>
          <w:i/>
          <w:sz w:val="20"/>
          <w:lang w:val="en-US"/>
        </w:rPr>
        <w:t xml:space="preserve">Damages </w:t>
      </w:r>
      <w:r w:rsidRPr="005F2B50">
        <w:rPr>
          <w:i/>
          <w:sz w:val="20"/>
        </w:rPr>
        <w:t xml:space="preserve">— </w:t>
      </w:r>
      <w:r w:rsidRPr="005F2B50">
        <w:rPr>
          <w:i/>
          <w:sz w:val="20"/>
          <w:lang w:val="en-US"/>
        </w:rPr>
        <w:t xml:space="preserve">Compensating advantage </w:t>
      </w:r>
      <w:r w:rsidRPr="005F2B50">
        <w:rPr>
          <w:i/>
          <w:sz w:val="20"/>
        </w:rPr>
        <w:t xml:space="preserve">— </w:t>
      </w:r>
      <w:r w:rsidRPr="005F2B50">
        <w:rPr>
          <w:i/>
          <w:sz w:val="20"/>
          <w:lang w:val="en-US"/>
        </w:rPr>
        <w:t xml:space="preserve">Dismissed employee drawing pension benefits upon dismissal </w:t>
      </w:r>
      <w:r w:rsidRPr="005F2B50">
        <w:rPr>
          <w:i/>
          <w:sz w:val="20"/>
        </w:rPr>
        <w:t xml:space="preserve">— </w:t>
      </w:r>
      <w:r w:rsidRPr="005F2B50">
        <w:rPr>
          <w:i/>
          <w:sz w:val="20"/>
          <w:lang w:val="en-US"/>
        </w:rPr>
        <w:t xml:space="preserve">Trial judge establishing appropriate notice period at 20 months without deduction for pension benefits </w:t>
      </w:r>
      <w:r w:rsidRPr="005F2B50">
        <w:rPr>
          <w:i/>
          <w:sz w:val="20"/>
        </w:rPr>
        <w:t xml:space="preserve">— </w:t>
      </w:r>
      <w:r w:rsidRPr="005F2B50">
        <w:rPr>
          <w:i/>
          <w:sz w:val="20"/>
          <w:lang w:val="en-US"/>
        </w:rPr>
        <w:t xml:space="preserve">Whether pension benefits constitute compensating advantage </w:t>
      </w:r>
      <w:r w:rsidRPr="005F2B50">
        <w:rPr>
          <w:i/>
          <w:sz w:val="20"/>
        </w:rPr>
        <w:t xml:space="preserve">— </w:t>
      </w:r>
      <w:r w:rsidRPr="005F2B50">
        <w:rPr>
          <w:i/>
          <w:sz w:val="20"/>
          <w:lang w:val="en-US"/>
        </w:rPr>
        <w:t>Whether pension benefits should be deducted from damages for wro</w:t>
      </w:r>
    </w:p>
    <w:p w:rsidR="00FC483A" w:rsidRPr="005F2B50" w:rsidRDefault="00FC483A" w:rsidP="00FC483A">
      <w:pPr>
        <w:pStyle w:val="SCCNormalDoubleSpacing"/>
        <w:spacing w:line="240" w:lineRule="auto"/>
        <w:rPr>
          <w:i/>
          <w:sz w:val="20"/>
          <w:lang w:val="en-US"/>
        </w:rPr>
      </w:pPr>
      <w:r w:rsidRPr="005F2B50">
        <w:rPr>
          <w:i/>
          <w:sz w:val="20"/>
          <w:lang w:val="en-US"/>
        </w:rPr>
        <w:t>ngful dismissal.</w:t>
      </w:r>
    </w:p>
    <w:p w:rsidR="00FC483A" w:rsidRDefault="00FC483A" w:rsidP="00FC483A">
      <w:pPr>
        <w:pStyle w:val="SCCNormalDoubleSpacing"/>
        <w:spacing w:line="240" w:lineRule="auto"/>
        <w:rPr>
          <w:sz w:val="20"/>
        </w:rPr>
      </w:pPr>
    </w:p>
    <w:p w:rsidR="00FC483A" w:rsidRPr="005F2B50" w:rsidRDefault="00FC483A" w:rsidP="00FC483A">
      <w:pPr>
        <w:pStyle w:val="SCCNormalDoubleSpacing"/>
        <w:spacing w:line="240" w:lineRule="auto"/>
        <w:rPr>
          <w:sz w:val="20"/>
        </w:rPr>
      </w:pPr>
      <w:r w:rsidRPr="005F2B50">
        <w:rPr>
          <w:sz w:val="20"/>
        </w:rPr>
        <w:tab/>
        <w:t>IBM dismissed W without cause on two months’ notice.  W was 65 years old, had 42 years of service, and had a vested interest in IBM’s defined benefit pension plan.  Under the plan, IBM contributed a percentage of W’s salary to the plan on his behalf.  Upon termination, W was entitled to a full pension, and his termination had no impact on the amount of his pension benefits.</w:t>
      </w:r>
    </w:p>
    <w:p w:rsidR="00FC483A" w:rsidRDefault="00FC483A" w:rsidP="00FC483A">
      <w:pPr>
        <w:pStyle w:val="SCCNormalDoubleSpacing"/>
        <w:spacing w:line="240" w:lineRule="auto"/>
        <w:rPr>
          <w:sz w:val="20"/>
        </w:rPr>
      </w:pPr>
    </w:p>
    <w:p w:rsidR="00FC483A" w:rsidRPr="005F2B50" w:rsidRDefault="00FC483A" w:rsidP="00FC483A">
      <w:pPr>
        <w:pStyle w:val="SCCNormalDoubleSpacing"/>
        <w:spacing w:line="240" w:lineRule="auto"/>
        <w:rPr>
          <w:sz w:val="20"/>
        </w:rPr>
      </w:pPr>
      <w:r w:rsidRPr="005F2B50">
        <w:rPr>
          <w:sz w:val="20"/>
        </w:rPr>
        <w:tab/>
        <w:t>W sued to enforce his contractual right to reasonable notice.  The trial judge set the appropriate period of notice at 20 month and declined to deduct the pension benefits paid to W during the notice period in calculating his damages.  The Court of Appeal dismissed the appeal.</w:t>
      </w:r>
    </w:p>
    <w:p w:rsidR="00FC483A" w:rsidRPr="00FC483A" w:rsidRDefault="00FC483A" w:rsidP="00FC483A">
      <w:pPr>
        <w:pStyle w:val="ParaNoNdepar-AltN"/>
        <w:numPr>
          <w:ilvl w:val="0"/>
          <w:numId w:val="0"/>
        </w:numPr>
        <w:tabs>
          <w:tab w:val="left" w:pos="1170"/>
        </w:tabs>
        <w:spacing w:before="0" w:after="0" w:line="240" w:lineRule="auto"/>
        <w:rPr>
          <w:rFonts w:cs="Times New Roman"/>
          <w:sz w:val="20"/>
          <w:szCs w:val="20"/>
          <w:lang w:val="en-CA"/>
        </w:rPr>
      </w:pPr>
    </w:p>
    <w:p w:rsidR="00FC483A" w:rsidRPr="00FC483A" w:rsidRDefault="00FC483A" w:rsidP="00FC483A">
      <w:pPr>
        <w:pStyle w:val="ParaNoNdepar-AltN"/>
        <w:numPr>
          <w:ilvl w:val="0"/>
          <w:numId w:val="0"/>
        </w:numPr>
        <w:spacing w:before="0" w:after="0" w:line="240" w:lineRule="auto"/>
        <w:rPr>
          <w:rFonts w:cs="Times New Roman"/>
          <w:sz w:val="20"/>
          <w:szCs w:val="20"/>
          <w:lang w:val="en-CA"/>
        </w:rPr>
      </w:pPr>
      <w:r w:rsidRPr="00FC483A">
        <w:rPr>
          <w:rFonts w:cs="Times New Roman"/>
          <w:sz w:val="20"/>
          <w:szCs w:val="20"/>
          <w:lang w:val="en-CA"/>
        </w:rPr>
        <w:tab/>
      </w:r>
      <w:r w:rsidRPr="00FC483A">
        <w:rPr>
          <w:rFonts w:cs="Times New Roman"/>
          <w:i/>
          <w:sz w:val="20"/>
          <w:szCs w:val="20"/>
          <w:lang w:val="en-CA"/>
        </w:rPr>
        <w:t>Held</w:t>
      </w:r>
      <w:r w:rsidRPr="00FC483A">
        <w:rPr>
          <w:rFonts w:cs="Times New Roman"/>
          <w:sz w:val="20"/>
          <w:szCs w:val="20"/>
          <w:lang w:val="en-CA"/>
        </w:rPr>
        <w:t xml:space="preserve"> (McLachlin C.J. and Rothstein J. dissenting):  The appeal should be dismissed.</w:t>
      </w:r>
    </w:p>
    <w:p w:rsidR="00FC483A" w:rsidRDefault="00FC483A" w:rsidP="00FC483A">
      <w:pPr>
        <w:pStyle w:val="SCCNormalDoubleSpacing"/>
        <w:spacing w:line="240" w:lineRule="auto"/>
        <w:rPr>
          <w:sz w:val="20"/>
        </w:rPr>
      </w:pPr>
    </w:p>
    <w:p w:rsidR="00FC483A" w:rsidRPr="005F2B50" w:rsidRDefault="00FC483A" w:rsidP="00FC483A">
      <w:pPr>
        <w:pStyle w:val="SCCNormalDoubleSpacing"/>
        <w:spacing w:line="240" w:lineRule="auto"/>
        <w:rPr>
          <w:sz w:val="20"/>
        </w:rPr>
      </w:pPr>
      <w:r w:rsidRPr="005F2B50">
        <w:rPr>
          <w:sz w:val="20"/>
        </w:rPr>
        <w:tab/>
      </w:r>
      <w:r w:rsidRPr="005F2B50">
        <w:rPr>
          <w:i/>
          <w:sz w:val="20"/>
        </w:rPr>
        <w:t>Per</w:t>
      </w:r>
      <w:r w:rsidRPr="005F2B50">
        <w:rPr>
          <w:sz w:val="20"/>
        </w:rPr>
        <w:t xml:space="preserve"> LeBel, Fish, Abella, </w:t>
      </w:r>
      <w:r w:rsidRPr="005F2B50">
        <w:rPr>
          <w:b/>
          <w:sz w:val="20"/>
        </w:rPr>
        <w:t>Cromwell</w:t>
      </w:r>
      <w:r w:rsidRPr="005F2B50">
        <w:rPr>
          <w:sz w:val="20"/>
        </w:rPr>
        <w:t>, Moldaver, Karakatsanis and Wagner JJ.:  The rule that damages are measured by the plaintiff’s actual loss does not cover all cases. The law has long recognized that applying the general rule of damages — the compensation principle — strictly and inflexibly sometimes leads to unsatisfactory results.  Employee pension payments, including payments from a defined benefits plan, should generally not reduce the damages otherwise payable for wrongful dismissal.  Pension benefits are a form of deferred compensation for the employee’s service and constitute a type of retirement savings.  They are not intended to be an indemnity for wage loss due to unemployment.</w:t>
      </w:r>
    </w:p>
    <w:p w:rsidR="00FC483A" w:rsidRDefault="00FC483A" w:rsidP="00FC483A">
      <w:pPr>
        <w:pStyle w:val="SCCNormalDoubleSpacing"/>
        <w:spacing w:line="240" w:lineRule="auto"/>
        <w:rPr>
          <w:sz w:val="20"/>
        </w:rPr>
      </w:pPr>
    </w:p>
    <w:p w:rsidR="00FC483A" w:rsidRPr="005F2B50" w:rsidRDefault="00FC483A" w:rsidP="00FC483A">
      <w:pPr>
        <w:pStyle w:val="SCCNormalDoubleSpacing"/>
        <w:spacing w:line="240" w:lineRule="auto"/>
        <w:rPr>
          <w:sz w:val="20"/>
        </w:rPr>
      </w:pPr>
      <w:r w:rsidRPr="005F2B50">
        <w:rPr>
          <w:sz w:val="20"/>
        </w:rPr>
        <w:tab/>
        <w:t>A compensating advantage arises if a source other than the damages payable by the defendant ameliorates the loss suffered by the plaintiff as a result of the defendant’s breach of a legal duty.  However, not all benefits received by a plaintiff raise a compensating advantages problem.  A problem only arises with a compensating advantage when the advantage is one that (a) would not have accrued to the plaintiff but for the breach, or (b) was intended to indemnify the plaintiff for the sort of loss resulting from the breach.</w:t>
      </w:r>
    </w:p>
    <w:p w:rsidR="00FC483A" w:rsidRDefault="00FC483A" w:rsidP="00FC483A">
      <w:pPr>
        <w:pStyle w:val="SCCNormalDoubleSpacing"/>
        <w:spacing w:line="240" w:lineRule="auto"/>
        <w:rPr>
          <w:sz w:val="20"/>
        </w:rPr>
      </w:pPr>
    </w:p>
    <w:p w:rsidR="00FC483A" w:rsidRPr="005F2B50" w:rsidRDefault="00FC483A" w:rsidP="00FC483A">
      <w:pPr>
        <w:pStyle w:val="SCCNormalDoubleSpacing"/>
        <w:spacing w:line="240" w:lineRule="auto"/>
        <w:rPr>
          <w:sz w:val="20"/>
        </w:rPr>
      </w:pPr>
      <w:r w:rsidRPr="005F2B50">
        <w:rPr>
          <w:sz w:val="20"/>
        </w:rPr>
        <w:tab/>
        <w:t>The question is whether the compensation principle should be strictly applied and the compensating advantage should be deducted.  Considerations other than the extent of the plaintiff’s actual loss shape the way the compensation principle is applied.  The deductibility of compensating advantages also depends on justice, reasonableness and public policy.</w:t>
      </w:r>
    </w:p>
    <w:p w:rsidR="00FC483A" w:rsidRDefault="00FC483A" w:rsidP="00FC483A">
      <w:pPr>
        <w:pStyle w:val="SCCNormalDoubleSpacing"/>
        <w:spacing w:line="240" w:lineRule="auto"/>
        <w:rPr>
          <w:sz w:val="20"/>
        </w:rPr>
      </w:pPr>
    </w:p>
    <w:p w:rsidR="00FC483A" w:rsidRPr="005F2B50" w:rsidRDefault="00FC483A" w:rsidP="00FC483A">
      <w:pPr>
        <w:pStyle w:val="SCCNormalDoubleSpacing"/>
        <w:spacing w:line="240" w:lineRule="auto"/>
        <w:rPr>
          <w:sz w:val="20"/>
        </w:rPr>
      </w:pPr>
      <w:r w:rsidRPr="005F2B50">
        <w:rPr>
          <w:sz w:val="20"/>
        </w:rPr>
        <w:tab/>
        <w:t>Benefits received by a plaintiff through private insurance are generally not deductible from damages awards.  While there is no single marker to sort which benefits fall within the private insurance exception, the more closely the benefit is, in nature and purpose, an indemnity against the type of loss caused by the defendant’s breach, the stronger the case for deduction</w:t>
      </w:r>
      <w:r w:rsidRPr="005F2B50">
        <w:rPr>
          <w:smallCaps/>
          <w:sz w:val="20"/>
        </w:rPr>
        <w:t xml:space="preserve">.  </w:t>
      </w:r>
      <w:r w:rsidRPr="005F2B50">
        <w:rPr>
          <w:sz w:val="20"/>
        </w:rPr>
        <w:t>Whether the plaintiff has contributed to the benefit also remains a relevant consideration, although the basis for this is debatable</w:t>
      </w:r>
      <w:r w:rsidRPr="005F2B50">
        <w:rPr>
          <w:smallCaps/>
          <w:sz w:val="20"/>
        </w:rPr>
        <w:t xml:space="preserve">.  </w:t>
      </w:r>
      <w:r w:rsidRPr="005F2B50">
        <w:rPr>
          <w:sz w:val="20"/>
        </w:rPr>
        <w:t>In general, a benefit will not be deducted if it is not an indemnity for the loss caused by the breach and the plaintiff has contributed in order to obtain entitlement to it</w:t>
      </w:r>
      <w:r w:rsidRPr="005F2B50">
        <w:rPr>
          <w:smallCaps/>
          <w:sz w:val="20"/>
        </w:rPr>
        <w:t xml:space="preserve">.  </w:t>
      </w:r>
      <w:r w:rsidRPr="005F2B50">
        <w:rPr>
          <w:sz w:val="20"/>
        </w:rPr>
        <w:t xml:space="preserve">Finally, there is room in the analysis of the deduction issue for broader policy considerations such as the desirability of equal treatment of those in similar situations, the possibility of providing incentives for socially desirable conduct, and the need for clear rules that </w:t>
      </w:r>
      <w:r w:rsidRPr="005F2B50">
        <w:rPr>
          <w:sz w:val="20"/>
        </w:rPr>
        <w:lastRenderedPageBreak/>
        <w:t>are easy to apply</w:t>
      </w:r>
      <w:r w:rsidRPr="005F2B50">
        <w:rPr>
          <w:smallCaps/>
          <w:sz w:val="20"/>
        </w:rPr>
        <w:t xml:space="preserve">.  </w:t>
      </w:r>
      <w:r w:rsidRPr="005F2B50">
        <w:rPr>
          <w:sz w:val="20"/>
        </w:rPr>
        <w:t>While this exception is called the private insurance exception, it has been applied by analogy to a variety of payments that do not originate in a contract of insurance.</w:t>
      </w:r>
    </w:p>
    <w:p w:rsidR="00FC483A" w:rsidRDefault="00FC483A" w:rsidP="00FC483A">
      <w:pPr>
        <w:pStyle w:val="SCCNormalDoubleSpacing"/>
        <w:spacing w:line="240" w:lineRule="auto"/>
        <w:rPr>
          <w:sz w:val="20"/>
        </w:rPr>
      </w:pPr>
    </w:p>
    <w:p w:rsidR="00FC483A" w:rsidRPr="005F2B50" w:rsidRDefault="00FC483A" w:rsidP="00FC483A">
      <w:pPr>
        <w:pStyle w:val="SCCNormalDoubleSpacing"/>
        <w:spacing w:line="240" w:lineRule="auto"/>
        <w:rPr>
          <w:sz w:val="20"/>
        </w:rPr>
      </w:pPr>
      <w:r w:rsidRPr="005F2B50">
        <w:rPr>
          <w:sz w:val="20"/>
        </w:rPr>
        <w:tab/>
        <w:t>Although the courts have not relied on any broad “single contract” rule, where a cause of action and a benefit arise under the contract of employment, the terms of a contract and the dealings between the parties will inform the analysis.</w:t>
      </w:r>
    </w:p>
    <w:p w:rsidR="00FC483A" w:rsidRDefault="00FC483A" w:rsidP="00FC483A">
      <w:pPr>
        <w:pStyle w:val="SCCNormalDoubleSpacing"/>
        <w:spacing w:line="240" w:lineRule="auto"/>
        <w:rPr>
          <w:sz w:val="20"/>
        </w:rPr>
      </w:pPr>
    </w:p>
    <w:p w:rsidR="00FC483A" w:rsidRPr="005F2B50" w:rsidRDefault="00FC483A" w:rsidP="00FC483A">
      <w:pPr>
        <w:pStyle w:val="SCCNormalDoubleSpacing"/>
        <w:spacing w:line="240" w:lineRule="auto"/>
        <w:rPr>
          <w:sz w:val="20"/>
        </w:rPr>
      </w:pPr>
      <w:r w:rsidRPr="005F2B50">
        <w:rPr>
          <w:sz w:val="20"/>
        </w:rPr>
        <w:tab/>
        <w:t>A compensating advantage issue arises in this case:  W received his full pension benefits and the salary he would have earned had he worked during the period of reasonable notice; had IBM given him working notice, he would have received only his salary during that period</w:t>
      </w:r>
      <w:r w:rsidRPr="005F2B50">
        <w:rPr>
          <w:smallCaps/>
          <w:sz w:val="20"/>
        </w:rPr>
        <w:t xml:space="preserve">.  </w:t>
      </w:r>
      <w:r w:rsidRPr="005F2B50">
        <w:rPr>
          <w:sz w:val="20"/>
        </w:rPr>
        <w:t>However, the private insurance exception applies to benefits such as pension payments to which an employee has contributed and which were not intended to be an indemnity for the type of loss suffered as a result of the defendant’s breach</w:t>
      </w:r>
      <w:r w:rsidRPr="005F2B50">
        <w:rPr>
          <w:smallCaps/>
          <w:sz w:val="20"/>
        </w:rPr>
        <w:t xml:space="preserve">.  </w:t>
      </w:r>
      <w:r w:rsidRPr="005F2B50">
        <w:rPr>
          <w:sz w:val="20"/>
        </w:rPr>
        <w:t>As such, the compensation principle should not be applied strictly in this case.</w:t>
      </w:r>
    </w:p>
    <w:p w:rsidR="00FC483A" w:rsidRDefault="00FC483A" w:rsidP="00FC483A">
      <w:pPr>
        <w:pStyle w:val="SCCNormalDoubleSpacing"/>
        <w:spacing w:line="240" w:lineRule="auto"/>
        <w:rPr>
          <w:sz w:val="20"/>
        </w:rPr>
      </w:pPr>
    </w:p>
    <w:p w:rsidR="00FC483A" w:rsidRPr="005F2B50" w:rsidRDefault="00FC483A" w:rsidP="00FC483A">
      <w:pPr>
        <w:pStyle w:val="SCCNormalDoubleSpacing"/>
        <w:spacing w:line="240" w:lineRule="auto"/>
        <w:rPr>
          <w:sz w:val="20"/>
        </w:rPr>
      </w:pPr>
      <w:r w:rsidRPr="005F2B50">
        <w:rPr>
          <w:sz w:val="20"/>
        </w:rPr>
        <w:tab/>
        <w:t>In this case, the factors clearly support not deducting the retirement pension benefits from wrongful dismissal damages</w:t>
      </w:r>
      <w:r w:rsidRPr="005F2B50">
        <w:rPr>
          <w:smallCaps/>
          <w:sz w:val="20"/>
        </w:rPr>
        <w:t xml:space="preserve">.  </w:t>
      </w:r>
      <w:r w:rsidRPr="005F2B50">
        <w:rPr>
          <w:sz w:val="20"/>
        </w:rPr>
        <w:t xml:space="preserve">W’s contract of employment is silent on this issue, but </w:t>
      </w:r>
      <w:r w:rsidRPr="005F2B50">
        <w:rPr>
          <w:sz w:val="20"/>
          <w:lang w:val="en-US"/>
        </w:rPr>
        <w:t>it does not have any general bar against receiving full pension entitlement and employment income</w:t>
      </w:r>
      <w:r w:rsidRPr="005F2B50">
        <w:rPr>
          <w:smallCaps/>
          <w:sz w:val="20"/>
          <w:lang w:val="en-US"/>
        </w:rPr>
        <w:t xml:space="preserve">.  </w:t>
      </w:r>
      <w:r w:rsidRPr="005F2B50">
        <w:rPr>
          <w:sz w:val="20"/>
        </w:rPr>
        <w:t>W’s retirement pension is not an indemnity for wage loss, but rather a form of retirement savings</w:t>
      </w:r>
      <w:r w:rsidRPr="005F2B50">
        <w:rPr>
          <w:smallCaps/>
          <w:sz w:val="20"/>
        </w:rPr>
        <w:t xml:space="preserve">.  </w:t>
      </w:r>
      <w:r w:rsidRPr="005F2B50">
        <w:rPr>
          <w:sz w:val="20"/>
        </w:rPr>
        <w:t>While IBM made all of the contributions to fund the plan, W earned his entitlement to benefits through his years of service, as the plan’s primary purpose is to provide periodic pension payments to eligible employees after retirement in respect of their service as employees</w:t>
      </w:r>
      <w:r w:rsidRPr="005F2B50">
        <w:rPr>
          <w:smallCaps/>
          <w:sz w:val="20"/>
        </w:rPr>
        <w:t xml:space="preserve">.  </w:t>
      </w:r>
      <w:r w:rsidRPr="005F2B50">
        <w:rPr>
          <w:sz w:val="20"/>
        </w:rPr>
        <w:t>Thus, this case falls into the category of cases in which the insurance exception has always been applied — the benefit is not an indemnity and W contributed to the benefit.</w:t>
      </w:r>
    </w:p>
    <w:p w:rsidR="00FC483A" w:rsidRDefault="00FC483A" w:rsidP="00FC483A">
      <w:pPr>
        <w:pStyle w:val="SCCNormalDoubleSpacing"/>
        <w:spacing w:line="240" w:lineRule="auto"/>
        <w:rPr>
          <w:sz w:val="20"/>
        </w:rPr>
      </w:pPr>
    </w:p>
    <w:p w:rsidR="00FC483A" w:rsidRPr="005F2B50" w:rsidRDefault="00FC483A" w:rsidP="00FC483A">
      <w:pPr>
        <w:pStyle w:val="SCCNormalDoubleSpacing"/>
        <w:spacing w:line="240" w:lineRule="auto"/>
        <w:rPr>
          <w:sz w:val="20"/>
        </w:rPr>
      </w:pPr>
      <w:r w:rsidRPr="005F2B50">
        <w:rPr>
          <w:sz w:val="20"/>
        </w:rPr>
        <w:tab/>
        <w:t xml:space="preserve">Although </w:t>
      </w:r>
      <w:r w:rsidRPr="005F2B50">
        <w:rPr>
          <w:i/>
          <w:sz w:val="20"/>
        </w:rPr>
        <w:t>Sylvester</w:t>
      </w:r>
      <w:r w:rsidRPr="005F2B50">
        <w:rPr>
          <w:sz w:val="20"/>
        </w:rPr>
        <w:t xml:space="preserve"> </w:t>
      </w:r>
      <w:r w:rsidRPr="005F2B50">
        <w:rPr>
          <w:i/>
          <w:sz w:val="20"/>
        </w:rPr>
        <w:t>v. British Columbia</w:t>
      </w:r>
      <w:r w:rsidRPr="005F2B50">
        <w:rPr>
          <w:sz w:val="20"/>
        </w:rPr>
        <w:t>, [1997] 2 S.C.R. 315, is distinguishable on the facts, the factors it sets out support the conclusion that W’s benefits should not be deducted from his wrongful dismissal damages</w:t>
      </w:r>
      <w:r w:rsidRPr="005F2B50">
        <w:rPr>
          <w:smallCaps/>
          <w:sz w:val="20"/>
        </w:rPr>
        <w:t xml:space="preserve">.  </w:t>
      </w:r>
      <w:r w:rsidRPr="005F2B50">
        <w:rPr>
          <w:sz w:val="20"/>
        </w:rPr>
        <w:t>The pension benefits were clearly not an indemnity benefit for loss of salary due to inability to work, and W’s interest in the pension bears many of the hallmarks of a property right</w:t>
      </w:r>
      <w:r w:rsidRPr="005F2B50">
        <w:rPr>
          <w:smallCaps/>
          <w:sz w:val="20"/>
        </w:rPr>
        <w:t xml:space="preserve">.  </w:t>
      </w:r>
      <w:r w:rsidRPr="005F2B50">
        <w:rPr>
          <w:sz w:val="20"/>
        </w:rPr>
        <w:t>Looking at the contract as a whole, it is not a fair implication that the parties agreed that pension entitlements should be deducted from wrongful dismissal damages.</w:t>
      </w:r>
    </w:p>
    <w:p w:rsidR="00FC483A" w:rsidRDefault="00FC483A" w:rsidP="00FC483A">
      <w:pPr>
        <w:pStyle w:val="SCCNormalDoubleSpacing"/>
        <w:spacing w:line="240" w:lineRule="auto"/>
        <w:rPr>
          <w:sz w:val="20"/>
        </w:rPr>
      </w:pPr>
    </w:p>
    <w:p w:rsidR="00FC483A" w:rsidRPr="005F2B50" w:rsidRDefault="00FC483A" w:rsidP="00FC483A">
      <w:pPr>
        <w:pStyle w:val="SCCNormalDoubleSpacing"/>
        <w:spacing w:line="240" w:lineRule="auto"/>
        <w:rPr>
          <w:sz w:val="20"/>
        </w:rPr>
      </w:pPr>
      <w:r w:rsidRPr="005F2B50">
        <w:rPr>
          <w:sz w:val="20"/>
        </w:rPr>
        <w:tab/>
        <w:t>Finally, the broader policy concerns in this case support not deducting the pension benefits</w:t>
      </w:r>
      <w:r w:rsidRPr="005F2B50">
        <w:rPr>
          <w:smallCaps/>
          <w:sz w:val="20"/>
        </w:rPr>
        <w:t xml:space="preserve">.  </w:t>
      </w:r>
      <w:r w:rsidRPr="005F2B50">
        <w:rPr>
          <w:sz w:val="20"/>
        </w:rPr>
        <w:t>The law should not provide an economic incentive to dismiss pensionable employees rather than other employees</w:t>
      </w:r>
      <w:r w:rsidRPr="005F2B50">
        <w:rPr>
          <w:smallCaps/>
          <w:sz w:val="20"/>
        </w:rPr>
        <w:t xml:space="preserve">.  </w:t>
      </w:r>
      <w:r w:rsidRPr="005F2B50">
        <w:rPr>
          <w:sz w:val="20"/>
        </w:rPr>
        <w:t xml:space="preserve">The other policy concerns raised by Justice Rothstein or present in </w:t>
      </w:r>
      <w:r w:rsidRPr="005F2B50">
        <w:rPr>
          <w:i/>
          <w:sz w:val="20"/>
        </w:rPr>
        <w:t>Sylvester</w:t>
      </w:r>
      <w:r w:rsidRPr="005F2B50">
        <w:rPr>
          <w:sz w:val="20"/>
        </w:rPr>
        <w:t xml:space="preserve"> either do not arise here or are highly speculative.</w:t>
      </w:r>
    </w:p>
    <w:p w:rsidR="00FC483A" w:rsidRDefault="00FC483A" w:rsidP="00FC483A">
      <w:pPr>
        <w:pStyle w:val="SCCNormalDoubleSpacing"/>
        <w:spacing w:line="240" w:lineRule="auto"/>
        <w:rPr>
          <w:i/>
          <w:sz w:val="20"/>
        </w:rPr>
      </w:pPr>
    </w:p>
    <w:p w:rsidR="00FC483A" w:rsidRPr="005F2B50" w:rsidRDefault="00FC483A" w:rsidP="00FC483A">
      <w:pPr>
        <w:pStyle w:val="SCCNormalDoubleSpacing"/>
        <w:spacing w:line="240" w:lineRule="auto"/>
        <w:rPr>
          <w:sz w:val="20"/>
        </w:rPr>
      </w:pPr>
      <w:r w:rsidRPr="005F2B50">
        <w:rPr>
          <w:i/>
          <w:sz w:val="20"/>
        </w:rPr>
        <w:tab/>
        <w:t>Per</w:t>
      </w:r>
      <w:r w:rsidRPr="005F2B50">
        <w:rPr>
          <w:sz w:val="20"/>
        </w:rPr>
        <w:t xml:space="preserve"> McLachlin C.J. and </w:t>
      </w:r>
      <w:r w:rsidRPr="005F2B50">
        <w:rPr>
          <w:b/>
          <w:sz w:val="20"/>
        </w:rPr>
        <w:t>Rothstein </w:t>
      </w:r>
      <w:r w:rsidRPr="005F2B50">
        <w:rPr>
          <w:sz w:val="20"/>
        </w:rPr>
        <w:t>J. (dissenting):  This case requires an assessment of W’s loss under the terms of a single contract which gave rise to both a right to reasonable notice and a right to pension benefits.  The private insurance exception has no application to such a case</w:t>
      </w:r>
      <w:r w:rsidRPr="005F2B50">
        <w:rPr>
          <w:smallCaps/>
          <w:sz w:val="20"/>
        </w:rPr>
        <w:t xml:space="preserve">.  </w:t>
      </w:r>
      <w:r w:rsidRPr="005F2B50">
        <w:rPr>
          <w:sz w:val="20"/>
        </w:rPr>
        <w:t>Where a court is called upon to assess loss under a single contract, the plaintiff’s entitlement turns on the ordinary governing principle that he should be put in the position he would have been in had the contract been performed</w:t>
      </w:r>
      <w:r w:rsidRPr="005F2B50">
        <w:rPr>
          <w:smallCaps/>
          <w:sz w:val="20"/>
        </w:rPr>
        <w:t xml:space="preserve">.  </w:t>
      </w:r>
      <w:r w:rsidRPr="005F2B50">
        <w:rPr>
          <w:sz w:val="20"/>
        </w:rPr>
        <w:t>In this case, that means that the pension benefits W received must be deducted in calculating his damages for wrongful dismissal; not deducting would give W more than he bargained for and would charge IBM more than it agreed to pay.</w:t>
      </w:r>
    </w:p>
    <w:p w:rsidR="00FC483A" w:rsidRDefault="00FC483A" w:rsidP="00FC483A">
      <w:pPr>
        <w:pStyle w:val="SCCNormalDoubleSpacing"/>
        <w:spacing w:line="240" w:lineRule="auto"/>
        <w:rPr>
          <w:sz w:val="20"/>
        </w:rPr>
      </w:pPr>
    </w:p>
    <w:p w:rsidR="00FC483A" w:rsidRPr="005F2B50" w:rsidRDefault="00FC483A" w:rsidP="00FC483A">
      <w:pPr>
        <w:pStyle w:val="SCCNormalDoubleSpacing"/>
        <w:spacing w:line="240" w:lineRule="auto"/>
        <w:rPr>
          <w:sz w:val="20"/>
        </w:rPr>
      </w:pPr>
      <w:r w:rsidRPr="005F2B50">
        <w:rPr>
          <w:sz w:val="20"/>
        </w:rPr>
        <w:tab/>
        <w:t>The governing principle for damages upon breach of contract is that the non</w:t>
      </w:r>
      <w:r w:rsidRPr="005F2B50">
        <w:rPr>
          <w:sz w:val="20"/>
        </w:rPr>
        <w:noBreakHyphen/>
        <w:t>breaching party should be provided with the financial equivalent of performance</w:t>
      </w:r>
      <w:r w:rsidRPr="005F2B50">
        <w:rPr>
          <w:smallCaps/>
          <w:sz w:val="20"/>
        </w:rPr>
        <w:t xml:space="preserve">. </w:t>
      </w:r>
      <w:r w:rsidRPr="005F2B50">
        <w:rPr>
          <w:sz w:val="20"/>
        </w:rPr>
        <w:t xml:space="preserve"> Employer</w:t>
      </w:r>
      <w:r w:rsidRPr="005F2B50">
        <w:rPr>
          <w:sz w:val="20"/>
        </w:rPr>
        <w:noBreakHyphen/>
        <w:t>provided benefits are integral components of the employment contract, so deductibility turns on the terms of the employment contract and the intention of the parties</w:t>
      </w:r>
      <w:r w:rsidRPr="005F2B50">
        <w:rPr>
          <w:smallCaps/>
          <w:sz w:val="20"/>
        </w:rPr>
        <w:t xml:space="preserve">.  </w:t>
      </w:r>
      <w:r w:rsidRPr="005F2B50">
        <w:rPr>
          <w:sz w:val="20"/>
        </w:rPr>
        <w:t>Under the terms of W’s employment contract, he would have been eligible to receive pension benefits only upon being terminated or retiring</w:t>
      </w:r>
      <w:r w:rsidRPr="005F2B50">
        <w:rPr>
          <w:smallCaps/>
          <w:sz w:val="20"/>
        </w:rPr>
        <w:t xml:space="preserve">.  </w:t>
      </w:r>
      <w:r w:rsidRPr="005F2B50">
        <w:rPr>
          <w:sz w:val="20"/>
        </w:rPr>
        <w:t xml:space="preserve">Therefore, as in </w:t>
      </w:r>
      <w:r w:rsidRPr="005F2B50">
        <w:rPr>
          <w:i/>
          <w:sz w:val="20"/>
        </w:rPr>
        <w:t>Sylvester</w:t>
      </w:r>
      <w:r w:rsidRPr="005F2B50">
        <w:rPr>
          <w:sz w:val="20"/>
        </w:rPr>
        <w:t>, W’s contractual right to wrongful dismissal damages and his contractual right to his pension are based on opposite assumptions about his availability to work.  Damages cannot be paid on the assumption that he could have earned both.</w:t>
      </w:r>
    </w:p>
    <w:p w:rsidR="00FC483A" w:rsidRDefault="00FC483A" w:rsidP="00FC483A">
      <w:pPr>
        <w:pStyle w:val="SCCNormalDoubleSpacing"/>
        <w:spacing w:line="240" w:lineRule="auto"/>
        <w:rPr>
          <w:sz w:val="20"/>
        </w:rPr>
      </w:pPr>
    </w:p>
    <w:p w:rsidR="00FC483A" w:rsidRPr="005F2B50" w:rsidRDefault="00FC483A" w:rsidP="00FC483A">
      <w:pPr>
        <w:pStyle w:val="SCCNormalDoubleSpacing"/>
        <w:spacing w:line="240" w:lineRule="auto"/>
        <w:rPr>
          <w:sz w:val="20"/>
        </w:rPr>
      </w:pPr>
      <w:r w:rsidRPr="005F2B50">
        <w:rPr>
          <w:sz w:val="20"/>
        </w:rPr>
        <w:tab/>
        <w:t>This conclusion is necessitated by the fact that the pension plan at issue here is a defined benefit plan</w:t>
      </w:r>
      <w:r w:rsidRPr="005F2B50">
        <w:rPr>
          <w:smallCaps/>
          <w:sz w:val="20"/>
        </w:rPr>
        <w:t xml:space="preserve">.  </w:t>
      </w:r>
      <w:r w:rsidRPr="005F2B50">
        <w:rPr>
          <w:sz w:val="20"/>
        </w:rPr>
        <w:t>Unlike a defined contribution plan, a defined benefit plan guarantees the employee fixed predetermined payments upon retirement for life</w:t>
      </w:r>
      <w:r w:rsidRPr="005F2B50">
        <w:rPr>
          <w:smallCaps/>
          <w:sz w:val="20"/>
        </w:rPr>
        <w:t xml:space="preserve">.  </w:t>
      </w:r>
      <w:r w:rsidRPr="005F2B50">
        <w:rPr>
          <w:sz w:val="20"/>
        </w:rPr>
        <w:t xml:space="preserve">Deducting the benefits would provide the wrongfully terminated employee with exactly what he would have received had the employment contract been performed: an amount equal to his salary during the reasonable notice period and thereafter defined benefits for the rest of his life. </w:t>
      </w:r>
    </w:p>
    <w:p w:rsidR="00FC483A" w:rsidRDefault="00FC483A" w:rsidP="00FC483A">
      <w:pPr>
        <w:pStyle w:val="SCCNormalDoubleSpacing"/>
        <w:spacing w:line="240" w:lineRule="auto"/>
        <w:rPr>
          <w:sz w:val="20"/>
        </w:rPr>
      </w:pPr>
    </w:p>
    <w:p w:rsidR="00FC483A" w:rsidRPr="005F2B50" w:rsidRDefault="00FC483A" w:rsidP="00FC483A">
      <w:pPr>
        <w:pStyle w:val="SCCNormalDoubleSpacing"/>
        <w:spacing w:line="240" w:lineRule="auto"/>
        <w:rPr>
          <w:sz w:val="20"/>
        </w:rPr>
      </w:pPr>
      <w:r w:rsidRPr="005F2B50">
        <w:rPr>
          <w:sz w:val="20"/>
        </w:rPr>
        <w:lastRenderedPageBreak/>
        <w:tab/>
        <w:t>This is materially different from a defined contribution plan, which provides an employee with a finite total amount or lump sum of retirement benefits.  Deducting benefits that a wrongfully terminated employee receives from a defined contribution plan would leave the employee in a worse position that he would have been in had his employment contract not been breached.</w:t>
      </w:r>
    </w:p>
    <w:p w:rsidR="00FC483A" w:rsidRDefault="00FC483A" w:rsidP="00FC483A">
      <w:pPr>
        <w:pStyle w:val="SCCNormalDoubleSpacing"/>
        <w:spacing w:line="240" w:lineRule="auto"/>
        <w:rPr>
          <w:sz w:val="20"/>
        </w:rPr>
      </w:pPr>
    </w:p>
    <w:p w:rsidR="00FC483A" w:rsidRPr="005F2B50" w:rsidRDefault="00FC483A" w:rsidP="00FC483A">
      <w:pPr>
        <w:pStyle w:val="SCCNormalDoubleSpacing"/>
        <w:spacing w:line="240" w:lineRule="auto"/>
        <w:rPr>
          <w:sz w:val="20"/>
        </w:rPr>
      </w:pPr>
      <w:r w:rsidRPr="005F2B50">
        <w:rPr>
          <w:sz w:val="20"/>
        </w:rPr>
        <w:tab/>
        <w:t>In this case, W’s wrongful dismissal had no impact on his pension entitlement, and he could not have received both his salary and his pension benefits had he continued to work for IBM through the reasonable notice period</w:t>
      </w:r>
      <w:r w:rsidRPr="005F2B50">
        <w:rPr>
          <w:smallCaps/>
          <w:sz w:val="20"/>
        </w:rPr>
        <w:t xml:space="preserve">.  </w:t>
      </w:r>
      <w:r w:rsidRPr="005F2B50">
        <w:rPr>
          <w:sz w:val="20"/>
        </w:rPr>
        <w:t>Whether the benefit is non</w:t>
      </w:r>
      <w:r w:rsidRPr="005F2B50">
        <w:rPr>
          <w:sz w:val="20"/>
        </w:rPr>
        <w:noBreakHyphen/>
        <w:t>indemnity or contributory does not answer the question of whether the plaintiff will be provided with the financial equivalent of performance or will receive excess recovery under the governing principle of contract damages.</w:t>
      </w:r>
    </w:p>
    <w:p w:rsidR="00FC483A" w:rsidRDefault="00FC483A" w:rsidP="00FC483A">
      <w:pPr>
        <w:pStyle w:val="SCCNormalDoubleSpacing"/>
        <w:spacing w:line="240" w:lineRule="auto"/>
        <w:rPr>
          <w:sz w:val="20"/>
        </w:rPr>
      </w:pPr>
    </w:p>
    <w:p w:rsidR="00FC483A" w:rsidRDefault="00FC483A" w:rsidP="00FC483A">
      <w:pPr>
        <w:pStyle w:val="SCCNormalDoubleSpacing"/>
        <w:spacing w:line="240" w:lineRule="auto"/>
        <w:rPr>
          <w:sz w:val="20"/>
        </w:rPr>
      </w:pPr>
      <w:r w:rsidRPr="005F2B50">
        <w:rPr>
          <w:sz w:val="20"/>
        </w:rPr>
        <w:tab/>
        <w:t>Furthermore, the private insurance exception is not applicable to cases that involve a single contract that is the source of both the plaintiff’s cause of action and his right to a particular benefit.  In such circumstances, there is no justification for resorting to the private insurance exception because the plaintiff’s entitlement to the benefits is established based on the terms of his contract</w:t>
      </w:r>
      <w:r w:rsidRPr="005F2B50">
        <w:rPr>
          <w:smallCaps/>
          <w:sz w:val="20"/>
        </w:rPr>
        <w:t xml:space="preserve">.  </w:t>
      </w:r>
      <w:r w:rsidRPr="005F2B50">
        <w:rPr>
          <w:sz w:val="20"/>
        </w:rPr>
        <w:t xml:space="preserve">If the plaintiff is entitled to the benefits under his contract, he will receive the benefits based on the ordinary governing principle that he should be placed in the position he would have been in had the contract been performed.  There will be no need to reach the collateral benefit exception.  A straightforward reading of </w:t>
      </w:r>
      <w:r w:rsidRPr="005F2B50">
        <w:rPr>
          <w:i/>
          <w:sz w:val="20"/>
        </w:rPr>
        <w:t>Sylvester</w:t>
      </w:r>
      <w:r w:rsidRPr="005F2B50">
        <w:rPr>
          <w:sz w:val="20"/>
        </w:rPr>
        <w:t xml:space="preserve"> demonstrates that it is a fully applicable authority supporting the proposition that, under a single contract of employment, barring contractual provisions to the contrary, an individual cannot receive salary as if he is working and pension benefits as if he is retired</w:t>
      </w:r>
      <w:r w:rsidRPr="005F2B50">
        <w:rPr>
          <w:smallCaps/>
          <w:sz w:val="20"/>
        </w:rPr>
        <w:t xml:space="preserve">.  </w:t>
      </w:r>
      <w:r w:rsidRPr="005F2B50">
        <w:rPr>
          <w:sz w:val="20"/>
        </w:rPr>
        <w:t xml:space="preserve">These are opposite, incompatible assumptions.  Thus, applying </w:t>
      </w:r>
      <w:r w:rsidRPr="005F2B50">
        <w:rPr>
          <w:i/>
          <w:sz w:val="20"/>
        </w:rPr>
        <w:t xml:space="preserve">Sylvester </w:t>
      </w:r>
      <w:r w:rsidRPr="005F2B50">
        <w:rPr>
          <w:sz w:val="20"/>
        </w:rPr>
        <w:t>to this case, salary and pension income are not payable at the same time.</w:t>
      </w:r>
    </w:p>
    <w:p w:rsidR="00FC483A" w:rsidRDefault="00FC483A" w:rsidP="00FC483A">
      <w:pPr>
        <w:pStyle w:val="SCCNormalDoubleSpacing"/>
        <w:spacing w:line="240" w:lineRule="auto"/>
        <w:rPr>
          <w:sz w:val="20"/>
        </w:rPr>
      </w:pPr>
    </w:p>
    <w:p w:rsidR="00FC483A" w:rsidRPr="005F2B50" w:rsidRDefault="00DB0B47" w:rsidP="00FC483A">
      <w:pPr>
        <w:pStyle w:val="SCCNormalDoubleSpacing"/>
        <w:spacing w:line="240" w:lineRule="auto"/>
        <w:rPr>
          <w:sz w:val="20"/>
        </w:rPr>
      </w:pPr>
      <w:r w:rsidRPr="008F1EF0">
        <w:rPr>
          <w:sz w:val="20"/>
        </w:rPr>
        <w:tab/>
        <w:t>APPEAL from a judgment of the British Columbia Court of Appeal (Finch C.J. and Prowse and Levine JJ.A.), 2011 BCCA 337, 20 B.C.L.R. (5th) 241, 308 B.C.A.C. 304, 521 W.A.C. 304, 336 D.L.R. (4th) 481, [2011] 10 W.W.R. 425, 91 C.C.P.B. 60, 92 C.C.E.L. (3d) 289, [2011] B.C.J. No. 1453 (QL), 2011 CarswellBC 2023, affirming a decision of Goepel J., 2010 BCSC 376, 2010 CLLC ¶210</w:t>
      </w:r>
      <w:r w:rsidRPr="008F1EF0">
        <w:rPr>
          <w:sz w:val="20"/>
        </w:rPr>
        <w:noBreakHyphen/>
        <w:t>021, [2010] B.C.J. No. 510 (QL), 2010 CarswellBC 679.  Appeal dismissed, McLachlin C.J. and Rothstein J. dissenting.</w:t>
      </w:r>
    </w:p>
    <w:p w:rsidR="00FC483A" w:rsidRDefault="00FC483A" w:rsidP="00FC483A">
      <w:pPr>
        <w:pStyle w:val="SCCNormalDoubleSpacing"/>
        <w:spacing w:line="240" w:lineRule="auto"/>
        <w:rPr>
          <w:i/>
          <w:sz w:val="20"/>
        </w:rPr>
      </w:pPr>
    </w:p>
    <w:p w:rsidR="00FC483A" w:rsidRPr="005F2B50" w:rsidRDefault="00FC483A" w:rsidP="00FC483A">
      <w:pPr>
        <w:pStyle w:val="SCCNormalDoubleSpacing"/>
        <w:spacing w:line="240" w:lineRule="auto"/>
        <w:rPr>
          <w:sz w:val="20"/>
        </w:rPr>
      </w:pPr>
      <w:r w:rsidRPr="005F2B50">
        <w:rPr>
          <w:i/>
          <w:sz w:val="20"/>
        </w:rPr>
        <w:tab/>
        <w:t>D. Geoffrey Cowper</w:t>
      </w:r>
      <w:r w:rsidRPr="005F2B50">
        <w:rPr>
          <w:sz w:val="20"/>
        </w:rPr>
        <w:t xml:space="preserve">, </w:t>
      </w:r>
      <w:r w:rsidRPr="005F2B50">
        <w:rPr>
          <w:i/>
          <w:sz w:val="20"/>
        </w:rPr>
        <w:t>Q.C.</w:t>
      </w:r>
      <w:r w:rsidRPr="005F2B50">
        <w:rPr>
          <w:sz w:val="20"/>
        </w:rPr>
        <w:t xml:space="preserve">, and </w:t>
      </w:r>
      <w:r w:rsidRPr="005F2B50">
        <w:rPr>
          <w:i/>
          <w:sz w:val="20"/>
        </w:rPr>
        <w:t>Lorene A. Novakowski</w:t>
      </w:r>
      <w:r w:rsidRPr="005F2B50">
        <w:rPr>
          <w:sz w:val="20"/>
        </w:rPr>
        <w:t>, for the appellant.</w:t>
      </w:r>
    </w:p>
    <w:p w:rsidR="00FC483A" w:rsidRDefault="00FC483A" w:rsidP="00FC483A">
      <w:pPr>
        <w:pStyle w:val="SCCNormalDoubleSpacing"/>
        <w:spacing w:line="240" w:lineRule="auto"/>
        <w:rPr>
          <w:i/>
          <w:sz w:val="20"/>
        </w:rPr>
      </w:pPr>
    </w:p>
    <w:p w:rsidR="00FC483A" w:rsidRPr="005F2B50" w:rsidRDefault="00FC483A" w:rsidP="00FC483A">
      <w:pPr>
        <w:pStyle w:val="SCCNormalDoubleSpacing"/>
        <w:spacing w:line="240" w:lineRule="auto"/>
        <w:rPr>
          <w:sz w:val="20"/>
        </w:rPr>
      </w:pPr>
      <w:r w:rsidRPr="005F2B50">
        <w:rPr>
          <w:i/>
          <w:sz w:val="20"/>
        </w:rPr>
        <w:tab/>
        <w:t>Christopher J. Watson</w:t>
      </w:r>
      <w:r w:rsidRPr="005F2B50">
        <w:rPr>
          <w:sz w:val="20"/>
        </w:rPr>
        <w:t xml:space="preserve"> and </w:t>
      </w:r>
      <w:r w:rsidRPr="005F2B50">
        <w:rPr>
          <w:i/>
          <w:sz w:val="20"/>
        </w:rPr>
        <w:t>Matthew G. Siren</w:t>
      </w:r>
      <w:r w:rsidRPr="005F2B50">
        <w:rPr>
          <w:sz w:val="20"/>
        </w:rPr>
        <w:t>, for the respondent.</w:t>
      </w:r>
    </w:p>
    <w:p w:rsidR="00FC483A" w:rsidRDefault="00FC483A" w:rsidP="00FC483A">
      <w:pPr>
        <w:pStyle w:val="SCCLawFirm"/>
        <w:spacing w:line="240" w:lineRule="auto"/>
        <w:rPr>
          <w:sz w:val="20"/>
        </w:rPr>
      </w:pPr>
    </w:p>
    <w:p w:rsidR="00FC483A" w:rsidRPr="00FC483A" w:rsidRDefault="00FC483A" w:rsidP="00FC483A">
      <w:pPr>
        <w:pStyle w:val="SCCLawFirm"/>
        <w:spacing w:line="240" w:lineRule="auto"/>
        <w:rPr>
          <w:sz w:val="20"/>
          <w:lang w:val="fr-CA"/>
        </w:rPr>
      </w:pPr>
      <w:r w:rsidRPr="005F2B50">
        <w:rPr>
          <w:sz w:val="20"/>
        </w:rPr>
        <w:tab/>
      </w:r>
      <w:r w:rsidRPr="00FC483A">
        <w:rPr>
          <w:sz w:val="20"/>
          <w:lang w:val="fr-CA"/>
        </w:rPr>
        <w:t>Solicitors for the appellant:  Fasken Martineau DuMoulin, Vancouver.</w:t>
      </w:r>
    </w:p>
    <w:p w:rsidR="00FC483A" w:rsidRPr="00FC483A" w:rsidRDefault="00FC483A" w:rsidP="00FC483A">
      <w:pPr>
        <w:pStyle w:val="SCCLawFirm"/>
        <w:spacing w:line="240" w:lineRule="auto"/>
        <w:rPr>
          <w:sz w:val="20"/>
          <w:lang w:val="fr-CA"/>
        </w:rPr>
      </w:pPr>
    </w:p>
    <w:p w:rsidR="00FC483A" w:rsidRPr="00FC483A" w:rsidRDefault="00FC483A" w:rsidP="00FC483A">
      <w:pPr>
        <w:pStyle w:val="SCCLawFirm"/>
        <w:spacing w:line="240" w:lineRule="auto"/>
        <w:rPr>
          <w:sz w:val="20"/>
          <w:lang w:val="fr-CA"/>
        </w:rPr>
      </w:pPr>
      <w:r w:rsidRPr="00FC483A">
        <w:rPr>
          <w:sz w:val="20"/>
          <w:lang w:val="fr-CA"/>
        </w:rPr>
        <w:tab/>
        <w:t>Solicitors for the respondent:  MacKenzie Fujisawa, Vancouver.</w:t>
      </w:r>
    </w:p>
    <w:p w:rsidR="00902E51" w:rsidRPr="00FC483A" w:rsidRDefault="00902E51" w:rsidP="00902E51">
      <w:pPr>
        <w:rPr>
          <w:sz w:val="20"/>
          <w:szCs w:val="20"/>
          <w:lang w:val="fr-CA"/>
        </w:rPr>
      </w:pPr>
      <w:r w:rsidRPr="00FC483A">
        <w:rPr>
          <w:sz w:val="20"/>
          <w:szCs w:val="20"/>
          <w:lang w:val="fr-CA"/>
        </w:rPr>
        <w:t>________________________</w:t>
      </w:r>
    </w:p>
    <w:p w:rsidR="00902E51" w:rsidRPr="00FC483A" w:rsidRDefault="00902E51" w:rsidP="00902E51">
      <w:pPr>
        <w:rPr>
          <w:sz w:val="20"/>
          <w:szCs w:val="20"/>
          <w:lang w:val="fr-CA"/>
        </w:rPr>
      </w:pPr>
    </w:p>
    <w:p w:rsidR="00FC483A" w:rsidRPr="00731F3E" w:rsidRDefault="00FC483A" w:rsidP="00FC483A">
      <w:pPr>
        <w:jc w:val="both"/>
        <w:rPr>
          <w:sz w:val="20"/>
          <w:szCs w:val="20"/>
          <w:lang w:val="fr-CA"/>
        </w:rPr>
      </w:pPr>
      <w:r w:rsidRPr="00731F3E">
        <w:rPr>
          <w:sz w:val="20"/>
          <w:szCs w:val="20"/>
          <w:lang w:val="fr-CA"/>
        </w:rPr>
        <w:t>Présents : La juge en chef McLachlin et les juges LeBel, Fish, Abella, Rothstein, Cromwell, Moldaver, Karakatsanis et Wagner.</w:t>
      </w:r>
    </w:p>
    <w:p w:rsidR="00FC483A" w:rsidRDefault="00FC483A" w:rsidP="00FC483A">
      <w:pPr>
        <w:jc w:val="both"/>
        <w:rPr>
          <w:smallCaps/>
          <w:sz w:val="20"/>
          <w:lang w:val="fr-CA"/>
        </w:rPr>
      </w:pPr>
    </w:p>
    <w:p w:rsidR="00FC483A" w:rsidRPr="00731F3E" w:rsidRDefault="00FC483A" w:rsidP="00FC483A">
      <w:pPr>
        <w:pStyle w:val="SCCNormalDoubleSpacing"/>
        <w:spacing w:line="240" w:lineRule="auto"/>
        <w:rPr>
          <w:sz w:val="20"/>
          <w:lang w:val="fr-CA"/>
        </w:rPr>
      </w:pPr>
      <w:r w:rsidRPr="00731F3E">
        <w:rPr>
          <w:sz w:val="20"/>
          <w:lang w:val="fr-CA"/>
        </w:rPr>
        <w:tab/>
      </w:r>
      <w:r w:rsidRPr="00731F3E">
        <w:rPr>
          <w:i/>
          <w:sz w:val="20"/>
          <w:lang w:val="fr-CA"/>
        </w:rPr>
        <w:t>Droit de l’emploi — Congédiement injustifié — Dommages</w:t>
      </w:r>
      <w:r w:rsidRPr="00731F3E">
        <w:rPr>
          <w:i/>
          <w:sz w:val="20"/>
          <w:lang w:val="fr-CA"/>
        </w:rPr>
        <w:noBreakHyphen/>
        <w:t>intérêts — Avantage compensatoire — Employé congédié touchant des prestations de retraite à compter de son congédiement — Juge de première instance estimant approprié un préavis de 20 mois sans déduction des prestations de retraite reçues — Les prestations de retraite constituent</w:t>
      </w:r>
      <w:r w:rsidRPr="00731F3E">
        <w:rPr>
          <w:i/>
          <w:sz w:val="20"/>
          <w:lang w:val="fr-CA"/>
        </w:rPr>
        <w:noBreakHyphen/>
        <w:t>elles un avantage compensatoire? — Les prestations de retraite devraient</w:t>
      </w:r>
      <w:r w:rsidRPr="00731F3E">
        <w:rPr>
          <w:i/>
          <w:sz w:val="20"/>
          <w:lang w:val="fr-CA"/>
        </w:rPr>
        <w:noBreakHyphen/>
        <w:t>elles être déduites des dommages</w:t>
      </w:r>
      <w:r w:rsidRPr="00731F3E">
        <w:rPr>
          <w:i/>
          <w:sz w:val="20"/>
          <w:lang w:val="fr-CA"/>
        </w:rPr>
        <w:noBreakHyphen/>
        <w:t>intérêts accordés pour congédiement injustifié?</w:t>
      </w:r>
      <w:r w:rsidRPr="00731F3E">
        <w:rPr>
          <w:sz w:val="20"/>
          <w:lang w:val="fr-CA"/>
        </w:rPr>
        <w:t xml:space="preserve"> </w:t>
      </w:r>
    </w:p>
    <w:p w:rsidR="00FC483A" w:rsidRDefault="00FC483A" w:rsidP="00FC483A">
      <w:pPr>
        <w:pStyle w:val="SCCNormalDoubleSpacing"/>
        <w:spacing w:line="240" w:lineRule="auto"/>
        <w:rPr>
          <w:sz w:val="20"/>
          <w:lang w:val="fr-CA"/>
        </w:rPr>
      </w:pPr>
    </w:p>
    <w:p w:rsidR="00FC483A" w:rsidRPr="00731F3E" w:rsidRDefault="00FC483A" w:rsidP="00FC483A">
      <w:pPr>
        <w:pStyle w:val="SCCNormalDoubleSpacing"/>
        <w:spacing w:line="240" w:lineRule="auto"/>
        <w:rPr>
          <w:sz w:val="20"/>
          <w:lang w:val="fr-CA"/>
        </w:rPr>
      </w:pPr>
      <w:r w:rsidRPr="00731F3E">
        <w:rPr>
          <w:sz w:val="20"/>
          <w:lang w:val="fr-CA"/>
        </w:rPr>
        <w:tab/>
        <w:t>IBM a congédié W sans motif valable en lui donnant un préavis de deux mois.  W était alors âgé de 65 ans, comptait 42 années de service et avait un intérêt acquis dans le régime de retraite à prestations déterminées d’IBM.  Aux termes du régime, IBM versait au nom de W un pourcentage de son salaire à la caisse de retraite.  Au moment de son congédiement, W était admissible à une pension maximale et son congédiement n’avait aucune incidence sur le montant de ses prestations de retraite.</w:t>
      </w:r>
    </w:p>
    <w:p w:rsidR="00FC483A" w:rsidRDefault="00FC483A" w:rsidP="00FC483A">
      <w:pPr>
        <w:pStyle w:val="SCCNormalDoubleSpacing"/>
        <w:spacing w:line="240" w:lineRule="auto"/>
        <w:rPr>
          <w:sz w:val="20"/>
          <w:lang w:val="fr-CA"/>
        </w:rPr>
      </w:pPr>
    </w:p>
    <w:p w:rsidR="00FC483A" w:rsidRPr="00731F3E" w:rsidRDefault="00FC483A" w:rsidP="00FC483A">
      <w:pPr>
        <w:pStyle w:val="SCCNormalDoubleSpacing"/>
        <w:spacing w:line="240" w:lineRule="auto"/>
        <w:rPr>
          <w:sz w:val="20"/>
          <w:lang w:val="fr-CA"/>
        </w:rPr>
      </w:pPr>
      <w:r w:rsidRPr="00731F3E">
        <w:rPr>
          <w:sz w:val="20"/>
          <w:lang w:val="fr-CA"/>
        </w:rPr>
        <w:tab/>
        <w:t xml:space="preserve">W a intenté une action en justice pour en vue de faire reconnaître son droit contractuel à un préavis raisonnable.  Le juge de première instance a conclu qu’un préavis de 20 mois aurait dû être donné et a refusé, dans son </w:t>
      </w:r>
      <w:r w:rsidRPr="00731F3E">
        <w:rPr>
          <w:sz w:val="20"/>
          <w:lang w:val="fr-CA"/>
        </w:rPr>
        <w:lastRenderedPageBreak/>
        <w:t>calcul des dommages</w:t>
      </w:r>
      <w:r w:rsidRPr="00731F3E">
        <w:rPr>
          <w:sz w:val="20"/>
          <w:lang w:val="fr-CA"/>
        </w:rPr>
        <w:noBreakHyphen/>
        <w:t>intérêts, de déduire les prestations de retraite versées à W au cours de la période de préavis.  La Cour d’appel a rejeté l’appel.</w:t>
      </w:r>
    </w:p>
    <w:p w:rsidR="00FC483A" w:rsidRDefault="00FC483A" w:rsidP="00FC483A">
      <w:pPr>
        <w:pStyle w:val="SCCNormalDoubleSpacing"/>
        <w:spacing w:line="240" w:lineRule="auto"/>
        <w:rPr>
          <w:sz w:val="20"/>
          <w:lang w:val="fr-CA"/>
        </w:rPr>
      </w:pPr>
    </w:p>
    <w:p w:rsidR="00FC483A" w:rsidRPr="00731F3E" w:rsidRDefault="00FC483A" w:rsidP="00FC483A">
      <w:pPr>
        <w:pStyle w:val="SCCNormalDoubleSpacing"/>
        <w:spacing w:line="240" w:lineRule="auto"/>
        <w:rPr>
          <w:sz w:val="20"/>
          <w:lang w:val="fr-CA"/>
        </w:rPr>
      </w:pPr>
      <w:r w:rsidRPr="00731F3E">
        <w:rPr>
          <w:sz w:val="20"/>
          <w:lang w:val="fr-CA"/>
        </w:rPr>
        <w:tab/>
      </w:r>
      <w:r w:rsidRPr="00731F3E">
        <w:rPr>
          <w:i/>
          <w:sz w:val="20"/>
          <w:lang w:val="fr-CA"/>
        </w:rPr>
        <w:t xml:space="preserve">Arrêt </w:t>
      </w:r>
      <w:r w:rsidRPr="00731F3E">
        <w:rPr>
          <w:sz w:val="20"/>
          <w:lang w:val="fr-CA"/>
        </w:rPr>
        <w:t>(la juge en chef McLachlin et le juge Rothstein sont dissidents) : Le pourvoi est rejeté.</w:t>
      </w:r>
    </w:p>
    <w:p w:rsidR="00FC483A" w:rsidRDefault="00FC483A" w:rsidP="00FC483A">
      <w:pPr>
        <w:pStyle w:val="SCCNormalDoubleSpacing"/>
        <w:spacing w:line="240" w:lineRule="auto"/>
        <w:rPr>
          <w:sz w:val="20"/>
          <w:lang w:val="fr-CA"/>
        </w:rPr>
      </w:pPr>
    </w:p>
    <w:p w:rsidR="00FC483A" w:rsidRPr="00731F3E" w:rsidRDefault="00FC483A" w:rsidP="00FC483A">
      <w:pPr>
        <w:pStyle w:val="SCCNormalDoubleSpacing"/>
        <w:spacing w:line="240" w:lineRule="auto"/>
        <w:rPr>
          <w:sz w:val="20"/>
          <w:lang w:val="fr-CA"/>
        </w:rPr>
      </w:pPr>
      <w:r w:rsidRPr="00731F3E">
        <w:rPr>
          <w:sz w:val="20"/>
          <w:lang w:val="fr-CA"/>
        </w:rPr>
        <w:tab/>
      </w:r>
      <w:r w:rsidRPr="00731F3E">
        <w:rPr>
          <w:i/>
          <w:sz w:val="20"/>
          <w:lang w:val="fr-CA"/>
        </w:rPr>
        <w:t>Les</w:t>
      </w:r>
      <w:r w:rsidRPr="00731F3E">
        <w:rPr>
          <w:sz w:val="20"/>
          <w:lang w:val="fr-CA"/>
        </w:rPr>
        <w:t xml:space="preserve"> juges LeBel, Fish, Abella, </w:t>
      </w:r>
      <w:r w:rsidRPr="00731F3E">
        <w:rPr>
          <w:b/>
          <w:sz w:val="20"/>
          <w:lang w:val="fr-CA"/>
        </w:rPr>
        <w:t>Cromwell</w:t>
      </w:r>
      <w:r w:rsidRPr="00731F3E">
        <w:rPr>
          <w:sz w:val="20"/>
          <w:lang w:val="fr-CA"/>
        </w:rPr>
        <w:t>, Moldaver, Karakatsanis et Wagner : La règle selon laquelle les dommages</w:t>
      </w:r>
      <w:r w:rsidRPr="00731F3E">
        <w:rPr>
          <w:sz w:val="20"/>
          <w:lang w:val="fr-CA"/>
        </w:rPr>
        <w:noBreakHyphen/>
        <w:t>intérêts sont calculés en fonction de la perte réelle du demandeur ne s’applique pas dans toutes les situations.  Il est depuis longtemps reconnu en droit que l’application stricte et rigide de la règle générale des dommages</w:t>
      </w:r>
      <w:r w:rsidRPr="00731F3E">
        <w:rPr>
          <w:sz w:val="20"/>
          <w:lang w:val="fr-CA"/>
        </w:rPr>
        <w:noBreakHyphen/>
        <w:t>intérêts — le principe de l’indemnisation — donne parfois lieu à des résultats insatisfaisants.  Les prestations de retraite versées aux employés, y compris les sommes versées au titre d’un régime de retraite à prestations déterminées, ne devraient généralement pas réduire le montant des dommages</w:t>
      </w:r>
      <w:r w:rsidRPr="00731F3E">
        <w:rPr>
          <w:sz w:val="20"/>
          <w:lang w:val="fr-CA"/>
        </w:rPr>
        <w:noBreakHyphen/>
        <w:t>intérêts autrement payables pour congédiement injustifié.  Les prestations de retraite sont une forme de rémunération différée pour les services rendus par l’employé et constituent un type d’épargne</w:t>
      </w:r>
      <w:r w:rsidRPr="00731F3E">
        <w:rPr>
          <w:sz w:val="20"/>
          <w:lang w:val="fr-CA"/>
        </w:rPr>
        <w:noBreakHyphen/>
        <w:t>retraite.  Elles ne sont pas censées représenter une indemnité pour la perte de salaire découlant d’une perte d’emploi.</w:t>
      </w:r>
    </w:p>
    <w:p w:rsidR="00FC483A" w:rsidRDefault="00FC483A" w:rsidP="00FC483A">
      <w:pPr>
        <w:pStyle w:val="SCCNormalDoubleSpacing"/>
        <w:spacing w:line="240" w:lineRule="auto"/>
        <w:rPr>
          <w:sz w:val="20"/>
          <w:lang w:val="fr-CA"/>
        </w:rPr>
      </w:pPr>
    </w:p>
    <w:p w:rsidR="00FC483A" w:rsidRPr="00731F3E" w:rsidRDefault="00FC483A" w:rsidP="00FC483A">
      <w:pPr>
        <w:pStyle w:val="SCCNormalDoubleSpacing"/>
        <w:spacing w:line="240" w:lineRule="auto"/>
        <w:rPr>
          <w:sz w:val="20"/>
          <w:lang w:val="fr-CA"/>
        </w:rPr>
      </w:pPr>
      <w:r w:rsidRPr="00731F3E">
        <w:rPr>
          <w:sz w:val="20"/>
          <w:lang w:val="fr-CA"/>
        </w:rPr>
        <w:tab/>
        <w:t>Il y a avantage compensatoire si un revenu d’une source autre que les dommages</w:t>
      </w:r>
      <w:r w:rsidRPr="00731F3E">
        <w:rPr>
          <w:sz w:val="20"/>
          <w:lang w:val="fr-CA"/>
        </w:rPr>
        <w:noBreakHyphen/>
        <w:t>intérêts payables par le défendeur atténue la perte causée au demandeur par le manquement du défendeur à une obligation légale.  Les prestations qu’un demandeur peut toucher ne soulèvent toutefois pas toutes un problème d’avantages compensatoires.  Un tel problème ne se pose que lorsque l’avantage est (a) une prestation que le demandeur n’aurait pas reçue, n’eût été le manquement, ou (b) une prestation qui visait à indemniser le demandeur pour la perte découlant du manquement.</w:t>
      </w:r>
    </w:p>
    <w:p w:rsidR="00FC483A" w:rsidRDefault="00FC483A" w:rsidP="00FC483A">
      <w:pPr>
        <w:pStyle w:val="SCCNormalDoubleSpacing"/>
        <w:spacing w:line="240" w:lineRule="auto"/>
        <w:rPr>
          <w:sz w:val="20"/>
          <w:lang w:val="fr-CA"/>
        </w:rPr>
      </w:pPr>
    </w:p>
    <w:p w:rsidR="00FC483A" w:rsidRPr="00731F3E" w:rsidRDefault="00FC483A" w:rsidP="00FC483A">
      <w:pPr>
        <w:pStyle w:val="SCCNormalDoubleSpacing"/>
        <w:spacing w:line="240" w:lineRule="auto"/>
        <w:rPr>
          <w:sz w:val="20"/>
          <w:lang w:val="fr-CA"/>
        </w:rPr>
      </w:pPr>
      <w:r w:rsidRPr="00731F3E">
        <w:rPr>
          <w:sz w:val="20"/>
          <w:lang w:val="fr-CA"/>
        </w:rPr>
        <w:tab/>
        <w:t>Il faut se demander s’il convient d’appliquer de manière stricte le principe d’indemnisation et de déduire l’avantage compensatoire.  L’application du principe d’indemnisation repose sur des facteurs autres que l’importance de la perte réelle du demandeur.  La déductibilité des avantages compensatoires dépend aussi de la justice, de la raisonnabilité et de l’intérêt public.</w:t>
      </w:r>
    </w:p>
    <w:p w:rsidR="00FC483A" w:rsidRDefault="00FC483A" w:rsidP="00FC483A">
      <w:pPr>
        <w:pStyle w:val="SCCNormalDoubleSpacing"/>
        <w:spacing w:line="240" w:lineRule="auto"/>
        <w:rPr>
          <w:sz w:val="20"/>
          <w:lang w:val="fr-CA"/>
        </w:rPr>
      </w:pPr>
    </w:p>
    <w:p w:rsidR="00FC483A" w:rsidRPr="00731F3E" w:rsidRDefault="00FC483A" w:rsidP="00FC483A">
      <w:pPr>
        <w:pStyle w:val="SCCNormalDoubleSpacing"/>
        <w:spacing w:line="240" w:lineRule="auto"/>
        <w:rPr>
          <w:sz w:val="20"/>
          <w:lang w:val="fr-CA"/>
        </w:rPr>
      </w:pPr>
      <w:r w:rsidRPr="00731F3E">
        <w:rPr>
          <w:sz w:val="20"/>
          <w:lang w:val="fr-CA"/>
        </w:rPr>
        <w:tab/>
        <w:t>Les prestations que reçoit un demandeur en application d’un régime d’assurance privée ne sont habituellement pas déductibles des dommages</w:t>
      </w:r>
      <w:r w:rsidRPr="00731F3E">
        <w:rPr>
          <w:sz w:val="20"/>
          <w:lang w:val="fr-CA"/>
        </w:rPr>
        <w:noBreakHyphen/>
        <w:t>intérêts.  Bien qu’aucun facteur unique ne permette de déterminer les prestations qui sont visées par l’exception relative à l’assurance privée, plus la prestation s’apparente, de par sa nature et son objet, à un dédommagement du type de perte causée par le manquement du défendeur, plus les circonstances militent en faveur de la déduction.  La question de savoir si le demandeur a contribué à la prestation demeure aussi pertinente, bien que son fondement soit discutable.  En général, une prestation ne sera pas déduite s’il ne s’agit pas d’une indemnité pour la perte causée par le manquement du défendeur et le demandeur a contribué dans le but d’y avoir droit.  Enfin, l’analyse de la question de la déduction permet l’examen de considérations de principe plus générales, comme le fait qu’il soit souhaitable que toutes les personnes dans des situations semblables reçoivent un traitement équivalent, la possibilité d’offrir des avantages pour une conduite sociale et la nécessité que des règles claires puissent facilement s’appliquer.  Cette exception dite relative à l’assurance privée a été appliquée par analogie à diverses prestations qui ne découlent pas d’un contrat d’assurance.</w:t>
      </w:r>
    </w:p>
    <w:p w:rsidR="00FC483A" w:rsidRDefault="00FC483A" w:rsidP="00FC483A">
      <w:pPr>
        <w:pStyle w:val="SCCNormalDoubleSpacing"/>
        <w:spacing w:line="240" w:lineRule="auto"/>
        <w:rPr>
          <w:sz w:val="20"/>
          <w:lang w:val="fr-CA"/>
        </w:rPr>
      </w:pPr>
    </w:p>
    <w:p w:rsidR="00FC483A" w:rsidRPr="00731F3E" w:rsidRDefault="00FC483A" w:rsidP="00FC483A">
      <w:pPr>
        <w:pStyle w:val="SCCNormalDoubleSpacing"/>
        <w:spacing w:line="240" w:lineRule="auto"/>
        <w:rPr>
          <w:sz w:val="20"/>
          <w:lang w:val="fr-CA"/>
        </w:rPr>
      </w:pPr>
      <w:r w:rsidRPr="00731F3E">
        <w:rPr>
          <w:sz w:val="20"/>
          <w:lang w:val="fr-CA"/>
        </w:rPr>
        <w:tab/>
        <w:t>Bien que les tribunaux n’aient invoqué aucune règle générale du « contrat unique », les modalités du contrat et les rapports entre les parties guideront l’analyse lorsqu’une cause d’action et une prestation découlent du contrat de travail.</w:t>
      </w:r>
    </w:p>
    <w:p w:rsidR="00FC483A" w:rsidRDefault="00FC483A" w:rsidP="00FC483A">
      <w:pPr>
        <w:pStyle w:val="SCCNormalDoubleSpacing"/>
        <w:spacing w:line="240" w:lineRule="auto"/>
        <w:rPr>
          <w:sz w:val="20"/>
          <w:lang w:val="fr-CA"/>
        </w:rPr>
      </w:pPr>
    </w:p>
    <w:p w:rsidR="00FC483A" w:rsidRPr="00731F3E" w:rsidRDefault="00FC483A" w:rsidP="00FC483A">
      <w:pPr>
        <w:pStyle w:val="SCCNormalDoubleSpacing"/>
        <w:spacing w:line="240" w:lineRule="auto"/>
        <w:rPr>
          <w:sz w:val="20"/>
          <w:lang w:val="fr-CA"/>
        </w:rPr>
      </w:pPr>
      <w:r w:rsidRPr="00731F3E">
        <w:rPr>
          <w:sz w:val="20"/>
          <w:lang w:val="fr-CA"/>
        </w:rPr>
        <w:tab/>
        <w:t>Une question d’avantage compensatoire se pose en l’espèce :  W a touché le plein montant des prestations de retraite et le salaire qu’il aurait gagné s’il avait travaillé pendant la période de préavis raisonnable; si IBM lui avait donné un préavis, il n’aurait touché que son salaire pendant cette période.  Cependant, l’exception relative à l’assurance privée s’applique à des prestations comme les prestations de retraite auxquelles un employé a contribué et qui n’étaient pas censées constituer une indemnité pour le type de perte subie en raison de la rupture du contrat de travail par le défendeur.  Le principe d’indemnisation ne devrait donc pas être appliqué strictement en l’espèce.</w:t>
      </w:r>
    </w:p>
    <w:p w:rsidR="00FC483A" w:rsidRDefault="00FC483A" w:rsidP="00FC483A">
      <w:pPr>
        <w:pStyle w:val="SCCNormalDoubleSpacing"/>
        <w:spacing w:line="240" w:lineRule="auto"/>
        <w:rPr>
          <w:sz w:val="20"/>
          <w:lang w:val="fr-CA"/>
        </w:rPr>
      </w:pPr>
    </w:p>
    <w:p w:rsidR="00FC483A" w:rsidRPr="00731F3E" w:rsidRDefault="00FC483A" w:rsidP="00FC483A">
      <w:pPr>
        <w:pStyle w:val="SCCNormalDoubleSpacing"/>
        <w:spacing w:line="240" w:lineRule="auto"/>
        <w:rPr>
          <w:sz w:val="20"/>
          <w:lang w:val="fr-CA"/>
        </w:rPr>
      </w:pPr>
      <w:r w:rsidRPr="00731F3E">
        <w:rPr>
          <w:sz w:val="20"/>
          <w:lang w:val="fr-CA"/>
        </w:rPr>
        <w:tab/>
        <w:t>Les facteurs de la présente affaire militent clairement en faveur de la non</w:t>
      </w:r>
      <w:r w:rsidRPr="00731F3E">
        <w:rPr>
          <w:sz w:val="20"/>
          <w:lang w:val="fr-CA"/>
        </w:rPr>
        <w:noBreakHyphen/>
        <w:t>déduction des prestations de retraite des dommages</w:t>
      </w:r>
      <w:r w:rsidRPr="00731F3E">
        <w:rPr>
          <w:sz w:val="20"/>
          <w:lang w:val="fr-CA"/>
        </w:rPr>
        <w:noBreakHyphen/>
        <w:t>intérêts pour congédiement injustifié.  Le contrat de travail de W est silencieux sur ce point, mais n’interdit pas qu’une personne touche la pension maximale et le revenu d’emploi.  Les prestations de retraite de W ne constituent pas une indemnité pour perte de revenus mais plutôt une forme d’épargne</w:t>
      </w:r>
      <w:r w:rsidRPr="00731F3E">
        <w:rPr>
          <w:sz w:val="20"/>
          <w:lang w:val="fr-CA"/>
        </w:rPr>
        <w:noBreakHyphen/>
        <w:t xml:space="preserve">retraite.  Bien qu’IBM ait fait toutes les cotisations au régime, W a acquis pendant ses années de service le droit de recevoir des prestations, parce que </w:t>
      </w:r>
      <w:r w:rsidRPr="00731F3E">
        <w:rPr>
          <w:sz w:val="20"/>
          <w:lang w:val="fr-CA"/>
        </w:rPr>
        <w:lastRenderedPageBreak/>
        <w:t>le régime vise principalement à assurer le versement périodique des prestations aux employés admissibles après la retraite pour les services qu’ils ont rendus à titre d’employés.  Par conséquent, la présente espèce entre dans la catégorie des situations auxquelles l’exception relative à l’assurance s’est toujours appliquée : la prestation n’est pas une indemnité et W a cotisé au régime.</w:t>
      </w:r>
    </w:p>
    <w:p w:rsidR="00FC483A" w:rsidRDefault="00FC483A" w:rsidP="00FC483A">
      <w:pPr>
        <w:pStyle w:val="SCCNormalDoubleSpacing"/>
        <w:spacing w:line="240" w:lineRule="auto"/>
        <w:rPr>
          <w:sz w:val="20"/>
          <w:lang w:val="fr-CA"/>
        </w:rPr>
      </w:pPr>
    </w:p>
    <w:p w:rsidR="00FC483A" w:rsidRPr="00731F3E" w:rsidRDefault="00FC483A" w:rsidP="00FC483A">
      <w:pPr>
        <w:pStyle w:val="SCCNormalDoubleSpacing"/>
        <w:spacing w:line="240" w:lineRule="auto"/>
        <w:rPr>
          <w:sz w:val="20"/>
          <w:lang w:val="fr-CA"/>
        </w:rPr>
      </w:pPr>
      <w:r w:rsidRPr="00731F3E">
        <w:rPr>
          <w:sz w:val="20"/>
          <w:lang w:val="fr-CA"/>
        </w:rPr>
        <w:tab/>
        <w:t xml:space="preserve">Même s’il faut distinguer la présente affaire de l’arrêt </w:t>
      </w:r>
      <w:r w:rsidRPr="00731F3E">
        <w:rPr>
          <w:i/>
          <w:sz w:val="20"/>
          <w:lang w:val="fr-CA"/>
        </w:rPr>
        <w:t>Sylvester c. Colombie</w:t>
      </w:r>
      <w:r w:rsidRPr="00731F3E">
        <w:rPr>
          <w:i/>
          <w:sz w:val="20"/>
          <w:lang w:val="fr-CA"/>
        </w:rPr>
        <w:noBreakHyphen/>
        <w:t>Britannique</w:t>
      </w:r>
      <w:r w:rsidRPr="00731F3E">
        <w:rPr>
          <w:sz w:val="20"/>
          <w:lang w:val="fr-CA"/>
        </w:rPr>
        <w:t>,</w:t>
      </w:r>
      <w:r w:rsidRPr="00731F3E">
        <w:rPr>
          <w:i/>
          <w:sz w:val="20"/>
          <w:lang w:val="fr-CA"/>
        </w:rPr>
        <w:t xml:space="preserve"> </w:t>
      </w:r>
      <w:r w:rsidRPr="00731F3E">
        <w:rPr>
          <w:sz w:val="20"/>
          <w:lang w:val="fr-CA"/>
        </w:rPr>
        <w:t>[1997] 2 R.C.S. 315, les facteurs qu’il énonce appuient la conclusion selon laquelle les prestations de W ne devraient pas être déduites des dommages</w:t>
      </w:r>
      <w:r w:rsidRPr="00731F3E">
        <w:rPr>
          <w:sz w:val="20"/>
          <w:lang w:val="fr-CA"/>
        </w:rPr>
        <w:noBreakHyphen/>
        <w:t>intérêts pour congédiement injustifié.  Les prestations de retraite n’étaient manifestement pas des prestations indemnitaires pour perte de salaire en raison d’une incapacité à travailler, et l’intérêt de W dans les prestations de retraite revêt plusieurs des caractéristiques d’un droit de propriété.  Lorsqu’on examine le contrat dans son ensemble, il n’est pas juste d’en inférer que les parties ont convenu que les droits à la pension devraient être déduits des dommages</w:t>
      </w:r>
      <w:r w:rsidRPr="00731F3E">
        <w:rPr>
          <w:sz w:val="20"/>
          <w:lang w:val="fr-CA"/>
        </w:rPr>
        <w:noBreakHyphen/>
        <w:t>intérêts pour congédiement injustifié.</w:t>
      </w:r>
    </w:p>
    <w:p w:rsidR="00FC483A" w:rsidRDefault="00FC483A" w:rsidP="00FC483A">
      <w:pPr>
        <w:pStyle w:val="SCCNormalDoubleSpacing"/>
        <w:spacing w:line="240" w:lineRule="auto"/>
        <w:rPr>
          <w:sz w:val="20"/>
          <w:lang w:val="fr-CA"/>
        </w:rPr>
      </w:pPr>
    </w:p>
    <w:p w:rsidR="00FC483A" w:rsidRPr="00731F3E" w:rsidRDefault="00FC483A" w:rsidP="00FC483A">
      <w:pPr>
        <w:pStyle w:val="SCCNormalDoubleSpacing"/>
        <w:spacing w:line="240" w:lineRule="auto"/>
        <w:rPr>
          <w:sz w:val="20"/>
          <w:lang w:val="fr-CA"/>
        </w:rPr>
      </w:pPr>
      <w:r w:rsidRPr="00731F3E">
        <w:rPr>
          <w:sz w:val="20"/>
          <w:lang w:val="fr-CA"/>
        </w:rPr>
        <w:tab/>
        <w:t>Enfin, les préoccupations de principe plus générales en l’espèce appuient la non</w:t>
      </w:r>
      <w:r w:rsidRPr="00731F3E">
        <w:rPr>
          <w:sz w:val="20"/>
          <w:lang w:val="fr-CA"/>
        </w:rPr>
        <w:noBreakHyphen/>
        <w:t xml:space="preserve">déduction des prestations de retraite.  La loi ne devrait pas avoir pour effet d’inciter les employeurs à congédier, pour des raisons économiques, les employés admissibles à la pension plutôt que les autres.  Les autres considérations de principe soulevées par le juge Rothstein ou présentes dans </w:t>
      </w:r>
      <w:r w:rsidRPr="00731F3E">
        <w:rPr>
          <w:i/>
          <w:sz w:val="20"/>
          <w:lang w:val="fr-CA"/>
        </w:rPr>
        <w:t xml:space="preserve">Sylvester </w:t>
      </w:r>
      <w:r w:rsidRPr="00731F3E">
        <w:rPr>
          <w:sz w:val="20"/>
          <w:lang w:val="fr-CA"/>
        </w:rPr>
        <w:t>n’entrent pas en ligne de compte en l’espèce ou sont éminemment conjecturales.</w:t>
      </w:r>
    </w:p>
    <w:p w:rsidR="00FC483A" w:rsidRDefault="00FC483A" w:rsidP="00FC483A">
      <w:pPr>
        <w:pStyle w:val="SCCNormalDoubleSpacing"/>
        <w:spacing w:line="240" w:lineRule="auto"/>
        <w:rPr>
          <w:sz w:val="20"/>
          <w:lang w:val="fr-CA"/>
        </w:rPr>
      </w:pPr>
    </w:p>
    <w:p w:rsidR="00FC483A" w:rsidRPr="00731F3E" w:rsidRDefault="00FC483A" w:rsidP="00FC483A">
      <w:pPr>
        <w:pStyle w:val="SCCNormalDoubleSpacing"/>
        <w:spacing w:line="240" w:lineRule="auto"/>
        <w:rPr>
          <w:sz w:val="20"/>
          <w:lang w:val="fr-CA"/>
        </w:rPr>
      </w:pPr>
      <w:r w:rsidRPr="00731F3E">
        <w:rPr>
          <w:sz w:val="20"/>
          <w:lang w:val="fr-CA"/>
        </w:rPr>
        <w:tab/>
      </w:r>
      <w:r w:rsidRPr="00731F3E">
        <w:rPr>
          <w:i/>
          <w:sz w:val="20"/>
          <w:lang w:val="fr-CA"/>
        </w:rPr>
        <w:t>La</w:t>
      </w:r>
      <w:r w:rsidRPr="00731F3E">
        <w:rPr>
          <w:sz w:val="20"/>
          <w:lang w:val="fr-CA"/>
        </w:rPr>
        <w:t xml:space="preserve"> juge en chef McLachlin et le juge </w:t>
      </w:r>
      <w:r w:rsidRPr="00731F3E">
        <w:rPr>
          <w:b/>
          <w:sz w:val="20"/>
          <w:lang w:val="fr-CA"/>
        </w:rPr>
        <w:t>Rothstein</w:t>
      </w:r>
      <w:r w:rsidRPr="00731F3E">
        <w:rPr>
          <w:sz w:val="20"/>
          <w:lang w:val="fr-CA"/>
        </w:rPr>
        <w:t xml:space="preserve"> (dissidents) : Dans la présente affaire, il faut déterminer la perte subie par W selon les modalités d’un seul contrat qui a donné le droit à un préavis raisonnable et le droit de toucher des prestations de retraite.  L’exception relative à l’assurance privée ne s’applique pas à un tel cas.  Lorsqu’un tribunal est appelé à déterminer une perte aux termes d’un seul contrat, le droit du demandeur repose sur le principe ordinaire applicable suivant lequel celui</w:t>
      </w:r>
      <w:r w:rsidRPr="00731F3E">
        <w:rPr>
          <w:sz w:val="20"/>
          <w:lang w:val="fr-CA"/>
        </w:rPr>
        <w:noBreakHyphen/>
        <w:t>ci doit être rétabli dans la situation dans laquelle il se serait trouvé si le contrat avait été respecté.  Cela signifie en l’espèce que les prestations de retraite que W a touchées doivent être déduites lors du calcul de ses dommages</w:t>
      </w:r>
      <w:r w:rsidRPr="00731F3E">
        <w:rPr>
          <w:sz w:val="20"/>
          <w:lang w:val="fr-CA"/>
        </w:rPr>
        <w:noBreakHyphen/>
        <w:t>intérêts pour congédiement injustifié; la non</w:t>
      </w:r>
      <w:r w:rsidRPr="00731F3E">
        <w:rPr>
          <w:sz w:val="20"/>
          <w:lang w:val="fr-CA"/>
        </w:rPr>
        <w:noBreakHyphen/>
        <w:t>déduction aurait pour effet de lui accorder davantage que ce qu’il a négocié et d’obliger IBM à verser une somme plus élevée que celle qu’elle a convenu de verser.</w:t>
      </w:r>
    </w:p>
    <w:p w:rsidR="00FC483A" w:rsidRDefault="00FC483A" w:rsidP="00FC483A">
      <w:pPr>
        <w:pStyle w:val="SCCNormalDoubleSpacing"/>
        <w:spacing w:line="240" w:lineRule="auto"/>
        <w:rPr>
          <w:sz w:val="20"/>
          <w:lang w:val="fr-CA"/>
        </w:rPr>
      </w:pPr>
    </w:p>
    <w:p w:rsidR="00FC483A" w:rsidRPr="00731F3E" w:rsidRDefault="00FC483A" w:rsidP="00FC483A">
      <w:pPr>
        <w:pStyle w:val="SCCNormalDoubleSpacing"/>
        <w:spacing w:line="240" w:lineRule="auto"/>
        <w:rPr>
          <w:sz w:val="20"/>
          <w:lang w:val="fr-CA"/>
        </w:rPr>
      </w:pPr>
      <w:r w:rsidRPr="00731F3E">
        <w:rPr>
          <w:sz w:val="20"/>
          <w:lang w:val="fr-CA"/>
        </w:rPr>
        <w:tab/>
        <w:t>Selon le principe applicable en matière de dommages</w:t>
      </w:r>
      <w:r w:rsidRPr="00731F3E">
        <w:rPr>
          <w:sz w:val="20"/>
          <w:lang w:val="fr-CA"/>
        </w:rPr>
        <w:noBreakHyphen/>
        <w:t xml:space="preserve">intérêts pour violation de contrat, la partie non fautive devrait recevoir l’équivalent matériel de la prestation qu’elle aurait obtenue si le contrat avait été respecté.  Les prestations versées par l’employeur sont des éléments faisant partie intégrante du contrat de travail.  Ainsi, la déductibilité repose sur les modalités du contrat de travail et sur l’intention des parties.  Suivant les modalités de son contrat de travail, W aurait été admissible à des prestations de retraite uniquement à compter de son congédiement ou de sa retraite.  Par conséquent, tout comme dans l’affaire </w:t>
      </w:r>
      <w:r w:rsidRPr="00731F3E">
        <w:rPr>
          <w:i/>
          <w:sz w:val="20"/>
          <w:lang w:val="fr-CA"/>
        </w:rPr>
        <w:t>Sylvester</w:t>
      </w:r>
      <w:r w:rsidRPr="00731F3E">
        <w:rPr>
          <w:sz w:val="20"/>
          <w:lang w:val="fr-CA"/>
        </w:rPr>
        <w:t>, le droit contractuel de W à des dommages</w:t>
      </w:r>
      <w:r w:rsidRPr="00731F3E">
        <w:rPr>
          <w:sz w:val="20"/>
          <w:lang w:val="fr-CA"/>
        </w:rPr>
        <w:noBreakHyphen/>
        <w:t>intérêts pour congédiement injustifié et son droit contractuel à des prestations de retraite reposent sur des hypothèses opposées en ce qui concerne la possibilité qu’il puisse travailler.  On ne peut lui verser des dommages</w:t>
      </w:r>
      <w:r w:rsidRPr="00731F3E">
        <w:rPr>
          <w:sz w:val="20"/>
          <w:lang w:val="fr-CA"/>
        </w:rPr>
        <w:noBreakHyphen/>
        <w:t>intérêts en supposant qu’il aurait pu recevoir les deux montants.</w:t>
      </w:r>
    </w:p>
    <w:p w:rsidR="00FC483A" w:rsidRDefault="00FC483A" w:rsidP="00FC483A">
      <w:pPr>
        <w:pStyle w:val="SCCNormalDoubleSpacing"/>
        <w:spacing w:line="240" w:lineRule="auto"/>
        <w:rPr>
          <w:sz w:val="20"/>
          <w:lang w:val="fr-CA"/>
        </w:rPr>
      </w:pPr>
    </w:p>
    <w:p w:rsidR="00FC483A" w:rsidRPr="00731F3E" w:rsidRDefault="00FC483A" w:rsidP="00FC483A">
      <w:pPr>
        <w:pStyle w:val="SCCNormalDoubleSpacing"/>
        <w:spacing w:line="240" w:lineRule="auto"/>
        <w:rPr>
          <w:sz w:val="20"/>
          <w:lang w:val="fr-CA"/>
        </w:rPr>
      </w:pPr>
      <w:r w:rsidRPr="00731F3E">
        <w:rPr>
          <w:sz w:val="20"/>
          <w:lang w:val="fr-CA"/>
        </w:rPr>
        <w:tab/>
        <w:t xml:space="preserve">Cette conclusion découle du fait que le régime de retraite en litige dans la présente affaire est un régime à prestations déterminées.  Contrairement à un régime de retraite à </w:t>
      </w:r>
      <w:r w:rsidRPr="00731F3E">
        <w:rPr>
          <w:iCs/>
          <w:sz w:val="20"/>
          <w:lang w:val="fr-CA"/>
        </w:rPr>
        <w:t>cotisations</w:t>
      </w:r>
      <w:r w:rsidRPr="00731F3E">
        <w:rPr>
          <w:i/>
          <w:iCs/>
          <w:sz w:val="20"/>
          <w:lang w:val="fr-CA"/>
        </w:rPr>
        <w:t xml:space="preserve"> </w:t>
      </w:r>
      <w:r w:rsidRPr="00731F3E">
        <w:rPr>
          <w:sz w:val="20"/>
          <w:lang w:val="fr-CA"/>
        </w:rPr>
        <w:t xml:space="preserve">déterminées, le régime de retraite à prestations déterminées garantit à l’employé des paiements prédéterminés fixes à compter de sa retraite et ce, sa vie durant.  Déduire les prestations permettrait à l’employé congédié injustement de recevoir exactement ce qu’il aurait reçu si le contrat de travail avait été respecté, soit un montant égal à son salaire au cours de la période de préavis raisonnable et, par la suite, des prestations déterminées sa vie durant. </w:t>
      </w:r>
    </w:p>
    <w:p w:rsidR="00FC483A" w:rsidRDefault="00FC483A" w:rsidP="00FC483A">
      <w:pPr>
        <w:pStyle w:val="SCCNormalDoubleSpacing"/>
        <w:spacing w:line="240" w:lineRule="auto"/>
        <w:rPr>
          <w:sz w:val="20"/>
          <w:lang w:val="fr-CA"/>
        </w:rPr>
      </w:pPr>
    </w:p>
    <w:p w:rsidR="00FC483A" w:rsidRPr="00731F3E" w:rsidRDefault="00FC483A" w:rsidP="00FC483A">
      <w:pPr>
        <w:pStyle w:val="SCCNormalDoubleSpacing"/>
        <w:spacing w:line="240" w:lineRule="auto"/>
        <w:rPr>
          <w:sz w:val="20"/>
          <w:lang w:val="fr-CA"/>
        </w:rPr>
      </w:pPr>
      <w:r w:rsidRPr="00731F3E">
        <w:rPr>
          <w:sz w:val="20"/>
          <w:lang w:val="fr-CA"/>
        </w:rPr>
        <w:tab/>
        <w:t xml:space="preserve">Un tel régime se distingue sensiblement d’un régime à </w:t>
      </w:r>
      <w:r w:rsidRPr="00731F3E">
        <w:rPr>
          <w:iCs/>
          <w:sz w:val="20"/>
          <w:lang w:val="fr-CA"/>
        </w:rPr>
        <w:t>cotisations</w:t>
      </w:r>
      <w:r w:rsidRPr="00731F3E">
        <w:rPr>
          <w:i/>
          <w:iCs/>
          <w:sz w:val="20"/>
          <w:lang w:val="fr-CA"/>
        </w:rPr>
        <w:t xml:space="preserve"> </w:t>
      </w:r>
      <w:r w:rsidRPr="00731F3E">
        <w:rPr>
          <w:sz w:val="20"/>
          <w:lang w:val="fr-CA"/>
        </w:rPr>
        <w:t xml:space="preserve">déterminées, qui permet à l’employé de recevoir en prestations de retraite un montant total ou un montant forfaitaire déterminé.  Déduire les prestations que l’employé congédié injustement a retirées d’un régime de retraite à </w:t>
      </w:r>
      <w:r w:rsidRPr="00731F3E">
        <w:rPr>
          <w:iCs/>
          <w:sz w:val="20"/>
          <w:lang w:val="fr-CA"/>
        </w:rPr>
        <w:t>cotisations</w:t>
      </w:r>
      <w:r w:rsidRPr="00731F3E">
        <w:rPr>
          <w:i/>
          <w:iCs/>
          <w:sz w:val="20"/>
          <w:lang w:val="fr-CA"/>
        </w:rPr>
        <w:t xml:space="preserve"> </w:t>
      </w:r>
      <w:r w:rsidRPr="00731F3E">
        <w:rPr>
          <w:sz w:val="20"/>
          <w:lang w:val="fr-CA"/>
        </w:rPr>
        <w:t>déterminées placerait l’employé dans une situation pire que celle dans laquelle il se serait trouvé si son contrat de travail avait été respecté.</w:t>
      </w:r>
    </w:p>
    <w:p w:rsidR="00FC483A" w:rsidRDefault="00FC483A" w:rsidP="00FC483A">
      <w:pPr>
        <w:pStyle w:val="SCCNormalDoubleSpacing"/>
        <w:spacing w:line="240" w:lineRule="auto"/>
        <w:rPr>
          <w:sz w:val="20"/>
          <w:lang w:val="fr-CA"/>
        </w:rPr>
      </w:pPr>
    </w:p>
    <w:p w:rsidR="00FC483A" w:rsidRPr="00731F3E" w:rsidRDefault="00FC483A" w:rsidP="00FC483A">
      <w:pPr>
        <w:pStyle w:val="SCCNormalDoubleSpacing"/>
        <w:spacing w:line="240" w:lineRule="auto"/>
        <w:rPr>
          <w:sz w:val="20"/>
          <w:lang w:val="fr-CA"/>
        </w:rPr>
      </w:pPr>
      <w:r w:rsidRPr="00731F3E">
        <w:rPr>
          <w:sz w:val="20"/>
          <w:lang w:val="fr-CA"/>
        </w:rPr>
        <w:tab/>
        <w:t xml:space="preserve">En l’espèce, le congédiement injustifié de W n’a eu aucune incidence sur son droit aux prestations de retraite; W n’aurait pas pu toucher à la fois son salaire et ses prestations de retraite s’il avait continué à travailler pour IBM au cours de la période de préavis raisonnable.  La nature non indemnitaire ou contributive des prestations n’offre pas de réponse à la question de savoir si le demandeur recevra l’équivalent matériel de la prestation qu’il aurait obtenue si le </w:t>
      </w:r>
      <w:r w:rsidRPr="00731F3E">
        <w:rPr>
          <w:sz w:val="20"/>
          <w:lang w:val="fr-CA"/>
        </w:rPr>
        <w:lastRenderedPageBreak/>
        <w:t>contrat avait été respecté ou s’il recevra une indemnisation excédentaire, suivant le principe applicable en matière de dommages</w:t>
      </w:r>
      <w:r w:rsidRPr="00731F3E">
        <w:rPr>
          <w:sz w:val="20"/>
          <w:lang w:val="fr-CA"/>
        </w:rPr>
        <w:noBreakHyphen/>
        <w:t>intérêts contractuels.</w:t>
      </w:r>
    </w:p>
    <w:p w:rsidR="00FC483A" w:rsidRDefault="00FC483A" w:rsidP="00FC483A">
      <w:pPr>
        <w:pStyle w:val="SCCNormalDoubleSpacing"/>
        <w:spacing w:line="240" w:lineRule="auto"/>
        <w:rPr>
          <w:sz w:val="20"/>
          <w:lang w:val="fr-CA"/>
        </w:rPr>
      </w:pPr>
    </w:p>
    <w:p w:rsidR="00FC483A" w:rsidRDefault="00FC483A" w:rsidP="00FC483A">
      <w:pPr>
        <w:pStyle w:val="SCCNormalDoubleSpacing"/>
        <w:spacing w:line="240" w:lineRule="auto"/>
        <w:rPr>
          <w:sz w:val="20"/>
          <w:lang w:val="fr-CA"/>
        </w:rPr>
      </w:pPr>
      <w:r w:rsidRPr="00731F3E">
        <w:rPr>
          <w:sz w:val="20"/>
          <w:lang w:val="fr-CA"/>
        </w:rPr>
        <w:tab/>
        <w:t>De plus, l’exception relative à l’assurance privée ne s’applique pas aux affaires portant sur un contrat unique à l’origine de la cause d’action du demandeur et de son droit à des prestations particulières.  Dans ces circonstances, rien ne justifie le recours à l’exception relative à l’assurance privée parce que le droit du demandeur aux prestations est établi aux termes de son contrat.  Si son contrat lui donne droit aux prestations, le demandeur touchera celles</w:t>
      </w:r>
      <w:r w:rsidRPr="00731F3E">
        <w:rPr>
          <w:sz w:val="20"/>
          <w:lang w:val="fr-CA"/>
        </w:rPr>
        <w:noBreakHyphen/>
        <w:t xml:space="preserve">ci en raison du principe ordinaire applicable suivant lequel il devrait être rétabli dans la situation dans laquelle il se serait trouvé si le contrat avait été respecté.  Il ne sera pas nécessaire d’invoquer l’exception relative à la prestation parallèle.  Une interprétation simple de </w:t>
      </w:r>
      <w:r w:rsidRPr="00731F3E">
        <w:rPr>
          <w:i/>
          <w:sz w:val="20"/>
          <w:lang w:val="fr-CA"/>
        </w:rPr>
        <w:t>Sylvester</w:t>
      </w:r>
      <w:r w:rsidRPr="00731F3E">
        <w:rPr>
          <w:sz w:val="20"/>
          <w:lang w:val="fr-CA"/>
        </w:rPr>
        <w:t xml:space="preserve"> montre que cet arrêt est tout à fait favorable à la thèse voulant qu’aux termes d’un contrat de travail unique, sous réserve de dispositions contraires du contrat, une personne ne peut toucher un salaire comme si elle travaillait ainsi que des prestations de retraite comme si elle avait pris sa retraite.  Il s’agit là d’hypothèses opposées et incompatibles.  Ainsi, si l’on applique l’arrêt </w:t>
      </w:r>
      <w:r w:rsidRPr="00731F3E">
        <w:rPr>
          <w:i/>
          <w:sz w:val="20"/>
          <w:lang w:val="fr-CA"/>
        </w:rPr>
        <w:t xml:space="preserve">Sylvester </w:t>
      </w:r>
      <w:r w:rsidRPr="00731F3E">
        <w:rPr>
          <w:sz w:val="20"/>
          <w:lang w:val="fr-CA"/>
        </w:rPr>
        <w:t xml:space="preserve">en l’espèce, le salaire et le revenu de pension ne sont pas payables en même temps. </w:t>
      </w:r>
    </w:p>
    <w:p w:rsidR="00FC483A" w:rsidRDefault="00FC483A" w:rsidP="00FC483A">
      <w:pPr>
        <w:pStyle w:val="SCCNormalDoubleSpacing"/>
        <w:spacing w:line="240" w:lineRule="auto"/>
        <w:rPr>
          <w:sz w:val="20"/>
          <w:lang w:val="fr-CA"/>
        </w:rPr>
      </w:pPr>
    </w:p>
    <w:p w:rsidR="00DB0B47" w:rsidRDefault="00DB0B47" w:rsidP="00DB0B47">
      <w:pPr>
        <w:pStyle w:val="SCCNormalDoubleSpacing"/>
        <w:spacing w:line="240" w:lineRule="auto"/>
        <w:rPr>
          <w:sz w:val="20"/>
          <w:lang w:val="fr-CA"/>
        </w:rPr>
      </w:pPr>
      <w:r w:rsidRPr="00DB0B47">
        <w:rPr>
          <w:sz w:val="20"/>
          <w:lang w:val="fr-CA"/>
        </w:rPr>
        <w:tab/>
        <w:t>POURVOI contre un arrêt de la Cour d’appel de la Colombie</w:t>
      </w:r>
      <w:r w:rsidRPr="00DB0B47">
        <w:rPr>
          <w:sz w:val="20"/>
          <w:lang w:val="fr-CA"/>
        </w:rPr>
        <w:noBreakHyphen/>
        <w:t>Britannique (le juge en chef Finch et les juges Prowse et Levine), 2011 BCCA 337, 20 B.C.L.R. (5th) 241, 308 B.C.A.C. 304, 521 W.A.C. 304, 336 D.L.R. (4th) 481, [2011] 10 W.W.R. 425, 91 C.C.P.B. 60, 92 C.C.E.L. (3d) 289, [2011] B.C.J. No. 1453 (QL), 2011 CarswellBC 2023, qui a confirmé une décision du juge Goepel, 2010 BCSC 376, 2010 CLLC ¶210</w:t>
      </w:r>
      <w:r w:rsidRPr="00DB0B47">
        <w:rPr>
          <w:sz w:val="20"/>
          <w:lang w:val="fr-CA"/>
        </w:rPr>
        <w:noBreakHyphen/>
        <w:t xml:space="preserve">021, [2010] B.C.J. No. 510 (QL), 2010 CarswellBC 679.  </w:t>
      </w:r>
      <w:r w:rsidRPr="00310220">
        <w:rPr>
          <w:sz w:val="20"/>
          <w:lang w:val="fr-CA"/>
        </w:rPr>
        <w:t>Pourvoi rejeté, la juge en chef McLachlin et le juge Rothstein sont dissidents.</w:t>
      </w:r>
    </w:p>
    <w:p w:rsidR="00FC483A" w:rsidRDefault="00FC483A" w:rsidP="00FC483A">
      <w:pPr>
        <w:pStyle w:val="SCCNormalDoubleSpacing"/>
        <w:spacing w:line="240" w:lineRule="auto"/>
        <w:rPr>
          <w:i/>
          <w:sz w:val="20"/>
          <w:lang w:val="fr-CA"/>
        </w:rPr>
      </w:pPr>
    </w:p>
    <w:p w:rsidR="00FC483A" w:rsidRPr="00731F3E" w:rsidRDefault="00FC483A" w:rsidP="00FC483A">
      <w:pPr>
        <w:pStyle w:val="SCCNormalDoubleSpacing"/>
        <w:spacing w:line="240" w:lineRule="auto"/>
        <w:rPr>
          <w:sz w:val="20"/>
          <w:lang w:val="fr-CA"/>
        </w:rPr>
      </w:pPr>
      <w:r w:rsidRPr="00731F3E">
        <w:rPr>
          <w:i/>
          <w:sz w:val="20"/>
          <w:lang w:val="fr-CA"/>
        </w:rPr>
        <w:tab/>
        <w:t>D. Geoffrey Cowper</w:t>
      </w:r>
      <w:r w:rsidRPr="00731F3E">
        <w:rPr>
          <w:sz w:val="20"/>
          <w:lang w:val="fr-CA"/>
        </w:rPr>
        <w:t xml:space="preserve">, </w:t>
      </w:r>
      <w:r w:rsidRPr="00731F3E">
        <w:rPr>
          <w:i/>
          <w:sz w:val="20"/>
          <w:lang w:val="fr-CA"/>
        </w:rPr>
        <w:t>c.r.</w:t>
      </w:r>
      <w:r w:rsidRPr="00731F3E">
        <w:rPr>
          <w:sz w:val="20"/>
          <w:lang w:val="fr-CA"/>
        </w:rPr>
        <w:t xml:space="preserve">, et </w:t>
      </w:r>
      <w:r w:rsidRPr="00731F3E">
        <w:rPr>
          <w:i/>
          <w:sz w:val="20"/>
          <w:lang w:val="fr-CA"/>
        </w:rPr>
        <w:t>Lorene A. Novakowski</w:t>
      </w:r>
      <w:r w:rsidRPr="00731F3E">
        <w:rPr>
          <w:sz w:val="20"/>
          <w:lang w:val="fr-CA"/>
        </w:rPr>
        <w:t>, pour l’appelante.</w:t>
      </w:r>
    </w:p>
    <w:p w:rsidR="00FC483A" w:rsidRDefault="00FC483A" w:rsidP="00FC483A">
      <w:pPr>
        <w:pStyle w:val="SCCNormalDoubleSpacing"/>
        <w:spacing w:line="240" w:lineRule="auto"/>
        <w:rPr>
          <w:i/>
          <w:sz w:val="20"/>
          <w:lang w:val="fr-CA"/>
        </w:rPr>
      </w:pPr>
    </w:p>
    <w:p w:rsidR="00FC483A" w:rsidRPr="00731F3E" w:rsidRDefault="00FC483A" w:rsidP="00FC483A">
      <w:pPr>
        <w:pStyle w:val="SCCNormalDoubleSpacing"/>
        <w:spacing w:line="240" w:lineRule="auto"/>
        <w:rPr>
          <w:sz w:val="20"/>
          <w:lang w:val="fr-CA"/>
        </w:rPr>
      </w:pPr>
      <w:r w:rsidRPr="00731F3E">
        <w:rPr>
          <w:i/>
          <w:sz w:val="20"/>
          <w:lang w:val="fr-CA"/>
        </w:rPr>
        <w:tab/>
        <w:t>Christopher J. Watson</w:t>
      </w:r>
      <w:r w:rsidRPr="00731F3E">
        <w:rPr>
          <w:sz w:val="20"/>
          <w:lang w:val="fr-CA"/>
        </w:rPr>
        <w:t xml:space="preserve"> et </w:t>
      </w:r>
      <w:r w:rsidRPr="00731F3E">
        <w:rPr>
          <w:i/>
          <w:sz w:val="20"/>
          <w:lang w:val="fr-CA"/>
        </w:rPr>
        <w:t>Matthew G. Siren</w:t>
      </w:r>
      <w:r w:rsidRPr="00731F3E">
        <w:rPr>
          <w:sz w:val="20"/>
          <w:lang w:val="fr-CA"/>
        </w:rPr>
        <w:t>, pour l’intimé.</w:t>
      </w:r>
    </w:p>
    <w:p w:rsidR="00FC483A" w:rsidRDefault="00FC483A" w:rsidP="00FC483A">
      <w:pPr>
        <w:pStyle w:val="SCCLawFirm"/>
        <w:spacing w:line="240" w:lineRule="auto"/>
        <w:rPr>
          <w:sz w:val="20"/>
          <w:lang w:val="fr-CA"/>
        </w:rPr>
      </w:pPr>
    </w:p>
    <w:p w:rsidR="00FC483A" w:rsidRPr="00731F3E" w:rsidRDefault="00FC483A" w:rsidP="00FC483A">
      <w:pPr>
        <w:pStyle w:val="SCCLawFirm"/>
        <w:spacing w:line="240" w:lineRule="auto"/>
        <w:rPr>
          <w:sz w:val="20"/>
          <w:lang w:val="fr-CA"/>
        </w:rPr>
      </w:pPr>
      <w:r w:rsidRPr="00731F3E">
        <w:rPr>
          <w:sz w:val="20"/>
          <w:lang w:val="fr-CA"/>
        </w:rPr>
        <w:tab/>
        <w:t>Procureurs de l’appelante : Fasken Martineau DuMoulin, Vancouver.</w:t>
      </w:r>
    </w:p>
    <w:p w:rsidR="00FC483A" w:rsidRDefault="00FC483A" w:rsidP="00FC483A">
      <w:pPr>
        <w:pStyle w:val="SCCLawFirm"/>
        <w:spacing w:line="240" w:lineRule="auto"/>
        <w:rPr>
          <w:sz w:val="20"/>
          <w:lang w:val="fr-CA"/>
        </w:rPr>
      </w:pPr>
    </w:p>
    <w:p w:rsidR="00FC483A" w:rsidRDefault="00FC483A" w:rsidP="00FC483A">
      <w:pPr>
        <w:pStyle w:val="SCCLawFirm"/>
        <w:spacing w:line="240" w:lineRule="auto"/>
        <w:rPr>
          <w:sz w:val="20"/>
          <w:lang w:val="fr-CA"/>
        </w:rPr>
      </w:pPr>
      <w:r w:rsidRPr="00731F3E">
        <w:rPr>
          <w:sz w:val="20"/>
          <w:lang w:val="fr-CA"/>
        </w:rPr>
        <w:tab/>
        <w:t>Procureurs de l’intimé : MacKenzie Fujisawa, Vancouver.</w:t>
      </w:r>
    </w:p>
    <w:p w:rsidR="00902E51" w:rsidRPr="00352A49" w:rsidRDefault="00902E51" w:rsidP="00902E51">
      <w:pPr>
        <w:rPr>
          <w:sz w:val="20"/>
          <w:szCs w:val="20"/>
          <w:lang w:val="fr-CA"/>
        </w:rPr>
      </w:pPr>
    </w:p>
    <w:p w:rsidR="00902E51" w:rsidRDefault="00E672F1" w:rsidP="00902E51">
      <w:pPr>
        <w:rPr>
          <w:rFonts w:cs="Times New Roman"/>
          <w:sz w:val="20"/>
          <w:szCs w:val="20"/>
          <w:lang w:val="fr-CA"/>
        </w:rPr>
      </w:pPr>
      <w:r>
        <w:rPr>
          <w:rFonts w:cs="Times New Roman"/>
          <w:sz w:val="20"/>
          <w:szCs w:val="20"/>
          <w:lang w:val="fr-CA"/>
        </w:rPr>
        <w:pict>
          <v:rect id="_x0000_i1078" style="width:144.3pt;height:1pt" o:hrpct="300" o:hralign="center" o:hrstd="t" o:hrnoshade="t" o:hr="t" fillcolor="black [3213]" stroked="f"/>
        </w:pict>
      </w:r>
    </w:p>
    <w:p w:rsidR="003B3977" w:rsidRPr="003F4721" w:rsidRDefault="003B3977"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77"/>
          <w:headerReference w:type="default" r:id="rId78"/>
          <w:footerReference w:type="even" r:id="rId79"/>
          <w:footerReference w:type="default" r:id="rId80"/>
          <w:headerReference w:type="first" r:id="rId81"/>
          <w:footerReference w:type="first" r:id="rId82"/>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6B6926" w:rsidRPr="00E672F1" w:rsidTr="0085476B">
        <w:tc>
          <w:tcPr>
            <w:tcW w:w="4320" w:type="dxa"/>
            <w:shd w:val="clear" w:color="auto" w:fill="auto"/>
          </w:tcPr>
          <w:p w:rsidR="006B6926" w:rsidRPr="00C50A5C" w:rsidRDefault="006B6926" w:rsidP="006B6926">
            <w:pPr>
              <w:keepNext/>
              <w:keepLines/>
              <w:rPr>
                <w:b/>
                <w:bCs/>
                <w:szCs w:val="24"/>
                <w:lang w:val="en-GB"/>
              </w:rPr>
            </w:pPr>
            <w:r w:rsidRPr="00C50A5C">
              <w:rPr>
                <w:b/>
                <w:bCs/>
                <w:szCs w:val="24"/>
                <w:lang w:val="en-GB"/>
              </w:rPr>
              <w:lastRenderedPageBreak/>
              <w:t>SUPREME COURT REPORTS</w:t>
            </w:r>
          </w:p>
        </w:tc>
        <w:tc>
          <w:tcPr>
            <w:tcW w:w="840" w:type="dxa"/>
            <w:shd w:val="clear" w:color="auto" w:fill="auto"/>
          </w:tcPr>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tc>
        <w:tc>
          <w:tcPr>
            <w:tcW w:w="4320" w:type="dxa"/>
            <w:shd w:val="clear" w:color="auto" w:fill="auto"/>
          </w:tcPr>
          <w:p w:rsidR="006B6926" w:rsidRPr="00C50A5C" w:rsidRDefault="006B6926" w:rsidP="006B6926">
            <w:pPr>
              <w:keepNext/>
              <w:keepLines/>
              <w:rPr>
                <w:b/>
                <w:bCs/>
                <w:szCs w:val="24"/>
                <w:lang w:val="fr-CA"/>
              </w:rPr>
            </w:pPr>
            <w:r w:rsidRPr="00C50A5C">
              <w:rPr>
                <w:b/>
                <w:bCs/>
                <w:szCs w:val="24"/>
                <w:lang w:val="fr-CA"/>
              </w:rPr>
              <w:t>RECUEIL DES ARRÊTS DE LA COUR SUPRÊME</w:t>
            </w:r>
          </w:p>
        </w:tc>
      </w:tr>
    </w:tbl>
    <w:p w:rsidR="006B6926" w:rsidRDefault="006B6926" w:rsidP="006B6926">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20"/>
        <w:gridCol w:w="840"/>
        <w:gridCol w:w="4320"/>
      </w:tblGrid>
      <w:tr w:rsidR="00DD0B49" w:rsidRPr="00E672F1" w:rsidTr="003B3977">
        <w:trPr>
          <w:cantSplit/>
          <w:trHeight w:val="1152"/>
        </w:trPr>
        <w:tc>
          <w:tcPr>
            <w:tcW w:w="4320" w:type="dxa"/>
            <w:tcBorders>
              <w:top w:val="nil"/>
              <w:left w:val="nil"/>
              <w:bottom w:val="nil"/>
              <w:right w:val="nil"/>
            </w:tcBorders>
          </w:tcPr>
          <w:p w:rsidR="00DD0B49" w:rsidRPr="00DD0B49" w:rsidRDefault="00DD0B49" w:rsidP="00DD0B49">
            <w:pPr>
              <w:keepNext/>
              <w:keepLines/>
              <w:jc w:val="both"/>
              <w:rPr>
                <w:rFonts w:cs="Times New Roman"/>
                <w:sz w:val="20"/>
                <w:szCs w:val="20"/>
                <w:lang w:val="en-GB"/>
              </w:rPr>
            </w:pPr>
            <w:r w:rsidRPr="00DD0B49">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DD0B49" w:rsidRPr="00DD0B49" w:rsidRDefault="00DD0B49" w:rsidP="003B3977">
            <w:pPr>
              <w:rPr>
                <w:rFonts w:cs="Times New Roman"/>
                <w:b/>
                <w:bCs/>
                <w:sz w:val="20"/>
                <w:szCs w:val="20"/>
                <w:lang w:val="en-GB"/>
              </w:rPr>
            </w:pPr>
          </w:p>
        </w:tc>
        <w:tc>
          <w:tcPr>
            <w:tcW w:w="4320" w:type="dxa"/>
            <w:tcBorders>
              <w:top w:val="nil"/>
              <w:left w:val="nil"/>
              <w:bottom w:val="nil"/>
              <w:right w:val="nil"/>
            </w:tcBorders>
          </w:tcPr>
          <w:p w:rsidR="00DD0B49" w:rsidRPr="00DD0B49" w:rsidRDefault="00DD0B49" w:rsidP="00DD0B49">
            <w:pPr>
              <w:keepNext/>
              <w:keepLines/>
              <w:jc w:val="both"/>
              <w:rPr>
                <w:rFonts w:cs="Times New Roman"/>
                <w:b/>
                <w:bCs/>
                <w:sz w:val="20"/>
                <w:szCs w:val="20"/>
                <w:lang w:val="fr-CA"/>
              </w:rPr>
            </w:pPr>
            <w:r w:rsidRPr="00DD0B49">
              <w:rPr>
                <w:rFonts w:cs="Times New Roman"/>
                <w:b/>
                <w:bCs/>
                <w:sz w:val="20"/>
                <w:szCs w:val="20"/>
                <w:lang w:val="fr-CA"/>
              </w:rPr>
              <w:t>LES INTITULÉS UTILISÉS DANS CETTE TABLE SONT LES INTITULÉS NORMALISÉS DE LA RUBRIQUE "RÉPERTORIÉ" DANS CHAQUE ARRÊT.</w:t>
            </w:r>
          </w:p>
        </w:tc>
      </w:tr>
      <w:tr w:rsidR="00DD0B49" w:rsidRPr="00DD0B49" w:rsidTr="003B3977">
        <w:tc>
          <w:tcPr>
            <w:tcW w:w="4320" w:type="dxa"/>
            <w:tcBorders>
              <w:top w:val="nil"/>
              <w:left w:val="nil"/>
              <w:bottom w:val="nil"/>
              <w:right w:val="nil"/>
            </w:tcBorders>
          </w:tcPr>
          <w:p w:rsidR="00DD0B49" w:rsidRPr="00DD0B49" w:rsidRDefault="00DD0B49" w:rsidP="003B3977">
            <w:pPr>
              <w:rPr>
                <w:rFonts w:cs="Times New Roman"/>
                <w:sz w:val="20"/>
                <w:szCs w:val="20"/>
                <w:lang w:val="en-GB"/>
              </w:rPr>
            </w:pPr>
            <w:r w:rsidRPr="00DD0B49">
              <w:rPr>
                <w:rFonts w:cs="Times New Roman"/>
                <w:b/>
                <w:bCs/>
                <w:sz w:val="20"/>
                <w:szCs w:val="20"/>
                <w:lang w:val="en-GB"/>
              </w:rPr>
              <w:t>Judgments reported in [201</w:t>
            </w:r>
            <w:r w:rsidR="00A87D43">
              <w:rPr>
                <w:rFonts w:cs="Times New Roman"/>
                <w:b/>
                <w:bCs/>
                <w:sz w:val="20"/>
                <w:szCs w:val="20"/>
                <w:lang w:val="en-GB"/>
              </w:rPr>
              <w:t>3</w:t>
            </w:r>
            <w:r w:rsidRPr="00DD0B49">
              <w:rPr>
                <w:rFonts w:cs="Times New Roman"/>
                <w:b/>
                <w:bCs/>
                <w:sz w:val="20"/>
                <w:szCs w:val="20"/>
                <w:lang w:val="en-GB"/>
              </w:rPr>
              <w:t xml:space="preserve">] 1 S.C.R. Part </w:t>
            </w:r>
            <w:r w:rsidR="00A87D43">
              <w:rPr>
                <w:rFonts w:cs="Times New Roman"/>
                <w:b/>
                <w:bCs/>
                <w:sz w:val="20"/>
                <w:szCs w:val="20"/>
                <w:lang w:val="en-GB"/>
              </w:rPr>
              <w:t>1</w:t>
            </w:r>
          </w:p>
          <w:p w:rsidR="00DD0B49" w:rsidRPr="00DD0B49" w:rsidRDefault="00DD0B49" w:rsidP="003B3977">
            <w:pPr>
              <w:rPr>
                <w:rFonts w:cs="Times New Roman"/>
                <w:sz w:val="20"/>
                <w:szCs w:val="20"/>
                <w:lang w:val="en-GB"/>
              </w:rPr>
            </w:pPr>
          </w:p>
          <w:p w:rsidR="00DD0B49" w:rsidRPr="00DD0B49" w:rsidRDefault="0051469D" w:rsidP="003B3977">
            <w:pPr>
              <w:rPr>
                <w:rFonts w:cs="Times New Roman"/>
                <w:sz w:val="20"/>
                <w:szCs w:val="20"/>
                <w:lang w:val="en-GB"/>
              </w:rPr>
            </w:pPr>
            <w:r>
              <w:rPr>
                <w:rFonts w:cs="Times New Roman"/>
                <w:sz w:val="20"/>
                <w:szCs w:val="20"/>
                <w:lang w:val="en-GB"/>
              </w:rPr>
              <w:t xml:space="preserve">Quebec </w:t>
            </w:r>
            <w:r w:rsidR="00DD0B49" w:rsidRPr="00DD0B49">
              <w:rPr>
                <w:rFonts w:cs="Times New Roman"/>
                <w:sz w:val="20"/>
                <w:szCs w:val="20"/>
                <w:lang w:val="en-GB"/>
              </w:rPr>
              <w:t>(</w:t>
            </w:r>
            <w:r>
              <w:rPr>
                <w:rFonts w:cs="Times New Roman"/>
                <w:sz w:val="20"/>
                <w:szCs w:val="20"/>
                <w:lang w:val="en-GB"/>
              </w:rPr>
              <w:t>A</w:t>
            </w:r>
            <w:r w:rsidR="00DD0B49" w:rsidRPr="00DD0B49">
              <w:rPr>
                <w:rFonts w:cs="Times New Roman"/>
                <w:sz w:val="20"/>
                <w:szCs w:val="20"/>
                <w:lang w:val="en-GB"/>
              </w:rPr>
              <w:t>t</w:t>
            </w:r>
            <w:r>
              <w:rPr>
                <w:rFonts w:cs="Times New Roman"/>
                <w:sz w:val="20"/>
                <w:szCs w:val="20"/>
                <w:lang w:val="en-GB"/>
              </w:rPr>
              <w:t>torne</w:t>
            </w:r>
            <w:r w:rsidR="00DD0B49" w:rsidRPr="00DD0B49">
              <w:rPr>
                <w:rFonts w:cs="Times New Roman"/>
                <w:sz w:val="20"/>
                <w:szCs w:val="20"/>
                <w:lang w:val="en-GB"/>
              </w:rPr>
              <w:t xml:space="preserve">y </w:t>
            </w:r>
            <w:r>
              <w:rPr>
                <w:rFonts w:cs="Times New Roman"/>
                <w:sz w:val="20"/>
                <w:szCs w:val="20"/>
                <w:lang w:val="en-GB"/>
              </w:rPr>
              <w:t>Ge</w:t>
            </w:r>
            <w:r w:rsidR="00DD0B49" w:rsidRPr="00DD0B49">
              <w:rPr>
                <w:rFonts w:cs="Times New Roman"/>
                <w:sz w:val="20"/>
                <w:szCs w:val="20"/>
                <w:lang w:val="en-GB"/>
              </w:rPr>
              <w:t>n</w:t>
            </w:r>
            <w:r>
              <w:rPr>
                <w:rFonts w:cs="Times New Roman"/>
                <w:sz w:val="20"/>
                <w:szCs w:val="20"/>
                <w:lang w:val="en-GB"/>
              </w:rPr>
              <w:t>eral</w:t>
            </w:r>
            <w:r w:rsidR="00DD0B49" w:rsidRPr="00DD0B49">
              <w:rPr>
                <w:rFonts w:cs="Times New Roman"/>
                <w:sz w:val="20"/>
                <w:szCs w:val="20"/>
                <w:lang w:val="en-GB"/>
              </w:rPr>
              <w:t xml:space="preserve">) </w:t>
            </w:r>
            <w:r w:rsidR="00DD0B49" w:rsidRPr="00DD0B49">
              <w:rPr>
                <w:rFonts w:cs="Times New Roman"/>
                <w:i/>
                <w:sz w:val="20"/>
                <w:szCs w:val="20"/>
                <w:lang w:val="en-GB"/>
              </w:rPr>
              <w:t>v.</w:t>
            </w:r>
            <w:r w:rsidR="00DD0B49" w:rsidRPr="00DD0B49">
              <w:rPr>
                <w:rFonts w:cs="Times New Roman"/>
                <w:sz w:val="20"/>
                <w:szCs w:val="20"/>
                <w:lang w:val="en-GB"/>
              </w:rPr>
              <w:t xml:space="preserve"> </w:t>
            </w:r>
            <w:r>
              <w:rPr>
                <w:rFonts w:cs="Times New Roman"/>
                <w:sz w:val="20"/>
                <w:szCs w:val="20"/>
                <w:lang w:val="en-GB"/>
              </w:rPr>
              <w:t>A</w:t>
            </w:r>
            <w:r w:rsidR="00DD0B49" w:rsidRPr="00DD0B49">
              <w:rPr>
                <w:rFonts w:cs="Times New Roman"/>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2805EB">
              <w:rPr>
                <w:rFonts w:cs="Times New Roman"/>
                <w:sz w:val="20"/>
                <w:szCs w:val="20"/>
                <w:lang w:val="en-GB"/>
              </w:rPr>
              <w:t>3</w:t>
            </w:r>
            <w:r w:rsidRPr="00DD0B49">
              <w:rPr>
                <w:rFonts w:cs="Times New Roman"/>
                <w:sz w:val="20"/>
                <w:szCs w:val="20"/>
                <w:lang w:val="en-GB"/>
              </w:rPr>
              <w:t xml:space="preserve"> SCC </w:t>
            </w:r>
            <w:r w:rsidR="0051469D">
              <w:rPr>
                <w:rFonts w:cs="Times New Roman"/>
                <w:sz w:val="20"/>
                <w:szCs w:val="20"/>
                <w:lang w:val="en-GB"/>
              </w:rPr>
              <w:t>5</w:t>
            </w:r>
            <w:r w:rsidRPr="00DD0B49">
              <w:rPr>
                <w:rFonts w:cs="Times New Roman"/>
                <w:sz w:val="20"/>
                <w:szCs w:val="20"/>
                <w:lang w:val="en-GB"/>
              </w:rPr>
              <w:t>, [201</w:t>
            </w:r>
            <w:r w:rsidR="002805EB">
              <w:rPr>
                <w:rFonts w:cs="Times New Roman"/>
                <w:sz w:val="20"/>
                <w:szCs w:val="20"/>
                <w:lang w:val="en-GB"/>
              </w:rPr>
              <w:t>3</w:t>
            </w:r>
            <w:r w:rsidRPr="00DD0B49">
              <w:rPr>
                <w:rFonts w:cs="Times New Roman"/>
                <w:sz w:val="20"/>
                <w:szCs w:val="20"/>
                <w:lang w:val="en-GB"/>
              </w:rPr>
              <w:t xml:space="preserve">] 1 S.C.R. </w:t>
            </w:r>
            <w:r w:rsidR="0051469D">
              <w:rPr>
                <w:rFonts w:cs="Times New Roman"/>
                <w:sz w:val="20"/>
                <w:szCs w:val="20"/>
                <w:lang w:val="en-GB"/>
              </w:rPr>
              <w:t>6</w:t>
            </w:r>
            <w:r w:rsidRPr="00DD0B49">
              <w:rPr>
                <w:rFonts w:cs="Times New Roman"/>
                <w:sz w:val="20"/>
                <w:szCs w:val="20"/>
                <w:lang w:val="en-GB"/>
              </w:rPr>
              <w:t>1</w:t>
            </w:r>
          </w:p>
          <w:p w:rsidR="00DD0B49" w:rsidRPr="00DD0B49" w:rsidRDefault="00DD0B49" w:rsidP="003B3977">
            <w:pPr>
              <w:rPr>
                <w:rFonts w:cs="Times New Roman"/>
                <w:sz w:val="20"/>
                <w:szCs w:val="20"/>
                <w:lang w:val="en-GB"/>
              </w:rPr>
            </w:pPr>
          </w:p>
          <w:p w:rsidR="00DD0B49" w:rsidRPr="00DD0B49" w:rsidRDefault="00DD0B49" w:rsidP="003B3977">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v.</w:t>
            </w:r>
            <w:r w:rsidRPr="00DD0B49">
              <w:rPr>
                <w:rFonts w:cs="Times New Roman"/>
                <w:iCs/>
                <w:sz w:val="20"/>
                <w:szCs w:val="20"/>
                <w:lang w:val="en-GB"/>
              </w:rPr>
              <w:t xml:space="preserve"> </w:t>
            </w:r>
            <w:r w:rsidR="0051469D">
              <w:rPr>
                <w:rFonts w:cs="Times New Roman"/>
                <w:iCs/>
                <w:sz w:val="20"/>
                <w:szCs w:val="20"/>
                <w:lang w:val="en-GB"/>
              </w:rPr>
              <w:t>Ma</w:t>
            </w:r>
            <w:r w:rsidRPr="00DD0B49">
              <w:rPr>
                <w:rFonts w:cs="Times New Roman"/>
                <w:iCs/>
                <w:sz w:val="20"/>
                <w:szCs w:val="20"/>
                <w:lang w:val="en-GB"/>
              </w:rPr>
              <w:t>n</w:t>
            </w:r>
            <w:r w:rsidR="0051469D">
              <w:rPr>
                <w:rFonts w:cs="Times New Roman"/>
                <w:iCs/>
                <w:sz w:val="20"/>
                <w:szCs w:val="20"/>
                <w:lang w:val="en-GB"/>
              </w:rPr>
              <w:t>ning</w:t>
            </w:r>
            <w:r w:rsidRPr="00DD0B49">
              <w:rPr>
                <w:rFonts w:cs="Times New Roman"/>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2805EB">
              <w:rPr>
                <w:rFonts w:cs="Times New Roman"/>
                <w:sz w:val="20"/>
                <w:szCs w:val="20"/>
                <w:lang w:val="en-GB"/>
              </w:rPr>
              <w:t>3</w:t>
            </w:r>
            <w:r w:rsidRPr="00DD0B49">
              <w:rPr>
                <w:rFonts w:cs="Times New Roman"/>
                <w:sz w:val="20"/>
                <w:szCs w:val="20"/>
                <w:lang w:val="en-GB"/>
              </w:rPr>
              <w:t xml:space="preserve"> SCC </w:t>
            </w:r>
            <w:r w:rsidR="0051469D">
              <w:rPr>
                <w:rFonts w:cs="Times New Roman"/>
                <w:sz w:val="20"/>
                <w:szCs w:val="20"/>
                <w:lang w:val="en-GB"/>
              </w:rPr>
              <w:t>1</w:t>
            </w:r>
            <w:r w:rsidRPr="00DD0B49">
              <w:rPr>
                <w:rFonts w:cs="Times New Roman"/>
                <w:sz w:val="20"/>
                <w:szCs w:val="20"/>
                <w:lang w:val="en-GB"/>
              </w:rPr>
              <w:t>, [201</w:t>
            </w:r>
            <w:r w:rsidR="002805EB">
              <w:rPr>
                <w:rFonts w:cs="Times New Roman"/>
                <w:sz w:val="20"/>
                <w:szCs w:val="20"/>
                <w:lang w:val="en-GB"/>
              </w:rPr>
              <w:t>3</w:t>
            </w:r>
            <w:r w:rsidRPr="00DD0B49">
              <w:rPr>
                <w:rFonts w:cs="Times New Roman"/>
                <w:sz w:val="20"/>
                <w:szCs w:val="20"/>
                <w:lang w:val="en-GB"/>
              </w:rPr>
              <w:t xml:space="preserve">] 1 S.C.R. </w:t>
            </w:r>
            <w:r w:rsidR="0051469D">
              <w:rPr>
                <w:rFonts w:cs="Times New Roman"/>
                <w:sz w:val="20"/>
                <w:szCs w:val="20"/>
                <w:lang w:val="en-GB"/>
              </w:rPr>
              <w:t>3</w:t>
            </w:r>
          </w:p>
          <w:p w:rsidR="00DD0B49" w:rsidRPr="00DD0B49" w:rsidRDefault="00DD0B49" w:rsidP="003B3977">
            <w:pPr>
              <w:rPr>
                <w:rFonts w:cs="Times New Roman"/>
                <w:iCs/>
                <w:sz w:val="20"/>
                <w:szCs w:val="20"/>
                <w:lang w:val="en-GB"/>
              </w:rPr>
            </w:pPr>
          </w:p>
          <w:p w:rsidR="00DD0B49" w:rsidRPr="00DD0B49" w:rsidRDefault="00DD0B49" w:rsidP="003B3977">
            <w:pPr>
              <w:rPr>
                <w:rFonts w:cs="Times New Roman"/>
                <w:iCs/>
                <w:sz w:val="20"/>
                <w:szCs w:val="20"/>
                <w:lang w:val="en-GB"/>
              </w:rPr>
            </w:pPr>
            <w:r w:rsidRPr="00DD0B49">
              <w:rPr>
                <w:rFonts w:cs="Times New Roman"/>
                <w:iCs/>
                <w:sz w:val="20"/>
                <w:szCs w:val="20"/>
                <w:lang w:val="en-GB"/>
              </w:rPr>
              <w:t xml:space="preserve">R. </w:t>
            </w:r>
            <w:r w:rsidRPr="00DD0B49">
              <w:rPr>
                <w:rFonts w:cs="Times New Roman"/>
                <w:i/>
                <w:iCs/>
                <w:sz w:val="20"/>
                <w:szCs w:val="20"/>
                <w:lang w:val="en-GB"/>
              </w:rPr>
              <w:t>v.</w:t>
            </w:r>
            <w:r w:rsidRPr="00DD0B49">
              <w:rPr>
                <w:rFonts w:cs="Times New Roman"/>
                <w:iCs/>
                <w:sz w:val="20"/>
                <w:szCs w:val="20"/>
                <w:lang w:val="en-GB"/>
              </w:rPr>
              <w:t xml:space="preserve"> </w:t>
            </w:r>
            <w:r w:rsidR="0051469D">
              <w:rPr>
                <w:rFonts w:cs="Times New Roman"/>
                <w:iCs/>
                <w:sz w:val="20"/>
                <w:szCs w:val="20"/>
                <w:lang w:val="en-GB"/>
              </w:rPr>
              <w:t>O’B</w:t>
            </w:r>
            <w:r w:rsidRPr="00DD0B49">
              <w:rPr>
                <w:rFonts w:cs="Times New Roman"/>
                <w:iCs/>
                <w:sz w:val="20"/>
                <w:szCs w:val="20"/>
                <w:lang w:val="en-GB"/>
              </w:rPr>
              <w:t>r</w:t>
            </w:r>
            <w:r w:rsidR="0051469D">
              <w:rPr>
                <w:rFonts w:cs="Times New Roman"/>
                <w:iCs/>
                <w:sz w:val="20"/>
                <w:szCs w:val="20"/>
                <w:lang w:val="en-GB"/>
              </w:rPr>
              <w:t>i</w:t>
            </w:r>
            <w:r w:rsidRPr="00DD0B49">
              <w:rPr>
                <w:rFonts w:cs="Times New Roman"/>
                <w:iCs/>
                <w:sz w:val="20"/>
                <w:szCs w:val="20"/>
                <w:lang w:val="en-GB"/>
              </w:rPr>
              <w:t>e</w:t>
            </w:r>
            <w:r w:rsidR="0051469D">
              <w:rPr>
                <w:rFonts w:cs="Times New Roman"/>
                <w:iCs/>
                <w:sz w:val="20"/>
                <w:szCs w:val="20"/>
                <w:lang w:val="en-GB"/>
              </w:rPr>
              <w:t>n</w:t>
            </w:r>
            <w:r w:rsidRPr="00DD0B49">
              <w:rPr>
                <w:rFonts w:cs="Times New Roman"/>
                <w:iCs/>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2805EB">
              <w:rPr>
                <w:rFonts w:cs="Times New Roman"/>
                <w:sz w:val="20"/>
                <w:szCs w:val="20"/>
                <w:lang w:val="en-GB"/>
              </w:rPr>
              <w:t>3</w:t>
            </w:r>
            <w:r w:rsidRPr="00DD0B49">
              <w:rPr>
                <w:rFonts w:cs="Times New Roman"/>
                <w:sz w:val="20"/>
                <w:szCs w:val="20"/>
                <w:lang w:val="en-GB"/>
              </w:rPr>
              <w:t xml:space="preserve"> SCC </w:t>
            </w:r>
            <w:r w:rsidR="0051469D">
              <w:rPr>
                <w:rFonts w:cs="Times New Roman"/>
                <w:sz w:val="20"/>
                <w:szCs w:val="20"/>
                <w:lang w:val="en-GB"/>
              </w:rPr>
              <w:t>2</w:t>
            </w:r>
            <w:r w:rsidRPr="00DD0B49">
              <w:rPr>
                <w:rFonts w:cs="Times New Roman"/>
                <w:sz w:val="20"/>
                <w:szCs w:val="20"/>
                <w:lang w:val="en-GB"/>
              </w:rPr>
              <w:t>, [201</w:t>
            </w:r>
            <w:r w:rsidR="002805EB">
              <w:rPr>
                <w:rFonts w:cs="Times New Roman"/>
                <w:sz w:val="20"/>
                <w:szCs w:val="20"/>
                <w:lang w:val="en-GB"/>
              </w:rPr>
              <w:t>3</w:t>
            </w:r>
            <w:r w:rsidRPr="00DD0B49">
              <w:rPr>
                <w:rFonts w:cs="Times New Roman"/>
                <w:sz w:val="20"/>
                <w:szCs w:val="20"/>
                <w:lang w:val="en-GB"/>
              </w:rPr>
              <w:t xml:space="preserve">] 1 S.C.R. </w:t>
            </w:r>
            <w:r w:rsidR="0051469D">
              <w:rPr>
                <w:rFonts w:cs="Times New Roman"/>
                <w:sz w:val="20"/>
                <w:szCs w:val="20"/>
                <w:lang w:val="en-GB"/>
              </w:rPr>
              <w:t>7</w:t>
            </w:r>
          </w:p>
          <w:p w:rsidR="00DD0B49" w:rsidRPr="00DD0B49" w:rsidRDefault="00DD0B49" w:rsidP="003B3977">
            <w:pPr>
              <w:rPr>
                <w:rFonts w:cs="Times New Roman"/>
                <w:sz w:val="20"/>
                <w:szCs w:val="20"/>
                <w:lang w:val="en-GB"/>
              </w:rPr>
            </w:pPr>
          </w:p>
          <w:p w:rsidR="00DD0B49" w:rsidRPr="00DD0B49" w:rsidRDefault="00DD0B49" w:rsidP="003B3977">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v.</w:t>
            </w:r>
            <w:r w:rsidRPr="00DD0B49">
              <w:rPr>
                <w:rFonts w:cs="Times New Roman"/>
                <w:sz w:val="20"/>
                <w:szCs w:val="20"/>
                <w:lang w:val="en-GB"/>
              </w:rPr>
              <w:t xml:space="preserve"> </w:t>
            </w:r>
            <w:r w:rsidR="0051469D">
              <w:rPr>
                <w:rFonts w:cs="Times New Roman"/>
                <w:sz w:val="20"/>
                <w:szCs w:val="20"/>
                <w:lang w:val="en-GB"/>
              </w:rPr>
              <w:t>Ryan</w:t>
            </w:r>
            <w:r w:rsidRPr="00DD0B49">
              <w:rPr>
                <w:rFonts w:cs="Times New Roman"/>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2805EB">
              <w:rPr>
                <w:rFonts w:cs="Times New Roman"/>
                <w:sz w:val="20"/>
                <w:szCs w:val="20"/>
                <w:lang w:val="en-GB"/>
              </w:rPr>
              <w:t>3</w:t>
            </w:r>
            <w:r w:rsidRPr="00DD0B49">
              <w:rPr>
                <w:rFonts w:cs="Times New Roman"/>
                <w:sz w:val="20"/>
                <w:szCs w:val="20"/>
                <w:lang w:val="en-GB"/>
              </w:rPr>
              <w:t xml:space="preserve"> SCC </w:t>
            </w:r>
            <w:r w:rsidR="0051469D">
              <w:rPr>
                <w:rFonts w:cs="Times New Roman"/>
                <w:sz w:val="20"/>
                <w:szCs w:val="20"/>
                <w:lang w:val="en-GB"/>
              </w:rPr>
              <w:t>3</w:t>
            </w:r>
            <w:r w:rsidRPr="00DD0B49">
              <w:rPr>
                <w:rFonts w:cs="Times New Roman"/>
                <w:sz w:val="20"/>
                <w:szCs w:val="20"/>
                <w:lang w:val="en-GB"/>
              </w:rPr>
              <w:t>, [201</w:t>
            </w:r>
            <w:r w:rsidR="002805EB">
              <w:rPr>
                <w:rFonts w:cs="Times New Roman"/>
                <w:sz w:val="20"/>
                <w:szCs w:val="20"/>
                <w:lang w:val="en-GB"/>
              </w:rPr>
              <w:t>3</w:t>
            </w:r>
            <w:r w:rsidRPr="00DD0B49">
              <w:rPr>
                <w:rFonts w:cs="Times New Roman"/>
                <w:sz w:val="20"/>
                <w:szCs w:val="20"/>
                <w:lang w:val="en-GB"/>
              </w:rPr>
              <w:t>] 1 S.C.R. 1</w:t>
            </w:r>
            <w:r w:rsidR="0051469D">
              <w:rPr>
                <w:rFonts w:cs="Times New Roman"/>
                <w:sz w:val="20"/>
                <w:szCs w:val="20"/>
                <w:lang w:val="en-GB"/>
              </w:rPr>
              <w:t>4</w:t>
            </w:r>
          </w:p>
          <w:p w:rsidR="00DD0B49" w:rsidRPr="00DD0B49" w:rsidRDefault="00DD0B49" w:rsidP="003B3977">
            <w:pPr>
              <w:rPr>
                <w:rFonts w:cs="Times New Roman"/>
                <w:sz w:val="20"/>
                <w:szCs w:val="20"/>
                <w:lang w:val="en-GB"/>
              </w:rPr>
            </w:pPr>
          </w:p>
          <w:p w:rsidR="00DD0B49" w:rsidRPr="00DD0B49" w:rsidRDefault="00DD0B49" w:rsidP="003B3977">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v</w:t>
            </w:r>
            <w:r w:rsidRPr="00DD0B49">
              <w:rPr>
                <w:rFonts w:cs="Times New Roman"/>
                <w:sz w:val="20"/>
                <w:szCs w:val="20"/>
                <w:lang w:val="en-GB"/>
              </w:rPr>
              <w:t>. S</w:t>
            </w:r>
            <w:r w:rsidR="0051469D">
              <w:rPr>
                <w:rFonts w:cs="Times New Roman"/>
                <w:sz w:val="20"/>
                <w:szCs w:val="20"/>
                <w:lang w:val="en-GB"/>
              </w:rPr>
              <w:t>anichar</w:t>
            </w:r>
            <w:r w:rsidRPr="00DD0B49">
              <w:rPr>
                <w:rFonts w:cs="Times New Roman"/>
                <w:sz w:val="20"/>
                <w:szCs w:val="20"/>
                <w:lang w:val="en-GB"/>
              </w:rPr>
              <w:t>,</w:t>
            </w:r>
          </w:p>
          <w:p w:rsidR="00DD0B49" w:rsidRPr="00DD0B49" w:rsidRDefault="00DD0B49" w:rsidP="003B3977">
            <w:pPr>
              <w:rPr>
                <w:rFonts w:cs="Times New Roman"/>
                <w:sz w:val="20"/>
                <w:szCs w:val="20"/>
              </w:rPr>
            </w:pPr>
            <w:r w:rsidRPr="00DD0B49">
              <w:rPr>
                <w:rFonts w:cs="Times New Roman"/>
                <w:sz w:val="20"/>
                <w:szCs w:val="20"/>
              </w:rPr>
              <w:t>201</w:t>
            </w:r>
            <w:r w:rsidR="002805EB">
              <w:rPr>
                <w:rFonts w:cs="Times New Roman"/>
                <w:sz w:val="20"/>
                <w:szCs w:val="20"/>
              </w:rPr>
              <w:t>3</w:t>
            </w:r>
            <w:r w:rsidRPr="00DD0B49">
              <w:rPr>
                <w:rFonts w:cs="Times New Roman"/>
                <w:sz w:val="20"/>
                <w:szCs w:val="20"/>
              </w:rPr>
              <w:t xml:space="preserve"> SCC </w:t>
            </w:r>
            <w:r w:rsidR="0051469D">
              <w:rPr>
                <w:rFonts w:cs="Times New Roman"/>
                <w:sz w:val="20"/>
                <w:szCs w:val="20"/>
              </w:rPr>
              <w:t>4</w:t>
            </w:r>
            <w:r w:rsidRPr="00DD0B49">
              <w:rPr>
                <w:rFonts w:cs="Times New Roman"/>
                <w:sz w:val="20"/>
                <w:szCs w:val="20"/>
              </w:rPr>
              <w:t>, [201</w:t>
            </w:r>
            <w:r w:rsidR="002805EB">
              <w:rPr>
                <w:rFonts w:cs="Times New Roman"/>
                <w:sz w:val="20"/>
                <w:szCs w:val="20"/>
              </w:rPr>
              <w:t>3</w:t>
            </w:r>
            <w:r w:rsidRPr="00DD0B49">
              <w:rPr>
                <w:rFonts w:cs="Times New Roman"/>
                <w:sz w:val="20"/>
                <w:szCs w:val="20"/>
              </w:rPr>
              <w:t xml:space="preserve">] 1 S.C.R. </w:t>
            </w:r>
            <w:r w:rsidR="0051469D">
              <w:rPr>
                <w:rFonts w:cs="Times New Roman"/>
                <w:sz w:val="20"/>
                <w:szCs w:val="20"/>
              </w:rPr>
              <w:t>54</w:t>
            </w:r>
          </w:p>
          <w:p w:rsidR="00DD0B49" w:rsidRPr="00DD0B49" w:rsidRDefault="00DD0B49" w:rsidP="003B3977">
            <w:pPr>
              <w:keepNext/>
              <w:keepLines/>
              <w:rPr>
                <w:rFonts w:cs="Times New Roman"/>
                <w:bCs/>
                <w:sz w:val="20"/>
                <w:szCs w:val="20"/>
                <w:lang w:val="fr-CA"/>
              </w:rPr>
            </w:pPr>
          </w:p>
          <w:p w:rsidR="00DD0B49" w:rsidRPr="00DD0B49" w:rsidRDefault="00E672F1" w:rsidP="003B3977">
            <w:pPr>
              <w:keepNext/>
              <w:keepLines/>
              <w:rPr>
                <w:rFonts w:cs="Times New Roman"/>
                <w:bCs/>
                <w:sz w:val="20"/>
                <w:szCs w:val="20"/>
                <w:lang w:val="fr-CA"/>
              </w:rPr>
            </w:pPr>
            <w:r>
              <w:rPr>
                <w:rFonts w:cs="Times New Roman"/>
                <w:sz w:val="20"/>
                <w:szCs w:val="20"/>
              </w:rPr>
              <w:pict>
                <v:rect id="_x0000_i1081" style="width:129.6pt;height:1pt" o:hrpct="600" o:hralign="center" o:hrstd="t" o:hrnoshade="t" o:hr="t" fillcolor="black [3213]" stroked="f"/>
              </w:pict>
            </w:r>
          </w:p>
          <w:p w:rsidR="00DD0B49" w:rsidRPr="00DD0B49" w:rsidRDefault="00DD0B49" w:rsidP="003B3977">
            <w:pPr>
              <w:keepNext/>
              <w:keepLines/>
              <w:rPr>
                <w:rFonts w:cs="Times New Roman"/>
                <w:bCs/>
                <w:sz w:val="20"/>
                <w:szCs w:val="20"/>
                <w:lang w:val="fr-CA"/>
              </w:rPr>
            </w:pPr>
          </w:p>
        </w:tc>
        <w:tc>
          <w:tcPr>
            <w:tcW w:w="840" w:type="dxa"/>
            <w:tcBorders>
              <w:top w:val="nil"/>
              <w:left w:val="nil"/>
              <w:bottom w:val="nil"/>
              <w:right w:val="nil"/>
            </w:tcBorders>
          </w:tcPr>
          <w:p w:rsidR="00DD0B49" w:rsidRPr="00DD0B49" w:rsidRDefault="00DD0B49" w:rsidP="003B3977">
            <w:pPr>
              <w:rPr>
                <w:rFonts w:cs="Times New Roman"/>
                <w:b/>
                <w:bCs/>
                <w:sz w:val="20"/>
                <w:szCs w:val="20"/>
                <w:lang w:val="fr-CA"/>
              </w:rPr>
            </w:pPr>
          </w:p>
        </w:tc>
        <w:tc>
          <w:tcPr>
            <w:tcW w:w="4320" w:type="dxa"/>
            <w:tcBorders>
              <w:top w:val="nil"/>
              <w:left w:val="nil"/>
              <w:bottom w:val="nil"/>
              <w:right w:val="nil"/>
            </w:tcBorders>
          </w:tcPr>
          <w:p w:rsidR="00DD0B49" w:rsidRPr="00DD0B49" w:rsidRDefault="00DD0B49" w:rsidP="003B3977">
            <w:pPr>
              <w:rPr>
                <w:rFonts w:cs="Times New Roman"/>
                <w:b/>
                <w:bCs/>
                <w:sz w:val="20"/>
                <w:szCs w:val="20"/>
                <w:lang w:val="fr-CA"/>
              </w:rPr>
            </w:pPr>
            <w:r w:rsidRPr="00DD0B49">
              <w:rPr>
                <w:rFonts w:cs="Times New Roman"/>
                <w:b/>
                <w:bCs/>
                <w:sz w:val="20"/>
                <w:szCs w:val="20"/>
                <w:lang w:val="fr-CA"/>
              </w:rPr>
              <w:t>Jugements publiés dans [201</w:t>
            </w:r>
            <w:r w:rsidR="00A87D43">
              <w:rPr>
                <w:rFonts w:cs="Times New Roman"/>
                <w:b/>
                <w:bCs/>
                <w:sz w:val="20"/>
                <w:szCs w:val="20"/>
                <w:lang w:val="fr-CA"/>
              </w:rPr>
              <w:t>3</w:t>
            </w:r>
            <w:r w:rsidRPr="00DD0B49">
              <w:rPr>
                <w:rFonts w:cs="Times New Roman"/>
                <w:b/>
                <w:bCs/>
                <w:sz w:val="20"/>
                <w:szCs w:val="20"/>
                <w:lang w:val="fr-CA"/>
              </w:rPr>
              <w:t xml:space="preserve">] 1 R.C.S. Partie </w:t>
            </w:r>
            <w:r w:rsidR="00A87D43">
              <w:rPr>
                <w:rFonts w:cs="Times New Roman"/>
                <w:b/>
                <w:bCs/>
                <w:sz w:val="20"/>
                <w:szCs w:val="20"/>
                <w:lang w:val="fr-CA"/>
              </w:rPr>
              <w:t>1</w:t>
            </w:r>
          </w:p>
          <w:p w:rsidR="00DD0B49" w:rsidRPr="00DD0B49" w:rsidRDefault="00DD0B49" w:rsidP="003B3977">
            <w:pPr>
              <w:rPr>
                <w:rFonts w:cs="Times New Roman"/>
                <w:b/>
                <w:bCs/>
                <w:sz w:val="20"/>
                <w:szCs w:val="20"/>
                <w:lang w:val="fr-CA"/>
              </w:rPr>
            </w:pPr>
          </w:p>
          <w:p w:rsidR="00DD0B49" w:rsidRPr="00DD0B49" w:rsidRDefault="0051469D" w:rsidP="003B3977">
            <w:pPr>
              <w:rPr>
                <w:rFonts w:cs="Times New Roman"/>
                <w:sz w:val="20"/>
                <w:szCs w:val="20"/>
                <w:lang w:val="fr-CA"/>
              </w:rPr>
            </w:pPr>
            <w:r>
              <w:rPr>
                <w:rFonts w:cs="Times New Roman"/>
                <w:sz w:val="20"/>
                <w:szCs w:val="20"/>
                <w:lang w:val="fr-CA"/>
              </w:rPr>
              <w:t xml:space="preserve">Québec </w:t>
            </w:r>
            <w:r w:rsidR="00DD0B49" w:rsidRPr="00DD0B49">
              <w:rPr>
                <w:rFonts w:cs="Times New Roman"/>
                <w:sz w:val="20"/>
                <w:szCs w:val="20"/>
                <w:lang w:val="fr-CA"/>
              </w:rPr>
              <w:t>(</w:t>
            </w:r>
            <w:r>
              <w:rPr>
                <w:rFonts w:cs="Times New Roman"/>
                <w:sz w:val="20"/>
                <w:szCs w:val="20"/>
                <w:lang w:val="fr-CA"/>
              </w:rPr>
              <w:t>Procu</w:t>
            </w:r>
            <w:r w:rsidR="00DD0B49" w:rsidRPr="00DD0B49">
              <w:rPr>
                <w:rFonts w:cs="Times New Roman"/>
                <w:sz w:val="20"/>
                <w:szCs w:val="20"/>
                <w:lang w:val="fr-CA"/>
              </w:rPr>
              <w:t>re</w:t>
            </w:r>
            <w:r>
              <w:rPr>
                <w:rFonts w:cs="Times New Roman"/>
                <w:sz w:val="20"/>
                <w:szCs w:val="20"/>
                <w:lang w:val="fr-CA"/>
              </w:rPr>
              <w:t>ur g</w:t>
            </w:r>
            <w:r w:rsidR="00DD0B49" w:rsidRPr="00DD0B49">
              <w:rPr>
                <w:rFonts w:cs="Times New Roman"/>
                <w:sz w:val="20"/>
                <w:szCs w:val="20"/>
                <w:lang w:val="fr-CA"/>
              </w:rPr>
              <w:t>é</w:t>
            </w:r>
            <w:r>
              <w:rPr>
                <w:rFonts w:cs="Times New Roman"/>
                <w:sz w:val="20"/>
                <w:szCs w:val="20"/>
                <w:lang w:val="fr-CA"/>
              </w:rPr>
              <w:t>n</w:t>
            </w:r>
            <w:r w:rsidR="00DD0B49" w:rsidRPr="00DD0B49">
              <w:rPr>
                <w:rFonts w:cs="Times New Roman"/>
                <w:sz w:val="20"/>
                <w:szCs w:val="20"/>
                <w:lang w:val="fr-CA"/>
              </w:rPr>
              <w:t>ér</w:t>
            </w:r>
            <w:r>
              <w:rPr>
                <w:rFonts w:cs="Times New Roman"/>
                <w:sz w:val="20"/>
                <w:szCs w:val="20"/>
                <w:lang w:val="fr-CA"/>
              </w:rPr>
              <w:t>a</w:t>
            </w:r>
            <w:r w:rsidR="00DD0B49" w:rsidRPr="00DD0B49">
              <w:rPr>
                <w:rFonts w:cs="Times New Roman"/>
                <w:sz w:val="20"/>
                <w:szCs w:val="20"/>
                <w:lang w:val="fr-CA"/>
              </w:rPr>
              <w:t xml:space="preserve">l) </w:t>
            </w:r>
            <w:r w:rsidR="00DD0B49" w:rsidRPr="00DD0B49">
              <w:rPr>
                <w:rFonts w:cs="Times New Roman"/>
                <w:i/>
                <w:sz w:val="20"/>
                <w:szCs w:val="20"/>
                <w:lang w:val="fr-CA"/>
              </w:rPr>
              <w:t>c.</w:t>
            </w:r>
            <w:r w:rsidR="00DD0B49" w:rsidRPr="00DD0B49">
              <w:rPr>
                <w:rFonts w:cs="Times New Roman"/>
                <w:sz w:val="20"/>
                <w:szCs w:val="20"/>
                <w:lang w:val="fr-CA"/>
              </w:rPr>
              <w:t xml:space="preserve"> A,</w:t>
            </w:r>
          </w:p>
          <w:p w:rsidR="00DD0B49" w:rsidRPr="00DD0B49" w:rsidRDefault="00DD0B49" w:rsidP="003B3977">
            <w:pPr>
              <w:rPr>
                <w:rFonts w:cs="Times New Roman"/>
                <w:sz w:val="20"/>
                <w:szCs w:val="20"/>
              </w:rPr>
            </w:pPr>
            <w:r w:rsidRPr="00DD0B49">
              <w:rPr>
                <w:rFonts w:cs="Times New Roman"/>
                <w:sz w:val="20"/>
                <w:szCs w:val="20"/>
              </w:rPr>
              <w:t>201</w:t>
            </w:r>
            <w:r w:rsidR="002805EB">
              <w:rPr>
                <w:rFonts w:cs="Times New Roman"/>
                <w:sz w:val="20"/>
                <w:szCs w:val="20"/>
              </w:rPr>
              <w:t>3</w:t>
            </w:r>
            <w:r w:rsidRPr="00DD0B49">
              <w:rPr>
                <w:rFonts w:cs="Times New Roman"/>
                <w:sz w:val="20"/>
                <w:szCs w:val="20"/>
              </w:rPr>
              <w:t xml:space="preserve"> CSC </w:t>
            </w:r>
            <w:r w:rsidR="0051469D">
              <w:rPr>
                <w:rFonts w:cs="Times New Roman"/>
                <w:sz w:val="20"/>
                <w:szCs w:val="20"/>
              </w:rPr>
              <w:t>5</w:t>
            </w:r>
            <w:r w:rsidRPr="00DD0B49">
              <w:rPr>
                <w:rFonts w:cs="Times New Roman"/>
                <w:sz w:val="20"/>
                <w:szCs w:val="20"/>
              </w:rPr>
              <w:t>, [201</w:t>
            </w:r>
            <w:r w:rsidR="002805EB">
              <w:rPr>
                <w:rFonts w:cs="Times New Roman"/>
                <w:sz w:val="20"/>
                <w:szCs w:val="20"/>
              </w:rPr>
              <w:t>3</w:t>
            </w:r>
            <w:r w:rsidRPr="00DD0B49">
              <w:rPr>
                <w:rFonts w:cs="Times New Roman"/>
                <w:sz w:val="20"/>
                <w:szCs w:val="20"/>
              </w:rPr>
              <w:t xml:space="preserve">] 1 R.C.S. </w:t>
            </w:r>
            <w:r w:rsidR="0051469D">
              <w:rPr>
                <w:rFonts w:cs="Times New Roman"/>
                <w:sz w:val="20"/>
                <w:szCs w:val="20"/>
              </w:rPr>
              <w:t>6</w:t>
            </w:r>
            <w:r w:rsidRPr="00DD0B49">
              <w:rPr>
                <w:rFonts w:cs="Times New Roman"/>
                <w:sz w:val="20"/>
                <w:szCs w:val="20"/>
              </w:rPr>
              <w:t>1</w:t>
            </w:r>
          </w:p>
          <w:p w:rsidR="00DD0B49" w:rsidRPr="00DD0B49" w:rsidRDefault="00DD0B49" w:rsidP="003B3977">
            <w:pPr>
              <w:rPr>
                <w:rFonts w:cs="Times New Roman"/>
                <w:sz w:val="20"/>
                <w:szCs w:val="20"/>
              </w:rPr>
            </w:pPr>
          </w:p>
          <w:p w:rsidR="00DD0B49" w:rsidRPr="00DD0B49" w:rsidRDefault="00DD0B49" w:rsidP="003B3977">
            <w:pPr>
              <w:rPr>
                <w:rFonts w:cs="Times New Roman"/>
                <w:sz w:val="20"/>
                <w:szCs w:val="20"/>
              </w:rPr>
            </w:pPr>
            <w:r w:rsidRPr="00DD0B49">
              <w:rPr>
                <w:rFonts w:cs="Times New Roman"/>
                <w:sz w:val="20"/>
                <w:szCs w:val="20"/>
              </w:rPr>
              <w:t xml:space="preserve">R. </w:t>
            </w:r>
            <w:r w:rsidRPr="00DD0B49">
              <w:rPr>
                <w:rFonts w:cs="Times New Roman"/>
                <w:i/>
                <w:iCs/>
                <w:sz w:val="20"/>
                <w:szCs w:val="20"/>
              </w:rPr>
              <w:t>c.</w:t>
            </w:r>
            <w:r w:rsidRPr="00DD0B49">
              <w:rPr>
                <w:rFonts w:cs="Times New Roman"/>
                <w:iCs/>
                <w:sz w:val="20"/>
                <w:szCs w:val="20"/>
              </w:rPr>
              <w:t xml:space="preserve"> </w:t>
            </w:r>
            <w:r w:rsidR="0051469D">
              <w:rPr>
                <w:rFonts w:cs="Times New Roman"/>
                <w:iCs/>
                <w:sz w:val="20"/>
                <w:szCs w:val="20"/>
              </w:rPr>
              <w:t>Ma</w:t>
            </w:r>
            <w:r w:rsidRPr="00DD0B49">
              <w:rPr>
                <w:rFonts w:cs="Times New Roman"/>
                <w:iCs/>
                <w:sz w:val="20"/>
                <w:szCs w:val="20"/>
              </w:rPr>
              <w:t>n</w:t>
            </w:r>
            <w:r w:rsidR="0051469D">
              <w:rPr>
                <w:rFonts w:cs="Times New Roman"/>
                <w:iCs/>
                <w:sz w:val="20"/>
                <w:szCs w:val="20"/>
              </w:rPr>
              <w:t>ning</w:t>
            </w:r>
            <w:r w:rsidRPr="00DD0B49">
              <w:rPr>
                <w:rFonts w:cs="Times New Roman"/>
                <w:sz w:val="20"/>
                <w:szCs w:val="20"/>
              </w:rPr>
              <w:t>,</w:t>
            </w:r>
          </w:p>
          <w:p w:rsidR="00DD0B49" w:rsidRPr="00DD0B49" w:rsidRDefault="00DD0B49" w:rsidP="003B3977">
            <w:pPr>
              <w:rPr>
                <w:rFonts w:cs="Times New Roman"/>
                <w:sz w:val="20"/>
                <w:szCs w:val="20"/>
              </w:rPr>
            </w:pPr>
            <w:r w:rsidRPr="00DD0B49">
              <w:rPr>
                <w:rFonts w:cs="Times New Roman"/>
                <w:sz w:val="20"/>
                <w:szCs w:val="20"/>
              </w:rPr>
              <w:t>201</w:t>
            </w:r>
            <w:r w:rsidR="002805EB">
              <w:rPr>
                <w:rFonts w:cs="Times New Roman"/>
                <w:sz w:val="20"/>
                <w:szCs w:val="20"/>
              </w:rPr>
              <w:t>3</w:t>
            </w:r>
            <w:r w:rsidRPr="00DD0B49">
              <w:rPr>
                <w:rFonts w:cs="Times New Roman"/>
                <w:sz w:val="20"/>
                <w:szCs w:val="20"/>
              </w:rPr>
              <w:t xml:space="preserve"> CSC </w:t>
            </w:r>
            <w:r w:rsidR="0051469D">
              <w:rPr>
                <w:rFonts w:cs="Times New Roman"/>
                <w:sz w:val="20"/>
                <w:szCs w:val="20"/>
              </w:rPr>
              <w:t>1</w:t>
            </w:r>
            <w:r w:rsidRPr="00DD0B49">
              <w:rPr>
                <w:rFonts w:cs="Times New Roman"/>
                <w:sz w:val="20"/>
                <w:szCs w:val="20"/>
              </w:rPr>
              <w:t>, [201</w:t>
            </w:r>
            <w:r w:rsidR="002805EB">
              <w:rPr>
                <w:rFonts w:cs="Times New Roman"/>
                <w:sz w:val="20"/>
                <w:szCs w:val="20"/>
              </w:rPr>
              <w:t>3</w:t>
            </w:r>
            <w:r w:rsidRPr="00DD0B49">
              <w:rPr>
                <w:rFonts w:cs="Times New Roman"/>
                <w:sz w:val="20"/>
                <w:szCs w:val="20"/>
              </w:rPr>
              <w:t xml:space="preserve">] 1 R.C.S. </w:t>
            </w:r>
            <w:r w:rsidR="0051469D">
              <w:rPr>
                <w:rFonts w:cs="Times New Roman"/>
                <w:sz w:val="20"/>
                <w:szCs w:val="20"/>
              </w:rPr>
              <w:t>3</w:t>
            </w:r>
          </w:p>
          <w:p w:rsidR="00DD0B49" w:rsidRPr="00DD0B49" w:rsidRDefault="00DD0B49" w:rsidP="003B3977">
            <w:pPr>
              <w:rPr>
                <w:rFonts w:cs="Times New Roman"/>
                <w:iCs/>
                <w:sz w:val="20"/>
                <w:szCs w:val="20"/>
              </w:rPr>
            </w:pPr>
          </w:p>
          <w:p w:rsidR="00DD0B49" w:rsidRPr="00DD0B49" w:rsidRDefault="00DD0B49" w:rsidP="003B3977">
            <w:pPr>
              <w:rPr>
                <w:rFonts w:cs="Times New Roman"/>
                <w:iCs/>
                <w:sz w:val="20"/>
                <w:szCs w:val="20"/>
                <w:lang w:val="en-GB"/>
              </w:rPr>
            </w:pPr>
            <w:r w:rsidRPr="00DD0B49">
              <w:rPr>
                <w:rFonts w:cs="Times New Roman"/>
                <w:iCs/>
                <w:sz w:val="20"/>
                <w:szCs w:val="20"/>
                <w:lang w:val="en-GB"/>
              </w:rPr>
              <w:t xml:space="preserve">R. </w:t>
            </w:r>
            <w:r w:rsidRPr="00DD0B49">
              <w:rPr>
                <w:rFonts w:cs="Times New Roman"/>
                <w:i/>
                <w:iCs/>
                <w:sz w:val="20"/>
                <w:szCs w:val="20"/>
                <w:lang w:val="en-GB"/>
              </w:rPr>
              <w:t>c.</w:t>
            </w:r>
            <w:r w:rsidRPr="00DD0B49">
              <w:rPr>
                <w:rFonts w:cs="Times New Roman"/>
                <w:iCs/>
                <w:sz w:val="20"/>
                <w:szCs w:val="20"/>
                <w:lang w:val="en-GB"/>
              </w:rPr>
              <w:t xml:space="preserve"> </w:t>
            </w:r>
            <w:r w:rsidR="0051469D">
              <w:rPr>
                <w:rFonts w:cs="Times New Roman"/>
                <w:iCs/>
                <w:sz w:val="20"/>
                <w:szCs w:val="20"/>
                <w:lang w:val="en-GB"/>
              </w:rPr>
              <w:t>O’B</w:t>
            </w:r>
            <w:r w:rsidRPr="00DD0B49">
              <w:rPr>
                <w:rFonts w:cs="Times New Roman"/>
                <w:iCs/>
                <w:sz w:val="20"/>
                <w:szCs w:val="20"/>
                <w:lang w:val="en-GB"/>
              </w:rPr>
              <w:t>r</w:t>
            </w:r>
            <w:r w:rsidR="0051469D">
              <w:rPr>
                <w:rFonts w:cs="Times New Roman"/>
                <w:iCs/>
                <w:sz w:val="20"/>
                <w:szCs w:val="20"/>
                <w:lang w:val="en-GB"/>
              </w:rPr>
              <w:t>i</w:t>
            </w:r>
            <w:r w:rsidRPr="00DD0B49">
              <w:rPr>
                <w:rFonts w:cs="Times New Roman"/>
                <w:iCs/>
                <w:sz w:val="20"/>
                <w:szCs w:val="20"/>
                <w:lang w:val="en-GB"/>
              </w:rPr>
              <w:t>e</w:t>
            </w:r>
            <w:r w:rsidR="0051469D">
              <w:rPr>
                <w:rFonts w:cs="Times New Roman"/>
                <w:iCs/>
                <w:sz w:val="20"/>
                <w:szCs w:val="20"/>
                <w:lang w:val="en-GB"/>
              </w:rPr>
              <w:t>n</w:t>
            </w:r>
            <w:r w:rsidRPr="00DD0B49">
              <w:rPr>
                <w:rFonts w:cs="Times New Roman"/>
                <w:iCs/>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2805EB">
              <w:rPr>
                <w:rFonts w:cs="Times New Roman"/>
                <w:sz w:val="20"/>
                <w:szCs w:val="20"/>
                <w:lang w:val="en-GB"/>
              </w:rPr>
              <w:t>3</w:t>
            </w:r>
            <w:r w:rsidRPr="00DD0B49">
              <w:rPr>
                <w:rFonts w:cs="Times New Roman"/>
                <w:sz w:val="20"/>
                <w:szCs w:val="20"/>
                <w:lang w:val="en-GB"/>
              </w:rPr>
              <w:t xml:space="preserve"> CSC </w:t>
            </w:r>
            <w:r w:rsidR="0051469D">
              <w:rPr>
                <w:rFonts w:cs="Times New Roman"/>
                <w:sz w:val="20"/>
                <w:szCs w:val="20"/>
                <w:lang w:val="en-GB"/>
              </w:rPr>
              <w:t>2</w:t>
            </w:r>
            <w:r w:rsidRPr="00DD0B49">
              <w:rPr>
                <w:rFonts w:cs="Times New Roman"/>
                <w:sz w:val="20"/>
                <w:szCs w:val="20"/>
                <w:lang w:val="en-GB"/>
              </w:rPr>
              <w:t>, [201</w:t>
            </w:r>
            <w:r w:rsidR="002805EB">
              <w:rPr>
                <w:rFonts w:cs="Times New Roman"/>
                <w:sz w:val="20"/>
                <w:szCs w:val="20"/>
                <w:lang w:val="en-GB"/>
              </w:rPr>
              <w:t>3</w:t>
            </w:r>
            <w:r w:rsidRPr="00DD0B49">
              <w:rPr>
                <w:rFonts w:cs="Times New Roman"/>
                <w:sz w:val="20"/>
                <w:szCs w:val="20"/>
                <w:lang w:val="en-GB"/>
              </w:rPr>
              <w:t>] 1 R.C.S. 7</w:t>
            </w:r>
          </w:p>
          <w:p w:rsidR="00DD0B49" w:rsidRPr="00DD0B49" w:rsidRDefault="00DD0B49" w:rsidP="003B3977">
            <w:pPr>
              <w:rPr>
                <w:rFonts w:cs="Times New Roman"/>
                <w:sz w:val="20"/>
                <w:szCs w:val="20"/>
                <w:lang w:val="en-GB"/>
              </w:rPr>
            </w:pPr>
          </w:p>
          <w:p w:rsidR="00DD0B49" w:rsidRPr="00DD0B49" w:rsidRDefault="00DD0B49" w:rsidP="003B3977">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c.</w:t>
            </w:r>
            <w:r w:rsidRPr="00DD0B49">
              <w:rPr>
                <w:rFonts w:cs="Times New Roman"/>
                <w:sz w:val="20"/>
                <w:szCs w:val="20"/>
                <w:lang w:val="en-GB"/>
              </w:rPr>
              <w:t xml:space="preserve"> </w:t>
            </w:r>
            <w:r w:rsidR="0051469D">
              <w:rPr>
                <w:rFonts w:cs="Times New Roman"/>
                <w:sz w:val="20"/>
                <w:szCs w:val="20"/>
                <w:lang w:val="en-GB"/>
              </w:rPr>
              <w:t>Ryan</w:t>
            </w:r>
            <w:r w:rsidRPr="00DD0B49">
              <w:rPr>
                <w:rFonts w:cs="Times New Roman"/>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2805EB">
              <w:rPr>
                <w:rFonts w:cs="Times New Roman"/>
                <w:sz w:val="20"/>
                <w:szCs w:val="20"/>
                <w:lang w:val="en-GB"/>
              </w:rPr>
              <w:t>3</w:t>
            </w:r>
            <w:r w:rsidRPr="00DD0B49">
              <w:rPr>
                <w:rFonts w:cs="Times New Roman"/>
                <w:sz w:val="20"/>
                <w:szCs w:val="20"/>
                <w:lang w:val="en-GB"/>
              </w:rPr>
              <w:t xml:space="preserve"> CSC </w:t>
            </w:r>
            <w:r w:rsidR="0051469D">
              <w:rPr>
                <w:rFonts w:cs="Times New Roman"/>
                <w:sz w:val="20"/>
                <w:szCs w:val="20"/>
                <w:lang w:val="en-GB"/>
              </w:rPr>
              <w:t>3</w:t>
            </w:r>
            <w:r w:rsidRPr="00DD0B49">
              <w:rPr>
                <w:rFonts w:cs="Times New Roman"/>
                <w:sz w:val="20"/>
                <w:szCs w:val="20"/>
                <w:lang w:val="en-GB"/>
              </w:rPr>
              <w:t>, [201</w:t>
            </w:r>
            <w:r w:rsidR="002805EB">
              <w:rPr>
                <w:rFonts w:cs="Times New Roman"/>
                <w:sz w:val="20"/>
                <w:szCs w:val="20"/>
                <w:lang w:val="en-GB"/>
              </w:rPr>
              <w:t>3</w:t>
            </w:r>
            <w:r w:rsidRPr="00DD0B49">
              <w:rPr>
                <w:rFonts w:cs="Times New Roman"/>
                <w:sz w:val="20"/>
                <w:szCs w:val="20"/>
                <w:lang w:val="en-GB"/>
              </w:rPr>
              <w:t>] 1 R.C.S. 1</w:t>
            </w:r>
            <w:r w:rsidR="0051469D">
              <w:rPr>
                <w:rFonts w:cs="Times New Roman"/>
                <w:sz w:val="20"/>
                <w:szCs w:val="20"/>
                <w:lang w:val="en-GB"/>
              </w:rPr>
              <w:t>4</w:t>
            </w:r>
          </w:p>
          <w:p w:rsidR="00DD0B49" w:rsidRPr="00DD0B49" w:rsidRDefault="00DD0B49" w:rsidP="003B3977">
            <w:pPr>
              <w:rPr>
                <w:rFonts w:cs="Times New Roman"/>
                <w:sz w:val="20"/>
                <w:szCs w:val="20"/>
                <w:lang w:val="en-GB"/>
              </w:rPr>
            </w:pPr>
          </w:p>
          <w:p w:rsidR="00DD0B49" w:rsidRPr="00DD0B49" w:rsidRDefault="00DD0B49" w:rsidP="003B3977">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c</w:t>
            </w:r>
            <w:r w:rsidRPr="00DD0B49">
              <w:rPr>
                <w:rFonts w:cs="Times New Roman"/>
                <w:sz w:val="20"/>
                <w:szCs w:val="20"/>
                <w:lang w:val="en-GB"/>
              </w:rPr>
              <w:t>. S</w:t>
            </w:r>
            <w:r w:rsidR="0051469D">
              <w:rPr>
                <w:rFonts w:cs="Times New Roman"/>
                <w:sz w:val="20"/>
                <w:szCs w:val="20"/>
                <w:lang w:val="en-GB"/>
              </w:rPr>
              <w:t>anichar</w:t>
            </w:r>
            <w:r w:rsidRPr="00DD0B49">
              <w:rPr>
                <w:rFonts w:cs="Times New Roman"/>
                <w:sz w:val="20"/>
                <w:szCs w:val="20"/>
                <w:lang w:val="en-GB"/>
              </w:rPr>
              <w:t>,</w:t>
            </w:r>
          </w:p>
          <w:p w:rsidR="00DD0B49" w:rsidRPr="00DD0B49" w:rsidRDefault="00DD0B49" w:rsidP="003B3977">
            <w:pPr>
              <w:rPr>
                <w:rFonts w:cs="Times New Roman"/>
                <w:sz w:val="20"/>
                <w:szCs w:val="20"/>
              </w:rPr>
            </w:pPr>
            <w:r w:rsidRPr="00DD0B49">
              <w:rPr>
                <w:rFonts w:cs="Times New Roman"/>
                <w:sz w:val="20"/>
                <w:szCs w:val="20"/>
              </w:rPr>
              <w:t>201</w:t>
            </w:r>
            <w:r w:rsidR="002805EB">
              <w:rPr>
                <w:rFonts w:cs="Times New Roman"/>
                <w:sz w:val="20"/>
                <w:szCs w:val="20"/>
              </w:rPr>
              <w:t>3</w:t>
            </w:r>
            <w:r w:rsidRPr="00DD0B49">
              <w:rPr>
                <w:rFonts w:cs="Times New Roman"/>
                <w:sz w:val="20"/>
                <w:szCs w:val="20"/>
              </w:rPr>
              <w:t xml:space="preserve"> CSC </w:t>
            </w:r>
            <w:r w:rsidR="0051469D">
              <w:rPr>
                <w:rFonts w:cs="Times New Roman"/>
                <w:sz w:val="20"/>
                <w:szCs w:val="20"/>
              </w:rPr>
              <w:t>4</w:t>
            </w:r>
            <w:r w:rsidRPr="00DD0B49">
              <w:rPr>
                <w:rFonts w:cs="Times New Roman"/>
                <w:sz w:val="20"/>
                <w:szCs w:val="20"/>
              </w:rPr>
              <w:t>, [201</w:t>
            </w:r>
            <w:r w:rsidR="002805EB">
              <w:rPr>
                <w:rFonts w:cs="Times New Roman"/>
                <w:sz w:val="20"/>
                <w:szCs w:val="20"/>
              </w:rPr>
              <w:t>3</w:t>
            </w:r>
            <w:r w:rsidRPr="00DD0B49">
              <w:rPr>
                <w:rFonts w:cs="Times New Roman"/>
                <w:sz w:val="20"/>
                <w:szCs w:val="20"/>
              </w:rPr>
              <w:t xml:space="preserve">] 1 R.C.S. </w:t>
            </w:r>
            <w:r w:rsidR="0051469D">
              <w:rPr>
                <w:rFonts w:cs="Times New Roman"/>
                <w:sz w:val="20"/>
                <w:szCs w:val="20"/>
              </w:rPr>
              <w:t>54</w:t>
            </w:r>
          </w:p>
          <w:p w:rsidR="00DD0B49" w:rsidRPr="00DD0B49" w:rsidRDefault="00DD0B49" w:rsidP="003B3977">
            <w:pPr>
              <w:keepNext/>
              <w:keepLines/>
              <w:rPr>
                <w:rFonts w:cs="Times New Roman"/>
                <w:bCs/>
                <w:sz w:val="20"/>
                <w:szCs w:val="20"/>
                <w:lang w:val="fr-CA"/>
              </w:rPr>
            </w:pPr>
          </w:p>
          <w:p w:rsidR="00DD0B49" w:rsidRPr="00DD0B49" w:rsidRDefault="00E672F1" w:rsidP="003B3977">
            <w:pPr>
              <w:rPr>
                <w:rFonts w:cs="Times New Roman"/>
                <w:sz w:val="20"/>
                <w:szCs w:val="20"/>
              </w:rPr>
            </w:pPr>
            <w:r>
              <w:rPr>
                <w:rFonts w:cs="Times New Roman"/>
                <w:sz w:val="20"/>
                <w:szCs w:val="20"/>
              </w:rPr>
              <w:pict>
                <v:rect id="_x0000_i1082" style="width:129.6pt;height:1pt" o:hrpct="600" o:hralign="center" o:hrstd="t" o:hrnoshade="t" o:hr="t" fillcolor="black [3213]" stroked="f"/>
              </w:pict>
            </w:r>
          </w:p>
          <w:p w:rsidR="00DD0B49" w:rsidRPr="00DD0B49" w:rsidRDefault="00DD0B49" w:rsidP="003B3977">
            <w:pPr>
              <w:keepNext/>
              <w:keepLines/>
              <w:rPr>
                <w:rFonts w:cs="Times New Roman"/>
                <w:bCs/>
                <w:sz w:val="20"/>
                <w:szCs w:val="20"/>
                <w:lang w:val="fr-CA"/>
              </w:rPr>
            </w:pPr>
          </w:p>
        </w:tc>
      </w:tr>
    </w:tbl>
    <w:p w:rsidR="00DD0B49" w:rsidRDefault="00DD0B49" w:rsidP="006B6926">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20"/>
        <w:gridCol w:w="840"/>
        <w:gridCol w:w="4320"/>
      </w:tblGrid>
      <w:tr w:rsidR="00A87D43" w:rsidRPr="00DD0B49" w:rsidTr="00FC7239">
        <w:tc>
          <w:tcPr>
            <w:tcW w:w="4320" w:type="dxa"/>
            <w:tcBorders>
              <w:top w:val="nil"/>
              <w:left w:val="nil"/>
              <w:bottom w:val="nil"/>
              <w:right w:val="nil"/>
            </w:tcBorders>
          </w:tcPr>
          <w:p w:rsidR="00A87D43" w:rsidRPr="00DD0B49" w:rsidRDefault="00A87D43" w:rsidP="00FC7239">
            <w:pPr>
              <w:rPr>
                <w:rFonts w:cs="Times New Roman"/>
                <w:sz w:val="20"/>
                <w:szCs w:val="20"/>
                <w:lang w:val="en-GB"/>
              </w:rPr>
            </w:pPr>
            <w:r w:rsidRPr="00DD0B49">
              <w:rPr>
                <w:rFonts w:cs="Times New Roman"/>
                <w:b/>
                <w:bCs/>
                <w:sz w:val="20"/>
                <w:szCs w:val="20"/>
                <w:lang w:val="en-GB"/>
              </w:rPr>
              <w:t>Judgments reported in [201</w:t>
            </w:r>
            <w:r>
              <w:rPr>
                <w:rFonts w:cs="Times New Roman"/>
                <w:b/>
                <w:bCs/>
                <w:sz w:val="20"/>
                <w:szCs w:val="20"/>
                <w:lang w:val="en-GB"/>
              </w:rPr>
              <w:t>3</w:t>
            </w:r>
            <w:r w:rsidRPr="00DD0B49">
              <w:rPr>
                <w:rFonts w:cs="Times New Roman"/>
                <w:b/>
                <w:bCs/>
                <w:sz w:val="20"/>
                <w:szCs w:val="20"/>
                <w:lang w:val="en-GB"/>
              </w:rPr>
              <w:t xml:space="preserve">] 1 S.C.R. Part </w:t>
            </w:r>
            <w:r>
              <w:rPr>
                <w:rFonts w:cs="Times New Roman"/>
                <w:b/>
                <w:bCs/>
                <w:sz w:val="20"/>
                <w:szCs w:val="20"/>
                <w:lang w:val="en-GB"/>
              </w:rPr>
              <w:t>2</w:t>
            </w:r>
          </w:p>
          <w:p w:rsidR="00A87D43" w:rsidRPr="00DD0B49" w:rsidRDefault="00A87D43" w:rsidP="00FC7239">
            <w:pPr>
              <w:rPr>
                <w:rFonts w:cs="Times New Roman"/>
                <w:sz w:val="20"/>
                <w:szCs w:val="20"/>
                <w:lang w:val="en-GB"/>
              </w:rPr>
            </w:pPr>
          </w:p>
          <w:p w:rsidR="00A87D43" w:rsidRPr="00762E80" w:rsidRDefault="00A87D43" w:rsidP="00FC7239">
            <w:pPr>
              <w:rPr>
                <w:rFonts w:cs="Times New Roman"/>
                <w:sz w:val="20"/>
                <w:szCs w:val="20"/>
                <w:lang w:val="fr-CA"/>
              </w:rPr>
            </w:pPr>
            <w:r w:rsidRPr="00762E80">
              <w:rPr>
                <w:rFonts w:cs="Times New Roman"/>
                <w:sz w:val="20"/>
                <w:szCs w:val="20"/>
                <w:lang w:val="fr-CA"/>
              </w:rPr>
              <w:t xml:space="preserve">R. </w:t>
            </w:r>
            <w:r w:rsidRPr="00762E80">
              <w:rPr>
                <w:rFonts w:cs="Times New Roman"/>
                <w:i/>
                <w:iCs/>
                <w:sz w:val="20"/>
                <w:szCs w:val="20"/>
                <w:lang w:val="fr-CA"/>
              </w:rPr>
              <w:t>v.</w:t>
            </w:r>
            <w:r w:rsidRPr="00762E80">
              <w:rPr>
                <w:rFonts w:cs="Times New Roman"/>
                <w:iCs/>
                <w:sz w:val="20"/>
                <w:szCs w:val="20"/>
                <w:lang w:val="fr-CA"/>
              </w:rPr>
              <w:t xml:space="preserve"> </w:t>
            </w:r>
            <w:r w:rsidR="0051469D" w:rsidRPr="00762E80">
              <w:rPr>
                <w:rFonts w:cs="Times New Roman"/>
                <w:iCs/>
                <w:sz w:val="20"/>
                <w:szCs w:val="20"/>
                <w:lang w:val="fr-CA"/>
              </w:rPr>
              <w:t>Béla</w:t>
            </w:r>
            <w:r w:rsidRPr="00762E80">
              <w:rPr>
                <w:rFonts w:cs="Times New Roman"/>
                <w:iCs/>
                <w:sz w:val="20"/>
                <w:szCs w:val="20"/>
                <w:lang w:val="fr-CA"/>
              </w:rPr>
              <w:t>n</w:t>
            </w:r>
            <w:r w:rsidR="0051469D" w:rsidRPr="00762E80">
              <w:rPr>
                <w:rFonts w:cs="Times New Roman"/>
                <w:iCs/>
                <w:sz w:val="20"/>
                <w:szCs w:val="20"/>
                <w:lang w:val="fr-CA"/>
              </w:rPr>
              <w:t>ger</w:t>
            </w:r>
            <w:r w:rsidRPr="00762E80">
              <w:rPr>
                <w:rFonts w:cs="Times New Roman"/>
                <w:sz w:val="20"/>
                <w:szCs w:val="20"/>
                <w:lang w:val="fr-CA"/>
              </w:rPr>
              <w:t>,</w:t>
            </w:r>
          </w:p>
          <w:p w:rsidR="00A87D43" w:rsidRPr="00762E80" w:rsidRDefault="00A87D43" w:rsidP="00FC7239">
            <w:pPr>
              <w:rPr>
                <w:rFonts w:cs="Times New Roman"/>
                <w:sz w:val="20"/>
                <w:szCs w:val="20"/>
                <w:lang w:val="fr-CA"/>
              </w:rPr>
            </w:pPr>
            <w:r w:rsidRPr="00762E80">
              <w:rPr>
                <w:rFonts w:cs="Times New Roman"/>
                <w:sz w:val="20"/>
                <w:szCs w:val="20"/>
                <w:lang w:val="fr-CA"/>
              </w:rPr>
              <w:t xml:space="preserve">2013 SCC </w:t>
            </w:r>
            <w:r w:rsidR="00762E80" w:rsidRPr="00762E80">
              <w:rPr>
                <w:rFonts w:cs="Times New Roman"/>
                <w:sz w:val="20"/>
                <w:szCs w:val="20"/>
                <w:lang w:val="fr-CA"/>
              </w:rPr>
              <w:t>7</w:t>
            </w:r>
            <w:r w:rsidRPr="00762E80">
              <w:rPr>
                <w:rFonts w:cs="Times New Roman"/>
                <w:sz w:val="20"/>
                <w:szCs w:val="20"/>
                <w:lang w:val="fr-CA"/>
              </w:rPr>
              <w:t xml:space="preserve">, [2013] 1 S.C.R. </w:t>
            </w:r>
            <w:r w:rsidR="00762E80" w:rsidRPr="00762E80">
              <w:rPr>
                <w:rFonts w:cs="Times New Roman"/>
                <w:sz w:val="20"/>
                <w:szCs w:val="20"/>
                <w:lang w:val="fr-CA"/>
              </w:rPr>
              <w:t>401</w:t>
            </w:r>
          </w:p>
          <w:p w:rsidR="00A87D43" w:rsidRPr="00762E80" w:rsidRDefault="00A87D43" w:rsidP="00FC7239">
            <w:pPr>
              <w:rPr>
                <w:rFonts w:cs="Times New Roman"/>
                <w:iCs/>
                <w:sz w:val="20"/>
                <w:szCs w:val="20"/>
                <w:lang w:val="fr-CA"/>
              </w:rPr>
            </w:pPr>
          </w:p>
          <w:p w:rsidR="00A87D43" w:rsidRPr="00DD0B49" w:rsidRDefault="00A87D43" w:rsidP="00FC7239">
            <w:pPr>
              <w:rPr>
                <w:rFonts w:cs="Times New Roman"/>
                <w:iCs/>
                <w:sz w:val="20"/>
                <w:szCs w:val="20"/>
                <w:lang w:val="en-GB"/>
              </w:rPr>
            </w:pPr>
            <w:r w:rsidRPr="00DD0B49">
              <w:rPr>
                <w:rFonts w:cs="Times New Roman"/>
                <w:iCs/>
                <w:sz w:val="20"/>
                <w:szCs w:val="20"/>
                <w:lang w:val="en-GB"/>
              </w:rPr>
              <w:t xml:space="preserve">R. </w:t>
            </w:r>
            <w:r w:rsidRPr="00DD0B49">
              <w:rPr>
                <w:rFonts w:cs="Times New Roman"/>
                <w:i/>
                <w:iCs/>
                <w:sz w:val="20"/>
                <w:szCs w:val="20"/>
                <w:lang w:val="en-GB"/>
              </w:rPr>
              <w:t>v.</w:t>
            </w:r>
            <w:r w:rsidRPr="00DD0B49">
              <w:rPr>
                <w:rFonts w:cs="Times New Roman"/>
                <w:iCs/>
                <w:sz w:val="20"/>
                <w:szCs w:val="20"/>
                <w:lang w:val="en-GB"/>
              </w:rPr>
              <w:t xml:space="preserve"> </w:t>
            </w:r>
            <w:r w:rsidR="00762E80">
              <w:rPr>
                <w:rFonts w:cs="Times New Roman"/>
                <w:iCs/>
                <w:sz w:val="20"/>
                <w:szCs w:val="20"/>
                <w:lang w:val="en-GB"/>
              </w:rPr>
              <w:t>B</w:t>
            </w:r>
            <w:r w:rsidRPr="00DD0B49">
              <w:rPr>
                <w:rFonts w:cs="Times New Roman"/>
                <w:iCs/>
                <w:sz w:val="20"/>
                <w:szCs w:val="20"/>
                <w:lang w:val="en-GB"/>
              </w:rPr>
              <w:t>l</w:t>
            </w:r>
            <w:r w:rsidR="00762E80">
              <w:rPr>
                <w:rFonts w:cs="Times New Roman"/>
                <w:iCs/>
                <w:sz w:val="20"/>
                <w:szCs w:val="20"/>
                <w:lang w:val="en-GB"/>
              </w:rPr>
              <w:t>acklaws</w:t>
            </w:r>
            <w:r w:rsidRPr="00DD0B49">
              <w:rPr>
                <w:rFonts w:cs="Times New Roman"/>
                <w:iCs/>
                <w:sz w:val="20"/>
                <w:szCs w:val="20"/>
                <w:lang w:val="en-GB"/>
              </w:rPr>
              <w:t>,</w:t>
            </w:r>
          </w:p>
          <w:p w:rsidR="00A87D43" w:rsidRPr="00DD0B49" w:rsidRDefault="00A87D43" w:rsidP="00FC7239">
            <w:pPr>
              <w:rPr>
                <w:rFonts w:cs="Times New Roman"/>
                <w:sz w:val="20"/>
                <w:szCs w:val="20"/>
                <w:lang w:val="en-GB"/>
              </w:rPr>
            </w:pPr>
            <w:r w:rsidRPr="00DD0B49">
              <w:rPr>
                <w:rFonts w:cs="Times New Roman"/>
                <w:sz w:val="20"/>
                <w:szCs w:val="20"/>
                <w:lang w:val="en-GB"/>
              </w:rPr>
              <w:t>201</w:t>
            </w:r>
            <w:r>
              <w:rPr>
                <w:rFonts w:cs="Times New Roman"/>
                <w:sz w:val="20"/>
                <w:szCs w:val="20"/>
                <w:lang w:val="en-GB"/>
              </w:rPr>
              <w:t>3</w:t>
            </w:r>
            <w:r w:rsidRPr="00DD0B49">
              <w:rPr>
                <w:rFonts w:cs="Times New Roman"/>
                <w:sz w:val="20"/>
                <w:szCs w:val="20"/>
                <w:lang w:val="en-GB"/>
              </w:rPr>
              <w:t xml:space="preserve"> SCC 8, [201</w:t>
            </w:r>
            <w:r>
              <w:rPr>
                <w:rFonts w:cs="Times New Roman"/>
                <w:sz w:val="20"/>
                <w:szCs w:val="20"/>
                <w:lang w:val="en-GB"/>
              </w:rPr>
              <w:t>3</w:t>
            </w:r>
            <w:r w:rsidRPr="00DD0B49">
              <w:rPr>
                <w:rFonts w:cs="Times New Roman"/>
                <w:sz w:val="20"/>
                <w:szCs w:val="20"/>
                <w:lang w:val="en-GB"/>
              </w:rPr>
              <w:t xml:space="preserve">] 1 S.C.R. </w:t>
            </w:r>
            <w:r w:rsidR="00762E80">
              <w:rPr>
                <w:rFonts w:cs="Times New Roman"/>
                <w:sz w:val="20"/>
                <w:szCs w:val="20"/>
                <w:lang w:val="en-GB"/>
              </w:rPr>
              <w:t>40</w:t>
            </w:r>
            <w:r w:rsidRPr="00DD0B49">
              <w:rPr>
                <w:rFonts w:cs="Times New Roman"/>
                <w:sz w:val="20"/>
                <w:szCs w:val="20"/>
                <w:lang w:val="en-GB"/>
              </w:rPr>
              <w:t>3</w:t>
            </w:r>
          </w:p>
          <w:p w:rsidR="00A87D43" w:rsidRPr="00DD0B49" w:rsidRDefault="00A87D43" w:rsidP="00FC7239">
            <w:pPr>
              <w:rPr>
                <w:rFonts w:cs="Times New Roman"/>
                <w:sz w:val="20"/>
                <w:szCs w:val="20"/>
                <w:lang w:val="en-GB"/>
              </w:rPr>
            </w:pPr>
          </w:p>
          <w:p w:rsidR="00A87D43" w:rsidRPr="00DD0B49" w:rsidRDefault="00A87D43" w:rsidP="00FC7239">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v.</w:t>
            </w:r>
            <w:r w:rsidRPr="00DD0B49">
              <w:rPr>
                <w:rFonts w:cs="Times New Roman"/>
                <w:sz w:val="20"/>
                <w:szCs w:val="20"/>
                <w:lang w:val="en-GB"/>
              </w:rPr>
              <w:t xml:space="preserve"> N</w:t>
            </w:r>
            <w:r w:rsidR="00762E80">
              <w:rPr>
                <w:rFonts w:cs="Times New Roman"/>
                <w:sz w:val="20"/>
                <w:szCs w:val="20"/>
                <w:lang w:val="en-GB"/>
              </w:rPr>
              <w:t>am</w:t>
            </w:r>
            <w:r w:rsidRPr="00DD0B49">
              <w:rPr>
                <w:rFonts w:cs="Times New Roman"/>
                <w:sz w:val="20"/>
                <w:szCs w:val="20"/>
                <w:lang w:val="en-GB"/>
              </w:rPr>
              <w:t>e</w:t>
            </w:r>
            <w:r w:rsidR="00762E80">
              <w:rPr>
                <w:rFonts w:cs="Times New Roman"/>
                <w:sz w:val="20"/>
                <w:szCs w:val="20"/>
                <w:lang w:val="en-GB"/>
              </w:rPr>
              <w:t>d Person B</w:t>
            </w:r>
            <w:r w:rsidRPr="00DD0B49">
              <w:rPr>
                <w:rFonts w:cs="Times New Roman"/>
                <w:sz w:val="20"/>
                <w:szCs w:val="20"/>
                <w:lang w:val="en-GB"/>
              </w:rPr>
              <w:t>,</w:t>
            </w:r>
          </w:p>
          <w:p w:rsidR="00A87D43" w:rsidRPr="00DD0B49" w:rsidRDefault="00A87D43" w:rsidP="00FC7239">
            <w:pPr>
              <w:rPr>
                <w:rFonts w:cs="Times New Roman"/>
                <w:sz w:val="20"/>
                <w:szCs w:val="20"/>
                <w:lang w:val="en-GB"/>
              </w:rPr>
            </w:pPr>
            <w:r w:rsidRPr="00DD0B49">
              <w:rPr>
                <w:rFonts w:cs="Times New Roman"/>
                <w:sz w:val="20"/>
                <w:szCs w:val="20"/>
                <w:lang w:val="en-GB"/>
              </w:rPr>
              <w:t>201</w:t>
            </w:r>
            <w:r>
              <w:rPr>
                <w:rFonts w:cs="Times New Roman"/>
                <w:sz w:val="20"/>
                <w:szCs w:val="20"/>
                <w:lang w:val="en-GB"/>
              </w:rPr>
              <w:t>3</w:t>
            </w:r>
            <w:r w:rsidRPr="00DD0B49">
              <w:rPr>
                <w:rFonts w:cs="Times New Roman"/>
                <w:sz w:val="20"/>
                <w:szCs w:val="20"/>
                <w:lang w:val="en-GB"/>
              </w:rPr>
              <w:t xml:space="preserve"> SCC </w:t>
            </w:r>
            <w:r w:rsidR="00762E80">
              <w:rPr>
                <w:rFonts w:cs="Times New Roman"/>
                <w:sz w:val="20"/>
                <w:szCs w:val="20"/>
                <w:lang w:val="en-GB"/>
              </w:rPr>
              <w:t>9</w:t>
            </w:r>
            <w:r w:rsidRPr="00DD0B49">
              <w:rPr>
                <w:rFonts w:cs="Times New Roman"/>
                <w:sz w:val="20"/>
                <w:szCs w:val="20"/>
                <w:lang w:val="en-GB"/>
              </w:rPr>
              <w:t>, [201</w:t>
            </w:r>
            <w:r>
              <w:rPr>
                <w:rFonts w:cs="Times New Roman"/>
                <w:sz w:val="20"/>
                <w:szCs w:val="20"/>
                <w:lang w:val="en-GB"/>
              </w:rPr>
              <w:t>3</w:t>
            </w:r>
            <w:r w:rsidRPr="00DD0B49">
              <w:rPr>
                <w:rFonts w:cs="Times New Roman"/>
                <w:sz w:val="20"/>
                <w:szCs w:val="20"/>
                <w:lang w:val="en-GB"/>
              </w:rPr>
              <w:t xml:space="preserve">] 1 S.C.R. </w:t>
            </w:r>
            <w:r w:rsidR="00762E80">
              <w:rPr>
                <w:rFonts w:cs="Times New Roman"/>
                <w:sz w:val="20"/>
                <w:szCs w:val="20"/>
                <w:lang w:val="en-GB"/>
              </w:rPr>
              <w:t>40</w:t>
            </w:r>
            <w:r w:rsidRPr="00DD0B49">
              <w:rPr>
                <w:rFonts w:cs="Times New Roman"/>
                <w:sz w:val="20"/>
                <w:szCs w:val="20"/>
                <w:lang w:val="en-GB"/>
              </w:rPr>
              <w:t>5</w:t>
            </w:r>
          </w:p>
          <w:p w:rsidR="00A87D43" w:rsidRPr="00DD0B49" w:rsidRDefault="00A87D43" w:rsidP="00FC7239">
            <w:pPr>
              <w:rPr>
                <w:rFonts w:cs="Times New Roman"/>
                <w:sz w:val="20"/>
                <w:szCs w:val="20"/>
                <w:lang w:val="en-GB"/>
              </w:rPr>
            </w:pPr>
          </w:p>
          <w:p w:rsidR="00A87D43" w:rsidRPr="00DD0B49" w:rsidRDefault="00A87D43" w:rsidP="00FC7239">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v</w:t>
            </w:r>
            <w:r w:rsidRPr="00DD0B49">
              <w:rPr>
                <w:rFonts w:cs="Times New Roman"/>
                <w:sz w:val="20"/>
                <w:szCs w:val="20"/>
                <w:lang w:val="en-GB"/>
              </w:rPr>
              <w:t>. T</w:t>
            </w:r>
            <w:r w:rsidR="00762E80">
              <w:rPr>
                <w:rFonts w:cs="Times New Roman"/>
                <w:sz w:val="20"/>
                <w:szCs w:val="20"/>
                <w:lang w:val="en-GB"/>
              </w:rPr>
              <w:t>aylor</w:t>
            </w:r>
            <w:r w:rsidRPr="00DD0B49">
              <w:rPr>
                <w:rFonts w:cs="Times New Roman"/>
                <w:sz w:val="20"/>
                <w:szCs w:val="20"/>
                <w:lang w:val="en-GB"/>
              </w:rPr>
              <w:t>,</w:t>
            </w:r>
          </w:p>
          <w:p w:rsidR="00A87D43" w:rsidRPr="00DD0B49" w:rsidRDefault="00A87D43" w:rsidP="00FC7239">
            <w:pPr>
              <w:rPr>
                <w:rFonts w:cs="Times New Roman"/>
                <w:sz w:val="20"/>
                <w:szCs w:val="20"/>
              </w:rPr>
            </w:pPr>
            <w:r w:rsidRPr="00DD0B49">
              <w:rPr>
                <w:rFonts w:cs="Times New Roman"/>
                <w:sz w:val="20"/>
                <w:szCs w:val="20"/>
              </w:rPr>
              <w:t>201</w:t>
            </w:r>
            <w:r>
              <w:rPr>
                <w:rFonts w:cs="Times New Roman"/>
                <w:sz w:val="20"/>
                <w:szCs w:val="20"/>
              </w:rPr>
              <w:t>3</w:t>
            </w:r>
            <w:r w:rsidRPr="00DD0B49">
              <w:rPr>
                <w:rFonts w:cs="Times New Roman"/>
                <w:sz w:val="20"/>
                <w:szCs w:val="20"/>
              </w:rPr>
              <w:t xml:space="preserve"> SCC</w:t>
            </w:r>
            <w:r w:rsidR="00762E80">
              <w:rPr>
                <w:rFonts w:cs="Times New Roman"/>
                <w:sz w:val="20"/>
                <w:szCs w:val="20"/>
              </w:rPr>
              <w:t xml:space="preserve"> 1</w:t>
            </w:r>
            <w:r w:rsidRPr="00DD0B49">
              <w:rPr>
                <w:rFonts w:cs="Times New Roman"/>
                <w:sz w:val="20"/>
                <w:szCs w:val="20"/>
              </w:rPr>
              <w:t>0, [201</w:t>
            </w:r>
            <w:r>
              <w:rPr>
                <w:rFonts w:cs="Times New Roman"/>
                <w:sz w:val="20"/>
                <w:szCs w:val="20"/>
              </w:rPr>
              <w:t>3</w:t>
            </w:r>
            <w:r w:rsidRPr="00DD0B49">
              <w:rPr>
                <w:rFonts w:cs="Times New Roman"/>
                <w:sz w:val="20"/>
                <w:szCs w:val="20"/>
              </w:rPr>
              <w:t xml:space="preserve">] 1 S.C.R. </w:t>
            </w:r>
            <w:r w:rsidR="00762E80">
              <w:rPr>
                <w:rFonts w:cs="Times New Roman"/>
                <w:sz w:val="20"/>
                <w:szCs w:val="20"/>
              </w:rPr>
              <w:t>465</w:t>
            </w:r>
          </w:p>
          <w:p w:rsidR="00A87D43" w:rsidRPr="00DD0B49" w:rsidRDefault="00A87D43" w:rsidP="00FC7239">
            <w:pPr>
              <w:rPr>
                <w:rFonts w:cs="Times New Roman"/>
                <w:sz w:val="20"/>
                <w:szCs w:val="20"/>
              </w:rPr>
            </w:pPr>
          </w:p>
          <w:p w:rsidR="00A87D43" w:rsidRPr="00DD0B49" w:rsidRDefault="00762E80" w:rsidP="00FC7239">
            <w:pPr>
              <w:rPr>
                <w:rFonts w:cs="Times New Roman"/>
                <w:sz w:val="20"/>
                <w:szCs w:val="20"/>
              </w:rPr>
            </w:pPr>
            <w:r>
              <w:rPr>
                <w:rFonts w:cs="Times New Roman"/>
                <w:sz w:val="20"/>
                <w:szCs w:val="20"/>
              </w:rPr>
              <w:t>Saska</w:t>
            </w:r>
            <w:r w:rsidR="00A87D43" w:rsidRPr="00DD0B49">
              <w:rPr>
                <w:rFonts w:cs="Times New Roman"/>
                <w:sz w:val="20"/>
                <w:szCs w:val="20"/>
              </w:rPr>
              <w:t>t</w:t>
            </w:r>
            <w:r>
              <w:rPr>
                <w:rFonts w:cs="Times New Roman"/>
                <w:sz w:val="20"/>
                <w:szCs w:val="20"/>
              </w:rPr>
              <w:t>chewan (Hum</w:t>
            </w:r>
            <w:r w:rsidR="00A87D43" w:rsidRPr="00DD0B49">
              <w:rPr>
                <w:rFonts w:cs="Times New Roman"/>
                <w:sz w:val="20"/>
                <w:szCs w:val="20"/>
              </w:rPr>
              <w:t>a</w:t>
            </w:r>
            <w:r>
              <w:rPr>
                <w:rFonts w:cs="Times New Roman"/>
                <w:sz w:val="20"/>
                <w:szCs w:val="20"/>
              </w:rPr>
              <w:t>n Rights Commi</w:t>
            </w:r>
            <w:r w:rsidR="00A87D43" w:rsidRPr="00DD0B49">
              <w:rPr>
                <w:rFonts w:cs="Times New Roman"/>
                <w:sz w:val="20"/>
                <w:szCs w:val="20"/>
              </w:rPr>
              <w:t>s</w:t>
            </w:r>
            <w:r>
              <w:rPr>
                <w:rFonts w:cs="Times New Roman"/>
                <w:sz w:val="20"/>
                <w:szCs w:val="20"/>
              </w:rPr>
              <w:t>sion)</w:t>
            </w:r>
            <w:r w:rsidR="00A87D43" w:rsidRPr="00DD0B49">
              <w:rPr>
                <w:rFonts w:cs="Times New Roman"/>
                <w:sz w:val="20"/>
                <w:szCs w:val="20"/>
              </w:rPr>
              <w:t xml:space="preserve"> </w:t>
            </w:r>
            <w:r w:rsidR="00A87D43" w:rsidRPr="00DD0B49">
              <w:rPr>
                <w:rFonts w:cs="Times New Roman"/>
                <w:i/>
                <w:iCs/>
                <w:sz w:val="20"/>
                <w:szCs w:val="20"/>
              </w:rPr>
              <w:t>v.</w:t>
            </w:r>
            <w:r w:rsidR="00A87D43" w:rsidRPr="00DD0B49">
              <w:rPr>
                <w:rFonts w:cs="Times New Roman"/>
                <w:sz w:val="20"/>
                <w:szCs w:val="20"/>
              </w:rPr>
              <w:t xml:space="preserve"> </w:t>
            </w:r>
            <w:r>
              <w:rPr>
                <w:rFonts w:cs="Times New Roman"/>
                <w:sz w:val="20"/>
                <w:szCs w:val="20"/>
              </w:rPr>
              <w:t>Wh</w:t>
            </w:r>
            <w:r w:rsidR="00A87D43" w:rsidRPr="00DD0B49">
              <w:rPr>
                <w:rFonts w:cs="Times New Roman"/>
                <w:sz w:val="20"/>
                <w:szCs w:val="20"/>
              </w:rPr>
              <w:t>a</w:t>
            </w:r>
            <w:r>
              <w:rPr>
                <w:rFonts w:cs="Times New Roman"/>
                <w:sz w:val="20"/>
                <w:szCs w:val="20"/>
              </w:rPr>
              <w:t>tcott</w:t>
            </w:r>
            <w:r w:rsidR="00A87D43" w:rsidRPr="00DD0B49">
              <w:rPr>
                <w:rFonts w:cs="Times New Roman"/>
                <w:sz w:val="20"/>
                <w:szCs w:val="20"/>
              </w:rPr>
              <w:t>,</w:t>
            </w:r>
          </w:p>
          <w:p w:rsidR="00A87D43" w:rsidRPr="00276DE5" w:rsidRDefault="00A87D43" w:rsidP="00FC7239">
            <w:pPr>
              <w:rPr>
                <w:rFonts w:cs="Times New Roman"/>
                <w:sz w:val="20"/>
                <w:szCs w:val="20"/>
              </w:rPr>
            </w:pPr>
            <w:r w:rsidRPr="00276DE5">
              <w:rPr>
                <w:rFonts w:cs="Times New Roman"/>
                <w:sz w:val="20"/>
                <w:szCs w:val="20"/>
              </w:rPr>
              <w:t xml:space="preserve">2013 SCC </w:t>
            </w:r>
            <w:r w:rsidR="00762E80" w:rsidRPr="00276DE5">
              <w:rPr>
                <w:rFonts w:cs="Times New Roman"/>
                <w:sz w:val="20"/>
                <w:szCs w:val="20"/>
              </w:rPr>
              <w:t>1</w:t>
            </w:r>
            <w:r w:rsidRPr="00276DE5">
              <w:rPr>
                <w:rFonts w:cs="Times New Roman"/>
                <w:sz w:val="20"/>
                <w:szCs w:val="20"/>
              </w:rPr>
              <w:t xml:space="preserve">1, [2013] 1 S.C.R. </w:t>
            </w:r>
            <w:r w:rsidR="00762E80" w:rsidRPr="00276DE5">
              <w:rPr>
                <w:rFonts w:cs="Times New Roman"/>
                <w:sz w:val="20"/>
                <w:szCs w:val="20"/>
              </w:rPr>
              <w:t>46</w:t>
            </w:r>
            <w:r w:rsidRPr="00276DE5">
              <w:rPr>
                <w:rFonts w:cs="Times New Roman"/>
                <w:sz w:val="20"/>
                <w:szCs w:val="20"/>
              </w:rPr>
              <w:t>7</w:t>
            </w:r>
          </w:p>
          <w:p w:rsidR="00A87D43" w:rsidRPr="00276DE5" w:rsidRDefault="00A87D43" w:rsidP="00FC7239">
            <w:pPr>
              <w:rPr>
                <w:rFonts w:cs="Times New Roman"/>
                <w:sz w:val="20"/>
                <w:szCs w:val="20"/>
              </w:rPr>
            </w:pPr>
          </w:p>
          <w:p w:rsidR="00A87D43" w:rsidRPr="00762E80" w:rsidRDefault="00762E80" w:rsidP="00FC7239">
            <w:pPr>
              <w:rPr>
                <w:rFonts w:cs="Times New Roman"/>
                <w:sz w:val="20"/>
                <w:szCs w:val="20"/>
              </w:rPr>
            </w:pPr>
            <w:r w:rsidRPr="00762E80">
              <w:rPr>
                <w:rFonts w:cs="Times New Roman"/>
                <w:sz w:val="20"/>
                <w:szCs w:val="20"/>
              </w:rPr>
              <w:t>S</w:t>
            </w:r>
            <w:r w:rsidR="00A87D43" w:rsidRPr="00762E80">
              <w:rPr>
                <w:rFonts w:cs="Times New Roman"/>
                <w:sz w:val="20"/>
                <w:szCs w:val="20"/>
              </w:rPr>
              <w:t>un</w:t>
            </w:r>
            <w:r w:rsidRPr="00762E80">
              <w:rPr>
                <w:rFonts w:cs="Times New Roman"/>
                <w:sz w:val="20"/>
                <w:szCs w:val="20"/>
              </w:rPr>
              <w:t xml:space="preserve"> Indal</w:t>
            </w:r>
            <w:r w:rsidR="00A87D43" w:rsidRPr="00762E80">
              <w:rPr>
                <w:rFonts w:cs="Times New Roman"/>
                <w:sz w:val="20"/>
                <w:szCs w:val="20"/>
              </w:rPr>
              <w:t>e</w:t>
            </w:r>
            <w:r w:rsidRPr="00762E80">
              <w:rPr>
                <w:rFonts w:cs="Times New Roman"/>
                <w:sz w:val="20"/>
                <w:szCs w:val="20"/>
              </w:rPr>
              <w:t>x Finance, LL</w:t>
            </w:r>
            <w:r w:rsidR="00A87D43" w:rsidRPr="00762E80">
              <w:rPr>
                <w:rFonts w:cs="Times New Roman"/>
                <w:sz w:val="20"/>
                <w:szCs w:val="20"/>
              </w:rPr>
              <w:t xml:space="preserve">C </w:t>
            </w:r>
            <w:r w:rsidR="00A87D43" w:rsidRPr="00762E80">
              <w:rPr>
                <w:rFonts w:cs="Times New Roman"/>
                <w:i/>
                <w:iCs/>
                <w:sz w:val="20"/>
                <w:szCs w:val="20"/>
              </w:rPr>
              <w:t xml:space="preserve">v. </w:t>
            </w:r>
            <w:r w:rsidRPr="00762E80">
              <w:rPr>
                <w:rFonts w:cs="Times New Roman"/>
                <w:iCs/>
                <w:sz w:val="20"/>
                <w:szCs w:val="20"/>
              </w:rPr>
              <w:t>Unit</w:t>
            </w:r>
            <w:r w:rsidR="00A87D43" w:rsidRPr="00762E80">
              <w:rPr>
                <w:rFonts w:cs="Times New Roman"/>
                <w:iCs/>
                <w:sz w:val="20"/>
                <w:szCs w:val="20"/>
              </w:rPr>
              <w:t>e</w:t>
            </w:r>
            <w:r w:rsidRPr="00762E80">
              <w:rPr>
                <w:rFonts w:cs="Times New Roman"/>
                <w:iCs/>
                <w:sz w:val="20"/>
                <w:szCs w:val="20"/>
              </w:rPr>
              <w:t>d S</w:t>
            </w:r>
            <w:r w:rsidR="00A87D43" w:rsidRPr="00762E80">
              <w:rPr>
                <w:rFonts w:cs="Times New Roman"/>
                <w:iCs/>
                <w:sz w:val="20"/>
                <w:szCs w:val="20"/>
              </w:rPr>
              <w:t>t</w:t>
            </w:r>
            <w:r w:rsidRPr="00762E80">
              <w:rPr>
                <w:rFonts w:cs="Times New Roman"/>
                <w:iCs/>
                <w:sz w:val="20"/>
                <w:szCs w:val="20"/>
              </w:rPr>
              <w:t>eelw</w:t>
            </w:r>
            <w:r w:rsidR="00A87D43" w:rsidRPr="00762E80">
              <w:rPr>
                <w:rFonts w:cs="Times New Roman"/>
                <w:iCs/>
                <w:sz w:val="20"/>
                <w:szCs w:val="20"/>
              </w:rPr>
              <w:t>or</w:t>
            </w:r>
            <w:r w:rsidRPr="00762E80">
              <w:rPr>
                <w:rFonts w:cs="Times New Roman"/>
                <w:iCs/>
                <w:sz w:val="20"/>
                <w:szCs w:val="20"/>
              </w:rPr>
              <w:t>kers</w:t>
            </w:r>
            <w:r w:rsidR="00A87D43" w:rsidRPr="00762E80">
              <w:rPr>
                <w:rFonts w:cs="Times New Roman"/>
                <w:iCs/>
                <w:sz w:val="20"/>
                <w:szCs w:val="20"/>
              </w:rPr>
              <w:t>,</w:t>
            </w:r>
          </w:p>
          <w:p w:rsidR="00A87D43" w:rsidRPr="00DD0B49" w:rsidRDefault="00A87D43" w:rsidP="00FC7239">
            <w:pPr>
              <w:rPr>
                <w:rFonts w:cs="Times New Roman"/>
                <w:sz w:val="20"/>
                <w:szCs w:val="20"/>
                <w:lang w:val="fr-CA"/>
              </w:rPr>
            </w:pPr>
            <w:r w:rsidRPr="00DD0B49">
              <w:rPr>
                <w:rFonts w:cs="Times New Roman"/>
                <w:sz w:val="20"/>
                <w:szCs w:val="20"/>
                <w:lang w:val="fr-CA"/>
              </w:rPr>
              <w:t>201</w:t>
            </w:r>
            <w:r>
              <w:rPr>
                <w:rFonts w:cs="Times New Roman"/>
                <w:sz w:val="20"/>
                <w:szCs w:val="20"/>
                <w:lang w:val="fr-CA"/>
              </w:rPr>
              <w:t>3</w:t>
            </w:r>
            <w:r w:rsidRPr="00DD0B49">
              <w:rPr>
                <w:rFonts w:cs="Times New Roman"/>
                <w:sz w:val="20"/>
                <w:szCs w:val="20"/>
                <w:lang w:val="fr-CA"/>
              </w:rPr>
              <w:t xml:space="preserve"> SCC </w:t>
            </w:r>
            <w:r w:rsidR="00762E80">
              <w:rPr>
                <w:rFonts w:cs="Times New Roman"/>
                <w:sz w:val="20"/>
                <w:szCs w:val="20"/>
                <w:lang w:val="fr-CA"/>
              </w:rPr>
              <w:t>6</w:t>
            </w:r>
            <w:r w:rsidRPr="00DD0B49">
              <w:rPr>
                <w:rFonts w:cs="Times New Roman"/>
                <w:sz w:val="20"/>
                <w:szCs w:val="20"/>
                <w:lang w:val="fr-CA"/>
              </w:rPr>
              <w:t>, [201</w:t>
            </w:r>
            <w:r>
              <w:rPr>
                <w:rFonts w:cs="Times New Roman"/>
                <w:sz w:val="20"/>
                <w:szCs w:val="20"/>
                <w:lang w:val="fr-CA"/>
              </w:rPr>
              <w:t>3</w:t>
            </w:r>
            <w:r w:rsidRPr="00DD0B49">
              <w:rPr>
                <w:rFonts w:cs="Times New Roman"/>
                <w:sz w:val="20"/>
                <w:szCs w:val="20"/>
                <w:lang w:val="fr-CA"/>
              </w:rPr>
              <w:t xml:space="preserve">] 1 S.C.R. </w:t>
            </w:r>
            <w:r w:rsidR="00762E80">
              <w:rPr>
                <w:rFonts w:cs="Times New Roman"/>
                <w:sz w:val="20"/>
                <w:szCs w:val="20"/>
                <w:lang w:val="fr-CA"/>
              </w:rPr>
              <w:t>271</w:t>
            </w:r>
          </w:p>
          <w:p w:rsidR="00A87D43" w:rsidRPr="00DD0B49" w:rsidRDefault="00A87D43" w:rsidP="00FC7239">
            <w:pPr>
              <w:keepNext/>
              <w:keepLines/>
              <w:rPr>
                <w:rFonts w:cs="Times New Roman"/>
                <w:bCs/>
                <w:sz w:val="20"/>
                <w:szCs w:val="20"/>
                <w:lang w:val="fr-CA"/>
              </w:rPr>
            </w:pPr>
          </w:p>
          <w:p w:rsidR="00A87D43" w:rsidRPr="00DD0B49" w:rsidRDefault="00E672F1" w:rsidP="00FC7239">
            <w:pPr>
              <w:keepNext/>
              <w:keepLines/>
              <w:rPr>
                <w:rFonts w:cs="Times New Roman"/>
                <w:bCs/>
                <w:sz w:val="20"/>
                <w:szCs w:val="20"/>
                <w:lang w:val="fr-CA"/>
              </w:rPr>
            </w:pPr>
            <w:r>
              <w:rPr>
                <w:rFonts w:cs="Times New Roman"/>
                <w:sz w:val="20"/>
                <w:szCs w:val="20"/>
              </w:rPr>
              <w:pict>
                <v:rect id="_x0000_i1083" style="width:129.6pt;height:1pt" o:hrpct="600" o:hralign="center" o:hrstd="t" o:hrnoshade="t" o:hr="t" fillcolor="black [3213]" stroked="f"/>
              </w:pict>
            </w:r>
          </w:p>
          <w:p w:rsidR="00A87D43" w:rsidRPr="00DD0B49" w:rsidRDefault="00A87D43" w:rsidP="00FC7239">
            <w:pPr>
              <w:keepNext/>
              <w:keepLines/>
              <w:rPr>
                <w:rFonts w:cs="Times New Roman"/>
                <w:bCs/>
                <w:sz w:val="20"/>
                <w:szCs w:val="20"/>
                <w:lang w:val="fr-CA"/>
              </w:rPr>
            </w:pPr>
          </w:p>
        </w:tc>
        <w:tc>
          <w:tcPr>
            <w:tcW w:w="840" w:type="dxa"/>
            <w:tcBorders>
              <w:top w:val="nil"/>
              <w:left w:val="nil"/>
              <w:bottom w:val="nil"/>
              <w:right w:val="nil"/>
            </w:tcBorders>
          </w:tcPr>
          <w:p w:rsidR="00A87D43" w:rsidRPr="00DD0B49" w:rsidRDefault="00A87D43" w:rsidP="00FC7239">
            <w:pPr>
              <w:rPr>
                <w:rFonts w:cs="Times New Roman"/>
                <w:b/>
                <w:bCs/>
                <w:sz w:val="20"/>
                <w:szCs w:val="20"/>
                <w:lang w:val="fr-CA"/>
              </w:rPr>
            </w:pPr>
          </w:p>
        </w:tc>
        <w:tc>
          <w:tcPr>
            <w:tcW w:w="4320" w:type="dxa"/>
            <w:tcBorders>
              <w:top w:val="nil"/>
              <w:left w:val="nil"/>
              <w:bottom w:val="nil"/>
              <w:right w:val="nil"/>
            </w:tcBorders>
          </w:tcPr>
          <w:p w:rsidR="00A87D43" w:rsidRPr="00DD0B49" w:rsidRDefault="00A87D43" w:rsidP="00FC7239">
            <w:pPr>
              <w:rPr>
                <w:rFonts w:cs="Times New Roman"/>
                <w:b/>
                <w:bCs/>
                <w:sz w:val="20"/>
                <w:szCs w:val="20"/>
                <w:lang w:val="fr-CA"/>
              </w:rPr>
            </w:pPr>
            <w:r w:rsidRPr="00DD0B49">
              <w:rPr>
                <w:rFonts w:cs="Times New Roman"/>
                <w:b/>
                <w:bCs/>
                <w:sz w:val="20"/>
                <w:szCs w:val="20"/>
                <w:lang w:val="fr-CA"/>
              </w:rPr>
              <w:t>Jugements publiés dans [201</w:t>
            </w:r>
            <w:r>
              <w:rPr>
                <w:rFonts w:cs="Times New Roman"/>
                <w:b/>
                <w:bCs/>
                <w:sz w:val="20"/>
                <w:szCs w:val="20"/>
                <w:lang w:val="fr-CA"/>
              </w:rPr>
              <w:t>3</w:t>
            </w:r>
            <w:r w:rsidRPr="00DD0B49">
              <w:rPr>
                <w:rFonts w:cs="Times New Roman"/>
                <w:b/>
                <w:bCs/>
                <w:sz w:val="20"/>
                <w:szCs w:val="20"/>
                <w:lang w:val="fr-CA"/>
              </w:rPr>
              <w:t xml:space="preserve">] 1 R.C.S. Partie </w:t>
            </w:r>
            <w:r>
              <w:rPr>
                <w:rFonts w:cs="Times New Roman"/>
                <w:b/>
                <w:bCs/>
                <w:sz w:val="20"/>
                <w:szCs w:val="20"/>
                <w:lang w:val="fr-CA"/>
              </w:rPr>
              <w:t>2</w:t>
            </w:r>
          </w:p>
          <w:p w:rsidR="00A87D43" w:rsidRPr="00DD0B49" w:rsidRDefault="00A87D43" w:rsidP="00FC7239">
            <w:pPr>
              <w:rPr>
                <w:rFonts w:cs="Times New Roman"/>
                <w:b/>
                <w:bCs/>
                <w:sz w:val="20"/>
                <w:szCs w:val="20"/>
                <w:lang w:val="fr-CA"/>
              </w:rPr>
            </w:pPr>
          </w:p>
          <w:p w:rsidR="00A87D43" w:rsidRPr="00762E80" w:rsidRDefault="00A87D43" w:rsidP="00FC7239">
            <w:pPr>
              <w:rPr>
                <w:rFonts w:cs="Times New Roman"/>
                <w:sz w:val="20"/>
                <w:szCs w:val="20"/>
                <w:lang w:val="fr-CA"/>
              </w:rPr>
            </w:pPr>
            <w:r w:rsidRPr="00762E80">
              <w:rPr>
                <w:rFonts w:cs="Times New Roman"/>
                <w:sz w:val="20"/>
                <w:szCs w:val="20"/>
                <w:lang w:val="fr-CA"/>
              </w:rPr>
              <w:t xml:space="preserve">R. </w:t>
            </w:r>
            <w:r w:rsidRPr="00762E80">
              <w:rPr>
                <w:rFonts w:cs="Times New Roman"/>
                <w:i/>
                <w:iCs/>
                <w:sz w:val="20"/>
                <w:szCs w:val="20"/>
                <w:lang w:val="fr-CA"/>
              </w:rPr>
              <w:t>c.</w:t>
            </w:r>
            <w:r w:rsidRPr="00762E80">
              <w:rPr>
                <w:rFonts w:cs="Times New Roman"/>
                <w:iCs/>
                <w:sz w:val="20"/>
                <w:szCs w:val="20"/>
                <w:lang w:val="fr-CA"/>
              </w:rPr>
              <w:t xml:space="preserve"> </w:t>
            </w:r>
            <w:r w:rsidR="00762E80" w:rsidRPr="00762E80">
              <w:rPr>
                <w:rFonts w:cs="Times New Roman"/>
                <w:iCs/>
                <w:sz w:val="20"/>
                <w:szCs w:val="20"/>
                <w:lang w:val="fr-CA"/>
              </w:rPr>
              <w:t>Béla</w:t>
            </w:r>
            <w:r w:rsidRPr="00762E80">
              <w:rPr>
                <w:rFonts w:cs="Times New Roman"/>
                <w:iCs/>
                <w:sz w:val="20"/>
                <w:szCs w:val="20"/>
                <w:lang w:val="fr-CA"/>
              </w:rPr>
              <w:t>n</w:t>
            </w:r>
            <w:r w:rsidR="00762E80" w:rsidRPr="00762E80">
              <w:rPr>
                <w:rFonts w:cs="Times New Roman"/>
                <w:iCs/>
                <w:sz w:val="20"/>
                <w:szCs w:val="20"/>
                <w:lang w:val="fr-CA"/>
              </w:rPr>
              <w:t>ger</w:t>
            </w:r>
            <w:r w:rsidRPr="00762E80">
              <w:rPr>
                <w:rFonts w:cs="Times New Roman"/>
                <w:sz w:val="20"/>
                <w:szCs w:val="20"/>
                <w:lang w:val="fr-CA"/>
              </w:rPr>
              <w:t>,</w:t>
            </w:r>
          </w:p>
          <w:p w:rsidR="00A87D43" w:rsidRPr="00276DE5" w:rsidRDefault="00A87D43" w:rsidP="00FC7239">
            <w:pPr>
              <w:rPr>
                <w:rFonts w:cs="Times New Roman"/>
                <w:sz w:val="20"/>
                <w:szCs w:val="20"/>
                <w:lang w:val="fr-CA"/>
              </w:rPr>
            </w:pPr>
            <w:r w:rsidRPr="00276DE5">
              <w:rPr>
                <w:rFonts w:cs="Times New Roman"/>
                <w:sz w:val="20"/>
                <w:szCs w:val="20"/>
                <w:lang w:val="fr-CA"/>
              </w:rPr>
              <w:t xml:space="preserve">2013 CSC </w:t>
            </w:r>
            <w:r w:rsidR="00762E80" w:rsidRPr="00276DE5">
              <w:rPr>
                <w:rFonts w:cs="Times New Roman"/>
                <w:sz w:val="20"/>
                <w:szCs w:val="20"/>
                <w:lang w:val="fr-CA"/>
              </w:rPr>
              <w:t>7</w:t>
            </w:r>
            <w:r w:rsidRPr="00276DE5">
              <w:rPr>
                <w:rFonts w:cs="Times New Roman"/>
                <w:sz w:val="20"/>
                <w:szCs w:val="20"/>
                <w:lang w:val="fr-CA"/>
              </w:rPr>
              <w:t xml:space="preserve">, [2013] 1 R.C.S. </w:t>
            </w:r>
            <w:r w:rsidR="00762E80" w:rsidRPr="00276DE5">
              <w:rPr>
                <w:rFonts w:cs="Times New Roman"/>
                <w:sz w:val="20"/>
                <w:szCs w:val="20"/>
                <w:lang w:val="fr-CA"/>
              </w:rPr>
              <w:t>401</w:t>
            </w:r>
          </w:p>
          <w:p w:rsidR="00A87D43" w:rsidRPr="00276DE5" w:rsidRDefault="00A87D43" w:rsidP="00FC7239">
            <w:pPr>
              <w:rPr>
                <w:rFonts w:cs="Times New Roman"/>
                <w:iCs/>
                <w:sz w:val="20"/>
                <w:szCs w:val="20"/>
                <w:lang w:val="fr-CA"/>
              </w:rPr>
            </w:pPr>
          </w:p>
          <w:p w:rsidR="00A87D43" w:rsidRPr="00DD0B49" w:rsidRDefault="00A87D43" w:rsidP="00FC7239">
            <w:pPr>
              <w:rPr>
                <w:rFonts w:cs="Times New Roman"/>
                <w:iCs/>
                <w:sz w:val="20"/>
                <w:szCs w:val="20"/>
                <w:lang w:val="en-GB"/>
              </w:rPr>
            </w:pPr>
            <w:r w:rsidRPr="00DD0B49">
              <w:rPr>
                <w:rFonts w:cs="Times New Roman"/>
                <w:iCs/>
                <w:sz w:val="20"/>
                <w:szCs w:val="20"/>
                <w:lang w:val="en-GB"/>
              </w:rPr>
              <w:t xml:space="preserve">R. </w:t>
            </w:r>
            <w:r w:rsidRPr="00DD0B49">
              <w:rPr>
                <w:rFonts w:cs="Times New Roman"/>
                <w:i/>
                <w:iCs/>
                <w:sz w:val="20"/>
                <w:szCs w:val="20"/>
                <w:lang w:val="en-GB"/>
              </w:rPr>
              <w:t>c.</w:t>
            </w:r>
            <w:r w:rsidRPr="00DD0B49">
              <w:rPr>
                <w:rFonts w:cs="Times New Roman"/>
                <w:iCs/>
                <w:sz w:val="20"/>
                <w:szCs w:val="20"/>
                <w:lang w:val="en-GB"/>
              </w:rPr>
              <w:t xml:space="preserve"> </w:t>
            </w:r>
            <w:r w:rsidR="00762E80">
              <w:rPr>
                <w:rFonts w:cs="Times New Roman"/>
                <w:iCs/>
                <w:sz w:val="20"/>
                <w:szCs w:val="20"/>
                <w:lang w:val="en-GB"/>
              </w:rPr>
              <w:t>Black</w:t>
            </w:r>
            <w:r w:rsidRPr="00DD0B49">
              <w:rPr>
                <w:rFonts w:cs="Times New Roman"/>
                <w:iCs/>
                <w:sz w:val="20"/>
                <w:szCs w:val="20"/>
                <w:lang w:val="en-GB"/>
              </w:rPr>
              <w:t>l</w:t>
            </w:r>
            <w:r w:rsidR="00762E80">
              <w:rPr>
                <w:rFonts w:cs="Times New Roman"/>
                <w:iCs/>
                <w:sz w:val="20"/>
                <w:szCs w:val="20"/>
                <w:lang w:val="en-GB"/>
              </w:rPr>
              <w:t>aws</w:t>
            </w:r>
            <w:r w:rsidRPr="00DD0B49">
              <w:rPr>
                <w:rFonts w:cs="Times New Roman"/>
                <w:iCs/>
                <w:sz w:val="20"/>
                <w:szCs w:val="20"/>
                <w:lang w:val="en-GB"/>
              </w:rPr>
              <w:t>,</w:t>
            </w:r>
          </w:p>
          <w:p w:rsidR="00A87D43" w:rsidRPr="00DD0B49" w:rsidRDefault="00A87D43" w:rsidP="00FC7239">
            <w:pPr>
              <w:rPr>
                <w:rFonts w:cs="Times New Roman"/>
                <w:sz w:val="20"/>
                <w:szCs w:val="20"/>
                <w:lang w:val="en-GB"/>
              </w:rPr>
            </w:pPr>
            <w:r w:rsidRPr="00DD0B49">
              <w:rPr>
                <w:rFonts w:cs="Times New Roman"/>
                <w:sz w:val="20"/>
                <w:szCs w:val="20"/>
                <w:lang w:val="en-GB"/>
              </w:rPr>
              <w:t>201</w:t>
            </w:r>
            <w:r>
              <w:rPr>
                <w:rFonts w:cs="Times New Roman"/>
                <w:sz w:val="20"/>
                <w:szCs w:val="20"/>
                <w:lang w:val="en-GB"/>
              </w:rPr>
              <w:t>3</w:t>
            </w:r>
            <w:r w:rsidRPr="00DD0B49">
              <w:rPr>
                <w:rFonts w:cs="Times New Roman"/>
                <w:sz w:val="20"/>
                <w:szCs w:val="20"/>
                <w:lang w:val="en-GB"/>
              </w:rPr>
              <w:t xml:space="preserve"> CSC 8, [201</w:t>
            </w:r>
            <w:r>
              <w:rPr>
                <w:rFonts w:cs="Times New Roman"/>
                <w:sz w:val="20"/>
                <w:szCs w:val="20"/>
                <w:lang w:val="en-GB"/>
              </w:rPr>
              <w:t>3</w:t>
            </w:r>
            <w:r w:rsidRPr="00DD0B49">
              <w:rPr>
                <w:rFonts w:cs="Times New Roman"/>
                <w:sz w:val="20"/>
                <w:szCs w:val="20"/>
                <w:lang w:val="en-GB"/>
              </w:rPr>
              <w:t xml:space="preserve">] 1 R.C.S. </w:t>
            </w:r>
            <w:r w:rsidR="00762E80">
              <w:rPr>
                <w:rFonts w:cs="Times New Roman"/>
                <w:sz w:val="20"/>
                <w:szCs w:val="20"/>
                <w:lang w:val="en-GB"/>
              </w:rPr>
              <w:t>40</w:t>
            </w:r>
            <w:r w:rsidRPr="00DD0B49">
              <w:rPr>
                <w:rFonts w:cs="Times New Roman"/>
                <w:sz w:val="20"/>
                <w:szCs w:val="20"/>
                <w:lang w:val="en-GB"/>
              </w:rPr>
              <w:t>3</w:t>
            </w:r>
          </w:p>
          <w:p w:rsidR="00A87D43" w:rsidRPr="00DD0B49" w:rsidRDefault="00A87D43" w:rsidP="00FC7239">
            <w:pPr>
              <w:rPr>
                <w:rFonts w:cs="Times New Roman"/>
                <w:sz w:val="20"/>
                <w:szCs w:val="20"/>
                <w:lang w:val="en-GB"/>
              </w:rPr>
            </w:pPr>
          </w:p>
          <w:p w:rsidR="00A87D43" w:rsidRPr="008F37AC" w:rsidRDefault="00A87D43" w:rsidP="00FC7239">
            <w:pPr>
              <w:rPr>
                <w:rFonts w:cs="Times New Roman"/>
                <w:sz w:val="20"/>
                <w:szCs w:val="20"/>
                <w:lang w:val="fr-CA"/>
              </w:rPr>
            </w:pPr>
            <w:r w:rsidRPr="008F37AC">
              <w:rPr>
                <w:rFonts w:cs="Times New Roman"/>
                <w:sz w:val="20"/>
                <w:szCs w:val="20"/>
                <w:lang w:val="fr-CA"/>
              </w:rPr>
              <w:t xml:space="preserve">R. </w:t>
            </w:r>
            <w:r w:rsidRPr="008F37AC">
              <w:rPr>
                <w:rFonts w:cs="Times New Roman"/>
                <w:i/>
                <w:iCs/>
                <w:sz w:val="20"/>
                <w:szCs w:val="20"/>
                <w:lang w:val="fr-CA"/>
              </w:rPr>
              <w:t>c.</w:t>
            </w:r>
            <w:r w:rsidRPr="008F37AC">
              <w:rPr>
                <w:rFonts w:cs="Times New Roman"/>
                <w:sz w:val="20"/>
                <w:szCs w:val="20"/>
                <w:lang w:val="fr-CA"/>
              </w:rPr>
              <w:t xml:space="preserve"> </w:t>
            </w:r>
            <w:r w:rsidR="00762E80" w:rsidRPr="008F37AC">
              <w:rPr>
                <w:rFonts w:cs="Times New Roman"/>
                <w:sz w:val="20"/>
                <w:szCs w:val="20"/>
                <w:lang w:val="fr-CA"/>
              </w:rPr>
              <w:t>Personne d</w:t>
            </w:r>
            <w:r w:rsidR="003C4A0D" w:rsidRPr="008F37AC">
              <w:rPr>
                <w:rFonts w:cs="Times New Roman"/>
                <w:sz w:val="20"/>
                <w:szCs w:val="20"/>
                <w:lang w:val="fr-CA"/>
              </w:rPr>
              <w:t>é</w:t>
            </w:r>
            <w:r w:rsidR="00762E80" w:rsidRPr="008F37AC">
              <w:rPr>
                <w:rFonts w:cs="Times New Roman"/>
                <w:sz w:val="20"/>
                <w:szCs w:val="20"/>
                <w:lang w:val="fr-CA"/>
              </w:rPr>
              <w:t>sign</w:t>
            </w:r>
            <w:r w:rsidR="003C4A0D" w:rsidRPr="008F37AC">
              <w:rPr>
                <w:rFonts w:cs="Times New Roman"/>
                <w:sz w:val="20"/>
                <w:szCs w:val="20"/>
                <w:lang w:val="fr-CA"/>
              </w:rPr>
              <w:t>é</w:t>
            </w:r>
            <w:r w:rsidR="00762E80" w:rsidRPr="008F37AC">
              <w:rPr>
                <w:rFonts w:cs="Times New Roman"/>
                <w:sz w:val="20"/>
                <w:szCs w:val="20"/>
                <w:lang w:val="fr-CA"/>
              </w:rPr>
              <w:t>e B</w:t>
            </w:r>
            <w:r w:rsidRPr="008F37AC">
              <w:rPr>
                <w:rFonts w:cs="Times New Roman"/>
                <w:sz w:val="20"/>
                <w:szCs w:val="20"/>
                <w:lang w:val="fr-CA"/>
              </w:rPr>
              <w:t>,</w:t>
            </w:r>
          </w:p>
          <w:p w:rsidR="00A87D43" w:rsidRPr="00DD0B49" w:rsidRDefault="00A87D43" w:rsidP="00FC7239">
            <w:pPr>
              <w:rPr>
                <w:rFonts w:cs="Times New Roman"/>
                <w:sz w:val="20"/>
                <w:szCs w:val="20"/>
                <w:lang w:val="en-GB"/>
              </w:rPr>
            </w:pPr>
            <w:r w:rsidRPr="00DD0B49">
              <w:rPr>
                <w:rFonts w:cs="Times New Roman"/>
                <w:sz w:val="20"/>
                <w:szCs w:val="20"/>
                <w:lang w:val="en-GB"/>
              </w:rPr>
              <w:t>201</w:t>
            </w:r>
            <w:r>
              <w:rPr>
                <w:rFonts w:cs="Times New Roman"/>
                <w:sz w:val="20"/>
                <w:szCs w:val="20"/>
                <w:lang w:val="en-GB"/>
              </w:rPr>
              <w:t>3</w:t>
            </w:r>
            <w:r w:rsidRPr="00DD0B49">
              <w:rPr>
                <w:rFonts w:cs="Times New Roman"/>
                <w:sz w:val="20"/>
                <w:szCs w:val="20"/>
                <w:lang w:val="en-GB"/>
              </w:rPr>
              <w:t xml:space="preserve"> CSC </w:t>
            </w:r>
            <w:r w:rsidR="00762E80">
              <w:rPr>
                <w:rFonts w:cs="Times New Roman"/>
                <w:sz w:val="20"/>
                <w:szCs w:val="20"/>
                <w:lang w:val="en-GB"/>
              </w:rPr>
              <w:t>9</w:t>
            </w:r>
            <w:r w:rsidRPr="00DD0B49">
              <w:rPr>
                <w:rFonts w:cs="Times New Roman"/>
                <w:sz w:val="20"/>
                <w:szCs w:val="20"/>
                <w:lang w:val="en-GB"/>
              </w:rPr>
              <w:t>, [201</w:t>
            </w:r>
            <w:r>
              <w:rPr>
                <w:rFonts w:cs="Times New Roman"/>
                <w:sz w:val="20"/>
                <w:szCs w:val="20"/>
                <w:lang w:val="en-GB"/>
              </w:rPr>
              <w:t>3</w:t>
            </w:r>
            <w:r w:rsidRPr="00DD0B49">
              <w:rPr>
                <w:rFonts w:cs="Times New Roman"/>
                <w:sz w:val="20"/>
                <w:szCs w:val="20"/>
                <w:lang w:val="en-GB"/>
              </w:rPr>
              <w:t xml:space="preserve">] 1 R.C.S. </w:t>
            </w:r>
            <w:r w:rsidR="00762E80">
              <w:rPr>
                <w:rFonts w:cs="Times New Roman"/>
                <w:sz w:val="20"/>
                <w:szCs w:val="20"/>
                <w:lang w:val="en-GB"/>
              </w:rPr>
              <w:t>40</w:t>
            </w:r>
            <w:r w:rsidRPr="00DD0B49">
              <w:rPr>
                <w:rFonts w:cs="Times New Roman"/>
                <w:sz w:val="20"/>
                <w:szCs w:val="20"/>
                <w:lang w:val="en-GB"/>
              </w:rPr>
              <w:t>5</w:t>
            </w:r>
          </w:p>
          <w:p w:rsidR="00A87D43" w:rsidRPr="00DD0B49" w:rsidRDefault="00A87D43" w:rsidP="00FC7239">
            <w:pPr>
              <w:rPr>
                <w:rFonts w:cs="Times New Roman"/>
                <w:sz w:val="20"/>
                <w:szCs w:val="20"/>
                <w:lang w:val="en-GB"/>
              </w:rPr>
            </w:pPr>
          </w:p>
          <w:p w:rsidR="00A87D43" w:rsidRPr="00DD0B49" w:rsidRDefault="00A87D43" w:rsidP="00FC7239">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c</w:t>
            </w:r>
            <w:r w:rsidRPr="00DD0B49">
              <w:rPr>
                <w:rFonts w:cs="Times New Roman"/>
                <w:sz w:val="20"/>
                <w:szCs w:val="20"/>
                <w:lang w:val="en-GB"/>
              </w:rPr>
              <w:t>. T</w:t>
            </w:r>
            <w:r w:rsidR="00762E80">
              <w:rPr>
                <w:rFonts w:cs="Times New Roman"/>
                <w:sz w:val="20"/>
                <w:szCs w:val="20"/>
                <w:lang w:val="en-GB"/>
              </w:rPr>
              <w:t>aylor</w:t>
            </w:r>
            <w:r w:rsidRPr="00DD0B49">
              <w:rPr>
                <w:rFonts w:cs="Times New Roman"/>
                <w:sz w:val="20"/>
                <w:szCs w:val="20"/>
                <w:lang w:val="en-GB"/>
              </w:rPr>
              <w:t>,</w:t>
            </w:r>
          </w:p>
          <w:p w:rsidR="00A87D43" w:rsidRPr="00DD0B49" w:rsidRDefault="00A87D43" w:rsidP="00FC7239">
            <w:pPr>
              <w:rPr>
                <w:rFonts w:cs="Times New Roman"/>
                <w:sz w:val="20"/>
                <w:szCs w:val="20"/>
              </w:rPr>
            </w:pPr>
            <w:r w:rsidRPr="00DD0B49">
              <w:rPr>
                <w:rFonts w:cs="Times New Roman"/>
                <w:sz w:val="20"/>
                <w:szCs w:val="20"/>
              </w:rPr>
              <w:t>201</w:t>
            </w:r>
            <w:r>
              <w:rPr>
                <w:rFonts w:cs="Times New Roman"/>
                <w:sz w:val="20"/>
                <w:szCs w:val="20"/>
              </w:rPr>
              <w:t>3</w:t>
            </w:r>
            <w:r w:rsidRPr="00DD0B49">
              <w:rPr>
                <w:rFonts w:cs="Times New Roman"/>
                <w:sz w:val="20"/>
                <w:szCs w:val="20"/>
              </w:rPr>
              <w:t xml:space="preserve"> CSC </w:t>
            </w:r>
            <w:r w:rsidR="00762E80">
              <w:rPr>
                <w:rFonts w:cs="Times New Roman"/>
                <w:sz w:val="20"/>
                <w:szCs w:val="20"/>
              </w:rPr>
              <w:t>1</w:t>
            </w:r>
            <w:r w:rsidRPr="00DD0B49">
              <w:rPr>
                <w:rFonts w:cs="Times New Roman"/>
                <w:sz w:val="20"/>
                <w:szCs w:val="20"/>
              </w:rPr>
              <w:t>0, [201</w:t>
            </w:r>
            <w:r>
              <w:rPr>
                <w:rFonts w:cs="Times New Roman"/>
                <w:sz w:val="20"/>
                <w:szCs w:val="20"/>
              </w:rPr>
              <w:t>3</w:t>
            </w:r>
            <w:r w:rsidRPr="00DD0B49">
              <w:rPr>
                <w:rFonts w:cs="Times New Roman"/>
                <w:sz w:val="20"/>
                <w:szCs w:val="20"/>
              </w:rPr>
              <w:t xml:space="preserve">] 1 R.C.S. </w:t>
            </w:r>
            <w:r w:rsidR="00762E80">
              <w:rPr>
                <w:rFonts w:cs="Times New Roman"/>
                <w:sz w:val="20"/>
                <w:szCs w:val="20"/>
              </w:rPr>
              <w:t>4</w:t>
            </w:r>
            <w:r w:rsidRPr="00DD0B49">
              <w:rPr>
                <w:rFonts w:cs="Times New Roman"/>
                <w:sz w:val="20"/>
                <w:szCs w:val="20"/>
              </w:rPr>
              <w:t>6</w:t>
            </w:r>
            <w:r w:rsidR="00762E80">
              <w:rPr>
                <w:rFonts w:cs="Times New Roman"/>
                <w:sz w:val="20"/>
                <w:szCs w:val="20"/>
              </w:rPr>
              <w:t>5</w:t>
            </w:r>
          </w:p>
          <w:p w:rsidR="00A87D43" w:rsidRPr="00DD0B49" w:rsidRDefault="00A87D43" w:rsidP="00FC7239">
            <w:pPr>
              <w:rPr>
                <w:rFonts w:cs="Times New Roman"/>
                <w:sz w:val="20"/>
                <w:szCs w:val="20"/>
              </w:rPr>
            </w:pPr>
          </w:p>
          <w:p w:rsidR="00A87D43" w:rsidRPr="00DD0B49" w:rsidRDefault="00A87D43" w:rsidP="00FC7239">
            <w:pPr>
              <w:rPr>
                <w:rFonts w:cs="Times New Roman"/>
                <w:sz w:val="20"/>
                <w:szCs w:val="20"/>
              </w:rPr>
            </w:pPr>
            <w:r w:rsidRPr="00DD0B49">
              <w:rPr>
                <w:rFonts w:cs="Times New Roman"/>
                <w:sz w:val="20"/>
                <w:szCs w:val="20"/>
              </w:rPr>
              <w:t>Sa</w:t>
            </w:r>
            <w:r w:rsidR="00762E80">
              <w:rPr>
                <w:rFonts w:cs="Times New Roman"/>
                <w:sz w:val="20"/>
                <w:szCs w:val="20"/>
              </w:rPr>
              <w:t>skatchewan (Hum</w:t>
            </w:r>
            <w:r w:rsidRPr="00DD0B49">
              <w:rPr>
                <w:rFonts w:cs="Times New Roman"/>
                <w:sz w:val="20"/>
                <w:szCs w:val="20"/>
              </w:rPr>
              <w:t>a</w:t>
            </w:r>
            <w:r w:rsidR="00762E80">
              <w:rPr>
                <w:rFonts w:cs="Times New Roman"/>
                <w:sz w:val="20"/>
                <w:szCs w:val="20"/>
              </w:rPr>
              <w:t>n Right</w:t>
            </w:r>
            <w:r w:rsidRPr="00DD0B49">
              <w:rPr>
                <w:rFonts w:cs="Times New Roman"/>
                <w:sz w:val="20"/>
                <w:szCs w:val="20"/>
              </w:rPr>
              <w:t>s</w:t>
            </w:r>
            <w:r w:rsidR="00762E80">
              <w:rPr>
                <w:rFonts w:cs="Times New Roman"/>
                <w:sz w:val="20"/>
                <w:szCs w:val="20"/>
              </w:rPr>
              <w:t xml:space="preserve"> Commission) </w:t>
            </w:r>
            <w:r w:rsidRPr="00DD0B49">
              <w:rPr>
                <w:rFonts w:cs="Times New Roman"/>
                <w:i/>
                <w:iCs/>
                <w:sz w:val="20"/>
                <w:szCs w:val="20"/>
              </w:rPr>
              <w:t>c.</w:t>
            </w:r>
            <w:r w:rsidRPr="00DD0B49">
              <w:rPr>
                <w:rFonts w:cs="Times New Roman"/>
                <w:sz w:val="20"/>
                <w:szCs w:val="20"/>
              </w:rPr>
              <w:t xml:space="preserve"> </w:t>
            </w:r>
            <w:r w:rsidR="00762E80">
              <w:rPr>
                <w:rFonts w:cs="Times New Roman"/>
                <w:sz w:val="20"/>
                <w:szCs w:val="20"/>
              </w:rPr>
              <w:t>Wh</w:t>
            </w:r>
            <w:r w:rsidRPr="00DD0B49">
              <w:rPr>
                <w:rFonts w:cs="Times New Roman"/>
                <w:sz w:val="20"/>
                <w:szCs w:val="20"/>
              </w:rPr>
              <w:t>a</w:t>
            </w:r>
            <w:r w:rsidR="00762E80">
              <w:rPr>
                <w:rFonts w:cs="Times New Roman"/>
                <w:sz w:val="20"/>
                <w:szCs w:val="20"/>
              </w:rPr>
              <w:t>tcott</w:t>
            </w:r>
            <w:r w:rsidRPr="00DD0B49">
              <w:rPr>
                <w:rFonts w:cs="Times New Roman"/>
                <w:sz w:val="20"/>
                <w:szCs w:val="20"/>
              </w:rPr>
              <w:t>,</w:t>
            </w:r>
          </w:p>
          <w:p w:rsidR="00A87D43" w:rsidRPr="00762E80" w:rsidRDefault="00A87D43" w:rsidP="00FC7239">
            <w:pPr>
              <w:rPr>
                <w:rFonts w:cs="Times New Roman"/>
                <w:sz w:val="20"/>
                <w:szCs w:val="20"/>
                <w:lang w:val="fr-CA"/>
              </w:rPr>
            </w:pPr>
            <w:r w:rsidRPr="00762E80">
              <w:rPr>
                <w:rFonts w:cs="Times New Roman"/>
                <w:sz w:val="20"/>
                <w:szCs w:val="20"/>
                <w:lang w:val="fr-CA"/>
              </w:rPr>
              <w:t xml:space="preserve">2013 CSC </w:t>
            </w:r>
            <w:r w:rsidR="00762E80" w:rsidRPr="00762E80">
              <w:rPr>
                <w:rFonts w:cs="Times New Roman"/>
                <w:sz w:val="20"/>
                <w:szCs w:val="20"/>
                <w:lang w:val="fr-CA"/>
              </w:rPr>
              <w:t>1</w:t>
            </w:r>
            <w:r w:rsidRPr="00762E80">
              <w:rPr>
                <w:rFonts w:cs="Times New Roman"/>
                <w:sz w:val="20"/>
                <w:szCs w:val="20"/>
                <w:lang w:val="fr-CA"/>
              </w:rPr>
              <w:t xml:space="preserve">1, [2013] 1 R.C.S. </w:t>
            </w:r>
            <w:r w:rsidR="00762E80" w:rsidRPr="00762E80">
              <w:rPr>
                <w:rFonts w:cs="Times New Roman"/>
                <w:sz w:val="20"/>
                <w:szCs w:val="20"/>
                <w:lang w:val="fr-CA"/>
              </w:rPr>
              <w:t>46</w:t>
            </w:r>
            <w:r w:rsidRPr="00762E80">
              <w:rPr>
                <w:rFonts w:cs="Times New Roman"/>
                <w:sz w:val="20"/>
                <w:szCs w:val="20"/>
                <w:lang w:val="fr-CA"/>
              </w:rPr>
              <w:t>7</w:t>
            </w:r>
          </w:p>
          <w:p w:rsidR="00A87D43" w:rsidRPr="00762E80" w:rsidRDefault="00A87D43" w:rsidP="00FC7239">
            <w:pPr>
              <w:rPr>
                <w:rFonts w:cs="Times New Roman"/>
                <w:sz w:val="20"/>
                <w:szCs w:val="20"/>
                <w:lang w:val="fr-CA"/>
              </w:rPr>
            </w:pPr>
          </w:p>
          <w:p w:rsidR="00A87D43" w:rsidRPr="00DD0B49" w:rsidRDefault="00762E80" w:rsidP="00FC7239">
            <w:pPr>
              <w:rPr>
                <w:rFonts w:cs="Times New Roman"/>
                <w:sz w:val="20"/>
                <w:szCs w:val="20"/>
                <w:lang w:val="fr-CA"/>
              </w:rPr>
            </w:pPr>
            <w:r>
              <w:rPr>
                <w:rFonts w:cs="Times New Roman"/>
                <w:sz w:val="20"/>
                <w:szCs w:val="20"/>
                <w:lang w:val="fr-CA"/>
              </w:rPr>
              <w:t>S</w:t>
            </w:r>
            <w:r w:rsidR="00A87D43" w:rsidRPr="00DD0B49">
              <w:rPr>
                <w:rFonts w:cs="Times New Roman"/>
                <w:sz w:val="20"/>
                <w:szCs w:val="20"/>
                <w:lang w:val="fr-CA"/>
              </w:rPr>
              <w:t>un</w:t>
            </w:r>
            <w:r>
              <w:rPr>
                <w:rFonts w:cs="Times New Roman"/>
                <w:sz w:val="20"/>
                <w:szCs w:val="20"/>
                <w:lang w:val="fr-CA"/>
              </w:rPr>
              <w:t xml:space="preserve"> Indal</w:t>
            </w:r>
            <w:r w:rsidR="00A87D43" w:rsidRPr="00DD0B49">
              <w:rPr>
                <w:rFonts w:cs="Times New Roman"/>
                <w:sz w:val="20"/>
                <w:szCs w:val="20"/>
                <w:lang w:val="fr-CA"/>
              </w:rPr>
              <w:t>e</w:t>
            </w:r>
            <w:r>
              <w:rPr>
                <w:rFonts w:cs="Times New Roman"/>
                <w:sz w:val="20"/>
                <w:szCs w:val="20"/>
                <w:lang w:val="fr-CA"/>
              </w:rPr>
              <w:t>x</w:t>
            </w:r>
            <w:r w:rsidR="00A87D43" w:rsidRPr="00DD0B49">
              <w:rPr>
                <w:rFonts w:cs="Times New Roman"/>
                <w:sz w:val="20"/>
                <w:szCs w:val="20"/>
                <w:lang w:val="fr-CA"/>
              </w:rPr>
              <w:t xml:space="preserve"> </w:t>
            </w:r>
            <w:r>
              <w:rPr>
                <w:rFonts w:cs="Times New Roman"/>
                <w:sz w:val="20"/>
                <w:szCs w:val="20"/>
                <w:lang w:val="fr-CA"/>
              </w:rPr>
              <w:t>Finance, LLC</w:t>
            </w:r>
            <w:r w:rsidR="00A87D43" w:rsidRPr="00DD0B49">
              <w:rPr>
                <w:rFonts w:cs="Times New Roman"/>
                <w:sz w:val="20"/>
                <w:szCs w:val="20"/>
                <w:lang w:val="fr-CA"/>
              </w:rPr>
              <w:t xml:space="preserve"> </w:t>
            </w:r>
            <w:r w:rsidR="00A87D43" w:rsidRPr="00DD0B49">
              <w:rPr>
                <w:rFonts w:cs="Times New Roman"/>
                <w:i/>
                <w:iCs/>
                <w:sz w:val="20"/>
                <w:szCs w:val="20"/>
                <w:lang w:val="fr-CA"/>
              </w:rPr>
              <w:t xml:space="preserve">c. </w:t>
            </w:r>
            <w:r>
              <w:rPr>
                <w:rFonts w:cs="Times New Roman"/>
                <w:iCs/>
                <w:sz w:val="20"/>
                <w:szCs w:val="20"/>
                <w:lang w:val="fr-CA"/>
              </w:rPr>
              <w:t>Syndicat des Métallos</w:t>
            </w:r>
            <w:r w:rsidR="00A87D43" w:rsidRPr="00DD0B49">
              <w:rPr>
                <w:rFonts w:cs="Times New Roman"/>
                <w:iCs/>
                <w:sz w:val="20"/>
                <w:szCs w:val="20"/>
                <w:lang w:val="fr-CA"/>
              </w:rPr>
              <w:t>,</w:t>
            </w:r>
          </w:p>
          <w:p w:rsidR="00A87D43" w:rsidRPr="00DD0B49" w:rsidRDefault="00A87D43" w:rsidP="00FC7239">
            <w:pPr>
              <w:rPr>
                <w:rFonts w:cs="Times New Roman"/>
                <w:sz w:val="20"/>
                <w:szCs w:val="20"/>
                <w:lang w:val="fr-CA"/>
              </w:rPr>
            </w:pPr>
            <w:r w:rsidRPr="00DD0B49">
              <w:rPr>
                <w:rFonts w:cs="Times New Roman"/>
                <w:sz w:val="20"/>
                <w:szCs w:val="20"/>
                <w:lang w:val="fr-CA"/>
              </w:rPr>
              <w:t>201</w:t>
            </w:r>
            <w:r>
              <w:rPr>
                <w:rFonts w:cs="Times New Roman"/>
                <w:sz w:val="20"/>
                <w:szCs w:val="20"/>
                <w:lang w:val="fr-CA"/>
              </w:rPr>
              <w:t>3</w:t>
            </w:r>
            <w:r w:rsidRPr="00DD0B49">
              <w:rPr>
                <w:rFonts w:cs="Times New Roman"/>
                <w:sz w:val="20"/>
                <w:szCs w:val="20"/>
                <w:lang w:val="fr-CA"/>
              </w:rPr>
              <w:t xml:space="preserve"> CSC </w:t>
            </w:r>
            <w:r w:rsidR="00762E80">
              <w:rPr>
                <w:rFonts w:cs="Times New Roman"/>
                <w:sz w:val="20"/>
                <w:szCs w:val="20"/>
                <w:lang w:val="fr-CA"/>
              </w:rPr>
              <w:t>6</w:t>
            </w:r>
            <w:r w:rsidRPr="00DD0B49">
              <w:rPr>
                <w:rFonts w:cs="Times New Roman"/>
                <w:sz w:val="20"/>
                <w:szCs w:val="20"/>
                <w:lang w:val="fr-CA"/>
              </w:rPr>
              <w:t>, [201</w:t>
            </w:r>
            <w:r>
              <w:rPr>
                <w:rFonts w:cs="Times New Roman"/>
                <w:sz w:val="20"/>
                <w:szCs w:val="20"/>
                <w:lang w:val="fr-CA"/>
              </w:rPr>
              <w:t>3</w:t>
            </w:r>
            <w:r w:rsidRPr="00DD0B49">
              <w:rPr>
                <w:rFonts w:cs="Times New Roman"/>
                <w:sz w:val="20"/>
                <w:szCs w:val="20"/>
                <w:lang w:val="fr-CA"/>
              </w:rPr>
              <w:t xml:space="preserve">] 1 R.C.S. </w:t>
            </w:r>
            <w:r w:rsidR="00762E80">
              <w:rPr>
                <w:rFonts w:cs="Times New Roman"/>
                <w:sz w:val="20"/>
                <w:szCs w:val="20"/>
                <w:lang w:val="fr-CA"/>
              </w:rPr>
              <w:t>271</w:t>
            </w:r>
          </w:p>
          <w:p w:rsidR="00A87D43" w:rsidRPr="00DD0B49" w:rsidRDefault="00A87D43" w:rsidP="00FC7239">
            <w:pPr>
              <w:keepNext/>
              <w:keepLines/>
              <w:rPr>
                <w:rFonts w:cs="Times New Roman"/>
                <w:bCs/>
                <w:sz w:val="20"/>
                <w:szCs w:val="20"/>
                <w:lang w:val="fr-CA"/>
              </w:rPr>
            </w:pPr>
          </w:p>
          <w:p w:rsidR="00A87D43" w:rsidRPr="00DD0B49" w:rsidRDefault="00E672F1" w:rsidP="00FC7239">
            <w:pPr>
              <w:rPr>
                <w:rFonts w:cs="Times New Roman"/>
                <w:sz w:val="20"/>
                <w:szCs w:val="20"/>
              </w:rPr>
            </w:pPr>
            <w:r>
              <w:rPr>
                <w:rFonts w:cs="Times New Roman"/>
                <w:sz w:val="20"/>
                <w:szCs w:val="20"/>
              </w:rPr>
              <w:pict>
                <v:rect id="_x0000_i1084" style="width:129.6pt;height:1pt" o:hrpct="600" o:hralign="center" o:hrstd="t" o:hrnoshade="t" o:hr="t" fillcolor="black [3213]" stroked="f"/>
              </w:pict>
            </w:r>
          </w:p>
          <w:p w:rsidR="00A87D43" w:rsidRPr="00DD0B49" w:rsidRDefault="00A87D43" w:rsidP="00FC7239">
            <w:pPr>
              <w:keepNext/>
              <w:keepLines/>
              <w:rPr>
                <w:rFonts w:cs="Times New Roman"/>
                <w:bCs/>
                <w:sz w:val="20"/>
                <w:szCs w:val="20"/>
                <w:lang w:val="fr-CA"/>
              </w:rPr>
            </w:pPr>
          </w:p>
        </w:tc>
      </w:tr>
    </w:tbl>
    <w:p w:rsidR="00DD0B49" w:rsidRDefault="00DD0B49" w:rsidP="006B6926">
      <w:pPr>
        <w:rPr>
          <w:sz w:val="20"/>
          <w:szCs w:val="20"/>
          <w:lang w:val="fr-CA"/>
        </w:rPr>
      </w:pPr>
    </w:p>
    <w:p w:rsidR="00DD0B49" w:rsidRPr="00C50A5C" w:rsidRDefault="00DD0B49" w:rsidP="006B6926">
      <w:pPr>
        <w:rPr>
          <w:sz w:val="20"/>
          <w:szCs w:val="20"/>
          <w:lang w:val="fr-CA"/>
        </w:rPr>
      </w:pPr>
    </w:p>
    <w:p w:rsidR="006B6926" w:rsidRPr="00C50A5C" w:rsidRDefault="006B6926">
      <w:pPr>
        <w:rPr>
          <w:sz w:val="20"/>
          <w:szCs w:val="20"/>
          <w:lang w:val="fr-CA"/>
        </w:rPr>
      </w:pP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sectPr w:rsidR="006B6926" w:rsidRPr="00C50A5C" w:rsidSect="006B6926">
          <w:headerReference w:type="default" r:id="rId83"/>
          <w:footerReference w:type="default" r:id="rId84"/>
          <w:headerReference w:type="first" r:id="rId85"/>
          <w:footerReference w:type="first" r:id="rId86"/>
          <w:pgSz w:w="12240" w:h="15840"/>
          <w:pgMar w:top="720" w:right="965" w:bottom="1080" w:left="1656" w:header="720" w:footer="965" w:gutter="0"/>
          <w:cols w:space="720"/>
          <w:titlePg/>
          <w:docGrid w:linePitch="326"/>
        </w:sectPr>
      </w:pPr>
    </w:p>
    <w:p w:rsidR="0081610A" w:rsidRPr="002E0C7E" w:rsidRDefault="000505AD" w:rsidP="0081610A">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610A"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610A" w:rsidRPr="002E0C7E">
        <w:rPr>
          <w:rFonts w:asciiTheme="minorHAnsi" w:hAnsiTheme="minorHAnsi" w:cstheme="minorHAnsi"/>
          <w:b/>
          <w:szCs w:val="24"/>
        </w:rPr>
        <w:t xml:space="preserve">SUPREME COURT OF CANADA SCHEDULE / </w:t>
      </w:r>
      <w:r w:rsidR="0081610A" w:rsidRPr="00743E53">
        <w:rPr>
          <w:rFonts w:asciiTheme="minorHAnsi" w:hAnsiTheme="minorHAnsi" w:cstheme="minorHAnsi"/>
          <w:b/>
          <w:szCs w:val="24"/>
          <w:lang w:val="fr-CA"/>
        </w:rPr>
        <w:t>CALENDRIER DE LA COUR SUPR</w:t>
      </w:r>
      <w:r w:rsidR="0081610A">
        <w:rPr>
          <w:rFonts w:asciiTheme="minorHAnsi" w:hAnsiTheme="minorHAnsi" w:cstheme="minorHAnsi"/>
          <w:b/>
          <w:szCs w:val="24"/>
          <w:lang w:val="fr-CA"/>
        </w:rPr>
        <w:t>Ê</w:t>
      </w:r>
      <w:r w:rsidR="0081610A" w:rsidRPr="00743E53">
        <w:rPr>
          <w:rFonts w:asciiTheme="minorHAnsi" w:hAnsiTheme="minorHAnsi" w:cstheme="minorHAnsi"/>
          <w:b/>
          <w:szCs w:val="24"/>
          <w:lang w:val="fr-CA"/>
        </w:rPr>
        <w:t>ME</w:t>
      </w:r>
    </w:p>
    <w:p w:rsidR="0081610A" w:rsidRPr="002E0C7E" w:rsidRDefault="0081610A" w:rsidP="0081610A">
      <w:pPr>
        <w:widowControl w:val="0"/>
        <w:spacing w:line="180" w:lineRule="auto"/>
        <w:rPr>
          <w:rFonts w:asciiTheme="minorHAnsi" w:hAnsiTheme="minorHAnsi" w:cstheme="minorHAnsi"/>
          <w:szCs w:val="24"/>
        </w:rPr>
      </w:pPr>
    </w:p>
    <w:p w:rsidR="0081610A" w:rsidRPr="002E0C7E" w:rsidRDefault="0081610A" w:rsidP="0081610A">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610A" w:rsidRPr="002E0C7E" w:rsidTr="007E512D">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7E512D">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7E512D">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7E512D">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7E512D">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7E512D">
            <w:pPr>
              <w:widowControl w:val="0"/>
              <w:jc w:val="center"/>
              <w:rPr>
                <w:rFonts w:ascii="Arial" w:hAnsi="Arial"/>
                <w:sz w:val="14"/>
              </w:rPr>
            </w:pPr>
            <w:r w:rsidRPr="002E0C7E">
              <w:rPr>
                <w:rFonts w:ascii="Arial" w:hAnsi="Arial"/>
                <w:b/>
                <w:sz w:val="14"/>
              </w:rPr>
              <w:t>DECEMBER - DÉCEMBRE</w:t>
            </w:r>
          </w:p>
        </w:tc>
      </w:tr>
      <w:tr w:rsidR="0081610A" w:rsidRPr="002E0C7E" w:rsidTr="007E512D">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S</w:t>
            </w:r>
          </w:p>
          <w:p w:rsidR="0081610A" w:rsidRPr="002E0C7E" w:rsidRDefault="0081610A" w:rsidP="007E512D">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M</w:t>
            </w:r>
          </w:p>
          <w:p w:rsidR="0081610A" w:rsidRPr="002E0C7E" w:rsidRDefault="0081610A" w:rsidP="007E512D">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T</w:t>
            </w:r>
          </w:p>
          <w:p w:rsidR="0081610A" w:rsidRPr="002E0C7E" w:rsidRDefault="0081610A" w:rsidP="007E512D">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W</w:t>
            </w:r>
          </w:p>
          <w:p w:rsidR="0081610A" w:rsidRPr="002E0C7E" w:rsidRDefault="0081610A" w:rsidP="007E512D">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T</w:t>
            </w:r>
          </w:p>
          <w:p w:rsidR="0081610A" w:rsidRPr="002E0C7E" w:rsidRDefault="0081610A" w:rsidP="007E512D">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F</w:t>
            </w:r>
          </w:p>
          <w:p w:rsidR="0081610A" w:rsidRPr="002E0C7E" w:rsidRDefault="0081610A" w:rsidP="007E512D">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S</w:t>
            </w:r>
          </w:p>
          <w:p w:rsidR="0081610A" w:rsidRPr="002E0C7E" w:rsidRDefault="0081610A" w:rsidP="007E512D">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S</w:t>
            </w:r>
          </w:p>
          <w:p w:rsidR="0081610A" w:rsidRPr="002E0C7E" w:rsidRDefault="0081610A" w:rsidP="007E512D">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M</w:t>
            </w:r>
          </w:p>
          <w:p w:rsidR="0081610A" w:rsidRPr="002E0C7E" w:rsidRDefault="0081610A" w:rsidP="007E512D">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T</w:t>
            </w:r>
          </w:p>
          <w:p w:rsidR="0081610A" w:rsidRPr="002E0C7E" w:rsidRDefault="0081610A" w:rsidP="007E512D">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W</w:t>
            </w:r>
          </w:p>
          <w:p w:rsidR="0081610A" w:rsidRPr="002E0C7E" w:rsidRDefault="0081610A" w:rsidP="007E512D">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T</w:t>
            </w:r>
          </w:p>
          <w:p w:rsidR="0081610A" w:rsidRPr="002E0C7E" w:rsidRDefault="0081610A" w:rsidP="007E512D">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F</w:t>
            </w:r>
          </w:p>
          <w:p w:rsidR="0081610A" w:rsidRPr="002E0C7E" w:rsidRDefault="0081610A" w:rsidP="007E512D">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S</w:t>
            </w:r>
          </w:p>
          <w:p w:rsidR="0081610A" w:rsidRPr="002E0C7E" w:rsidRDefault="0081610A" w:rsidP="007E512D">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S</w:t>
            </w:r>
          </w:p>
          <w:p w:rsidR="0081610A" w:rsidRPr="002E0C7E" w:rsidRDefault="0081610A" w:rsidP="007E512D">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M</w:t>
            </w:r>
          </w:p>
          <w:p w:rsidR="0081610A" w:rsidRPr="002E0C7E" w:rsidRDefault="0081610A" w:rsidP="007E512D">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T</w:t>
            </w:r>
          </w:p>
          <w:p w:rsidR="0081610A" w:rsidRPr="002E0C7E" w:rsidRDefault="0081610A" w:rsidP="007E512D">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W</w:t>
            </w:r>
          </w:p>
          <w:p w:rsidR="0081610A" w:rsidRPr="002E0C7E" w:rsidRDefault="0081610A" w:rsidP="007E512D">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T</w:t>
            </w:r>
          </w:p>
          <w:p w:rsidR="0081610A" w:rsidRPr="002E0C7E" w:rsidRDefault="0081610A" w:rsidP="007E512D">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F</w:t>
            </w:r>
          </w:p>
          <w:p w:rsidR="0081610A" w:rsidRPr="002E0C7E" w:rsidRDefault="0081610A" w:rsidP="007E512D">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S</w:t>
            </w:r>
          </w:p>
          <w:p w:rsidR="0081610A" w:rsidRPr="002E0C7E" w:rsidRDefault="0081610A" w:rsidP="007E512D">
            <w:pPr>
              <w:widowControl w:val="0"/>
              <w:jc w:val="center"/>
              <w:rPr>
                <w:rFonts w:ascii="Arial" w:hAnsi="Arial"/>
                <w:sz w:val="14"/>
              </w:rPr>
            </w:pPr>
            <w:r w:rsidRPr="002E0C7E">
              <w:rPr>
                <w:rFonts w:ascii="Arial" w:hAnsi="Arial"/>
                <w:sz w:val="14"/>
              </w:rPr>
              <w:t>S</w:t>
            </w:r>
          </w:p>
        </w:tc>
      </w:tr>
      <w:tr w:rsidR="0081610A" w:rsidRPr="002E0C7E" w:rsidTr="007E512D">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35CC4" w:rsidRDefault="0081610A" w:rsidP="007E512D">
            <w:pPr>
              <w:widowControl w:val="0"/>
              <w:jc w:val="center"/>
              <w:rPr>
                <w:rFonts w:ascii="Arial" w:hAnsi="Arial"/>
                <w:b/>
                <w:sz w:val="14"/>
              </w:rPr>
            </w:pPr>
            <w:r>
              <w:rPr>
                <w:rFonts w:ascii="Arial" w:hAnsi="Arial"/>
                <w:b/>
                <w:sz w:val="14"/>
              </w:rPr>
              <w:t>M</w:t>
            </w:r>
          </w:p>
          <w:p w:rsidR="0081610A" w:rsidRPr="002E0C7E" w:rsidRDefault="0081610A" w:rsidP="007E512D">
            <w:pPr>
              <w:widowControl w:val="0"/>
              <w:jc w:val="center"/>
              <w:rPr>
                <w:rFonts w:ascii="Arial" w:hAnsi="Arial"/>
                <w:sz w:val="14"/>
              </w:rPr>
            </w:pP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7</w:t>
            </w:r>
          </w:p>
        </w:tc>
      </w:tr>
      <w:tr w:rsidR="0081610A" w:rsidRPr="002E0C7E" w:rsidTr="007E512D">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C583B" w:rsidRDefault="0081610A" w:rsidP="007E512D">
            <w:pPr>
              <w:widowControl w:val="0"/>
              <w:jc w:val="center"/>
              <w:rPr>
                <w:rFonts w:ascii="Arial" w:hAnsi="Arial"/>
                <w:b/>
                <w:sz w:val="14"/>
              </w:rPr>
            </w:pPr>
            <w:r>
              <w:rPr>
                <w:rFonts w:ascii="Arial" w:hAnsi="Arial"/>
                <w:b/>
                <w:sz w:val="14"/>
              </w:rPr>
              <w:t>M</w:t>
            </w:r>
          </w:p>
          <w:p w:rsidR="0081610A" w:rsidRPr="002E0C7E" w:rsidRDefault="0081610A" w:rsidP="007E512D">
            <w:pPr>
              <w:widowControl w:val="0"/>
              <w:jc w:val="center"/>
              <w:rPr>
                <w:rFonts w:ascii="Arial" w:hAnsi="Arial"/>
                <w:sz w:val="14"/>
              </w:rPr>
            </w:pPr>
            <w:r>
              <w:rPr>
                <w:rFonts w:ascii="Arial" w:hAnsi="Arial"/>
                <w:sz w:val="14"/>
              </w:rPr>
              <w:t>7</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0C583B" w:rsidRDefault="0081610A" w:rsidP="007E512D">
            <w:pPr>
              <w:widowControl w:val="0"/>
              <w:jc w:val="center"/>
              <w:rPr>
                <w:rFonts w:ascii="Arial" w:hAnsi="Arial"/>
                <w:b/>
                <w:sz w:val="14"/>
              </w:rPr>
            </w:pPr>
          </w:p>
          <w:p w:rsidR="0081610A" w:rsidRPr="002E0C7E" w:rsidRDefault="0081610A" w:rsidP="007E512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12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3</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b/>
                <w:sz w:val="14"/>
              </w:rPr>
              <w:t>M</w:t>
            </w:r>
          </w:p>
          <w:p w:rsidR="0081610A" w:rsidRPr="002E0C7E" w:rsidRDefault="0081610A" w:rsidP="007E512D">
            <w:pPr>
              <w:widowControl w:val="0"/>
              <w:jc w:val="center"/>
              <w:rPr>
                <w:rFonts w:ascii="Arial" w:hAnsi="Arial"/>
                <w:sz w:val="14"/>
              </w:rPr>
            </w:pP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8</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14</w:t>
            </w:r>
          </w:p>
        </w:tc>
      </w:tr>
      <w:tr w:rsidR="0081610A" w:rsidRPr="002E0C7E" w:rsidTr="007E512D">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0C583B" w:rsidRDefault="0081610A" w:rsidP="007E512D">
            <w:pPr>
              <w:widowControl w:val="0"/>
              <w:jc w:val="center"/>
              <w:rPr>
                <w:rFonts w:ascii="Arial" w:hAnsi="Arial"/>
                <w:b/>
                <w:sz w:val="14"/>
              </w:rPr>
            </w:pPr>
            <w:r>
              <w:rPr>
                <w:rFonts w:ascii="Arial" w:hAnsi="Arial"/>
                <w:b/>
                <w:sz w:val="14"/>
              </w:rPr>
              <w:t>H</w:t>
            </w: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0C583B"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19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4030BA" w:rsidRDefault="0081610A" w:rsidP="007E512D">
            <w:pPr>
              <w:widowControl w:val="0"/>
              <w:jc w:val="center"/>
              <w:rPr>
                <w:rFonts w:ascii="Arial" w:hAnsi="Arial"/>
                <w:sz w:val="14"/>
              </w:rPr>
            </w:pPr>
            <w:r>
              <w:rPr>
                <w:rFonts w:ascii="Arial" w:hAnsi="Arial"/>
                <w:b/>
                <w:sz w:val="14"/>
              </w:rPr>
              <w:t>H</w:t>
            </w: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7E512D">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7E512D">
            <w:pPr>
              <w:widowControl w:val="0"/>
              <w:jc w:val="center"/>
              <w:rPr>
                <w:rFonts w:ascii="Arial" w:hAnsi="Arial"/>
                <w:b/>
                <w:sz w:val="14"/>
              </w:rPr>
            </w:pPr>
            <w:r>
              <w:rPr>
                <w:rFonts w:ascii="Arial" w:hAnsi="Arial"/>
                <w:b/>
                <w:sz w:val="14"/>
              </w:rPr>
              <w:t>H</w:t>
            </w:r>
          </w:p>
          <w:p w:rsidR="0081610A" w:rsidRPr="002E0C7E" w:rsidRDefault="0081610A" w:rsidP="007E512D">
            <w:pPr>
              <w:widowControl w:val="0"/>
              <w:jc w:val="center"/>
              <w:rPr>
                <w:rFonts w:ascii="Arial" w:hAnsi="Arial"/>
                <w:sz w:val="14"/>
              </w:rPr>
            </w:pPr>
            <w:r>
              <w:rPr>
                <w:rFonts w:ascii="Arial" w:hAnsi="Arial"/>
                <w:sz w:val="14"/>
              </w:rPr>
              <w:t>25</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7E512D">
            <w:pPr>
              <w:widowControl w:val="0"/>
              <w:jc w:val="center"/>
              <w:rPr>
                <w:rFonts w:ascii="Arial" w:hAnsi="Arial"/>
                <w:b/>
                <w:sz w:val="14"/>
              </w:rPr>
            </w:pPr>
            <w:r>
              <w:rPr>
                <w:rFonts w:ascii="Arial" w:hAnsi="Arial"/>
                <w:b/>
                <w:sz w:val="14"/>
              </w:rPr>
              <w:t>H</w:t>
            </w:r>
          </w:p>
          <w:p w:rsidR="0081610A" w:rsidRPr="002E0C7E" w:rsidRDefault="0081610A" w:rsidP="007E512D">
            <w:pPr>
              <w:widowControl w:val="0"/>
              <w:jc w:val="center"/>
              <w:rPr>
                <w:rFonts w:ascii="Arial" w:hAnsi="Arial"/>
                <w:sz w:val="14"/>
              </w:rPr>
            </w:pPr>
            <w:r>
              <w:rPr>
                <w:rFonts w:ascii="Arial" w:hAnsi="Arial"/>
                <w:sz w:val="14"/>
              </w:rPr>
              <w:t>26</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7E512D">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4" w:space="0" w:color="auto"/>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p>
        </w:tc>
      </w:tr>
    </w:tbl>
    <w:p w:rsidR="0081610A" w:rsidRPr="002E0C7E" w:rsidRDefault="0081610A" w:rsidP="0081610A">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610A" w:rsidRPr="002E0C7E" w:rsidTr="007E512D">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7E512D">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7E512D">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7E512D">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7E512D">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7E512D">
            <w:pPr>
              <w:widowControl w:val="0"/>
              <w:jc w:val="center"/>
              <w:rPr>
                <w:rFonts w:ascii="Arial" w:hAnsi="Arial"/>
                <w:sz w:val="14"/>
              </w:rPr>
            </w:pPr>
            <w:r w:rsidRPr="002E0C7E">
              <w:rPr>
                <w:rFonts w:ascii="Arial" w:hAnsi="Arial"/>
                <w:b/>
                <w:sz w:val="14"/>
              </w:rPr>
              <w:t>MARCH - MARS</w:t>
            </w:r>
          </w:p>
        </w:tc>
      </w:tr>
      <w:tr w:rsidR="0081610A" w:rsidRPr="002E0C7E" w:rsidTr="007E512D">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S</w:t>
            </w:r>
          </w:p>
          <w:p w:rsidR="0081610A" w:rsidRPr="002E0C7E" w:rsidRDefault="0081610A" w:rsidP="007E512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M</w:t>
            </w:r>
          </w:p>
          <w:p w:rsidR="0081610A" w:rsidRPr="002E0C7E" w:rsidRDefault="0081610A" w:rsidP="007E512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T</w:t>
            </w:r>
          </w:p>
          <w:p w:rsidR="0081610A" w:rsidRPr="002E0C7E" w:rsidRDefault="0081610A" w:rsidP="007E512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W</w:t>
            </w:r>
          </w:p>
          <w:p w:rsidR="0081610A" w:rsidRPr="002E0C7E" w:rsidRDefault="0081610A" w:rsidP="007E512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T</w:t>
            </w:r>
          </w:p>
          <w:p w:rsidR="0081610A" w:rsidRPr="002E0C7E" w:rsidRDefault="0081610A" w:rsidP="007E512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F</w:t>
            </w:r>
          </w:p>
          <w:p w:rsidR="0081610A" w:rsidRPr="002E0C7E" w:rsidRDefault="0081610A" w:rsidP="007E512D">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S</w:t>
            </w:r>
          </w:p>
          <w:p w:rsidR="0081610A" w:rsidRPr="002E0C7E" w:rsidRDefault="0081610A" w:rsidP="007E512D">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S</w:t>
            </w:r>
          </w:p>
          <w:p w:rsidR="0081610A" w:rsidRPr="002E0C7E" w:rsidRDefault="0081610A" w:rsidP="007E512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M</w:t>
            </w:r>
          </w:p>
          <w:p w:rsidR="0081610A" w:rsidRPr="002E0C7E" w:rsidRDefault="0081610A" w:rsidP="007E512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T</w:t>
            </w:r>
          </w:p>
          <w:p w:rsidR="0081610A" w:rsidRPr="002E0C7E" w:rsidRDefault="0081610A" w:rsidP="007E512D">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W</w:t>
            </w:r>
          </w:p>
          <w:p w:rsidR="0081610A" w:rsidRPr="002E0C7E" w:rsidRDefault="0081610A" w:rsidP="007E512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T</w:t>
            </w:r>
          </w:p>
          <w:p w:rsidR="0081610A" w:rsidRPr="002E0C7E" w:rsidRDefault="0081610A" w:rsidP="007E512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F</w:t>
            </w:r>
          </w:p>
          <w:p w:rsidR="0081610A" w:rsidRPr="002E0C7E" w:rsidRDefault="0081610A" w:rsidP="007E512D">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S</w:t>
            </w:r>
          </w:p>
          <w:p w:rsidR="0081610A" w:rsidRPr="002E0C7E" w:rsidRDefault="0081610A" w:rsidP="007E512D">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S</w:t>
            </w:r>
          </w:p>
          <w:p w:rsidR="0081610A" w:rsidRPr="002E0C7E" w:rsidRDefault="0081610A" w:rsidP="007E512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M</w:t>
            </w:r>
          </w:p>
          <w:p w:rsidR="0081610A" w:rsidRPr="002E0C7E" w:rsidRDefault="0081610A" w:rsidP="007E512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T</w:t>
            </w:r>
          </w:p>
          <w:p w:rsidR="0081610A" w:rsidRPr="002E0C7E" w:rsidRDefault="0081610A" w:rsidP="007E512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W</w:t>
            </w:r>
          </w:p>
          <w:p w:rsidR="0081610A" w:rsidRPr="002E0C7E" w:rsidRDefault="0081610A" w:rsidP="007E512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T</w:t>
            </w:r>
          </w:p>
          <w:p w:rsidR="0081610A" w:rsidRPr="002E0C7E" w:rsidRDefault="0081610A" w:rsidP="007E512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F</w:t>
            </w:r>
          </w:p>
          <w:p w:rsidR="0081610A" w:rsidRPr="002E0C7E" w:rsidRDefault="0081610A" w:rsidP="007E512D">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S</w:t>
            </w:r>
          </w:p>
          <w:p w:rsidR="0081610A" w:rsidRPr="002E0C7E" w:rsidRDefault="0081610A" w:rsidP="007E512D">
            <w:pPr>
              <w:widowControl w:val="0"/>
              <w:jc w:val="center"/>
              <w:rPr>
                <w:rFonts w:ascii="Arial" w:hAnsi="Arial"/>
                <w:sz w:val="14"/>
              </w:rPr>
            </w:pPr>
            <w:r w:rsidRPr="002E0C7E">
              <w:rPr>
                <w:rFonts w:ascii="Arial" w:hAnsi="Arial"/>
                <w:sz w:val="14"/>
              </w:rPr>
              <w:t>S</w:t>
            </w:r>
          </w:p>
        </w:tc>
      </w:tr>
      <w:tr w:rsidR="0081610A" w:rsidRPr="002E0C7E" w:rsidTr="007E512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317A69" w:rsidRDefault="0081610A" w:rsidP="007E512D">
            <w:pPr>
              <w:widowControl w:val="0"/>
              <w:jc w:val="center"/>
              <w:rPr>
                <w:rFonts w:ascii="Arial" w:hAnsi="Arial"/>
                <w:b/>
                <w:sz w:val="14"/>
              </w:rPr>
            </w:pPr>
          </w:p>
          <w:p w:rsidR="0081610A" w:rsidRPr="002E0C7E" w:rsidRDefault="0081610A" w:rsidP="007E512D">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7E512D">
            <w:pPr>
              <w:widowControl w:val="0"/>
              <w:jc w:val="center"/>
              <w:rPr>
                <w:rFonts w:ascii="Arial" w:hAnsi="Arial"/>
                <w:b/>
                <w:sz w:val="14"/>
              </w:rPr>
            </w:pPr>
            <w:r>
              <w:rPr>
                <w:rFonts w:ascii="Arial" w:hAnsi="Arial"/>
                <w:b/>
                <w:sz w:val="14"/>
              </w:rPr>
              <w:t>H</w:t>
            </w:r>
          </w:p>
          <w:p w:rsidR="0081610A" w:rsidRPr="002E0C7E" w:rsidRDefault="0081610A" w:rsidP="007E512D">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1</w:t>
            </w:r>
          </w:p>
        </w:tc>
      </w:tr>
      <w:tr w:rsidR="0081610A" w:rsidRPr="002E0C7E" w:rsidTr="007E512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8</w:t>
            </w:r>
          </w:p>
        </w:tc>
      </w:tr>
      <w:tr w:rsidR="0081610A" w:rsidRPr="002E0C7E" w:rsidTr="007E512D">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7255AD" w:rsidRDefault="0081610A" w:rsidP="007E512D">
            <w:pPr>
              <w:widowControl w:val="0"/>
              <w:jc w:val="center"/>
              <w:rPr>
                <w:rFonts w:ascii="Arial" w:hAnsi="Arial"/>
                <w:b/>
                <w:sz w:val="14"/>
              </w:rPr>
            </w:pPr>
            <w:r>
              <w:rPr>
                <w:rFonts w:ascii="Arial" w:hAnsi="Arial"/>
                <w:b/>
                <w:sz w:val="14"/>
              </w:rPr>
              <w:t>M</w:t>
            </w: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9</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0E2B85" w:rsidRDefault="0081610A" w:rsidP="007E512D">
            <w:pPr>
              <w:widowControl w:val="0"/>
              <w:jc w:val="center"/>
              <w:rPr>
                <w:rFonts w:ascii="Arial" w:hAnsi="Arial"/>
                <w:b/>
                <w:sz w:val="14"/>
              </w:rPr>
            </w:pPr>
            <w:r>
              <w:rPr>
                <w:rFonts w:ascii="Arial" w:hAnsi="Arial"/>
                <w:b/>
                <w:sz w:val="14"/>
              </w:rPr>
              <w:t>M</w:t>
            </w: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5</w:t>
            </w:r>
          </w:p>
        </w:tc>
      </w:tr>
      <w:tr w:rsidR="0081610A" w:rsidRPr="002E0C7E" w:rsidTr="007E512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34238" w:rsidRDefault="0081610A" w:rsidP="007E512D">
            <w:pPr>
              <w:widowControl w:val="0"/>
              <w:jc w:val="center"/>
              <w:rPr>
                <w:rFonts w:ascii="Arial" w:hAnsi="Arial"/>
                <w:b/>
                <w:sz w:val="14"/>
              </w:rPr>
            </w:pPr>
            <w:r>
              <w:rPr>
                <w:rFonts w:ascii="Arial" w:hAnsi="Arial"/>
                <w:b/>
                <w:sz w:val="14"/>
              </w:rPr>
              <w:t>M</w:t>
            </w: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2</w:t>
            </w:r>
            <w:r>
              <w:rPr>
                <w:rFonts w:ascii="Arial" w:hAnsi="Arial"/>
                <w:sz w:val="14"/>
              </w:rPr>
              <w:t>2</w:t>
            </w:r>
          </w:p>
        </w:tc>
      </w:tr>
      <w:tr w:rsidR="0081610A" w:rsidRPr="002E0C7E" w:rsidTr="007E512D">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Pr>
                <w:rFonts w:ascii="Arial" w:hAnsi="Arial"/>
                <w:sz w:val="14"/>
              </w:rPr>
              <w:t>23</w:t>
            </w:r>
          </w:p>
          <w:p w:rsidR="0081610A" w:rsidRPr="002E0C7E" w:rsidRDefault="0081610A" w:rsidP="007E512D">
            <w:pPr>
              <w:widowControl w:val="0"/>
              <w:jc w:val="center"/>
              <w:rPr>
                <w:rFonts w:ascii="Arial" w:hAnsi="Arial"/>
                <w:sz w:val="14"/>
              </w:rPr>
            </w:pPr>
            <w:r>
              <w:rPr>
                <w:rFonts w:ascii="Arial" w:hAnsi="Arial"/>
                <w:sz w:val="14"/>
              </w:rPr>
              <w:t xml:space="preserve">  30</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r>
              <w:rPr>
                <w:rFonts w:ascii="Arial" w:hAnsi="Arial"/>
                <w:sz w:val="14"/>
              </w:rPr>
              <w:t>24</w:t>
            </w:r>
          </w:p>
          <w:p w:rsidR="0081610A" w:rsidRPr="002E0C7E" w:rsidRDefault="0081610A" w:rsidP="007E512D">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61B35" w:rsidRDefault="0081610A" w:rsidP="007E512D">
            <w:pPr>
              <w:widowControl w:val="0"/>
              <w:jc w:val="center"/>
              <w:rPr>
                <w:rFonts w:ascii="Arial" w:hAnsi="Arial"/>
                <w:b/>
                <w:sz w:val="14"/>
              </w:rPr>
            </w:pPr>
          </w:p>
          <w:p w:rsidR="0081610A" w:rsidRPr="002E0C7E" w:rsidRDefault="0081610A" w:rsidP="007E512D">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29</w:t>
            </w:r>
          </w:p>
        </w:tc>
      </w:tr>
    </w:tbl>
    <w:p w:rsidR="0081610A" w:rsidRPr="002E0C7E" w:rsidRDefault="0081610A" w:rsidP="0081610A">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610A" w:rsidRPr="002E0C7E" w:rsidTr="007E512D">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7E512D">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7E512D">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7E512D">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7E512D">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7E512D">
            <w:pPr>
              <w:widowControl w:val="0"/>
              <w:jc w:val="center"/>
              <w:rPr>
                <w:rFonts w:ascii="Arial" w:hAnsi="Arial"/>
                <w:sz w:val="14"/>
              </w:rPr>
            </w:pPr>
            <w:r w:rsidRPr="002E0C7E">
              <w:rPr>
                <w:rFonts w:ascii="Arial" w:hAnsi="Arial"/>
                <w:b/>
                <w:sz w:val="14"/>
              </w:rPr>
              <w:t>JUNE - JUIN</w:t>
            </w:r>
          </w:p>
        </w:tc>
      </w:tr>
      <w:tr w:rsidR="0081610A" w:rsidRPr="002E0C7E" w:rsidTr="007E512D">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S</w:t>
            </w:r>
          </w:p>
          <w:p w:rsidR="0081610A" w:rsidRPr="002E0C7E" w:rsidRDefault="0081610A" w:rsidP="007E512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M</w:t>
            </w:r>
          </w:p>
          <w:p w:rsidR="0081610A" w:rsidRPr="002E0C7E" w:rsidRDefault="0081610A" w:rsidP="007E512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T</w:t>
            </w:r>
          </w:p>
          <w:p w:rsidR="0081610A" w:rsidRPr="002E0C7E" w:rsidRDefault="0081610A" w:rsidP="007E512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W</w:t>
            </w:r>
          </w:p>
          <w:p w:rsidR="0081610A" w:rsidRPr="002E0C7E" w:rsidRDefault="0081610A" w:rsidP="007E512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T</w:t>
            </w:r>
          </w:p>
          <w:p w:rsidR="0081610A" w:rsidRPr="002E0C7E" w:rsidRDefault="0081610A" w:rsidP="007E512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F</w:t>
            </w:r>
          </w:p>
          <w:p w:rsidR="0081610A" w:rsidRPr="002E0C7E" w:rsidRDefault="0081610A" w:rsidP="007E512D">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S</w:t>
            </w:r>
          </w:p>
          <w:p w:rsidR="0081610A" w:rsidRPr="002E0C7E" w:rsidRDefault="0081610A" w:rsidP="007E512D">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S</w:t>
            </w:r>
          </w:p>
          <w:p w:rsidR="0081610A" w:rsidRPr="002E0C7E" w:rsidRDefault="0081610A" w:rsidP="007E512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M</w:t>
            </w:r>
          </w:p>
          <w:p w:rsidR="0081610A" w:rsidRPr="002E0C7E" w:rsidRDefault="0081610A" w:rsidP="007E512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T</w:t>
            </w:r>
          </w:p>
          <w:p w:rsidR="0081610A" w:rsidRPr="002E0C7E" w:rsidRDefault="0081610A" w:rsidP="007E512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W</w:t>
            </w:r>
          </w:p>
          <w:p w:rsidR="0081610A" w:rsidRPr="002E0C7E" w:rsidRDefault="0081610A" w:rsidP="007E512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T</w:t>
            </w:r>
          </w:p>
          <w:p w:rsidR="0081610A" w:rsidRPr="002E0C7E" w:rsidRDefault="0081610A" w:rsidP="007E512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F</w:t>
            </w:r>
          </w:p>
          <w:p w:rsidR="0081610A" w:rsidRPr="002E0C7E" w:rsidRDefault="0081610A" w:rsidP="007E512D">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S</w:t>
            </w:r>
          </w:p>
          <w:p w:rsidR="0081610A" w:rsidRPr="002E0C7E" w:rsidRDefault="0081610A" w:rsidP="007E512D">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S</w:t>
            </w:r>
          </w:p>
          <w:p w:rsidR="0081610A" w:rsidRPr="002E0C7E" w:rsidRDefault="0081610A" w:rsidP="007E512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M</w:t>
            </w:r>
          </w:p>
          <w:p w:rsidR="0081610A" w:rsidRPr="002E0C7E" w:rsidRDefault="0081610A" w:rsidP="007E512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T</w:t>
            </w:r>
          </w:p>
          <w:p w:rsidR="0081610A" w:rsidRPr="002E0C7E" w:rsidRDefault="0081610A" w:rsidP="007E512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W</w:t>
            </w:r>
          </w:p>
          <w:p w:rsidR="0081610A" w:rsidRPr="002E0C7E" w:rsidRDefault="0081610A" w:rsidP="007E512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T</w:t>
            </w:r>
          </w:p>
          <w:p w:rsidR="0081610A" w:rsidRPr="002E0C7E" w:rsidRDefault="0081610A" w:rsidP="007E512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sidRPr="002E0C7E">
              <w:rPr>
                <w:rFonts w:ascii="Arial" w:hAnsi="Arial"/>
                <w:sz w:val="14"/>
              </w:rPr>
              <w:t>F</w:t>
            </w:r>
          </w:p>
          <w:p w:rsidR="0081610A" w:rsidRPr="002E0C7E" w:rsidRDefault="0081610A" w:rsidP="007E512D">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r>
              <w:rPr>
                <w:rFonts w:ascii="Arial" w:hAnsi="Arial"/>
                <w:sz w:val="14"/>
              </w:rPr>
              <w:t>S</w:t>
            </w:r>
          </w:p>
          <w:p w:rsidR="0081610A" w:rsidRPr="002E0C7E" w:rsidRDefault="0081610A" w:rsidP="007E512D">
            <w:pPr>
              <w:widowControl w:val="0"/>
              <w:jc w:val="center"/>
              <w:rPr>
                <w:rFonts w:ascii="Arial" w:hAnsi="Arial"/>
                <w:sz w:val="14"/>
              </w:rPr>
            </w:pPr>
            <w:r>
              <w:rPr>
                <w:rFonts w:ascii="Arial" w:hAnsi="Arial"/>
                <w:sz w:val="14"/>
              </w:rPr>
              <w:t>S</w:t>
            </w:r>
          </w:p>
        </w:tc>
      </w:tr>
      <w:tr w:rsidR="0081610A" w:rsidRPr="002E0C7E" w:rsidTr="007E512D">
        <w:trPr>
          <w:cantSplit/>
          <w:trHeight w:val="422"/>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b/>
                <w:sz w:val="14"/>
              </w:rPr>
            </w:pPr>
          </w:p>
          <w:p w:rsidR="0081610A" w:rsidRPr="002E0C7E" w:rsidRDefault="0081610A" w:rsidP="007E512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7</w:t>
            </w:r>
          </w:p>
        </w:tc>
      </w:tr>
      <w:tr w:rsidR="0081610A" w:rsidRPr="002E0C7E" w:rsidTr="007E512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710C8B" w:rsidRDefault="0081610A" w:rsidP="007E512D">
            <w:pPr>
              <w:widowControl w:val="0"/>
              <w:jc w:val="center"/>
              <w:rPr>
                <w:rFonts w:ascii="Arial" w:hAnsi="Arial"/>
                <w:b/>
                <w:sz w:val="14"/>
              </w:rPr>
            </w:pPr>
          </w:p>
          <w:p w:rsidR="0081610A" w:rsidRPr="002E0C7E" w:rsidRDefault="0081610A" w:rsidP="007E512D">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14</w:t>
            </w:r>
          </w:p>
        </w:tc>
      </w:tr>
      <w:tr w:rsidR="0081610A" w:rsidRPr="002E0C7E" w:rsidTr="007E512D">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B5777" w:rsidRDefault="0081610A" w:rsidP="007E512D">
            <w:pPr>
              <w:widowControl w:val="0"/>
              <w:jc w:val="center"/>
              <w:rPr>
                <w:rFonts w:ascii="Arial" w:hAnsi="Arial"/>
                <w:b/>
                <w:sz w:val="14"/>
              </w:rPr>
            </w:pPr>
            <w:r w:rsidRPr="00DB5777">
              <w:rPr>
                <w:rFonts w:ascii="Arial" w:hAnsi="Arial"/>
                <w:b/>
                <w:sz w:val="14"/>
              </w:rPr>
              <w:t>M</w:t>
            </w: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852172" w:rsidRDefault="0081610A" w:rsidP="007E512D">
            <w:pPr>
              <w:widowControl w:val="0"/>
              <w:jc w:val="center"/>
              <w:rPr>
                <w:rFonts w:ascii="Arial" w:hAnsi="Arial"/>
                <w:b/>
                <w:sz w:val="14"/>
              </w:rPr>
            </w:pPr>
            <w:r>
              <w:rPr>
                <w:rFonts w:ascii="Arial" w:hAnsi="Arial"/>
                <w:b/>
                <w:sz w:val="14"/>
              </w:rPr>
              <w:t>H</w:t>
            </w:r>
          </w:p>
          <w:p w:rsidR="0081610A" w:rsidRPr="002E0C7E" w:rsidRDefault="0081610A" w:rsidP="007E512D">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19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453E3" w:rsidRDefault="0081610A" w:rsidP="007E512D">
            <w:pPr>
              <w:widowControl w:val="0"/>
              <w:jc w:val="center"/>
              <w:rPr>
                <w:rFonts w:ascii="Arial" w:hAnsi="Arial"/>
                <w:b/>
                <w:sz w:val="14"/>
              </w:rPr>
            </w:pPr>
            <w:r w:rsidRPr="002453E3">
              <w:rPr>
                <w:rFonts w:ascii="Arial" w:hAnsi="Arial"/>
                <w:b/>
                <w:sz w:val="14"/>
              </w:rPr>
              <w:t>M</w:t>
            </w: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6A1E8D" w:rsidRDefault="0081610A" w:rsidP="007E512D">
            <w:pPr>
              <w:widowControl w:val="0"/>
              <w:jc w:val="center"/>
              <w:rPr>
                <w:rFonts w:ascii="Arial" w:hAnsi="Arial"/>
                <w:b/>
                <w:sz w:val="14"/>
              </w:rPr>
            </w:pPr>
            <w:r w:rsidRPr="006A1E8D">
              <w:rPr>
                <w:rFonts w:ascii="Arial" w:hAnsi="Arial"/>
                <w:b/>
                <w:sz w:val="14"/>
              </w:rPr>
              <w:t>M</w:t>
            </w: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7E512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vAlign w:val="center"/>
          </w:tcPr>
          <w:p w:rsidR="0081610A" w:rsidRPr="00CD57C3" w:rsidRDefault="0081610A" w:rsidP="007E512D">
            <w:pPr>
              <w:widowControl w:val="0"/>
              <w:jc w:val="center"/>
              <w:rPr>
                <w:rFonts w:ascii="Arial" w:hAnsi="Arial"/>
                <w:b/>
                <w:sz w:val="14"/>
              </w:rPr>
            </w:pPr>
            <w:r w:rsidRPr="00CD57C3">
              <w:rPr>
                <w:rFonts w:ascii="Arial" w:hAnsi="Arial"/>
                <w:b/>
                <w:sz w:val="14"/>
              </w:rPr>
              <w:t>H</w:t>
            </w:r>
          </w:p>
          <w:p w:rsidR="0081610A" w:rsidRPr="002E0C7E" w:rsidRDefault="0081610A" w:rsidP="007E512D">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18</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2453E3" w:rsidRDefault="0081610A" w:rsidP="007E512D">
            <w:pPr>
              <w:widowControl w:val="0"/>
              <w:jc w:val="center"/>
              <w:rPr>
                <w:rFonts w:ascii="Arial" w:hAnsi="Arial"/>
                <w:b/>
                <w:sz w:val="14"/>
              </w:rPr>
            </w:pPr>
            <w:r>
              <w:rPr>
                <w:rFonts w:ascii="Arial" w:hAnsi="Arial"/>
                <w:b/>
                <w:sz w:val="14"/>
              </w:rPr>
              <w:t>H</w:t>
            </w:r>
          </w:p>
          <w:p w:rsidR="0081610A" w:rsidRPr="002E0C7E" w:rsidRDefault="0081610A" w:rsidP="007E512D">
            <w:pPr>
              <w:widowControl w:val="0"/>
              <w:jc w:val="center"/>
              <w:rPr>
                <w:rFonts w:ascii="Arial" w:hAnsi="Arial"/>
                <w:sz w:val="14"/>
              </w:rPr>
            </w:pPr>
            <w:r>
              <w:rPr>
                <w:rFonts w:ascii="Arial" w:hAnsi="Arial"/>
                <w:sz w:val="14"/>
              </w:rPr>
              <w:t>19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7E512D">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31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7E512D">
            <w:pPr>
              <w:widowControl w:val="0"/>
              <w:jc w:val="center"/>
              <w:rPr>
                <w:rFonts w:ascii="Arial" w:hAnsi="Arial"/>
                <w:sz w:val="14"/>
              </w:rPr>
            </w:pPr>
          </w:p>
          <w:p w:rsidR="0081610A" w:rsidRPr="002E0C7E" w:rsidRDefault="0081610A" w:rsidP="007E512D">
            <w:pPr>
              <w:widowControl w:val="0"/>
              <w:jc w:val="center"/>
              <w:rPr>
                <w:rFonts w:ascii="Arial" w:hAnsi="Arial"/>
                <w:sz w:val="14"/>
              </w:rPr>
            </w:pPr>
          </w:p>
        </w:tc>
      </w:tr>
    </w:tbl>
    <w:p w:rsidR="0081610A" w:rsidRPr="002E0C7E" w:rsidRDefault="0081610A" w:rsidP="0081610A">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610A" w:rsidRPr="002E0C7E" w:rsidTr="007E512D">
        <w:trPr>
          <w:cantSplit/>
        </w:trPr>
        <w:tc>
          <w:tcPr>
            <w:tcW w:w="1710" w:type="dxa"/>
            <w:tcBorders>
              <w:top w:val="nil"/>
              <w:left w:val="nil"/>
              <w:bottom w:val="nil"/>
              <w:right w:val="nil"/>
            </w:tcBorders>
            <w:tcMar>
              <w:top w:w="43" w:type="dxa"/>
              <w:left w:w="120" w:type="dxa"/>
              <w:bottom w:w="29" w:type="dxa"/>
              <w:right w:w="120" w:type="dxa"/>
            </w:tcMar>
          </w:tcPr>
          <w:p w:rsidR="0081610A" w:rsidRPr="002E0C7E" w:rsidRDefault="0081610A" w:rsidP="007E512D">
            <w:pPr>
              <w:widowControl w:val="0"/>
              <w:rPr>
                <w:rFonts w:ascii="Arial" w:hAnsi="Arial"/>
                <w:sz w:val="16"/>
              </w:rPr>
            </w:pPr>
            <w:r w:rsidRPr="002E0C7E">
              <w:rPr>
                <w:rFonts w:ascii="Arial" w:hAnsi="Arial"/>
                <w:sz w:val="16"/>
              </w:rPr>
              <w:t>Sittings of the court:</w:t>
            </w:r>
          </w:p>
          <w:p w:rsidR="0081610A" w:rsidRPr="002E0C7E" w:rsidRDefault="0081610A" w:rsidP="007E512D">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610A" w:rsidRPr="002E0C7E" w:rsidRDefault="0081610A" w:rsidP="007E512D">
            <w:pPr>
              <w:widowControl w:val="0"/>
              <w:rPr>
                <w:rFonts w:ascii="Arial" w:hAnsi="Arial"/>
                <w:sz w:val="16"/>
              </w:rPr>
            </w:pPr>
          </w:p>
          <w:p w:rsidR="0081610A" w:rsidRPr="002E0C7E" w:rsidRDefault="0081610A" w:rsidP="007E512D">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610A" w:rsidRPr="00B058C3" w:rsidRDefault="0081610A" w:rsidP="007E512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610A" w:rsidRPr="00B058C3" w:rsidRDefault="0081610A" w:rsidP="007E512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610A" w:rsidRPr="00B058C3" w:rsidRDefault="0081610A" w:rsidP="007E512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610A" w:rsidRPr="002E0C7E" w:rsidRDefault="0081610A" w:rsidP="007E512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610A" w:rsidRPr="002E0C7E" w:rsidRDefault="0081610A" w:rsidP="007E512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7E512D">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7E512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610A" w:rsidRPr="002E0C7E" w:rsidRDefault="0081610A" w:rsidP="007E512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610A" w:rsidRPr="002E0C7E" w:rsidRDefault="0081610A" w:rsidP="007E512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7E512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7E512D">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7E512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610A" w:rsidRPr="002E0C7E" w:rsidRDefault="0081610A" w:rsidP="007E512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610A" w:rsidRPr="002E0C7E" w:rsidRDefault="0081610A" w:rsidP="007E512D">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7E512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610A" w:rsidRPr="002E0C7E" w:rsidRDefault="0081610A" w:rsidP="0081610A">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87"/>
      <w:footerReference w:type="default" r:id="rId88"/>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371" w:rsidRDefault="006C5371" w:rsidP="00A87207">
      <w:r>
        <w:separator/>
      </w:r>
    </w:p>
  </w:endnote>
  <w:endnote w:type="continuationSeparator" w:id="0">
    <w:p w:rsidR="006C5371" w:rsidRDefault="006C5371"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71" w:rsidRDefault="006C537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71" w:rsidRDefault="00E672F1">
    <w:pPr>
      <w:pStyle w:val="Footer"/>
      <w:rPr>
        <w:lang w:val="fr-CA"/>
      </w:rPr>
    </w:pPr>
    <w:r>
      <w:rPr>
        <w:lang w:val="fr-CA"/>
      </w:rPr>
      <w:pict>
        <v:rect id="_x0000_i1055" style="width:480.95pt;height:1pt" o:hralign="center" o:hrstd="t" o:hrnoshade="t" o:hr="t" fillcolor="black [3213]" stroked="f"/>
      </w:pict>
    </w:r>
  </w:p>
  <w:p w:rsidR="006C5371" w:rsidRDefault="006C5371" w:rsidP="00245129">
    <w:pPr>
      <w:tabs>
        <w:tab w:val="center" w:pos="4680"/>
      </w:tabs>
    </w:pPr>
    <w:r>
      <w:tab/>
    </w:r>
    <w:r w:rsidRPr="0009648D">
      <w:t xml:space="preserve">- </w:t>
    </w:r>
    <w:r w:rsidR="00E672F1">
      <w:fldChar w:fldCharType="begin"/>
    </w:r>
    <w:r w:rsidR="00E672F1">
      <w:instrText xml:space="preserve"> PAGE   \* MERGEFORMAT </w:instrText>
    </w:r>
    <w:r w:rsidR="00E672F1">
      <w:fldChar w:fldCharType="separate"/>
    </w:r>
    <w:r w:rsidR="00E672F1">
      <w:rPr>
        <w:noProof/>
      </w:rPr>
      <w:t>1995</w:t>
    </w:r>
    <w:r w:rsidR="00E672F1">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71" w:rsidRDefault="006C5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C5371" w:rsidRDefault="006C5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C5371" w:rsidRDefault="006C5371">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71" w:rsidRDefault="00E672F1" w:rsidP="00755F22">
    <w:pPr>
      <w:tabs>
        <w:tab w:val="left" w:pos="-1440"/>
        <w:tab w:val="left" w:pos="-720"/>
      </w:tabs>
    </w:pPr>
    <w:r>
      <w:pict>
        <v:rect id="_x0000_i1062" style="width:480.95pt;height:1pt" o:hralign="center" o:hrstd="t" o:hrnoshade="t" o:hr="t" fillcolor="black [3213]" stroked="f"/>
      </w:pict>
    </w:r>
  </w:p>
  <w:p w:rsidR="006C5371" w:rsidRDefault="006C5371" w:rsidP="00EB2B90">
    <w:pPr>
      <w:tabs>
        <w:tab w:val="center" w:pos="4680"/>
      </w:tabs>
    </w:pPr>
    <w:r>
      <w:tab/>
      <w:t xml:space="preserve">- </w:t>
    </w:r>
    <w:r w:rsidR="00E672F1">
      <w:fldChar w:fldCharType="begin"/>
    </w:r>
    <w:r w:rsidR="00E672F1">
      <w:instrText xml:space="preserve"> PAGE   \* MERGEFORMAT </w:instrText>
    </w:r>
    <w:r w:rsidR="00E672F1">
      <w:fldChar w:fldCharType="separate"/>
    </w:r>
    <w:r w:rsidR="00E672F1">
      <w:rPr>
        <w:noProof/>
      </w:rPr>
      <w:t>2020</w:t>
    </w:r>
    <w:r w:rsidR="00E672F1">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71" w:rsidRDefault="00E672F1" w:rsidP="00EB2B90">
    <w:pPr>
      <w:tabs>
        <w:tab w:val="center" w:pos="4680"/>
      </w:tabs>
    </w:pPr>
    <w:r>
      <w:pict>
        <v:rect id="_x0000_i1063" style="width:480.95pt;height:1pt" o:hralign="center" o:hrstd="t" o:hrnoshade="t" o:hr="t" fillcolor="black [3213]" stroked="f"/>
      </w:pict>
    </w:r>
  </w:p>
  <w:p w:rsidR="006C5371" w:rsidRPr="0031432F" w:rsidRDefault="006C5371" w:rsidP="00EB2B90">
    <w:pPr>
      <w:tabs>
        <w:tab w:val="center" w:pos="4680"/>
      </w:tabs>
    </w:pPr>
    <w:r>
      <w:tab/>
      <w:t xml:space="preserve">- </w:t>
    </w:r>
    <w:r w:rsidR="00E672F1">
      <w:fldChar w:fldCharType="begin"/>
    </w:r>
    <w:r w:rsidR="00E672F1">
      <w:instrText xml:space="preserve"> PAGE   \* MERGEFORMAT </w:instrText>
    </w:r>
    <w:r w:rsidR="00E672F1">
      <w:fldChar w:fldCharType="separate"/>
    </w:r>
    <w:r w:rsidR="00E672F1">
      <w:rPr>
        <w:noProof/>
      </w:rPr>
      <w:t>2013</w:t>
    </w:r>
    <w:r w:rsidR="00E672F1">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71" w:rsidRDefault="006C5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C5371" w:rsidRDefault="006C5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C5371" w:rsidRDefault="006C5371">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71" w:rsidRDefault="00E672F1" w:rsidP="00732DB7">
    <w:r>
      <w:pict>
        <v:rect id="_x0000_i1069" style="width:480.95pt;height:1pt" o:hralign="center" o:hrstd="t" o:hrnoshade="t" o:hr="t" fillcolor="black" stroked="f"/>
      </w:pict>
    </w:r>
  </w:p>
  <w:p w:rsidR="006C5371" w:rsidRDefault="006C5371">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71" w:rsidRDefault="00E672F1">
    <w:pPr>
      <w:pStyle w:val="Footer"/>
    </w:pPr>
    <w:r>
      <w:pict>
        <v:rect id="_x0000_i1070" style="width:480.95pt;height:1pt" o:hralign="center" o:hrstd="t" o:hrnoshade="t" o:hr="t" fillcolor="black" stroked="f"/>
      </w:pict>
    </w:r>
  </w:p>
  <w:p w:rsidR="006C5371" w:rsidRPr="00283C52" w:rsidRDefault="006C5371">
    <w:pPr>
      <w:pStyle w:val="Footer"/>
    </w:pPr>
    <w:r>
      <w:tab/>
    </w:r>
    <w:r w:rsidRPr="00283C52">
      <w:t xml:space="preserve">- </w:t>
    </w:r>
    <w:r w:rsidRPr="00283C52">
      <w:pgNum/>
    </w:r>
    <w:r w:rsidRPr="00283C52">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71" w:rsidRDefault="006C5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C5371" w:rsidRDefault="006C5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C5371" w:rsidRDefault="006C5371">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71" w:rsidRDefault="00E672F1" w:rsidP="00732DB7">
    <w:r>
      <w:pict>
        <v:rect id="_x0000_i1073" style="width:480.95pt;height:1pt" o:hralign="center" o:hrstd="t" o:hrnoshade="t" o:hr="t" fillcolor="black" stroked="f"/>
      </w:pict>
    </w:r>
  </w:p>
  <w:p w:rsidR="006C5371" w:rsidRDefault="006C5371">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71" w:rsidRDefault="00E672F1">
    <w:pPr>
      <w:pStyle w:val="Footer"/>
    </w:pPr>
    <w:r>
      <w:pict>
        <v:rect id="_x0000_i1074" style="width:480.95pt;height:1pt" o:hralign="center" o:hrstd="t" o:hrnoshade="t" o:hr="t" fillcolor="black [3213]" stroked="f"/>
      </w:pict>
    </w:r>
  </w:p>
  <w:p w:rsidR="006C5371" w:rsidRPr="003C2C0F" w:rsidRDefault="006C5371" w:rsidP="00697C62">
    <w:pPr>
      <w:tabs>
        <w:tab w:val="center" w:pos="4680"/>
      </w:tabs>
    </w:pPr>
    <w:r>
      <w:tab/>
      <w:t xml:space="preserve">- </w:t>
    </w:r>
    <w:r w:rsidR="00E672F1">
      <w:fldChar w:fldCharType="begin"/>
    </w:r>
    <w:r w:rsidR="00E672F1">
      <w:instrText xml:space="preserve"> PAGE   \* MERGEFORMAT </w:instrText>
    </w:r>
    <w:r w:rsidR="00E672F1">
      <w:fldChar w:fldCharType="separate"/>
    </w:r>
    <w:r w:rsidR="00E672F1">
      <w:rPr>
        <w:noProof/>
      </w:rPr>
      <w:t>2026</w:t>
    </w:r>
    <w:r w:rsidR="00E672F1">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71" w:rsidRDefault="006C5371">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71" w:rsidRDefault="006C5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C5371" w:rsidRDefault="006C5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C5371" w:rsidRDefault="006C5371">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71" w:rsidRDefault="006C5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C5371" w:rsidRDefault="00E672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9" style="width:480.95pt;height:1pt" o:hralign="center" o:hrstd="t" o:hrnoshade="t" o:hr="t" fillcolor="black [3213]" stroked="f"/>
      </w:pict>
    </w:r>
  </w:p>
  <w:p w:rsidR="006C5371" w:rsidRDefault="006C5371" w:rsidP="00782AE4">
    <w:pPr>
      <w:tabs>
        <w:tab w:val="center" w:pos="4680"/>
      </w:tabs>
    </w:pPr>
    <w:r>
      <w:tab/>
      <w:t xml:space="preserve">- </w:t>
    </w:r>
    <w:r w:rsidR="000505AD" w:rsidRPr="001775C1">
      <w:rPr>
        <w:szCs w:val="24"/>
      </w:rPr>
      <w:fldChar w:fldCharType="begin"/>
    </w:r>
    <w:r w:rsidRPr="001775C1">
      <w:rPr>
        <w:szCs w:val="24"/>
      </w:rPr>
      <w:instrText xml:space="preserve"> PAGE   \* MERGEFORMAT </w:instrText>
    </w:r>
    <w:r w:rsidR="000505AD" w:rsidRPr="001775C1">
      <w:rPr>
        <w:szCs w:val="24"/>
      </w:rPr>
      <w:fldChar w:fldCharType="separate"/>
    </w:r>
    <w:r w:rsidR="00E672F1">
      <w:rPr>
        <w:noProof/>
        <w:szCs w:val="24"/>
      </w:rPr>
      <w:t>2037</w:t>
    </w:r>
    <w:r w:rsidR="000505AD"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71" w:rsidRDefault="00E672F1" w:rsidP="00782AE4">
    <w:pPr>
      <w:tabs>
        <w:tab w:val="center" w:pos="4680"/>
      </w:tabs>
    </w:pPr>
    <w:r>
      <w:pict>
        <v:rect id="_x0000_i1080" style="width:480.95pt;height:1pt" o:hralign="center" o:hrstd="t" o:hrnoshade="t" o:hr="t" fillcolor="black [3213]" stroked="f"/>
      </w:pict>
    </w:r>
  </w:p>
  <w:p w:rsidR="006C5371" w:rsidRDefault="006C5371" w:rsidP="00782AE4">
    <w:pPr>
      <w:tabs>
        <w:tab w:val="center" w:pos="4680"/>
      </w:tabs>
    </w:pPr>
    <w:r>
      <w:tab/>
      <w:t xml:space="preserve">- </w:t>
    </w:r>
    <w:r w:rsidR="000505AD" w:rsidRPr="001775C1">
      <w:rPr>
        <w:szCs w:val="24"/>
      </w:rPr>
      <w:fldChar w:fldCharType="begin"/>
    </w:r>
    <w:r w:rsidRPr="001775C1">
      <w:rPr>
        <w:szCs w:val="24"/>
      </w:rPr>
      <w:instrText xml:space="preserve"> PAGE   \* MERGEFORMAT </w:instrText>
    </w:r>
    <w:r w:rsidR="000505AD" w:rsidRPr="001775C1">
      <w:rPr>
        <w:szCs w:val="24"/>
      </w:rPr>
      <w:fldChar w:fldCharType="separate"/>
    </w:r>
    <w:r w:rsidR="00E672F1">
      <w:rPr>
        <w:noProof/>
        <w:szCs w:val="24"/>
      </w:rPr>
      <w:t>2027</w:t>
    </w:r>
    <w:r w:rsidR="000505AD" w:rsidRPr="001775C1">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71" w:rsidRDefault="00E672F1">
    <w:r>
      <w:rPr>
        <w:lang w:val="fr-CA"/>
      </w:rPr>
      <w:pict>
        <v:rect id="_x0000_i1085" style="width:480.95pt;height:1pt" o:hralign="center" o:hrstd="t" o:hrnoshade="t" o:hr="t" fillcolor="black [3213]" stroked="f"/>
      </w:pict>
    </w:r>
  </w:p>
  <w:p w:rsidR="006C5371" w:rsidRDefault="006C5371" w:rsidP="006B6926">
    <w:pPr>
      <w:tabs>
        <w:tab w:val="center" w:pos="4680"/>
      </w:tabs>
    </w:pPr>
    <w:r>
      <w:tab/>
      <w:t xml:space="preserve">- </w:t>
    </w:r>
    <w:r w:rsidR="00E672F1">
      <w:fldChar w:fldCharType="begin"/>
    </w:r>
    <w:r w:rsidR="00E672F1">
      <w:instrText xml:space="preserve">PAGE </w:instrText>
    </w:r>
    <w:r w:rsidR="00E672F1">
      <w:fldChar w:fldCharType="separate"/>
    </w:r>
    <w:r>
      <w:rPr>
        <w:noProof/>
      </w:rPr>
      <w:t>2002</w:t>
    </w:r>
    <w:r w:rsidR="00E672F1">
      <w:rPr>
        <w:noProof/>
      </w:rPr>
      <w:fldChar w:fldCharType="end"/>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71" w:rsidRDefault="00E672F1" w:rsidP="006B6926">
    <w:pPr>
      <w:tabs>
        <w:tab w:val="center" w:pos="4680"/>
      </w:tabs>
      <w:rPr>
        <w:lang w:val="fr-CA"/>
      </w:rPr>
    </w:pPr>
    <w:r>
      <w:rPr>
        <w:lang w:val="fr-CA"/>
      </w:rPr>
      <w:pict>
        <v:rect id="_x0000_i1086" style="width:480.95pt;height:1pt" o:hralign="center" o:hrstd="t" o:hrnoshade="t" o:hr="t" fillcolor="black [3213]" stroked="f"/>
      </w:pict>
    </w:r>
  </w:p>
  <w:p w:rsidR="006C5371" w:rsidRDefault="006C5371" w:rsidP="006B6926">
    <w:pPr>
      <w:tabs>
        <w:tab w:val="center" w:pos="4680"/>
      </w:tabs>
    </w:pPr>
    <w:r>
      <w:tab/>
      <w:t xml:space="preserve">- </w:t>
    </w:r>
    <w:r w:rsidR="00E672F1">
      <w:fldChar w:fldCharType="begin"/>
    </w:r>
    <w:r w:rsidR="00E672F1">
      <w:instrText xml:space="preserve">PAGE </w:instrText>
    </w:r>
    <w:r w:rsidR="00E672F1">
      <w:fldChar w:fldCharType="separate"/>
    </w:r>
    <w:r w:rsidR="00E672F1">
      <w:rPr>
        <w:noProof/>
      </w:rPr>
      <w:t>2038</w:t>
    </w:r>
    <w:r w:rsidR="00E672F1">
      <w:rPr>
        <w:noProof/>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71" w:rsidRPr="00924065" w:rsidRDefault="006C5371"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71" w:rsidRDefault="006C537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71" w:rsidRDefault="00E672F1" w:rsidP="00A87207">
    <w:pPr>
      <w:pStyle w:val="Footer"/>
    </w:pPr>
    <w:r>
      <w:pict>
        <v:rect id="_x0000_i1031" style="width:480.95pt;height:1pt" o:hralign="center" o:hrstd="t" o:hrnoshade="t" o:hr="t" fillcolor="black [3213]" stroked="f"/>
      </w:pict>
    </w:r>
  </w:p>
  <w:p w:rsidR="006C5371" w:rsidRPr="00B7374B" w:rsidRDefault="006C5371" w:rsidP="00B7374B">
    <w:pPr>
      <w:tabs>
        <w:tab w:val="center" w:pos="4680"/>
      </w:tabs>
      <w:rPr>
        <w:szCs w:val="24"/>
      </w:rPr>
    </w:pPr>
    <w:r w:rsidRPr="00954D22">
      <w:rPr>
        <w:szCs w:val="24"/>
      </w:rPr>
      <w:tab/>
      <w:t xml:space="preserve">- </w:t>
    </w:r>
    <w:r w:rsidR="000505AD" w:rsidRPr="00954D22">
      <w:rPr>
        <w:szCs w:val="24"/>
      </w:rPr>
      <w:fldChar w:fldCharType="begin"/>
    </w:r>
    <w:r w:rsidRPr="00954D22">
      <w:rPr>
        <w:szCs w:val="24"/>
      </w:rPr>
      <w:instrText xml:space="preserve"> PAGE   \* MERGEFORMAT </w:instrText>
    </w:r>
    <w:r w:rsidR="000505AD" w:rsidRPr="00954D22">
      <w:rPr>
        <w:szCs w:val="24"/>
      </w:rPr>
      <w:fldChar w:fldCharType="separate"/>
    </w:r>
    <w:r>
      <w:rPr>
        <w:noProof/>
        <w:szCs w:val="24"/>
      </w:rPr>
      <w:t>1961</w:t>
    </w:r>
    <w:r w:rsidR="000505AD"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71" w:rsidRDefault="00E672F1" w:rsidP="00755F22">
    <w:pPr>
      <w:tabs>
        <w:tab w:val="left" w:pos="-1440"/>
        <w:tab w:val="left" w:pos="-720"/>
      </w:tabs>
    </w:pPr>
    <w:r>
      <w:pict>
        <v:rect id="_x0000_i1032" style="width:480.95pt;height:1pt" o:hralign="center" o:hrstd="t" o:hrnoshade="t" o:hr="t" fillcolor="black [3213]" stroked="f"/>
      </w:pict>
    </w:r>
  </w:p>
  <w:p w:rsidR="006C5371" w:rsidRPr="00954D22" w:rsidRDefault="006C5371" w:rsidP="00B7374B">
    <w:pPr>
      <w:tabs>
        <w:tab w:val="center" w:pos="4680"/>
      </w:tabs>
      <w:rPr>
        <w:szCs w:val="24"/>
      </w:rPr>
    </w:pPr>
    <w:r w:rsidRPr="00954D22">
      <w:rPr>
        <w:szCs w:val="24"/>
      </w:rPr>
      <w:tab/>
      <w:t xml:space="preserve">- </w:t>
    </w:r>
    <w:r w:rsidR="000505AD">
      <w:rPr>
        <w:szCs w:val="24"/>
      </w:rPr>
      <w:fldChar w:fldCharType="begin"/>
    </w:r>
    <w:r>
      <w:rPr>
        <w:szCs w:val="24"/>
      </w:rPr>
      <w:instrText xml:space="preserve"> PAGE   \* MERGEFORMAT </w:instrText>
    </w:r>
    <w:r w:rsidR="000505AD">
      <w:rPr>
        <w:szCs w:val="24"/>
      </w:rPr>
      <w:fldChar w:fldCharType="separate"/>
    </w:r>
    <w:r w:rsidR="00E672F1">
      <w:rPr>
        <w:noProof/>
        <w:szCs w:val="24"/>
      </w:rPr>
      <w:t>1993</w:t>
    </w:r>
    <w:r w:rsidR="000505AD">
      <w:rPr>
        <w:szCs w:val="24"/>
      </w:rPr>
      <w:fldChar w:fldCharType="end"/>
    </w:r>
    <w:r w:rsidRPr="00954D22">
      <w:rPr>
        <w:szCs w:val="24"/>
      </w:rPr>
      <w:t xml:space="preserve"> -</w:t>
    </w:r>
  </w:p>
  <w:p w:rsidR="006C5371" w:rsidRDefault="006C537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71" w:rsidRDefault="00E672F1" w:rsidP="00A87207">
    <w:pPr>
      <w:pStyle w:val="Footer"/>
    </w:pPr>
    <w:r>
      <w:pict>
        <v:rect id="_x0000_i1034" style="width:480.95pt;height:1pt" o:hralign="center" o:hrstd="t" o:hrnoshade="t" o:hr="t" fillcolor="black [3213]" stroked="f"/>
      </w:pict>
    </w:r>
  </w:p>
  <w:p w:rsidR="006C5371" w:rsidRPr="00B7374B" w:rsidRDefault="006C5371" w:rsidP="00B7374B">
    <w:pPr>
      <w:tabs>
        <w:tab w:val="center" w:pos="4680"/>
      </w:tabs>
      <w:rPr>
        <w:szCs w:val="24"/>
      </w:rPr>
    </w:pPr>
    <w:r w:rsidRPr="00954D22">
      <w:rPr>
        <w:szCs w:val="24"/>
      </w:rPr>
      <w:tab/>
      <w:t xml:space="preserve">- </w:t>
    </w:r>
    <w:r w:rsidR="000505AD" w:rsidRPr="00954D22">
      <w:rPr>
        <w:szCs w:val="24"/>
      </w:rPr>
      <w:fldChar w:fldCharType="begin"/>
    </w:r>
    <w:r w:rsidRPr="00954D22">
      <w:rPr>
        <w:szCs w:val="24"/>
      </w:rPr>
      <w:instrText xml:space="preserve"> PAGE   \* MERGEFORMAT </w:instrText>
    </w:r>
    <w:r w:rsidR="000505AD" w:rsidRPr="00954D22">
      <w:rPr>
        <w:szCs w:val="24"/>
      </w:rPr>
      <w:fldChar w:fldCharType="separate"/>
    </w:r>
    <w:r>
      <w:rPr>
        <w:noProof/>
        <w:szCs w:val="24"/>
      </w:rPr>
      <w:t>1963</w:t>
    </w:r>
    <w:r w:rsidR="000505AD"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71" w:rsidRDefault="00E672F1"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5" style="width:480.95pt;height:1pt" o:hralign="center" o:hrstd="t" o:hrnoshade="t" o:hr="t" fillcolor="black [3213]" stroked="f"/>
      </w:pict>
    </w:r>
  </w:p>
  <w:p w:rsidR="006C5371" w:rsidRPr="00954D22" w:rsidRDefault="006C5371" w:rsidP="00B7374B">
    <w:pPr>
      <w:tabs>
        <w:tab w:val="center" w:pos="4680"/>
      </w:tabs>
      <w:rPr>
        <w:szCs w:val="24"/>
      </w:rPr>
    </w:pPr>
    <w:r w:rsidRPr="00954D22">
      <w:rPr>
        <w:szCs w:val="24"/>
      </w:rPr>
      <w:tab/>
      <w:t xml:space="preserve">- </w:t>
    </w:r>
    <w:r w:rsidR="000505AD" w:rsidRPr="00954D22">
      <w:rPr>
        <w:szCs w:val="24"/>
      </w:rPr>
      <w:fldChar w:fldCharType="begin"/>
    </w:r>
    <w:r w:rsidRPr="00954D22">
      <w:rPr>
        <w:szCs w:val="24"/>
      </w:rPr>
      <w:instrText xml:space="preserve"> PAGE   \* MERGEFORMAT </w:instrText>
    </w:r>
    <w:r w:rsidR="000505AD" w:rsidRPr="00954D22">
      <w:rPr>
        <w:szCs w:val="24"/>
      </w:rPr>
      <w:fldChar w:fldCharType="separate"/>
    </w:r>
    <w:r w:rsidR="00E672F1">
      <w:rPr>
        <w:noProof/>
        <w:szCs w:val="24"/>
      </w:rPr>
      <w:t>1994</w:t>
    </w:r>
    <w:r w:rsidR="000505AD"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71" w:rsidRDefault="006C5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6C5371" w:rsidRDefault="006C5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C5371" w:rsidRDefault="006C5371">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71" w:rsidRDefault="00E672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4" style="width:480.95pt;height:1pt" o:hralign="center" o:hrstd="t" o:hrnoshade="t" o:hr="t" fillcolor="black [3213]" stroked="f"/>
      </w:pict>
    </w:r>
  </w:p>
  <w:p w:rsidR="006C5371" w:rsidRPr="0009648D" w:rsidRDefault="006C5371" w:rsidP="00ED7E83">
    <w:pPr>
      <w:tabs>
        <w:tab w:val="center" w:pos="4680"/>
      </w:tabs>
    </w:pPr>
    <w:r>
      <w:tab/>
    </w:r>
    <w:r w:rsidRPr="0009648D">
      <w:t xml:space="preserve">- </w:t>
    </w:r>
    <w:r w:rsidR="00E672F1">
      <w:fldChar w:fldCharType="begin"/>
    </w:r>
    <w:r w:rsidR="00E672F1">
      <w:instrText xml:space="preserve"> PAGE   \* MERGEFORMAT </w:instrText>
    </w:r>
    <w:r w:rsidR="00E672F1">
      <w:fldChar w:fldCharType="separate"/>
    </w:r>
    <w:r w:rsidR="00E672F1">
      <w:rPr>
        <w:noProof/>
      </w:rPr>
      <w:t>2012</w:t>
    </w:r>
    <w:r w:rsidR="00E672F1">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371" w:rsidRDefault="006C5371" w:rsidP="00A87207">
      <w:r>
        <w:separator/>
      </w:r>
    </w:p>
  </w:footnote>
  <w:footnote w:type="continuationSeparator" w:id="0">
    <w:p w:rsidR="006C5371" w:rsidRDefault="006C5371"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71" w:rsidRDefault="006C537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71" w:rsidRDefault="006C537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6C5371">
      <w:tc>
        <w:tcPr>
          <w:tcW w:w="4230" w:type="dxa"/>
          <w:tcMar>
            <w:left w:w="0" w:type="dxa"/>
            <w:right w:w="0" w:type="dxa"/>
          </w:tcMar>
        </w:tcPr>
        <w:p w:rsidR="006C5371" w:rsidRDefault="006C53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6C5371" w:rsidRDefault="006C537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C5371" w:rsidRDefault="006C537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6C5371">
      <w:trPr>
        <w:gridAfter w:val="2"/>
        <w:wAfter w:w="5250" w:type="dxa"/>
      </w:trPr>
      <w:tc>
        <w:tcPr>
          <w:tcW w:w="4230" w:type="dxa"/>
          <w:tcMar>
            <w:left w:w="0" w:type="dxa"/>
            <w:right w:w="0" w:type="dxa"/>
          </w:tcMar>
        </w:tcPr>
        <w:p w:rsidR="006C5371" w:rsidRDefault="006C5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C5371" w:rsidRDefault="006C5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6C5371" w:rsidRPr="00755F22" w:rsidTr="00245129">
      <w:tc>
        <w:tcPr>
          <w:tcW w:w="4230" w:type="dxa"/>
          <w:tcMar>
            <w:left w:w="0" w:type="dxa"/>
            <w:right w:w="0" w:type="dxa"/>
          </w:tcMar>
        </w:tcPr>
        <w:p w:rsidR="006C5371" w:rsidRPr="00755F22" w:rsidRDefault="006C5371" w:rsidP="00831CA9">
          <w:pPr>
            <w:keepNext/>
            <w:keepLines/>
            <w:rPr>
              <w:sz w:val="20"/>
              <w:szCs w:val="20"/>
            </w:rPr>
          </w:pPr>
          <w:r w:rsidRPr="00755F22">
            <w:rPr>
              <w:sz w:val="20"/>
              <w:szCs w:val="20"/>
            </w:rPr>
            <w:t>MOTIONS</w:t>
          </w:r>
        </w:p>
      </w:tc>
      <w:tc>
        <w:tcPr>
          <w:tcW w:w="1170" w:type="dxa"/>
          <w:tcMar>
            <w:left w:w="0" w:type="dxa"/>
            <w:right w:w="0" w:type="dxa"/>
          </w:tcMar>
        </w:tcPr>
        <w:p w:rsidR="006C5371" w:rsidRPr="00755F22" w:rsidRDefault="006C5371" w:rsidP="00831CA9">
          <w:pPr>
            <w:keepLines/>
            <w:jc w:val="center"/>
            <w:rPr>
              <w:sz w:val="20"/>
              <w:szCs w:val="20"/>
            </w:rPr>
          </w:pPr>
        </w:p>
        <w:p w:rsidR="006C5371" w:rsidRPr="00755F22" w:rsidRDefault="006C5371" w:rsidP="00831CA9">
          <w:pPr>
            <w:keepLines/>
            <w:tabs>
              <w:tab w:val="left" w:pos="-1440"/>
              <w:tab w:val="left" w:pos="-720"/>
            </w:tabs>
            <w:jc w:val="center"/>
            <w:rPr>
              <w:sz w:val="20"/>
              <w:szCs w:val="20"/>
            </w:rPr>
          </w:pPr>
        </w:p>
      </w:tc>
      <w:tc>
        <w:tcPr>
          <w:tcW w:w="4080" w:type="dxa"/>
          <w:tcMar>
            <w:left w:w="0" w:type="dxa"/>
            <w:right w:w="0" w:type="dxa"/>
          </w:tcMar>
        </w:tcPr>
        <w:p w:rsidR="006C5371" w:rsidRPr="00BA6468" w:rsidRDefault="006C5371" w:rsidP="00BA6468">
          <w:pPr>
            <w:keepLines/>
            <w:rPr>
              <w:sz w:val="20"/>
              <w:szCs w:val="20"/>
              <w:lang w:val="fr-CA"/>
            </w:rPr>
          </w:pPr>
          <w:r w:rsidRPr="00BA6468">
            <w:rPr>
              <w:sz w:val="20"/>
              <w:szCs w:val="20"/>
              <w:lang w:val="fr-CA"/>
            </w:rPr>
            <w:t>REQUÊTES</w:t>
          </w:r>
        </w:p>
      </w:tc>
    </w:tr>
  </w:tbl>
  <w:p w:rsidR="006C5371" w:rsidRDefault="006C5371"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71" w:rsidRDefault="006C537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C5371" w:rsidRPr="00E672F1">
      <w:tc>
        <w:tcPr>
          <w:tcW w:w="4200" w:type="dxa"/>
          <w:tcMar>
            <w:left w:w="0" w:type="dxa"/>
            <w:right w:w="0" w:type="dxa"/>
          </w:tcMar>
        </w:tcPr>
        <w:p w:rsidR="006C5371" w:rsidRDefault="006C53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6C5371" w:rsidRDefault="006C53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C5371" w:rsidRPr="00283C52" w:rsidRDefault="006C537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6C5371" w:rsidRPr="00283C52" w:rsidRDefault="006C5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6C5371" w:rsidRPr="00283C52" w:rsidRDefault="006C5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C5371" w:rsidRPr="00E672F1" w:rsidTr="00245129">
      <w:tc>
        <w:tcPr>
          <w:tcW w:w="4200" w:type="dxa"/>
          <w:tcMar>
            <w:left w:w="0" w:type="dxa"/>
            <w:right w:w="0" w:type="dxa"/>
          </w:tcMar>
        </w:tcPr>
        <w:p w:rsidR="006C5371" w:rsidRPr="00732DB7" w:rsidRDefault="006C5371"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6C5371" w:rsidRPr="00732DB7" w:rsidRDefault="006C5371" w:rsidP="00732DB7">
          <w:pPr>
            <w:keepNext/>
            <w:keepLines/>
            <w:tabs>
              <w:tab w:val="left" w:pos="-1440"/>
              <w:tab w:val="left" w:pos="-720"/>
            </w:tabs>
            <w:jc w:val="center"/>
            <w:rPr>
              <w:sz w:val="20"/>
              <w:szCs w:val="20"/>
            </w:rPr>
          </w:pPr>
        </w:p>
        <w:p w:rsidR="006C5371" w:rsidRPr="00732DB7" w:rsidRDefault="006C5371" w:rsidP="00732DB7">
          <w:pPr>
            <w:keepNext/>
            <w:keepLines/>
            <w:tabs>
              <w:tab w:val="left" w:pos="-1440"/>
              <w:tab w:val="left" w:pos="-720"/>
            </w:tabs>
            <w:jc w:val="center"/>
            <w:rPr>
              <w:sz w:val="20"/>
              <w:szCs w:val="20"/>
            </w:rPr>
          </w:pPr>
        </w:p>
        <w:p w:rsidR="006C5371" w:rsidRPr="00732DB7" w:rsidRDefault="006C5371" w:rsidP="00732DB7">
          <w:pPr>
            <w:keepNext/>
            <w:keepLines/>
            <w:tabs>
              <w:tab w:val="left" w:pos="-1440"/>
              <w:tab w:val="left" w:pos="-720"/>
            </w:tabs>
            <w:jc w:val="center"/>
            <w:rPr>
              <w:sz w:val="20"/>
              <w:szCs w:val="20"/>
            </w:rPr>
          </w:pPr>
        </w:p>
      </w:tc>
      <w:tc>
        <w:tcPr>
          <w:tcW w:w="4080" w:type="dxa"/>
          <w:tcMar>
            <w:left w:w="0" w:type="dxa"/>
            <w:right w:w="0" w:type="dxa"/>
          </w:tcMar>
        </w:tcPr>
        <w:p w:rsidR="006C5371" w:rsidRPr="00732DB7" w:rsidRDefault="006C5371"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6C5371" w:rsidRPr="00283C52" w:rsidRDefault="006C5371"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71" w:rsidRDefault="006C537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C5371" w:rsidRPr="00E672F1">
      <w:tc>
        <w:tcPr>
          <w:tcW w:w="4200" w:type="dxa"/>
          <w:tcMar>
            <w:left w:w="0" w:type="dxa"/>
            <w:right w:w="0" w:type="dxa"/>
          </w:tcMar>
        </w:tcPr>
        <w:p w:rsidR="006C5371" w:rsidRDefault="006C53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6C5371" w:rsidRDefault="006C53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6C5371" w:rsidRDefault="006C53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6C5371" w:rsidRPr="003C2C0F" w:rsidRDefault="006C537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6C5371" w:rsidRPr="003C2C0F" w:rsidRDefault="006C5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6C5371" w:rsidRPr="003C2C0F" w:rsidRDefault="006C5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C5371" w:rsidRPr="00E672F1" w:rsidTr="00245129">
      <w:tc>
        <w:tcPr>
          <w:tcW w:w="4200" w:type="dxa"/>
          <w:tcMar>
            <w:left w:w="0" w:type="dxa"/>
            <w:right w:w="0" w:type="dxa"/>
          </w:tcMar>
        </w:tcPr>
        <w:p w:rsidR="006C5371" w:rsidRPr="00FF6EEC" w:rsidRDefault="006C5371" w:rsidP="00FF6EEC">
          <w:pPr>
            <w:rPr>
              <w:sz w:val="20"/>
              <w:szCs w:val="20"/>
            </w:rPr>
          </w:pPr>
          <w:r w:rsidRPr="00FF6EEC">
            <w:rPr>
              <w:sz w:val="20"/>
              <w:szCs w:val="20"/>
            </w:rPr>
            <w:t>PRONOUNCEMENTS OF APPEALS RESERVED</w:t>
          </w:r>
        </w:p>
      </w:tc>
      <w:tc>
        <w:tcPr>
          <w:tcW w:w="1200" w:type="dxa"/>
          <w:tcMar>
            <w:left w:w="0" w:type="dxa"/>
            <w:right w:w="0" w:type="dxa"/>
          </w:tcMar>
        </w:tcPr>
        <w:p w:rsidR="006C5371" w:rsidRPr="00FF6EEC" w:rsidRDefault="006C5371" w:rsidP="00FF6EEC">
          <w:pPr>
            <w:jc w:val="center"/>
            <w:rPr>
              <w:sz w:val="20"/>
              <w:szCs w:val="20"/>
            </w:rPr>
          </w:pPr>
        </w:p>
        <w:p w:rsidR="006C5371" w:rsidRPr="00FF6EEC" w:rsidRDefault="006C5371" w:rsidP="00FF6EEC">
          <w:pPr>
            <w:jc w:val="center"/>
            <w:rPr>
              <w:sz w:val="20"/>
              <w:szCs w:val="20"/>
            </w:rPr>
          </w:pPr>
        </w:p>
        <w:p w:rsidR="006C5371" w:rsidRPr="00FF6EEC" w:rsidRDefault="006C5371" w:rsidP="00FF6EEC">
          <w:pPr>
            <w:jc w:val="center"/>
            <w:rPr>
              <w:sz w:val="20"/>
              <w:szCs w:val="20"/>
            </w:rPr>
          </w:pPr>
        </w:p>
      </w:tc>
      <w:tc>
        <w:tcPr>
          <w:tcW w:w="4080" w:type="dxa"/>
          <w:tcMar>
            <w:left w:w="0" w:type="dxa"/>
            <w:right w:w="0" w:type="dxa"/>
          </w:tcMar>
        </w:tcPr>
        <w:p w:rsidR="006C5371" w:rsidRPr="00FF6EEC" w:rsidRDefault="006C5371" w:rsidP="00FF6EEC">
          <w:pPr>
            <w:rPr>
              <w:sz w:val="20"/>
              <w:szCs w:val="20"/>
              <w:lang w:val="fr-CA"/>
            </w:rPr>
          </w:pPr>
          <w:r w:rsidRPr="00FF6EEC">
            <w:rPr>
              <w:sz w:val="20"/>
              <w:szCs w:val="20"/>
              <w:lang w:val="fr-CA"/>
            </w:rPr>
            <w:t>JUGEMENTS RENDUS SUR LES APPELS EN DÉLIBÉRÉ</w:t>
          </w:r>
        </w:p>
      </w:tc>
    </w:tr>
  </w:tbl>
  <w:p w:rsidR="006C5371" w:rsidRPr="003C2C0F" w:rsidRDefault="006C5371"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71" w:rsidRDefault="006C53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71" w:rsidRDefault="006C537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6C5371">
      <w:tc>
        <w:tcPr>
          <w:tcW w:w="4230" w:type="dxa"/>
          <w:tcMar>
            <w:left w:w="0" w:type="dxa"/>
            <w:right w:w="0" w:type="dxa"/>
          </w:tcMar>
        </w:tcPr>
        <w:p w:rsidR="006C5371" w:rsidRDefault="006C53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6C5371" w:rsidRDefault="006C53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6C5371" w:rsidRDefault="006C53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6C5371" w:rsidRDefault="006C53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C5371" w:rsidRDefault="006C53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6C5371" w:rsidRDefault="006C537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6C5371" w:rsidRDefault="006C5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C5371" w:rsidRDefault="006C5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6C5371" w:rsidRPr="00782AE4" w:rsidTr="00245129">
      <w:tc>
        <w:tcPr>
          <w:tcW w:w="4230" w:type="dxa"/>
          <w:tcMar>
            <w:left w:w="0" w:type="dxa"/>
            <w:right w:w="0" w:type="dxa"/>
          </w:tcMar>
        </w:tcPr>
        <w:p w:rsidR="006C5371" w:rsidRPr="00782AE4" w:rsidRDefault="006C5371" w:rsidP="00102926">
          <w:pPr>
            <w:keepNext/>
            <w:keepLines/>
            <w:tabs>
              <w:tab w:val="left" w:pos="-1440"/>
              <w:tab w:val="left" w:pos="-720"/>
            </w:tabs>
            <w:rPr>
              <w:sz w:val="20"/>
              <w:szCs w:val="20"/>
            </w:rPr>
          </w:pPr>
          <w:r w:rsidRPr="00782AE4">
            <w:rPr>
              <w:sz w:val="20"/>
              <w:szCs w:val="20"/>
            </w:rPr>
            <w:t xml:space="preserve">HEADNOTES OF RECENT </w:t>
          </w:r>
        </w:p>
        <w:p w:rsidR="006C5371" w:rsidRPr="00782AE4" w:rsidRDefault="006C53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6C5371" w:rsidRDefault="006C5371" w:rsidP="00102926">
          <w:pPr>
            <w:keepNext/>
            <w:keepLines/>
            <w:tabs>
              <w:tab w:val="left" w:pos="-1440"/>
              <w:tab w:val="left" w:pos="-720"/>
            </w:tabs>
            <w:jc w:val="center"/>
            <w:rPr>
              <w:sz w:val="20"/>
              <w:szCs w:val="20"/>
            </w:rPr>
          </w:pPr>
        </w:p>
        <w:p w:rsidR="006C5371" w:rsidRDefault="006C5371" w:rsidP="00102926">
          <w:pPr>
            <w:keepNext/>
            <w:keepLines/>
            <w:tabs>
              <w:tab w:val="left" w:pos="-1440"/>
              <w:tab w:val="left" w:pos="-720"/>
            </w:tabs>
            <w:jc w:val="center"/>
            <w:rPr>
              <w:sz w:val="20"/>
              <w:szCs w:val="20"/>
            </w:rPr>
          </w:pPr>
        </w:p>
        <w:p w:rsidR="006C5371" w:rsidRPr="00782AE4" w:rsidRDefault="006C5371" w:rsidP="00102926">
          <w:pPr>
            <w:keepNext/>
            <w:keepLines/>
            <w:tabs>
              <w:tab w:val="left" w:pos="-1440"/>
              <w:tab w:val="left" w:pos="-720"/>
            </w:tabs>
            <w:jc w:val="center"/>
            <w:rPr>
              <w:sz w:val="20"/>
              <w:szCs w:val="20"/>
            </w:rPr>
          </w:pPr>
        </w:p>
      </w:tc>
      <w:tc>
        <w:tcPr>
          <w:tcW w:w="4080" w:type="dxa"/>
          <w:tcMar>
            <w:left w:w="0" w:type="dxa"/>
            <w:right w:w="0" w:type="dxa"/>
          </w:tcMar>
        </w:tcPr>
        <w:p w:rsidR="006C5371" w:rsidRPr="00102926" w:rsidRDefault="006C53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6C5371" w:rsidRPr="00782AE4" w:rsidRDefault="006C5371" w:rsidP="00102926">
          <w:pPr>
            <w:keepLines/>
            <w:tabs>
              <w:tab w:val="left" w:pos="-1440"/>
              <w:tab w:val="left" w:pos="-720"/>
            </w:tabs>
            <w:rPr>
              <w:sz w:val="20"/>
              <w:szCs w:val="20"/>
            </w:rPr>
          </w:pPr>
          <w:r w:rsidRPr="00102926">
            <w:rPr>
              <w:sz w:val="20"/>
              <w:szCs w:val="20"/>
              <w:lang w:val="fr-CA"/>
            </w:rPr>
            <w:t>RÉCENTS</w:t>
          </w:r>
        </w:p>
      </w:tc>
    </w:tr>
  </w:tbl>
  <w:p w:rsidR="006C5371" w:rsidRDefault="006C5371"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71" w:rsidRDefault="006C5371">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6C5371" w:rsidRPr="00E672F1" w:rsidTr="00245129">
      <w:tc>
        <w:tcPr>
          <w:tcW w:w="4320" w:type="dxa"/>
        </w:tcPr>
        <w:p w:rsidR="006C5371" w:rsidRPr="006B6926" w:rsidRDefault="006C5371" w:rsidP="006B6926">
          <w:pPr>
            <w:keepNext/>
            <w:keepLines/>
            <w:rPr>
              <w:bCs/>
              <w:sz w:val="20"/>
              <w:szCs w:val="20"/>
              <w:lang w:val="en-GB"/>
            </w:rPr>
          </w:pPr>
          <w:r w:rsidRPr="006B6926">
            <w:rPr>
              <w:bCs/>
              <w:sz w:val="20"/>
              <w:szCs w:val="20"/>
              <w:lang w:val="en-GB"/>
            </w:rPr>
            <w:t>SUPREME COURT REPORTS</w:t>
          </w:r>
        </w:p>
      </w:tc>
      <w:tc>
        <w:tcPr>
          <w:tcW w:w="840" w:type="dxa"/>
        </w:tcPr>
        <w:p w:rsidR="006C5371" w:rsidRDefault="006C5371" w:rsidP="006B6926">
          <w:pPr>
            <w:jc w:val="center"/>
            <w:rPr>
              <w:bCs/>
              <w:sz w:val="20"/>
              <w:szCs w:val="20"/>
              <w:lang w:val="en-GB"/>
            </w:rPr>
          </w:pPr>
        </w:p>
        <w:p w:rsidR="006C5371" w:rsidRPr="006B6926" w:rsidRDefault="006C5371" w:rsidP="006B6926">
          <w:pPr>
            <w:jc w:val="center"/>
            <w:rPr>
              <w:bCs/>
              <w:sz w:val="20"/>
              <w:szCs w:val="20"/>
              <w:lang w:val="en-GB"/>
            </w:rPr>
          </w:pPr>
        </w:p>
      </w:tc>
      <w:tc>
        <w:tcPr>
          <w:tcW w:w="4320" w:type="dxa"/>
        </w:tcPr>
        <w:p w:rsidR="006C5371" w:rsidRPr="006B6926" w:rsidRDefault="006C5371" w:rsidP="006B6926">
          <w:pPr>
            <w:keepNext/>
            <w:keepLines/>
            <w:rPr>
              <w:bCs/>
              <w:sz w:val="20"/>
              <w:szCs w:val="20"/>
              <w:lang w:val="fr-CA"/>
            </w:rPr>
          </w:pPr>
          <w:r w:rsidRPr="006B6926">
            <w:rPr>
              <w:bCs/>
              <w:sz w:val="20"/>
              <w:szCs w:val="20"/>
              <w:lang w:val="fr-CA"/>
            </w:rPr>
            <w:t>RECUEIL DES ARRÊTS DE LA COUR SUPRÊME</w:t>
          </w:r>
        </w:p>
      </w:tc>
    </w:tr>
  </w:tbl>
  <w:p w:rsidR="006C5371" w:rsidRPr="000924F7" w:rsidRDefault="006C5371">
    <w:pPr>
      <w:pStyle w:val="Header"/>
      <w:rPr>
        <w:lang w:val="fr-CA"/>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71" w:rsidRDefault="006C5371">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71" w:rsidRDefault="006C53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71" w:rsidRDefault="006C53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6C5371" w:rsidRPr="0044776A" w:rsidTr="00245129">
      <w:tc>
        <w:tcPr>
          <w:tcW w:w="4290" w:type="dxa"/>
          <w:tcMar>
            <w:left w:w="0" w:type="dxa"/>
            <w:right w:w="0" w:type="dxa"/>
          </w:tcMar>
        </w:tcPr>
        <w:p w:rsidR="006C5371" w:rsidRPr="0044776A" w:rsidRDefault="006C5371"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6C5371" w:rsidRPr="0044776A" w:rsidRDefault="006C5371" w:rsidP="002E2327">
          <w:pPr>
            <w:keepNext/>
            <w:keepLines/>
            <w:tabs>
              <w:tab w:val="left" w:pos="-1440"/>
              <w:tab w:val="left" w:pos="-720"/>
            </w:tabs>
            <w:jc w:val="center"/>
            <w:rPr>
              <w:sz w:val="20"/>
              <w:szCs w:val="20"/>
            </w:rPr>
          </w:pPr>
        </w:p>
        <w:p w:rsidR="006C5371" w:rsidRPr="0044776A" w:rsidRDefault="006C5371" w:rsidP="002E2327">
          <w:pPr>
            <w:keepNext/>
            <w:keepLines/>
            <w:tabs>
              <w:tab w:val="left" w:pos="-1440"/>
              <w:tab w:val="left" w:pos="-720"/>
            </w:tabs>
            <w:jc w:val="center"/>
            <w:rPr>
              <w:sz w:val="20"/>
              <w:szCs w:val="20"/>
            </w:rPr>
          </w:pPr>
        </w:p>
        <w:p w:rsidR="006C5371" w:rsidRPr="0044776A" w:rsidRDefault="006C5371" w:rsidP="002E2327">
          <w:pPr>
            <w:keepNext/>
            <w:keepLines/>
            <w:tabs>
              <w:tab w:val="left" w:pos="-1440"/>
              <w:tab w:val="left" w:pos="-720"/>
            </w:tabs>
            <w:jc w:val="center"/>
            <w:rPr>
              <w:sz w:val="20"/>
              <w:szCs w:val="20"/>
            </w:rPr>
          </w:pPr>
        </w:p>
      </w:tc>
      <w:tc>
        <w:tcPr>
          <w:tcW w:w="4320" w:type="dxa"/>
          <w:tcMar>
            <w:left w:w="0" w:type="dxa"/>
            <w:right w:w="0" w:type="dxa"/>
          </w:tcMar>
        </w:tcPr>
        <w:p w:rsidR="006C5371" w:rsidRPr="0044776A" w:rsidRDefault="006C5371" w:rsidP="002E2327">
          <w:pPr>
            <w:keepLines/>
            <w:rPr>
              <w:sz w:val="20"/>
              <w:szCs w:val="20"/>
              <w:lang w:val="fr-CA"/>
            </w:rPr>
          </w:pPr>
          <w:r w:rsidRPr="0044776A">
            <w:rPr>
              <w:sz w:val="20"/>
              <w:szCs w:val="20"/>
              <w:lang w:val="fr-CA"/>
            </w:rPr>
            <w:t>DEMANDES D'AUTORISATION D'APPEL DÉPOSÉES</w:t>
          </w:r>
        </w:p>
      </w:tc>
    </w:tr>
  </w:tbl>
  <w:p w:rsidR="006C5371" w:rsidRDefault="006C537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71" w:rsidRDefault="006C537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C5371" w:rsidRPr="00E672F1" w:rsidTr="00245129">
      <w:tc>
        <w:tcPr>
          <w:tcW w:w="4200" w:type="dxa"/>
          <w:tcMar>
            <w:left w:w="0" w:type="dxa"/>
            <w:right w:w="0" w:type="dxa"/>
          </w:tcMar>
        </w:tcPr>
        <w:p w:rsidR="006C5371" w:rsidRPr="0044776A" w:rsidRDefault="006C5371" w:rsidP="0044776A">
          <w:pPr>
            <w:keepNext/>
            <w:keepLines/>
            <w:widowControl w:val="0"/>
            <w:rPr>
              <w:sz w:val="20"/>
              <w:szCs w:val="20"/>
            </w:rPr>
          </w:pPr>
          <w:r>
            <w:rPr>
              <w:sz w:val="20"/>
              <w:szCs w:val="20"/>
            </w:rPr>
            <w:t>APPLICATIONS FOR LEAVE</w:t>
          </w:r>
        </w:p>
        <w:p w:rsidR="006C5371" w:rsidRPr="0044776A" w:rsidRDefault="006C5371"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6C5371" w:rsidRPr="0044776A" w:rsidRDefault="006C5371" w:rsidP="0044776A">
          <w:pPr>
            <w:keepNext/>
            <w:keepLines/>
            <w:widowControl w:val="0"/>
            <w:jc w:val="center"/>
            <w:rPr>
              <w:sz w:val="20"/>
              <w:szCs w:val="20"/>
            </w:rPr>
          </w:pPr>
        </w:p>
        <w:p w:rsidR="006C5371" w:rsidRPr="0044776A" w:rsidRDefault="006C5371" w:rsidP="0044776A">
          <w:pPr>
            <w:keepNext/>
            <w:keepLines/>
            <w:widowControl w:val="0"/>
            <w:jc w:val="center"/>
            <w:rPr>
              <w:sz w:val="20"/>
              <w:szCs w:val="20"/>
            </w:rPr>
          </w:pPr>
        </w:p>
        <w:p w:rsidR="006C5371" w:rsidRPr="0044776A" w:rsidRDefault="006C5371" w:rsidP="0044776A">
          <w:pPr>
            <w:keepNext/>
            <w:keepLines/>
            <w:widowControl w:val="0"/>
            <w:jc w:val="center"/>
            <w:rPr>
              <w:sz w:val="20"/>
              <w:szCs w:val="20"/>
            </w:rPr>
          </w:pPr>
        </w:p>
      </w:tc>
      <w:tc>
        <w:tcPr>
          <w:tcW w:w="4080" w:type="dxa"/>
          <w:tcMar>
            <w:left w:w="0" w:type="dxa"/>
            <w:right w:w="0" w:type="dxa"/>
          </w:tcMar>
        </w:tcPr>
        <w:p w:rsidR="006C5371" w:rsidRPr="0044776A" w:rsidRDefault="006C5371" w:rsidP="0044776A">
          <w:pPr>
            <w:keepLines/>
            <w:widowControl w:val="0"/>
            <w:rPr>
              <w:sz w:val="20"/>
              <w:szCs w:val="20"/>
              <w:lang w:val="fr-CA"/>
            </w:rPr>
          </w:pPr>
          <w:r w:rsidRPr="0044776A">
            <w:rPr>
              <w:sz w:val="20"/>
              <w:szCs w:val="20"/>
              <w:lang w:val="fr-CA"/>
            </w:rPr>
            <w:t>DEMANDES SOUMISES À LA COUR DEPUIS LA DERNIÈRE PARUTION</w:t>
          </w:r>
        </w:p>
        <w:p w:rsidR="006C5371" w:rsidRPr="0044776A" w:rsidRDefault="006C5371" w:rsidP="0044776A">
          <w:pPr>
            <w:widowControl w:val="0"/>
            <w:rPr>
              <w:sz w:val="20"/>
              <w:szCs w:val="20"/>
              <w:lang w:val="fr-CA"/>
            </w:rPr>
          </w:pPr>
        </w:p>
      </w:tc>
    </w:tr>
  </w:tbl>
  <w:p w:rsidR="006C5371" w:rsidRPr="002E2327" w:rsidRDefault="006C5371">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71" w:rsidRDefault="006C537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C5371" w:rsidRPr="00E672F1">
      <w:tc>
        <w:tcPr>
          <w:tcW w:w="4200" w:type="dxa"/>
          <w:tcMar>
            <w:left w:w="0" w:type="dxa"/>
            <w:right w:w="0" w:type="dxa"/>
          </w:tcMar>
        </w:tcPr>
        <w:p w:rsidR="006C5371" w:rsidRDefault="006C53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6C5371" w:rsidRDefault="006C53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6C5371" w:rsidRDefault="006C537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C5371" w:rsidRPr="00FF6BA5" w:rsidRDefault="006C537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6C5371" w:rsidRPr="00FF6BA5" w:rsidRDefault="006C5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6C5371" w:rsidRPr="00FF6BA5" w:rsidRDefault="006C5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6C5371" w:rsidRPr="00FF6BA5" w:rsidRDefault="006C53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C5371" w:rsidRPr="00E672F1" w:rsidTr="00245129">
      <w:tc>
        <w:tcPr>
          <w:tcW w:w="4200" w:type="dxa"/>
          <w:tcMar>
            <w:left w:w="0" w:type="dxa"/>
            <w:right w:w="0" w:type="dxa"/>
          </w:tcMar>
        </w:tcPr>
        <w:p w:rsidR="006C5371" w:rsidRPr="00755F22" w:rsidRDefault="006C53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6C5371" w:rsidRPr="00755F22" w:rsidRDefault="006C53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6C5371" w:rsidRPr="00755F22" w:rsidRDefault="006C537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6C5371" w:rsidRPr="00755F22" w:rsidRDefault="006C537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6C5371" w:rsidRPr="00755F22" w:rsidRDefault="006C537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6C5371" w:rsidRPr="00755F22" w:rsidRDefault="006C537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6C5371" w:rsidRPr="00FF6BA5" w:rsidRDefault="006C5371"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2A6"/>
    <w:multiLevelType w:val="hybridMultilevel"/>
    <w:tmpl w:val="5BC86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E6FD6"/>
    <w:multiLevelType w:val="hybridMultilevel"/>
    <w:tmpl w:val="C47A2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37A04"/>
    <w:multiLevelType w:val="hybridMultilevel"/>
    <w:tmpl w:val="423A38E2"/>
    <w:lvl w:ilvl="0" w:tplc="77A6B5D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2CAD12F6"/>
    <w:multiLevelType w:val="hybridMultilevel"/>
    <w:tmpl w:val="4C9A4248"/>
    <w:lvl w:ilvl="0" w:tplc="16E254CE">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C7C1E2F"/>
    <w:multiLevelType w:val="hybridMultilevel"/>
    <w:tmpl w:val="4B5EC454"/>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7" w15:restartNumberingAfterBreak="0">
    <w:nsid w:val="76C47BEF"/>
    <w:multiLevelType w:val="hybridMultilevel"/>
    <w:tmpl w:val="267A6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hdrShapeDefaults>
    <o:shapedefaults v:ext="edit" spidmax="72721"/>
  </w:hdrShapeDefaults>
  <w:footnotePr>
    <w:footnote w:id="-1"/>
    <w:footnote w:id="0"/>
  </w:footnotePr>
  <w:endnotePr>
    <w:endnote w:id="-1"/>
    <w:endnote w:id="0"/>
  </w:endnotePr>
  <w:compat>
    <w:compatSetting w:name="compatibilityMode" w:uri="http://schemas.microsoft.com/office/word" w:val="12"/>
  </w:compat>
  <w:rsids>
    <w:rsidRoot w:val="007E512D"/>
    <w:rsid w:val="0003223B"/>
    <w:rsid w:val="000327B2"/>
    <w:rsid w:val="000505AD"/>
    <w:rsid w:val="00052958"/>
    <w:rsid w:val="0008440E"/>
    <w:rsid w:val="0009062D"/>
    <w:rsid w:val="00091FA6"/>
    <w:rsid w:val="00094A11"/>
    <w:rsid w:val="00096BD9"/>
    <w:rsid w:val="000B3C9A"/>
    <w:rsid w:val="000B40A2"/>
    <w:rsid w:val="000B4624"/>
    <w:rsid w:val="000C0ACD"/>
    <w:rsid w:val="000C0D2A"/>
    <w:rsid w:val="000C41B5"/>
    <w:rsid w:val="000C5CE8"/>
    <w:rsid w:val="000E2959"/>
    <w:rsid w:val="000F0B60"/>
    <w:rsid w:val="000F366E"/>
    <w:rsid w:val="000F7500"/>
    <w:rsid w:val="0010221A"/>
    <w:rsid w:val="00102926"/>
    <w:rsid w:val="0010587F"/>
    <w:rsid w:val="00111C6B"/>
    <w:rsid w:val="00116060"/>
    <w:rsid w:val="0012102B"/>
    <w:rsid w:val="0013369E"/>
    <w:rsid w:val="00141BB2"/>
    <w:rsid w:val="00163ABC"/>
    <w:rsid w:val="00164E6D"/>
    <w:rsid w:val="00171A08"/>
    <w:rsid w:val="001A7F7C"/>
    <w:rsid w:val="001B157C"/>
    <w:rsid w:val="001B5C23"/>
    <w:rsid w:val="001D0D5F"/>
    <w:rsid w:val="001D4E8D"/>
    <w:rsid w:val="001D6B8C"/>
    <w:rsid w:val="001F1F83"/>
    <w:rsid w:val="001F40DF"/>
    <w:rsid w:val="002021A9"/>
    <w:rsid w:val="00205444"/>
    <w:rsid w:val="002139A7"/>
    <w:rsid w:val="00215F7C"/>
    <w:rsid w:val="0022323B"/>
    <w:rsid w:val="002410B8"/>
    <w:rsid w:val="00242AEE"/>
    <w:rsid w:val="00245129"/>
    <w:rsid w:val="00245879"/>
    <w:rsid w:val="0026587A"/>
    <w:rsid w:val="00267FD5"/>
    <w:rsid w:val="00274D34"/>
    <w:rsid w:val="00276DE5"/>
    <w:rsid w:val="002805EB"/>
    <w:rsid w:val="00283ED8"/>
    <w:rsid w:val="002866BE"/>
    <w:rsid w:val="002868D0"/>
    <w:rsid w:val="002A008C"/>
    <w:rsid w:val="002A27D1"/>
    <w:rsid w:val="002A4AFA"/>
    <w:rsid w:val="002B516C"/>
    <w:rsid w:val="002B78E6"/>
    <w:rsid w:val="002D72EB"/>
    <w:rsid w:val="002E2327"/>
    <w:rsid w:val="002E3583"/>
    <w:rsid w:val="002E3ECD"/>
    <w:rsid w:val="002E5576"/>
    <w:rsid w:val="00331B52"/>
    <w:rsid w:val="003359D3"/>
    <w:rsid w:val="003369F3"/>
    <w:rsid w:val="00346357"/>
    <w:rsid w:val="00355967"/>
    <w:rsid w:val="00382C47"/>
    <w:rsid w:val="00384384"/>
    <w:rsid w:val="003866AE"/>
    <w:rsid w:val="00393C54"/>
    <w:rsid w:val="003B3977"/>
    <w:rsid w:val="003C4A0D"/>
    <w:rsid w:val="004215E7"/>
    <w:rsid w:val="00432989"/>
    <w:rsid w:val="00440E24"/>
    <w:rsid w:val="0044776A"/>
    <w:rsid w:val="00460AFC"/>
    <w:rsid w:val="0047471F"/>
    <w:rsid w:val="004B195E"/>
    <w:rsid w:val="004B66B4"/>
    <w:rsid w:val="004B7F60"/>
    <w:rsid w:val="004C084C"/>
    <w:rsid w:val="004C1AAC"/>
    <w:rsid w:val="004C2672"/>
    <w:rsid w:val="004E1E0A"/>
    <w:rsid w:val="004F090E"/>
    <w:rsid w:val="00502169"/>
    <w:rsid w:val="0051469D"/>
    <w:rsid w:val="00524103"/>
    <w:rsid w:val="00527CC7"/>
    <w:rsid w:val="00571CA4"/>
    <w:rsid w:val="00582136"/>
    <w:rsid w:val="005A22CE"/>
    <w:rsid w:val="005C65C3"/>
    <w:rsid w:val="005C6840"/>
    <w:rsid w:val="005F263E"/>
    <w:rsid w:val="00600252"/>
    <w:rsid w:val="00600976"/>
    <w:rsid w:val="00612A40"/>
    <w:rsid w:val="00614005"/>
    <w:rsid w:val="0062714A"/>
    <w:rsid w:val="0066580D"/>
    <w:rsid w:val="00675479"/>
    <w:rsid w:val="00680709"/>
    <w:rsid w:val="00696BF9"/>
    <w:rsid w:val="00697C62"/>
    <w:rsid w:val="006A329B"/>
    <w:rsid w:val="006A7EB8"/>
    <w:rsid w:val="006B6926"/>
    <w:rsid w:val="006B7BBD"/>
    <w:rsid w:val="006C2AE4"/>
    <w:rsid w:val="006C3F47"/>
    <w:rsid w:val="006C5371"/>
    <w:rsid w:val="006C5F7A"/>
    <w:rsid w:val="006E06AF"/>
    <w:rsid w:val="006F350F"/>
    <w:rsid w:val="0071646D"/>
    <w:rsid w:val="007267EE"/>
    <w:rsid w:val="00732DB7"/>
    <w:rsid w:val="0074238B"/>
    <w:rsid w:val="00745EF7"/>
    <w:rsid w:val="00755F22"/>
    <w:rsid w:val="00762E80"/>
    <w:rsid w:val="00766E4A"/>
    <w:rsid w:val="00774544"/>
    <w:rsid w:val="007820CE"/>
    <w:rsid w:val="00782AE4"/>
    <w:rsid w:val="00796EFB"/>
    <w:rsid w:val="0079724F"/>
    <w:rsid w:val="007A3EAE"/>
    <w:rsid w:val="007C04FC"/>
    <w:rsid w:val="007D3E0F"/>
    <w:rsid w:val="007D5FB6"/>
    <w:rsid w:val="007E4282"/>
    <w:rsid w:val="007E512D"/>
    <w:rsid w:val="007F387B"/>
    <w:rsid w:val="00802863"/>
    <w:rsid w:val="00811DF9"/>
    <w:rsid w:val="00815B3C"/>
    <w:rsid w:val="0081610A"/>
    <w:rsid w:val="0082783A"/>
    <w:rsid w:val="00831CA9"/>
    <w:rsid w:val="00850E1F"/>
    <w:rsid w:val="0085476B"/>
    <w:rsid w:val="00865805"/>
    <w:rsid w:val="00890FEB"/>
    <w:rsid w:val="008A1275"/>
    <w:rsid w:val="008A5C1A"/>
    <w:rsid w:val="008D292F"/>
    <w:rsid w:val="008E03DC"/>
    <w:rsid w:val="008F37AC"/>
    <w:rsid w:val="00902E51"/>
    <w:rsid w:val="00924065"/>
    <w:rsid w:val="00930D68"/>
    <w:rsid w:val="00932DB4"/>
    <w:rsid w:val="00941A4B"/>
    <w:rsid w:val="00946242"/>
    <w:rsid w:val="0095096B"/>
    <w:rsid w:val="00957B79"/>
    <w:rsid w:val="00970CD3"/>
    <w:rsid w:val="009723FA"/>
    <w:rsid w:val="00984546"/>
    <w:rsid w:val="00996510"/>
    <w:rsid w:val="00996BD5"/>
    <w:rsid w:val="009D1F15"/>
    <w:rsid w:val="009D555E"/>
    <w:rsid w:val="009E771B"/>
    <w:rsid w:val="009F3024"/>
    <w:rsid w:val="00A0355E"/>
    <w:rsid w:val="00A32E41"/>
    <w:rsid w:val="00A365A2"/>
    <w:rsid w:val="00A375D1"/>
    <w:rsid w:val="00A51D10"/>
    <w:rsid w:val="00A52A83"/>
    <w:rsid w:val="00A6552C"/>
    <w:rsid w:val="00A87207"/>
    <w:rsid w:val="00A87D43"/>
    <w:rsid w:val="00A935AA"/>
    <w:rsid w:val="00AA0608"/>
    <w:rsid w:val="00AB1504"/>
    <w:rsid w:val="00AB2201"/>
    <w:rsid w:val="00AD3259"/>
    <w:rsid w:val="00AE75BC"/>
    <w:rsid w:val="00AF1715"/>
    <w:rsid w:val="00AF3904"/>
    <w:rsid w:val="00B00C6C"/>
    <w:rsid w:val="00B010C0"/>
    <w:rsid w:val="00B12014"/>
    <w:rsid w:val="00B40DC2"/>
    <w:rsid w:val="00B4740D"/>
    <w:rsid w:val="00B542E5"/>
    <w:rsid w:val="00B61629"/>
    <w:rsid w:val="00B7374B"/>
    <w:rsid w:val="00B90DC0"/>
    <w:rsid w:val="00BA116A"/>
    <w:rsid w:val="00BA5582"/>
    <w:rsid w:val="00BA6468"/>
    <w:rsid w:val="00BB1D44"/>
    <w:rsid w:val="00BC1E32"/>
    <w:rsid w:val="00BD06DA"/>
    <w:rsid w:val="00BD4217"/>
    <w:rsid w:val="00BE278E"/>
    <w:rsid w:val="00BF25F3"/>
    <w:rsid w:val="00C1697B"/>
    <w:rsid w:val="00C21531"/>
    <w:rsid w:val="00C21CB5"/>
    <w:rsid w:val="00C32C9A"/>
    <w:rsid w:val="00C50A5C"/>
    <w:rsid w:val="00C50FDF"/>
    <w:rsid w:val="00C63381"/>
    <w:rsid w:val="00C70F7C"/>
    <w:rsid w:val="00C73D06"/>
    <w:rsid w:val="00C73E1B"/>
    <w:rsid w:val="00C759B4"/>
    <w:rsid w:val="00C77713"/>
    <w:rsid w:val="00C85BB7"/>
    <w:rsid w:val="00CA2DEA"/>
    <w:rsid w:val="00CA395B"/>
    <w:rsid w:val="00CB43D5"/>
    <w:rsid w:val="00CC4D84"/>
    <w:rsid w:val="00CE198A"/>
    <w:rsid w:val="00CF08C8"/>
    <w:rsid w:val="00CF0A0F"/>
    <w:rsid w:val="00CF5A02"/>
    <w:rsid w:val="00D004FC"/>
    <w:rsid w:val="00D64901"/>
    <w:rsid w:val="00D76BDF"/>
    <w:rsid w:val="00D807DF"/>
    <w:rsid w:val="00D8225B"/>
    <w:rsid w:val="00D862C1"/>
    <w:rsid w:val="00D93B50"/>
    <w:rsid w:val="00D94028"/>
    <w:rsid w:val="00D94670"/>
    <w:rsid w:val="00DA46F6"/>
    <w:rsid w:val="00DB0B47"/>
    <w:rsid w:val="00DD0B49"/>
    <w:rsid w:val="00DE0502"/>
    <w:rsid w:val="00DE349D"/>
    <w:rsid w:val="00DF3972"/>
    <w:rsid w:val="00E06DFA"/>
    <w:rsid w:val="00E20A0A"/>
    <w:rsid w:val="00E356C7"/>
    <w:rsid w:val="00E45FE4"/>
    <w:rsid w:val="00E46451"/>
    <w:rsid w:val="00E57F0F"/>
    <w:rsid w:val="00E635CC"/>
    <w:rsid w:val="00E64FA7"/>
    <w:rsid w:val="00E672F1"/>
    <w:rsid w:val="00E770CB"/>
    <w:rsid w:val="00E903A1"/>
    <w:rsid w:val="00E940EB"/>
    <w:rsid w:val="00E9703F"/>
    <w:rsid w:val="00EA36E8"/>
    <w:rsid w:val="00EB2B90"/>
    <w:rsid w:val="00EB798E"/>
    <w:rsid w:val="00ED7E83"/>
    <w:rsid w:val="00EE091F"/>
    <w:rsid w:val="00EF01A4"/>
    <w:rsid w:val="00EF4B63"/>
    <w:rsid w:val="00F0068D"/>
    <w:rsid w:val="00F0576D"/>
    <w:rsid w:val="00F14E6D"/>
    <w:rsid w:val="00F15EA8"/>
    <w:rsid w:val="00F16C8D"/>
    <w:rsid w:val="00F26C61"/>
    <w:rsid w:val="00F33CCE"/>
    <w:rsid w:val="00F40249"/>
    <w:rsid w:val="00F4197B"/>
    <w:rsid w:val="00F526C8"/>
    <w:rsid w:val="00F55BBC"/>
    <w:rsid w:val="00F761A3"/>
    <w:rsid w:val="00F9272D"/>
    <w:rsid w:val="00F9518C"/>
    <w:rsid w:val="00FA316E"/>
    <w:rsid w:val="00FA59EF"/>
    <w:rsid w:val="00FB19A2"/>
    <w:rsid w:val="00FC483A"/>
    <w:rsid w:val="00FC7239"/>
    <w:rsid w:val="00FF32E0"/>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2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uiPriority w:val="99"/>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796EFB"/>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141BB2"/>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141BB2"/>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141BB2"/>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141BB2"/>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D8225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0F366E"/>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0F366E"/>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0F366E"/>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0F366E"/>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www.canlii.org/fr/qc/qccs/doc/2013/2013qccs656/2013qccs656.html" TargetMode="External"/><Relationship Id="rId39" Type="http://schemas.openxmlformats.org/officeDocument/2006/relationships/hyperlink" Target="http://canlii.ca/t/fwspf" TargetMode="External"/><Relationship Id="rId21" Type="http://schemas.openxmlformats.org/officeDocument/2006/relationships/footer" Target="footer6.xml"/><Relationship Id="rId34" Type="http://schemas.openxmlformats.org/officeDocument/2006/relationships/hyperlink" Target="http://canlii.ca/t/fz7bn" TargetMode="External"/><Relationship Id="rId42" Type="http://schemas.openxmlformats.org/officeDocument/2006/relationships/hyperlink" Target="http://canlii.ca/t/1t1q7" TargetMode="External"/><Relationship Id="rId47" Type="http://schemas.openxmlformats.org/officeDocument/2006/relationships/header" Target="header9.xml"/><Relationship Id="rId50" Type="http://schemas.openxmlformats.org/officeDocument/2006/relationships/header" Target="header10.xml"/><Relationship Id="rId55" Type="http://schemas.openxmlformats.org/officeDocument/2006/relationships/footer" Target="footer12.xml"/><Relationship Id="rId63" Type="http://schemas.openxmlformats.org/officeDocument/2006/relationships/header" Target="header14.xml"/><Relationship Id="rId68" Type="http://schemas.openxmlformats.org/officeDocument/2006/relationships/footer" Target="footer16.xml"/><Relationship Id="rId76" Type="http://schemas.openxmlformats.org/officeDocument/2006/relationships/hyperlink" Target="http://www.scc-csc.ca/case-dossier/info/sum-som-eng.aspx?cas=34472" TargetMode="External"/><Relationship Id="rId84" Type="http://schemas.openxmlformats.org/officeDocument/2006/relationships/footer" Target="footer23.xml"/><Relationship Id="rId89"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footer" Target="footer17.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www.canlii.org/fr/qc/qcca/doc/2013/2013qcca1093/2013qcca1093.html" TargetMode="External"/><Relationship Id="rId11" Type="http://schemas.openxmlformats.org/officeDocument/2006/relationships/header" Target="header2.xml"/><Relationship Id="rId24" Type="http://schemas.openxmlformats.org/officeDocument/2006/relationships/hyperlink" Target="http://www.canlii.org/fr/qc/qcca/doc/2013/2013qcca913/2013qcca913.html" TargetMode="External"/><Relationship Id="rId32" Type="http://schemas.openxmlformats.org/officeDocument/2006/relationships/hyperlink" Target="http://www.canlii.org/en/on/onsc/doc/2012/2012onsc6277/2012onsc6277.html" TargetMode="External"/><Relationship Id="rId37" Type="http://schemas.openxmlformats.org/officeDocument/2006/relationships/hyperlink" Target="http://canlii.ca/t/fwspf" TargetMode="External"/><Relationship Id="rId40" Type="http://schemas.openxmlformats.org/officeDocument/2006/relationships/hyperlink" Target="http://canlii.ca/t/1t1q7" TargetMode="External"/><Relationship Id="rId45" Type="http://schemas.openxmlformats.org/officeDocument/2006/relationships/hyperlink" Target="http://canlii.ca/t/fwspf" TargetMode="External"/><Relationship Id="rId53" Type="http://schemas.openxmlformats.org/officeDocument/2006/relationships/header" Target="header12.xml"/><Relationship Id="rId58" Type="http://schemas.openxmlformats.org/officeDocument/2006/relationships/hyperlink" Target="http://www.scc-csc.ca/case-dossier/info/sum-som-fra.aspx?cas=34920" TargetMode="External"/><Relationship Id="rId66" Type="http://schemas.openxmlformats.org/officeDocument/2006/relationships/footer" Target="footer15.xml"/><Relationship Id="rId74" Type="http://schemas.openxmlformats.org/officeDocument/2006/relationships/footer" Target="footer19.xml"/><Relationship Id="rId79" Type="http://schemas.openxmlformats.org/officeDocument/2006/relationships/footer" Target="footer20.xml"/><Relationship Id="rId87" Type="http://schemas.openxmlformats.org/officeDocument/2006/relationships/header" Target="header25.xml"/><Relationship Id="rId5" Type="http://schemas.openxmlformats.org/officeDocument/2006/relationships/footnotes" Target="footnotes.xml"/><Relationship Id="rId61" Type="http://schemas.openxmlformats.org/officeDocument/2006/relationships/hyperlink" Target="http://www.scc-csc.ca/case-dossier/info/sum-som-fra.aspx?cas=35008" TargetMode="External"/><Relationship Id="rId82" Type="http://schemas.openxmlformats.org/officeDocument/2006/relationships/footer" Target="footer22.xml"/><Relationship Id="rId90" Type="http://schemas.openxmlformats.org/officeDocument/2006/relationships/theme" Target="theme/theme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canlii.org/fr/qc/qcca/doc/2013/2013qcca1093/2013qcca1093.html" TargetMode="External"/><Relationship Id="rId30" Type="http://schemas.openxmlformats.org/officeDocument/2006/relationships/hyperlink" Target="http://www.canlii.org/en/on/onsc/doc/2012/2012onsc6277/2012onsc6277.html" TargetMode="External"/><Relationship Id="rId35" Type="http://schemas.openxmlformats.org/officeDocument/2006/relationships/hyperlink" Target="http://canlii.ca/t/fz7bn" TargetMode="External"/><Relationship Id="rId43" Type="http://schemas.openxmlformats.org/officeDocument/2006/relationships/hyperlink" Target="http://canlii.ca/t/fwspf" TargetMode="External"/><Relationship Id="rId48" Type="http://schemas.openxmlformats.org/officeDocument/2006/relationships/footer" Target="footer8.xml"/><Relationship Id="rId56" Type="http://schemas.openxmlformats.org/officeDocument/2006/relationships/header" Target="header13.xml"/><Relationship Id="rId64" Type="http://schemas.openxmlformats.org/officeDocument/2006/relationships/header" Target="header15.xml"/><Relationship Id="rId69" Type="http://schemas.openxmlformats.org/officeDocument/2006/relationships/header" Target="header17.xml"/><Relationship Id="rId77" Type="http://schemas.openxmlformats.org/officeDocument/2006/relationships/header" Target="header20.xml"/><Relationship Id="rId8" Type="http://schemas.openxmlformats.org/officeDocument/2006/relationships/hyperlink" Target="http://www.scc-csc.ca" TargetMode="External"/><Relationship Id="rId51" Type="http://schemas.openxmlformats.org/officeDocument/2006/relationships/footer" Target="footer10.xml"/><Relationship Id="rId72" Type="http://schemas.openxmlformats.org/officeDocument/2006/relationships/footer" Target="footer18.xml"/><Relationship Id="rId80" Type="http://schemas.openxmlformats.org/officeDocument/2006/relationships/footer" Target="footer21.xml"/><Relationship Id="rId85" Type="http://schemas.openxmlformats.org/officeDocument/2006/relationships/header" Target="header24.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canlii.org/fr/qc/qcca/doc/2013/2013qcca913/2013qcca913.html" TargetMode="External"/><Relationship Id="rId33" Type="http://schemas.openxmlformats.org/officeDocument/2006/relationships/hyperlink" Target="http://www.canlii.org/en/on/onca/doc/2013/2013onca388/2013onca388.html?searchUrlHash=AAAAAQANMjAxMyBvbmNhIDM4OAAAAAAB" TargetMode="External"/><Relationship Id="rId38" Type="http://schemas.openxmlformats.org/officeDocument/2006/relationships/hyperlink" Target="http://canlii.ca/t/1t1q7" TargetMode="External"/><Relationship Id="rId46" Type="http://schemas.openxmlformats.org/officeDocument/2006/relationships/header" Target="header8.xml"/><Relationship Id="rId59" Type="http://schemas.openxmlformats.org/officeDocument/2006/relationships/hyperlink" Target="http://www.scc-csc.ca/case-dossier/info/sum-som-eng.aspx?cas=34644" TargetMode="External"/><Relationship Id="rId67" Type="http://schemas.openxmlformats.org/officeDocument/2006/relationships/header" Target="header16.xml"/><Relationship Id="rId20" Type="http://schemas.openxmlformats.org/officeDocument/2006/relationships/header" Target="header6.xml"/><Relationship Id="rId41" Type="http://schemas.openxmlformats.org/officeDocument/2006/relationships/hyperlink" Target="http://canlii.ca/t/fwspf" TargetMode="External"/><Relationship Id="rId54" Type="http://schemas.openxmlformats.org/officeDocument/2006/relationships/footer" Target="footer11.xml"/><Relationship Id="rId62" Type="http://schemas.openxmlformats.org/officeDocument/2006/relationships/hyperlink" Target="http://www.scc-csc.ca/case-dossier/info/sum-som-eng.aspx?cas=35026" TargetMode="External"/><Relationship Id="rId70" Type="http://schemas.openxmlformats.org/officeDocument/2006/relationships/header" Target="header18.xml"/><Relationship Id="rId75" Type="http://schemas.openxmlformats.org/officeDocument/2006/relationships/hyperlink" Target="http://www.scc-csc.ca/case-dossier/info/sum-som-eng.aspx?cas=34738" TargetMode="External"/><Relationship Id="rId83" Type="http://schemas.openxmlformats.org/officeDocument/2006/relationships/header" Target="header23.xml"/><Relationship Id="rId88" Type="http://schemas.openxmlformats.org/officeDocument/2006/relationships/footer" Target="footer2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www.canlii.org/fr/qc/qccs/doc/2013/2013qccs656/2013qccs656.html" TargetMode="External"/><Relationship Id="rId36" Type="http://schemas.openxmlformats.org/officeDocument/2006/relationships/hyperlink" Target="http://canlii.ca/t/fwspf" TargetMode="External"/><Relationship Id="rId49" Type="http://schemas.openxmlformats.org/officeDocument/2006/relationships/footer" Target="footer9.xml"/><Relationship Id="rId57" Type="http://schemas.openxmlformats.org/officeDocument/2006/relationships/footer" Target="footer13.xml"/><Relationship Id="rId10" Type="http://schemas.openxmlformats.org/officeDocument/2006/relationships/header" Target="header1.xml"/><Relationship Id="rId31" Type="http://schemas.openxmlformats.org/officeDocument/2006/relationships/hyperlink" Target="http://www.canlii.org/en/on/onca/doc/2013/2013onca388/2013onca388.html?searchUrlHash=AAAAAQANMjAxMyBvbmNhIDM4OAAAAAAB" TargetMode="External"/><Relationship Id="rId44" Type="http://schemas.openxmlformats.org/officeDocument/2006/relationships/hyperlink" Target="http://canlii.ca/t/1t1q7" TargetMode="External"/><Relationship Id="rId52" Type="http://schemas.openxmlformats.org/officeDocument/2006/relationships/header" Target="header11.xml"/><Relationship Id="rId60" Type="http://schemas.openxmlformats.org/officeDocument/2006/relationships/hyperlink" Target="http://www.scc-csc.ca/case-dossier/info/sum-som-eng.aspx?cas=35502" TargetMode="External"/><Relationship Id="rId65" Type="http://schemas.openxmlformats.org/officeDocument/2006/relationships/footer" Target="footer14.xml"/><Relationship Id="rId73" Type="http://schemas.openxmlformats.org/officeDocument/2006/relationships/header" Target="header19.xml"/><Relationship Id="rId78" Type="http://schemas.openxmlformats.org/officeDocument/2006/relationships/header" Target="header21.xml"/><Relationship Id="rId81" Type="http://schemas.openxmlformats.org/officeDocument/2006/relationships/header" Target="header22.xml"/><Relationship Id="rId86" Type="http://schemas.openxmlformats.org/officeDocument/2006/relationships/footer" Target="foot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21076</Words>
  <Characters>120134</Characters>
  <Application>Microsoft Office Word</Application>
  <DocSecurity>0</DocSecurity>
  <Lines>1001</Lines>
  <Paragraphs>281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2013-12-06T16:23:00Z</dcterms:created>
  <dcterms:modified xsi:type="dcterms:W3CDTF">2015-12-18T19:24:00Z</dcterms:modified>
</cp:coreProperties>
</file>