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48" w:rsidRPr="00E41688" w:rsidRDefault="00070648" w:rsidP="00070648">
      <w:pPr>
        <w:tabs>
          <w:tab w:val="center" w:pos="4680"/>
          <w:tab w:val="right" w:pos="9360"/>
        </w:tabs>
        <w:jc w:val="center"/>
        <w:rPr>
          <w:rFonts w:eastAsiaTheme="minorHAnsi" w:cstheme="minorBidi"/>
          <w:szCs w:val="24"/>
          <w:lang w:eastAsia="en-US"/>
        </w:rPr>
      </w:pPr>
      <w:r w:rsidRPr="00E41688">
        <w:rPr>
          <w:rFonts w:eastAsiaTheme="minorHAnsi" w:cstheme="minorBidi"/>
          <w:szCs w:val="24"/>
          <w:lang w:eastAsia="en-US"/>
        </w:rPr>
        <w:object w:dxaOrig="1365" w:dyaOrig="1440">
          <v:shape id="_x0000_i1032" type="#_x0000_t75" style="width:61.8pt;height:64.8pt" o:ole="">
            <v:imagedata r:id="rId8" o:title=""/>
          </v:shape>
          <o:OLEObject Type="Embed" ProgID="Presentations.Drawing.13" ShapeID="_x0000_i1032" DrawAspect="Content" ObjectID="_1458373001" r:id="rId9"/>
        </w:object>
      </w:r>
    </w:p>
    <w:p w:rsidR="00070648" w:rsidRPr="00E41688" w:rsidRDefault="00070648" w:rsidP="00070648">
      <w:pPr>
        <w:tabs>
          <w:tab w:val="center" w:pos="4680"/>
          <w:tab w:val="right" w:pos="9360"/>
        </w:tabs>
        <w:rPr>
          <w:rFonts w:eastAsiaTheme="minorHAnsi" w:cstheme="minorBidi"/>
          <w:szCs w:val="24"/>
          <w:lang w:eastAsia="en-US"/>
        </w:rPr>
      </w:pPr>
    </w:p>
    <w:p w:rsidR="00070648" w:rsidRPr="00E41688" w:rsidRDefault="00070648" w:rsidP="00070648">
      <w:pPr>
        <w:jc w:val="center"/>
        <w:rPr>
          <w:rFonts w:eastAsiaTheme="minorHAnsi" w:cstheme="minorBidi"/>
          <w:b/>
          <w:szCs w:val="24"/>
          <w:lang w:eastAsia="en-US"/>
        </w:rPr>
      </w:pPr>
      <w:r w:rsidRPr="00E41688">
        <w:rPr>
          <w:rFonts w:eastAsiaTheme="minorHAnsi" w:cstheme="minorBidi"/>
          <w:b/>
          <w:szCs w:val="24"/>
          <w:lang w:eastAsia="en-US"/>
        </w:rPr>
        <w:t>SUPREME COURT OF CANADA</w:t>
      </w:r>
    </w:p>
    <w:p w:rsidR="00070648" w:rsidRPr="00E41688" w:rsidRDefault="00070648" w:rsidP="00070648">
      <w:pPr>
        <w:rPr>
          <w:rFonts w:eastAsiaTheme="minorHAnsi" w:cstheme="minorBidi"/>
          <w:szCs w:val="24"/>
          <w:lang w:eastAsia="en-US"/>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070648" w:rsidRPr="00E41688" w:rsidTr="005C299B">
        <w:trPr>
          <w:cantSplit/>
        </w:trPr>
        <w:tc>
          <w:tcPr>
            <w:tcW w:w="6768" w:type="dxa"/>
          </w:tcPr>
          <w:p w:rsidR="00070648" w:rsidRPr="00E41688" w:rsidRDefault="00070648" w:rsidP="005C299B">
            <w:r w:rsidRPr="00E41688">
              <w:rPr>
                <w:b/>
                <w:smallCaps/>
              </w:rPr>
              <w:t>Citation:</w:t>
            </w:r>
            <w:r w:rsidRPr="00E41688">
              <w:t xml:space="preserve"> R. </w:t>
            </w:r>
            <w:r w:rsidRPr="00E41688">
              <w:rPr>
                <w:i/>
              </w:rPr>
              <w:t>v.</w:t>
            </w:r>
            <w:r w:rsidRPr="00E41688">
              <w:t xml:space="preserve"> A.D.H., </w:t>
            </w:r>
            <w:r>
              <w:t>2013 SCC 28, [2013] 2 S.C.R. 269</w:t>
            </w:r>
          </w:p>
        </w:tc>
        <w:tc>
          <w:tcPr>
            <w:tcW w:w="2808" w:type="dxa"/>
          </w:tcPr>
          <w:p w:rsidR="00070648" w:rsidRPr="00E41688" w:rsidRDefault="00070648" w:rsidP="005C299B">
            <w:r w:rsidRPr="00E41688">
              <w:rPr>
                <w:b/>
                <w:smallCaps/>
              </w:rPr>
              <w:t>Date:</w:t>
            </w:r>
            <w:r w:rsidRPr="00E41688">
              <w:t xml:space="preserve"> 20130517</w:t>
            </w:r>
          </w:p>
          <w:p w:rsidR="00070648" w:rsidRPr="00E41688" w:rsidRDefault="00070648" w:rsidP="005C299B">
            <w:r w:rsidRPr="00E41688">
              <w:rPr>
                <w:b/>
                <w:smallCaps/>
              </w:rPr>
              <w:t>Docket:</w:t>
            </w:r>
            <w:r w:rsidRPr="00E41688">
              <w:t xml:space="preserve"> 34132</w:t>
            </w:r>
          </w:p>
        </w:tc>
      </w:tr>
    </w:tbl>
    <w:p w:rsidR="00070648" w:rsidRPr="00E41688" w:rsidRDefault="00070648" w:rsidP="00070648">
      <w:pPr>
        <w:rPr>
          <w:rFonts w:eastAsiaTheme="minorHAnsi" w:cstheme="minorBidi"/>
          <w:szCs w:val="24"/>
          <w:lang w:eastAsia="en-US"/>
        </w:rPr>
      </w:pPr>
    </w:p>
    <w:p w:rsidR="00070648" w:rsidRPr="00E41688" w:rsidRDefault="00070648" w:rsidP="00070648">
      <w:pPr>
        <w:rPr>
          <w:rFonts w:eastAsiaTheme="minorHAnsi" w:cstheme="minorBidi"/>
          <w:b/>
          <w:smallCaps/>
          <w:szCs w:val="24"/>
          <w:lang w:eastAsia="en-US"/>
        </w:rPr>
      </w:pPr>
      <w:r w:rsidRPr="00E41688">
        <w:rPr>
          <w:rFonts w:eastAsiaTheme="minorHAnsi" w:cstheme="minorBidi"/>
          <w:b/>
          <w:smallCaps/>
          <w:szCs w:val="24"/>
          <w:lang w:eastAsia="en-US"/>
        </w:rPr>
        <w:t>Between:</w:t>
      </w:r>
    </w:p>
    <w:p w:rsidR="00070648" w:rsidRPr="00E41688" w:rsidRDefault="00070648" w:rsidP="00070648">
      <w:pPr>
        <w:jc w:val="center"/>
        <w:rPr>
          <w:rFonts w:eastAsiaTheme="minorHAnsi" w:cstheme="minorBidi"/>
          <w:b/>
          <w:szCs w:val="24"/>
          <w:lang w:eastAsia="en-US"/>
        </w:rPr>
      </w:pPr>
      <w:r w:rsidRPr="00E41688">
        <w:rPr>
          <w:rFonts w:eastAsiaTheme="minorHAnsi" w:cstheme="minorBidi"/>
          <w:b/>
          <w:szCs w:val="24"/>
          <w:lang w:eastAsia="en-US"/>
        </w:rPr>
        <w:t xml:space="preserve">Her Majesty </w:t>
      </w:r>
      <w:proofErr w:type="gramStart"/>
      <w:r w:rsidRPr="00E41688">
        <w:rPr>
          <w:rFonts w:eastAsiaTheme="minorHAnsi" w:cstheme="minorBidi"/>
          <w:b/>
          <w:szCs w:val="24"/>
          <w:lang w:eastAsia="en-US"/>
        </w:rPr>
        <w:t>The</w:t>
      </w:r>
      <w:proofErr w:type="gramEnd"/>
      <w:r w:rsidRPr="00E41688">
        <w:rPr>
          <w:rFonts w:eastAsiaTheme="minorHAnsi" w:cstheme="minorBidi"/>
          <w:b/>
          <w:szCs w:val="24"/>
          <w:lang w:eastAsia="en-US"/>
        </w:rPr>
        <w:t xml:space="preserve"> Queen</w:t>
      </w:r>
    </w:p>
    <w:p w:rsidR="00070648" w:rsidRPr="00E41688" w:rsidRDefault="00070648" w:rsidP="00070648">
      <w:pPr>
        <w:jc w:val="center"/>
        <w:rPr>
          <w:rFonts w:eastAsiaTheme="minorHAnsi" w:cstheme="minorBidi"/>
          <w:szCs w:val="24"/>
          <w:lang w:eastAsia="en-US"/>
        </w:rPr>
      </w:pPr>
      <w:r w:rsidRPr="00E41688">
        <w:rPr>
          <w:rFonts w:eastAsiaTheme="minorHAnsi" w:cstheme="minorBidi"/>
          <w:szCs w:val="24"/>
          <w:lang w:eastAsia="en-US"/>
        </w:rPr>
        <w:t>Appellant</w:t>
      </w:r>
    </w:p>
    <w:p w:rsidR="00070648" w:rsidRPr="00E41688" w:rsidRDefault="00070648" w:rsidP="00070648">
      <w:pPr>
        <w:jc w:val="center"/>
        <w:rPr>
          <w:rFonts w:eastAsiaTheme="minorHAnsi" w:cstheme="minorBidi"/>
          <w:szCs w:val="24"/>
          <w:lang w:eastAsia="en-US"/>
        </w:rPr>
      </w:pPr>
      <w:proofErr w:type="gramStart"/>
      <w:r w:rsidRPr="00E41688">
        <w:rPr>
          <w:rFonts w:eastAsiaTheme="minorHAnsi" w:cstheme="minorBidi"/>
          <w:szCs w:val="24"/>
          <w:lang w:eastAsia="en-US"/>
        </w:rPr>
        <w:t>and</w:t>
      </w:r>
      <w:proofErr w:type="gramEnd"/>
    </w:p>
    <w:p w:rsidR="00070648" w:rsidRPr="00E41688" w:rsidRDefault="00070648" w:rsidP="00070648">
      <w:pPr>
        <w:jc w:val="center"/>
        <w:rPr>
          <w:rFonts w:eastAsiaTheme="minorHAnsi" w:cstheme="minorBidi"/>
          <w:b/>
          <w:szCs w:val="24"/>
          <w:lang w:eastAsia="en-US"/>
        </w:rPr>
      </w:pPr>
      <w:proofErr w:type="gramStart"/>
      <w:r w:rsidRPr="00E41688">
        <w:rPr>
          <w:rFonts w:eastAsiaTheme="minorHAnsi" w:cstheme="minorBidi"/>
          <w:b/>
          <w:szCs w:val="24"/>
          <w:lang w:eastAsia="en-US"/>
        </w:rPr>
        <w:t>A.D.H.</w:t>
      </w:r>
      <w:proofErr w:type="gramEnd"/>
    </w:p>
    <w:p w:rsidR="00070648" w:rsidRPr="00E41688" w:rsidRDefault="00070648" w:rsidP="00070648">
      <w:pPr>
        <w:jc w:val="center"/>
        <w:rPr>
          <w:rFonts w:eastAsiaTheme="minorHAnsi" w:cstheme="minorBidi"/>
          <w:szCs w:val="24"/>
          <w:lang w:eastAsia="en-US"/>
        </w:rPr>
      </w:pPr>
      <w:r w:rsidRPr="00E41688">
        <w:rPr>
          <w:rFonts w:eastAsiaTheme="minorHAnsi" w:cstheme="minorBidi"/>
          <w:szCs w:val="24"/>
          <w:lang w:eastAsia="en-US"/>
        </w:rPr>
        <w:t>Respondent</w:t>
      </w:r>
    </w:p>
    <w:p w:rsidR="00070648" w:rsidRPr="00E41688" w:rsidRDefault="00070648" w:rsidP="00070648">
      <w:pPr>
        <w:jc w:val="center"/>
        <w:rPr>
          <w:rFonts w:eastAsiaTheme="minorHAnsi" w:cstheme="minorBidi"/>
          <w:szCs w:val="24"/>
          <w:lang w:eastAsia="en-US"/>
        </w:rPr>
      </w:pPr>
      <w:r w:rsidRPr="00E41688">
        <w:rPr>
          <w:rFonts w:eastAsiaTheme="minorHAnsi" w:cstheme="minorBidi"/>
          <w:szCs w:val="24"/>
          <w:lang w:eastAsia="en-US"/>
        </w:rPr>
        <w:t xml:space="preserve">- </w:t>
      </w:r>
      <w:proofErr w:type="gramStart"/>
      <w:r w:rsidRPr="00E41688">
        <w:rPr>
          <w:rFonts w:eastAsiaTheme="minorHAnsi" w:cstheme="minorBidi"/>
          <w:szCs w:val="24"/>
          <w:lang w:eastAsia="en-US"/>
        </w:rPr>
        <w:t>and</w:t>
      </w:r>
      <w:proofErr w:type="gramEnd"/>
      <w:r w:rsidRPr="00E41688">
        <w:rPr>
          <w:rFonts w:eastAsiaTheme="minorHAnsi" w:cstheme="minorBidi"/>
          <w:szCs w:val="24"/>
          <w:lang w:eastAsia="en-US"/>
        </w:rPr>
        <w:t xml:space="preserve"> -</w:t>
      </w:r>
    </w:p>
    <w:p w:rsidR="00070648" w:rsidRPr="00E41688" w:rsidRDefault="00070648" w:rsidP="00070648">
      <w:pPr>
        <w:jc w:val="center"/>
        <w:rPr>
          <w:rFonts w:eastAsiaTheme="minorHAnsi" w:cstheme="minorBidi"/>
          <w:b/>
          <w:szCs w:val="24"/>
          <w:lang w:eastAsia="en-US"/>
        </w:rPr>
      </w:pPr>
      <w:r w:rsidRPr="00E41688">
        <w:rPr>
          <w:rFonts w:eastAsiaTheme="minorHAnsi" w:cstheme="minorBidi"/>
          <w:b/>
          <w:szCs w:val="24"/>
          <w:lang w:eastAsia="en-US"/>
        </w:rPr>
        <w:t>Attorney General of Ontario</w:t>
      </w:r>
    </w:p>
    <w:p w:rsidR="00070648" w:rsidRPr="00E41688" w:rsidRDefault="00070648" w:rsidP="00070648">
      <w:pPr>
        <w:jc w:val="center"/>
        <w:rPr>
          <w:rFonts w:eastAsiaTheme="minorHAnsi" w:cstheme="minorBidi"/>
          <w:szCs w:val="24"/>
          <w:lang w:eastAsia="en-US"/>
        </w:rPr>
      </w:pPr>
      <w:r w:rsidRPr="00E41688">
        <w:rPr>
          <w:rFonts w:eastAsiaTheme="minorHAnsi" w:cstheme="minorBidi"/>
          <w:szCs w:val="24"/>
          <w:lang w:eastAsia="en-US"/>
        </w:rPr>
        <w:t>Intervener</w:t>
      </w:r>
    </w:p>
    <w:p w:rsidR="00070648" w:rsidRPr="00E41688" w:rsidRDefault="00070648" w:rsidP="00070648">
      <w:pPr>
        <w:rPr>
          <w:rFonts w:eastAsiaTheme="minorHAnsi" w:cstheme="minorBidi"/>
          <w:szCs w:val="24"/>
          <w:lang w:eastAsia="en-US"/>
        </w:rPr>
      </w:pPr>
    </w:p>
    <w:p w:rsidR="00070648" w:rsidRPr="00E41688" w:rsidRDefault="00070648" w:rsidP="00070648">
      <w:pPr>
        <w:rPr>
          <w:rFonts w:eastAsiaTheme="minorHAnsi" w:cstheme="minorBidi"/>
          <w:szCs w:val="24"/>
          <w:lang w:eastAsia="en-US"/>
        </w:rPr>
      </w:pPr>
    </w:p>
    <w:p w:rsidR="00070648" w:rsidRPr="00E41688" w:rsidRDefault="00070648" w:rsidP="00070648">
      <w:pPr>
        <w:rPr>
          <w:rFonts w:eastAsiaTheme="minorHAnsi" w:cstheme="minorBidi"/>
          <w:szCs w:val="24"/>
          <w:lang w:eastAsia="en-US"/>
        </w:rPr>
      </w:pPr>
    </w:p>
    <w:p w:rsidR="00070648" w:rsidRPr="00E41688" w:rsidRDefault="00070648" w:rsidP="00070648">
      <w:pPr>
        <w:rPr>
          <w:rFonts w:eastAsiaTheme="minorHAnsi" w:cstheme="minorBidi"/>
          <w:szCs w:val="24"/>
          <w:lang w:eastAsia="en-US"/>
        </w:rPr>
      </w:pPr>
      <w:r w:rsidRPr="00E41688">
        <w:rPr>
          <w:rFonts w:eastAsiaTheme="minorHAnsi" w:cstheme="minorBidi"/>
          <w:b/>
          <w:smallCaps/>
          <w:szCs w:val="24"/>
          <w:lang w:eastAsia="en-US"/>
        </w:rPr>
        <w:t>Coram:</w:t>
      </w:r>
      <w:r w:rsidRPr="00E41688">
        <w:rPr>
          <w:rFonts w:eastAsiaTheme="minorHAnsi" w:cstheme="minorBidi"/>
          <w:szCs w:val="24"/>
          <w:lang w:eastAsia="en-US"/>
        </w:rPr>
        <w:t xml:space="preserve"> McLachlin C.J. and Fish, </w:t>
      </w:r>
      <w:proofErr w:type="spellStart"/>
      <w:r w:rsidRPr="00E41688">
        <w:rPr>
          <w:rFonts w:eastAsiaTheme="minorHAnsi" w:cstheme="minorBidi"/>
          <w:szCs w:val="24"/>
          <w:lang w:eastAsia="en-US"/>
        </w:rPr>
        <w:t>Abella</w:t>
      </w:r>
      <w:proofErr w:type="spellEnd"/>
      <w:r w:rsidRPr="00E41688">
        <w:rPr>
          <w:rFonts w:eastAsiaTheme="minorHAnsi" w:cstheme="minorBidi"/>
          <w:szCs w:val="24"/>
          <w:lang w:eastAsia="en-US"/>
        </w:rPr>
        <w:t xml:space="preserve">, Rothstein, Cromwell, </w:t>
      </w:r>
      <w:proofErr w:type="spellStart"/>
      <w:r w:rsidRPr="00E41688">
        <w:rPr>
          <w:rFonts w:eastAsiaTheme="minorHAnsi" w:cstheme="minorBidi"/>
          <w:szCs w:val="24"/>
          <w:lang w:eastAsia="en-US"/>
        </w:rPr>
        <w:t>Moldaver</w:t>
      </w:r>
      <w:proofErr w:type="spellEnd"/>
      <w:r w:rsidRPr="00E41688">
        <w:rPr>
          <w:rFonts w:eastAsiaTheme="minorHAnsi" w:cstheme="minorBidi"/>
          <w:szCs w:val="24"/>
          <w:lang w:eastAsia="en-US"/>
        </w:rPr>
        <w:t xml:space="preserve"> and </w:t>
      </w:r>
      <w:proofErr w:type="spellStart"/>
      <w:r w:rsidRPr="00E41688">
        <w:rPr>
          <w:rFonts w:eastAsiaTheme="minorHAnsi" w:cstheme="minorBidi"/>
          <w:szCs w:val="24"/>
          <w:lang w:eastAsia="en-US"/>
        </w:rPr>
        <w:t>Karakatsanis</w:t>
      </w:r>
      <w:proofErr w:type="spellEnd"/>
      <w:r w:rsidRPr="00E41688">
        <w:rPr>
          <w:rFonts w:eastAsiaTheme="minorHAnsi" w:cstheme="minorBidi"/>
          <w:szCs w:val="24"/>
          <w:lang w:eastAsia="en-US"/>
        </w:rPr>
        <w:t> JJ.</w:t>
      </w:r>
    </w:p>
    <w:p w:rsidR="00070648" w:rsidRPr="00E41688" w:rsidRDefault="00070648" w:rsidP="00070648">
      <w:pPr>
        <w:rPr>
          <w:rFonts w:eastAsiaTheme="minorHAnsi" w:cstheme="minorBidi"/>
          <w:szCs w:val="24"/>
          <w:lang w:eastAsia="en-US"/>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070648" w:rsidRPr="00E41688" w:rsidTr="005C299B">
        <w:trPr>
          <w:cantSplit/>
        </w:trPr>
        <w:tc>
          <w:tcPr>
            <w:tcW w:w="3618" w:type="dxa"/>
          </w:tcPr>
          <w:p w:rsidR="00070648" w:rsidRPr="00E41688" w:rsidRDefault="00070648" w:rsidP="005C299B">
            <w:pPr>
              <w:rPr>
                <w:b/>
                <w:smallCaps/>
              </w:rPr>
            </w:pPr>
            <w:r w:rsidRPr="00E41688">
              <w:rPr>
                <w:b/>
                <w:smallCaps/>
              </w:rPr>
              <w:t>Reasons for Judgment:</w:t>
            </w:r>
          </w:p>
          <w:p w:rsidR="00070648" w:rsidRPr="00E41688" w:rsidRDefault="00070648" w:rsidP="005C299B">
            <w:r w:rsidRPr="00E41688">
              <w:t>(</w:t>
            </w:r>
            <w:proofErr w:type="spellStart"/>
            <w:r w:rsidRPr="00E41688">
              <w:t>paras</w:t>
            </w:r>
            <w:proofErr w:type="spellEnd"/>
            <w:r w:rsidRPr="00E41688">
              <w:t>. 1 to 76)</w:t>
            </w:r>
          </w:p>
          <w:p w:rsidR="00070648" w:rsidRPr="00E41688" w:rsidRDefault="00070648" w:rsidP="005C299B"/>
          <w:p w:rsidR="00070648" w:rsidRPr="00E41688" w:rsidRDefault="00070648" w:rsidP="005C299B">
            <w:pPr>
              <w:rPr>
                <w:b/>
                <w:smallCaps/>
              </w:rPr>
            </w:pPr>
            <w:r w:rsidRPr="00E41688">
              <w:rPr>
                <w:b/>
                <w:smallCaps/>
              </w:rPr>
              <w:t>Reasons Concurring in Result:</w:t>
            </w:r>
          </w:p>
          <w:p w:rsidR="00070648" w:rsidRPr="00E41688" w:rsidRDefault="00070648" w:rsidP="005C299B">
            <w:r w:rsidRPr="00E41688">
              <w:t>(</w:t>
            </w:r>
            <w:proofErr w:type="spellStart"/>
            <w:r w:rsidRPr="00E41688">
              <w:t>paras</w:t>
            </w:r>
            <w:proofErr w:type="spellEnd"/>
            <w:r w:rsidRPr="00E41688">
              <w:t>. 77 to 159)</w:t>
            </w:r>
          </w:p>
        </w:tc>
        <w:tc>
          <w:tcPr>
            <w:tcW w:w="5958" w:type="dxa"/>
          </w:tcPr>
          <w:p w:rsidR="00070648" w:rsidRPr="00E41688" w:rsidRDefault="00070648" w:rsidP="005C299B">
            <w:r w:rsidRPr="00E41688">
              <w:t xml:space="preserve">Cromwell J. (McLachlin C.J. and Fish, </w:t>
            </w:r>
            <w:proofErr w:type="spellStart"/>
            <w:r w:rsidRPr="00E41688">
              <w:t>Abella</w:t>
            </w:r>
            <w:proofErr w:type="spellEnd"/>
            <w:r w:rsidRPr="00E41688">
              <w:t xml:space="preserve"> and </w:t>
            </w:r>
            <w:proofErr w:type="spellStart"/>
            <w:r w:rsidRPr="00E41688">
              <w:t>Karakatsanis</w:t>
            </w:r>
            <w:proofErr w:type="spellEnd"/>
            <w:r w:rsidRPr="00E41688">
              <w:t xml:space="preserve"> JJ. concurring)</w:t>
            </w:r>
          </w:p>
          <w:p w:rsidR="00070648" w:rsidRPr="00E41688" w:rsidRDefault="00070648" w:rsidP="005C299B"/>
          <w:p w:rsidR="00070648" w:rsidRPr="00E41688" w:rsidRDefault="00070648" w:rsidP="005C299B">
            <w:proofErr w:type="spellStart"/>
            <w:r w:rsidRPr="00E41688">
              <w:t>Moldaver</w:t>
            </w:r>
            <w:proofErr w:type="spellEnd"/>
            <w:r w:rsidRPr="00E41688">
              <w:t xml:space="preserve"> J. (Rothstein J. concurring)</w:t>
            </w:r>
          </w:p>
        </w:tc>
      </w:tr>
    </w:tbl>
    <w:p w:rsidR="00070648" w:rsidRPr="00E41688" w:rsidRDefault="00070648" w:rsidP="00070648">
      <w:pPr>
        <w:rPr>
          <w:rFonts w:eastAsiaTheme="minorHAnsi" w:cstheme="minorBidi"/>
          <w:szCs w:val="24"/>
          <w:lang w:eastAsia="en-US"/>
        </w:rPr>
      </w:pPr>
    </w:p>
    <w:p w:rsidR="00070648" w:rsidRPr="00E41688" w:rsidRDefault="00070648" w:rsidP="00070648">
      <w:pPr>
        <w:rPr>
          <w:rFonts w:eastAsiaTheme="minorHAnsi" w:cstheme="minorBidi"/>
          <w:szCs w:val="24"/>
          <w:lang w:eastAsia="en-US"/>
        </w:rPr>
      </w:pPr>
    </w:p>
    <w:p w:rsidR="00070648" w:rsidRPr="00E41688" w:rsidRDefault="00070648" w:rsidP="00070648">
      <w:pPr>
        <w:rPr>
          <w:rFonts w:eastAsiaTheme="minorHAnsi" w:cstheme="minorBidi"/>
          <w:szCs w:val="24"/>
          <w:lang w:eastAsia="en-US"/>
        </w:rPr>
      </w:pPr>
      <w:r w:rsidRPr="000A468A">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33" type="#_x0000_t32" style="position:absolute;margin-left:126.75pt;margin-top:14.5pt;width:197.25pt;height:0;z-index:251658240" o:connectortype="straight"/>
        </w:pict>
      </w:r>
    </w:p>
    <w:p w:rsidR="00070648" w:rsidRDefault="00070648" w:rsidP="00070648">
      <w:pPr>
        <w:rPr>
          <w:smallCaps/>
        </w:rPr>
      </w:pPr>
      <w:r>
        <w:rPr>
          <w:smallCaps/>
        </w:rPr>
        <w:br w:type="page"/>
      </w:r>
    </w:p>
    <w:p w:rsidR="008322BD" w:rsidRPr="00297897" w:rsidRDefault="00297897" w:rsidP="0009225F">
      <w:pPr>
        <w:spacing w:after="720"/>
        <w:jc w:val="both"/>
      </w:pPr>
      <w:r w:rsidRPr="00297897">
        <w:lastRenderedPageBreak/>
        <w:t xml:space="preserve">R. </w:t>
      </w:r>
      <w:r w:rsidRPr="00297897">
        <w:rPr>
          <w:i/>
        </w:rPr>
        <w:t>v.</w:t>
      </w:r>
      <w:r w:rsidRPr="00297897">
        <w:t xml:space="preserve"> A.D.H.</w:t>
      </w:r>
      <w:r>
        <w:t>, 2013 SCC 28, [2013] 2 S.C.R. 269</w:t>
      </w:r>
    </w:p>
    <w:p w:rsidR="00D90D90" w:rsidRPr="00AF6CFE" w:rsidRDefault="00EA1465" w:rsidP="0009225F">
      <w:pPr>
        <w:pStyle w:val="SCCLsocLastPartyInRole"/>
      </w:pPr>
      <w:r w:rsidRPr="00AF6CFE">
        <w:t xml:space="preserve">Her Majesty </w:t>
      </w:r>
      <w:proofErr w:type="gramStart"/>
      <w:r w:rsidRPr="00AF6CFE">
        <w:t>T</w:t>
      </w:r>
      <w:r w:rsidR="00812B08" w:rsidRPr="00AF6CFE">
        <w:t>he</w:t>
      </w:r>
      <w:proofErr w:type="gramEnd"/>
      <w:r w:rsidR="00812B08" w:rsidRPr="00AF6CFE">
        <w:t xml:space="preserve"> Queen</w:t>
      </w:r>
      <w:r w:rsidR="00812B08" w:rsidRPr="00AF6CFE">
        <w:rPr>
          <w:rStyle w:val="SCCLsocPartyRole"/>
        </w:rPr>
        <w:tab/>
        <w:t>Appellant</w:t>
      </w:r>
    </w:p>
    <w:p w:rsidR="00D90D90" w:rsidRPr="00AF6CFE" w:rsidRDefault="00812B08" w:rsidP="0009225F">
      <w:pPr>
        <w:pStyle w:val="SCCLsocVersus"/>
      </w:pPr>
      <w:proofErr w:type="gramStart"/>
      <w:r w:rsidRPr="00AF6CFE">
        <w:t>v</w:t>
      </w:r>
      <w:proofErr w:type="gramEnd"/>
      <w:r w:rsidRPr="00AF6CFE">
        <w:t>.</w:t>
      </w:r>
    </w:p>
    <w:p w:rsidR="00D90D90" w:rsidRPr="00AF6CFE" w:rsidRDefault="00812B08" w:rsidP="0009225F">
      <w:pPr>
        <w:pStyle w:val="SCCLsocLastPartyInRole"/>
      </w:pPr>
      <w:r w:rsidRPr="00AF6CFE">
        <w:t>A.D.H.</w:t>
      </w:r>
      <w:r w:rsidRPr="00AF6CFE">
        <w:rPr>
          <w:rStyle w:val="SCCLsocPartyRole"/>
        </w:rPr>
        <w:tab/>
        <w:t>Respondent</w:t>
      </w:r>
    </w:p>
    <w:p w:rsidR="00D90D90" w:rsidRPr="00AF6CFE" w:rsidRDefault="00812B08" w:rsidP="0009225F">
      <w:pPr>
        <w:pStyle w:val="SCCLsocOtherPartySeparator"/>
      </w:pPr>
      <w:proofErr w:type="gramStart"/>
      <w:r w:rsidRPr="00AF6CFE">
        <w:t>and</w:t>
      </w:r>
      <w:proofErr w:type="gramEnd"/>
    </w:p>
    <w:p w:rsidR="00D90D90" w:rsidRPr="00AF6CFE" w:rsidRDefault="00812B08" w:rsidP="0009225F">
      <w:pPr>
        <w:pStyle w:val="SCCLsocLastPartyInRole"/>
      </w:pPr>
      <w:r w:rsidRPr="00AF6CFE">
        <w:t>Attorney General of Ontario</w:t>
      </w:r>
      <w:r w:rsidRPr="00AF6CFE">
        <w:rPr>
          <w:rStyle w:val="SCCLsocPartyRole"/>
        </w:rPr>
        <w:tab/>
        <w:t>Intervener</w:t>
      </w:r>
    </w:p>
    <w:p w:rsidR="00426659" w:rsidRPr="00AF6CFE" w:rsidRDefault="00426659" w:rsidP="0009225F">
      <w:pPr>
        <w:spacing w:after="720"/>
        <w:jc w:val="both"/>
        <w:rPr>
          <w:b/>
        </w:rPr>
      </w:pPr>
      <w:proofErr w:type="gramStart"/>
      <w:r w:rsidRPr="00AF6CFE">
        <w:rPr>
          <w:b/>
        </w:rPr>
        <w:t xml:space="preserve">Indexed as:  </w:t>
      </w:r>
      <w:r w:rsidRPr="00080AF9">
        <w:rPr>
          <w:b/>
        </w:rPr>
        <w:t>R.</w:t>
      </w:r>
      <w:r w:rsidRPr="00AF6CFE">
        <w:rPr>
          <w:b/>
        </w:rPr>
        <w:t xml:space="preserve"> </w:t>
      </w:r>
      <w:r w:rsidRPr="00AF6CFE">
        <w:rPr>
          <w:b/>
          <w:i/>
        </w:rPr>
        <w:t>v.</w:t>
      </w:r>
      <w:r w:rsidRPr="00AF6CFE">
        <w:rPr>
          <w:b/>
        </w:rPr>
        <w:t xml:space="preserve"> </w:t>
      </w:r>
      <w:r w:rsidRPr="00080AF9">
        <w:rPr>
          <w:b/>
        </w:rPr>
        <w:t>A.D.H.</w:t>
      </w:r>
      <w:proofErr w:type="gramEnd"/>
    </w:p>
    <w:p w:rsidR="00426659" w:rsidRPr="00AF6CFE" w:rsidRDefault="004F36FF" w:rsidP="0009225F">
      <w:pPr>
        <w:pStyle w:val="SCCSystemYear"/>
        <w:spacing w:after="720"/>
        <w:jc w:val="both"/>
      </w:pPr>
      <w:r w:rsidRPr="00AF6CFE">
        <w:t>2013</w:t>
      </w:r>
      <w:r w:rsidR="003D0399" w:rsidRPr="00AF6CFE">
        <w:t xml:space="preserve"> </w:t>
      </w:r>
      <w:r w:rsidR="00D720A8">
        <w:t>SCC 28</w:t>
      </w:r>
    </w:p>
    <w:p w:rsidR="008322BD" w:rsidRPr="00AF6CFE" w:rsidRDefault="009B57B3" w:rsidP="0009225F">
      <w:pPr>
        <w:spacing w:after="720"/>
        <w:jc w:val="both"/>
      </w:pPr>
      <w:r w:rsidRPr="00AF6CFE">
        <w:t>File No.:  34132.</w:t>
      </w:r>
    </w:p>
    <w:p w:rsidR="008322BD" w:rsidRPr="00AF6CFE" w:rsidRDefault="00446A77" w:rsidP="0009225F">
      <w:pPr>
        <w:spacing w:after="720"/>
        <w:jc w:val="both"/>
      </w:pPr>
      <w:r w:rsidRPr="00AF6CFE">
        <w:t>2012:  October </w:t>
      </w:r>
      <w:r w:rsidR="004F36FF" w:rsidRPr="00AF6CFE">
        <w:t>11</w:t>
      </w:r>
      <w:r w:rsidR="009B57B3" w:rsidRPr="00AF6CFE">
        <w:t xml:space="preserve">; </w:t>
      </w:r>
      <w:r w:rsidRPr="00AF6CFE">
        <w:t>2013:  May 17</w:t>
      </w:r>
      <w:r w:rsidR="009B57B3" w:rsidRPr="00AF6CFE">
        <w:t>.</w:t>
      </w:r>
    </w:p>
    <w:p w:rsidR="008322BD" w:rsidRPr="00AF6CFE" w:rsidRDefault="009B57B3" w:rsidP="0009225F">
      <w:pPr>
        <w:spacing w:after="720"/>
        <w:jc w:val="both"/>
      </w:pPr>
      <w:r w:rsidRPr="00AF6CFE">
        <w:t xml:space="preserve">Present:  McLachlin C.J. and Fish, </w:t>
      </w:r>
      <w:proofErr w:type="spellStart"/>
      <w:r w:rsidRPr="00AF6CFE">
        <w:t>Abella</w:t>
      </w:r>
      <w:proofErr w:type="spellEnd"/>
      <w:r w:rsidRPr="00AF6CFE">
        <w:t xml:space="preserve">, Rothstein, Cromwell, </w:t>
      </w:r>
      <w:proofErr w:type="spellStart"/>
      <w:r w:rsidRPr="00AF6CFE">
        <w:t>Moldaver</w:t>
      </w:r>
      <w:proofErr w:type="spellEnd"/>
      <w:r w:rsidRPr="00AF6CFE">
        <w:t xml:space="preserve"> and </w:t>
      </w:r>
      <w:proofErr w:type="spellStart"/>
      <w:r w:rsidRPr="00AF6CFE">
        <w:t>Karakatsanis</w:t>
      </w:r>
      <w:proofErr w:type="spellEnd"/>
      <w:r w:rsidRPr="00AF6CFE">
        <w:t> JJ.</w:t>
      </w:r>
    </w:p>
    <w:p w:rsidR="008322BD" w:rsidRPr="00AF6CFE" w:rsidRDefault="00656313" w:rsidP="0009225F">
      <w:pPr>
        <w:pStyle w:val="SCCLowerCourtNameLowercase"/>
        <w:spacing w:after="720" w:line="240" w:lineRule="auto"/>
      </w:pPr>
      <w:r w:rsidRPr="00AF6CFE">
        <w:t>o</w:t>
      </w:r>
      <w:r w:rsidR="00170592" w:rsidRPr="00AF6CFE">
        <w:t>n</w:t>
      </w:r>
      <w:r w:rsidR="00224FC0" w:rsidRPr="00AF6CFE">
        <w:t xml:space="preserve"> </w:t>
      </w:r>
      <w:r w:rsidRPr="00AF6CFE">
        <w:t>a</w:t>
      </w:r>
      <w:r w:rsidR="00170592" w:rsidRPr="00AF6CFE">
        <w:t>ppeal</w:t>
      </w:r>
      <w:r w:rsidR="00224FC0" w:rsidRPr="00AF6CFE">
        <w:t xml:space="preserve"> </w:t>
      </w:r>
      <w:r w:rsidR="00170592" w:rsidRPr="00AF6CFE">
        <w:t>from</w:t>
      </w:r>
      <w:r w:rsidR="009567AA" w:rsidRPr="00AF6CFE">
        <w:t xml:space="preserve"> the</w:t>
      </w:r>
      <w:r w:rsidR="00224FC0" w:rsidRPr="00AF6CFE">
        <w:t xml:space="preserve"> </w:t>
      </w:r>
      <w:r w:rsidR="009B57B3" w:rsidRPr="00AF6CFE">
        <w:t xml:space="preserve">court of appeal for </w:t>
      </w:r>
      <w:proofErr w:type="spellStart"/>
      <w:r w:rsidR="009B57B3" w:rsidRPr="00AF6CFE">
        <w:t>saskatchewan</w:t>
      </w:r>
      <w:proofErr w:type="spellEnd"/>
    </w:p>
    <w:p w:rsidR="00513DFE" w:rsidRPr="00AF6CFE" w:rsidRDefault="009B57B3" w:rsidP="00513DFE">
      <w:pPr>
        <w:pStyle w:val="SCCNormalDoubleSpacing"/>
        <w:spacing w:after="480"/>
        <w:rPr>
          <w:iCs/>
        </w:rPr>
      </w:pPr>
      <w:r w:rsidRPr="00AF6CFE">
        <w:lastRenderedPageBreak/>
        <w:tab/>
      </w:r>
      <w:r w:rsidR="00513DFE" w:rsidRPr="00080AF9">
        <w:rPr>
          <w:i/>
        </w:rPr>
        <w:t xml:space="preserve">Criminal law </w:t>
      </w:r>
      <w:r w:rsidR="00595284" w:rsidRPr="00080AF9">
        <w:rPr>
          <w:i/>
        </w:rPr>
        <w:t>—</w:t>
      </w:r>
      <w:r w:rsidR="00513DFE" w:rsidRPr="00080AF9">
        <w:rPr>
          <w:i/>
        </w:rPr>
        <w:t xml:space="preserve"> Child abandonment </w:t>
      </w:r>
      <w:r w:rsidR="00595284" w:rsidRPr="00080AF9">
        <w:rPr>
          <w:i/>
        </w:rPr>
        <w:t xml:space="preserve">— </w:t>
      </w:r>
      <w:proofErr w:type="spellStart"/>
      <w:r w:rsidR="00513DFE" w:rsidRPr="00080AF9">
        <w:rPr>
          <w:i/>
        </w:rPr>
        <w:t>Mens</w:t>
      </w:r>
      <w:proofErr w:type="spellEnd"/>
      <w:r w:rsidR="00513DFE" w:rsidRPr="00080AF9">
        <w:rPr>
          <w:i/>
        </w:rPr>
        <w:t xml:space="preserve"> </w:t>
      </w:r>
      <w:proofErr w:type="spellStart"/>
      <w:r w:rsidR="00513DFE" w:rsidRPr="00080AF9">
        <w:rPr>
          <w:i/>
        </w:rPr>
        <w:t>rea</w:t>
      </w:r>
      <w:proofErr w:type="spellEnd"/>
      <w:r w:rsidR="00513DFE" w:rsidRPr="00080AF9">
        <w:rPr>
          <w:i/>
        </w:rPr>
        <w:t xml:space="preserve"> </w:t>
      </w:r>
      <w:r w:rsidR="00595284" w:rsidRPr="00080AF9">
        <w:rPr>
          <w:i/>
        </w:rPr>
        <w:t xml:space="preserve">— </w:t>
      </w:r>
      <w:r w:rsidR="00513DFE" w:rsidRPr="00080AF9">
        <w:rPr>
          <w:i/>
        </w:rPr>
        <w:t xml:space="preserve">Accused gave birth in washroom at retail store and left newborn in toilet </w:t>
      </w:r>
      <w:r w:rsidR="00595284" w:rsidRPr="00080AF9">
        <w:rPr>
          <w:i/>
        </w:rPr>
        <w:t xml:space="preserve">— </w:t>
      </w:r>
      <w:r w:rsidR="00513DFE" w:rsidRPr="00080AF9">
        <w:rPr>
          <w:i/>
        </w:rPr>
        <w:t xml:space="preserve">Accused testified that she had not realized she was pregnant and that she believed child was born dead </w:t>
      </w:r>
      <w:r w:rsidR="00595284" w:rsidRPr="00080AF9">
        <w:rPr>
          <w:i/>
        </w:rPr>
        <w:t xml:space="preserve">— </w:t>
      </w:r>
      <w:r w:rsidR="00513DFE" w:rsidRPr="00080AF9">
        <w:rPr>
          <w:i/>
        </w:rPr>
        <w:t xml:space="preserve">Acquittal entered </w:t>
      </w:r>
      <w:r w:rsidR="00595284" w:rsidRPr="00080AF9">
        <w:rPr>
          <w:i/>
        </w:rPr>
        <w:t xml:space="preserve">— </w:t>
      </w:r>
      <w:r w:rsidR="00513DFE" w:rsidRPr="00080AF9">
        <w:rPr>
          <w:i/>
        </w:rPr>
        <w:t xml:space="preserve">Whether </w:t>
      </w:r>
      <w:r w:rsidR="00513DFE" w:rsidRPr="00AF6CFE">
        <w:rPr>
          <w:i/>
        </w:rPr>
        <w:t>fault element is subjective or objective</w:t>
      </w:r>
      <w:r w:rsidR="00513DFE" w:rsidRPr="00080AF9">
        <w:rPr>
          <w:i/>
        </w:rPr>
        <w:t xml:space="preserve"> </w:t>
      </w:r>
      <w:r w:rsidR="00595284" w:rsidRPr="00080AF9">
        <w:rPr>
          <w:i/>
        </w:rPr>
        <w:t xml:space="preserve">— </w:t>
      </w:r>
      <w:r w:rsidR="00DB07F5" w:rsidRPr="00080AF9">
        <w:rPr>
          <w:i/>
        </w:rPr>
        <w:t>Criminal Code, R.S.C. 1985, c. </w:t>
      </w:r>
      <w:r w:rsidR="00513DFE" w:rsidRPr="00080AF9">
        <w:rPr>
          <w:i/>
        </w:rPr>
        <w:t>C</w:t>
      </w:r>
      <w:r w:rsidR="00DB07F5" w:rsidRPr="00080AF9">
        <w:rPr>
          <w:i/>
        </w:rPr>
        <w:noBreakHyphen/>
      </w:r>
      <w:r w:rsidR="00513DFE" w:rsidRPr="00080AF9">
        <w:rPr>
          <w:i/>
        </w:rPr>
        <w:t xml:space="preserve">46, </w:t>
      </w:r>
      <w:r w:rsidR="002E5850">
        <w:rPr>
          <w:i/>
        </w:rPr>
        <w:t>s</w:t>
      </w:r>
      <w:r w:rsidR="00513DFE" w:rsidRPr="00080AF9">
        <w:rPr>
          <w:i/>
        </w:rPr>
        <w:t>s.</w:t>
      </w:r>
      <w:r w:rsidR="00DB07F5" w:rsidRPr="00080AF9">
        <w:rPr>
          <w:i/>
        </w:rPr>
        <w:t> </w:t>
      </w:r>
      <w:r w:rsidR="00513DFE" w:rsidRPr="00080AF9">
        <w:rPr>
          <w:i/>
        </w:rPr>
        <w:t>214 “‘abandon’ or ‘expose’”, 218.</w:t>
      </w:r>
    </w:p>
    <w:p w:rsidR="00513DFE" w:rsidRPr="00AF6CFE" w:rsidRDefault="00252635" w:rsidP="00A16F72">
      <w:pPr>
        <w:pStyle w:val="SCCNormalDoubleSpacing"/>
        <w:spacing w:after="480"/>
      </w:pPr>
      <w:r w:rsidRPr="00AF6CFE">
        <w:tab/>
        <w:t xml:space="preserve">The </w:t>
      </w:r>
      <w:r w:rsidR="00513DFE" w:rsidRPr="00AF6CFE">
        <w:t>accused, not previously knowing that she was pregnant, gave birth</w:t>
      </w:r>
      <w:r w:rsidRPr="00AF6CFE">
        <w:t xml:space="preserve"> </w:t>
      </w:r>
      <w:r w:rsidR="00513DFE" w:rsidRPr="00AF6CFE">
        <w:t xml:space="preserve">while using the toilet in a retail store.  Thinking the child was </w:t>
      </w:r>
      <w:proofErr w:type="gramStart"/>
      <w:r w:rsidR="00513DFE" w:rsidRPr="00AF6CFE">
        <w:t>dead,</w:t>
      </w:r>
      <w:proofErr w:type="gramEnd"/>
      <w:r w:rsidR="00513DFE" w:rsidRPr="00AF6CFE">
        <w:t xml:space="preserve"> she cleaned up as best she could and left, leaving the child in the toilet.  The child was in fact alive, was quickly attended to by others and transported to the hospital where he was successfully resuscitated and found to be completely healthy.</w:t>
      </w:r>
      <w:r w:rsidRPr="00AF6CFE">
        <w:t xml:space="preserve">  </w:t>
      </w:r>
      <w:r w:rsidR="00513DFE" w:rsidRPr="00AF6CFE">
        <w:t>The accused was eventually identified as the woman seen entering and leaving the washroom at the time in question.  When contacted by police, she cooperated fully and confirmed that she was the mother of the child.  She was charged with unlawfully abandoning a child under the age of 10 years old and thereby enda</w:t>
      </w:r>
      <w:r w:rsidR="00DB07F5" w:rsidRPr="00AF6CFE">
        <w:t>ngering his life contrary to s. </w:t>
      </w:r>
      <w:r w:rsidR="00513DFE" w:rsidRPr="00AF6CFE">
        <w:t xml:space="preserve">218 of the </w:t>
      </w:r>
      <w:r w:rsidR="00513DFE" w:rsidRPr="00AF6CFE">
        <w:rPr>
          <w:i/>
        </w:rPr>
        <w:t>Criminal Code</w:t>
      </w:r>
      <w:r w:rsidR="00513DFE" w:rsidRPr="00AF6CFE">
        <w:t>.</w:t>
      </w:r>
    </w:p>
    <w:p w:rsidR="00513DFE" w:rsidRPr="00AF6CFE" w:rsidRDefault="00252635" w:rsidP="00513DFE">
      <w:pPr>
        <w:pStyle w:val="SCCNormalDoubleSpacing"/>
        <w:spacing w:after="480"/>
      </w:pPr>
      <w:r w:rsidRPr="00AF6CFE">
        <w:tab/>
        <w:t xml:space="preserve">The trial judge noted that the </w:t>
      </w:r>
      <w:r w:rsidR="00513DFE" w:rsidRPr="00AF6CFE">
        <w:t xml:space="preserve">accused acknowledged that she had </w:t>
      </w:r>
      <w:r w:rsidRPr="00AF6CFE">
        <w:t>left her child in the toilet</w:t>
      </w:r>
      <w:r w:rsidR="00513DFE" w:rsidRPr="00AF6CFE">
        <w:t xml:space="preserve">, thereby committing the </w:t>
      </w:r>
      <w:proofErr w:type="spellStart"/>
      <w:r w:rsidR="00513DFE" w:rsidRPr="00AF6CFE">
        <w:rPr>
          <w:i/>
        </w:rPr>
        <w:t>actus</w:t>
      </w:r>
      <w:proofErr w:type="spellEnd"/>
      <w:r w:rsidR="00513DFE" w:rsidRPr="00AF6CFE">
        <w:rPr>
          <w:i/>
        </w:rPr>
        <w:t xml:space="preserve"> </w:t>
      </w:r>
      <w:proofErr w:type="spellStart"/>
      <w:proofErr w:type="gramStart"/>
      <w:r w:rsidR="00513DFE" w:rsidRPr="00AF6CFE">
        <w:rPr>
          <w:i/>
        </w:rPr>
        <w:t>reus</w:t>
      </w:r>
      <w:proofErr w:type="spellEnd"/>
      <w:proofErr w:type="gramEnd"/>
      <w:r w:rsidR="00DB07F5" w:rsidRPr="00AF6CFE">
        <w:t xml:space="preserve"> of the s. </w:t>
      </w:r>
      <w:r w:rsidR="00513DFE" w:rsidRPr="00AF6CFE">
        <w:t xml:space="preserve">218 offence.  As for the </w:t>
      </w:r>
      <w:proofErr w:type="spellStart"/>
      <w:r w:rsidR="00513DFE" w:rsidRPr="00AF6CFE">
        <w:rPr>
          <w:i/>
        </w:rPr>
        <w:t>mens</w:t>
      </w:r>
      <w:proofErr w:type="spellEnd"/>
      <w:r w:rsidR="00513DFE" w:rsidRPr="00AF6CFE">
        <w:rPr>
          <w:i/>
        </w:rPr>
        <w:t xml:space="preserve"> </w:t>
      </w:r>
      <w:proofErr w:type="spellStart"/>
      <w:r w:rsidR="00513DFE" w:rsidRPr="00AF6CFE">
        <w:rPr>
          <w:i/>
        </w:rPr>
        <w:t>rea</w:t>
      </w:r>
      <w:proofErr w:type="spellEnd"/>
      <w:r w:rsidR="00513DFE" w:rsidRPr="00AF6CFE">
        <w:t>, the trial judge decided that</w:t>
      </w:r>
      <w:r w:rsidRPr="00AF6CFE">
        <w:t xml:space="preserve"> subjective fault was required </w:t>
      </w:r>
      <w:r w:rsidR="00513DFE" w:rsidRPr="00AF6CFE">
        <w:t>and</w:t>
      </w:r>
      <w:r w:rsidRPr="00AF6CFE">
        <w:t xml:space="preserve"> </w:t>
      </w:r>
      <w:r w:rsidR="00513DFE" w:rsidRPr="00AF6CFE">
        <w:t>found that the Crown had not proven beyond a reasonable doubt that the accused</w:t>
      </w:r>
      <w:r w:rsidRPr="00AF6CFE">
        <w:t xml:space="preserve"> </w:t>
      </w:r>
      <w:r w:rsidR="00513DFE" w:rsidRPr="00AF6CFE">
        <w:t>intended to abandon her child</w:t>
      </w:r>
      <w:r w:rsidRPr="00AF6CFE">
        <w:t xml:space="preserve">.  </w:t>
      </w:r>
      <w:r w:rsidR="00513DFE" w:rsidRPr="00AF6CFE">
        <w:t>She had not known she was pregnant and truly believed she had delivered a dead child.  Her fear and confusion explained her subsequent behaviour.</w:t>
      </w:r>
      <w:r w:rsidRPr="00AF6CFE">
        <w:t xml:space="preserve">  </w:t>
      </w:r>
      <w:r w:rsidR="00513DFE" w:rsidRPr="00AF6CFE">
        <w:lastRenderedPageBreak/>
        <w:t>The trial judge accordingly found the accused not guilty and dismissed the charge</w:t>
      </w:r>
      <w:r w:rsidRPr="00AF6CFE">
        <w:t xml:space="preserve">.  </w:t>
      </w:r>
      <w:r w:rsidR="00513DFE" w:rsidRPr="00AF6CFE">
        <w:t>The majority of the Court of Appeal agreed with the trial judge that s.</w:t>
      </w:r>
      <w:r w:rsidR="00DB07F5" w:rsidRPr="00AF6CFE">
        <w:t> </w:t>
      </w:r>
      <w:r w:rsidR="00513DFE" w:rsidRPr="00AF6CFE">
        <w:t xml:space="preserve">218 of the </w:t>
      </w:r>
      <w:r w:rsidR="00513DFE" w:rsidRPr="00AF6CFE">
        <w:rPr>
          <w:i/>
        </w:rPr>
        <w:t>Criminal Code</w:t>
      </w:r>
      <w:r w:rsidR="00513DFE" w:rsidRPr="00AF6CFE">
        <w:t xml:space="preserve"> requires subjective fault.</w:t>
      </w:r>
    </w:p>
    <w:p w:rsidR="00513DFE" w:rsidRPr="00AF6CFE" w:rsidRDefault="00513DFE" w:rsidP="00513DFE">
      <w:pPr>
        <w:pStyle w:val="SCCNormalDoubleSpacing"/>
        <w:spacing w:after="480"/>
      </w:pPr>
      <w:r w:rsidRPr="00AF6CFE">
        <w:tab/>
      </w:r>
      <w:r w:rsidRPr="00080AF9">
        <w:rPr>
          <w:i/>
        </w:rPr>
        <w:t>Held</w:t>
      </w:r>
      <w:r w:rsidRPr="00665399">
        <w:t>:</w:t>
      </w:r>
      <w:r w:rsidRPr="00AF6CFE">
        <w:t xml:space="preserve">  The appeal should be dismissed.</w:t>
      </w:r>
    </w:p>
    <w:p w:rsidR="00513DFE" w:rsidRPr="00AF6CFE" w:rsidRDefault="00513DFE" w:rsidP="00513DFE">
      <w:pPr>
        <w:pStyle w:val="SCCNormalDoubleSpacing"/>
        <w:spacing w:after="480"/>
      </w:pPr>
      <w:r w:rsidRPr="00AF6CFE">
        <w:tab/>
      </w:r>
      <w:r w:rsidRPr="00AF6CFE">
        <w:rPr>
          <w:i/>
        </w:rPr>
        <w:t>Per</w:t>
      </w:r>
      <w:r w:rsidRPr="00AF6CFE">
        <w:t xml:space="preserve"> McLachlin C.J. and Fish, </w:t>
      </w:r>
      <w:proofErr w:type="spellStart"/>
      <w:r w:rsidRPr="00AF6CFE">
        <w:t>Abella</w:t>
      </w:r>
      <w:proofErr w:type="spellEnd"/>
      <w:r w:rsidRPr="00AF6CFE">
        <w:t xml:space="preserve">, </w:t>
      </w:r>
      <w:r w:rsidRPr="00A26A47">
        <w:t>Cromwell</w:t>
      </w:r>
      <w:r w:rsidR="00252635" w:rsidRPr="00AF6CFE">
        <w:t xml:space="preserve"> and </w:t>
      </w:r>
      <w:proofErr w:type="spellStart"/>
      <w:r w:rsidR="00252635" w:rsidRPr="00AF6CFE">
        <w:t>Karakatsanis</w:t>
      </w:r>
      <w:proofErr w:type="spellEnd"/>
      <w:r w:rsidR="00252635" w:rsidRPr="00AF6CFE">
        <w:t xml:space="preserve"> JJ.: </w:t>
      </w:r>
      <w:r w:rsidR="00DB07F5" w:rsidRPr="00AF6CFE">
        <w:t>The text of s. </w:t>
      </w:r>
      <w:r w:rsidRPr="00AF6CFE">
        <w:t xml:space="preserve">218 of the </w:t>
      </w:r>
      <w:r w:rsidRPr="00AF6CFE">
        <w:rPr>
          <w:i/>
        </w:rPr>
        <w:t>Criminal Code</w:t>
      </w:r>
      <w:r w:rsidRPr="00AF6CFE">
        <w:t xml:space="preserve"> does not expressly set out a fault requirement, but when read in light of its full context, it supports the conclusion that subjective fault is required.</w:t>
      </w:r>
      <w:r w:rsidR="00252635" w:rsidRPr="00AF6CFE">
        <w:t xml:space="preserve">  </w:t>
      </w:r>
      <w:r w:rsidRPr="00AF6CFE">
        <w:t>An important part of the contex</w:t>
      </w:r>
      <w:r w:rsidR="00DB07F5" w:rsidRPr="00AF6CFE">
        <w:t>t in which we must interpret s. </w:t>
      </w:r>
      <w:r w:rsidRPr="00AF6CFE">
        <w:t>218 is the presumption that Parliament intends crimes to ha</w:t>
      </w:r>
      <w:r w:rsidR="00252635" w:rsidRPr="00AF6CFE">
        <w:t xml:space="preserve">ve a subjective fault element.  </w:t>
      </w:r>
      <w:r w:rsidRPr="00AF6CFE">
        <w:t xml:space="preserve">There is nothing in the text or context of the child abandonment offence to suggest that Parliament intended to depart from requiring subjective fault. </w:t>
      </w:r>
      <w:r w:rsidR="00252635" w:rsidRPr="00AF6CFE">
        <w:t xml:space="preserve"> </w:t>
      </w:r>
      <w:r w:rsidRPr="00AF6CFE">
        <w:t>The text, scheme and purpose of the provision support</w:t>
      </w:r>
      <w:r w:rsidR="00252635" w:rsidRPr="00AF6CFE">
        <w:t xml:space="preserve"> </w:t>
      </w:r>
      <w:r w:rsidRPr="00AF6CFE">
        <w:t>this conclusion, and</w:t>
      </w:r>
      <w:r w:rsidR="00252635" w:rsidRPr="00AF6CFE">
        <w:t xml:space="preserve"> </w:t>
      </w:r>
      <w:r w:rsidRPr="00AF6CFE">
        <w:t>to the extent that Parliament’s intent is unclear, the presumption of subjective fault ought to have its full operation in this case.</w:t>
      </w:r>
      <w:r w:rsidR="00252635" w:rsidRPr="00AF6CFE">
        <w:t xml:space="preserve">  </w:t>
      </w:r>
      <w:r w:rsidRPr="00AF6CFE">
        <w:t>The legislative evolution of the child abandonment offence is, if anyt</w:t>
      </w:r>
      <w:r w:rsidR="00252635" w:rsidRPr="00AF6CFE">
        <w:t xml:space="preserve">hing, more supportive than not </w:t>
      </w:r>
      <w:r w:rsidRPr="00AF6CFE">
        <w:t>of this conclusion</w:t>
      </w:r>
      <w:r w:rsidR="00252635" w:rsidRPr="00AF6CFE">
        <w:t>.</w:t>
      </w:r>
    </w:p>
    <w:p w:rsidR="00513DFE" w:rsidRPr="00AF6CFE" w:rsidRDefault="00513DFE" w:rsidP="00513DFE">
      <w:pPr>
        <w:pStyle w:val="SCCNormalDoubleSpacing"/>
        <w:spacing w:after="480"/>
      </w:pPr>
      <w:r w:rsidRPr="00AF6CFE">
        <w:tab/>
        <w:t xml:space="preserve">There is no doubt that the purpose of the abandonment offence is the protection of children from </w:t>
      </w:r>
      <w:r w:rsidR="00252635" w:rsidRPr="00AF6CFE">
        <w:t xml:space="preserve">risk even when no harm occurs.  </w:t>
      </w:r>
      <w:r w:rsidRPr="00AF6CFE">
        <w:t>Viewed in the light of the broad scope of potential liability under s.</w:t>
      </w:r>
      <w:r w:rsidR="00DB07F5" w:rsidRPr="00AF6CFE">
        <w:t> </w:t>
      </w:r>
      <w:r w:rsidRPr="00AF6CFE">
        <w:t>218</w:t>
      </w:r>
      <w:r w:rsidR="00252635" w:rsidRPr="00AF6CFE">
        <w:t xml:space="preserve"> of the </w:t>
      </w:r>
      <w:r w:rsidRPr="00AF6CFE">
        <w:rPr>
          <w:i/>
        </w:rPr>
        <w:t>Criminal Code</w:t>
      </w:r>
      <w:r w:rsidRPr="00AF6CFE">
        <w:t xml:space="preserve">, the requirement for subjective fault serves an important purpose of ensuring that the reach of the criminal law does not extend too far.  While the conduct and people that </w:t>
      </w:r>
      <w:r w:rsidR="00DB07F5" w:rsidRPr="00AF6CFE">
        <w:lastRenderedPageBreak/>
        <w:t>fall within s. </w:t>
      </w:r>
      <w:r w:rsidRPr="00AF6CFE">
        <w:t>218 are broadly defined, the requirement for subjective fault ensures that only those with a guilty mind are punished.</w:t>
      </w:r>
    </w:p>
    <w:p w:rsidR="00513DFE" w:rsidRPr="00AF6CFE" w:rsidRDefault="00513DFE" w:rsidP="00513DFE">
      <w:pPr>
        <w:pStyle w:val="SCCNormalDoubleSpacing"/>
        <w:spacing w:after="480"/>
      </w:pPr>
      <w:r w:rsidRPr="00AF6CFE">
        <w:tab/>
        <w:t>The words “abandon”</w:t>
      </w:r>
      <w:r w:rsidR="00233AC5" w:rsidRPr="00AF6CFE">
        <w:t>,</w:t>
      </w:r>
      <w:r w:rsidRPr="00AF6CFE">
        <w:t xml:space="preserve"> “expose” and “wilful” all suggest a s</w:t>
      </w:r>
      <w:r w:rsidR="00252635" w:rsidRPr="00AF6CFE">
        <w:t xml:space="preserve">ubjective fault requirement.  </w:t>
      </w:r>
      <w:r w:rsidRPr="00AF6CFE">
        <w:t>The first two of these words involve more than just leaving a child alone or failing to take care of it: they denote awareness of the risk involved</w:t>
      </w:r>
      <w:r w:rsidR="00252635" w:rsidRPr="00AF6CFE">
        <w:t xml:space="preserve"> </w:t>
      </w:r>
      <w:r w:rsidR="00DB07F5" w:rsidRPr="00AF6CFE">
        <w:t>and, as defined in s. </w:t>
      </w:r>
      <w:r w:rsidRPr="00AF6CFE">
        <w:t xml:space="preserve">214 of the </w:t>
      </w:r>
      <w:r w:rsidRPr="00AF6CFE">
        <w:rPr>
          <w:i/>
        </w:rPr>
        <w:t>Criminal Code</w:t>
      </w:r>
      <w:r w:rsidRPr="00AF6CFE">
        <w:t>, they suggest a requirement for knowledge of the consequences flowing from the prohibited acts of abandonment or exposure.</w:t>
      </w:r>
      <w:r w:rsidR="00252635" w:rsidRPr="00AF6CFE">
        <w:t xml:space="preserve"> </w:t>
      </w:r>
      <w:r w:rsidRPr="00AF6CFE">
        <w:t xml:space="preserve"> As for the word “wilful”</w:t>
      </w:r>
      <w:r w:rsidR="004B0222" w:rsidRPr="00AF6CFE">
        <w:t>,</w:t>
      </w:r>
      <w:r w:rsidRPr="00AF6CFE">
        <w:t xml:space="preserve"> it is used only in the non</w:t>
      </w:r>
      <w:r w:rsidR="00DB07F5" w:rsidRPr="00AF6CFE">
        <w:noBreakHyphen/>
      </w:r>
      <w:proofErr w:type="spellStart"/>
      <w:r w:rsidRPr="00AF6CFE">
        <w:t>exhaustive</w:t>
      </w:r>
      <w:proofErr w:type="spellEnd"/>
      <w:r w:rsidRPr="00AF6CFE">
        <w:t xml:space="preserve"> definition of the words “abandon” and “expose” in relation to omissions,</w:t>
      </w:r>
      <w:r w:rsidR="00252635" w:rsidRPr="00AF6CFE">
        <w:t xml:space="preserve"> </w:t>
      </w:r>
      <w:r w:rsidRPr="00AF6CFE">
        <w:t>and a wilful omission is the antithesis of a crime involving a mere failure to act in accordance with some minimum level of behaviour.</w:t>
      </w:r>
      <w:r w:rsidR="00252635" w:rsidRPr="00AF6CFE">
        <w:t xml:space="preserve">  </w:t>
      </w:r>
      <w:r w:rsidRPr="00AF6CFE">
        <w:t>Likewise,</w:t>
      </w:r>
      <w:r w:rsidR="00252635" w:rsidRPr="00AF6CFE">
        <w:t xml:space="preserve"> </w:t>
      </w:r>
      <w:r w:rsidRPr="00AF6CFE">
        <w:t>the use of t</w:t>
      </w:r>
      <w:r w:rsidR="00252635" w:rsidRPr="00AF6CFE">
        <w:t xml:space="preserve">he word “likely” in </w:t>
      </w:r>
      <w:r w:rsidRPr="00AF6CFE">
        <w:t xml:space="preserve">both </w:t>
      </w:r>
      <w:r w:rsidR="00DB07F5" w:rsidRPr="00AF6CFE">
        <w:t>ss. </w:t>
      </w:r>
      <w:r w:rsidRPr="00AF6CFE">
        <w:t xml:space="preserve">214 and 218 does not suggest </w:t>
      </w:r>
      <w:r w:rsidR="00252635" w:rsidRPr="00AF6CFE">
        <w:t xml:space="preserve">an objective fault requirement </w:t>
      </w:r>
      <w:r w:rsidRPr="00AF6CFE">
        <w:t>given that it</w:t>
      </w:r>
      <w:r w:rsidR="00252635" w:rsidRPr="00AF6CFE">
        <w:t xml:space="preserve"> </w:t>
      </w:r>
      <w:r w:rsidRPr="00AF6CFE">
        <w:t>is simply aimed at criminalizing the creation of risk.</w:t>
      </w:r>
    </w:p>
    <w:p w:rsidR="00513DFE" w:rsidRPr="00AF6CFE" w:rsidRDefault="00513DFE" w:rsidP="00513DFE">
      <w:pPr>
        <w:pStyle w:val="SCCNormalDoubleSpacing"/>
        <w:spacing w:after="480"/>
      </w:pPr>
      <w:r w:rsidRPr="00AF6CFE">
        <w:tab/>
        <w:t>Conversely,</w:t>
      </w:r>
      <w:r w:rsidR="00252635" w:rsidRPr="00AF6CFE">
        <w:t xml:space="preserve"> </w:t>
      </w:r>
      <w:r w:rsidRPr="00AF6CFE">
        <w:t xml:space="preserve">what is absent from the text of </w:t>
      </w:r>
      <w:r w:rsidR="00340773" w:rsidRPr="00AF6CFE">
        <w:t>s. </w:t>
      </w:r>
      <w:r w:rsidRPr="00AF6CFE">
        <w:t>218</w:t>
      </w:r>
      <w:r w:rsidR="00252635" w:rsidRPr="00AF6CFE">
        <w:t xml:space="preserve"> of the </w:t>
      </w:r>
      <w:r w:rsidRPr="00AF6CFE">
        <w:rPr>
          <w:i/>
        </w:rPr>
        <w:t>Criminal Code</w:t>
      </w:r>
      <w:r w:rsidRPr="00AF6CFE">
        <w:t xml:space="preserve"> and the broader scheme in which it appears strongly suggest that subjective fault is required.</w:t>
      </w:r>
      <w:r w:rsidR="00252635" w:rsidRPr="00AF6CFE">
        <w:t xml:space="preserve">  </w:t>
      </w:r>
      <w:r w:rsidRPr="00AF6CFE">
        <w:t>The text of the child abandonment provision does not contain any of the language typically employed by Parliament when it intends to create an offence of objective fault.</w:t>
      </w:r>
      <w:r w:rsidR="00252635" w:rsidRPr="00AF6CFE">
        <w:t xml:space="preserve">  </w:t>
      </w:r>
      <w:r w:rsidRPr="00AF6CFE">
        <w:t xml:space="preserve">The prohibition applies to everyone, not just to a particular group engaged in a regulated activity or standing in a particular, defined relationship with the alleged victim.  Nothing in the text suggests an intention to impose a minimum and uniform standard of care.  There are no references in the text to “dangerous”, </w:t>
      </w:r>
      <w:r w:rsidRPr="00AF6CFE">
        <w:lastRenderedPageBreak/>
        <w:t>“careless” or “reasonable” conduct or any requirement to take “reasonable precautions”.  There is no predicate offence and no actual harm is required by the provision, and it does not create, define or impose a duty to do anything other than in the sense that all criminal offences could be considered to create a duty not to commit them.</w:t>
      </w:r>
      <w:r w:rsidR="00252635" w:rsidRPr="00AF6CFE">
        <w:t xml:space="preserve">  </w:t>
      </w:r>
      <w:r w:rsidRPr="00AF6CFE">
        <w:t>While failure to perform a duty imposed by law on persons in particular relationships is the essence of the necessaries of life</w:t>
      </w:r>
      <w:r w:rsidR="00DB07F5" w:rsidRPr="00AF6CFE">
        <w:t xml:space="preserve"> offence created by s. </w:t>
      </w:r>
      <w:r w:rsidRPr="00AF6CFE">
        <w:t>215, this is not at all the case with respect to the chi</w:t>
      </w:r>
      <w:r w:rsidR="00DB07F5" w:rsidRPr="00AF6CFE">
        <w:t>ld abandonment offence under s. </w:t>
      </w:r>
      <w:r w:rsidRPr="00AF6CFE">
        <w:t>218.</w:t>
      </w:r>
    </w:p>
    <w:p w:rsidR="00513DFE" w:rsidRPr="00AF6CFE" w:rsidRDefault="00513DFE" w:rsidP="00340773">
      <w:pPr>
        <w:pStyle w:val="SCCNormalDoubleSpacing"/>
        <w:spacing w:after="480"/>
      </w:pPr>
      <w:r w:rsidRPr="00AF6CFE">
        <w:tab/>
        <w:t xml:space="preserve">The text, context and purpose of </w:t>
      </w:r>
      <w:r w:rsidR="00DB07F5" w:rsidRPr="00AF6CFE">
        <w:t>s. </w:t>
      </w:r>
      <w:r w:rsidRPr="00AF6CFE">
        <w:t xml:space="preserve">218 of the </w:t>
      </w:r>
      <w:r w:rsidR="00A26A47" w:rsidRPr="00A26A47">
        <w:rPr>
          <w:i/>
        </w:rPr>
        <w:t xml:space="preserve">Criminal </w:t>
      </w:r>
      <w:r w:rsidRPr="00AF6CFE">
        <w:rPr>
          <w:i/>
        </w:rPr>
        <w:t>Code</w:t>
      </w:r>
      <w:r w:rsidRPr="00AF6CFE">
        <w:t xml:space="preserve"> show that subjective fault is required. It follows that the trial judge did not err in acquitting the respondent on the basis that this subjective fault requirement had not been proved. </w:t>
      </w:r>
      <w:r w:rsidR="00DB07F5" w:rsidRPr="00AF6CFE">
        <w:t xml:space="preserve"> </w:t>
      </w:r>
      <w:r w:rsidRPr="00AF6CFE">
        <w:t>The Court of Appeal was correct to uphold the acquittal.</w:t>
      </w:r>
    </w:p>
    <w:p w:rsidR="00513DFE" w:rsidRPr="00AF6CFE" w:rsidRDefault="00513DFE" w:rsidP="00513DFE">
      <w:pPr>
        <w:pStyle w:val="SCCNormalDoubleSpacing"/>
        <w:spacing w:after="480"/>
      </w:pPr>
      <w:r w:rsidRPr="00AF6CFE">
        <w:tab/>
      </w:r>
      <w:r w:rsidRPr="00AF6CFE">
        <w:rPr>
          <w:i/>
        </w:rPr>
        <w:t>Per</w:t>
      </w:r>
      <w:r w:rsidRPr="00AF6CFE">
        <w:t xml:space="preserve"> Rothstein and </w:t>
      </w:r>
      <w:proofErr w:type="spellStart"/>
      <w:r w:rsidRPr="00A26A47">
        <w:t>Moldaver</w:t>
      </w:r>
      <w:proofErr w:type="spellEnd"/>
      <w:r w:rsidR="00252635" w:rsidRPr="00AF6CFE">
        <w:t> JJ.: Section</w:t>
      </w:r>
      <w:r w:rsidR="00DB07F5" w:rsidRPr="00AF6CFE">
        <w:t> </w:t>
      </w:r>
      <w:r w:rsidRPr="00AF6CFE">
        <w:t>218 is child protection legislation.  It targets three limited classes of people faced with a situation where a child under 10 is or is likely to be at risk of death or permanent injury.  A common sense approach dictates that the offence is duty</w:t>
      </w:r>
      <w:r w:rsidR="00DB07F5" w:rsidRPr="00AF6CFE">
        <w:noBreakHyphen/>
      </w:r>
      <w:proofErr w:type="spellStart"/>
      <w:r w:rsidRPr="00AF6CFE">
        <w:t>based</w:t>
      </w:r>
      <w:proofErr w:type="spellEnd"/>
      <w:r w:rsidRPr="00AF6CFE">
        <w:t xml:space="preserve"> and that penal negligence is the level of fault required to establish guilt as regards the proscribed consequences.  Further support for this view is found in a review of the provision’s language, its placement in the </w:t>
      </w:r>
      <w:r w:rsidRPr="00AF6CFE">
        <w:rPr>
          <w:i/>
        </w:rPr>
        <w:t>Criminal Code</w:t>
      </w:r>
      <w:r w:rsidRPr="00AF6CFE">
        <w:t>, relevant scholarly opinion, its legislative evolution and history and the gravity and social stigma associated with the offence.</w:t>
      </w:r>
    </w:p>
    <w:p w:rsidR="00513DFE" w:rsidRPr="00AF6CFE" w:rsidRDefault="00252635" w:rsidP="00513DFE">
      <w:pPr>
        <w:pStyle w:val="SCCNormalDoubleSpacing"/>
        <w:spacing w:after="480"/>
      </w:pPr>
      <w:r w:rsidRPr="00AF6CFE">
        <w:tab/>
      </w:r>
      <w:r w:rsidR="00513DFE" w:rsidRPr="00AF6CFE">
        <w:t xml:space="preserve">Once it </w:t>
      </w:r>
      <w:r w:rsidR="00DB07F5" w:rsidRPr="00AF6CFE">
        <w:t>is accepted that in enacting s. </w:t>
      </w:r>
      <w:r w:rsidR="00513DFE" w:rsidRPr="00AF6CFE">
        <w:t xml:space="preserve">218 Parliament intended to guard against dangerous conduct that any reasonable person would foresee is likely to </w:t>
      </w:r>
      <w:r w:rsidR="00513DFE" w:rsidRPr="00AF6CFE">
        <w:lastRenderedPageBreak/>
        <w:t xml:space="preserve">endanger a child’s life or </w:t>
      </w:r>
      <w:r w:rsidRPr="00AF6CFE">
        <w:t>expose it to permanent injury, common sense suggests that Parliament would not</w:t>
      </w:r>
      <w:r w:rsidR="00513DFE" w:rsidRPr="00AF6CFE">
        <w:t xml:space="preserve"> provide accused persons with a host of defences based on their individual characteristics.  Doing so would effectively defeat the provision’s purpose of imposing a societal minimum standard of conduct, since crimes of subjective fault require an assessment of personal characteristics to the extent that they tend to prove or disprove an element of the offence.</w:t>
      </w:r>
    </w:p>
    <w:p w:rsidR="00513DFE" w:rsidRPr="00AF6CFE" w:rsidRDefault="00252635" w:rsidP="00513DFE">
      <w:pPr>
        <w:pStyle w:val="SCCNormalDoubleSpacing"/>
        <w:spacing w:after="480"/>
      </w:pPr>
      <w:r w:rsidRPr="00AF6CFE">
        <w:tab/>
      </w:r>
      <w:r w:rsidR="00DB07F5" w:rsidRPr="00AF6CFE">
        <w:t>The recognition that s. </w:t>
      </w:r>
      <w:r w:rsidR="00513DFE" w:rsidRPr="00AF6CFE">
        <w:t>218 sweeps within its ambit persons who are already duty</w:t>
      </w:r>
      <w:r w:rsidR="00DB07F5" w:rsidRPr="00AF6CFE">
        <w:noBreakHyphen/>
      </w:r>
      <w:proofErr w:type="spellStart"/>
      <w:r w:rsidR="00513DFE" w:rsidRPr="00AF6CFE">
        <w:t>bound</w:t>
      </w:r>
      <w:proofErr w:type="spellEnd"/>
      <w:r w:rsidR="00513DFE" w:rsidRPr="00AF6CFE">
        <w:t xml:space="preserve"> to protect a child leads to the central difficulty with holding that s. 218 is, in its entirety, a subjective </w:t>
      </w:r>
      <w:proofErr w:type="spellStart"/>
      <w:r w:rsidR="00513DFE" w:rsidRPr="00AF6CFE">
        <w:rPr>
          <w:i/>
        </w:rPr>
        <w:t>mens</w:t>
      </w:r>
      <w:proofErr w:type="spellEnd"/>
      <w:r w:rsidR="00513DFE" w:rsidRPr="00AF6CFE">
        <w:rPr>
          <w:i/>
        </w:rPr>
        <w:t xml:space="preserve"> </w:t>
      </w:r>
      <w:proofErr w:type="spellStart"/>
      <w:r w:rsidR="00513DFE" w:rsidRPr="00AF6CFE">
        <w:rPr>
          <w:i/>
        </w:rPr>
        <w:t>rea</w:t>
      </w:r>
      <w:proofErr w:type="spellEnd"/>
      <w:r w:rsidR="00513DFE" w:rsidRPr="00AF6CFE">
        <w:rPr>
          <w:i/>
        </w:rPr>
        <w:t xml:space="preserve"> </w:t>
      </w:r>
      <w:r w:rsidRPr="00AF6CFE">
        <w:t>offence.  I</w:t>
      </w:r>
      <w:r w:rsidR="00513DFE" w:rsidRPr="00AF6CFE">
        <w:t>f the great bulk of people to whom the provision applies have a pre</w:t>
      </w:r>
      <w:r w:rsidR="00DB07F5" w:rsidRPr="00AF6CFE">
        <w:noBreakHyphen/>
      </w:r>
      <w:r w:rsidR="00513DFE" w:rsidRPr="00AF6CFE">
        <w:t xml:space="preserve">existing and ongoing legal duty to take charge of children who fall below the age of 10, it hardly seems reasonable that they should be judged against a subjective </w:t>
      </w:r>
      <w:proofErr w:type="spellStart"/>
      <w:r w:rsidR="00513DFE" w:rsidRPr="00AF6CFE">
        <w:rPr>
          <w:i/>
        </w:rPr>
        <w:t>mens</w:t>
      </w:r>
      <w:proofErr w:type="spellEnd"/>
      <w:r w:rsidR="00513DFE" w:rsidRPr="00AF6CFE">
        <w:rPr>
          <w:i/>
        </w:rPr>
        <w:t xml:space="preserve"> </w:t>
      </w:r>
      <w:proofErr w:type="spellStart"/>
      <w:r w:rsidR="00513DFE" w:rsidRPr="00AF6CFE">
        <w:rPr>
          <w:i/>
        </w:rPr>
        <w:t>rea</w:t>
      </w:r>
      <w:proofErr w:type="spellEnd"/>
      <w:r w:rsidR="00513DFE" w:rsidRPr="00AF6CFE">
        <w:t xml:space="preserve"> standard when the very same people who run afoul of the duty</w:t>
      </w:r>
      <w:r w:rsidR="00DB07F5" w:rsidRPr="00AF6CFE">
        <w:noBreakHyphen/>
      </w:r>
      <w:proofErr w:type="spellStart"/>
      <w:r w:rsidR="00513DFE" w:rsidRPr="00AF6CFE">
        <w:t>bas</w:t>
      </w:r>
      <w:r w:rsidR="00DB07F5" w:rsidRPr="00AF6CFE">
        <w:t>ed</w:t>
      </w:r>
      <w:proofErr w:type="spellEnd"/>
      <w:r w:rsidR="00DB07F5" w:rsidRPr="00AF6CFE">
        <w:t xml:space="preserve"> provision next door (s. </w:t>
      </w:r>
      <w:r w:rsidRPr="00AF6CFE">
        <w:t xml:space="preserve">215 </w:t>
      </w:r>
      <w:r w:rsidR="00513DFE" w:rsidRPr="00AF6CFE">
        <w:t>(</w:t>
      </w:r>
      <w:r w:rsidRPr="00AF6CFE">
        <w:t>failure to provide necessaries)</w:t>
      </w:r>
      <w:r w:rsidR="00513DFE" w:rsidRPr="00AF6CFE">
        <w:t xml:space="preserve">) are judged on a penal negligence standard in light of this Court’s decision in </w:t>
      </w:r>
      <w:r w:rsidR="00513DFE" w:rsidRPr="00AF6CFE">
        <w:rPr>
          <w:i/>
        </w:rPr>
        <w:t xml:space="preserve">R. v. </w:t>
      </w:r>
      <w:proofErr w:type="spellStart"/>
      <w:r w:rsidR="00513DFE" w:rsidRPr="00AF6CFE">
        <w:rPr>
          <w:i/>
        </w:rPr>
        <w:t>Naglik</w:t>
      </w:r>
      <w:proofErr w:type="spellEnd"/>
      <w:r w:rsidR="00513DFE" w:rsidRPr="00AF6CFE">
        <w:t>, [1993] 3 S.C.R. 122.</w:t>
      </w:r>
      <w:r w:rsidRPr="00AF6CFE">
        <w:t xml:space="preserve">  T</w:t>
      </w:r>
      <w:r w:rsidR="00513DFE" w:rsidRPr="00AF6CFE">
        <w:t>he result would be a double standard — an objective standard under s. 215 and</w:t>
      </w:r>
      <w:r w:rsidR="00DB07F5" w:rsidRPr="00AF6CFE">
        <w:t xml:space="preserve"> a subjective standard under s. </w:t>
      </w:r>
      <w:r w:rsidR="00513DFE" w:rsidRPr="00AF6CFE">
        <w:t>218 — for provisions that serve similar, if not identical, purposes.</w:t>
      </w:r>
    </w:p>
    <w:p w:rsidR="00513DFE" w:rsidRPr="00AF6CFE" w:rsidRDefault="00DB07F5" w:rsidP="00513DFE">
      <w:pPr>
        <w:pStyle w:val="SCCNormalDoubleSpacing"/>
        <w:spacing w:after="480"/>
      </w:pPr>
      <w:r w:rsidRPr="00AF6CFE">
        <w:tab/>
        <w:t>Section </w:t>
      </w:r>
      <w:r w:rsidR="00252635" w:rsidRPr="00AF6CFE">
        <w:t xml:space="preserve">218 can </w:t>
      </w:r>
      <w:r w:rsidR="00513DFE" w:rsidRPr="00AF6CFE">
        <w:t>be read purposefully and harmoniously, such that it applies only to persons who are cloaked with a duty, whether pre</w:t>
      </w:r>
      <w:r w:rsidRPr="00AF6CFE">
        <w:noBreakHyphen/>
      </w:r>
      <w:r w:rsidR="00513DFE" w:rsidRPr="00AF6CFE">
        <w:t>existing and ongoing or situational, to protect a particular child under the age of 10 from death or permanent injury, all of whom</w:t>
      </w:r>
      <w:r w:rsidR="00513DFE" w:rsidRPr="00AF6CFE">
        <w:rPr>
          <w:i/>
        </w:rPr>
        <w:t xml:space="preserve"> </w:t>
      </w:r>
      <w:r w:rsidR="00513DFE" w:rsidRPr="00AF6CFE">
        <w:t xml:space="preserve">are properly subject to an objective standard with </w:t>
      </w:r>
      <w:r w:rsidR="00513DFE" w:rsidRPr="00AF6CFE">
        <w:lastRenderedPageBreak/>
        <w:t>respect to the conseq</w:t>
      </w:r>
      <w:r w:rsidRPr="00AF6CFE">
        <w:t>uences element of s. </w:t>
      </w:r>
      <w:r w:rsidR="00252635" w:rsidRPr="00AF6CFE">
        <w:t xml:space="preserve">218.  </w:t>
      </w:r>
      <w:r w:rsidRPr="00AF6CFE">
        <w:t>The s. </w:t>
      </w:r>
      <w:r w:rsidR="00513DFE" w:rsidRPr="00AF6CFE">
        <w:t>214 definition should be restricted in scope as applying only to persons falling into the following three categories: (1)</w:t>
      </w:r>
      <w:r w:rsidRPr="00AF6CFE">
        <w:t> </w:t>
      </w:r>
      <w:r w:rsidR="00513DFE" w:rsidRPr="00AF6CFE">
        <w:t>those with a pre</w:t>
      </w:r>
      <w:r w:rsidRPr="00AF6CFE">
        <w:noBreakHyphen/>
      </w:r>
      <w:r w:rsidR="00513DFE" w:rsidRPr="00AF6CFE">
        <w:t>existing and ongoing legal duty to the child; (2)</w:t>
      </w:r>
      <w:r w:rsidRPr="00AF6CFE">
        <w:t> </w:t>
      </w:r>
      <w:r w:rsidR="00513DFE" w:rsidRPr="00AF6CFE">
        <w:t>those who come to the aid of the child who is or is likely to be at risk of death or permanent injury, and; (3)</w:t>
      </w:r>
      <w:r w:rsidRPr="00AF6CFE">
        <w:t> </w:t>
      </w:r>
      <w:r w:rsidR="00513DFE" w:rsidRPr="00AF6CFE">
        <w:t>those who actually place th</w:t>
      </w:r>
      <w:r w:rsidR="006B7A03" w:rsidRPr="00AF6CFE">
        <w:t xml:space="preserve">e child in that situation.  </w:t>
      </w:r>
      <w:r w:rsidR="00513DFE" w:rsidRPr="00AF6CFE">
        <w:t>Interpreting the</w:t>
      </w:r>
      <w:r w:rsidRPr="00AF6CFE">
        <w:t xml:space="preserve"> scope of s. </w:t>
      </w:r>
      <w:r w:rsidR="006B7A03" w:rsidRPr="00AF6CFE">
        <w:t xml:space="preserve">218 in this way </w:t>
      </w:r>
      <w:r w:rsidR="00513DFE" w:rsidRPr="00AF6CFE">
        <w:t>goes a long way toward addressing concerns about the broad scope of potential liability under the provision.</w:t>
      </w:r>
    </w:p>
    <w:p w:rsidR="00513DFE" w:rsidRPr="00AF6CFE" w:rsidRDefault="006B7A03" w:rsidP="00513DFE">
      <w:pPr>
        <w:pStyle w:val="SCCNormalDoubleSpacing"/>
        <w:spacing w:after="480"/>
      </w:pPr>
      <w:r w:rsidRPr="00AF6CFE">
        <w:tab/>
        <w:t>Section</w:t>
      </w:r>
      <w:r w:rsidR="00340773" w:rsidRPr="00AF6CFE">
        <w:t> </w:t>
      </w:r>
      <w:r w:rsidR="00513DFE" w:rsidRPr="00AF6CFE">
        <w:t>218 finds its pl</w:t>
      </w:r>
      <w:r w:rsidRPr="00AF6CFE">
        <w:t xml:space="preserve">ace in Part VIII of the </w:t>
      </w:r>
      <w:r w:rsidR="00513DFE" w:rsidRPr="00AF6CFE">
        <w:rPr>
          <w:i/>
        </w:rPr>
        <w:t>Criminal Code</w:t>
      </w:r>
      <w:r w:rsidR="00513DFE" w:rsidRPr="00AF6CFE">
        <w:t xml:space="preserve"> under the heading “Duties Tending to Preservation of Life”.  It is one of two offences located under that headi</w:t>
      </w:r>
      <w:r w:rsidRPr="00AF6CFE">
        <w:t>ng — the other being s.</w:t>
      </w:r>
      <w:r w:rsidR="00340773" w:rsidRPr="00AF6CFE">
        <w:t> </w:t>
      </w:r>
      <w:r w:rsidRPr="00AF6CFE">
        <w:t>215.  T</w:t>
      </w:r>
      <w:r w:rsidR="00513DFE" w:rsidRPr="00AF6CFE">
        <w:t>his provides some indication t</w:t>
      </w:r>
      <w:r w:rsidR="00340773" w:rsidRPr="00AF6CFE">
        <w:t>hat Parliament intended that s. </w:t>
      </w:r>
      <w:r w:rsidR="00513DFE" w:rsidRPr="00AF6CFE">
        <w:t>218 be construed</w:t>
      </w:r>
      <w:r w:rsidRPr="00AF6CFE">
        <w:t xml:space="preserve"> as a duty</w:t>
      </w:r>
      <w:r w:rsidR="00DB07F5" w:rsidRPr="00AF6CFE">
        <w:noBreakHyphen/>
      </w:r>
      <w:proofErr w:type="spellStart"/>
      <w:r w:rsidRPr="00AF6CFE">
        <w:t>based</w:t>
      </w:r>
      <w:proofErr w:type="spellEnd"/>
      <w:r w:rsidRPr="00AF6CFE">
        <w:t xml:space="preserve"> offence.  I</w:t>
      </w:r>
      <w:r w:rsidR="00513DFE" w:rsidRPr="00AF6CFE">
        <w:t>t seems anomalous that Parliament would insert a non</w:t>
      </w:r>
      <w:r w:rsidR="00DB07F5" w:rsidRPr="00AF6CFE">
        <w:noBreakHyphen/>
      </w:r>
      <w:proofErr w:type="spellStart"/>
      <w:r w:rsidR="00513DFE" w:rsidRPr="00AF6CFE">
        <w:t>duty</w:t>
      </w:r>
      <w:proofErr w:type="spellEnd"/>
      <w:r w:rsidR="00DB07F5" w:rsidRPr="00AF6CFE">
        <w:noBreakHyphen/>
      </w:r>
      <w:proofErr w:type="spellStart"/>
      <w:r w:rsidR="00513DFE" w:rsidRPr="00AF6CFE">
        <w:t>based</w:t>
      </w:r>
      <w:proofErr w:type="spellEnd"/>
      <w:r w:rsidR="00513DFE" w:rsidRPr="00AF6CFE">
        <w:t xml:space="preserve"> offence into a thicket of duty</w:t>
      </w:r>
      <w:r w:rsidR="00DB07F5" w:rsidRPr="00AF6CFE">
        <w:noBreakHyphen/>
      </w:r>
      <w:proofErr w:type="spellStart"/>
      <w:r w:rsidR="00513DFE" w:rsidRPr="00AF6CFE">
        <w:t>related</w:t>
      </w:r>
      <w:proofErr w:type="spellEnd"/>
      <w:r w:rsidR="00513DFE" w:rsidRPr="00AF6CFE">
        <w:t xml:space="preserve"> provisions.  The scenario becomes even more remarkable when one appreciates that s. 218 is concerned with inherently dangerous conduct that places or is likely to place the lives and safety of helpless young children at risk. </w:t>
      </w:r>
      <w:r w:rsidRPr="00AF6CFE">
        <w:t xml:space="preserve"> </w:t>
      </w:r>
      <w:r w:rsidR="00513DFE" w:rsidRPr="00AF6CFE">
        <w:t xml:space="preserve">This is the </w:t>
      </w:r>
      <w:r w:rsidRPr="00AF6CFE">
        <w:t xml:space="preserve">very type of situation which </w:t>
      </w:r>
      <w:r w:rsidR="00513DFE" w:rsidRPr="00AF6CFE">
        <w:t>requires a societal minimum standard of conduct and calls out for a standard of fault based on objec</w:t>
      </w:r>
      <w:r w:rsidRPr="00AF6CFE">
        <w:t xml:space="preserve">tive </w:t>
      </w:r>
      <w:proofErr w:type="spellStart"/>
      <w:r w:rsidRPr="00AF6CFE">
        <w:t>foreseeability</w:t>
      </w:r>
      <w:proofErr w:type="spellEnd"/>
      <w:r w:rsidRPr="00AF6CFE">
        <w:t>.  Likewise,</w:t>
      </w:r>
      <w:r w:rsidR="00340773" w:rsidRPr="00AF6CFE">
        <w:t xml:space="preserve"> the plain language of s. </w:t>
      </w:r>
      <w:r w:rsidR="00513DFE" w:rsidRPr="00AF6CFE">
        <w:t>218 — supported by the place of situational duties in Canadian criminal law, the offence’s placement among other duty</w:t>
      </w:r>
      <w:r w:rsidR="00DB07F5" w:rsidRPr="00AF6CFE">
        <w:noBreakHyphen/>
      </w:r>
      <w:proofErr w:type="spellStart"/>
      <w:r w:rsidR="00513DFE" w:rsidRPr="00AF6CFE">
        <w:t>based</w:t>
      </w:r>
      <w:proofErr w:type="spellEnd"/>
      <w:r w:rsidR="00513DFE" w:rsidRPr="00AF6CFE">
        <w:t xml:space="preserve"> provisions in the </w:t>
      </w:r>
      <w:r w:rsidRPr="00AF6CFE">
        <w:rPr>
          <w:i/>
        </w:rPr>
        <w:t xml:space="preserve">Criminal </w:t>
      </w:r>
      <w:r w:rsidR="00513DFE" w:rsidRPr="00AF6CFE">
        <w:rPr>
          <w:i/>
        </w:rPr>
        <w:t>Code</w:t>
      </w:r>
      <w:r w:rsidR="00513DFE" w:rsidRPr="00AF6CFE">
        <w:t xml:space="preserve"> and the scholarship on s.</w:t>
      </w:r>
      <w:r w:rsidR="00340773" w:rsidRPr="00AF6CFE">
        <w:t> </w:t>
      </w:r>
      <w:r w:rsidR="00513DFE" w:rsidRPr="00AF6CFE">
        <w:t>218 — leads to the conclusion that the offence of child abandonment is duty</w:t>
      </w:r>
      <w:r w:rsidR="00DB07F5" w:rsidRPr="00AF6CFE">
        <w:noBreakHyphen/>
      </w:r>
      <w:proofErr w:type="spellStart"/>
      <w:r w:rsidR="00513DFE" w:rsidRPr="00AF6CFE">
        <w:t>based</w:t>
      </w:r>
      <w:proofErr w:type="spellEnd"/>
      <w:r w:rsidR="00513DFE" w:rsidRPr="00AF6CFE">
        <w:t>.</w:t>
      </w:r>
    </w:p>
    <w:p w:rsidR="00513DFE" w:rsidRPr="00AF6CFE" w:rsidRDefault="00340773" w:rsidP="00513DFE">
      <w:pPr>
        <w:pStyle w:val="SCCNormalDoubleSpacing"/>
        <w:spacing w:after="480"/>
      </w:pPr>
      <w:r w:rsidRPr="00AF6CFE">
        <w:lastRenderedPageBreak/>
        <w:tab/>
        <w:t>The legislative history of s. </w:t>
      </w:r>
      <w:r w:rsidR="00513DFE" w:rsidRPr="00AF6CFE">
        <w:t>218 further supports the conclusio</w:t>
      </w:r>
      <w:r w:rsidRPr="00AF6CFE">
        <w:t>n that the fault element for s. </w:t>
      </w:r>
      <w:r w:rsidR="00513DFE" w:rsidRPr="00AF6CFE">
        <w:t>218 is penal negligence.  The provision has never included words of subjective intention, as confirmed by the early English interpretation of the offence.  Furthermore, neither the social stigma associated with it nor the gravity of the offence of child abandonment require it to be treated different</w:t>
      </w:r>
      <w:r w:rsidRPr="00AF6CFE">
        <w:t>ly than its sister provision s. </w:t>
      </w:r>
      <w:r w:rsidR="00513DFE" w:rsidRPr="00AF6CFE">
        <w:t>215 (failure to provide necessaries), where penal negligence was found to be the requisite fault element.</w:t>
      </w:r>
    </w:p>
    <w:p w:rsidR="00513DFE" w:rsidRPr="00AF6CFE" w:rsidRDefault="00513DFE" w:rsidP="00340773">
      <w:pPr>
        <w:pStyle w:val="SCCNormalDoubleSpacing"/>
        <w:spacing w:after="480"/>
      </w:pPr>
      <w:r w:rsidRPr="00AF6CFE">
        <w:tab/>
        <w:t xml:space="preserve">Under a penal negligence standard, a mistake of fact that is both honest and reasonable affords a complete defence.  Thus, an objective </w:t>
      </w:r>
      <w:proofErr w:type="spellStart"/>
      <w:r w:rsidRPr="00AF6CFE">
        <w:rPr>
          <w:i/>
        </w:rPr>
        <w:t>mens</w:t>
      </w:r>
      <w:proofErr w:type="spellEnd"/>
      <w:r w:rsidRPr="00AF6CFE">
        <w:rPr>
          <w:i/>
        </w:rPr>
        <w:t xml:space="preserve"> </w:t>
      </w:r>
      <w:proofErr w:type="spellStart"/>
      <w:r w:rsidRPr="00AF6CFE">
        <w:rPr>
          <w:i/>
        </w:rPr>
        <w:t>rea</w:t>
      </w:r>
      <w:proofErr w:type="spellEnd"/>
      <w:r w:rsidRPr="00AF6CFE">
        <w:t xml:space="preserve"> standard does not punish the morally blamele</w:t>
      </w:r>
      <w:r w:rsidR="00DB07F5" w:rsidRPr="00AF6CFE">
        <w:t>ss. </w:t>
      </w:r>
      <w:r w:rsidRPr="00AF6CFE">
        <w:t xml:space="preserve"> In </w:t>
      </w:r>
      <w:r w:rsidR="006B7A03" w:rsidRPr="00AF6CFE">
        <w:t>the present</w:t>
      </w:r>
      <w:r w:rsidRPr="00AF6CFE">
        <w:t xml:space="preserve"> circumstances, the trial judge found that the respondent honestly believed that her child was dead at birth and that this belief was objectively reasonable.  As such, she was entitled to be acquitted based on the defence of honest and reasonable mistake of fact. </w:t>
      </w:r>
    </w:p>
    <w:p w:rsidR="007E1C47" w:rsidRPr="00AF6CFE" w:rsidRDefault="002E6705" w:rsidP="00340773">
      <w:pPr>
        <w:pStyle w:val="SCCNormalDoubleSpacing"/>
        <w:keepNext/>
        <w:spacing w:after="480"/>
        <w:rPr>
          <w:b/>
        </w:rPr>
      </w:pPr>
      <w:r w:rsidRPr="00AF6CFE">
        <w:rPr>
          <w:b/>
        </w:rPr>
        <w:t>Cases Cited</w:t>
      </w:r>
    </w:p>
    <w:p w:rsidR="00A149DF" w:rsidRPr="00AF6CFE" w:rsidRDefault="0009225F" w:rsidP="00340773">
      <w:pPr>
        <w:pStyle w:val="SCCNormalDoubleSpacing"/>
        <w:keepNext/>
        <w:spacing w:after="720" w:line="240" w:lineRule="auto"/>
      </w:pPr>
      <w:proofErr w:type="gramStart"/>
      <w:r w:rsidRPr="00AF6CFE">
        <w:t>By Cromwell </w:t>
      </w:r>
      <w:r w:rsidR="00484E5E" w:rsidRPr="00AF6CFE">
        <w:t>J.</w:t>
      </w:r>
      <w:proofErr w:type="gramEnd"/>
    </w:p>
    <w:p w:rsidR="004E2C26" w:rsidRPr="00AF6CFE" w:rsidRDefault="002E6705" w:rsidP="0009225F">
      <w:pPr>
        <w:pStyle w:val="SCCNormalDoubleSpacing"/>
        <w:spacing w:after="480"/>
      </w:pPr>
      <w:r w:rsidRPr="00AF6CFE">
        <w:tab/>
      </w:r>
      <w:r w:rsidR="001556AB" w:rsidRPr="001556AB">
        <w:rPr>
          <w:b/>
        </w:rPr>
        <w:t>Considered:</w:t>
      </w:r>
      <w:r w:rsidR="001556AB">
        <w:t xml:space="preserve">  </w:t>
      </w:r>
      <w:r w:rsidR="001556AB" w:rsidRPr="00AF6CFE">
        <w:rPr>
          <w:i/>
        </w:rPr>
        <w:t xml:space="preserve">R. v. </w:t>
      </w:r>
      <w:proofErr w:type="spellStart"/>
      <w:r w:rsidR="001556AB" w:rsidRPr="00AF6CFE">
        <w:rPr>
          <w:i/>
        </w:rPr>
        <w:t>Naglik</w:t>
      </w:r>
      <w:proofErr w:type="spellEnd"/>
      <w:r w:rsidR="001556AB" w:rsidRPr="00AF6CFE">
        <w:t xml:space="preserve">, [1993] 3 S.C.R. 122; </w:t>
      </w:r>
      <w:r w:rsidR="001556AB" w:rsidRPr="001556AB">
        <w:rPr>
          <w:b/>
        </w:rPr>
        <w:t>r</w:t>
      </w:r>
      <w:r w:rsidRPr="00AF6CFE">
        <w:rPr>
          <w:b/>
        </w:rPr>
        <w:t>eferred to:</w:t>
      </w:r>
      <w:r w:rsidR="00BD0E9E" w:rsidRPr="00AF6CFE">
        <w:t xml:space="preserve"> </w:t>
      </w:r>
      <w:r w:rsidR="00102665" w:rsidRPr="00AF6CFE">
        <w:t xml:space="preserve"> </w:t>
      </w:r>
      <w:r w:rsidR="000849C8" w:rsidRPr="00AF6CFE">
        <w:rPr>
          <w:i/>
        </w:rPr>
        <w:t xml:space="preserve">R. v. </w:t>
      </w:r>
      <w:proofErr w:type="spellStart"/>
      <w:r w:rsidR="000849C8" w:rsidRPr="00AF6CFE">
        <w:rPr>
          <w:i/>
        </w:rPr>
        <w:t>Daviault</w:t>
      </w:r>
      <w:proofErr w:type="spellEnd"/>
      <w:r w:rsidR="000849C8" w:rsidRPr="00AF6CFE">
        <w:t xml:space="preserve">, [1994] 3 S.C.R. 63; </w:t>
      </w:r>
      <w:r w:rsidR="0000587C" w:rsidRPr="00AF6CFE">
        <w:rPr>
          <w:i/>
        </w:rPr>
        <w:t>R. v. L.M.</w:t>
      </w:r>
      <w:r w:rsidR="0000587C" w:rsidRPr="00AF6CFE">
        <w:t xml:space="preserve">, [2000] O.J. </w:t>
      </w:r>
      <w:r w:rsidR="00DB07F5" w:rsidRPr="00AF6CFE">
        <w:t>No. </w:t>
      </w:r>
      <w:r w:rsidR="0000587C" w:rsidRPr="00AF6CFE">
        <w:t>5284</w:t>
      </w:r>
      <w:r w:rsidR="00BF41D2" w:rsidRPr="00AF6CFE">
        <w:t xml:space="preserve"> (QL)</w:t>
      </w:r>
      <w:r w:rsidR="0000587C" w:rsidRPr="00AF6CFE">
        <w:t xml:space="preserve">; </w:t>
      </w:r>
      <w:r w:rsidR="0000587C" w:rsidRPr="00AF6CFE">
        <w:rPr>
          <w:i/>
        </w:rPr>
        <w:t>R. v. C.C.D.</w:t>
      </w:r>
      <w:r w:rsidR="0000587C" w:rsidRPr="00AF6CFE">
        <w:t xml:space="preserve">, [1998] O.J. </w:t>
      </w:r>
      <w:r w:rsidR="00DB07F5" w:rsidRPr="00AF6CFE">
        <w:t>No. </w:t>
      </w:r>
      <w:r w:rsidR="0000587C" w:rsidRPr="00AF6CFE">
        <w:t>4875</w:t>
      </w:r>
      <w:r w:rsidR="00BF41D2" w:rsidRPr="00AF6CFE">
        <w:t xml:space="preserve"> (QL)</w:t>
      </w:r>
      <w:r w:rsidR="0000587C" w:rsidRPr="00AF6CFE">
        <w:t xml:space="preserve">; </w:t>
      </w:r>
      <w:r w:rsidR="0000587C" w:rsidRPr="00AF6CFE">
        <w:rPr>
          <w:i/>
        </w:rPr>
        <w:t>R. v. Reedy</w:t>
      </w:r>
      <w:r w:rsidR="00BF41D2" w:rsidRPr="00AF6CFE">
        <w:rPr>
          <w:i/>
        </w:rPr>
        <w:t xml:space="preserve"> (</w:t>
      </w:r>
      <w:r w:rsidR="00DB07F5" w:rsidRPr="00AF6CFE">
        <w:rPr>
          <w:i/>
        </w:rPr>
        <w:t>No. </w:t>
      </w:r>
      <w:r w:rsidR="00BF41D2" w:rsidRPr="00AF6CFE">
        <w:rPr>
          <w:i/>
        </w:rPr>
        <w:t>2)</w:t>
      </w:r>
      <w:r w:rsidR="00BF41D2" w:rsidRPr="00AF6CFE">
        <w:t xml:space="preserve"> (1981), 60 C.C.C. (2d) 104</w:t>
      </w:r>
      <w:r w:rsidR="0000587C" w:rsidRPr="00AF6CFE">
        <w:t xml:space="preserve">; </w:t>
      </w:r>
      <w:r w:rsidR="0000587C" w:rsidRPr="00AF6CFE">
        <w:rPr>
          <w:i/>
        </w:rPr>
        <w:t>R. v. McIntosh</w:t>
      </w:r>
      <w:r w:rsidR="0000587C" w:rsidRPr="00AF6CFE">
        <w:t xml:space="preserve">, [2008] O.J. </w:t>
      </w:r>
      <w:r w:rsidR="00DB07F5" w:rsidRPr="00AF6CFE">
        <w:t>No. </w:t>
      </w:r>
      <w:r w:rsidR="0000587C" w:rsidRPr="00AF6CFE">
        <w:t>5742</w:t>
      </w:r>
      <w:r w:rsidR="00BF41D2" w:rsidRPr="00AF6CFE">
        <w:t xml:space="preserve"> (QL)</w:t>
      </w:r>
      <w:r w:rsidR="005B22DB" w:rsidRPr="00AF6CFE">
        <w:t>;</w:t>
      </w:r>
      <w:r w:rsidR="0000587C" w:rsidRPr="00AF6CFE">
        <w:t xml:space="preserve"> </w:t>
      </w:r>
      <w:r w:rsidR="0000587C" w:rsidRPr="00AF6CFE">
        <w:rPr>
          <w:i/>
        </w:rPr>
        <w:t xml:space="preserve">R. v. </w:t>
      </w:r>
      <w:proofErr w:type="spellStart"/>
      <w:r w:rsidR="0000587C" w:rsidRPr="00AF6CFE">
        <w:rPr>
          <w:i/>
        </w:rPr>
        <w:t>Bokane</w:t>
      </w:r>
      <w:r w:rsidR="00DB07F5" w:rsidRPr="00AF6CFE">
        <w:rPr>
          <w:i/>
        </w:rPr>
        <w:noBreakHyphen/>
      </w:r>
      <w:r w:rsidR="0000587C" w:rsidRPr="00AF6CFE">
        <w:rPr>
          <w:i/>
        </w:rPr>
        <w:t>Haraszt</w:t>
      </w:r>
      <w:proofErr w:type="spellEnd"/>
      <w:r w:rsidR="0000587C" w:rsidRPr="00AF6CFE">
        <w:t>, 2007 ONCJ 228</w:t>
      </w:r>
      <w:r w:rsidR="00BF41D2" w:rsidRPr="00AF6CFE">
        <w:t xml:space="preserve"> (</w:t>
      </w:r>
      <w:proofErr w:type="spellStart"/>
      <w:r w:rsidR="00BF41D2" w:rsidRPr="00AF6CFE">
        <w:t>CanLII</w:t>
      </w:r>
      <w:proofErr w:type="spellEnd"/>
      <w:r w:rsidR="00BF41D2" w:rsidRPr="00AF6CFE">
        <w:t>)</w:t>
      </w:r>
      <w:r w:rsidR="0000587C" w:rsidRPr="00AF6CFE">
        <w:t xml:space="preserve">; </w:t>
      </w:r>
      <w:r w:rsidR="0000587C" w:rsidRPr="00AF6CFE">
        <w:rPr>
          <w:i/>
        </w:rPr>
        <w:t>R. v. Christiansen</w:t>
      </w:r>
      <w:r w:rsidR="0000587C" w:rsidRPr="00AF6CFE">
        <w:t xml:space="preserve">, [1997] O.J. </w:t>
      </w:r>
      <w:r w:rsidR="00DB07F5" w:rsidRPr="00AF6CFE">
        <w:t>No. </w:t>
      </w:r>
      <w:r w:rsidR="0000587C" w:rsidRPr="00AF6CFE">
        <w:t>5733</w:t>
      </w:r>
      <w:r w:rsidR="00BF41D2" w:rsidRPr="00AF6CFE">
        <w:t xml:space="preserve"> (QL)</w:t>
      </w:r>
      <w:r w:rsidR="0000587C" w:rsidRPr="00AF6CFE">
        <w:t xml:space="preserve">; </w:t>
      </w:r>
      <w:r w:rsidR="0000587C" w:rsidRPr="00AF6CFE">
        <w:rPr>
          <w:i/>
        </w:rPr>
        <w:t>R. v. R.</w:t>
      </w:r>
      <w:r w:rsidR="00CA26AF" w:rsidRPr="00AF6CFE">
        <w:rPr>
          <w:i/>
        </w:rPr>
        <w:t xml:space="preserve"> </w:t>
      </w:r>
      <w:r w:rsidR="0000587C" w:rsidRPr="00AF6CFE">
        <w:rPr>
          <w:i/>
        </w:rPr>
        <w:t>(J.)</w:t>
      </w:r>
      <w:r w:rsidR="0000587C" w:rsidRPr="00AF6CFE">
        <w:t xml:space="preserve">, 2000 </w:t>
      </w:r>
      <w:proofErr w:type="spellStart"/>
      <w:r w:rsidR="0000587C" w:rsidRPr="00AF6CFE">
        <w:lastRenderedPageBreak/>
        <w:t>CarswellOnt</w:t>
      </w:r>
      <w:proofErr w:type="spellEnd"/>
      <w:r w:rsidR="0000587C" w:rsidRPr="00AF6CFE">
        <w:t xml:space="preserve"> 532</w:t>
      </w:r>
      <w:r w:rsidR="00CA26AF" w:rsidRPr="00AF6CFE">
        <w:t>5</w:t>
      </w:r>
      <w:r w:rsidR="0000587C" w:rsidRPr="00AF6CFE">
        <w:t xml:space="preserve">; </w:t>
      </w:r>
      <w:r w:rsidR="0000587C" w:rsidRPr="00AF6CFE">
        <w:rPr>
          <w:i/>
        </w:rPr>
        <w:t xml:space="preserve">R. v. </w:t>
      </w:r>
      <w:proofErr w:type="spellStart"/>
      <w:r w:rsidR="0000587C" w:rsidRPr="00AF6CFE">
        <w:rPr>
          <w:i/>
        </w:rPr>
        <w:t>Gosset</w:t>
      </w:r>
      <w:proofErr w:type="spellEnd"/>
      <w:r w:rsidR="0000587C" w:rsidRPr="00AF6CFE">
        <w:t xml:space="preserve">, [1993] 3 S.C.R. 76; </w:t>
      </w:r>
      <w:r w:rsidR="0000587C" w:rsidRPr="00AF6CFE">
        <w:rPr>
          <w:i/>
        </w:rPr>
        <w:t>Rizzo &amp; Rizzo Shoes Ltd. (Re)</w:t>
      </w:r>
      <w:r w:rsidR="0000587C" w:rsidRPr="00AF6CFE">
        <w:t xml:space="preserve">, [1998] 1 S.C.R. 27; </w:t>
      </w:r>
      <w:proofErr w:type="spellStart"/>
      <w:r w:rsidR="005B22DB" w:rsidRPr="00AF6CFE">
        <w:rPr>
          <w:i/>
        </w:rPr>
        <w:t>Pappajohn</w:t>
      </w:r>
      <w:proofErr w:type="spellEnd"/>
      <w:r w:rsidR="00BF41D2" w:rsidRPr="00AF6CFE">
        <w:rPr>
          <w:i/>
        </w:rPr>
        <w:t xml:space="preserve"> v. </w:t>
      </w:r>
      <w:proofErr w:type="gramStart"/>
      <w:r w:rsidR="00BF41D2" w:rsidRPr="00AF6CFE">
        <w:rPr>
          <w:i/>
        </w:rPr>
        <w:t>The Queen</w:t>
      </w:r>
      <w:r w:rsidR="005B22DB" w:rsidRPr="00AF6CFE">
        <w:t>, [1980] 2 S.C.R. 120</w:t>
      </w:r>
      <w:r w:rsidR="0000587C" w:rsidRPr="00AF6CFE">
        <w:t xml:space="preserve">; </w:t>
      </w:r>
      <w:r w:rsidR="0000587C" w:rsidRPr="00AF6CFE">
        <w:rPr>
          <w:i/>
        </w:rPr>
        <w:t>Sweet v. Parsley</w:t>
      </w:r>
      <w:r w:rsidR="0000587C" w:rsidRPr="00AF6CFE">
        <w:t xml:space="preserve">, [1970] A.C. 132; </w:t>
      </w:r>
      <w:r w:rsidR="0000587C" w:rsidRPr="00AF6CFE">
        <w:rPr>
          <w:i/>
        </w:rPr>
        <w:t>Watts v.</w:t>
      </w:r>
      <w:proofErr w:type="gramEnd"/>
      <w:r w:rsidR="0000587C" w:rsidRPr="00AF6CFE">
        <w:rPr>
          <w:i/>
        </w:rPr>
        <w:t xml:space="preserve"> </w:t>
      </w:r>
      <w:proofErr w:type="gramStart"/>
      <w:r w:rsidR="0000587C" w:rsidRPr="00AF6CFE">
        <w:rPr>
          <w:i/>
        </w:rPr>
        <w:t>The Queen</w:t>
      </w:r>
      <w:r w:rsidR="0000587C" w:rsidRPr="00AF6CFE">
        <w:t xml:space="preserve">, [1953] 1 S.C.R. 505; </w:t>
      </w:r>
      <w:r w:rsidR="00043F6F" w:rsidRPr="00AF6CFE">
        <w:rPr>
          <w:i/>
        </w:rPr>
        <w:t>R.</w:t>
      </w:r>
      <w:r w:rsidR="0000587C" w:rsidRPr="00AF6CFE">
        <w:rPr>
          <w:i/>
        </w:rPr>
        <w:t xml:space="preserve"> v. Rees</w:t>
      </w:r>
      <w:r w:rsidR="0000587C" w:rsidRPr="00AF6CFE">
        <w:t xml:space="preserve">, [1956] S.C.R. 640; </w:t>
      </w:r>
      <w:r w:rsidR="0000587C" w:rsidRPr="00AF6CFE">
        <w:rPr>
          <w:i/>
        </w:rPr>
        <w:t>Beaver v.</w:t>
      </w:r>
      <w:proofErr w:type="gramEnd"/>
      <w:r w:rsidR="0000587C" w:rsidRPr="00AF6CFE">
        <w:rPr>
          <w:i/>
        </w:rPr>
        <w:t xml:space="preserve"> The Queen</w:t>
      </w:r>
      <w:r w:rsidR="0000587C" w:rsidRPr="00AF6CFE">
        <w:t xml:space="preserve">, [1957] S.C.R. 531; </w:t>
      </w:r>
      <w:r w:rsidR="00043F6F" w:rsidRPr="00AF6CFE">
        <w:rPr>
          <w:i/>
        </w:rPr>
        <w:t>R.</w:t>
      </w:r>
      <w:r w:rsidR="0000587C" w:rsidRPr="00AF6CFE">
        <w:rPr>
          <w:i/>
        </w:rPr>
        <w:t xml:space="preserve"> v. Sault Ste</w:t>
      </w:r>
      <w:r w:rsidR="00043F6F" w:rsidRPr="00AF6CFE">
        <w:rPr>
          <w:i/>
        </w:rPr>
        <w:t>.</w:t>
      </w:r>
      <w:r w:rsidR="0000587C" w:rsidRPr="00AF6CFE">
        <w:rPr>
          <w:i/>
        </w:rPr>
        <w:t xml:space="preserve"> Marie</w:t>
      </w:r>
      <w:r w:rsidR="0000587C" w:rsidRPr="00AF6CFE">
        <w:t xml:space="preserve">, [1978] 2 S.C.R. 1299; </w:t>
      </w:r>
      <w:r w:rsidR="00043F6F" w:rsidRPr="00AF6CFE">
        <w:rPr>
          <w:i/>
        </w:rPr>
        <w:t>R.</w:t>
      </w:r>
      <w:r w:rsidR="0000587C" w:rsidRPr="00AF6CFE">
        <w:rPr>
          <w:i/>
        </w:rPr>
        <w:t xml:space="preserve"> v. </w:t>
      </w:r>
      <w:proofErr w:type="spellStart"/>
      <w:r w:rsidR="0000587C" w:rsidRPr="00AF6CFE">
        <w:rPr>
          <w:i/>
        </w:rPr>
        <w:t>Prue</w:t>
      </w:r>
      <w:proofErr w:type="spellEnd"/>
      <w:r w:rsidR="0000587C" w:rsidRPr="00AF6CFE">
        <w:t xml:space="preserve">, [1979] 2 S.C.R. 547; </w:t>
      </w:r>
      <w:r w:rsidR="0000587C" w:rsidRPr="00AF6CFE">
        <w:rPr>
          <w:i/>
        </w:rPr>
        <w:t>R. v. Bernard</w:t>
      </w:r>
      <w:r w:rsidR="0000587C" w:rsidRPr="00AF6CFE">
        <w:t xml:space="preserve">, [1988] 2 S.C.R. 833; </w:t>
      </w:r>
      <w:r w:rsidR="0000587C" w:rsidRPr="00AF6CFE">
        <w:rPr>
          <w:i/>
        </w:rPr>
        <w:t>R. v. Martineau</w:t>
      </w:r>
      <w:r w:rsidR="0000587C" w:rsidRPr="00AF6CFE">
        <w:t xml:space="preserve">, [1990] 2 S.C.R. 633; </w:t>
      </w:r>
      <w:r w:rsidR="0000587C" w:rsidRPr="00AF6CFE">
        <w:rPr>
          <w:i/>
        </w:rPr>
        <w:t xml:space="preserve">R. v. </w:t>
      </w:r>
      <w:proofErr w:type="spellStart"/>
      <w:r w:rsidR="0000587C" w:rsidRPr="00AF6CFE">
        <w:rPr>
          <w:i/>
        </w:rPr>
        <w:t>Th</w:t>
      </w:r>
      <w:r w:rsidR="00043F6F" w:rsidRPr="00AF6CFE">
        <w:rPr>
          <w:i/>
        </w:rPr>
        <w:t>é</w:t>
      </w:r>
      <w:r w:rsidR="0000587C" w:rsidRPr="00AF6CFE">
        <w:rPr>
          <w:i/>
        </w:rPr>
        <w:t>roux</w:t>
      </w:r>
      <w:proofErr w:type="spellEnd"/>
      <w:r w:rsidR="0000587C" w:rsidRPr="00AF6CFE">
        <w:t xml:space="preserve">, [1993] 2 S.C.R. 5; </w:t>
      </w:r>
      <w:r w:rsidR="0000587C" w:rsidRPr="00AF6CFE">
        <w:rPr>
          <w:i/>
        </w:rPr>
        <w:t>R. v. Lucas</w:t>
      </w:r>
      <w:r w:rsidR="0000587C" w:rsidRPr="00AF6CFE">
        <w:t xml:space="preserve">, [1998] 1 S.C.R. 439; </w:t>
      </w:r>
      <w:r w:rsidR="0000587C" w:rsidRPr="00AF6CFE">
        <w:rPr>
          <w:i/>
        </w:rPr>
        <w:t>R. v. Beatty</w:t>
      </w:r>
      <w:r w:rsidR="0000587C" w:rsidRPr="00AF6CFE">
        <w:t xml:space="preserve">, </w:t>
      </w:r>
      <w:r w:rsidR="00043F6F" w:rsidRPr="00AF6CFE">
        <w:t xml:space="preserve">2008 SCC 5, </w:t>
      </w:r>
      <w:r w:rsidR="0000587C" w:rsidRPr="00AF6CFE">
        <w:t xml:space="preserve">[2008] 1 S.C.R. 49; </w:t>
      </w:r>
      <w:r w:rsidR="0000587C" w:rsidRPr="00AF6CFE">
        <w:rPr>
          <w:i/>
        </w:rPr>
        <w:t>Canada (Canadian Human Rights Commission) v. Canada (Attorney General)</w:t>
      </w:r>
      <w:r w:rsidR="0000587C" w:rsidRPr="00AF6CFE">
        <w:t xml:space="preserve">, </w:t>
      </w:r>
      <w:r w:rsidR="00043F6F" w:rsidRPr="00AF6CFE">
        <w:t xml:space="preserve">2011 SCC 53, </w:t>
      </w:r>
      <w:r w:rsidR="0000587C" w:rsidRPr="00AF6CFE">
        <w:t xml:space="preserve">[2011] 3 S.C.R. 471; </w:t>
      </w:r>
      <w:r w:rsidR="009A7C39">
        <w:rPr>
          <w:i/>
        </w:rPr>
        <w:t>R.</w:t>
      </w:r>
      <w:r w:rsidR="0000587C" w:rsidRPr="00AF6CFE">
        <w:rPr>
          <w:i/>
        </w:rPr>
        <w:t xml:space="preserve"> v. White</w:t>
      </w:r>
      <w:r w:rsidR="0000587C" w:rsidRPr="00AF6CFE">
        <w:t xml:space="preserve"> (1871), L.R. 1 C.C.R. 311; </w:t>
      </w:r>
      <w:r w:rsidR="009A7C39">
        <w:rPr>
          <w:i/>
        </w:rPr>
        <w:t>R.</w:t>
      </w:r>
      <w:r w:rsidR="0000587C" w:rsidRPr="00AF6CFE">
        <w:rPr>
          <w:i/>
        </w:rPr>
        <w:t xml:space="preserve"> v. </w:t>
      </w:r>
      <w:proofErr w:type="spellStart"/>
      <w:r w:rsidR="0000587C" w:rsidRPr="00AF6CFE">
        <w:rPr>
          <w:i/>
        </w:rPr>
        <w:t>Downes</w:t>
      </w:r>
      <w:proofErr w:type="spellEnd"/>
      <w:r w:rsidR="0000587C" w:rsidRPr="00AF6CFE">
        <w:t xml:space="preserve"> (1875)</w:t>
      </w:r>
      <w:r w:rsidR="00E4118E" w:rsidRPr="00AF6CFE">
        <w:t>,</w:t>
      </w:r>
      <w:r w:rsidR="0000587C" w:rsidRPr="00AF6CFE">
        <w:t xml:space="preserve"> 1 Q.B.D. 25; </w:t>
      </w:r>
      <w:r w:rsidR="009C3B0D" w:rsidRPr="00AF6CFE">
        <w:rPr>
          <w:i/>
        </w:rPr>
        <w:t>R.</w:t>
      </w:r>
      <w:r w:rsidR="0000587C" w:rsidRPr="00AF6CFE">
        <w:rPr>
          <w:i/>
        </w:rPr>
        <w:t xml:space="preserve"> v. Senior</w:t>
      </w:r>
      <w:r w:rsidR="0000587C" w:rsidRPr="00AF6CFE">
        <w:t>, [189</w:t>
      </w:r>
      <w:r w:rsidR="0057129A" w:rsidRPr="00AF6CFE">
        <w:t>9</w:t>
      </w:r>
      <w:r w:rsidR="0000587C" w:rsidRPr="00AF6CFE">
        <w:t>] 1 Q.B. 283;</w:t>
      </w:r>
      <w:r w:rsidR="0057129A" w:rsidRPr="00AF6CFE">
        <w:t xml:space="preserve"> </w:t>
      </w:r>
      <w:r w:rsidR="009A7C39">
        <w:rPr>
          <w:i/>
        </w:rPr>
        <w:t>R.</w:t>
      </w:r>
      <w:r w:rsidR="0000587C" w:rsidRPr="00AF6CFE">
        <w:rPr>
          <w:i/>
        </w:rPr>
        <w:t xml:space="preserve"> v. </w:t>
      </w:r>
      <w:proofErr w:type="spellStart"/>
      <w:r w:rsidR="0000587C" w:rsidRPr="00AF6CFE">
        <w:rPr>
          <w:i/>
        </w:rPr>
        <w:t>Renshaw</w:t>
      </w:r>
      <w:proofErr w:type="spellEnd"/>
      <w:r w:rsidR="0000587C" w:rsidRPr="00AF6CFE">
        <w:t xml:space="preserve"> (1847), 2 Cox C.C. 285; </w:t>
      </w:r>
      <w:r w:rsidR="0000587C" w:rsidRPr="00AF6CFE">
        <w:rPr>
          <w:i/>
        </w:rPr>
        <w:t>R. v. Hogan</w:t>
      </w:r>
      <w:r w:rsidR="0000587C" w:rsidRPr="00AF6CFE">
        <w:t xml:space="preserve"> (185</w:t>
      </w:r>
      <w:r w:rsidR="004F2420" w:rsidRPr="00AF6CFE">
        <w:t>1</w:t>
      </w:r>
      <w:r w:rsidR="0000587C" w:rsidRPr="00AF6CFE">
        <w:t xml:space="preserve">), 2 Den. 277; </w:t>
      </w:r>
      <w:r w:rsidR="009A7C39">
        <w:rPr>
          <w:i/>
        </w:rPr>
        <w:t>R.</w:t>
      </w:r>
      <w:r w:rsidR="0000587C" w:rsidRPr="00AF6CFE">
        <w:rPr>
          <w:i/>
        </w:rPr>
        <w:t xml:space="preserve"> v. </w:t>
      </w:r>
      <w:proofErr w:type="spellStart"/>
      <w:r w:rsidR="0000587C" w:rsidRPr="00AF6CFE">
        <w:rPr>
          <w:i/>
        </w:rPr>
        <w:t>Falkingham</w:t>
      </w:r>
      <w:proofErr w:type="spellEnd"/>
      <w:r w:rsidR="0000587C" w:rsidRPr="00AF6CFE">
        <w:t xml:space="preserve"> (1870), L.R. 1 C.C.R. 222; </w:t>
      </w:r>
      <w:r w:rsidR="00906978" w:rsidRPr="00AF6CFE">
        <w:rPr>
          <w:i/>
        </w:rPr>
        <w:t>R. v.</w:t>
      </w:r>
      <w:r w:rsidR="00906978" w:rsidRPr="00AF6CFE">
        <w:t xml:space="preserve"> </w:t>
      </w:r>
      <w:proofErr w:type="spellStart"/>
      <w:r w:rsidR="00906978" w:rsidRPr="00AF6CFE">
        <w:rPr>
          <w:i/>
        </w:rPr>
        <w:t>Boulden</w:t>
      </w:r>
      <w:proofErr w:type="spellEnd"/>
      <w:r w:rsidR="00906978" w:rsidRPr="00AF6CFE">
        <w:t xml:space="preserve"> (1957)</w:t>
      </w:r>
      <w:r w:rsidR="00E4118E" w:rsidRPr="00AF6CFE">
        <w:t>,</w:t>
      </w:r>
      <w:r w:rsidR="00906978" w:rsidRPr="00AF6CFE">
        <w:t xml:space="preserve"> 41 Cr. A</w:t>
      </w:r>
      <w:r w:rsidR="00DB07F5" w:rsidRPr="00AF6CFE">
        <w:t>pp. </w:t>
      </w:r>
      <w:r w:rsidR="00906978" w:rsidRPr="00AF6CFE">
        <w:t xml:space="preserve">R. 105; </w:t>
      </w:r>
      <w:r w:rsidR="00906978" w:rsidRPr="00AF6CFE">
        <w:rPr>
          <w:i/>
        </w:rPr>
        <w:t>R</w:t>
      </w:r>
      <w:r w:rsidR="00C108B1" w:rsidRPr="00AF6CFE">
        <w:rPr>
          <w:i/>
        </w:rPr>
        <w:t>e</w:t>
      </w:r>
      <w:r w:rsidR="00906978" w:rsidRPr="00AF6CFE">
        <w:rPr>
          <w:i/>
        </w:rPr>
        <w:t xml:space="preserve"> Davis</w:t>
      </w:r>
      <w:r w:rsidR="00906978" w:rsidRPr="00AF6CFE">
        <w:t xml:space="preserve"> (1909), 18 O.L.R. 384; </w:t>
      </w:r>
      <w:r w:rsidR="00906978" w:rsidRPr="00AF6CFE">
        <w:rPr>
          <w:i/>
        </w:rPr>
        <w:t xml:space="preserve">R. v. </w:t>
      </w:r>
      <w:proofErr w:type="spellStart"/>
      <w:r w:rsidR="00906978" w:rsidRPr="00AF6CFE">
        <w:rPr>
          <w:i/>
        </w:rPr>
        <w:t>Buzzanga</w:t>
      </w:r>
      <w:proofErr w:type="spellEnd"/>
      <w:r w:rsidR="00906978" w:rsidRPr="00AF6CFE">
        <w:t xml:space="preserve"> (1979), 25 O.R. (2d) 705</w:t>
      </w:r>
      <w:r w:rsidR="00C833CE" w:rsidRPr="00AF6CFE">
        <w:t xml:space="preserve">; </w:t>
      </w:r>
      <w:r w:rsidR="00C833CE" w:rsidRPr="00AF6CFE">
        <w:rPr>
          <w:i/>
        </w:rPr>
        <w:t xml:space="preserve">R. v. </w:t>
      </w:r>
      <w:r w:rsidR="00C108B1" w:rsidRPr="00AF6CFE">
        <w:rPr>
          <w:i/>
        </w:rPr>
        <w:t>L.</w:t>
      </w:r>
      <w:r w:rsidR="00C833CE" w:rsidRPr="00AF6CFE">
        <w:rPr>
          <w:i/>
        </w:rPr>
        <w:t>B.</w:t>
      </w:r>
      <w:r w:rsidR="00E4118E" w:rsidRPr="00AF6CFE">
        <w:t>,</w:t>
      </w:r>
      <w:r w:rsidR="00C833CE" w:rsidRPr="00AF6CFE">
        <w:t xml:space="preserve"> 2011 ONCA 153,</w:t>
      </w:r>
      <w:r w:rsidR="00906978" w:rsidRPr="00AF6CFE">
        <w:t xml:space="preserve"> </w:t>
      </w:r>
      <w:r w:rsidR="00C108B1" w:rsidRPr="00AF6CFE">
        <w:t xml:space="preserve">274 O.A.C. 365, </w:t>
      </w:r>
      <w:r w:rsidR="00906978" w:rsidRPr="00AF6CFE">
        <w:t xml:space="preserve">leave to appeal </w:t>
      </w:r>
      <w:r w:rsidR="008F3C66" w:rsidRPr="00AF6CFE">
        <w:t>refused,</w:t>
      </w:r>
      <w:r w:rsidR="00906978" w:rsidRPr="00AF6CFE">
        <w:t xml:space="preserve"> [2011] </w:t>
      </w:r>
      <w:r w:rsidR="00222A3B">
        <w:t>3</w:t>
      </w:r>
      <w:r w:rsidR="00B6045C" w:rsidRPr="00AF6CFE">
        <w:t xml:space="preserve"> </w:t>
      </w:r>
      <w:r w:rsidR="00906978" w:rsidRPr="00AF6CFE">
        <w:t>S.C.</w:t>
      </w:r>
      <w:r w:rsidR="00B6045C" w:rsidRPr="00AF6CFE">
        <w:t>R</w:t>
      </w:r>
      <w:r w:rsidR="00906978" w:rsidRPr="00AF6CFE">
        <w:t xml:space="preserve">. </w:t>
      </w:r>
      <w:r w:rsidR="00B6045C" w:rsidRPr="00AF6CFE">
        <w:t>x</w:t>
      </w:r>
      <w:r w:rsidR="00906978" w:rsidRPr="00AF6CFE">
        <w:t xml:space="preserve">; </w:t>
      </w:r>
      <w:r w:rsidR="00906978" w:rsidRPr="00AF6CFE">
        <w:rPr>
          <w:i/>
        </w:rPr>
        <w:t xml:space="preserve">R. v. </w:t>
      </w:r>
      <w:proofErr w:type="spellStart"/>
      <w:r w:rsidR="00906978" w:rsidRPr="00AF6CFE">
        <w:rPr>
          <w:i/>
        </w:rPr>
        <w:t>Keegstra</w:t>
      </w:r>
      <w:proofErr w:type="spellEnd"/>
      <w:r w:rsidR="00906978" w:rsidRPr="00AF6CFE">
        <w:t xml:space="preserve">, [1990] 3 S.C.R. 697; </w:t>
      </w:r>
      <w:r w:rsidR="00906978" w:rsidRPr="00AF6CFE">
        <w:rPr>
          <w:i/>
        </w:rPr>
        <w:t xml:space="preserve">R. v. </w:t>
      </w:r>
      <w:proofErr w:type="spellStart"/>
      <w:r w:rsidR="00906978" w:rsidRPr="00AF6CFE">
        <w:rPr>
          <w:i/>
        </w:rPr>
        <w:t>Hundal</w:t>
      </w:r>
      <w:proofErr w:type="spellEnd"/>
      <w:r w:rsidR="00906978" w:rsidRPr="00AF6CFE">
        <w:t xml:space="preserve">, [1993] 1 S.C.R. 867; </w:t>
      </w:r>
      <w:r w:rsidR="00906978" w:rsidRPr="00AF6CFE">
        <w:rPr>
          <w:i/>
        </w:rPr>
        <w:t>R. v. Roy</w:t>
      </w:r>
      <w:r w:rsidR="00906978" w:rsidRPr="00AF6CFE">
        <w:t>, 2012 SCC 26</w:t>
      </w:r>
      <w:r w:rsidR="00C108B1" w:rsidRPr="00AF6CFE">
        <w:t>, [2012] 2 S.C.R. 60</w:t>
      </w:r>
      <w:r w:rsidR="00906978" w:rsidRPr="00AF6CFE">
        <w:t xml:space="preserve">; </w:t>
      </w:r>
      <w:r w:rsidR="00906978" w:rsidRPr="00AF6CFE">
        <w:rPr>
          <w:i/>
        </w:rPr>
        <w:t>R. v. Finlay</w:t>
      </w:r>
      <w:r w:rsidR="00906978" w:rsidRPr="00AF6CFE">
        <w:t xml:space="preserve">, [1993] 3 S.C.R. 103; </w:t>
      </w:r>
      <w:r w:rsidR="00906978" w:rsidRPr="00AF6CFE">
        <w:rPr>
          <w:i/>
        </w:rPr>
        <w:t xml:space="preserve">R. v. </w:t>
      </w:r>
      <w:proofErr w:type="spellStart"/>
      <w:r w:rsidR="00906978" w:rsidRPr="00AF6CFE">
        <w:rPr>
          <w:i/>
        </w:rPr>
        <w:t>DeSousa</w:t>
      </w:r>
      <w:proofErr w:type="spellEnd"/>
      <w:r w:rsidR="00906978" w:rsidRPr="00AF6CFE">
        <w:t xml:space="preserve">, [1992] 2 S.C.R. 944; </w:t>
      </w:r>
      <w:r w:rsidR="00906978" w:rsidRPr="00AF6CFE">
        <w:rPr>
          <w:i/>
        </w:rPr>
        <w:t>R. v. Creighton</w:t>
      </w:r>
      <w:r w:rsidR="00906978" w:rsidRPr="00AF6CFE">
        <w:t xml:space="preserve">, [1993] 3 S.C.R. 3; </w:t>
      </w:r>
      <w:r w:rsidR="00906978" w:rsidRPr="00AF6CFE">
        <w:rPr>
          <w:i/>
        </w:rPr>
        <w:t>R. v. Chartrand</w:t>
      </w:r>
      <w:r w:rsidR="00906978" w:rsidRPr="00AF6CFE">
        <w:t xml:space="preserve">, [1994] 2 S.C.R. 864; </w:t>
      </w:r>
      <w:r w:rsidR="00906978" w:rsidRPr="00AF6CFE">
        <w:rPr>
          <w:i/>
        </w:rPr>
        <w:t>R. v. Anderson</w:t>
      </w:r>
      <w:r w:rsidR="00906978" w:rsidRPr="00AF6CFE">
        <w:t xml:space="preserve">, [1990] 1 S.C.R. 265; </w:t>
      </w:r>
      <w:r w:rsidR="00906978" w:rsidRPr="00AF6CFE">
        <w:rPr>
          <w:i/>
        </w:rPr>
        <w:t>R. v. J.F.</w:t>
      </w:r>
      <w:r w:rsidR="00906978" w:rsidRPr="00AF6CFE">
        <w:t xml:space="preserve">, </w:t>
      </w:r>
      <w:r w:rsidR="00C108B1" w:rsidRPr="00AF6CFE">
        <w:t xml:space="preserve">2008 SCC 60, </w:t>
      </w:r>
      <w:r w:rsidR="00906978" w:rsidRPr="00AF6CFE">
        <w:t xml:space="preserve">[2008] 3 S.C.R. 215; </w:t>
      </w:r>
      <w:r w:rsidR="00A573C2" w:rsidRPr="00AF6CFE">
        <w:rPr>
          <w:i/>
        </w:rPr>
        <w:t xml:space="preserve">R. v. </w:t>
      </w:r>
      <w:proofErr w:type="spellStart"/>
      <w:r w:rsidR="00A573C2" w:rsidRPr="00AF6CFE">
        <w:rPr>
          <w:i/>
        </w:rPr>
        <w:t>Holzer</w:t>
      </w:r>
      <w:proofErr w:type="spellEnd"/>
      <w:r w:rsidR="00A573C2" w:rsidRPr="00AF6CFE">
        <w:t xml:space="preserve"> (1988), 63 C.R. (3d) 301</w:t>
      </w:r>
      <w:r w:rsidR="00906978" w:rsidRPr="00AF6CFE">
        <w:t>.</w:t>
      </w:r>
    </w:p>
    <w:p w:rsidR="00484E5E" w:rsidRPr="00AF6CFE" w:rsidRDefault="0009225F" w:rsidP="00340773">
      <w:pPr>
        <w:pStyle w:val="SCCNormalDoubleSpacing"/>
        <w:keepNext/>
        <w:spacing w:after="720" w:line="240" w:lineRule="auto"/>
      </w:pPr>
      <w:proofErr w:type="gramStart"/>
      <w:r w:rsidRPr="00AF6CFE">
        <w:t xml:space="preserve">By </w:t>
      </w:r>
      <w:proofErr w:type="spellStart"/>
      <w:r w:rsidRPr="00AF6CFE">
        <w:t>Moldaver</w:t>
      </w:r>
      <w:proofErr w:type="spellEnd"/>
      <w:r w:rsidRPr="00AF6CFE">
        <w:t> </w:t>
      </w:r>
      <w:r w:rsidR="00484E5E" w:rsidRPr="00AF6CFE">
        <w:t>J.</w:t>
      </w:r>
      <w:proofErr w:type="gramEnd"/>
    </w:p>
    <w:p w:rsidR="00484E5E" w:rsidRPr="00AF6CFE" w:rsidRDefault="00484E5E" w:rsidP="0009225F">
      <w:pPr>
        <w:pStyle w:val="SCCNormalDoubleSpacing"/>
        <w:spacing w:after="480"/>
      </w:pPr>
      <w:r w:rsidRPr="00AF6CFE">
        <w:tab/>
      </w:r>
      <w:r w:rsidR="00DD5AD3" w:rsidRPr="001556AB">
        <w:rPr>
          <w:b/>
        </w:rPr>
        <w:t>Considered:</w:t>
      </w:r>
      <w:r w:rsidR="00DD5AD3">
        <w:t xml:space="preserve">  </w:t>
      </w:r>
      <w:r w:rsidR="00DD5AD3" w:rsidRPr="00AF6CFE">
        <w:rPr>
          <w:i/>
        </w:rPr>
        <w:t xml:space="preserve">R. v. </w:t>
      </w:r>
      <w:proofErr w:type="spellStart"/>
      <w:r w:rsidR="00DD5AD3" w:rsidRPr="00AF6CFE">
        <w:rPr>
          <w:i/>
        </w:rPr>
        <w:t>Naglik</w:t>
      </w:r>
      <w:proofErr w:type="spellEnd"/>
      <w:r w:rsidR="00DD5AD3" w:rsidRPr="00AF6CFE">
        <w:t xml:space="preserve">, [1993] 3 S.C.R. 122; </w:t>
      </w:r>
      <w:r w:rsidR="00DD5AD3" w:rsidRPr="00DD5AD3">
        <w:rPr>
          <w:b/>
        </w:rPr>
        <w:t>r</w:t>
      </w:r>
      <w:r w:rsidRPr="00AF6CFE">
        <w:rPr>
          <w:b/>
        </w:rPr>
        <w:t>eferred to:</w:t>
      </w:r>
      <w:r w:rsidRPr="00AF6CFE">
        <w:t xml:space="preserve">  </w:t>
      </w:r>
      <w:r w:rsidR="00A573C2" w:rsidRPr="00AF6CFE">
        <w:rPr>
          <w:i/>
        </w:rPr>
        <w:t>R. v. Hinchey</w:t>
      </w:r>
      <w:r w:rsidR="00A573C2" w:rsidRPr="00AF6CFE">
        <w:t xml:space="preserve">, [1996] 3 S.C.R. 1128; </w:t>
      </w:r>
      <w:r w:rsidR="00BB03AA" w:rsidRPr="00AF6CFE">
        <w:rPr>
          <w:i/>
        </w:rPr>
        <w:t xml:space="preserve">R. v. </w:t>
      </w:r>
      <w:proofErr w:type="spellStart"/>
      <w:r w:rsidR="00BB03AA" w:rsidRPr="00AF6CFE">
        <w:rPr>
          <w:i/>
        </w:rPr>
        <w:t>DeSousa</w:t>
      </w:r>
      <w:proofErr w:type="spellEnd"/>
      <w:r w:rsidR="00BB03AA" w:rsidRPr="00AF6CFE">
        <w:t>, [1992] 2 S.C.R. 944</w:t>
      </w:r>
      <w:r w:rsidR="00A573C2" w:rsidRPr="00AF6CFE">
        <w:t xml:space="preserve">; </w:t>
      </w:r>
      <w:r w:rsidR="00BB03AA" w:rsidRPr="00AF6CFE">
        <w:rPr>
          <w:i/>
        </w:rPr>
        <w:t>R. v. Creighton</w:t>
      </w:r>
      <w:r w:rsidR="00BB03AA" w:rsidRPr="00AF6CFE">
        <w:t xml:space="preserve">, </w:t>
      </w:r>
      <w:r w:rsidR="00BB03AA" w:rsidRPr="00AF6CFE">
        <w:lastRenderedPageBreak/>
        <w:t>[1993] 3 S.C.R. 3</w:t>
      </w:r>
      <w:r w:rsidR="00A573C2" w:rsidRPr="00AF6CFE">
        <w:t xml:space="preserve">; </w:t>
      </w:r>
      <w:r w:rsidR="00A573C2" w:rsidRPr="00AF6CFE">
        <w:rPr>
          <w:i/>
        </w:rPr>
        <w:t xml:space="preserve">R. v. </w:t>
      </w:r>
      <w:proofErr w:type="spellStart"/>
      <w:r w:rsidR="00A573C2" w:rsidRPr="00AF6CFE">
        <w:rPr>
          <w:i/>
        </w:rPr>
        <w:t>Lohnes</w:t>
      </w:r>
      <w:proofErr w:type="spellEnd"/>
      <w:r w:rsidR="00A573C2" w:rsidRPr="00AF6CFE">
        <w:t xml:space="preserve">, [1992] 1 S.C.R. 167; </w:t>
      </w:r>
      <w:r w:rsidR="00A573C2" w:rsidRPr="00AF6CFE">
        <w:rPr>
          <w:i/>
        </w:rPr>
        <w:t>R. v. Nova Scotia Pharmaceutical Society</w:t>
      </w:r>
      <w:r w:rsidR="00A573C2" w:rsidRPr="00AF6CFE">
        <w:t xml:space="preserve">, [1992] 2 S.C.R. 606; </w:t>
      </w:r>
      <w:r w:rsidR="00056C7F" w:rsidRPr="00AF6CFE">
        <w:rPr>
          <w:i/>
        </w:rPr>
        <w:t>R. v. Browne</w:t>
      </w:r>
      <w:r w:rsidR="00056C7F" w:rsidRPr="00AF6CFE">
        <w:t xml:space="preserve"> (1997), 33 O.R. (3d) 775;</w:t>
      </w:r>
      <w:r w:rsidR="00F02C73" w:rsidRPr="00AF6CFE">
        <w:t xml:space="preserve"> </w:t>
      </w:r>
      <w:r w:rsidR="00F02C73" w:rsidRPr="00AF6CFE">
        <w:rPr>
          <w:i/>
        </w:rPr>
        <w:t>R. v. Nicholls</w:t>
      </w:r>
      <w:r w:rsidR="00F02C73" w:rsidRPr="00AF6CFE">
        <w:t xml:space="preserve"> (1874), 13 Cox C</w:t>
      </w:r>
      <w:r w:rsidR="0087300B" w:rsidRPr="00AF6CFE">
        <w:t>.</w:t>
      </w:r>
      <w:r w:rsidR="00F02C73" w:rsidRPr="00AF6CFE">
        <w:t>C</w:t>
      </w:r>
      <w:r w:rsidR="0087300B" w:rsidRPr="00AF6CFE">
        <w:t>.</w:t>
      </w:r>
      <w:r w:rsidR="00F02C73" w:rsidRPr="00AF6CFE">
        <w:t xml:space="preserve"> 75; </w:t>
      </w:r>
      <w:r w:rsidR="000B53CA">
        <w:rPr>
          <w:i/>
        </w:rPr>
        <w:t>R.</w:t>
      </w:r>
      <w:r w:rsidR="00F02C73" w:rsidRPr="00AF6CFE">
        <w:rPr>
          <w:i/>
        </w:rPr>
        <w:t xml:space="preserve"> v. </w:t>
      </w:r>
      <w:proofErr w:type="spellStart"/>
      <w:r w:rsidR="00F02C73" w:rsidRPr="00AF6CFE">
        <w:rPr>
          <w:i/>
        </w:rPr>
        <w:t>Instan</w:t>
      </w:r>
      <w:proofErr w:type="spellEnd"/>
      <w:r w:rsidR="00F02C73" w:rsidRPr="00AF6CFE">
        <w:t>, [1893] 1 Q.B. 450;</w:t>
      </w:r>
      <w:r w:rsidR="0085672E" w:rsidRPr="00AF6CFE">
        <w:t xml:space="preserve"> </w:t>
      </w:r>
      <w:r w:rsidR="00DD00BA">
        <w:rPr>
          <w:i/>
        </w:rPr>
        <w:t>R.</w:t>
      </w:r>
      <w:r w:rsidR="00F02C73" w:rsidRPr="00AF6CFE">
        <w:rPr>
          <w:i/>
        </w:rPr>
        <w:t xml:space="preserve"> v. Salmon</w:t>
      </w:r>
      <w:r w:rsidR="00F02C73" w:rsidRPr="00AF6CFE">
        <w:t xml:space="preserve"> (1880), 6 Q.B.D. 79; </w:t>
      </w:r>
      <w:r w:rsidR="00F02C73" w:rsidRPr="00AF6CFE">
        <w:rPr>
          <w:i/>
        </w:rPr>
        <w:t>R. v. Coyne</w:t>
      </w:r>
      <w:r w:rsidR="00F02C73" w:rsidRPr="00AF6CFE">
        <w:t xml:space="preserve"> (1958), 124 C.C.C. 176;</w:t>
      </w:r>
      <w:r w:rsidR="00056C7F" w:rsidRPr="00AF6CFE">
        <w:t xml:space="preserve"> </w:t>
      </w:r>
      <w:r w:rsidR="00056C7F" w:rsidRPr="00AF6CFE">
        <w:rPr>
          <w:i/>
        </w:rPr>
        <w:t>R. v. Miller</w:t>
      </w:r>
      <w:r w:rsidR="00056C7F" w:rsidRPr="00AF6CFE">
        <w:t xml:space="preserve">, [1983] </w:t>
      </w:r>
      <w:r w:rsidR="00BB03AA" w:rsidRPr="00AF6CFE">
        <w:t xml:space="preserve">1 </w:t>
      </w:r>
      <w:r w:rsidR="00056C7F" w:rsidRPr="00AF6CFE">
        <w:t xml:space="preserve">All E.R. 978; </w:t>
      </w:r>
      <w:r w:rsidR="00056C7F" w:rsidRPr="00AF6CFE">
        <w:rPr>
          <w:i/>
        </w:rPr>
        <w:t>R. v. Lucas</w:t>
      </w:r>
      <w:r w:rsidR="00056C7F" w:rsidRPr="00AF6CFE">
        <w:t xml:space="preserve">, [1998] 1 S.C.R. 439; </w:t>
      </w:r>
      <w:r w:rsidR="00DD00BA">
        <w:rPr>
          <w:i/>
        </w:rPr>
        <w:t>R.</w:t>
      </w:r>
      <w:r w:rsidR="00BB03AA" w:rsidRPr="00AF6CFE">
        <w:rPr>
          <w:i/>
        </w:rPr>
        <w:t xml:space="preserve"> v. White</w:t>
      </w:r>
      <w:r w:rsidR="00BB03AA" w:rsidRPr="00AF6CFE">
        <w:t xml:space="preserve"> (1871), L.R. 1 C.C.R. 311</w:t>
      </w:r>
      <w:r w:rsidR="00056C7F" w:rsidRPr="00AF6CFE">
        <w:t xml:space="preserve">; </w:t>
      </w:r>
      <w:r w:rsidR="00BB03AA" w:rsidRPr="00AF6CFE">
        <w:rPr>
          <w:i/>
        </w:rPr>
        <w:t>R. v. Beatty</w:t>
      </w:r>
      <w:r w:rsidR="00BB03AA" w:rsidRPr="00AF6CFE">
        <w:t>, 2008 SCC 5, [2008] 1 S.C.R. 49</w:t>
      </w:r>
      <w:r w:rsidR="00056C7F" w:rsidRPr="00AF6CFE">
        <w:t xml:space="preserve">; </w:t>
      </w:r>
      <w:r w:rsidR="00BB03AA" w:rsidRPr="00AF6CFE">
        <w:rPr>
          <w:i/>
        </w:rPr>
        <w:t>R. v. Roy</w:t>
      </w:r>
      <w:r w:rsidR="00BB03AA" w:rsidRPr="00AF6CFE">
        <w:t>, 2012 SCC 26, [2012] 2 S.C.R. 60</w:t>
      </w:r>
      <w:r w:rsidR="00056C7F" w:rsidRPr="00AF6CFE">
        <w:t xml:space="preserve">; </w:t>
      </w:r>
      <w:r w:rsidR="009C3B0D" w:rsidRPr="00AF6CFE">
        <w:rPr>
          <w:i/>
        </w:rPr>
        <w:t>R.</w:t>
      </w:r>
      <w:r w:rsidR="00BB03AA" w:rsidRPr="00AF6CFE">
        <w:rPr>
          <w:i/>
        </w:rPr>
        <w:t xml:space="preserve"> v. Senior</w:t>
      </w:r>
      <w:r w:rsidR="00BB03AA" w:rsidRPr="00AF6CFE">
        <w:t>, [1899] 1 Q.B. 283</w:t>
      </w:r>
      <w:r w:rsidR="00056C7F" w:rsidRPr="00AF6CFE">
        <w:t xml:space="preserve">; </w:t>
      </w:r>
      <w:r w:rsidR="00BB03AA" w:rsidRPr="00AF6CFE">
        <w:rPr>
          <w:i/>
        </w:rPr>
        <w:t xml:space="preserve">R. v. </w:t>
      </w:r>
      <w:proofErr w:type="spellStart"/>
      <w:r w:rsidR="00BB03AA" w:rsidRPr="00AF6CFE">
        <w:rPr>
          <w:i/>
        </w:rPr>
        <w:t>Buzzanga</w:t>
      </w:r>
      <w:proofErr w:type="spellEnd"/>
      <w:r w:rsidR="00BB03AA" w:rsidRPr="00AF6CFE">
        <w:t xml:space="preserve"> (1979), 25 O.R. (2d) 705</w:t>
      </w:r>
      <w:r w:rsidR="00056C7F" w:rsidRPr="00AF6CFE">
        <w:t xml:space="preserve">; </w:t>
      </w:r>
      <w:r w:rsidR="00BB03AA" w:rsidRPr="00AF6CFE">
        <w:rPr>
          <w:i/>
        </w:rPr>
        <w:t>R. v. L.B.</w:t>
      </w:r>
      <w:r w:rsidR="00BB03AA" w:rsidRPr="00AF6CFE">
        <w:t>, 2011 ONCA 153, 274 O.A.C. 365, l</w:t>
      </w:r>
      <w:r w:rsidR="00A67335">
        <w:t>eave to appeal refused, [2011] 3</w:t>
      </w:r>
      <w:r w:rsidR="00BB03AA" w:rsidRPr="00AF6CFE">
        <w:t xml:space="preserve"> S.C.R. x</w:t>
      </w:r>
      <w:r w:rsidR="00F02C73" w:rsidRPr="00AF6CFE">
        <w:t xml:space="preserve">; </w:t>
      </w:r>
      <w:r w:rsidR="00F02C73" w:rsidRPr="00AF6CFE">
        <w:rPr>
          <w:i/>
        </w:rPr>
        <w:t>Leary</w:t>
      </w:r>
      <w:r w:rsidR="0063607F" w:rsidRPr="00AF6CFE">
        <w:rPr>
          <w:i/>
        </w:rPr>
        <w:t xml:space="preserve"> v. </w:t>
      </w:r>
      <w:proofErr w:type="gramStart"/>
      <w:r w:rsidR="0063607F" w:rsidRPr="00AF6CFE">
        <w:rPr>
          <w:i/>
        </w:rPr>
        <w:t>The Queen</w:t>
      </w:r>
      <w:r w:rsidR="00F02C73" w:rsidRPr="00AF6CFE">
        <w:t xml:space="preserve">, [1978] 1 S.C.R. 29; </w:t>
      </w:r>
      <w:r w:rsidR="00483E63" w:rsidRPr="00AF6CFE">
        <w:rPr>
          <w:i/>
        </w:rPr>
        <w:t>R.</w:t>
      </w:r>
      <w:r w:rsidR="0063607F" w:rsidRPr="00AF6CFE">
        <w:rPr>
          <w:i/>
        </w:rPr>
        <w:t xml:space="preserve"> </w:t>
      </w:r>
      <w:r w:rsidR="00F02C73" w:rsidRPr="00AF6CFE">
        <w:rPr>
          <w:i/>
        </w:rPr>
        <w:t>v. George</w:t>
      </w:r>
      <w:r w:rsidR="00F02C73" w:rsidRPr="00AF6CFE">
        <w:t xml:space="preserve">, [1960] S.C.R. 871; </w:t>
      </w:r>
      <w:r w:rsidR="00F02C73" w:rsidRPr="00AF6CFE">
        <w:rPr>
          <w:i/>
        </w:rPr>
        <w:t xml:space="preserve">R. v. </w:t>
      </w:r>
      <w:proofErr w:type="spellStart"/>
      <w:r w:rsidR="00F02C73" w:rsidRPr="00AF6CFE">
        <w:rPr>
          <w:i/>
        </w:rPr>
        <w:t>Daviault</w:t>
      </w:r>
      <w:proofErr w:type="spellEnd"/>
      <w:r w:rsidR="00F02C73" w:rsidRPr="00AF6CFE">
        <w:t xml:space="preserve">, [1994] 3 S.C.R. 63; </w:t>
      </w:r>
      <w:r w:rsidR="00F02C73" w:rsidRPr="00AF6CFE">
        <w:rPr>
          <w:i/>
        </w:rPr>
        <w:t>R. v. Daley</w:t>
      </w:r>
      <w:r w:rsidR="00ED20B9" w:rsidRPr="00AF6CFE">
        <w:t>, 2007 SCC 53, [2007] 3 S.C.R. 523</w:t>
      </w:r>
      <w:r w:rsidR="00056C7F" w:rsidRPr="00AF6CFE">
        <w:t>.</w:t>
      </w:r>
      <w:proofErr w:type="gramEnd"/>
    </w:p>
    <w:p w:rsidR="003B215F" w:rsidRPr="00AF6CFE" w:rsidRDefault="002E6705" w:rsidP="0009225F">
      <w:pPr>
        <w:pStyle w:val="SCCNormalDoubleSpacing"/>
        <w:keepNext/>
        <w:spacing w:after="480"/>
      </w:pPr>
      <w:r w:rsidRPr="00AF6CFE">
        <w:rPr>
          <w:b/>
        </w:rPr>
        <w:t>Statutes and Regulations Cite</w:t>
      </w:r>
      <w:r w:rsidR="00A41805" w:rsidRPr="00AF6CFE">
        <w:rPr>
          <w:b/>
        </w:rPr>
        <w:t>d</w:t>
      </w:r>
    </w:p>
    <w:p w:rsidR="00780A28" w:rsidRPr="00AF6CFE" w:rsidRDefault="00780A28" w:rsidP="0009225F">
      <w:pPr>
        <w:pStyle w:val="SCCNormalDoubleSpacing"/>
        <w:spacing w:after="240" w:line="240" w:lineRule="auto"/>
        <w:ind w:left="539" w:hanging="539"/>
      </w:pPr>
      <w:r w:rsidRPr="00AF6CFE">
        <w:rPr>
          <w:i/>
        </w:rPr>
        <w:t>Act respecting Offences against the Person</w:t>
      </w:r>
      <w:r w:rsidR="0009225F" w:rsidRPr="00AF6CFE">
        <w:t>, R.S.C. 1886, c. 162, s. </w:t>
      </w:r>
      <w:r w:rsidRPr="00AF6CFE">
        <w:t>20.</w:t>
      </w:r>
    </w:p>
    <w:p w:rsidR="00906978" w:rsidRPr="00AF6CFE" w:rsidRDefault="00906978" w:rsidP="0009225F">
      <w:pPr>
        <w:pStyle w:val="SCCNormalDoubleSpacing"/>
        <w:spacing w:after="240" w:line="240" w:lineRule="auto"/>
        <w:ind w:left="539" w:hanging="539"/>
      </w:pPr>
      <w:r w:rsidRPr="00AF6CFE">
        <w:rPr>
          <w:i/>
        </w:rPr>
        <w:t>Act respecting Offences against the Person</w:t>
      </w:r>
      <w:r w:rsidRPr="00AF6CFE">
        <w:t>, S</w:t>
      </w:r>
      <w:r w:rsidR="00855975" w:rsidRPr="00AF6CFE">
        <w:t>.</w:t>
      </w:r>
      <w:r w:rsidRPr="00AF6CFE">
        <w:t>C</w:t>
      </w:r>
      <w:r w:rsidR="00855975" w:rsidRPr="00AF6CFE">
        <w:t>.</w:t>
      </w:r>
      <w:r w:rsidRPr="00AF6CFE">
        <w:t xml:space="preserve"> 1869, c</w:t>
      </w:r>
      <w:r w:rsidR="00855975" w:rsidRPr="00AF6CFE">
        <w:t>.</w:t>
      </w:r>
      <w:r w:rsidR="0009225F" w:rsidRPr="00AF6CFE">
        <w:t> </w:t>
      </w:r>
      <w:r w:rsidRPr="00AF6CFE">
        <w:t xml:space="preserve">20, </w:t>
      </w:r>
      <w:r w:rsidR="00DB07F5" w:rsidRPr="00AF6CFE">
        <w:t>ss. </w:t>
      </w:r>
      <w:r w:rsidR="00932093" w:rsidRPr="00AF6CFE">
        <w:t xml:space="preserve">25, </w:t>
      </w:r>
      <w:r w:rsidRPr="00AF6CFE">
        <w:t>26.</w:t>
      </w:r>
    </w:p>
    <w:p w:rsidR="00056C7F" w:rsidRPr="00AF6CFE" w:rsidRDefault="00056C7F" w:rsidP="0009225F">
      <w:pPr>
        <w:pStyle w:val="SCCNormalDoubleSpacing"/>
        <w:spacing w:after="240" w:line="240" w:lineRule="auto"/>
        <w:ind w:left="539" w:hanging="539"/>
      </w:pPr>
      <w:r w:rsidRPr="00AF6CFE">
        <w:rPr>
          <w:i/>
        </w:rPr>
        <w:t xml:space="preserve">Act to </w:t>
      </w:r>
      <w:r w:rsidR="00BB03AA" w:rsidRPr="00AF6CFE">
        <w:rPr>
          <w:i/>
        </w:rPr>
        <w:t>amend the Criminal Code (protection of c</w:t>
      </w:r>
      <w:r w:rsidRPr="00AF6CFE">
        <w:rPr>
          <w:i/>
        </w:rPr>
        <w:t xml:space="preserve">hildren and </w:t>
      </w:r>
      <w:r w:rsidR="00BB03AA" w:rsidRPr="00AF6CFE">
        <w:rPr>
          <w:i/>
        </w:rPr>
        <w:t>o</w:t>
      </w:r>
      <w:r w:rsidRPr="00AF6CFE">
        <w:rPr>
          <w:i/>
        </w:rPr>
        <w:t xml:space="preserve">ther </w:t>
      </w:r>
      <w:r w:rsidR="00BB03AA" w:rsidRPr="00AF6CFE">
        <w:rPr>
          <w:i/>
        </w:rPr>
        <w:t>v</w:t>
      </w:r>
      <w:r w:rsidRPr="00AF6CFE">
        <w:rPr>
          <w:i/>
        </w:rPr>
        <w:t xml:space="preserve">ulnerable </w:t>
      </w:r>
      <w:r w:rsidR="00BB03AA" w:rsidRPr="00AF6CFE">
        <w:rPr>
          <w:i/>
        </w:rPr>
        <w:t>p</w:t>
      </w:r>
      <w:r w:rsidRPr="00AF6CFE">
        <w:rPr>
          <w:i/>
        </w:rPr>
        <w:t>ersons) and the Canada Evidence Act</w:t>
      </w:r>
      <w:r w:rsidRPr="00AF6CFE">
        <w:t>, S.C</w:t>
      </w:r>
      <w:r w:rsidR="00BB03AA" w:rsidRPr="00AF6CFE">
        <w:t>.</w:t>
      </w:r>
      <w:r w:rsidR="0009225F" w:rsidRPr="00AF6CFE">
        <w:t xml:space="preserve"> 2005, c. </w:t>
      </w:r>
      <w:r w:rsidRPr="00AF6CFE">
        <w:t>32</w:t>
      </w:r>
      <w:r w:rsidR="00BB03AA" w:rsidRPr="00AF6CFE">
        <w:t xml:space="preserve">, </w:t>
      </w:r>
      <w:r w:rsidR="00DB07F5" w:rsidRPr="00AF6CFE">
        <w:t>ss. </w:t>
      </w:r>
      <w:r w:rsidR="00BB03AA" w:rsidRPr="00AF6CFE">
        <w:t>11,</w:t>
      </w:r>
      <w:r w:rsidR="00E05D13" w:rsidRPr="00AF6CFE">
        <w:t xml:space="preserve"> 12</w:t>
      </w:r>
      <w:r w:rsidRPr="00AF6CFE">
        <w:t>.</w:t>
      </w:r>
    </w:p>
    <w:p w:rsidR="00A149DF" w:rsidRPr="00AF6CFE" w:rsidRDefault="0000587C" w:rsidP="0009225F">
      <w:pPr>
        <w:pStyle w:val="SCCNormalDoubleSpacing"/>
        <w:spacing w:after="240" w:line="240" w:lineRule="auto"/>
        <w:ind w:left="539" w:hanging="539"/>
        <w:rPr>
          <w:lang w:val="fr-CA"/>
        </w:rPr>
      </w:pPr>
      <w:proofErr w:type="spellStart"/>
      <w:r w:rsidRPr="00AF6CFE">
        <w:rPr>
          <w:i/>
          <w:lang w:val="fr-CA"/>
        </w:rPr>
        <w:t>Criminal</w:t>
      </w:r>
      <w:proofErr w:type="spellEnd"/>
      <w:r w:rsidRPr="00AF6CFE">
        <w:rPr>
          <w:i/>
          <w:lang w:val="fr-CA"/>
        </w:rPr>
        <w:t xml:space="preserve"> Code</w:t>
      </w:r>
      <w:r w:rsidR="0009225F" w:rsidRPr="00AF6CFE">
        <w:rPr>
          <w:lang w:val="fr-CA"/>
        </w:rPr>
        <w:t>, R.S.C. 1985, c. </w:t>
      </w:r>
      <w:r w:rsidRPr="00AF6CFE">
        <w:rPr>
          <w:lang w:val="fr-CA"/>
        </w:rPr>
        <w:t>C</w:t>
      </w:r>
      <w:r w:rsidR="00DB07F5" w:rsidRPr="00AF6CFE">
        <w:rPr>
          <w:lang w:val="fr-CA"/>
        </w:rPr>
        <w:noBreakHyphen/>
      </w:r>
      <w:r w:rsidRPr="00AF6CFE">
        <w:rPr>
          <w:lang w:val="fr-CA"/>
        </w:rPr>
        <w:t xml:space="preserve">46, </w:t>
      </w:r>
      <w:proofErr w:type="spellStart"/>
      <w:r w:rsidR="00DB07F5" w:rsidRPr="00AF6CFE">
        <w:rPr>
          <w:lang w:val="fr-CA"/>
        </w:rPr>
        <w:t>ss</w:t>
      </w:r>
      <w:proofErr w:type="spellEnd"/>
      <w:r w:rsidR="00DB07F5" w:rsidRPr="00AF6CFE">
        <w:rPr>
          <w:lang w:val="fr-CA"/>
        </w:rPr>
        <w:t>. </w:t>
      </w:r>
      <w:r w:rsidR="00821D68" w:rsidRPr="00AF6CFE">
        <w:rPr>
          <w:lang w:val="fr-CA"/>
        </w:rPr>
        <w:t xml:space="preserve">33.1, </w:t>
      </w:r>
      <w:r w:rsidR="00545FAE" w:rsidRPr="00AF6CFE">
        <w:rPr>
          <w:lang w:val="fr-CA"/>
        </w:rPr>
        <w:t xml:space="preserve">Part VIII, </w:t>
      </w:r>
      <w:r w:rsidR="00906978" w:rsidRPr="00AF6CFE">
        <w:rPr>
          <w:lang w:val="fr-CA"/>
        </w:rPr>
        <w:t>214</w:t>
      </w:r>
      <w:r w:rsidR="003E32E1" w:rsidRPr="00AF6CFE">
        <w:rPr>
          <w:lang w:val="fr-CA"/>
        </w:rPr>
        <w:t xml:space="preserve"> “</w:t>
      </w:r>
      <w:r w:rsidR="00A573C2" w:rsidRPr="00AF6CFE">
        <w:rPr>
          <w:lang w:val="fr-CA"/>
        </w:rPr>
        <w:t>‘</w:t>
      </w:r>
      <w:r w:rsidR="003E32E1" w:rsidRPr="00AF6CFE">
        <w:rPr>
          <w:lang w:val="fr-CA"/>
        </w:rPr>
        <w:t>abandon</w:t>
      </w:r>
      <w:r w:rsidR="00A573C2" w:rsidRPr="00AF6CFE">
        <w:rPr>
          <w:lang w:val="fr-CA"/>
        </w:rPr>
        <w:t>’</w:t>
      </w:r>
      <w:r w:rsidR="003E32E1" w:rsidRPr="00AF6CFE">
        <w:rPr>
          <w:lang w:val="fr-CA"/>
        </w:rPr>
        <w:t xml:space="preserve"> or </w:t>
      </w:r>
      <w:r w:rsidR="00A573C2" w:rsidRPr="00AF6CFE">
        <w:rPr>
          <w:lang w:val="fr-CA"/>
        </w:rPr>
        <w:t>‘</w:t>
      </w:r>
      <w:r w:rsidR="003E32E1" w:rsidRPr="00AF6CFE">
        <w:rPr>
          <w:lang w:val="fr-CA"/>
        </w:rPr>
        <w:t>expose</w:t>
      </w:r>
      <w:r w:rsidR="00A573C2" w:rsidRPr="00AF6CFE">
        <w:rPr>
          <w:lang w:val="fr-CA"/>
        </w:rPr>
        <w:t>’</w:t>
      </w:r>
      <w:r w:rsidR="003E32E1" w:rsidRPr="00AF6CFE">
        <w:rPr>
          <w:lang w:val="fr-CA"/>
        </w:rPr>
        <w:t>”</w:t>
      </w:r>
      <w:r w:rsidR="00906978" w:rsidRPr="00AF6CFE">
        <w:rPr>
          <w:lang w:val="fr-CA"/>
        </w:rPr>
        <w:t xml:space="preserve">, </w:t>
      </w:r>
      <w:r w:rsidRPr="00AF6CFE">
        <w:rPr>
          <w:lang w:val="fr-CA"/>
        </w:rPr>
        <w:t xml:space="preserve">215, </w:t>
      </w:r>
      <w:r w:rsidR="00906978" w:rsidRPr="00AF6CFE">
        <w:rPr>
          <w:lang w:val="fr-CA"/>
        </w:rPr>
        <w:t xml:space="preserve">216, 217, 217.1, </w:t>
      </w:r>
      <w:r w:rsidRPr="00AF6CFE">
        <w:rPr>
          <w:lang w:val="fr-CA"/>
        </w:rPr>
        <w:t>218</w:t>
      </w:r>
      <w:r w:rsidR="00906978" w:rsidRPr="00AF6CFE">
        <w:rPr>
          <w:lang w:val="fr-CA"/>
        </w:rPr>
        <w:t xml:space="preserve">, 219, 220, 221, 266, </w:t>
      </w:r>
      <w:r w:rsidR="00B921E9" w:rsidRPr="00AF6CFE">
        <w:rPr>
          <w:lang w:val="fr-CA"/>
        </w:rPr>
        <w:t xml:space="preserve">269, </w:t>
      </w:r>
      <w:r w:rsidR="00906978" w:rsidRPr="00AF6CFE">
        <w:rPr>
          <w:lang w:val="fr-CA"/>
        </w:rPr>
        <w:t>298, 300</w:t>
      </w:r>
      <w:r w:rsidRPr="00AF6CFE">
        <w:rPr>
          <w:lang w:val="fr-CA"/>
        </w:rPr>
        <w:t>.</w:t>
      </w:r>
    </w:p>
    <w:p w:rsidR="00855975" w:rsidRPr="00AF6CFE" w:rsidRDefault="00855975" w:rsidP="0009225F">
      <w:pPr>
        <w:pStyle w:val="SCCNormalDoubleSpacing"/>
        <w:spacing w:after="240" w:line="240" w:lineRule="auto"/>
        <w:ind w:left="539" w:hanging="539"/>
        <w:rPr>
          <w:lang w:val="fr-CA"/>
        </w:rPr>
      </w:pPr>
      <w:proofErr w:type="spellStart"/>
      <w:r w:rsidRPr="00AF6CFE">
        <w:rPr>
          <w:i/>
          <w:lang w:val="fr-CA"/>
        </w:rPr>
        <w:t>Criminal</w:t>
      </w:r>
      <w:proofErr w:type="spellEnd"/>
      <w:r w:rsidRPr="00AF6CFE">
        <w:rPr>
          <w:i/>
          <w:lang w:val="fr-CA"/>
        </w:rPr>
        <w:t xml:space="preserve"> Code</w:t>
      </w:r>
      <w:r w:rsidRPr="00AF6CFE">
        <w:rPr>
          <w:lang w:val="fr-CA"/>
        </w:rPr>
        <w:t>, S.C. 1953</w:t>
      </w:r>
      <w:r w:rsidR="00DB07F5" w:rsidRPr="00AF6CFE">
        <w:rPr>
          <w:lang w:val="fr-CA"/>
        </w:rPr>
        <w:noBreakHyphen/>
      </w:r>
      <w:r w:rsidRPr="00AF6CFE">
        <w:rPr>
          <w:lang w:val="fr-CA"/>
        </w:rPr>
        <w:t>5</w:t>
      </w:r>
      <w:r w:rsidR="0009225F" w:rsidRPr="00AF6CFE">
        <w:rPr>
          <w:lang w:val="fr-CA"/>
        </w:rPr>
        <w:t>4, c. </w:t>
      </w:r>
      <w:r w:rsidRPr="00AF6CFE">
        <w:rPr>
          <w:lang w:val="fr-CA"/>
        </w:rPr>
        <w:t xml:space="preserve">51, </w:t>
      </w:r>
      <w:r w:rsidR="0009225F" w:rsidRPr="00AF6CFE">
        <w:rPr>
          <w:lang w:val="fr-CA"/>
        </w:rPr>
        <w:t>s. </w:t>
      </w:r>
      <w:r w:rsidR="003E32E1" w:rsidRPr="00AF6CFE">
        <w:rPr>
          <w:lang w:val="fr-CA"/>
        </w:rPr>
        <w:t xml:space="preserve">185 </w:t>
      </w:r>
      <w:r w:rsidR="0074513F" w:rsidRPr="00AF6CFE">
        <w:rPr>
          <w:lang w:val="fr-CA"/>
        </w:rPr>
        <w:t>“‘abandon’ or ‘expose’”</w:t>
      </w:r>
      <w:r w:rsidRPr="00AF6CFE">
        <w:rPr>
          <w:lang w:val="fr-CA"/>
        </w:rPr>
        <w:t>.</w:t>
      </w:r>
    </w:p>
    <w:p w:rsidR="0000587C" w:rsidRPr="00070648" w:rsidRDefault="0000587C" w:rsidP="0009225F">
      <w:pPr>
        <w:pStyle w:val="SCCNormalDoubleSpacing"/>
        <w:spacing w:after="240" w:line="240" w:lineRule="auto"/>
        <w:ind w:left="539" w:hanging="539"/>
        <w:rPr>
          <w:lang w:val="en-US"/>
        </w:rPr>
      </w:pPr>
      <w:proofErr w:type="gramStart"/>
      <w:r w:rsidRPr="00070648">
        <w:rPr>
          <w:i/>
          <w:lang w:val="en-US"/>
        </w:rPr>
        <w:t>Criminal Code</w:t>
      </w:r>
      <w:r w:rsidR="00855975" w:rsidRPr="00070648">
        <w:rPr>
          <w:i/>
          <w:lang w:val="en-US"/>
        </w:rPr>
        <w:t>, 1892</w:t>
      </w:r>
      <w:r w:rsidRPr="00070648">
        <w:rPr>
          <w:lang w:val="en-US"/>
        </w:rPr>
        <w:t xml:space="preserve">, </w:t>
      </w:r>
      <w:r w:rsidR="0009225F" w:rsidRPr="00070648">
        <w:rPr>
          <w:lang w:val="en-US"/>
        </w:rPr>
        <w:t>S.C. 1892, c. </w:t>
      </w:r>
      <w:r w:rsidR="00855975" w:rsidRPr="00070648">
        <w:rPr>
          <w:lang w:val="en-US"/>
        </w:rPr>
        <w:t xml:space="preserve">29, </w:t>
      </w:r>
      <w:r w:rsidR="00DB07F5" w:rsidRPr="00070648">
        <w:rPr>
          <w:lang w:val="en-US"/>
        </w:rPr>
        <w:t>ss. </w:t>
      </w:r>
      <w:r w:rsidRPr="00070648">
        <w:rPr>
          <w:lang w:val="en-US"/>
        </w:rPr>
        <w:t>209</w:t>
      </w:r>
      <w:r w:rsidR="00A67335" w:rsidRPr="00070648">
        <w:rPr>
          <w:lang w:val="en-US"/>
        </w:rPr>
        <w:t xml:space="preserve"> to</w:t>
      </w:r>
      <w:r w:rsidR="00932093" w:rsidRPr="00070648">
        <w:rPr>
          <w:lang w:val="en-US"/>
        </w:rPr>
        <w:t xml:space="preserve"> 211</w:t>
      </w:r>
      <w:r w:rsidRPr="00070648">
        <w:rPr>
          <w:lang w:val="en-US"/>
        </w:rPr>
        <w:t>, 216.</w:t>
      </w:r>
      <w:proofErr w:type="gramEnd"/>
    </w:p>
    <w:p w:rsidR="0000587C" w:rsidRPr="00AF6CFE" w:rsidRDefault="00572A34" w:rsidP="0009225F">
      <w:pPr>
        <w:pStyle w:val="SCCNormalDoubleSpacing"/>
        <w:spacing w:after="240" w:line="240" w:lineRule="auto"/>
        <w:ind w:left="539" w:hanging="539"/>
      </w:pPr>
      <w:r w:rsidRPr="00AF6CFE">
        <w:rPr>
          <w:i/>
        </w:rPr>
        <w:t>Offences against the Person Act, 1861</w:t>
      </w:r>
      <w:r w:rsidR="0009225F" w:rsidRPr="00AF6CFE">
        <w:t xml:space="preserve"> (U.K.), 24 &amp; 25 </w:t>
      </w:r>
      <w:proofErr w:type="spellStart"/>
      <w:proofErr w:type="gramStart"/>
      <w:r w:rsidR="0009225F" w:rsidRPr="00AF6CFE">
        <w:t>Vict</w:t>
      </w:r>
      <w:proofErr w:type="spellEnd"/>
      <w:r w:rsidR="0009225F" w:rsidRPr="00AF6CFE">
        <w:t>.,</w:t>
      </w:r>
      <w:proofErr w:type="gramEnd"/>
      <w:r w:rsidR="0009225F" w:rsidRPr="00AF6CFE">
        <w:t xml:space="preserve"> c. </w:t>
      </w:r>
      <w:r w:rsidRPr="00AF6CFE">
        <w:t xml:space="preserve">100, </w:t>
      </w:r>
      <w:r w:rsidR="0009225F" w:rsidRPr="00AF6CFE">
        <w:t>s. </w:t>
      </w:r>
      <w:r w:rsidR="0000587C" w:rsidRPr="00AF6CFE">
        <w:t>27.</w:t>
      </w:r>
    </w:p>
    <w:p w:rsidR="0000587C" w:rsidRPr="00AF6CFE" w:rsidRDefault="0000587C" w:rsidP="0009225F">
      <w:pPr>
        <w:pStyle w:val="SCCNormalDoubleSpacing"/>
        <w:spacing w:after="240" w:line="240" w:lineRule="auto"/>
        <w:ind w:left="539" w:hanging="539"/>
      </w:pPr>
      <w:r w:rsidRPr="00AF6CFE">
        <w:rPr>
          <w:i/>
        </w:rPr>
        <w:t>Poor Law Amendment Act</w:t>
      </w:r>
      <w:r w:rsidR="003970D8" w:rsidRPr="00AF6CFE">
        <w:rPr>
          <w:i/>
        </w:rPr>
        <w:t>,</w:t>
      </w:r>
      <w:r w:rsidRPr="00AF6CFE">
        <w:rPr>
          <w:i/>
        </w:rPr>
        <w:t xml:space="preserve"> 1868</w:t>
      </w:r>
      <w:r w:rsidRPr="00AF6CFE">
        <w:t xml:space="preserve"> (U.K.),</w:t>
      </w:r>
      <w:r w:rsidR="0009225F" w:rsidRPr="00AF6CFE">
        <w:t xml:space="preserve"> 31 &amp; 32 </w:t>
      </w:r>
      <w:proofErr w:type="spellStart"/>
      <w:proofErr w:type="gramStart"/>
      <w:r w:rsidR="0009225F" w:rsidRPr="00AF6CFE">
        <w:t>Vict</w:t>
      </w:r>
      <w:proofErr w:type="spellEnd"/>
      <w:r w:rsidR="0009225F" w:rsidRPr="00AF6CFE">
        <w:t>.,</w:t>
      </w:r>
      <w:proofErr w:type="gramEnd"/>
      <w:r w:rsidR="0009225F" w:rsidRPr="00AF6CFE">
        <w:t xml:space="preserve"> c. </w:t>
      </w:r>
      <w:r w:rsidR="003970D8" w:rsidRPr="00AF6CFE">
        <w:t>122,</w:t>
      </w:r>
      <w:r w:rsidRPr="00AF6CFE">
        <w:t xml:space="preserve"> s.</w:t>
      </w:r>
      <w:r w:rsidR="0009225F" w:rsidRPr="00AF6CFE">
        <w:t> </w:t>
      </w:r>
      <w:r w:rsidRPr="00AF6CFE">
        <w:t>37.</w:t>
      </w:r>
    </w:p>
    <w:p w:rsidR="0000587C" w:rsidRPr="00AF6CFE" w:rsidRDefault="0000587C" w:rsidP="0009225F">
      <w:pPr>
        <w:pStyle w:val="SCCNormalDoubleSpacing"/>
        <w:spacing w:after="240" w:line="240" w:lineRule="auto"/>
        <w:ind w:left="539" w:hanging="539"/>
      </w:pPr>
      <w:r w:rsidRPr="00AF6CFE">
        <w:rPr>
          <w:i/>
        </w:rPr>
        <w:t>Prevention of Cruelty to</w:t>
      </w:r>
      <w:r w:rsidR="003A0178" w:rsidRPr="00AF6CFE">
        <w:rPr>
          <w:i/>
        </w:rPr>
        <w:t>,</w:t>
      </w:r>
      <w:r w:rsidRPr="00AF6CFE">
        <w:rPr>
          <w:i/>
        </w:rPr>
        <w:t xml:space="preserve"> and Protection of</w:t>
      </w:r>
      <w:r w:rsidR="003A0178" w:rsidRPr="00AF6CFE">
        <w:rPr>
          <w:i/>
        </w:rPr>
        <w:t>,</w:t>
      </w:r>
      <w:r w:rsidRPr="00AF6CFE">
        <w:rPr>
          <w:i/>
        </w:rPr>
        <w:t xml:space="preserve"> Children Act</w:t>
      </w:r>
      <w:r w:rsidR="00FF1C1A" w:rsidRPr="00AF6CFE">
        <w:rPr>
          <w:i/>
        </w:rPr>
        <w:t>,</w:t>
      </w:r>
      <w:r w:rsidRPr="00AF6CFE">
        <w:rPr>
          <w:i/>
        </w:rPr>
        <w:t xml:space="preserve"> 1889</w:t>
      </w:r>
      <w:r w:rsidRPr="00AF6CFE">
        <w:t xml:space="preserve"> (U.K.), </w:t>
      </w:r>
      <w:r w:rsidR="0009225F" w:rsidRPr="00AF6CFE">
        <w:t xml:space="preserve">52 &amp; 53 </w:t>
      </w:r>
      <w:proofErr w:type="spellStart"/>
      <w:proofErr w:type="gramStart"/>
      <w:r w:rsidR="0009225F" w:rsidRPr="00AF6CFE">
        <w:t>Vict</w:t>
      </w:r>
      <w:proofErr w:type="spellEnd"/>
      <w:r w:rsidR="0009225F" w:rsidRPr="00AF6CFE">
        <w:t>.,</w:t>
      </w:r>
      <w:proofErr w:type="gramEnd"/>
      <w:r w:rsidR="0009225F" w:rsidRPr="00AF6CFE">
        <w:t xml:space="preserve"> c. </w:t>
      </w:r>
      <w:r w:rsidR="00FF1C1A" w:rsidRPr="00AF6CFE">
        <w:t xml:space="preserve">44, </w:t>
      </w:r>
      <w:r w:rsidR="00DB07F5" w:rsidRPr="00AF6CFE">
        <w:t>ss. </w:t>
      </w:r>
      <w:r w:rsidRPr="00AF6CFE">
        <w:t>1, 18.</w:t>
      </w:r>
    </w:p>
    <w:p w:rsidR="000F2BDE" w:rsidRPr="00AF6CFE" w:rsidRDefault="000F2BDE" w:rsidP="0009225F">
      <w:pPr>
        <w:pStyle w:val="SCCNormalDoubleSpacing"/>
        <w:spacing w:after="720" w:line="240" w:lineRule="auto"/>
        <w:ind w:left="540" w:hanging="540"/>
      </w:pPr>
      <w:r w:rsidRPr="00AF6CFE">
        <w:rPr>
          <w:i/>
        </w:rPr>
        <w:lastRenderedPageBreak/>
        <w:t>Prevention of Cruelty to Children Act, 1894</w:t>
      </w:r>
      <w:r w:rsidR="009B4C4C" w:rsidRPr="00AF6CFE">
        <w:t xml:space="preserve"> (U.K.)</w:t>
      </w:r>
      <w:r w:rsidR="0009225F" w:rsidRPr="00AF6CFE">
        <w:t xml:space="preserve">, 57 &amp; 58 </w:t>
      </w:r>
      <w:proofErr w:type="spellStart"/>
      <w:proofErr w:type="gramStart"/>
      <w:r w:rsidR="0009225F" w:rsidRPr="00AF6CFE">
        <w:t>Vict</w:t>
      </w:r>
      <w:proofErr w:type="spellEnd"/>
      <w:r w:rsidR="0009225F" w:rsidRPr="00AF6CFE">
        <w:t>.,</w:t>
      </w:r>
      <w:proofErr w:type="gramEnd"/>
      <w:r w:rsidR="0009225F" w:rsidRPr="00AF6CFE">
        <w:t xml:space="preserve"> c. </w:t>
      </w:r>
      <w:r w:rsidRPr="00AF6CFE">
        <w:t>41</w:t>
      </w:r>
      <w:r w:rsidR="0009225F" w:rsidRPr="00AF6CFE">
        <w:t>, s. </w:t>
      </w:r>
      <w:r w:rsidRPr="00AF6CFE">
        <w:t>1.</w:t>
      </w:r>
    </w:p>
    <w:p w:rsidR="002E6705" w:rsidRPr="00AF6CFE" w:rsidRDefault="002E6705" w:rsidP="0009225F">
      <w:pPr>
        <w:pStyle w:val="SCCNormalDoubleSpacing"/>
        <w:keepNext/>
        <w:spacing w:after="480"/>
        <w:rPr>
          <w:b/>
        </w:rPr>
      </w:pPr>
      <w:r w:rsidRPr="00AF6CFE">
        <w:rPr>
          <w:b/>
        </w:rPr>
        <w:t>Authors Cited</w:t>
      </w:r>
    </w:p>
    <w:p w:rsidR="00F02C73" w:rsidRPr="00AF6CFE" w:rsidRDefault="00F02C73" w:rsidP="0009225F">
      <w:pPr>
        <w:pStyle w:val="SCCNormalDoubleSpacing"/>
        <w:spacing w:after="240" w:line="240" w:lineRule="auto"/>
        <w:ind w:left="539" w:hanging="539"/>
      </w:pPr>
      <w:proofErr w:type="gramStart"/>
      <w:r w:rsidRPr="00AF6CFE">
        <w:t>Colvin</w:t>
      </w:r>
      <w:r w:rsidR="002721EC" w:rsidRPr="00AF6CFE">
        <w:t>,</w:t>
      </w:r>
      <w:r w:rsidRPr="00AF6CFE">
        <w:t xml:space="preserve"> </w:t>
      </w:r>
      <w:r w:rsidR="002721EC" w:rsidRPr="00AF6CFE">
        <w:t>Eric, and</w:t>
      </w:r>
      <w:r w:rsidRPr="00AF6CFE">
        <w:t xml:space="preserve"> </w:t>
      </w:r>
      <w:proofErr w:type="spellStart"/>
      <w:r w:rsidRPr="00AF6CFE">
        <w:t>Sanjeev</w:t>
      </w:r>
      <w:proofErr w:type="spellEnd"/>
      <w:r w:rsidRPr="00AF6CFE">
        <w:t xml:space="preserve"> </w:t>
      </w:r>
      <w:proofErr w:type="spellStart"/>
      <w:r w:rsidRPr="00AF6CFE">
        <w:t>Anand</w:t>
      </w:r>
      <w:proofErr w:type="spellEnd"/>
      <w:r w:rsidR="002721EC" w:rsidRPr="00AF6CFE">
        <w:t>.</w:t>
      </w:r>
      <w:proofErr w:type="gramEnd"/>
      <w:r w:rsidR="002721EC" w:rsidRPr="00AF6CFE">
        <w:t xml:space="preserve"> </w:t>
      </w:r>
      <w:r w:rsidRPr="00AF6CFE">
        <w:t xml:space="preserve"> </w:t>
      </w:r>
      <w:r w:rsidRPr="00AF6CFE">
        <w:rPr>
          <w:i/>
        </w:rPr>
        <w:t>Principles of Criminal Law</w:t>
      </w:r>
      <w:r w:rsidR="002721EC" w:rsidRPr="00AF6CFE">
        <w:t>,</w:t>
      </w:r>
      <w:r w:rsidRPr="00AF6CFE">
        <w:t xml:space="preserve"> 3rd </w:t>
      </w:r>
      <w:proofErr w:type="gramStart"/>
      <w:r w:rsidRPr="00AF6CFE">
        <w:t>ed</w:t>
      </w:r>
      <w:proofErr w:type="gramEnd"/>
      <w:r w:rsidRPr="00AF6CFE">
        <w:t>.</w:t>
      </w:r>
      <w:r w:rsidR="002721EC" w:rsidRPr="00AF6CFE">
        <w:t xml:space="preserve"> </w:t>
      </w:r>
      <w:r w:rsidRPr="00AF6CFE">
        <w:t xml:space="preserve"> </w:t>
      </w:r>
      <w:r w:rsidR="002721EC" w:rsidRPr="00AF6CFE">
        <w:t xml:space="preserve">Toronto:  Thomson </w:t>
      </w:r>
      <w:proofErr w:type="spellStart"/>
      <w:r w:rsidR="002721EC" w:rsidRPr="00AF6CFE">
        <w:t>Carswell</w:t>
      </w:r>
      <w:proofErr w:type="spellEnd"/>
      <w:r w:rsidR="002721EC" w:rsidRPr="00AF6CFE">
        <w:t xml:space="preserve">, </w:t>
      </w:r>
      <w:r w:rsidRPr="00AF6CFE">
        <w:t>2007.</w:t>
      </w:r>
    </w:p>
    <w:p w:rsidR="0000587C" w:rsidRPr="00AF6CFE" w:rsidRDefault="0000587C" w:rsidP="0009225F">
      <w:pPr>
        <w:pStyle w:val="SCCNormalDoubleSpacing"/>
        <w:spacing w:after="240" w:line="240" w:lineRule="auto"/>
        <w:ind w:left="539" w:hanging="539"/>
      </w:pPr>
      <w:proofErr w:type="spellStart"/>
      <w:r w:rsidRPr="00070648">
        <w:rPr>
          <w:lang w:val="en-US"/>
        </w:rPr>
        <w:t>Côté</w:t>
      </w:r>
      <w:proofErr w:type="spellEnd"/>
      <w:r w:rsidR="00F1155A" w:rsidRPr="00070648">
        <w:rPr>
          <w:lang w:val="en-US"/>
        </w:rPr>
        <w:t>,</w:t>
      </w:r>
      <w:r w:rsidRPr="00070648">
        <w:rPr>
          <w:lang w:val="en-US"/>
        </w:rPr>
        <w:t xml:space="preserve"> </w:t>
      </w:r>
      <w:r w:rsidR="00F1155A" w:rsidRPr="00070648">
        <w:rPr>
          <w:lang w:val="en-US"/>
        </w:rPr>
        <w:t>Pierre</w:t>
      </w:r>
      <w:r w:rsidR="00DB07F5" w:rsidRPr="00070648">
        <w:rPr>
          <w:lang w:val="en-US"/>
        </w:rPr>
        <w:noBreakHyphen/>
      </w:r>
      <w:proofErr w:type="spellStart"/>
      <w:r w:rsidR="00F1155A" w:rsidRPr="00070648">
        <w:rPr>
          <w:lang w:val="en-US"/>
        </w:rPr>
        <w:t>André</w:t>
      </w:r>
      <w:proofErr w:type="spellEnd"/>
      <w:r w:rsidR="00D3051D" w:rsidRPr="00070648">
        <w:rPr>
          <w:lang w:val="en-US"/>
        </w:rPr>
        <w:t xml:space="preserve">, in collaboration with </w:t>
      </w:r>
      <w:proofErr w:type="spellStart"/>
      <w:r w:rsidR="00D3051D" w:rsidRPr="00070648">
        <w:rPr>
          <w:lang w:val="en-US"/>
        </w:rPr>
        <w:t>Stéphane</w:t>
      </w:r>
      <w:proofErr w:type="spellEnd"/>
      <w:r w:rsidR="00D3051D" w:rsidRPr="00070648">
        <w:rPr>
          <w:lang w:val="en-US"/>
        </w:rPr>
        <w:t xml:space="preserve"> </w:t>
      </w:r>
      <w:proofErr w:type="spellStart"/>
      <w:r w:rsidR="00D3051D" w:rsidRPr="00070648">
        <w:rPr>
          <w:lang w:val="en-US"/>
        </w:rPr>
        <w:t>Beaulac</w:t>
      </w:r>
      <w:proofErr w:type="spellEnd"/>
      <w:r w:rsidR="00D3051D" w:rsidRPr="00070648">
        <w:rPr>
          <w:lang w:val="en-US"/>
        </w:rPr>
        <w:t xml:space="preserve"> and Mathieu </w:t>
      </w:r>
      <w:proofErr w:type="spellStart"/>
      <w:r w:rsidR="00D3051D" w:rsidRPr="00070648">
        <w:rPr>
          <w:lang w:val="en-US"/>
        </w:rPr>
        <w:t>Devinat</w:t>
      </w:r>
      <w:proofErr w:type="spellEnd"/>
      <w:r w:rsidR="00F1155A" w:rsidRPr="00070648">
        <w:rPr>
          <w:lang w:val="en-US"/>
        </w:rPr>
        <w:t xml:space="preserve">.  </w:t>
      </w:r>
      <w:r w:rsidR="00D3051D" w:rsidRPr="00AF6CFE">
        <w:rPr>
          <w:i/>
        </w:rPr>
        <w:t xml:space="preserve">The </w:t>
      </w:r>
      <w:r w:rsidRPr="00AF6CFE">
        <w:rPr>
          <w:i/>
        </w:rPr>
        <w:t>Interpr</w:t>
      </w:r>
      <w:r w:rsidR="00D3051D" w:rsidRPr="00AF6CFE">
        <w:rPr>
          <w:i/>
        </w:rPr>
        <w:t>e</w:t>
      </w:r>
      <w:r w:rsidRPr="00AF6CFE">
        <w:rPr>
          <w:i/>
        </w:rPr>
        <w:t xml:space="preserve">tation </w:t>
      </w:r>
      <w:r w:rsidR="00D3051D" w:rsidRPr="00AF6CFE">
        <w:rPr>
          <w:i/>
        </w:rPr>
        <w:t>of Legislation in Canada</w:t>
      </w:r>
      <w:r w:rsidR="00F1155A" w:rsidRPr="00AF6CFE">
        <w:t>,</w:t>
      </w:r>
      <w:r w:rsidRPr="00AF6CFE">
        <w:t xml:space="preserve"> </w:t>
      </w:r>
      <w:r w:rsidR="00F1155A" w:rsidRPr="00AF6CFE">
        <w:t>4</w:t>
      </w:r>
      <w:r w:rsidR="00D3051D" w:rsidRPr="00AF6CFE">
        <w:t xml:space="preserve">th </w:t>
      </w:r>
      <w:proofErr w:type="gramStart"/>
      <w:r w:rsidR="00D3051D" w:rsidRPr="00AF6CFE">
        <w:t>ed</w:t>
      </w:r>
      <w:proofErr w:type="gramEnd"/>
      <w:r w:rsidR="00F1155A" w:rsidRPr="00AF6CFE">
        <w:t xml:space="preserve">. </w:t>
      </w:r>
      <w:r w:rsidRPr="00AF6CFE">
        <w:t xml:space="preserve"> </w:t>
      </w:r>
      <w:r w:rsidR="00D3051D" w:rsidRPr="00AF6CFE">
        <w:t xml:space="preserve">Toronto:  </w:t>
      </w:r>
      <w:proofErr w:type="spellStart"/>
      <w:r w:rsidR="00D3051D" w:rsidRPr="00AF6CFE">
        <w:t>Carswell</w:t>
      </w:r>
      <w:proofErr w:type="spellEnd"/>
      <w:r w:rsidR="00D3051D" w:rsidRPr="00AF6CFE">
        <w:t xml:space="preserve">, </w:t>
      </w:r>
      <w:r w:rsidRPr="00AF6CFE">
        <w:t>20</w:t>
      </w:r>
      <w:r w:rsidR="00D3051D" w:rsidRPr="00AF6CFE">
        <w:t>11</w:t>
      </w:r>
      <w:r w:rsidRPr="00AF6CFE">
        <w:t>.</w:t>
      </w:r>
    </w:p>
    <w:p w:rsidR="0000587C" w:rsidRPr="00AF6CFE" w:rsidRDefault="0000587C" w:rsidP="0009225F">
      <w:pPr>
        <w:pStyle w:val="SCCNormalDoubleSpacing"/>
        <w:spacing w:after="240" w:line="240" w:lineRule="auto"/>
        <w:ind w:left="539" w:hanging="539"/>
      </w:pPr>
      <w:r w:rsidRPr="00AF6CFE">
        <w:t xml:space="preserve">Cross, </w:t>
      </w:r>
      <w:r w:rsidR="00F1155A" w:rsidRPr="00AF6CFE">
        <w:t xml:space="preserve">Rupert.  </w:t>
      </w:r>
      <w:proofErr w:type="gramStart"/>
      <w:r w:rsidRPr="00AF6CFE">
        <w:rPr>
          <w:i/>
        </w:rPr>
        <w:t>Statutory Interpretation</w:t>
      </w:r>
      <w:r w:rsidR="00F1155A" w:rsidRPr="00AF6CFE">
        <w:t>,</w:t>
      </w:r>
      <w:r w:rsidRPr="00AF6CFE">
        <w:t xml:space="preserve"> 3rd</w:t>
      </w:r>
      <w:r w:rsidR="00F1155A" w:rsidRPr="00AF6CFE">
        <w:t xml:space="preserve"> ed.</w:t>
      </w:r>
      <w:r w:rsidRPr="00AF6CFE">
        <w:t xml:space="preserve"> by John Bell and George Engle</w:t>
      </w:r>
      <w:r w:rsidR="00F1155A" w:rsidRPr="00AF6CFE">
        <w:t>.</w:t>
      </w:r>
      <w:proofErr w:type="gramEnd"/>
      <w:r w:rsidRPr="00AF6CFE">
        <w:t xml:space="preserve"> </w:t>
      </w:r>
      <w:r w:rsidR="00F1155A" w:rsidRPr="00AF6CFE">
        <w:t xml:space="preserve"> </w:t>
      </w:r>
      <w:r w:rsidR="00D3051D" w:rsidRPr="00AF6CFE">
        <w:t xml:space="preserve">London:  </w:t>
      </w:r>
      <w:proofErr w:type="spellStart"/>
      <w:r w:rsidR="00D3051D" w:rsidRPr="00AF6CFE">
        <w:t>Butterworths</w:t>
      </w:r>
      <w:proofErr w:type="spellEnd"/>
      <w:r w:rsidR="00D3051D" w:rsidRPr="00AF6CFE">
        <w:t xml:space="preserve">, </w:t>
      </w:r>
      <w:r w:rsidRPr="00AF6CFE">
        <w:t>1995.</w:t>
      </w:r>
    </w:p>
    <w:p w:rsidR="00BC38E6" w:rsidRPr="00AF6CFE" w:rsidRDefault="00ED7F29" w:rsidP="0009225F">
      <w:pPr>
        <w:pStyle w:val="SCCNormalDoubleSpacing"/>
        <w:spacing w:after="240" w:line="240" w:lineRule="auto"/>
        <w:ind w:left="539" w:hanging="539"/>
      </w:pPr>
      <w:proofErr w:type="spellStart"/>
      <w:r w:rsidRPr="00AF6CFE">
        <w:t>Driedger</w:t>
      </w:r>
      <w:proofErr w:type="spellEnd"/>
      <w:r w:rsidRPr="00AF6CFE">
        <w:t xml:space="preserve">, Elmer A.  </w:t>
      </w:r>
      <w:r w:rsidRPr="00AF6CFE">
        <w:rPr>
          <w:i/>
        </w:rPr>
        <w:t>Construction of Statutes</w:t>
      </w:r>
      <w:r w:rsidRPr="00AF6CFE">
        <w:t xml:space="preserve">, 2nd </w:t>
      </w:r>
      <w:proofErr w:type="gramStart"/>
      <w:r w:rsidRPr="00AF6CFE">
        <w:t>ed</w:t>
      </w:r>
      <w:proofErr w:type="gramEnd"/>
      <w:r w:rsidRPr="00AF6CFE">
        <w:t xml:space="preserve">.  Toronto:  </w:t>
      </w:r>
      <w:proofErr w:type="spellStart"/>
      <w:r w:rsidRPr="00AF6CFE">
        <w:t>Butterworths</w:t>
      </w:r>
      <w:proofErr w:type="spellEnd"/>
      <w:r w:rsidRPr="00AF6CFE">
        <w:t>, 1983.</w:t>
      </w:r>
    </w:p>
    <w:p w:rsidR="00A149DF" w:rsidRPr="00AF6CFE" w:rsidRDefault="00AA3DE1" w:rsidP="0009225F">
      <w:pPr>
        <w:pStyle w:val="SCCNormalDoubleSpacing"/>
        <w:spacing w:after="240" w:line="240" w:lineRule="auto"/>
        <w:ind w:left="539" w:hanging="539"/>
      </w:pPr>
      <w:proofErr w:type="gramStart"/>
      <w:r w:rsidRPr="00AF6CFE">
        <w:t xml:space="preserve">Manning, Morris, and Peter </w:t>
      </w:r>
      <w:proofErr w:type="spellStart"/>
      <w:r w:rsidRPr="00AF6CFE">
        <w:t>Sankoff</w:t>
      </w:r>
      <w:proofErr w:type="spellEnd"/>
      <w:r w:rsidRPr="00AF6CFE">
        <w:t>.</w:t>
      </w:r>
      <w:proofErr w:type="gramEnd"/>
      <w:r w:rsidRPr="00AF6CFE">
        <w:t xml:space="preserve">  </w:t>
      </w:r>
      <w:r w:rsidR="00D3051D" w:rsidRPr="00AF6CFE">
        <w:rPr>
          <w:i/>
        </w:rPr>
        <w:t xml:space="preserve">Manning, </w:t>
      </w:r>
      <w:proofErr w:type="spellStart"/>
      <w:r w:rsidR="00D3051D" w:rsidRPr="00AF6CFE">
        <w:rPr>
          <w:i/>
        </w:rPr>
        <w:t>Mewett</w:t>
      </w:r>
      <w:proofErr w:type="spellEnd"/>
      <w:r w:rsidR="00D3051D" w:rsidRPr="00AF6CFE">
        <w:rPr>
          <w:i/>
        </w:rPr>
        <w:t xml:space="preserve"> &amp; </w:t>
      </w:r>
      <w:proofErr w:type="spellStart"/>
      <w:r w:rsidR="00D3051D" w:rsidRPr="00AF6CFE">
        <w:rPr>
          <w:i/>
        </w:rPr>
        <w:t>Sankoff</w:t>
      </w:r>
      <w:proofErr w:type="spellEnd"/>
      <w:r w:rsidR="00D3051D" w:rsidRPr="00AF6CFE">
        <w:rPr>
          <w:i/>
        </w:rPr>
        <w:t>:  Criminal Law</w:t>
      </w:r>
      <w:r w:rsidR="00D3051D" w:rsidRPr="00AF6CFE">
        <w:t xml:space="preserve">, 4th </w:t>
      </w:r>
      <w:proofErr w:type="gramStart"/>
      <w:r w:rsidR="00D3051D" w:rsidRPr="00AF6CFE">
        <w:t>ed</w:t>
      </w:r>
      <w:proofErr w:type="gramEnd"/>
      <w:r w:rsidR="00D3051D" w:rsidRPr="00AF6CFE">
        <w:t>.</w:t>
      </w:r>
      <w:r w:rsidR="00F1155A" w:rsidRPr="00AF6CFE">
        <w:t xml:space="preserve"> </w:t>
      </w:r>
      <w:r w:rsidR="0000587C" w:rsidRPr="00AF6CFE">
        <w:t xml:space="preserve"> </w:t>
      </w:r>
      <w:r w:rsidR="00D3051D" w:rsidRPr="00AF6CFE">
        <w:t xml:space="preserve">Markham, Ont.:  LexisNexis, </w:t>
      </w:r>
      <w:r w:rsidR="0000587C" w:rsidRPr="00AF6CFE">
        <w:t>2009.</w:t>
      </w:r>
    </w:p>
    <w:p w:rsidR="00F02C73" w:rsidRPr="00AF6CFE" w:rsidRDefault="00F02C73" w:rsidP="0009225F">
      <w:pPr>
        <w:pStyle w:val="SCCNormalDoubleSpacing"/>
        <w:spacing w:after="240" w:line="240" w:lineRule="auto"/>
        <w:ind w:left="539" w:hanging="539"/>
      </w:pPr>
      <w:proofErr w:type="spellStart"/>
      <w:r w:rsidRPr="00AF6CFE">
        <w:t>Ormerod</w:t>
      </w:r>
      <w:proofErr w:type="spellEnd"/>
      <w:r w:rsidRPr="00AF6CFE">
        <w:t xml:space="preserve">, David.  </w:t>
      </w:r>
      <w:r w:rsidRPr="00AF6CFE">
        <w:rPr>
          <w:i/>
        </w:rPr>
        <w:t>Smith and Hogan</w:t>
      </w:r>
      <w:r w:rsidR="00D430CE" w:rsidRPr="00AF6CFE">
        <w:rPr>
          <w:i/>
        </w:rPr>
        <w:t>’s</w:t>
      </w:r>
      <w:r w:rsidRPr="00AF6CFE">
        <w:rPr>
          <w:i/>
        </w:rPr>
        <w:t xml:space="preserve"> Criminal Law</w:t>
      </w:r>
      <w:r w:rsidR="002721EC" w:rsidRPr="00AF6CFE">
        <w:t>,</w:t>
      </w:r>
      <w:r w:rsidR="00D430CE" w:rsidRPr="00AF6CFE">
        <w:t xml:space="preserve"> </w:t>
      </w:r>
      <w:r w:rsidR="002721EC" w:rsidRPr="00AF6CFE">
        <w:t xml:space="preserve">13th </w:t>
      </w:r>
      <w:proofErr w:type="gramStart"/>
      <w:r w:rsidR="002721EC" w:rsidRPr="00AF6CFE">
        <w:t>ed</w:t>
      </w:r>
      <w:proofErr w:type="gramEnd"/>
      <w:r w:rsidR="002721EC" w:rsidRPr="00AF6CFE">
        <w:t xml:space="preserve">. </w:t>
      </w:r>
      <w:r w:rsidRPr="00AF6CFE">
        <w:t xml:space="preserve"> </w:t>
      </w:r>
      <w:r w:rsidR="00D430CE" w:rsidRPr="00AF6CFE">
        <w:t>Oxford</w:t>
      </w:r>
      <w:r w:rsidR="002721EC" w:rsidRPr="00AF6CFE">
        <w:t>:  Oxford University Press</w:t>
      </w:r>
      <w:r w:rsidRPr="00AF6CFE">
        <w:t>, 2011.</w:t>
      </w:r>
    </w:p>
    <w:p w:rsidR="00906978" w:rsidRPr="00AF6CFE" w:rsidRDefault="00906978" w:rsidP="0009225F">
      <w:pPr>
        <w:pStyle w:val="SCCNormalDoubleSpacing"/>
        <w:spacing w:after="240" w:line="240" w:lineRule="auto"/>
        <w:ind w:left="539" w:hanging="539"/>
      </w:pPr>
      <w:proofErr w:type="gramStart"/>
      <w:r w:rsidRPr="00AF6CFE">
        <w:rPr>
          <w:i/>
        </w:rPr>
        <w:t xml:space="preserve">Oxford Dictionary </w:t>
      </w:r>
      <w:r w:rsidR="00D3051D" w:rsidRPr="00AF6CFE">
        <w:rPr>
          <w:i/>
        </w:rPr>
        <w:t>of English</w:t>
      </w:r>
      <w:r w:rsidR="00D3051D" w:rsidRPr="00AF6CFE">
        <w:t>, 2nd ed., rev.</w:t>
      </w:r>
      <w:proofErr w:type="gramEnd"/>
      <w:r w:rsidR="00D3051D" w:rsidRPr="00AF6CFE">
        <w:t xml:space="preserve">  Oxford:  Oxford University Press, </w:t>
      </w:r>
      <w:r w:rsidRPr="00AF6CFE">
        <w:t>2005, “abandon”, “desert”, “expose”.</w:t>
      </w:r>
    </w:p>
    <w:p w:rsidR="00CE71C9" w:rsidRPr="00AF6CFE" w:rsidRDefault="00CE71C9" w:rsidP="0009225F">
      <w:pPr>
        <w:pStyle w:val="SCCNormalDoubleSpacing"/>
        <w:spacing w:after="240" w:line="240" w:lineRule="auto"/>
        <w:ind w:left="539" w:hanging="539"/>
      </w:pPr>
      <w:r w:rsidRPr="00AF6CFE">
        <w:rPr>
          <w:i/>
        </w:rPr>
        <w:t>Oxford English Dictionary</w:t>
      </w:r>
      <w:r w:rsidRPr="00AF6CFE">
        <w:t xml:space="preserve">, 2nd </w:t>
      </w:r>
      <w:proofErr w:type="gramStart"/>
      <w:r w:rsidRPr="00AF6CFE">
        <w:t>ed</w:t>
      </w:r>
      <w:proofErr w:type="gramEnd"/>
      <w:r w:rsidRPr="00AF6CFE">
        <w:t>.  Oxford:  Clarendon Press, 1989.</w:t>
      </w:r>
    </w:p>
    <w:p w:rsidR="0000587C" w:rsidRPr="00AF6CFE" w:rsidRDefault="0000587C" w:rsidP="0009225F">
      <w:pPr>
        <w:pStyle w:val="SCCNormalDoubleSpacing"/>
        <w:spacing w:after="240" w:line="240" w:lineRule="auto"/>
        <w:ind w:left="539" w:hanging="539"/>
      </w:pPr>
      <w:r w:rsidRPr="00AF6CFE">
        <w:t xml:space="preserve">Roach, </w:t>
      </w:r>
      <w:r w:rsidR="00F1155A" w:rsidRPr="00AF6CFE">
        <w:t xml:space="preserve">Kent.  </w:t>
      </w:r>
      <w:r w:rsidRPr="00AF6CFE">
        <w:t xml:space="preserve">“Common Law Bills of Rights as Dialogue </w:t>
      </w:r>
      <w:proofErr w:type="gramStart"/>
      <w:r w:rsidRPr="00AF6CFE">
        <w:t>Between</w:t>
      </w:r>
      <w:proofErr w:type="gramEnd"/>
      <w:r w:rsidRPr="00AF6CFE">
        <w:t xml:space="preserve"> Courts </w:t>
      </w:r>
      <w:r w:rsidR="00F1155A" w:rsidRPr="00AF6CFE">
        <w:t xml:space="preserve">and Legislatures” (2005), 55 </w:t>
      </w:r>
      <w:r w:rsidR="00F1155A" w:rsidRPr="00AF6CFE">
        <w:rPr>
          <w:i/>
        </w:rPr>
        <w:t>U.</w:t>
      </w:r>
      <w:r w:rsidRPr="00AF6CFE">
        <w:rPr>
          <w:i/>
        </w:rPr>
        <w:t>T.L.J.</w:t>
      </w:r>
      <w:r w:rsidRPr="00AF6CFE">
        <w:t xml:space="preserve"> 733.</w:t>
      </w:r>
    </w:p>
    <w:p w:rsidR="0000587C" w:rsidRPr="00AF6CFE" w:rsidRDefault="00906978" w:rsidP="0009225F">
      <w:pPr>
        <w:pStyle w:val="SCCNormalDoubleSpacing"/>
        <w:spacing w:after="240" w:line="240" w:lineRule="auto"/>
        <w:ind w:left="539" w:hanging="539"/>
      </w:pPr>
      <w:r w:rsidRPr="00AF6CFE">
        <w:t xml:space="preserve">Roach, </w:t>
      </w:r>
      <w:r w:rsidR="00F1155A" w:rsidRPr="00AF6CFE">
        <w:t xml:space="preserve">Kent.  </w:t>
      </w:r>
      <w:r w:rsidRPr="00AF6CFE">
        <w:rPr>
          <w:i/>
        </w:rPr>
        <w:t>Criminal Law</w:t>
      </w:r>
      <w:r w:rsidR="00F1155A" w:rsidRPr="00AF6CFE">
        <w:t>,</w:t>
      </w:r>
      <w:r w:rsidRPr="00AF6CFE">
        <w:t xml:space="preserve"> 5th </w:t>
      </w:r>
      <w:proofErr w:type="gramStart"/>
      <w:r w:rsidRPr="00AF6CFE">
        <w:t>ed</w:t>
      </w:r>
      <w:proofErr w:type="gramEnd"/>
      <w:r w:rsidRPr="00AF6CFE">
        <w:t>.</w:t>
      </w:r>
      <w:r w:rsidR="00F1155A" w:rsidRPr="00AF6CFE">
        <w:t xml:space="preserve"> </w:t>
      </w:r>
      <w:r w:rsidRPr="00AF6CFE">
        <w:t xml:space="preserve"> </w:t>
      </w:r>
      <w:r w:rsidR="00D3051D" w:rsidRPr="00AF6CFE">
        <w:t xml:space="preserve">Toronto:  Irwin Law, </w:t>
      </w:r>
      <w:r w:rsidR="0000587C" w:rsidRPr="00AF6CFE">
        <w:t>2012.</w:t>
      </w:r>
    </w:p>
    <w:p w:rsidR="00906978" w:rsidRPr="00AF6CFE" w:rsidRDefault="00906978" w:rsidP="0009225F">
      <w:pPr>
        <w:pStyle w:val="SCCNormalDoubleSpacing"/>
        <w:spacing w:after="240" w:line="240" w:lineRule="auto"/>
        <w:ind w:left="539" w:hanging="539"/>
      </w:pPr>
      <w:r w:rsidRPr="00AF6CFE">
        <w:t xml:space="preserve">Stuart, </w:t>
      </w:r>
      <w:r w:rsidR="00F1155A" w:rsidRPr="00AF6CFE">
        <w:t xml:space="preserve">Don.  </w:t>
      </w:r>
      <w:r w:rsidRPr="00AF6CFE">
        <w:rPr>
          <w:i/>
        </w:rPr>
        <w:t>Canadian Criminal Law</w:t>
      </w:r>
      <w:r w:rsidR="00F60ECE" w:rsidRPr="00AF6CFE">
        <w:rPr>
          <w:i/>
        </w:rPr>
        <w:t>:  A Treatise</w:t>
      </w:r>
      <w:r w:rsidR="00F1155A" w:rsidRPr="00AF6CFE">
        <w:t>,</w:t>
      </w:r>
      <w:r w:rsidRPr="00AF6CFE">
        <w:t xml:space="preserve"> 6th</w:t>
      </w:r>
      <w:r w:rsidR="00F1155A" w:rsidRPr="00AF6CFE">
        <w:t xml:space="preserve"> </w:t>
      </w:r>
      <w:proofErr w:type="gramStart"/>
      <w:r w:rsidR="00F1155A" w:rsidRPr="00AF6CFE">
        <w:t>ed</w:t>
      </w:r>
      <w:proofErr w:type="gramEnd"/>
      <w:r w:rsidR="00F1155A" w:rsidRPr="00AF6CFE">
        <w:t xml:space="preserve">. </w:t>
      </w:r>
      <w:r w:rsidRPr="00AF6CFE">
        <w:t xml:space="preserve"> </w:t>
      </w:r>
      <w:r w:rsidR="00F60ECE" w:rsidRPr="00AF6CFE">
        <w:t xml:space="preserve">Scarborough, Ont.:  </w:t>
      </w:r>
      <w:proofErr w:type="spellStart"/>
      <w:r w:rsidR="00F60ECE" w:rsidRPr="00AF6CFE">
        <w:t>Carswell</w:t>
      </w:r>
      <w:proofErr w:type="spellEnd"/>
      <w:r w:rsidR="00F60ECE" w:rsidRPr="00AF6CFE">
        <w:t xml:space="preserve">, </w:t>
      </w:r>
      <w:r w:rsidRPr="00AF6CFE">
        <w:t>2011.</w:t>
      </w:r>
    </w:p>
    <w:p w:rsidR="00A676DD" w:rsidRPr="00AF6CFE" w:rsidRDefault="00A676DD" w:rsidP="0009225F">
      <w:pPr>
        <w:pStyle w:val="SCCNormalDoubleSpacing"/>
        <w:spacing w:after="240" w:line="240" w:lineRule="auto"/>
        <w:ind w:left="539" w:hanging="539"/>
      </w:pPr>
      <w:r w:rsidRPr="00AF6CFE">
        <w:t xml:space="preserve">Sullivan, Ruth.  </w:t>
      </w:r>
      <w:r w:rsidRPr="00AF6CFE">
        <w:rPr>
          <w:i/>
        </w:rPr>
        <w:t xml:space="preserve">Sullivan and </w:t>
      </w:r>
      <w:proofErr w:type="spellStart"/>
      <w:r w:rsidRPr="00AF6CFE">
        <w:rPr>
          <w:i/>
        </w:rPr>
        <w:t>Driedger</w:t>
      </w:r>
      <w:proofErr w:type="spellEnd"/>
      <w:r w:rsidRPr="00AF6CFE">
        <w:rPr>
          <w:i/>
        </w:rPr>
        <w:t xml:space="preserve"> on the Construction of Statutes</w:t>
      </w:r>
      <w:r w:rsidRPr="00AF6CFE">
        <w:t xml:space="preserve">, 4th </w:t>
      </w:r>
      <w:proofErr w:type="gramStart"/>
      <w:r w:rsidRPr="00AF6CFE">
        <w:t>ed</w:t>
      </w:r>
      <w:proofErr w:type="gramEnd"/>
      <w:r w:rsidRPr="00AF6CFE">
        <w:t xml:space="preserve">.  Markham, Ont.:  </w:t>
      </w:r>
      <w:proofErr w:type="spellStart"/>
      <w:r w:rsidRPr="00AF6CFE">
        <w:t>Butterworths</w:t>
      </w:r>
      <w:proofErr w:type="spellEnd"/>
      <w:r w:rsidRPr="00AF6CFE">
        <w:t>, 2002.</w:t>
      </w:r>
    </w:p>
    <w:p w:rsidR="0000587C" w:rsidRPr="00AF6CFE" w:rsidRDefault="0000587C" w:rsidP="0009225F">
      <w:pPr>
        <w:pStyle w:val="SCCNormalDoubleSpacing"/>
        <w:spacing w:after="720" w:line="240" w:lineRule="auto"/>
        <w:ind w:left="540" w:hanging="540"/>
      </w:pPr>
      <w:r w:rsidRPr="00AF6CFE">
        <w:t xml:space="preserve">Sullivan, </w:t>
      </w:r>
      <w:r w:rsidR="00F1155A" w:rsidRPr="00AF6CFE">
        <w:t xml:space="preserve">Ruth.  </w:t>
      </w:r>
      <w:r w:rsidRPr="00AF6CFE">
        <w:rPr>
          <w:i/>
        </w:rPr>
        <w:t>Sullivan on the Construction of Statutes</w:t>
      </w:r>
      <w:r w:rsidR="00F1155A" w:rsidRPr="00AF6CFE">
        <w:t>,</w:t>
      </w:r>
      <w:r w:rsidR="008F5F7D" w:rsidRPr="00AF6CFE">
        <w:t xml:space="preserve"> 5</w:t>
      </w:r>
      <w:r w:rsidRPr="00AF6CFE">
        <w:t>th</w:t>
      </w:r>
      <w:r w:rsidR="00F1155A" w:rsidRPr="00AF6CFE">
        <w:t xml:space="preserve"> </w:t>
      </w:r>
      <w:proofErr w:type="gramStart"/>
      <w:r w:rsidR="00F1155A" w:rsidRPr="00AF6CFE">
        <w:t>ed</w:t>
      </w:r>
      <w:proofErr w:type="gramEnd"/>
      <w:r w:rsidR="00F1155A" w:rsidRPr="00AF6CFE">
        <w:t xml:space="preserve">. </w:t>
      </w:r>
      <w:r w:rsidRPr="00AF6CFE">
        <w:t xml:space="preserve"> </w:t>
      </w:r>
      <w:r w:rsidR="00F60ECE" w:rsidRPr="00AF6CFE">
        <w:t xml:space="preserve">Markham, Ont.:  </w:t>
      </w:r>
      <w:r w:rsidR="003A0178" w:rsidRPr="00AF6CFE">
        <w:t>LexisNexis</w:t>
      </w:r>
      <w:r w:rsidR="00F60ECE" w:rsidRPr="00AF6CFE">
        <w:t xml:space="preserve">, </w:t>
      </w:r>
      <w:r w:rsidRPr="00AF6CFE">
        <w:t>200</w:t>
      </w:r>
      <w:r w:rsidR="008F5F7D" w:rsidRPr="00AF6CFE">
        <w:t>8</w:t>
      </w:r>
      <w:r w:rsidRPr="00AF6CFE">
        <w:t>.</w:t>
      </w:r>
    </w:p>
    <w:p w:rsidR="00656313" w:rsidRPr="00AF6CFE" w:rsidRDefault="00EA1465" w:rsidP="0009225F">
      <w:pPr>
        <w:pStyle w:val="SCCNormalDoubleSpacing"/>
        <w:spacing w:after="480"/>
      </w:pPr>
      <w:r w:rsidRPr="00AF6CFE">
        <w:lastRenderedPageBreak/>
        <w:tab/>
      </w:r>
      <w:r w:rsidR="009B57B3" w:rsidRPr="00AF6CFE">
        <w:t xml:space="preserve">APPEAL from a judgment of the </w:t>
      </w:r>
      <w:r w:rsidRPr="00AF6CFE">
        <w:t>Saskatchewan Court of Appeal</w:t>
      </w:r>
      <w:r w:rsidR="005465AB" w:rsidRPr="00AF6CFE">
        <w:t xml:space="preserve"> (Richards, Smith and </w:t>
      </w:r>
      <w:proofErr w:type="spellStart"/>
      <w:r w:rsidR="005465AB" w:rsidRPr="00AF6CFE">
        <w:t>Ottenbreit</w:t>
      </w:r>
      <w:proofErr w:type="spellEnd"/>
      <w:r w:rsidR="00340773" w:rsidRPr="00AF6CFE">
        <w:t> </w:t>
      </w:r>
      <w:r w:rsidR="005465AB" w:rsidRPr="00AF6CFE">
        <w:t xml:space="preserve">JJ.A.), </w:t>
      </w:r>
      <w:bookmarkStart w:id="0" w:name="OLE_LINK1"/>
      <w:bookmarkStart w:id="1" w:name="OLE_LINK2"/>
      <w:r w:rsidR="005465AB" w:rsidRPr="00AF6CFE">
        <w:t>2011 SKCA 6</w:t>
      </w:r>
      <w:bookmarkEnd w:id="0"/>
      <w:bookmarkEnd w:id="1"/>
      <w:r w:rsidR="005465AB" w:rsidRPr="00AF6CFE">
        <w:t xml:space="preserve">, 366 Sask. R. 123, 266 C.C.C. (3d) 101, 81 C.R. (6th) 303, [2011] 6 W.W.R. 10, </w:t>
      </w:r>
      <w:r w:rsidR="00D4710B" w:rsidRPr="00AF6CFE">
        <w:t xml:space="preserve">506 W.A.C. 123, </w:t>
      </w:r>
      <w:r w:rsidR="005465AB" w:rsidRPr="00AF6CFE">
        <w:t xml:space="preserve">[2011] S.J. </w:t>
      </w:r>
      <w:r w:rsidR="00DB07F5" w:rsidRPr="00AF6CFE">
        <w:t>No. </w:t>
      </w:r>
      <w:r w:rsidR="005465AB" w:rsidRPr="00AF6CFE">
        <w:t xml:space="preserve">5 (QL), 2011 </w:t>
      </w:r>
      <w:proofErr w:type="spellStart"/>
      <w:r w:rsidR="005465AB" w:rsidRPr="00AF6CFE">
        <w:t>CarswellSask</w:t>
      </w:r>
      <w:proofErr w:type="spellEnd"/>
      <w:r w:rsidR="005465AB" w:rsidRPr="00AF6CFE">
        <w:t xml:space="preserve"> 10, affirming the acquittal entered by </w:t>
      </w:r>
      <w:proofErr w:type="spellStart"/>
      <w:r w:rsidR="005465AB" w:rsidRPr="00AF6CFE">
        <w:t>Gabrielson</w:t>
      </w:r>
      <w:proofErr w:type="spellEnd"/>
      <w:r w:rsidR="005465AB" w:rsidRPr="00AF6CFE">
        <w:t xml:space="preserve"> J., 2009 SKQB 261, 335 Sask. R. 173, 68 C.R. (6th) 74, [2009] S.J. </w:t>
      </w:r>
      <w:r w:rsidR="00DB07F5" w:rsidRPr="00AF6CFE">
        <w:t>No. </w:t>
      </w:r>
      <w:r w:rsidR="005465AB" w:rsidRPr="00AF6CFE">
        <w:t xml:space="preserve">362 (QL), 2009 </w:t>
      </w:r>
      <w:proofErr w:type="spellStart"/>
      <w:r w:rsidR="005465AB" w:rsidRPr="00AF6CFE">
        <w:t>CarswellSask</w:t>
      </w:r>
      <w:proofErr w:type="spellEnd"/>
      <w:r w:rsidR="005465AB" w:rsidRPr="00AF6CFE">
        <w:t xml:space="preserve"> 388</w:t>
      </w:r>
      <w:r w:rsidRPr="00AF6CFE">
        <w:t xml:space="preserve">.  Appeal </w:t>
      </w:r>
      <w:r w:rsidR="0076319C" w:rsidRPr="00AF6CFE">
        <w:t>dismissed</w:t>
      </w:r>
      <w:r w:rsidRPr="00AF6CFE">
        <w:t>.</w:t>
      </w:r>
    </w:p>
    <w:p w:rsidR="00D90D90" w:rsidRPr="00AF6CFE" w:rsidRDefault="0009225F" w:rsidP="0009225F">
      <w:pPr>
        <w:pStyle w:val="SCCNormalDoubleSpacing"/>
        <w:spacing w:after="480"/>
      </w:pPr>
      <w:r w:rsidRPr="00080AF9">
        <w:rPr>
          <w:i/>
        </w:rPr>
        <w:tab/>
      </w:r>
      <w:proofErr w:type="gramStart"/>
      <w:r w:rsidRPr="00080AF9">
        <w:rPr>
          <w:i/>
        </w:rPr>
        <w:t>Beverly </w:t>
      </w:r>
      <w:r w:rsidR="00812B08" w:rsidRPr="00080AF9">
        <w:rPr>
          <w:i/>
        </w:rPr>
        <w:t xml:space="preserve">L. </w:t>
      </w:r>
      <w:proofErr w:type="spellStart"/>
      <w:r w:rsidR="00812B08" w:rsidRPr="00080AF9">
        <w:rPr>
          <w:i/>
        </w:rPr>
        <w:t>Klatt</w:t>
      </w:r>
      <w:proofErr w:type="spellEnd"/>
      <w:r w:rsidR="00812B08" w:rsidRPr="00AF6CFE">
        <w:t xml:space="preserve"> and </w:t>
      </w:r>
      <w:r w:rsidRPr="00080AF9">
        <w:rPr>
          <w:i/>
        </w:rPr>
        <w:t>W. </w:t>
      </w:r>
      <w:r w:rsidR="00812B08" w:rsidRPr="00080AF9">
        <w:rPr>
          <w:i/>
        </w:rPr>
        <w:t>Dean Sinclair</w:t>
      </w:r>
      <w:r w:rsidR="00812B08" w:rsidRPr="00AF6CFE">
        <w:t>, for the appellant.</w:t>
      </w:r>
      <w:proofErr w:type="gramEnd"/>
    </w:p>
    <w:p w:rsidR="00D90D90" w:rsidRPr="00AF6CFE" w:rsidRDefault="0009225F" w:rsidP="0009225F">
      <w:pPr>
        <w:pStyle w:val="SCCNormalDoubleSpacing"/>
        <w:spacing w:after="480"/>
      </w:pPr>
      <w:r w:rsidRPr="00080AF9">
        <w:rPr>
          <w:i/>
        </w:rPr>
        <w:tab/>
      </w:r>
      <w:proofErr w:type="gramStart"/>
      <w:r w:rsidRPr="00080AF9">
        <w:rPr>
          <w:i/>
        </w:rPr>
        <w:t>Valerie </w:t>
      </w:r>
      <w:r w:rsidR="00812B08" w:rsidRPr="00080AF9">
        <w:rPr>
          <w:i/>
        </w:rPr>
        <w:t>N. Harvey</w:t>
      </w:r>
      <w:r w:rsidR="00812B08" w:rsidRPr="00AF6CFE">
        <w:t>, for the respondent.</w:t>
      </w:r>
      <w:proofErr w:type="gramEnd"/>
    </w:p>
    <w:p w:rsidR="00D90D90" w:rsidRPr="00AF6CFE" w:rsidRDefault="00812B08" w:rsidP="0009225F">
      <w:pPr>
        <w:pStyle w:val="SCCNormalDoubleSpacing"/>
        <w:spacing w:after="480"/>
      </w:pPr>
      <w:r w:rsidRPr="00080AF9">
        <w:rPr>
          <w:i/>
        </w:rPr>
        <w:tab/>
      </w:r>
      <w:proofErr w:type="gramStart"/>
      <w:r w:rsidRPr="00080AF9">
        <w:rPr>
          <w:i/>
        </w:rPr>
        <w:t>Gillian Roberts</w:t>
      </w:r>
      <w:r w:rsidRPr="00AF6CFE">
        <w:t xml:space="preserve"> and </w:t>
      </w:r>
      <w:r w:rsidRPr="00080AF9">
        <w:rPr>
          <w:i/>
        </w:rPr>
        <w:t xml:space="preserve">Jamie </w:t>
      </w:r>
      <w:proofErr w:type="spellStart"/>
      <w:r w:rsidRPr="00080AF9">
        <w:rPr>
          <w:i/>
        </w:rPr>
        <w:t>Klukach</w:t>
      </w:r>
      <w:proofErr w:type="spellEnd"/>
      <w:r w:rsidRPr="00AF6CFE">
        <w:t>, for the intervener.</w:t>
      </w:r>
      <w:proofErr w:type="gramEnd"/>
    </w:p>
    <w:p w:rsidR="00A30AF3" w:rsidRPr="003F71FB" w:rsidRDefault="003F71FB" w:rsidP="003F71FB">
      <w:pPr>
        <w:pStyle w:val="JudgeJuge"/>
        <w:jc w:val="both"/>
        <w:rPr>
          <w:smallCaps w:val="0"/>
        </w:rPr>
      </w:pPr>
      <w:r>
        <w:tab/>
      </w:r>
      <w:proofErr w:type="gramStart"/>
      <w:r w:rsidRPr="003F71FB">
        <w:rPr>
          <w:smallCaps w:val="0"/>
        </w:rPr>
        <w:t xml:space="preserve">The </w:t>
      </w:r>
      <w:r>
        <w:rPr>
          <w:smallCaps w:val="0"/>
        </w:rPr>
        <w:t xml:space="preserve">judgment of McLachlin C.J. and Fish, </w:t>
      </w:r>
      <w:proofErr w:type="spellStart"/>
      <w:r>
        <w:rPr>
          <w:smallCaps w:val="0"/>
        </w:rPr>
        <w:t>Abella</w:t>
      </w:r>
      <w:proofErr w:type="spellEnd"/>
      <w:r>
        <w:rPr>
          <w:smallCaps w:val="0"/>
        </w:rPr>
        <w:t xml:space="preserve">, Cromwell and </w:t>
      </w:r>
      <w:proofErr w:type="spellStart"/>
      <w:r>
        <w:rPr>
          <w:smallCaps w:val="0"/>
        </w:rPr>
        <w:t>Karakatsanis</w:t>
      </w:r>
      <w:proofErr w:type="spellEnd"/>
      <w:r>
        <w:rPr>
          <w:smallCaps w:val="0"/>
        </w:rPr>
        <w:t xml:space="preserve"> JJ.</w:t>
      </w:r>
      <w:proofErr w:type="gramEnd"/>
      <w:r>
        <w:rPr>
          <w:smallCaps w:val="0"/>
        </w:rPr>
        <w:t xml:space="preserve"> </w:t>
      </w:r>
      <w:proofErr w:type="gramStart"/>
      <w:r>
        <w:rPr>
          <w:smallCaps w:val="0"/>
        </w:rPr>
        <w:t>was</w:t>
      </w:r>
      <w:proofErr w:type="gramEnd"/>
      <w:r>
        <w:rPr>
          <w:smallCaps w:val="0"/>
        </w:rPr>
        <w:t xml:space="preserve"> delivered by</w:t>
      </w:r>
    </w:p>
    <w:p w:rsidR="00A02B78" w:rsidRPr="00863359" w:rsidRDefault="00A02B78" w:rsidP="00A02B78">
      <w:pPr>
        <w:pStyle w:val="JudgeJuge"/>
      </w:pPr>
      <w:r w:rsidRPr="00863359">
        <w:tab/>
      </w:r>
      <w:proofErr w:type="gramStart"/>
      <w:r w:rsidRPr="00863359">
        <w:t>Cromwell J. —</w:t>
      </w:r>
      <w:proofErr w:type="gramEnd"/>
    </w:p>
    <w:p w:rsidR="00A02B78" w:rsidRPr="00863359" w:rsidRDefault="00A02B78" w:rsidP="00A02B78">
      <w:pPr>
        <w:pStyle w:val="TitleTitre-AltT"/>
        <w:rPr>
          <w:rFonts w:cs="Times New Roman"/>
          <w:u w:val="single"/>
        </w:rPr>
      </w:pPr>
      <w:bookmarkStart w:id="2" w:name="_Toc343554185"/>
      <w:r w:rsidRPr="00863359">
        <w:rPr>
          <w:rFonts w:cs="Times New Roman"/>
        </w:rPr>
        <w:t>I.</w:t>
      </w:r>
      <w:r w:rsidRPr="00863359">
        <w:rPr>
          <w:rFonts w:cs="Times New Roman"/>
        </w:rPr>
        <w:tab/>
      </w:r>
      <w:r w:rsidRPr="00863359">
        <w:rPr>
          <w:rFonts w:cs="Times New Roman"/>
          <w:u w:val="single"/>
        </w:rPr>
        <w:t>Overview</w:t>
      </w:r>
      <w:bookmarkEnd w:id="2"/>
      <w:r w:rsidRPr="00863359">
        <w:rPr>
          <w:rFonts w:cs="Times New Roman"/>
          <w:u w:val="single"/>
        </w:rPr>
        <w:t xml:space="preserve"> and Issue</w:t>
      </w:r>
    </w:p>
    <w:p w:rsidR="00A02B78" w:rsidRPr="00863359" w:rsidRDefault="00A02B78" w:rsidP="00A02B78">
      <w:pPr>
        <w:pStyle w:val="ParaNoNdepar-AltN"/>
        <w:tabs>
          <w:tab w:val="clear" w:pos="1166"/>
          <w:tab w:val="num" w:pos="1152"/>
        </w:tabs>
        <w:rPr>
          <w:rFonts w:cs="Times New Roman"/>
        </w:rPr>
      </w:pPr>
      <w:r w:rsidRPr="00863359">
        <w:rPr>
          <w:rFonts w:cs="Times New Roman"/>
        </w:rPr>
        <w:t xml:space="preserve">Criminal offences generally consist of prohibited conduct (the </w:t>
      </w:r>
      <w:proofErr w:type="spellStart"/>
      <w:r w:rsidRPr="00863359">
        <w:rPr>
          <w:rFonts w:cs="Times New Roman"/>
          <w:i/>
        </w:rPr>
        <w:t>actus</w:t>
      </w:r>
      <w:proofErr w:type="spellEnd"/>
      <w:r w:rsidRPr="00863359">
        <w:rPr>
          <w:rFonts w:cs="Times New Roman"/>
          <w:i/>
        </w:rPr>
        <w:t xml:space="preserve"> </w:t>
      </w:r>
      <w:proofErr w:type="spellStart"/>
      <w:proofErr w:type="gramStart"/>
      <w:r w:rsidRPr="00863359">
        <w:rPr>
          <w:rFonts w:cs="Times New Roman"/>
          <w:i/>
        </w:rPr>
        <w:t>reus</w:t>
      </w:r>
      <w:proofErr w:type="spellEnd"/>
      <w:proofErr w:type="gramEnd"/>
      <w:r w:rsidRPr="00863359">
        <w:rPr>
          <w:rFonts w:cs="Times New Roman"/>
        </w:rPr>
        <w:t xml:space="preserve">) which is committed with a required element of fault (the </w:t>
      </w:r>
      <w:proofErr w:type="spellStart"/>
      <w:r w:rsidRPr="00863359">
        <w:rPr>
          <w:rFonts w:cs="Times New Roman"/>
          <w:i/>
        </w:rPr>
        <w:t>mens</w:t>
      </w:r>
      <w:proofErr w:type="spellEnd"/>
      <w:r w:rsidRPr="00863359">
        <w:rPr>
          <w:rFonts w:cs="Times New Roman"/>
          <w:i/>
        </w:rPr>
        <w:t xml:space="preserve"> </w:t>
      </w:r>
      <w:proofErr w:type="spellStart"/>
      <w:r w:rsidRPr="00863359">
        <w:rPr>
          <w:rFonts w:cs="Times New Roman"/>
          <w:i/>
        </w:rPr>
        <w:t>rea</w:t>
      </w:r>
      <w:proofErr w:type="spellEnd"/>
      <w:r w:rsidRPr="00863359">
        <w:rPr>
          <w:rFonts w:cs="Times New Roman"/>
        </w:rPr>
        <w:t xml:space="preserve">). This appeal concerns the offence of child abandonment under s. 218 of the </w:t>
      </w:r>
      <w:r w:rsidRPr="00863359">
        <w:rPr>
          <w:rFonts w:cs="Times New Roman"/>
          <w:i/>
        </w:rPr>
        <w:t>Criminal Code</w:t>
      </w:r>
      <w:r>
        <w:rPr>
          <w:rFonts w:cs="Times New Roman"/>
        </w:rPr>
        <w:t xml:space="preserve">, R.S.C. 1985, </w:t>
      </w:r>
      <w:proofErr w:type="gramStart"/>
      <w:r>
        <w:rPr>
          <w:rFonts w:cs="Times New Roman"/>
        </w:rPr>
        <w:t>c</w:t>
      </w:r>
      <w:proofErr w:type="gramEnd"/>
      <w:r>
        <w:rPr>
          <w:rFonts w:cs="Times New Roman"/>
        </w:rPr>
        <w:t>. C-46 (“</w:t>
      </w:r>
      <w:r w:rsidRPr="008E6B7B">
        <w:rPr>
          <w:rFonts w:cs="Times New Roman"/>
          <w:i/>
        </w:rPr>
        <w:t>C</w:t>
      </w:r>
      <w:r w:rsidRPr="00F20E93">
        <w:rPr>
          <w:rFonts w:cs="Times New Roman"/>
          <w:i/>
        </w:rPr>
        <w:t>ode</w:t>
      </w:r>
      <w:r>
        <w:rPr>
          <w:rFonts w:cs="Times New Roman"/>
        </w:rPr>
        <w:t>”)</w:t>
      </w:r>
      <w:r w:rsidRPr="00314B8E">
        <w:rPr>
          <w:rFonts w:cs="Times New Roman"/>
        </w:rPr>
        <w:t>.</w:t>
      </w:r>
      <w:r w:rsidRPr="00863359">
        <w:rPr>
          <w:rFonts w:cs="Times New Roman"/>
          <w:i/>
        </w:rPr>
        <w:t xml:space="preserve"> </w:t>
      </w:r>
      <w:r w:rsidRPr="00863359">
        <w:rPr>
          <w:rFonts w:cs="Times New Roman"/>
        </w:rPr>
        <w:t>The provision prohibits abandoning or expo</w:t>
      </w:r>
      <w:r>
        <w:rPr>
          <w:rFonts w:cs="Times New Roman"/>
        </w:rPr>
        <w:t xml:space="preserve">sing a child </w:t>
      </w:r>
      <w:r>
        <w:rPr>
          <w:rFonts w:cs="Times New Roman"/>
        </w:rPr>
        <w:lastRenderedPageBreak/>
        <w:t>under the age of 10</w:t>
      </w:r>
      <w:r w:rsidRPr="00863359">
        <w:rPr>
          <w:rFonts w:cs="Times New Roman"/>
        </w:rPr>
        <w:t xml:space="preserve"> years so that the child’s life is (or is likely to be) endangered, or its health is (or is likely to be) permanently injured. (The full text of the provision is found in the Appendix.) The question on appeal concerns the fault element of the offence: Is the fault element to be assessed subjectively or objectively?  </w:t>
      </w:r>
    </w:p>
    <w:p w:rsidR="00A02B78" w:rsidRPr="00863359" w:rsidRDefault="00A02B78" w:rsidP="00A02B78">
      <w:pPr>
        <w:pStyle w:val="ParaNoNdepar-AltN"/>
        <w:tabs>
          <w:tab w:val="clear" w:pos="1166"/>
          <w:tab w:val="num" w:pos="1152"/>
        </w:tabs>
        <w:rPr>
          <w:rFonts w:cs="Times New Roman"/>
        </w:rPr>
      </w:pPr>
      <w:r w:rsidRPr="00863359">
        <w:rPr>
          <w:rFonts w:cs="Times New Roman"/>
        </w:rPr>
        <w:t xml:space="preserve">The issue arises out of a heart-rending story which, fortunately, has a happy ending. The respondent, not previously knowing that she was pregnant, gave birth to a baby boy while using the toilet in a Wal-Mart store.  Thinking the child was </w:t>
      </w:r>
      <w:proofErr w:type="gramStart"/>
      <w:r w:rsidRPr="00863359">
        <w:rPr>
          <w:rFonts w:cs="Times New Roman"/>
        </w:rPr>
        <w:t>dead,</w:t>
      </w:r>
      <w:proofErr w:type="gramEnd"/>
      <w:r w:rsidRPr="00863359">
        <w:rPr>
          <w:rFonts w:cs="Times New Roman"/>
        </w:rPr>
        <w:t xml:space="preserve"> she cleaned up as best she could and left, leaving the child in the toilet. The child was in fact alive, was quickly attended to by others and, by all reports, is now a healthy little boy. The trial judge believed the respondent’s claim that she was not aware of her pregnancy until the child appeared and that she believed the child was dead when she left him. Thus, whether the fault element is assessed according to what the respondent actually knew or by what a reasonable person would have known and done </w:t>
      </w:r>
      <w:r>
        <w:rPr>
          <w:rFonts w:cs="Times New Roman"/>
        </w:rPr>
        <w:t xml:space="preserve">is </w:t>
      </w:r>
      <w:r w:rsidRPr="00863359">
        <w:rPr>
          <w:rFonts w:cs="Times New Roman"/>
        </w:rPr>
        <w:t xml:space="preserve">an important issue in </w:t>
      </w:r>
      <w:r>
        <w:rPr>
          <w:rFonts w:cs="Times New Roman"/>
        </w:rPr>
        <w:t xml:space="preserve">this </w:t>
      </w:r>
      <w:r w:rsidRPr="00863359">
        <w:rPr>
          <w:rFonts w:cs="Times New Roman"/>
        </w:rPr>
        <w:t xml:space="preserve">case. </w:t>
      </w:r>
    </w:p>
    <w:p w:rsidR="00A02B78" w:rsidRPr="00863359" w:rsidRDefault="00A02B78" w:rsidP="00A02B78">
      <w:pPr>
        <w:pStyle w:val="ParaNoNdepar-AltN"/>
        <w:tabs>
          <w:tab w:val="clear" w:pos="1166"/>
          <w:tab w:val="num" w:pos="1152"/>
        </w:tabs>
        <w:rPr>
          <w:rFonts w:cs="Times New Roman"/>
        </w:rPr>
      </w:pPr>
      <w:r w:rsidRPr="00863359">
        <w:rPr>
          <w:rFonts w:cs="Times New Roman"/>
        </w:rPr>
        <w:t>In general terms, when a fault element is assessed subjectively, the focus is on what the accuse</w:t>
      </w:r>
      <w:r>
        <w:rPr>
          <w:rFonts w:cs="Times New Roman"/>
        </w:rPr>
        <w:t>d actually knew: D</w:t>
      </w:r>
      <w:r w:rsidRPr="00863359">
        <w:rPr>
          <w:rFonts w:cs="Times New Roman"/>
        </w:rPr>
        <w:t xml:space="preserve">id the accused know that abandoning the child would put the child’s life or health at risk? If, as the respondent believed, the child was dead when she abandoned him, she would not know that her abandonment of him risked putting his life or health at risk. Again to speak generally, when assessed objectively, the focus is not on what the accused actually knew, but on whether a reasonable person in those circumstances would have seen the risk and </w:t>
      </w:r>
      <w:r w:rsidRPr="00863359">
        <w:rPr>
          <w:rFonts w:cs="Times New Roman"/>
        </w:rPr>
        <w:lastRenderedPageBreak/>
        <w:t xml:space="preserve">whether the </w:t>
      </w:r>
      <w:proofErr w:type="spellStart"/>
      <w:r w:rsidRPr="00863359">
        <w:rPr>
          <w:rFonts w:cs="Times New Roman"/>
        </w:rPr>
        <w:t>accused’s</w:t>
      </w:r>
      <w:proofErr w:type="spellEnd"/>
      <w:r w:rsidRPr="00863359">
        <w:rPr>
          <w:rFonts w:cs="Times New Roman"/>
        </w:rPr>
        <w:t xml:space="preserve"> conduct is a marked departure from what a reasonable person would have done. If a court were persuaded that a reasonable person would have seen the risk of abandoning the child in these circum</w:t>
      </w:r>
      <w:r>
        <w:rPr>
          <w:rFonts w:cs="Times New Roman"/>
        </w:rPr>
        <w:t xml:space="preserve">stances and concluded that the </w:t>
      </w:r>
      <w:proofErr w:type="spellStart"/>
      <w:r>
        <w:rPr>
          <w:rFonts w:cs="Times New Roman"/>
        </w:rPr>
        <w:t>accused</w:t>
      </w:r>
      <w:r w:rsidRPr="00863359">
        <w:rPr>
          <w:rFonts w:cs="Times New Roman"/>
        </w:rPr>
        <w:t>’s</w:t>
      </w:r>
      <w:proofErr w:type="spellEnd"/>
      <w:r w:rsidRPr="00863359">
        <w:rPr>
          <w:rFonts w:cs="Times New Roman"/>
        </w:rPr>
        <w:t xml:space="preserve"> conduct was a marked departure from that expected of a reasonable person, the fault element would be established even though the </w:t>
      </w:r>
      <w:r>
        <w:rPr>
          <w:rFonts w:cs="Times New Roman"/>
        </w:rPr>
        <w:t xml:space="preserve">accused </w:t>
      </w:r>
      <w:r w:rsidRPr="00863359">
        <w:rPr>
          <w:rFonts w:cs="Times New Roman"/>
        </w:rPr>
        <w:t>in fact did not see the risk.</w:t>
      </w:r>
    </w:p>
    <w:p w:rsidR="00A02B78" w:rsidRPr="00863359" w:rsidRDefault="00A02B78" w:rsidP="00A02B78">
      <w:pPr>
        <w:pStyle w:val="ParaNoNdepar-AltN"/>
        <w:tabs>
          <w:tab w:val="clear" w:pos="1166"/>
          <w:tab w:val="num" w:pos="1152"/>
        </w:tabs>
        <w:rPr>
          <w:rFonts w:cs="Times New Roman"/>
        </w:rPr>
      </w:pPr>
      <w:r w:rsidRPr="00863359">
        <w:rPr>
          <w:rFonts w:cs="Times New Roman"/>
        </w:rPr>
        <w:t>It follows that the issue for decision is this:</w:t>
      </w:r>
    </w:p>
    <w:p w:rsidR="00A02B78" w:rsidRPr="00863359" w:rsidRDefault="008E6B7B" w:rsidP="008E6B7B">
      <w:pPr>
        <w:pStyle w:val="ParaNoNdepar-AltN"/>
        <w:numPr>
          <w:ilvl w:val="0"/>
          <w:numId w:val="0"/>
        </w:numPr>
        <w:tabs>
          <w:tab w:val="left" w:pos="720"/>
        </w:tabs>
        <w:ind w:left="720" w:hanging="720"/>
        <w:rPr>
          <w:rFonts w:cs="Times New Roman"/>
        </w:rPr>
      </w:pPr>
      <w:r>
        <w:rPr>
          <w:rFonts w:cs="Times New Roman"/>
        </w:rPr>
        <w:t>•</w:t>
      </w:r>
      <w:r>
        <w:rPr>
          <w:rFonts w:cs="Times New Roman"/>
        </w:rPr>
        <w:tab/>
      </w:r>
      <w:r w:rsidR="00A02B78" w:rsidRPr="00863359">
        <w:rPr>
          <w:rFonts w:cs="Times New Roman"/>
        </w:rPr>
        <w:t xml:space="preserve">Does s. 218 </w:t>
      </w:r>
      <w:r w:rsidR="00A02B78">
        <w:rPr>
          <w:rFonts w:cs="Times New Roman"/>
        </w:rPr>
        <w:t xml:space="preserve">of the </w:t>
      </w:r>
      <w:r w:rsidR="00A02B78" w:rsidRPr="00747B64">
        <w:rPr>
          <w:rFonts w:cs="Times New Roman"/>
          <w:i/>
        </w:rPr>
        <w:t>Code</w:t>
      </w:r>
      <w:r w:rsidR="00A02B78">
        <w:rPr>
          <w:rFonts w:cs="Times New Roman"/>
        </w:rPr>
        <w:t xml:space="preserve"> </w:t>
      </w:r>
      <w:r w:rsidR="00A02B78" w:rsidRPr="00863359">
        <w:rPr>
          <w:rFonts w:cs="Times New Roman"/>
        </w:rPr>
        <w:t xml:space="preserve">require proof that the accused knew that the acts of alleged abandonment or exposure of a child were such that the abandoned child’s life was or was likely to be endangered or his or her health permanently injured, as the respondent contends? Or, as the appellant Crown contends, is the fault element </w:t>
      </w:r>
      <w:r w:rsidR="00A02B78">
        <w:rPr>
          <w:rFonts w:cs="Times New Roman"/>
        </w:rPr>
        <w:t xml:space="preserve">established by proof </w:t>
      </w:r>
      <w:r w:rsidR="00A02B78" w:rsidRPr="00863359">
        <w:rPr>
          <w:rFonts w:cs="Times New Roman"/>
        </w:rPr>
        <w:t>that the</w:t>
      </w:r>
      <w:r w:rsidR="00A02B78">
        <w:rPr>
          <w:rFonts w:cs="Times New Roman"/>
        </w:rPr>
        <w:t xml:space="preserve"> </w:t>
      </w:r>
      <w:proofErr w:type="spellStart"/>
      <w:r w:rsidR="00A02B78">
        <w:rPr>
          <w:rFonts w:cs="Times New Roman"/>
        </w:rPr>
        <w:t>accused</w:t>
      </w:r>
      <w:r w:rsidR="00A02B78" w:rsidRPr="00863359">
        <w:rPr>
          <w:rFonts w:cs="Times New Roman"/>
        </w:rPr>
        <w:t>’s</w:t>
      </w:r>
      <w:proofErr w:type="spellEnd"/>
      <w:r w:rsidR="00A02B78" w:rsidRPr="00863359">
        <w:rPr>
          <w:rFonts w:cs="Times New Roman"/>
        </w:rPr>
        <w:t xml:space="preserve"> conduct constituted a marked departure from that expected of a reasonable person in the same circumstances and that the risk to the child’s life or health would have been a foreseeable result by such a person?</w:t>
      </w:r>
    </w:p>
    <w:p w:rsidR="00A02B78" w:rsidRPr="00863359" w:rsidRDefault="00A02B78" w:rsidP="00A02B78">
      <w:pPr>
        <w:pStyle w:val="ParaNoNdepar-AltN"/>
        <w:tabs>
          <w:tab w:val="clear" w:pos="1166"/>
          <w:tab w:val="num" w:pos="1152"/>
        </w:tabs>
        <w:rPr>
          <w:rFonts w:cs="Times New Roman"/>
        </w:rPr>
      </w:pPr>
      <w:r w:rsidRPr="00863359">
        <w:rPr>
          <w:rFonts w:cs="Times New Roman"/>
        </w:rPr>
        <w:t>As I will explain, I agree with the respondent that the trial judge and the majority judges of the Court of Appeal were correct to require subjective fault.  I would therefore dismiss the Crown’s appeal.</w:t>
      </w:r>
    </w:p>
    <w:p w:rsidR="00A02B78" w:rsidRPr="00863359" w:rsidRDefault="00A02B78" w:rsidP="00A02B78">
      <w:pPr>
        <w:pStyle w:val="TitleTitre-AltT"/>
        <w:rPr>
          <w:rFonts w:cs="Times New Roman"/>
          <w:u w:val="single"/>
        </w:rPr>
      </w:pPr>
      <w:bookmarkStart w:id="3" w:name="_Toc320021602"/>
      <w:bookmarkStart w:id="4" w:name="_Toc343554186"/>
      <w:r w:rsidRPr="00863359">
        <w:rPr>
          <w:rFonts w:cs="Times New Roman"/>
        </w:rPr>
        <w:t>II.</w:t>
      </w:r>
      <w:r w:rsidRPr="00863359">
        <w:rPr>
          <w:rFonts w:cs="Times New Roman"/>
        </w:rPr>
        <w:tab/>
      </w:r>
      <w:r w:rsidRPr="00863359">
        <w:rPr>
          <w:rFonts w:cs="Times New Roman"/>
          <w:u w:val="single"/>
        </w:rPr>
        <w:t>F</w:t>
      </w:r>
      <w:bookmarkEnd w:id="3"/>
      <w:r w:rsidRPr="00863359">
        <w:rPr>
          <w:rFonts w:cs="Times New Roman"/>
          <w:u w:val="single"/>
        </w:rPr>
        <w:t>act</w:t>
      </w:r>
      <w:r>
        <w:rPr>
          <w:rFonts w:cs="Times New Roman"/>
          <w:u w:val="single"/>
        </w:rPr>
        <w:t>s</w:t>
      </w:r>
      <w:r w:rsidRPr="00863359">
        <w:rPr>
          <w:rFonts w:cs="Times New Roman"/>
          <w:u w:val="single"/>
        </w:rPr>
        <w:t xml:space="preserve"> and Proceedings</w:t>
      </w:r>
      <w:bookmarkEnd w:id="4"/>
    </w:p>
    <w:p w:rsidR="00A02B78" w:rsidRPr="00863359" w:rsidRDefault="00A02B78" w:rsidP="00A02B78">
      <w:pPr>
        <w:pStyle w:val="TitleTitre-AltT"/>
        <w:rPr>
          <w:rFonts w:cs="Times New Roman"/>
          <w:i/>
        </w:rPr>
      </w:pPr>
      <w:bookmarkStart w:id="5" w:name="_Toc343554187"/>
      <w:bookmarkStart w:id="6" w:name="_Toc320021605"/>
      <w:r w:rsidRPr="00863359">
        <w:rPr>
          <w:rFonts w:cs="Times New Roman"/>
        </w:rPr>
        <w:lastRenderedPageBreak/>
        <w:t>A.</w:t>
      </w:r>
      <w:r w:rsidRPr="00863359">
        <w:rPr>
          <w:rFonts w:cs="Times New Roman"/>
        </w:rPr>
        <w:tab/>
      </w:r>
      <w:r>
        <w:rPr>
          <w:rFonts w:cs="Times New Roman"/>
          <w:i/>
        </w:rPr>
        <w:t>Overview of the F</w:t>
      </w:r>
      <w:r w:rsidRPr="00863359">
        <w:rPr>
          <w:rFonts w:cs="Times New Roman"/>
          <w:i/>
        </w:rPr>
        <w:t>acts</w:t>
      </w:r>
      <w:bookmarkEnd w:id="5"/>
    </w:p>
    <w:p w:rsidR="00A02B78" w:rsidRPr="00863359" w:rsidRDefault="00A02B78" w:rsidP="00A02B78">
      <w:pPr>
        <w:pStyle w:val="ParaNoNdepar-AltN"/>
        <w:tabs>
          <w:tab w:val="clear" w:pos="1166"/>
          <w:tab w:val="num" w:pos="1152"/>
        </w:tabs>
        <w:rPr>
          <w:rFonts w:cs="Times New Roman"/>
        </w:rPr>
      </w:pPr>
      <w:r w:rsidRPr="00863359">
        <w:rPr>
          <w:rFonts w:cs="Times New Roman"/>
        </w:rPr>
        <w:t>On May 21, 2007, users of the washroom at a Wal-Mart store discovered a puddle of blood on the floor of one of the stalls and heard the sounds of a young woman who we know now to have been the respondent struggling inside. The customers alerted the store staff, but when an assistant manager asked the young woman if she was al</w:t>
      </w:r>
      <w:r>
        <w:rPr>
          <w:rFonts w:cs="Times New Roman"/>
        </w:rPr>
        <w:t xml:space="preserve">l </w:t>
      </w:r>
      <w:r w:rsidRPr="00863359">
        <w:rPr>
          <w:rFonts w:cs="Times New Roman"/>
        </w:rPr>
        <w:t>right, she responded from inside the stall that she was fine.</w:t>
      </w:r>
    </w:p>
    <w:p w:rsidR="00A02B78" w:rsidRPr="00863359" w:rsidRDefault="00A02B78" w:rsidP="00A02B78">
      <w:pPr>
        <w:pStyle w:val="ParaNoNdepar-AltN"/>
        <w:tabs>
          <w:tab w:val="clear" w:pos="1166"/>
          <w:tab w:val="num" w:pos="1152"/>
        </w:tabs>
        <w:rPr>
          <w:rFonts w:cs="Times New Roman"/>
        </w:rPr>
      </w:pPr>
      <w:r w:rsidRPr="00863359">
        <w:rPr>
          <w:rFonts w:cs="Times New Roman"/>
        </w:rPr>
        <w:t xml:space="preserve">Shortly thereafter, a customer reported that she had discovered a baby’s arm sticking out of the toilet bowl of the stall where the young woman had been. Other customers had seen the baby by that point, but all of them thought it was dead. When the store manager went into the bathroom to see what was happening, he observed that the baby’s leg had started twitching. He pulled the baby out of the toilet. An emergency response team was called and the baby, A.J.H., was transported to the hospital where he was successfully resuscitated and found to be completely healthy. </w:t>
      </w:r>
    </w:p>
    <w:p w:rsidR="00A02B78" w:rsidRPr="00863359" w:rsidRDefault="00A02B78" w:rsidP="00A02B78">
      <w:pPr>
        <w:pStyle w:val="ParaNoNdepar-AltN"/>
        <w:tabs>
          <w:tab w:val="clear" w:pos="1166"/>
          <w:tab w:val="num" w:pos="1152"/>
        </w:tabs>
        <w:rPr>
          <w:rFonts w:cs="Times New Roman"/>
        </w:rPr>
      </w:pPr>
      <w:r w:rsidRPr="00863359">
        <w:rPr>
          <w:rFonts w:cs="Times New Roman"/>
        </w:rPr>
        <w:t>Police gave video surveillance tapes of the store to various media outlets and the respondent was eventually identified as the woman seen entering and leaving the washroom at the time in question. When contacted by police, she cooperated fully and confirmed that she was the mother of the child. She was charged with unlawfully abandoning a child under the ag</w:t>
      </w:r>
      <w:r>
        <w:rPr>
          <w:rFonts w:cs="Times New Roman"/>
        </w:rPr>
        <w:t>e of 10</w:t>
      </w:r>
      <w:r w:rsidRPr="00863359">
        <w:rPr>
          <w:rFonts w:cs="Times New Roman"/>
        </w:rPr>
        <w:t xml:space="preserve"> years and thereby endangering his life contrary to s. 218</w:t>
      </w:r>
      <w:r>
        <w:rPr>
          <w:rFonts w:cs="Times New Roman"/>
        </w:rPr>
        <w:t xml:space="preserve"> of the </w:t>
      </w:r>
      <w:r>
        <w:rPr>
          <w:rFonts w:cs="Times New Roman"/>
          <w:i/>
        </w:rPr>
        <w:t>Code</w:t>
      </w:r>
      <w:r w:rsidRPr="00863359">
        <w:rPr>
          <w:rFonts w:cs="Times New Roman"/>
        </w:rPr>
        <w:t>.</w:t>
      </w:r>
    </w:p>
    <w:p w:rsidR="00A02B78" w:rsidRPr="00863359" w:rsidRDefault="00A02B78" w:rsidP="00A02B78">
      <w:pPr>
        <w:pStyle w:val="ParaNoNdepar-AltN"/>
        <w:tabs>
          <w:tab w:val="clear" w:pos="1166"/>
          <w:tab w:val="num" w:pos="1152"/>
        </w:tabs>
        <w:rPr>
          <w:rFonts w:cs="Times New Roman"/>
        </w:rPr>
      </w:pPr>
      <w:r w:rsidRPr="00863359">
        <w:rPr>
          <w:rFonts w:cs="Times New Roman"/>
        </w:rPr>
        <w:lastRenderedPageBreak/>
        <w:t>At her trial, the respondent testified. She was 22 years of age by that time and was living with he</w:t>
      </w:r>
      <w:r>
        <w:rPr>
          <w:rFonts w:cs="Times New Roman"/>
        </w:rPr>
        <w:t>r boyfriend and their baby, S.K</w:t>
      </w:r>
      <w:r w:rsidRPr="00863359">
        <w:rPr>
          <w:rFonts w:cs="Times New Roman"/>
        </w:rPr>
        <w:t xml:space="preserve">. Prior to the birth of A.J.H., she had been gaining weight and so she had taken three home pregnancy tests, all of which were negative. She did not believe she was pregnant because she had been getting her period every month prior to the birth. When she arrived at the Wal-Mart store, she was not feeling well and so she went to the bathroom, where she gave birth a minute or two later. She was surprised by the birth. She did not try to pick the baby up because it was all blue and she thought it was dead. She did not respond to offers for help or tell anyone what had happened because she was afraid. She tried to clean up the blood on the floor and then returned to her friend’s car. </w:t>
      </w:r>
    </w:p>
    <w:p w:rsidR="00A02B78" w:rsidRPr="00863359" w:rsidRDefault="00A02B78" w:rsidP="00A02B78">
      <w:pPr>
        <w:pStyle w:val="ParaNoNdepar-AltN"/>
        <w:tabs>
          <w:tab w:val="clear" w:pos="1166"/>
          <w:tab w:val="num" w:pos="1152"/>
        </w:tabs>
        <w:rPr>
          <w:rFonts w:cs="Times New Roman"/>
        </w:rPr>
      </w:pPr>
      <w:r w:rsidRPr="00863359">
        <w:rPr>
          <w:rFonts w:cs="Times New Roman"/>
        </w:rPr>
        <w:t>When she heard th</w:t>
      </w:r>
      <w:r>
        <w:rPr>
          <w:rFonts w:cs="Times New Roman"/>
        </w:rPr>
        <w:t>e police were looking for her, the respondent</w:t>
      </w:r>
      <w:r w:rsidRPr="00863359">
        <w:rPr>
          <w:rFonts w:cs="Times New Roman"/>
        </w:rPr>
        <w:t xml:space="preserve"> told her mother she was the one that had given birth to the baby in the store. When she found out the baby was alive, she was eager to see him. </w:t>
      </w:r>
      <w:r>
        <w:rPr>
          <w:rFonts w:cs="Times New Roman"/>
        </w:rPr>
        <w:t xml:space="preserve">He </w:t>
      </w:r>
      <w:r w:rsidRPr="00863359">
        <w:rPr>
          <w:rFonts w:cs="Times New Roman"/>
        </w:rPr>
        <w:t>now lives w</w:t>
      </w:r>
      <w:r>
        <w:rPr>
          <w:rFonts w:cs="Times New Roman"/>
        </w:rPr>
        <w:t xml:space="preserve">ith the respondent’s </w:t>
      </w:r>
      <w:r w:rsidRPr="00863359">
        <w:rPr>
          <w:rFonts w:cs="Times New Roman"/>
        </w:rPr>
        <w:t xml:space="preserve">mother and </w:t>
      </w:r>
      <w:r>
        <w:rPr>
          <w:rFonts w:cs="Times New Roman"/>
        </w:rPr>
        <w:t xml:space="preserve">the respondent </w:t>
      </w:r>
      <w:r w:rsidRPr="00863359">
        <w:rPr>
          <w:rFonts w:cs="Times New Roman"/>
        </w:rPr>
        <w:t>visits him almost every day. A.D.H. testified that it took her five or six months to realize that she was pregnant with her second child, S</w:t>
      </w:r>
      <w:r>
        <w:rPr>
          <w:rFonts w:cs="Times New Roman"/>
        </w:rPr>
        <w:t>.K</w:t>
      </w:r>
      <w:r w:rsidRPr="00863359">
        <w:rPr>
          <w:rFonts w:cs="Times New Roman"/>
        </w:rPr>
        <w:t>.</w:t>
      </w:r>
    </w:p>
    <w:p w:rsidR="00A02B78" w:rsidRPr="00314B8E" w:rsidRDefault="00A02B78" w:rsidP="00D02A8E">
      <w:pPr>
        <w:pStyle w:val="TitleTitre-AltT"/>
        <w:tabs>
          <w:tab w:val="clear" w:pos="360"/>
          <w:tab w:val="left" w:pos="540"/>
        </w:tabs>
        <w:ind w:left="540" w:hanging="540"/>
        <w:rPr>
          <w:rFonts w:cs="Times New Roman"/>
          <w:i/>
        </w:rPr>
      </w:pPr>
      <w:bookmarkStart w:id="7" w:name="_Toc343554188"/>
      <w:r w:rsidRPr="00863359">
        <w:rPr>
          <w:rFonts w:cs="Times New Roman"/>
        </w:rPr>
        <w:t>B.</w:t>
      </w:r>
      <w:r w:rsidRPr="00863359">
        <w:rPr>
          <w:rFonts w:cs="Times New Roman"/>
        </w:rPr>
        <w:tab/>
      </w:r>
      <w:r w:rsidRPr="00314B8E">
        <w:rPr>
          <w:rFonts w:cs="Times New Roman"/>
          <w:i/>
        </w:rPr>
        <w:t>Court of Queen’s Bench</w:t>
      </w:r>
      <w:bookmarkEnd w:id="6"/>
      <w:bookmarkEnd w:id="7"/>
      <w:r w:rsidRPr="00314B8E">
        <w:rPr>
          <w:rFonts w:cs="Times New Roman"/>
          <w:i/>
        </w:rPr>
        <w:t>, 2009 SKQB 261, 335 Sask. R. 173 (</w:t>
      </w:r>
      <w:proofErr w:type="spellStart"/>
      <w:r w:rsidRPr="00314B8E">
        <w:rPr>
          <w:rFonts w:cs="Times New Roman"/>
          <w:i/>
        </w:rPr>
        <w:t>Gabrielson</w:t>
      </w:r>
      <w:proofErr w:type="spellEnd"/>
      <w:r w:rsidRPr="00314B8E">
        <w:rPr>
          <w:rFonts w:cs="Times New Roman"/>
          <w:i/>
        </w:rPr>
        <w:t xml:space="preserve"> J.)</w:t>
      </w:r>
    </w:p>
    <w:p w:rsidR="00A02B78" w:rsidRPr="00863359" w:rsidRDefault="00A02B78" w:rsidP="00A02B78">
      <w:pPr>
        <w:pStyle w:val="ParaNoNdepar-AltN"/>
        <w:tabs>
          <w:tab w:val="clear" w:pos="1166"/>
          <w:tab w:val="num" w:pos="1152"/>
        </w:tabs>
        <w:rPr>
          <w:rFonts w:cs="Times New Roman"/>
        </w:rPr>
      </w:pPr>
      <w:r w:rsidRPr="00863359">
        <w:rPr>
          <w:rFonts w:cs="Times New Roman"/>
        </w:rPr>
        <w:t xml:space="preserve">The trial judge noted that the respondent acknowledged that she had </w:t>
      </w:r>
      <w:r>
        <w:rPr>
          <w:rFonts w:cs="Times New Roman"/>
        </w:rPr>
        <w:t xml:space="preserve">left </w:t>
      </w:r>
      <w:r w:rsidRPr="00863359">
        <w:rPr>
          <w:rFonts w:cs="Times New Roman"/>
        </w:rPr>
        <w:t>her child in the toilet at the Wal-Mart store</w:t>
      </w:r>
      <w:r>
        <w:rPr>
          <w:rFonts w:cs="Times New Roman"/>
        </w:rPr>
        <w:t xml:space="preserve">, thereby committing the </w:t>
      </w:r>
      <w:proofErr w:type="spellStart"/>
      <w:r>
        <w:rPr>
          <w:rFonts w:cs="Times New Roman"/>
          <w:i/>
        </w:rPr>
        <w:t>actus</w:t>
      </w:r>
      <w:proofErr w:type="spellEnd"/>
      <w:r>
        <w:rPr>
          <w:rFonts w:cs="Times New Roman"/>
          <w:i/>
        </w:rPr>
        <w:t xml:space="preserve"> </w:t>
      </w:r>
      <w:proofErr w:type="spellStart"/>
      <w:proofErr w:type="gramStart"/>
      <w:r>
        <w:rPr>
          <w:rFonts w:cs="Times New Roman"/>
          <w:i/>
        </w:rPr>
        <w:t>reus</w:t>
      </w:r>
      <w:proofErr w:type="spellEnd"/>
      <w:proofErr w:type="gramEnd"/>
      <w:r>
        <w:rPr>
          <w:rFonts w:cs="Times New Roman"/>
        </w:rPr>
        <w:t xml:space="preserve"> of the s. 218 offence.</w:t>
      </w:r>
      <w:r w:rsidRPr="00863359">
        <w:rPr>
          <w:rFonts w:cs="Times New Roman"/>
        </w:rPr>
        <w:t xml:space="preserve">  As for the fault element, the trial judge decided that subjective fault was required. He therefore expressed the issue he had to decide as follows: “.</w:t>
      </w:r>
      <w:r>
        <w:rPr>
          <w:rFonts w:cs="Times New Roman"/>
        </w:rPr>
        <w:t xml:space="preserve"> </w:t>
      </w:r>
      <w:r w:rsidRPr="00863359">
        <w:rPr>
          <w:rFonts w:cs="Times New Roman"/>
        </w:rPr>
        <w:t>.</w:t>
      </w:r>
      <w:r>
        <w:rPr>
          <w:rFonts w:cs="Times New Roman"/>
        </w:rPr>
        <w:t xml:space="preserve"> </w:t>
      </w:r>
      <w:r w:rsidRPr="00863359">
        <w:rPr>
          <w:rFonts w:cs="Times New Roman"/>
        </w:rPr>
        <w:t>. whether the accused .</w:t>
      </w:r>
      <w:r>
        <w:rPr>
          <w:rFonts w:cs="Times New Roman"/>
        </w:rPr>
        <w:t xml:space="preserve"> </w:t>
      </w:r>
      <w:r w:rsidRPr="00863359">
        <w:rPr>
          <w:rFonts w:cs="Times New Roman"/>
        </w:rPr>
        <w:t>.</w:t>
      </w:r>
      <w:r>
        <w:rPr>
          <w:rFonts w:cs="Times New Roman"/>
        </w:rPr>
        <w:t xml:space="preserve"> </w:t>
      </w:r>
      <w:r w:rsidRPr="00863359">
        <w:rPr>
          <w:rFonts w:cs="Times New Roman"/>
        </w:rPr>
        <w:t xml:space="preserve">. intended to abandon the child, A.J.H., or did so recklessly </w:t>
      </w:r>
      <w:r w:rsidRPr="00863359">
        <w:rPr>
          <w:rFonts w:cs="Times New Roman"/>
        </w:rPr>
        <w:lastRenderedPageBreak/>
        <w:t>with full knowledge of the facts and circumstances or was wilfully blind in respect to them”</w:t>
      </w:r>
      <w:r w:rsidR="00561290">
        <w:rPr>
          <w:rFonts w:cs="Times New Roman"/>
        </w:rPr>
        <w:t xml:space="preserve"> (</w:t>
      </w:r>
      <w:proofErr w:type="spellStart"/>
      <w:r w:rsidRPr="00863359">
        <w:rPr>
          <w:rFonts w:cs="Times New Roman"/>
        </w:rPr>
        <w:t>para</w:t>
      </w:r>
      <w:proofErr w:type="spellEnd"/>
      <w:r w:rsidRPr="00863359">
        <w:rPr>
          <w:rFonts w:cs="Times New Roman"/>
        </w:rPr>
        <w:t>. 15</w:t>
      </w:r>
      <w:r w:rsidR="00561290">
        <w:rPr>
          <w:rFonts w:cs="Times New Roman"/>
        </w:rPr>
        <w:t>)</w:t>
      </w:r>
      <w:r w:rsidRPr="00863359">
        <w:rPr>
          <w:rFonts w:cs="Times New Roman"/>
        </w:rPr>
        <w:t>.</w:t>
      </w:r>
    </w:p>
    <w:p w:rsidR="00A02B78" w:rsidRPr="00863359" w:rsidRDefault="00A02B78" w:rsidP="00A02B78">
      <w:pPr>
        <w:pStyle w:val="ParaNoNdepar-AltN"/>
        <w:tabs>
          <w:tab w:val="clear" w:pos="1166"/>
          <w:tab w:val="num" w:pos="1152"/>
        </w:tabs>
        <w:rPr>
          <w:rFonts w:cs="Times New Roman"/>
        </w:rPr>
      </w:pPr>
      <w:r w:rsidRPr="00863359">
        <w:rPr>
          <w:rFonts w:cs="Times New Roman"/>
        </w:rPr>
        <w:t>The trial judge answered this question in the negative and found that the Crown had not proven beyond a reasonable doubt that the respondent intended to abandon her child</w:t>
      </w:r>
      <w:r w:rsidR="00D02A8E">
        <w:rPr>
          <w:rFonts w:cs="Times New Roman"/>
        </w:rPr>
        <w:t xml:space="preserve"> (</w:t>
      </w:r>
      <w:proofErr w:type="spellStart"/>
      <w:r w:rsidRPr="00863359">
        <w:rPr>
          <w:rFonts w:cs="Times New Roman"/>
        </w:rPr>
        <w:t>para</w:t>
      </w:r>
      <w:r>
        <w:rPr>
          <w:rFonts w:cs="Times New Roman"/>
        </w:rPr>
        <w:t>s</w:t>
      </w:r>
      <w:proofErr w:type="spellEnd"/>
      <w:r>
        <w:rPr>
          <w:rFonts w:cs="Times New Roman"/>
        </w:rPr>
        <w:t>. 23-</w:t>
      </w:r>
      <w:r w:rsidRPr="00863359">
        <w:rPr>
          <w:rFonts w:cs="Times New Roman"/>
        </w:rPr>
        <w:t>26</w:t>
      </w:r>
      <w:r w:rsidR="00D02A8E">
        <w:rPr>
          <w:rFonts w:cs="Times New Roman"/>
        </w:rPr>
        <w:t>)</w:t>
      </w:r>
      <w:r w:rsidRPr="00863359">
        <w:rPr>
          <w:rFonts w:cs="Times New Roman"/>
        </w:rPr>
        <w:t>. The accused had been credible in her testimony. She had not known she was pregnant and truly believed she had delivered a dead child. Her fear and confusion explained her subsequent behaviour. The trial judge also relied on the evidence of Dr. Simpson, who testified that, “[u]</w:t>
      </w:r>
      <w:proofErr w:type="spellStart"/>
      <w:r w:rsidRPr="00863359">
        <w:rPr>
          <w:rFonts w:cs="Times New Roman"/>
        </w:rPr>
        <w:t>nder</w:t>
      </w:r>
      <w:proofErr w:type="spellEnd"/>
      <w:r w:rsidRPr="00863359">
        <w:rPr>
          <w:rFonts w:cs="Times New Roman"/>
        </w:rPr>
        <w:t xml:space="preserve"> these circumstances of an unknown pregnancy and a premature, precipitous birth, it is understandable that the accused thought the child was not alive and that she would be scared or panicked, n</w:t>
      </w:r>
      <w:r>
        <w:rPr>
          <w:rFonts w:cs="Times New Roman"/>
        </w:rPr>
        <w:t>ot request help</w:t>
      </w:r>
      <w:r w:rsidRPr="00863359">
        <w:rPr>
          <w:rFonts w:cs="Times New Roman"/>
        </w:rPr>
        <w:t xml:space="preserve"> and immediately leave </w:t>
      </w:r>
      <w:r w:rsidR="007B24FA">
        <w:rPr>
          <w:rFonts w:cs="Times New Roman"/>
        </w:rPr>
        <w:t>the scene of the birth”</w:t>
      </w:r>
      <w:r w:rsidRPr="00863359">
        <w:rPr>
          <w:rFonts w:cs="Times New Roman"/>
        </w:rPr>
        <w:t xml:space="preserve"> </w:t>
      </w:r>
      <w:r w:rsidR="007B24FA">
        <w:rPr>
          <w:rFonts w:cs="Times New Roman"/>
        </w:rPr>
        <w:t>(</w:t>
      </w:r>
      <w:proofErr w:type="spellStart"/>
      <w:r w:rsidRPr="00863359">
        <w:rPr>
          <w:rFonts w:cs="Times New Roman"/>
        </w:rPr>
        <w:t>para</w:t>
      </w:r>
      <w:proofErr w:type="spellEnd"/>
      <w:r w:rsidRPr="00863359">
        <w:rPr>
          <w:rFonts w:cs="Times New Roman"/>
        </w:rPr>
        <w:t>. 24</w:t>
      </w:r>
      <w:r w:rsidR="007B24FA">
        <w:rPr>
          <w:rFonts w:cs="Times New Roman"/>
        </w:rPr>
        <w:t>)</w:t>
      </w:r>
      <w:r w:rsidRPr="00863359">
        <w:rPr>
          <w:rFonts w:cs="Times New Roman"/>
        </w:rPr>
        <w:t xml:space="preserve">. Thus, the trial judge found the respondent not guilty and dismissed the charge </w:t>
      </w:r>
      <w:r w:rsidR="00CB5945">
        <w:rPr>
          <w:rFonts w:cs="Times New Roman"/>
        </w:rPr>
        <w:t>(</w:t>
      </w:r>
      <w:proofErr w:type="spellStart"/>
      <w:r>
        <w:rPr>
          <w:rFonts w:cs="Times New Roman"/>
        </w:rPr>
        <w:t>para</w:t>
      </w:r>
      <w:proofErr w:type="spellEnd"/>
      <w:r>
        <w:rPr>
          <w:rFonts w:cs="Times New Roman"/>
        </w:rPr>
        <w:t>. 26</w:t>
      </w:r>
      <w:r w:rsidR="00CB5945">
        <w:rPr>
          <w:rFonts w:cs="Times New Roman"/>
        </w:rPr>
        <w:t>)</w:t>
      </w:r>
      <w:r w:rsidRPr="00863359">
        <w:rPr>
          <w:rFonts w:cs="Times New Roman"/>
        </w:rPr>
        <w:t>.</w:t>
      </w:r>
    </w:p>
    <w:p w:rsidR="00A02B78" w:rsidRPr="00863359" w:rsidRDefault="00A02B78" w:rsidP="00D02A8E">
      <w:pPr>
        <w:pStyle w:val="TitleTitre-AltT"/>
        <w:tabs>
          <w:tab w:val="clear" w:pos="360"/>
          <w:tab w:val="left" w:pos="540"/>
        </w:tabs>
        <w:ind w:left="540" w:hanging="540"/>
        <w:rPr>
          <w:rFonts w:cs="Times New Roman"/>
        </w:rPr>
      </w:pPr>
      <w:bookmarkStart w:id="8" w:name="_Toc320021606"/>
      <w:bookmarkStart w:id="9" w:name="_Toc343554189"/>
      <w:r w:rsidRPr="00863359">
        <w:rPr>
          <w:rFonts w:cs="Times New Roman"/>
        </w:rPr>
        <w:t>C.</w:t>
      </w:r>
      <w:r w:rsidRPr="00863359">
        <w:rPr>
          <w:rFonts w:cs="Times New Roman"/>
        </w:rPr>
        <w:tab/>
      </w:r>
      <w:r w:rsidRPr="00314B8E">
        <w:rPr>
          <w:rFonts w:cs="Times New Roman"/>
          <w:i/>
        </w:rPr>
        <w:t>Court of Appeal</w:t>
      </w:r>
      <w:bookmarkEnd w:id="8"/>
      <w:bookmarkEnd w:id="9"/>
      <w:r>
        <w:rPr>
          <w:rFonts w:cs="Times New Roman"/>
          <w:i/>
        </w:rPr>
        <w:t>, 2011 SKCA 6, 366 Sask. R. 123</w:t>
      </w:r>
      <w:r w:rsidRPr="00314B8E">
        <w:rPr>
          <w:rFonts w:cs="Times New Roman"/>
          <w:i/>
        </w:rPr>
        <w:t xml:space="preserve"> (Richards, Smith and </w:t>
      </w:r>
      <w:proofErr w:type="spellStart"/>
      <w:r w:rsidRPr="00314B8E">
        <w:rPr>
          <w:rFonts w:cs="Times New Roman"/>
          <w:i/>
        </w:rPr>
        <w:t>Ottenbreit</w:t>
      </w:r>
      <w:proofErr w:type="spellEnd"/>
      <w:r w:rsidRPr="00314B8E">
        <w:rPr>
          <w:rFonts w:cs="Times New Roman"/>
          <w:i/>
        </w:rPr>
        <w:t xml:space="preserve"> JJ.A.)</w:t>
      </w:r>
    </w:p>
    <w:p w:rsidR="00A02B78" w:rsidRPr="00863359" w:rsidRDefault="00A02B78" w:rsidP="00A02B78">
      <w:pPr>
        <w:pStyle w:val="ParaNoNdepar-AltN"/>
        <w:tabs>
          <w:tab w:val="clear" w:pos="1166"/>
          <w:tab w:val="num" w:pos="1152"/>
        </w:tabs>
        <w:rPr>
          <w:rFonts w:cs="Times New Roman"/>
        </w:rPr>
      </w:pPr>
      <w:r w:rsidRPr="00863359">
        <w:rPr>
          <w:rFonts w:cs="Times New Roman"/>
        </w:rPr>
        <w:t xml:space="preserve">Richards J.A. (Smith J.A. concurring) agreed with the trial judge that s. 218 of the </w:t>
      </w:r>
      <w:r w:rsidRPr="00863359">
        <w:rPr>
          <w:rFonts w:cs="Times New Roman"/>
          <w:i/>
        </w:rPr>
        <w:t>Code</w:t>
      </w:r>
      <w:r w:rsidRPr="00863359">
        <w:rPr>
          <w:rFonts w:cs="Times New Roman"/>
        </w:rPr>
        <w:t xml:space="preserve"> requires subjective fault. </w:t>
      </w:r>
      <w:r w:rsidRPr="00863359">
        <w:rPr>
          <w:rFonts w:cs="Times New Roman"/>
          <w:i/>
        </w:rPr>
        <w:t xml:space="preserve"> </w:t>
      </w:r>
      <w:r w:rsidRPr="00863359">
        <w:rPr>
          <w:rFonts w:cs="Times New Roman"/>
        </w:rPr>
        <w:t xml:space="preserve">He supported his conclusion with a detailed analysis of the text and context of the provision.  On the other hand, </w:t>
      </w:r>
      <w:proofErr w:type="spellStart"/>
      <w:r w:rsidRPr="00863359">
        <w:rPr>
          <w:rFonts w:cs="Times New Roman"/>
        </w:rPr>
        <w:t>Ottenbreit</w:t>
      </w:r>
      <w:proofErr w:type="spellEnd"/>
      <w:r w:rsidRPr="00863359">
        <w:rPr>
          <w:rFonts w:cs="Times New Roman"/>
        </w:rPr>
        <w:t xml:space="preserve"> J.A. concluded that s. 218 only requires an objective fault element, but that an honest and reasonable mistake of fact could be a defence.  He found that the respondent had acted on the basis of the mistaken but reasonable belief that her child </w:t>
      </w:r>
      <w:r w:rsidRPr="00863359">
        <w:rPr>
          <w:rFonts w:cs="Times New Roman"/>
        </w:rPr>
        <w:lastRenderedPageBreak/>
        <w:t>was dead and concluded that the trial judge’s verdict of acquittal should be upheld on that basis.</w:t>
      </w:r>
    </w:p>
    <w:p w:rsidR="00A02B78" w:rsidRPr="00863359" w:rsidRDefault="000E1F0F" w:rsidP="000E1F0F">
      <w:pPr>
        <w:pStyle w:val="TitleTitre-AltT"/>
        <w:tabs>
          <w:tab w:val="clear" w:pos="360"/>
          <w:tab w:val="left" w:pos="540"/>
        </w:tabs>
        <w:ind w:left="540" w:hanging="540"/>
        <w:rPr>
          <w:rFonts w:cs="Times New Roman"/>
        </w:rPr>
      </w:pPr>
      <w:bookmarkStart w:id="10" w:name="_Toc343554190"/>
      <w:r>
        <w:rPr>
          <w:rFonts w:cs="Times New Roman"/>
        </w:rPr>
        <w:t>III.</w:t>
      </w:r>
      <w:r w:rsidR="00A02B78" w:rsidRPr="00863359">
        <w:rPr>
          <w:rFonts w:cs="Times New Roman"/>
        </w:rPr>
        <w:tab/>
      </w:r>
      <w:r w:rsidR="00A02B78" w:rsidRPr="00863359">
        <w:rPr>
          <w:rFonts w:cs="Times New Roman"/>
          <w:u w:val="single"/>
        </w:rPr>
        <w:t>Brief Summary of the Positions of the Parties</w:t>
      </w:r>
    </w:p>
    <w:p w:rsidR="00A02B78" w:rsidRPr="00863359" w:rsidRDefault="00A02B78" w:rsidP="00A02B78">
      <w:pPr>
        <w:pStyle w:val="ParaNoNdepar-AltN"/>
        <w:tabs>
          <w:tab w:val="clear" w:pos="1166"/>
          <w:tab w:val="num" w:pos="1152"/>
        </w:tabs>
        <w:rPr>
          <w:rFonts w:cs="Times New Roman"/>
        </w:rPr>
      </w:pPr>
      <w:r w:rsidRPr="00863359">
        <w:rPr>
          <w:rFonts w:cs="Times New Roman"/>
        </w:rPr>
        <w:t>The appellant Crown submits that the fault element of the child abandonment offence should be assessed “objectively” according to what has been called the “penal negligence” sta</w:t>
      </w:r>
      <w:r>
        <w:rPr>
          <w:rFonts w:cs="Times New Roman"/>
        </w:rPr>
        <w:t>ndard, whereas</w:t>
      </w:r>
      <w:r w:rsidRPr="00863359">
        <w:rPr>
          <w:rFonts w:cs="Times New Roman"/>
        </w:rPr>
        <w:t xml:space="preserve"> the respondent submits that the fault element should be </w:t>
      </w:r>
      <w:r>
        <w:rPr>
          <w:rFonts w:cs="Times New Roman"/>
        </w:rPr>
        <w:t xml:space="preserve">assessed </w:t>
      </w:r>
      <w:r w:rsidRPr="00863359">
        <w:rPr>
          <w:rFonts w:cs="Times New Roman"/>
        </w:rPr>
        <w:t>subjectively, adopting the position taken by the trial judge and a majority of the Court of Appeal.</w:t>
      </w:r>
    </w:p>
    <w:p w:rsidR="00A02B78" w:rsidRPr="00863359" w:rsidRDefault="00A02B78" w:rsidP="00A02B78">
      <w:pPr>
        <w:pStyle w:val="ParaNoNdepar-AltN"/>
        <w:tabs>
          <w:tab w:val="clear" w:pos="1166"/>
          <w:tab w:val="num" w:pos="1152"/>
        </w:tabs>
        <w:rPr>
          <w:rFonts w:cs="Times New Roman"/>
        </w:rPr>
      </w:pPr>
      <w:r w:rsidRPr="00863359">
        <w:rPr>
          <w:rFonts w:cs="Times New Roman"/>
        </w:rPr>
        <w:t xml:space="preserve">In this case, a penal negligence standard means that the Crown must prove two things to establish the fault element:  first, that the risk to the child resulting from the respondent’s acts would have been foreseeable by a reasonable person in the same circumstances and, second, that her conduct was a marked departure from the conduct expected of a reasonable person in those circumstances. Penal negligence is the fault element that applies to the offence of failing to provide a child with the necessaries of life under s. 215 of the </w:t>
      </w:r>
      <w:r w:rsidRPr="00863359">
        <w:rPr>
          <w:rFonts w:cs="Times New Roman"/>
          <w:i/>
        </w:rPr>
        <w:t>Code</w:t>
      </w:r>
      <w:r w:rsidRPr="00863359">
        <w:rPr>
          <w:rFonts w:cs="Times New Roman"/>
        </w:rPr>
        <w:t xml:space="preserve"> and the Crown submits that the same standard of fault should apply here. </w:t>
      </w:r>
    </w:p>
    <w:p w:rsidR="00A02B78" w:rsidRPr="00863359" w:rsidRDefault="00A02B78" w:rsidP="00A02B78">
      <w:pPr>
        <w:pStyle w:val="ParaNoNdepar-AltN"/>
        <w:tabs>
          <w:tab w:val="clear" w:pos="1166"/>
          <w:tab w:val="num" w:pos="1152"/>
        </w:tabs>
        <w:rPr>
          <w:rFonts w:cs="Times New Roman"/>
        </w:rPr>
      </w:pPr>
      <w:r w:rsidRPr="00863359">
        <w:rPr>
          <w:rFonts w:cs="Times New Roman"/>
        </w:rPr>
        <w:t xml:space="preserve">On the other hand, a subjective standard means, in the context of </w:t>
      </w:r>
      <w:r>
        <w:rPr>
          <w:rFonts w:cs="Times New Roman"/>
        </w:rPr>
        <w:t xml:space="preserve">an </w:t>
      </w:r>
      <w:r w:rsidRPr="00863359">
        <w:rPr>
          <w:rFonts w:cs="Times New Roman"/>
        </w:rPr>
        <w:t>offence</w:t>
      </w:r>
      <w:r>
        <w:rPr>
          <w:rFonts w:cs="Times New Roman"/>
        </w:rPr>
        <w:t xml:space="preserve"> under s. 218 of the </w:t>
      </w:r>
      <w:r>
        <w:rPr>
          <w:rFonts w:cs="Times New Roman"/>
          <w:i/>
        </w:rPr>
        <w:t>Code</w:t>
      </w:r>
      <w:r w:rsidRPr="00863359">
        <w:rPr>
          <w:rFonts w:cs="Times New Roman"/>
        </w:rPr>
        <w:t xml:space="preserve">, that the fault element requires proof at least of recklessness, in other words that the accused persisted in a course of conduct knowing of the risk which it created.  Subjective fault, of course, may also refer to other states </w:t>
      </w:r>
      <w:r w:rsidRPr="00863359">
        <w:rPr>
          <w:rFonts w:cs="Times New Roman"/>
        </w:rPr>
        <w:lastRenderedPageBreak/>
        <w:t xml:space="preserve">of mind. It includes </w:t>
      </w:r>
      <w:r w:rsidRPr="00863359">
        <w:rPr>
          <w:rFonts w:cs="Times New Roman"/>
          <w:i/>
          <w:iCs/>
        </w:rPr>
        <w:t>intention</w:t>
      </w:r>
      <w:r w:rsidRPr="00863359">
        <w:rPr>
          <w:rFonts w:cs="Times New Roman"/>
        </w:rPr>
        <w:t xml:space="preserve"> to bring about certain consequences; actual </w:t>
      </w:r>
      <w:r w:rsidRPr="00863359">
        <w:rPr>
          <w:rFonts w:cs="Times New Roman"/>
          <w:i/>
          <w:iCs/>
        </w:rPr>
        <w:t>knowledge</w:t>
      </w:r>
      <w:r w:rsidRPr="00863359">
        <w:rPr>
          <w:rFonts w:cs="Times New Roman"/>
        </w:rPr>
        <w:t xml:space="preserve"> that the consequences will occur; or </w:t>
      </w:r>
      <w:r w:rsidRPr="00863359">
        <w:rPr>
          <w:rFonts w:cs="Times New Roman"/>
          <w:i/>
          <w:iCs/>
        </w:rPr>
        <w:t>wilful blindness</w:t>
      </w:r>
      <w:r w:rsidRPr="00863359">
        <w:rPr>
          <w:rFonts w:cs="Times New Roman"/>
        </w:rPr>
        <w:t xml:space="preserve"> </w:t>
      </w:r>
      <w:r w:rsidRPr="00322CA4">
        <w:rPr>
          <w:rStyle w:val="st"/>
          <w:rFonts w:cs="Times New Roman"/>
          <w:color w:val="222222"/>
        </w:rPr>
        <w:t>—</w:t>
      </w:r>
      <w:r w:rsidRPr="00863359">
        <w:rPr>
          <w:rFonts w:cs="Times New Roman"/>
        </w:rPr>
        <w:t xml:space="preserve"> that is, knowledge of the need to inquire as to the consequences and deliberate failure to do so. But here, the element of risk (“is likely to”) is part of the definition of the prohibited consequences: the prohibited consequences under s. 218 are that the child’s life “is or is likely to be” endangered or its health “is or is likely to be” permanently</w:t>
      </w:r>
      <w:r>
        <w:rPr>
          <w:rFonts w:cs="Times New Roman"/>
        </w:rPr>
        <w:t xml:space="preserve"> injured</w:t>
      </w:r>
      <w:r w:rsidRPr="00863359">
        <w:rPr>
          <w:rFonts w:cs="Times New Roman"/>
        </w:rPr>
        <w:t xml:space="preserve">.  It is because the definition of the offence incorporates the notion of risk to life or health that a subjective fault element would require the Crown to show at least recklessness, that is, that the accused actually knew of the risk to the child’s life or health. (Wilful blindness would also suffice, but was not argued in this case. I also note that self-induced intoxication is not relevant here and was not argued. I do not find it either necessary or desirable to speculate about the various issues that would arise if it were raised in the context of this general intent offence. Simply by way of example, one would have </w:t>
      </w:r>
      <w:r w:rsidRPr="00863359">
        <w:rPr>
          <w:rFonts w:cs="Times New Roman"/>
          <w:bCs/>
        </w:rPr>
        <w:t>to</w:t>
      </w:r>
      <w:r w:rsidRPr="00863359">
        <w:rPr>
          <w:rFonts w:cs="Times New Roman"/>
        </w:rPr>
        <w:t xml:space="preserve"> consider among other things issues such as whether the </w:t>
      </w:r>
      <w:r w:rsidRPr="00863359">
        <w:rPr>
          <w:rFonts w:cs="Times New Roman"/>
          <w:i/>
          <w:iCs/>
        </w:rPr>
        <w:t>ratio</w:t>
      </w:r>
      <w:r w:rsidRPr="00863359">
        <w:rPr>
          <w:rFonts w:cs="Times New Roman"/>
        </w:rPr>
        <w:t xml:space="preserve"> of </w:t>
      </w:r>
      <w:r>
        <w:rPr>
          <w:rFonts w:cs="Times New Roman"/>
          <w:i/>
        </w:rPr>
        <w:t xml:space="preserve">R. v. </w:t>
      </w:r>
      <w:proofErr w:type="spellStart"/>
      <w:r w:rsidRPr="00863359">
        <w:rPr>
          <w:rFonts w:cs="Times New Roman"/>
          <w:i/>
          <w:iCs/>
        </w:rPr>
        <w:t>Daviault</w:t>
      </w:r>
      <w:proofErr w:type="spellEnd"/>
      <w:r w:rsidRPr="00863359">
        <w:rPr>
          <w:rFonts w:cs="Times New Roman"/>
        </w:rPr>
        <w:t>, [1994] 3 S.C.R. 63</w:t>
      </w:r>
      <w:r>
        <w:rPr>
          <w:rFonts w:cs="Times New Roman"/>
        </w:rPr>
        <w:t>,</w:t>
      </w:r>
      <w:r w:rsidRPr="00863359">
        <w:rPr>
          <w:rFonts w:cs="Times New Roman"/>
        </w:rPr>
        <w:t xml:space="preserve"> applies, whether its application would or should be any different depending on whether the offence requires subjective or objective fault and whether the child abandonment offence falls within the exclusion from the self-induced intoxication defence set out in s. 33.1(3) of the </w:t>
      </w:r>
      <w:r w:rsidRPr="00863359">
        <w:rPr>
          <w:rFonts w:cs="Times New Roman"/>
          <w:i/>
          <w:iCs/>
        </w:rPr>
        <w:t xml:space="preserve">Code </w:t>
      </w:r>
      <w:r w:rsidRPr="00863359">
        <w:rPr>
          <w:rFonts w:cs="Times New Roman"/>
        </w:rPr>
        <w:t xml:space="preserve">relating to offences that include as an element any interference or threat of interference by a person with the bodily integrity of another person.)    </w:t>
      </w:r>
    </w:p>
    <w:p w:rsidR="00A02B78" w:rsidRPr="00863359" w:rsidRDefault="00A02B78" w:rsidP="00A02B78">
      <w:pPr>
        <w:pStyle w:val="ParaNoNdepar-AltN"/>
        <w:tabs>
          <w:tab w:val="clear" w:pos="1166"/>
          <w:tab w:val="num" w:pos="1152"/>
        </w:tabs>
        <w:rPr>
          <w:rFonts w:cs="Times New Roman"/>
        </w:rPr>
      </w:pPr>
      <w:r w:rsidRPr="00863359">
        <w:rPr>
          <w:rFonts w:cs="Times New Roman"/>
        </w:rPr>
        <w:t xml:space="preserve">The respondent also submits, in the alternative, that even if the required fault element is objective, the appeal should nonetheless be dismissed because she </w:t>
      </w:r>
      <w:r w:rsidRPr="00863359">
        <w:rPr>
          <w:rFonts w:cs="Times New Roman"/>
        </w:rPr>
        <w:lastRenderedPageBreak/>
        <w:t>acted on the basis of a reasonable mistake of fact, that is, that the child was dead when she left him.  I do not need to address this submission as I conclude that the fault element is subjective and therefore that the trial judge did not err in acquitting the respondent on the basis that the fault element had not been proved.</w:t>
      </w:r>
    </w:p>
    <w:p w:rsidR="00A02B78" w:rsidRPr="00863359" w:rsidRDefault="000E1F0F" w:rsidP="000E1F0F">
      <w:pPr>
        <w:pStyle w:val="TitleTitre-AltT"/>
        <w:tabs>
          <w:tab w:val="clear" w:pos="360"/>
          <w:tab w:val="left" w:pos="540"/>
        </w:tabs>
        <w:ind w:left="540" w:hanging="540"/>
        <w:rPr>
          <w:rFonts w:cs="Times New Roman"/>
          <w:u w:val="single"/>
        </w:rPr>
      </w:pPr>
      <w:r>
        <w:rPr>
          <w:rFonts w:cs="Times New Roman"/>
        </w:rPr>
        <w:t>IV.</w:t>
      </w:r>
      <w:r w:rsidR="00A02B78" w:rsidRPr="00863359">
        <w:rPr>
          <w:rFonts w:cs="Times New Roman"/>
        </w:rPr>
        <w:tab/>
      </w:r>
      <w:r w:rsidR="00A02B78" w:rsidRPr="00863359">
        <w:rPr>
          <w:rFonts w:cs="Times New Roman"/>
          <w:u w:val="single"/>
        </w:rPr>
        <w:t>Analysis</w:t>
      </w:r>
      <w:bookmarkEnd w:id="10"/>
    </w:p>
    <w:p w:rsidR="00A02B78" w:rsidRPr="00863359" w:rsidRDefault="000E1F0F" w:rsidP="000E1F0F">
      <w:pPr>
        <w:pStyle w:val="ParaNoNdepar-AltN"/>
        <w:numPr>
          <w:ilvl w:val="0"/>
          <w:numId w:val="0"/>
        </w:numPr>
        <w:ind w:left="540" w:hanging="540"/>
        <w:rPr>
          <w:rFonts w:cs="Times New Roman"/>
        </w:rPr>
      </w:pPr>
      <w:r>
        <w:rPr>
          <w:rFonts w:cs="Times New Roman"/>
        </w:rPr>
        <w:t>A.</w:t>
      </w:r>
      <w:r w:rsidR="00A02B78" w:rsidRPr="00863359">
        <w:rPr>
          <w:rFonts w:cs="Times New Roman"/>
        </w:rPr>
        <w:tab/>
      </w:r>
      <w:r w:rsidR="00A02B78" w:rsidRPr="00322CA4">
        <w:rPr>
          <w:rFonts w:cs="Times New Roman"/>
          <w:i/>
        </w:rPr>
        <w:t>Introduction</w:t>
      </w:r>
    </w:p>
    <w:p w:rsidR="00A02B78" w:rsidRPr="00863359" w:rsidRDefault="00A02B78" w:rsidP="00A02B78">
      <w:pPr>
        <w:pStyle w:val="ParaNoNdepar-AltN"/>
        <w:tabs>
          <w:tab w:val="clear" w:pos="1166"/>
          <w:tab w:val="num" w:pos="1152"/>
        </w:tabs>
        <w:rPr>
          <w:rFonts w:cs="Times New Roman"/>
        </w:rPr>
      </w:pPr>
      <w:r w:rsidRPr="00863359">
        <w:rPr>
          <w:rFonts w:cs="Times New Roman"/>
        </w:rPr>
        <w:t xml:space="preserve">This Court has never addressed the fault element for the child abandonment offence and the relatively scant jurisprudence in other courts is inconclusive on this issue.  Some cases have applied a subjective standard of fault: </w:t>
      </w:r>
      <w:r w:rsidRPr="00863359">
        <w:rPr>
          <w:rFonts w:cs="Times New Roman"/>
          <w:i/>
        </w:rPr>
        <w:t>R. v. L.M</w:t>
      </w:r>
      <w:r w:rsidRPr="00322CA4">
        <w:rPr>
          <w:rFonts w:cs="Times New Roman"/>
          <w:i/>
        </w:rPr>
        <w:t>.</w:t>
      </w:r>
      <w:r w:rsidRPr="00863359">
        <w:rPr>
          <w:rFonts w:cs="Times New Roman"/>
        </w:rPr>
        <w:t>, [2000] O.J. No. 5284</w:t>
      </w:r>
      <w:r>
        <w:rPr>
          <w:rFonts w:cs="Times New Roman"/>
        </w:rPr>
        <w:t xml:space="preserve"> (QL)</w:t>
      </w:r>
      <w:r w:rsidRPr="00863359">
        <w:rPr>
          <w:rFonts w:cs="Times New Roman"/>
        </w:rPr>
        <w:t xml:space="preserve"> (</w:t>
      </w:r>
      <w:r>
        <w:rPr>
          <w:rFonts w:cs="Times New Roman"/>
        </w:rPr>
        <w:t>Ct. J</w:t>
      </w:r>
      <w:r w:rsidR="000E1F0F">
        <w:rPr>
          <w:rFonts w:cs="Times New Roman"/>
        </w:rPr>
        <w:t>.</w:t>
      </w:r>
      <w:r>
        <w:rPr>
          <w:rFonts w:cs="Times New Roman"/>
        </w:rPr>
        <w:t>),</w:t>
      </w:r>
      <w:r w:rsidRPr="00863359">
        <w:rPr>
          <w:rFonts w:cs="Times New Roman"/>
        </w:rPr>
        <w:t xml:space="preserve"> at </w:t>
      </w:r>
      <w:proofErr w:type="spellStart"/>
      <w:r w:rsidRPr="00863359">
        <w:rPr>
          <w:rFonts w:cs="Times New Roman"/>
        </w:rPr>
        <w:t>para</w:t>
      </w:r>
      <w:proofErr w:type="spellEnd"/>
      <w:r w:rsidRPr="00863359">
        <w:rPr>
          <w:rFonts w:cs="Times New Roman"/>
        </w:rPr>
        <w:t xml:space="preserve">. 49; </w:t>
      </w:r>
      <w:r w:rsidRPr="00863359">
        <w:rPr>
          <w:rFonts w:cs="Times New Roman"/>
          <w:i/>
        </w:rPr>
        <w:t>R. v. C.C.D.</w:t>
      </w:r>
      <w:r w:rsidRPr="00863359">
        <w:rPr>
          <w:rFonts w:cs="Times New Roman"/>
        </w:rPr>
        <w:t>, [1998] O.J. No. 4875</w:t>
      </w:r>
      <w:r>
        <w:rPr>
          <w:rFonts w:cs="Times New Roman"/>
        </w:rPr>
        <w:t xml:space="preserve"> (QL) (Ct.</w:t>
      </w:r>
      <w:r w:rsidRPr="00863359">
        <w:rPr>
          <w:rFonts w:cs="Times New Roman"/>
        </w:rPr>
        <w:t xml:space="preserve"> J. (Prov</w:t>
      </w:r>
      <w:r>
        <w:rPr>
          <w:rFonts w:cs="Times New Roman"/>
        </w:rPr>
        <w:t xml:space="preserve">. Div.)), at </w:t>
      </w:r>
      <w:proofErr w:type="spellStart"/>
      <w:r>
        <w:rPr>
          <w:rFonts w:cs="Times New Roman"/>
        </w:rPr>
        <w:t>paras</w:t>
      </w:r>
      <w:proofErr w:type="spellEnd"/>
      <w:r>
        <w:rPr>
          <w:rFonts w:cs="Times New Roman"/>
        </w:rPr>
        <w:t>. 24-</w:t>
      </w:r>
      <w:r w:rsidRPr="00863359">
        <w:rPr>
          <w:rFonts w:cs="Times New Roman"/>
        </w:rPr>
        <w:t xml:space="preserve">30; </w:t>
      </w:r>
      <w:r w:rsidRPr="00863359">
        <w:rPr>
          <w:rFonts w:cs="Times New Roman"/>
          <w:i/>
        </w:rPr>
        <w:t>R. v. Reedy</w:t>
      </w:r>
      <w:r>
        <w:rPr>
          <w:rFonts w:cs="Times New Roman"/>
          <w:i/>
        </w:rPr>
        <w:t xml:space="preserve"> (No. 2) </w:t>
      </w:r>
      <w:r>
        <w:rPr>
          <w:rFonts w:cs="Times New Roman"/>
        </w:rPr>
        <w:t>(1981), 60 C.C.C. (2d) 104</w:t>
      </w:r>
      <w:r w:rsidRPr="00863359">
        <w:rPr>
          <w:rFonts w:cs="Times New Roman"/>
        </w:rPr>
        <w:t xml:space="preserve"> (</w:t>
      </w:r>
      <w:r>
        <w:rPr>
          <w:rFonts w:cs="Times New Roman"/>
        </w:rPr>
        <w:t>Ont. D.C.J.C.C.), at pp</w:t>
      </w:r>
      <w:r w:rsidRPr="00863359">
        <w:rPr>
          <w:rFonts w:cs="Times New Roman"/>
        </w:rPr>
        <w:t>.</w:t>
      </w:r>
      <w:r>
        <w:rPr>
          <w:rFonts w:cs="Times New Roman"/>
        </w:rPr>
        <w:t xml:space="preserve"> 106-8</w:t>
      </w:r>
      <w:r w:rsidRPr="00863359">
        <w:rPr>
          <w:rFonts w:cs="Times New Roman"/>
        </w:rPr>
        <w:t xml:space="preserve">. Others have either applied an objective standard or been unclear about the standard: </w:t>
      </w:r>
      <w:r w:rsidRPr="00863359">
        <w:rPr>
          <w:rFonts w:cs="Times New Roman"/>
          <w:i/>
        </w:rPr>
        <w:t>R. v. McIntosh</w:t>
      </w:r>
      <w:r w:rsidRPr="00863359">
        <w:rPr>
          <w:rFonts w:cs="Times New Roman"/>
        </w:rPr>
        <w:t>, [2008] O.J. No. 5742</w:t>
      </w:r>
      <w:r>
        <w:rPr>
          <w:rFonts w:cs="Times New Roman"/>
        </w:rPr>
        <w:t xml:space="preserve"> (QL)</w:t>
      </w:r>
      <w:r w:rsidRPr="00863359">
        <w:rPr>
          <w:rFonts w:cs="Times New Roman"/>
        </w:rPr>
        <w:t xml:space="preserve"> (</w:t>
      </w:r>
      <w:r>
        <w:rPr>
          <w:rFonts w:cs="Times New Roman"/>
        </w:rPr>
        <w:t xml:space="preserve">Ct. J.), at </w:t>
      </w:r>
      <w:proofErr w:type="spellStart"/>
      <w:r>
        <w:rPr>
          <w:rFonts w:cs="Times New Roman"/>
        </w:rPr>
        <w:t>paras</w:t>
      </w:r>
      <w:proofErr w:type="spellEnd"/>
      <w:r>
        <w:rPr>
          <w:rFonts w:cs="Times New Roman"/>
        </w:rPr>
        <w:t>. 32-33;</w:t>
      </w:r>
      <w:r w:rsidRPr="00863359">
        <w:rPr>
          <w:rFonts w:cs="Times New Roman"/>
        </w:rPr>
        <w:t xml:space="preserve"> </w:t>
      </w:r>
      <w:r w:rsidRPr="00863359">
        <w:rPr>
          <w:rFonts w:cs="Times New Roman"/>
          <w:i/>
        </w:rPr>
        <w:t xml:space="preserve">R. v. </w:t>
      </w:r>
      <w:proofErr w:type="spellStart"/>
      <w:r w:rsidRPr="00863359">
        <w:rPr>
          <w:rFonts w:cs="Times New Roman"/>
          <w:i/>
        </w:rPr>
        <w:t>Bokane-Haraszt</w:t>
      </w:r>
      <w:proofErr w:type="spellEnd"/>
      <w:r w:rsidRPr="00863359">
        <w:rPr>
          <w:rFonts w:cs="Times New Roman"/>
        </w:rPr>
        <w:t>, 2007 ONCJ 228</w:t>
      </w:r>
      <w:r>
        <w:rPr>
          <w:rFonts w:cs="Times New Roman"/>
        </w:rPr>
        <w:t xml:space="preserve"> (</w:t>
      </w:r>
      <w:proofErr w:type="spellStart"/>
      <w:r>
        <w:rPr>
          <w:rFonts w:cs="Times New Roman"/>
        </w:rPr>
        <w:t>CanLII</w:t>
      </w:r>
      <w:proofErr w:type="spellEnd"/>
      <w:r>
        <w:rPr>
          <w:rFonts w:cs="Times New Roman"/>
        </w:rPr>
        <w:t>),</w:t>
      </w:r>
      <w:r w:rsidRPr="00863359">
        <w:rPr>
          <w:rFonts w:cs="Times New Roman"/>
        </w:rPr>
        <w:t xml:space="preserve"> at </w:t>
      </w:r>
      <w:proofErr w:type="spellStart"/>
      <w:r w:rsidRPr="00863359">
        <w:rPr>
          <w:rFonts w:cs="Times New Roman"/>
        </w:rPr>
        <w:t>paras</w:t>
      </w:r>
      <w:proofErr w:type="spellEnd"/>
      <w:r w:rsidRPr="00863359">
        <w:rPr>
          <w:rFonts w:cs="Times New Roman"/>
        </w:rPr>
        <w:t xml:space="preserve">. 25-26; </w:t>
      </w:r>
      <w:r w:rsidRPr="00863359">
        <w:rPr>
          <w:rFonts w:cs="Times New Roman"/>
          <w:i/>
        </w:rPr>
        <w:t>R. v. Christiansen</w:t>
      </w:r>
      <w:r w:rsidRPr="00863359">
        <w:rPr>
          <w:rFonts w:cs="Times New Roman"/>
        </w:rPr>
        <w:t>, [1997] O.J. No. 5733</w:t>
      </w:r>
      <w:r>
        <w:rPr>
          <w:rFonts w:cs="Times New Roman"/>
        </w:rPr>
        <w:t xml:space="preserve"> (QL)</w:t>
      </w:r>
      <w:r w:rsidRPr="00863359">
        <w:rPr>
          <w:rFonts w:cs="Times New Roman"/>
        </w:rPr>
        <w:t xml:space="preserve"> (</w:t>
      </w:r>
      <w:r>
        <w:rPr>
          <w:rFonts w:cs="Times New Roman"/>
        </w:rPr>
        <w:t>Ct. J. (Prov. Div.)</w:t>
      </w:r>
      <w:r w:rsidRPr="00863359">
        <w:rPr>
          <w:rFonts w:cs="Times New Roman"/>
        </w:rPr>
        <w:t>)</w:t>
      </w:r>
      <w:r>
        <w:rPr>
          <w:rFonts w:cs="Times New Roman"/>
        </w:rPr>
        <w:t>,</w:t>
      </w:r>
      <w:r w:rsidRPr="00863359">
        <w:rPr>
          <w:rFonts w:cs="Times New Roman"/>
        </w:rPr>
        <w:t xml:space="preserve"> at </w:t>
      </w:r>
      <w:proofErr w:type="spellStart"/>
      <w:r w:rsidRPr="00863359">
        <w:rPr>
          <w:rFonts w:cs="Times New Roman"/>
        </w:rPr>
        <w:t>paras</w:t>
      </w:r>
      <w:proofErr w:type="spellEnd"/>
      <w:r w:rsidRPr="00863359">
        <w:rPr>
          <w:rFonts w:cs="Times New Roman"/>
        </w:rPr>
        <w:t>. 8</w:t>
      </w:r>
      <w:r>
        <w:rPr>
          <w:rFonts w:cs="Times New Roman"/>
        </w:rPr>
        <w:t xml:space="preserve"> and</w:t>
      </w:r>
      <w:r w:rsidRPr="00863359">
        <w:rPr>
          <w:rFonts w:cs="Times New Roman"/>
        </w:rPr>
        <w:t xml:space="preserve"> 18-19; </w:t>
      </w:r>
      <w:r w:rsidRPr="00863359">
        <w:rPr>
          <w:rFonts w:cs="Times New Roman"/>
          <w:i/>
        </w:rPr>
        <w:t>R. v. R.</w:t>
      </w:r>
      <w:r>
        <w:rPr>
          <w:rFonts w:cs="Times New Roman"/>
          <w:i/>
        </w:rPr>
        <w:t xml:space="preserve"> </w:t>
      </w:r>
      <w:r w:rsidRPr="00863359">
        <w:rPr>
          <w:rFonts w:cs="Times New Roman"/>
          <w:i/>
        </w:rPr>
        <w:t>(J.)</w:t>
      </w:r>
      <w:r w:rsidRPr="00AF288E">
        <w:rPr>
          <w:rFonts w:cs="Times New Roman"/>
        </w:rPr>
        <w:t>,</w:t>
      </w:r>
      <w:r>
        <w:rPr>
          <w:rFonts w:cs="Times New Roman"/>
        </w:rPr>
        <w:t xml:space="preserve"> 2000 </w:t>
      </w:r>
      <w:proofErr w:type="spellStart"/>
      <w:r>
        <w:rPr>
          <w:rFonts w:cs="Times New Roman"/>
        </w:rPr>
        <w:t>CarswellOnt</w:t>
      </w:r>
      <w:proofErr w:type="spellEnd"/>
      <w:r>
        <w:rPr>
          <w:rFonts w:cs="Times New Roman"/>
        </w:rPr>
        <w:t xml:space="preserve"> 5325 (Ct. J.</w:t>
      </w:r>
      <w:r w:rsidRPr="00863359">
        <w:rPr>
          <w:rFonts w:cs="Times New Roman"/>
        </w:rPr>
        <w:t>).</w:t>
      </w:r>
    </w:p>
    <w:p w:rsidR="00A02B78" w:rsidRPr="00863359" w:rsidRDefault="00A02B78" w:rsidP="00A02B78">
      <w:pPr>
        <w:pStyle w:val="ParaNoNdepar-AltN"/>
        <w:tabs>
          <w:tab w:val="clear" w:pos="1166"/>
          <w:tab w:val="num" w:pos="1152"/>
        </w:tabs>
        <w:rPr>
          <w:rFonts w:cs="Times New Roman"/>
        </w:rPr>
      </w:pPr>
      <w:r w:rsidRPr="00863359">
        <w:rPr>
          <w:rFonts w:cs="Times New Roman"/>
        </w:rPr>
        <w:t xml:space="preserve">Given that existing case law does not settle the question, our task is to “discern the intent of Parliament, having regard to the purpose of the section and the applicable principles of statutory construction”: </w:t>
      </w:r>
      <w:r w:rsidRPr="00863359">
        <w:rPr>
          <w:rFonts w:cs="Times New Roman"/>
          <w:i/>
        </w:rPr>
        <w:t xml:space="preserve">R. v. </w:t>
      </w:r>
      <w:proofErr w:type="spellStart"/>
      <w:r w:rsidRPr="00863359">
        <w:rPr>
          <w:rFonts w:cs="Times New Roman"/>
          <w:i/>
        </w:rPr>
        <w:t>Gosset</w:t>
      </w:r>
      <w:proofErr w:type="spellEnd"/>
      <w:r w:rsidRPr="00863359">
        <w:rPr>
          <w:rFonts w:cs="Times New Roman"/>
        </w:rPr>
        <w:t>, [1993] 3 S.C.R. 76</w:t>
      </w:r>
      <w:r>
        <w:rPr>
          <w:rFonts w:cs="Times New Roman"/>
        </w:rPr>
        <w:t>,</w:t>
      </w:r>
      <w:r w:rsidRPr="00863359">
        <w:rPr>
          <w:rFonts w:cs="Times New Roman"/>
        </w:rPr>
        <w:t xml:space="preserve"> at p. 89. We must, therefore, read the words of the statute in their entire context, in their </w:t>
      </w:r>
      <w:r w:rsidRPr="00863359">
        <w:rPr>
          <w:rFonts w:cs="Times New Roman"/>
        </w:rPr>
        <w:lastRenderedPageBreak/>
        <w:t xml:space="preserve">grammatical and ordinary sense harmoniously with the scheme of the statute, its objective and the intention of Parliament: </w:t>
      </w:r>
      <w:r w:rsidRPr="00863359">
        <w:rPr>
          <w:rFonts w:cs="Times New Roman"/>
          <w:i/>
        </w:rPr>
        <w:t>Rizzo &amp; Rizzo Shoes Ltd. (Re)</w:t>
      </w:r>
      <w:r w:rsidRPr="00863359">
        <w:rPr>
          <w:rFonts w:cs="Times New Roman"/>
        </w:rPr>
        <w:t>, [1998] 1 S.C.R. 27</w:t>
      </w:r>
      <w:r>
        <w:rPr>
          <w:rFonts w:cs="Times New Roman"/>
        </w:rPr>
        <w:t>,</w:t>
      </w:r>
      <w:r w:rsidRPr="00863359">
        <w:rPr>
          <w:rFonts w:cs="Times New Roman"/>
        </w:rPr>
        <w:t xml:space="preserve"> at</w:t>
      </w:r>
      <w:r>
        <w:rPr>
          <w:rFonts w:cs="Times New Roman"/>
        </w:rPr>
        <w:t xml:space="preserve"> p.</w:t>
      </w:r>
      <w:r w:rsidRPr="00863359">
        <w:rPr>
          <w:rFonts w:cs="Times New Roman"/>
        </w:rPr>
        <w:t xml:space="preserve"> 41</w:t>
      </w:r>
      <w:r>
        <w:rPr>
          <w:rFonts w:cs="Times New Roman"/>
        </w:rPr>
        <w:t xml:space="preserve"> (quoting E. </w:t>
      </w:r>
      <w:proofErr w:type="spellStart"/>
      <w:r>
        <w:rPr>
          <w:rFonts w:cs="Times New Roman"/>
        </w:rPr>
        <w:t>Driedger</w:t>
      </w:r>
      <w:proofErr w:type="spellEnd"/>
      <w:r>
        <w:rPr>
          <w:rFonts w:cs="Times New Roman"/>
        </w:rPr>
        <w:t xml:space="preserve">, </w:t>
      </w:r>
      <w:r>
        <w:rPr>
          <w:rFonts w:cs="Times New Roman"/>
          <w:i/>
        </w:rPr>
        <w:t>Construction of Statutes</w:t>
      </w:r>
      <w:r>
        <w:rPr>
          <w:rFonts w:cs="Times New Roman"/>
        </w:rPr>
        <w:t xml:space="preserve"> (2nd ed</w:t>
      </w:r>
      <w:r w:rsidRPr="00863359">
        <w:rPr>
          <w:rFonts w:cs="Times New Roman"/>
        </w:rPr>
        <w:t>.</w:t>
      </w:r>
      <w:r>
        <w:rPr>
          <w:rFonts w:cs="Times New Roman"/>
        </w:rPr>
        <w:t xml:space="preserve"> 1983), at p. 87).</w:t>
      </w:r>
    </w:p>
    <w:p w:rsidR="00A02B78" w:rsidRPr="00863359" w:rsidRDefault="00A02B78" w:rsidP="00AF288E">
      <w:pPr>
        <w:pStyle w:val="ParaNoNdepar-AltN"/>
        <w:numPr>
          <w:ilvl w:val="0"/>
          <w:numId w:val="0"/>
        </w:numPr>
        <w:ind w:left="540" w:hanging="540"/>
        <w:rPr>
          <w:rFonts w:cs="Times New Roman"/>
        </w:rPr>
      </w:pPr>
      <w:r w:rsidRPr="00863359">
        <w:rPr>
          <w:rFonts w:cs="Times New Roman"/>
        </w:rPr>
        <w:t>B.</w:t>
      </w:r>
      <w:r w:rsidRPr="00863359">
        <w:rPr>
          <w:rFonts w:cs="Times New Roman"/>
        </w:rPr>
        <w:tab/>
      </w:r>
      <w:r>
        <w:rPr>
          <w:rFonts w:cs="Times New Roman"/>
          <w:i/>
        </w:rPr>
        <w:t>Statutory Interpretation and Fault R</w:t>
      </w:r>
      <w:r w:rsidRPr="00322CA4">
        <w:rPr>
          <w:rFonts w:cs="Times New Roman"/>
          <w:i/>
        </w:rPr>
        <w:t>equirements</w:t>
      </w:r>
    </w:p>
    <w:p w:rsidR="00A02B78" w:rsidRPr="00863359" w:rsidRDefault="00A02B78" w:rsidP="00A02B78">
      <w:pPr>
        <w:pStyle w:val="ParaNoNdepar-AltN"/>
        <w:tabs>
          <w:tab w:val="clear" w:pos="1166"/>
          <w:tab w:val="num" w:pos="1152"/>
        </w:tabs>
        <w:rPr>
          <w:rFonts w:cs="Times New Roman"/>
        </w:rPr>
      </w:pPr>
      <w:r w:rsidRPr="00863359">
        <w:rPr>
          <w:rFonts w:cs="Times New Roman"/>
        </w:rPr>
        <w:t xml:space="preserve">Discerning parliamentary intent in relation to the fault element of crimes is often not an easy task.  Offences that have long been held to have subjective fault requirements do not expressly say so and even when Parliament decides to expressly set out fault requirements, it does not use language consistently:  </w:t>
      </w:r>
      <w:r>
        <w:rPr>
          <w:rFonts w:cs="Times New Roman"/>
        </w:rPr>
        <w:t xml:space="preserve">M. Manning and P. </w:t>
      </w:r>
      <w:proofErr w:type="spellStart"/>
      <w:r>
        <w:rPr>
          <w:rFonts w:cs="Times New Roman"/>
        </w:rPr>
        <w:t>Sankoff</w:t>
      </w:r>
      <w:proofErr w:type="spellEnd"/>
      <w:r>
        <w:rPr>
          <w:rFonts w:cs="Times New Roman"/>
        </w:rPr>
        <w:t xml:space="preserve">, </w:t>
      </w:r>
      <w:r w:rsidRPr="00322CA4">
        <w:rPr>
          <w:rFonts w:cs="Times New Roman"/>
          <w:i/>
        </w:rPr>
        <w:t xml:space="preserve">Manning, </w:t>
      </w:r>
      <w:proofErr w:type="spellStart"/>
      <w:r w:rsidRPr="00322CA4">
        <w:rPr>
          <w:rFonts w:cs="Times New Roman"/>
          <w:i/>
        </w:rPr>
        <w:t>Mewett</w:t>
      </w:r>
      <w:proofErr w:type="spellEnd"/>
      <w:r w:rsidRPr="00322CA4">
        <w:rPr>
          <w:rFonts w:cs="Times New Roman"/>
          <w:i/>
        </w:rPr>
        <w:t xml:space="preserve"> &amp; </w:t>
      </w:r>
      <w:proofErr w:type="spellStart"/>
      <w:r w:rsidRPr="00322CA4">
        <w:rPr>
          <w:rFonts w:cs="Times New Roman"/>
          <w:i/>
        </w:rPr>
        <w:t>Sankoff</w:t>
      </w:r>
      <w:proofErr w:type="spellEnd"/>
      <w:r w:rsidRPr="00C22299">
        <w:rPr>
          <w:rFonts w:cs="Times New Roman"/>
          <w:i/>
        </w:rPr>
        <w:t>:</w:t>
      </w:r>
      <w:r w:rsidRPr="00863359">
        <w:rPr>
          <w:rFonts w:cs="Times New Roman"/>
        </w:rPr>
        <w:t xml:space="preserve"> </w:t>
      </w:r>
      <w:r w:rsidRPr="00863359">
        <w:rPr>
          <w:rFonts w:cs="Times New Roman"/>
          <w:i/>
        </w:rPr>
        <w:t>Criminal Law</w:t>
      </w:r>
      <w:r>
        <w:rPr>
          <w:rFonts w:cs="Times New Roman"/>
        </w:rPr>
        <w:t xml:space="preserve"> (4th ed.</w:t>
      </w:r>
      <w:r w:rsidRPr="00863359">
        <w:rPr>
          <w:rFonts w:cs="Times New Roman"/>
        </w:rPr>
        <w:t xml:space="preserve"> 2009)</w:t>
      </w:r>
      <w:r>
        <w:rPr>
          <w:rFonts w:cs="Times New Roman"/>
        </w:rPr>
        <w:t>, at pp. 148-</w:t>
      </w:r>
      <w:r w:rsidRPr="00863359">
        <w:rPr>
          <w:rFonts w:cs="Times New Roman"/>
        </w:rPr>
        <w:t>49.  As a result, the courts must, and often do, infer the fault element: see,</w:t>
      </w:r>
      <w:r>
        <w:rPr>
          <w:rFonts w:cs="Times New Roman"/>
        </w:rPr>
        <w:t xml:space="preserve"> e.g.</w:t>
      </w:r>
      <w:proofErr w:type="gramStart"/>
      <w:r>
        <w:rPr>
          <w:rFonts w:cs="Times New Roman"/>
        </w:rPr>
        <w:t xml:space="preserve">, </w:t>
      </w:r>
      <w:r w:rsidRPr="00863359">
        <w:rPr>
          <w:rFonts w:cs="Times New Roman"/>
          <w:i/>
        </w:rPr>
        <w:t xml:space="preserve"> </w:t>
      </w:r>
      <w:proofErr w:type="spellStart"/>
      <w:r w:rsidRPr="00863359">
        <w:rPr>
          <w:rFonts w:cs="Times New Roman"/>
          <w:i/>
        </w:rPr>
        <w:t>Pappajohn</w:t>
      </w:r>
      <w:proofErr w:type="spellEnd"/>
      <w:proofErr w:type="gramEnd"/>
      <w:r>
        <w:rPr>
          <w:rFonts w:cs="Times New Roman"/>
          <w:i/>
        </w:rPr>
        <w:t xml:space="preserve"> v. The Queen</w:t>
      </w:r>
      <w:r w:rsidRPr="00863359">
        <w:rPr>
          <w:rFonts w:cs="Times New Roman"/>
        </w:rPr>
        <w:t>, [1980] 2 S.C.R. 120</w:t>
      </w:r>
      <w:r>
        <w:rPr>
          <w:rFonts w:cs="Times New Roman"/>
        </w:rPr>
        <w:t>,</w:t>
      </w:r>
      <w:r w:rsidRPr="00863359">
        <w:rPr>
          <w:rFonts w:cs="Times New Roman"/>
        </w:rPr>
        <w:t xml:space="preserve"> </w:t>
      </w:r>
      <w:r w:rsidRPr="008A47C5">
        <w:rPr>
          <w:rFonts w:cs="Times New Roman"/>
          <w:i/>
        </w:rPr>
        <w:t>per</w:t>
      </w:r>
      <w:r w:rsidRPr="00863359">
        <w:rPr>
          <w:rFonts w:cs="Times New Roman"/>
        </w:rPr>
        <w:t xml:space="preserve"> Dickson J. (as he then was)</w:t>
      </w:r>
      <w:r>
        <w:rPr>
          <w:rFonts w:cs="Times New Roman"/>
        </w:rPr>
        <w:t>,</w:t>
      </w:r>
      <w:r w:rsidRPr="00863359">
        <w:rPr>
          <w:rFonts w:cs="Times New Roman"/>
        </w:rPr>
        <w:t xml:space="preserve"> at p. 146; </w:t>
      </w:r>
      <w:r w:rsidRPr="00863359">
        <w:rPr>
          <w:rFonts w:cs="Times New Roman"/>
          <w:i/>
        </w:rPr>
        <w:t>Sweet v. Parsley</w:t>
      </w:r>
      <w:r w:rsidRPr="00863359">
        <w:rPr>
          <w:rFonts w:cs="Times New Roman"/>
        </w:rPr>
        <w:t>, [1970] A.C. 132 (H.L.)</w:t>
      </w:r>
      <w:r>
        <w:rPr>
          <w:rFonts w:cs="Times New Roman"/>
        </w:rPr>
        <w:t>,</w:t>
      </w:r>
      <w:r w:rsidRPr="00863359">
        <w:rPr>
          <w:rFonts w:cs="Times New Roman"/>
        </w:rPr>
        <w:t xml:space="preserve"> </w:t>
      </w:r>
      <w:r w:rsidRPr="00863359">
        <w:rPr>
          <w:rFonts w:cs="Times New Roman"/>
          <w:i/>
        </w:rPr>
        <w:t>per</w:t>
      </w:r>
      <w:r w:rsidRPr="00863359">
        <w:rPr>
          <w:rFonts w:cs="Times New Roman"/>
        </w:rPr>
        <w:t xml:space="preserve"> Lord Reid</w:t>
      </w:r>
      <w:r>
        <w:rPr>
          <w:rFonts w:cs="Times New Roman"/>
        </w:rPr>
        <w:t>, at p. 148; K.</w:t>
      </w:r>
      <w:r w:rsidRPr="00863359">
        <w:rPr>
          <w:rFonts w:cs="Times New Roman"/>
        </w:rPr>
        <w:t xml:space="preserve"> Roach, </w:t>
      </w:r>
      <w:r w:rsidRPr="00863359">
        <w:rPr>
          <w:rFonts w:cs="Times New Roman"/>
          <w:i/>
        </w:rPr>
        <w:t>Criminal Law</w:t>
      </w:r>
      <w:r w:rsidRPr="00863359">
        <w:rPr>
          <w:rFonts w:cs="Times New Roman"/>
        </w:rPr>
        <w:t xml:space="preserve"> (5</w:t>
      </w:r>
      <w:r>
        <w:rPr>
          <w:rFonts w:cs="Times New Roman"/>
        </w:rPr>
        <w:t>th</w:t>
      </w:r>
      <w:r>
        <w:rPr>
          <w:rFonts w:cs="Times New Roman"/>
          <w:vertAlign w:val="superscript"/>
        </w:rPr>
        <w:t xml:space="preserve"> </w:t>
      </w:r>
      <w:proofErr w:type="gramStart"/>
      <w:r>
        <w:rPr>
          <w:rFonts w:cs="Times New Roman"/>
        </w:rPr>
        <w:t>ed</w:t>
      </w:r>
      <w:proofErr w:type="gramEnd"/>
      <w:r>
        <w:rPr>
          <w:rFonts w:cs="Times New Roman"/>
        </w:rPr>
        <w:t>.</w:t>
      </w:r>
      <w:r w:rsidRPr="00863359">
        <w:rPr>
          <w:rFonts w:cs="Times New Roman"/>
        </w:rPr>
        <w:t xml:space="preserve">  2012)</w:t>
      </w:r>
      <w:r>
        <w:rPr>
          <w:rFonts w:cs="Times New Roman"/>
        </w:rPr>
        <w:t>, at pp. 163-6</w:t>
      </w:r>
      <w:r w:rsidRPr="00863359">
        <w:rPr>
          <w:rFonts w:cs="Times New Roman"/>
        </w:rPr>
        <w:t xml:space="preserve">4. </w:t>
      </w:r>
    </w:p>
    <w:p w:rsidR="00A02B78" w:rsidRPr="00863359" w:rsidRDefault="00A02B78" w:rsidP="00A02B78">
      <w:pPr>
        <w:pStyle w:val="ParaNoNdepar-AltN"/>
        <w:tabs>
          <w:tab w:val="clear" w:pos="1166"/>
          <w:tab w:val="num" w:pos="1152"/>
        </w:tabs>
        <w:rPr>
          <w:rFonts w:cs="Times New Roman"/>
        </w:rPr>
      </w:pPr>
      <w:r w:rsidRPr="00863359">
        <w:rPr>
          <w:rFonts w:cs="Times New Roman"/>
        </w:rPr>
        <w:t>In my view, this is such a case.  The text of the provision does not expressly set out a fault requirement, but the text read in light of its full context supports the conclusion that subjective fault is required.  I will begin my analysis by touching on an important presumption of parliamentary intent that applies here and then turn to the purpose, text and scheme of the provision.  In the course of that analysis, I will explain why, in my opinion, the Crown’s position that this is an offence of penal negligence must be rejected.</w:t>
      </w:r>
    </w:p>
    <w:p w:rsidR="00A02B78" w:rsidRPr="00863359" w:rsidRDefault="00A02B78" w:rsidP="00C22299">
      <w:pPr>
        <w:pStyle w:val="ParaNoNdepar-AltN"/>
        <w:numPr>
          <w:ilvl w:val="0"/>
          <w:numId w:val="0"/>
        </w:numPr>
        <w:ind w:left="540" w:hanging="540"/>
        <w:rPr>
          <w:rFonts w:cs="Times New Roman"/>
        </w:rPr>
      </w:pPr>
      <w:r w:rsidRPr="00863359">
        <w:rPr>
          <w:rFonts w:cs="Times New Roman"/>
        </w:rPr>
        <w:lastRenderedPageBreak/>
        <w:t>C.</w:t>
      </w:r>
      <w:r w:rsidRPr="00863359">
        <w:rPr>
          <w:rFonts w:cs="Times New Roman"/>
        </w:rPr>
        <w:tab/>
      </w:r>
      <w:r w:rsidRPr="008A47C5">
        <w:rPr>
          <w:rFonts w:cs="Times New Roman"/>
          <w:i/>
        </w:rPr>
        <w:t>The Broader Context</w:t>
      </w:r>
    </w:p>
    <w:p w:rsidR="00A02B78" w:rsidRPr="00863359" w:rsidRDefault="00A02B78" w:rsidP="00A02B78">
      <w:pPr>
        <w:pStyle w:val="ParaNoNdepar-AltN"/>
        <w:tabs>
          <w:tab w:val="clear" w:pos="1166"/>
          <w:tab w:val="num" w:pos="1152"/>
        </w:tabs>
        <w:rPr>
          <w:rFonts w:cs="Times New Roman"/>
        </w:rPr>
      </w:pPr>
      <w:r w:rsidRPr="00863359">
        <w:rPr>
          <w:rFonts w:cs="Times New Roman"/>
        </w:rPr>
        <w:t>I will review three elements of the broader context of the child abandonment provision: the presumption of legislative inten</w:t>
      </w:r>
      <w:r>
        <w:rPr>
          <w:rFonts w:cs="Times New Roman"/>
        </w:rPr>
        <w:t>t in favour of subjective fault,</w:t>
      </w:r>
      <w:r w:rsidRPr="00863359">
        <w:rPr>
          <w:rFonts w:cs="Times New Roman"/>
        </w:rPr>
        <w:t xml:space="preserve"> the provision’s legislative evolution and finally its purpose.</w:t>
      </w:r>
    </w:p>
    <w:p w:rsidR="00A02B78" w:rsidRPr="00863359" w:rsidRDefault="00C22299" w:rsidP="00C22299">
      <w:pPr>
        <w:pStyle w:val="ParaNoNdepar-AltN"/>
        <w:numPr>
          <w:ilvl w:val="0"/>
          <w:numId w:val="0"/>
        </w:numPr>
        <w:tabs>
          <w:tab w:val="left" w:pos="1170"/>
          <w:tab w:val="left" w:pos="1620"/>
        </w:tabs>
        <w:ind w:firstLine="1170"/>
        <w:rPr>
          <w:rFonts w:cs="Times New Roman"/>
        </w:rPr>
      </w:pPr>
      <w:r>
        <w:rPr>
          <w:rFonts w:cs="Times New Roman"/>
        </w:rPr>
        <w:t>1.</w:t>
      </w:r>
      <w:r>
        <w:rPr>
          <w:rFonts w:cs="Times New Roman"/>
        </w:rPr>
        <w:tab/>
      </w:r>
      <w:r w:rsidR="00A02B78" w:rsidRPr="00C22299">
        <w:rPr>
          <w:rFonts w:cs="Times New Roman"/>
          <w:u w:val="single"/>
        </w:rPr>
        <w:t>Presumed Legislative Intent</w:t>
      </w:r>
    </w:p>
    <w:p w:rsidR="00A02B78" w:rsidRPr="00863359" w:rsidRDefault="00A02B78" w:rsidP="00A02B78">
      <w:pPr>
        <w:pStyle w:val="ParaNoNdepar-AltN"/>
        <w:tabs>
          <w:tab w:val="clear" w:pos="1166"/>
          <w:tab w:val="num" w:pos="1152"/>
        </w:tabs>
        <w:rPr>
          <w:rFonts w:cs="Times New Roman"/>
          <w:i/>
        </w:rPr>
      </w:pPr>
      <w:r w:rsidRPr="00863359">
        <w:rPr>
          <w:rFonts w:cs="Times New Roman"/>
        </w:rPr>
        <w:t>An important part of the context in which we must interpret s. 218 is the presumption that Parliament intends crimes to have a subjective fault element.  The Court has stated and relied on this interpretative principle on many occasions:  see</w:t>
      </w:r>
      <w:r>
        <w:rPr>
          <w:rFonts w:cs="Times New Roman"/>
        </w:rPr>
        <w:t>,</w:t>
      </w:r>
      <w:r w:rsidRPr="00863359">
        <w:rPr>
          <w:rFonts w:cs="Times New Roman"/>
        </w:rPr>
        <w:t xml:space="preserve"> e.g.</w:t>
      </w:r>
      <w:r>
        <w:rPr>
          <w:rFonts w:cs="Times New Roman"/>
        </w:rPr>
        <w:t>,</w:t>
      </w:r>
      <w:r w:rsidRPr="00863359">
        <w:rPr>
          <w:rFonts w:cs="Times New Roman"/>
        </w:rPr>
        <w:t xml:space="preserve"> </w:t>
      </w:r>
      <w:proofErr w:type="gramStart"/>
      <w:r w:rsidRPr="00863359">
        <w:rPr>
          <w:rFonts w:cs="Times New Roman"/>
          <w:i/>
        </w:rPr>
        <w:t>Watts</w:t>
      </w:r>
      <w:proofErr w:type="gramEnd"/>
      <w:r w:rsidRPr="00863359">
        <w:rPr>
          <w:rFonts w:cs="Times New Roman"/>
          <w:i/>
        </w:rPr>
        <w:t xml:space="preserve"> v. The Queen</w:t>
      </w:r>
      <w:r w:rsidRPr="00863359">
        <w:rPr>
          <w:rFonts w:cs="Times New Roman"/>
        </w:rPr>
        <w:t>, [1953] 1 S.C.R. 505</w:t>
      </w:r>
      <w:r>
        <w:rPr>
          <w:rFonts w:cs="Times New Roman"/>
        </w:rPr>
        <w:t>,</w:t>
      </w:r>
      <w:r w:rsidRPr="00863359">
        <w:rPr>
          <w:rFonts w:cs="Times New Roman"/>
        </w:rPr>
        <w:t xml:space="preserve"> at </w:t>
      </w:r>
      <w:r>
        <w:rPr>
          <w:rFonts w:cs="Times New Roman"/>
        </w:rPr>
        <w:t xml:space="preserve">p. </w:t>
      </w:r>
      <w:r w:rsidRPr="00863359">
        <w:rPr>
          <w:rFonts w:cs="Times New Roman"/>
        </w:rPr>
        <w:t xml:space="preserve">511; </w:t>
      </w:r>
      <w:r w:rsidRPr="00863359">
        <w:rPr>
          <w:rFonts w:cs="Times New Roman"/>
          <w:i/>
        </w:rPr>
        <w:t>R. v. Rees</w:t>
      </w:r>
      <w:r w:rsidRPr="00863359">
        <w:rPr>
          <w:rFonts w:cs="Times New Roman"/>
        </w:rPr>
        <w:t>, [1956] S.C.R. 640</w:t>
      </w:r>
      <w:r>
        <w:rPr>
          <w:rFonts w:cs="Times New Roman"/>
        </w:rPr>
        <w:t xml:space="preserve">, </w:t>
      </w:r>
      <w:r w:rsidRPr="00863359">
        <w:rPr>
          <w:rFonts w:cs="Times New Roman"/>
        </w:rPr>
        <w:t>at</w:t>
      </w:r>
      <w:r>
        <w:rPr>
          <w:rFonts w:cs="Times New Roman"/>
        </w:rPr>
        <w:t xml:space="preserve"> p.</w:t>
      </w:r>
      <w:r w:rsidRPr="00863359">
        <w:rPr>
          <w:rFonts w:cs="Times New Roman"/>
        </w:rPr>
        <w:t xml:space="preserve"> 652; </w:t>
      </w:r>
      <w:r w:rsidRPr="00863359">
        <w:rPr>
          <w:rFonts w:cs="Times New Roman"/>
          <w:i/>
        </w:rPr>
        <w:t>Beaver v. The Queen</w:t>
      </w:r>
      <w:r w:rsidRPr="00863359">
        <w:rPr>
          <w:rFonts w:cs="Times New Roman"/>
        </w:rPr>
        <w:t>, [1957] S.C.R. 531</w:t>
      </w:r>
      <w:r>
        <w:rPr>
          <w:rFonts w:cs="Times New Roman"/>
        </w:rPr>
        <w:t>,</w:t>
      </w:r>
      <w:r w:rsidRPr="00863359">
        <w:rPr>
          <w:rFonts w:cs="Times New Roman"/>
        </w:rPr>
        <w:t xml:space="preserve"> at</w:t>
      </w:r>
      <w:r>
        <w:rPr>
          <w:rFonts w:cs="Times New Roman"/>
        </w:rPr>
        <w:t xml:space="preserve"> pp.</w:t>
      </w:r>
      <w:r w:rsidRPr="00863359">
        <w:rPr>
          <w:rFonts w:cs="Times New Roman"/>
        </w:rPr>
        <w:t xml:space="preserve"> 542-43; </w:t>
      </w:r>
      <w:r w:rsidRPr="00863359">
        <w:rPr>
          <w:rFonts w:cs="Times New Roman"/>
          <w:i/>
        </w:rPr>
        <w:t>R. v. Sault Ste</w:t>
      </w:r>
      <w:r>
        <w:rPr>
          <w:rFonts w:cs="Times New Roman"/>
          <w:i/>
        </w:rPr>
        <w:t>.</w:t>
      </w:r>
      <w:r w:rsidRPr="00863359">
        <w:rPr>
          <w:rFonts w:cs="Times New Roman"/>
          <w:i/>
        </w:rPr>
        <w:t xml:space="preserve"> Marie</w:t>
      </w:r>
      <w:r w:rsidRPr="00863359">
        <w:rPr>
          <w:rFonts w:cs="Times New Roman"/>
        </w:rPr>
        <w:t>, [1978] 2 S.C.R. 1299</w:t>
      </w:r>
      <w:r>
        <w:rPr>
          <w:rFonts w:cs="Times New Roman"/>
        </w:rPr>
        <w:t>,</w:t>
      </w:r>
      <w:r w:rsidRPr="00863359">
        <w:rPr>
          <w:rFonts w:cs="Times New Roman"/>
        </w:rPr>
        <w:t xml:space="preserve"> at </w:t>
      </w:r>
      <w:r>
        <w:rPr>
          <w:rFonts w:cs="Times New Roman"/>
        </w:rPr>
        <w:t xml:space="preserve">pp. </w:t>
      </w:r>
      <w:r w:rsidRPr="00863359">
        <w:rPr>
          <w:rFonts w:cs="Times New Roman"/>
        </w:rPr>
        <w:t xml:space="preserve">1303 and 1309-10;  </w:t>
      </w:r>
      <w:r w:rsidRPr="00863359">
        <w:rPr>
          <w:rFonts w:cs="Times New Roman"/>
          <w:i/>
        </w:rPr>
        <w:t xml:space="preserve">R. v. </w:t>
      </w:r>
      <w:proofErr w:type="spellStart"/>
      <w:r w:rsidRPr="00863359">
        <w:rPr>
          <w:rFonts w:cs="Times New Roman"/>
          <w:i/>
        </w:rPr>
        <w:t>Prue</w:t>
      </w:r>
      <w:proofErr w:type="spellEnd"/>
      <w:r w:rsidRPr="00863359">
        <w:rPr>
          <w:rFonts w:cs="Times New Roman"/>
        </w:rPr>
        <w:t>, [1979] 2 S.C.R. 547</w:t>
      </w:r>
      <w:r>
        <w:rPr>
          <w:rFonts w:cs="Times New Roman"/>
        </w:rPr>
        <w:t>,</w:t>
      </w:r>
      <w:r w:rsidRPr="00863359">
        <w:rPr>
          <w:rFonts w:cs="Times New Roman"/>
        </w:rPr>
        <w:t xml:space="preserve"> at </w:t>
      </w:r>
      <w:r>
        <w:rPr>
          <w:rFonts w:cs="Times New Roman"/>
        </w:rPr>
        <w:t xml:space="preserve">pp. </w:t>
      </w:r>
      <w:r w:rsidRPr="00863359">
        <w:rPr>
          <w:rFonts w:cs="Times New Roman"/>
        </w:rPr>
        <w:t xml:space="preserve">551 and 553; </w:t>
      </w:r>
      <w:r w:rsidRPr="00863359">
        <w:rPr>
          <w:rFonts w:cs="Times New Roman"/>
          <w:i/>
        </w:rPr>
        <w:t>R. v. Bernard</w:t>
      </w:r>
      <w:r w:rsidRPr="00863359">
        <w:rPr>
          <w:rFonts w:cs="Times New Roman"/>
        </w:rPr>
        <w:t>, [1988] 2 S.C.R. 833</w:t>
      </w:r>
      <w:r>
        <w:rPr>
          <w:rFonts w:cs="Times New Roman"/>
        </w:rPr>
        <w:t>,</w:t>
      </w:r>
      <w:r w:rsidRPr="00863359">
        <w:rPr>
          <w:rFonts w:cs="Times New Roman"/>
        </w:rPr>
        <w:t xml:space="preserve"> at </w:t>
      </w:r>
      <w:r>
        <w:rPr>
          <w:rFonts w:cs="Times New Roman"/>
        </w:rPr>
        <w:t xml:space="preserve">p. </w:t>
      </w:r>
      <w:r w:rsidRPr="00863359">
        <w:rPr>
          <w:rFonts w:cs="Times New Roman"/>
        </w:rPr>
        <w:t xml:space="preserve">871; </w:t>
      </w:r>
      <w:r w:rsidRPr="00863359">
        <w:rPr>
          <w:rFonts w:cs="Times New Roman"/>
          <w:i/>
        </w:rPr>
        <w:t>R. v. Martineau</w:t>
      </w:r>
      <w:r w:rsidRPr="00863359">
        <w:rPr>
          <w:rFonts w:cs="Times New Roman"/>
        </w:rPr>
        <w:t>, [1990] 2 S.C.R. 633</w:t>
      </w:r>
      <w:r>
        <w:rPr>
          <w:rFonts w:cs="Times New Roman"/>
        </w:rPr>
        <w:t>,</w:t>
      </w:r>
      <w:r w:rsidRPr="00863359">
        <w:rPr>
          <w:rFonts w:cs="Times New Roman"/>
        </w:rPr>
        <w:t xml:space="preserve"> at</w:t>
      </w:r>
      <w:r>
        <w:rPr>
          <w:rFonts w:cs="Times New Roman"/>
        </w:rPr>
        <w:t xml:space="preserve"> p. 645</w:t>
      </w:r>
      <w:r w:rsidRPr="00863359">
        <w:rPr>
          <w:rFonts w:cs="Times New Roman"/>
        </w:rPr>
        <w:t xml:space="preserve">; </w:t>
      </w:r>
      <w:r>
        <w:rPr>
          <w:rFonts w:cs="Times New Roman"/>
          <w:i/>
        </w:rPr>
        <w:t xml:space="preserve">R. v. </w:t>
      </w:r>
      <w:proofErr w:type="spellStart"/>
      <w:r>
        <w:rPr>
          <w:rFonts w:cs="Times New Roman"/>
          <w:i/>
        </w:rPr>
        <w:t>Thé</w:t>
      </w:r>
      <w:r w:rsidRPr="00863359">
        <w:rPr>
          <w:rFonts w:cs="Times New Roman"/>
          <w:i/>
        </w:rPr>
        <w:t>roux</w:t>
      </w:r>
      <w:proofErr w:type="spellEnd"/>
      <w:r w:rsidRPr="00863359">
        <w:rPr>
          <w:rFonts w:cs="Times New Roman"/>
        </w:rPr>
        <w:t>, [1993] 2 S.C.R. 5</w:t>
      </w:r>
      <w:r>
        <w:rPr>
          <w:rFonts w:cs="Times New Roman"/>
        </w:rPr>
        <w:t>,</w:t>
      </w:r>
      <w:r w:rsidRPr="00863359">
        <w:rPr>
          <w:rFonts w:cs="Times New Roman"/>
        </w:rPr>
        <w:t xml:space="preserve"> at</w:t>
      </w:r>
      <w:r>
        <w:rPr>
          <w:rFonts w:cs="Times New Roman"/>
        </w:rPr>
        <w:t xml:space="preserve"> p.</w:t>
      </w:r>
      <w:r w:rsidRPr="00863359">
        <w:rPr>
          <w:rFonts w:cs="Times New Roman"/>
        </w:rPr>
        <w:t xml:space="preserve"> 18;  </w:t>
      </w:r>
      <w:r w:rsidRPr="00863359">
        <w:rPr>
          <w:rFonts w:cs="Times New Roman"/>
          <w:i/>
        </w:rPr>
        <w:t>R. v. Lucas</w:t>
      </w:r>
      <w:r w:rsidRPr="00863359">
        <w:rPr>
          <w:rFonts w:cs="Times New Roman"/>
        </w:rPr>
        <w:t>, [1998] 1 S.C.R. 439</w:t>
      </w:r>
      <w:r>
        <w:rPr>
          <w:rFonts w:cs="Times New Roman"/>
        </w:rPr>
        <w:t>,</w:t>
      </w:r>
      <w:r w:rsidRPr="00863359">
        <w:rPr>
          <w:rFonts w:cs="Times New Roman"/>
        </w:rPr>
        <w:t xml:space="preserve"> at </w:t>
      </w:r>
      <w:proofErr w:type="spellStart"/>
      <w:r w:rsidRPr="00863359">
        <w:rPr>
          <w:rFonts w:cs="Times New Roman"/>
        </w:rPr>
        <w:t>para</w:t>
      </w:r>
      <w:proofErr w:type="spellEnd"/>
      <w:r w:rsidRPr="00863359">
        <w:rPr>
          <w:rFonts w:cs="Times New Roman"/>
        </w:rPr>
        <w:t xml:space="preserve">. 64. Perhaps the classic statement is that of Dickson J. </w:t>
      </w:r>
      <w:r>
        <w:rPr>
          <w:rFonts w:cs="Times New Roman"/>
        </w:rPr>
        <w:t xml:space="preserve">(as he then was) for the Court </w:t>
      </w:r>
      <w:r w:rsidRPr="00863359">
        <w:rPr>
          <w:rFonts w:cs="Times New Roman"/>
        </w:rPr>
        <w:t xml:space="preserve">in </w:t>
      </w:r>
      <w:r w:rsidRPr="00863359">
        <w:rPr>
          <w:rFonts w:cs="Times New Roman"/>
          <w:i/>
        </w:rPr>
        <w:t>Sault Ste</w:t>
      </w:r>
      <w:r>
        <w:rPr>
          <w:rFonts w:cs="Times New Roman"/>
          <w:i/>
        </w:rPr>
        <w:t>.</w:t>
      </w:r>
      <w:r w:rsidRPr="00863359">
        <w:rPr>
          <w:rFonts w:cs="Times New Roman"/>
          <w:i/>
        </w:rPr>
        <w:t xml:space="preserve"> Marie</w:t>
      </w:r>
      <w:r w:rsidRPr="00863359">
        <w:rPr>
          <w:rFonts w:cs="Times New Roman"/>
        </w:rPr>
        <w:t>:</w:t>
      </w:r>
    </w:p>
    <w:p w:rsidR="00A02B78" w:rsidRPr="00863359" w:rsidRDefault="00A02B78" w:rsidP="00A02B78">
      <w:pPr>
        <w:pStyle w:val="Citation-AltC"/>
      </w:pPr>
      <w:r w:rsidRPr="00863359">
        <w:t xml:space="preserve">In the case of true crimes there is a presumption that a person should not be held liable for the wrongfulness of his act if that act is without </w:t>
      </w:r>
      <w:proofErr w:type="spellStart"/>
      <w:r w:rsidRPr="00863359">
        <w:rPr>
          <w:i/>
        </w:rPr>
        <w:t>mens</w:t>
      </w:r>
      <w:proofErr w:type="spellEnd"/>
      <w:r w:rsidRPr="00863359">
        <w:rPr>
          <w:i/>
        </w:rPr>
        <w:t xml:space="preserve"> </w:t>
      </w:r>
      <w:proofErr w:type="spellStart"/>
      <w:r w:rsidRPr="00863359">
        <w:rPr>
          <w:i/>
        </w:rPr>
        <w:t>rea</w:t>
      </w:r>
      <w:proofErr w:type="spellEnd"/>
      <w:r>
        <w:rPr>
          <w:i/>
        </w:rPr>
        <w:t xml:space="preserve"> . . . . </w:t>
      </w:r>
    </w:p>
    <w:p w:rsidR="00A02B78" w:rsidRPr="00863359" w:rsidRDefault="00A02B78" w:rsidP="00A02B78">
      <w:pPr>
        <w:pStyle w:val="Citation-AltC"/>
      </w:pPr>
    </w:p>
    <w:p w:rsidR="00A02B78" w:rsidRPr="00863359" w:rsidRDefault="00A02B78" w:rsidP="00A02B78">
      <w:pPr>
        <w:pStyle w:val="Citation-AltC"/>
        <w:ind w:firstLine="274"/>
      </w:pPr>
      <w:r>
        <w:t xml:space="preserve"> . . . </w:t>
      </w:r>
      <w:r w:rsidRPr="00863359">
        <w:t xml:space="preserve">Where the offence is criminal, the Crown must establish a mental element, namely, that the accused who committed the prohibited act did so intentionally or recklessly, with knowledge of the facts constituting the offence, or with wilful blindness toward them. Mere negligence is excluded from the concept of the mental element required for conviction. </w:t>
      </w:r>
      <w:r w:rsidRPr="00863359">
        <w:lastRenderedPageBreak/>
        <w:t xml:space="preserve">Within the context of a criminal prosecution a person who fails to make such enquiries as a reasonable and prudent person would make, or who fails to know facts he should have known, is innocent in the eyes of the law. </w:t>
      </w:r>
      <w:r>
        <w:t>[Citations omitted; pp. 1303 and 1309-10.]</w:t>
      </w:r>
    </w:p>
    <w:p w:rsidR="00A02B78" w:rsidRPr="00863359" w:rsidRDefault="00A02B78" w:rsidP="00A02B78">
      <w:pPr>
        <w:pStyle w:val="ParaNoNdepar-AltN"/>
        <w:tabs>
          <w:tab w:val="clear" w:pos="1166"/>
          <w:tab w:val="num" w:pos="1152"/>
        </w:tabs>
        <w:rPr>
          <w:rFonts w:cs="Times New Roman"/>
          <w:i/>
        </w:rPr>
      </w:pPr>
      <w:r w:rsidRPr="00863359">
        <w:rPr>
          <w:rFonts w:cs="Times New Roman"/>
        </w:rPr>
        <w:t xml:space="preserve">Notwithstanding these many statements, the Crown in effect submits that there is no such presumption of legislative intent because it has not always been applied. The Crown notes that there are many offences in the </w:t>
      </w:r>
      <w:r w:rsidRPr="00863359">
        <w:rPr>
          <w:rFonts w:cs="Times New Roman"/>
          <w:i/>
        </w:rPr>
        <w:t>Code</w:t>
      </w:r>
      <w:r w:rsidRPr="00863359">
        <w:rPr>
          <w:rFonts w:cs="Times New Roman"/>
        </w:rPr>
        <w:t xml:space="preserve"> that do not require subjective fault and further that there is no absolute rule requiring complete symmetry between the fault element and the prohibited consequences of the offence. In my view, however, these points do not negate the existence of the presumption of legislative intent. They show merely that the presumption does not invariably determine the outcome of a full contextual and purposive interpretation of a particular provision.</w:t>
      </w:r>
    </w:p>
    <w:p w:rsidR="00A02B78" w:rsidRPr="00863359" w:rsidRDefault="00A02B78" w:rsidP="00A02B78">
      <w:pPr>
        <w:pStyle w:val="ParaNoNdepar-AltN"/>
        <w:tabs>
          <w:tab w:val="clear" w:pos="1166"/>
          <w:tab w:val="num" w:pos="1152"/>
        </w:tabs>
        <w:rPr>
          <w:rFonts w:cs="Times New Roman"/>
          <w:i/>
        </w:rPr>
      </w:pPr>
      <w:r w:rsidRPr="00863359">
        <w:rPr>
          <w:rFonts w:cs="Times New Roman"/>
        </w:rPr>
        <w:t>Presumptions of legislative intent are not self-applying rules. They are instead principles of interpretation. They do not, on their own, prescribe the outcome of interpretation, but rather set out broad principles that ought to inform it. As Professor Sullivan has observed, presumptions of legislative intent, such as this one, serve as a way in which the courts recognize and incorporate important values into the legal context in which legislation is drafted and should be interpreted.  These values both inform judicial understanding of legislation and play an important role in assessing comp</w:t>
      </w:r>
      <w:r>
        <w:rPr>
          <w:rFonts w:cs="Times New Roman"/>
        </w:rPr>
        <w:t>eting interpretations: R.</w:t>
      </w:r>
      <w:r w:rsidRPr="00863359">
        <w:rPr>
          <w:rFonts w:cs="Times New Roman"/>
        </w:rPr>
        <w:t xml:space="preserve"> Sullivan, </w:t>
      </w:r>
      <w:r w:rsidRPr="00863359">
        <w:rPr>
          <w:rFonts w:cs="Times New Roman"/>
          <w:i/>
        </w:rPr>
        <w:t xml:space="preserve">Sullivan and </w:t>
      </w:r>
      <w:proofErr w:type="spellStart"/>
      <w:r w:rsidRPr="00863359">
        <w:rPr>
          <w:rFonts w:cs="Times New Roman"/>
          <w:i/>
        </w:rPr>
        <w:t>Driedger</w:t>
      </w:r>
      <w:proofErr w:type="spellEnd"/>
      <w:r w:rsidRPr="00863359">
        <w:rPr>
          <w:rFonts w:cs="Times New Roman"/>
          <w:i/>
        </w:rPr>
        <w:t xml:space="preserve"> on the Construction of Statutes</w:t>
      </w:r>
      <w:r>
        <w:rPr>
          <w:rFonts w:cs="Times New Roman"/>
        </w:rPr>
        <w:t xml:space="preserve"> (4th</w:t>
      </w:r>
      <w:r>
        <w:rPr>
          <w:rFonts w:cs="Times New Roman"/>
          <w:vertAlign w:val="superscript"/>
        </w:rPr>
        <w:t xml:space="preserve"> </w:t>
      </w:r>
      <w:r>
        <w:rPr>
          <w:rFonts w:cs="Times New Roman"/>
        </w:rPr>
        <w:t>ed.</w:t>
      </w:r>
      <w:r w:rsidRPr="00863359">
        <w:rPr>
          <w:rFonts w:cs="Times New Roman"/>
        </w:rPr>
        <w:t xml:space="preserve"> 2002)</w:t>
      </w:r>
      <w:r>
        <w:rPr>
          <w:rFonts w:cs="Times New Roman"/>
        </w:rPr>
        <w:t>,</w:t>
      </w:r>
      <w:r w:rsidRPr="00863359">
        <w:rPr>
          <w:rFonts w:cs="Times New Roman"/>
        </w:rPr>
        <w:t xml:space="preserve"> at</w:t>
      </w:r>
      <w:r>
        <w:rPr>
          <w:rFonts w:cs="Times New Roman"/>
        </w:rPr>
        <w:t xml:space="preserve"> p.</w:t>
      </w:r>
      <w:r w:rsidRPr="00863359">
        <w:rPr>
          <w:rFonts w:cs="Times New Roman"/>
        </w:rPr>
        <w:t xml:space="preserve"> 365. </w:t>
      </w:r>
    </w:p>
    <w:p w:rsidR="00A02B78" w:rsidRPr="00863359" w:rsidRDefault="00A02B78" w:rsidP="00A02B78">
      <w:pPr>
        <w:pStyle w:val="ParaNoNdepar-AltN"/>
        <w:tabs>
          <w:tab w:val="clear" w:pos="1166"/>
          <w:tab w:val="num" w:pos="1152"/>
        </w:tabs>
        <w:rPr>
          <w:rFonts w:cs="Times New Roman"/>
          <w:i/>
          <w:lang w:val="en-US"/>
        </w:rPr>
      </w:pPr>
      <w:r w:rsidRPr="00863359">
        <w:rPr>
          <w:rFonts w:cs="Times New Roman"/>
          <w:lang w:val="en-US"/>
        </w:rPr>
        <w:lastRenderedPageBreak/>
        <w:t xml:space="preserve">Professor </w:t>
      </w:r>
      <w:proofErr w:type="spellStart"/>
      <w:r w:rsidRPr="00863359">
        <w:rPr>
          <w:rFonts w:cs="Times New Roman"/>
          <w:lang w:val="en-US"/>
        </w:rPr>
        <w:t>Côt</w:t>
      </w:r>
      <w:proofErr w:type="spellEnd"/>
      <w:r w:rsidRPr="00863359">
        <w:rPr>
          <w:rFonts w:cs="Times New Roman"/>
        </w:rPr>
        <w:t xml:space="preserve">é </w:t>
      </w:r>
      <w:r w:rsidRPr="00863359">
        <w:rPr>
          <w:rFonts w:cs="Times New Roman"/>
          <w:lang w:val="en-US"/>
        </w:rPr>
        <w:t xml:space="preserve">has described how these presumptions may inform the legal context in which legislation is drafted.  </w:t>
      </w:r>
      <w:r w:rsidRPr="008A47C5">
        <w:rPr>
          <w:rFonts w:cs="Times New Roman"/>
          <w:lang w:val="en-US"/>
        </w:rPr>
        <w:t xml:space="preserve">He put it this way:  </w:t>
      </w:r>
      <w:r>
        <w:rPr>
          <w:rFonts w:cs="Times New Roman"/>
          <w:lang w:val="en-US"/>
        </w:rPr>
        <w:t>“</w:t>
      </w:r>
      <w:r w:rsidRPr="008A47C5">
        <w:rPr>
          <w:rFonts w:cs="Times New Roman"/>
          <w:lang w:val="en-US"/>
        </w:rPr>
        <w:t>In some sense, presumptions of intent form part of the enactment’s context, as they reflect ideas which can be assumed to have been both presen</w:t>
      </w:r>
      <w:r>
        <w:rPr>
          <w:rFonts w:cs="Times New Roman"/>
          <w:lang w:val="en-US"/>
        </w:rPr>
        <w:t>t in the mind of the legislature</w:t>
      </w:r>
      <w:r w:rsidRPr="008A47C5">
        <w:rPr>
          <w:rFonts w:cs="Times New Roman"/>
          <w:lang w:val="en-US"/>
        </w:rPr>
        <w:t xml:space="preserve"> and sufficiently current as to render their explicit mention unnecessary</w:t>
      </w:r>
      <w:r>
        <w:rPr>
          <w:rFonts w:cs="Times New Roman"/>
          <w:lang w:val="en-US"/>
        </w:rPr>
        <w:t>”: P.</w:t>
      </w:r>
      <w:r w:rsidR="001A107E">
        <w:rPr>
          <w:rFonts w:cs="Times New Roman"/>
          <w:lang w:val="en-US"/>
        </w:rPr>
        <w:t>-</w:t>
      </w:r>
      <w:r>
        <w:rPr>
          <w:rFonts w:cs="Times New Roman"/>
          <w:lang w:val="en-US"/>
        </w:rPr>
        <w:t xml:space="preserve">A. </w:t>
      </w:r>
      <w:proofErr w:type="spellStart"/>
      <w:r>
        <w:rPr>
          <w:rFonts w:cs="Times New Roman"/>
          <w:lang w:val="en-US"/>
        </w:rPr>
        <w:t>Côté</w:t>
      </w:r>
      <w:proofErr w:type="spellEnd"/>
      <w:r>
        <w:rPr>
          <w:rFonts w:cs="Times New Roman"/>
          <w:lang w:val="en-US"/>
        </w:rPr>
        <w:t xml:space="preserve">, in collaboration with S. </w:t>
      </w:r>
      <w:proofErr w:type="spellStart"/>
      <w:r>
        <w:rPr>
          <w:rFonts w:cs="Times New Roman"/>
          <w:lang w:val="en-US"/>
        </w:rPr>
        <w:t>Beaulac</w:t>
      </w:r>
      <w:proofErr w:type="spellEnd"/>
      <w:r>
        <w:rPr>
          <w:rFonts w:cs="Times New Roman"/>
          <w:lang w:val="en-US"/>
        </w:rPr>
        <w:t xml:space="preserve"> and M. </w:t>
      </w:r>
      <w:proofErr w:type="spellStart"/>
      <w:r>
        <w:rPr>
          <w:rFonts w:cs="Times New Roman"/>
          <w:lang w:val="en-US"/>
        </w:rPr>
        <w:t>Devinat</w:t>
      </w:r>
      <w:proofErr w:type="spellEnd"/>
      <w:r>
        <w:rPr>
          <w:rFonts w:cs="Times New Roman"/>
          <w:lang w:val="en-US"/>
        </w:rPr>
        <w:t xml:space="preserve">, </w:t>
      </w:r>
      <w:r>
        <w:rPr>
          <w:rFonts w:cs="Times New Roman"/>
          <w:i/>
          <w:lang w:val="en-US"/>
        </w:rPr>
        <w:t>The Interpretation of Legislation in Canada</w:t>
      </w:r>
      <w:r>
        <w:rPr>
          <w:rFonts w:cs="Times New Roman"/>
          <w:lang w:val="en-US"/>
        </w:rPr>
        <w:t xml:space="preserve"> (4th ed. 2011),</w:t>
      </w:r>
      <w:r w:rsidRPr="008A47C5">
        <w:rPr>
          <w:rFonts w:cs="Times New Roman"/>
          <w:lang w:val="en-US"/>
        </w:rPr>
        <w:t xml:space="preserve"> at p.</w:t>
      </w:r>
      <w:r>
        <w:rPr>
          <w:rFonts w:cs="Times New Roman"/>
          <w:lang w:val="en-US"/>
        </w:rPr>
        <w:t xml:space="preserve"> 470; see also R.</w:t>
      </w:r>
      <w:r w:rsidRPr="008A47C5">
        <w:rPr>
          <w:rFonts w:cs="Times New Roman"/>
          <w:lang w:val="en-US"/>
        </w:rPr>
        <w:t xml:space="preserve"> Cross, </w:t>
      </w:r>
      <w:r w:rsidRPr="008A47C5">
        <w:rPr>
          <w:rFonts w:cs="Times New Roman"/>
          <w:i/>
          <w:lang w:val="en-US"/>
        </w:rPr>
        <w:t>Statutory Interpretation</w:t>
      </w:r>
      <w:r w:rsidRPr="008A47C5">
        <w:rPr>
          <w:rFonts w:cs="Times New Roman"/>
          <w:lang w:val="en-US"/>
        </w:rPr>
        <w:t xml:space="preserve"> (3</w:t>
      </w:r>
      <w:r>
        <w:rPr>
          <w:rFonts w:cs="Times New Roman"/>
          <w:lang w:val="en-US"/>
        </w:rPr>
        <w:t>rd</w:t>
      </w:r>
      <w:r>
        <w:rPr>
          <w:rFonts w:cs="Times New Roman"/>
          <w:vertAlign w:val="superscript"/>
          <w:lang w:val="en-US"/>
        </w:rPr>
        <w:t xml:space="preserve"> </w:t>
      </w:r>
      <w:r>
        <w:rPr>
          <w:rFonts w:cs="Times New Roman"/>
          <w:lang w:val="en-US"/>
        </w:rPr>
        <w:t>ed. 1995), by J. Bell and G. Engle,</w:t>
      </w:r>
      <w:r w:rsidRPr="008A47C5">
        <w:rPr>
          <w:rFonts w:cs="Times New Roman"/>
          <w:lang w:val="en-US"/>
        </w:rPr>
        <w:t xml:space="preserve"> at </w:t>
      </w:r>
      <w:r>
        <w:rPr>
          <w:rFonts w:cs="Times New Roman"/>
          <w:lang w:val="en-US"/>
        </w:rPr>
        <w:t>pp. 165-6</w:t>
      </w:r>
      <w:r w:rsidRPr="008A47C5">
        <w:rPr>
          <w:rFonts w:cs="Times New Roman"/>
          <w:lang w:val="en-US"/>
        </w:rPr>
        <w:t>7</w:t>
      </w:r>
      <w:r>
        <w:rPr>
          <w:rFonts w:cs="Times New Roman"/>
          <w:lang w:val="en-US"/>
        </w:rPr>
        <w:t>, and K.</w:t>
      </w:r>
      <w:r w:rsidRPr="008A47C5">
        <w:rPr>
          <w:rFonts w:cs="Times New Roman"/>
          <w:lang w:val="en-US"/>
        </w:rPr>
        <w:t xml:space="preserve"> Roach, </w:t>
      </w:r>
      <w:r w:rsidRPr="008A47C5">
        <w:rPr>
          <w:rFonts w:cs="Times New Roman"/>
          <w:noProof/>
          <w:lang w:val="en-US"/>
        </w:rPr>
        <w:t>“</w:t>
      </w:r>
      <w:r w:rsidRPr="008A47C5">
        <w:rPr>
          <w:rFonts w:cs="Times New Roman"/>
          <w:lang w:val="en-US"/>
        </w:rPr>
        <w:t xml:space="preserve">Common Law Bills of Rights as Dialogue Between Courts and Legislatures” (2005), 55 </w:t>
      </w:r>
      <w:r w:rsidRPr="001235F2">
        <w:rPr>
          <w:rFonts w:cs="Times New Roman"/>
          <w:i/>
          <w:lang w:val="en-US"/>
        </w:rPr>
        <w:t>U.T.L.J.</w:t>
      </w:r>
      <w:r w:rsidRPr="008A47C5">
        <w:rPr>
          <w:rFonts w:cs="Times New Roman"/>
          <w:lang w:val="en-US"/>
        </w:rPr>
        <w:t xml:space="preserve"> 733. </w:t>
      </w:r>
      <w:r w:rsidRPr="00863359">
        <w:rPr>
          <w:rFonts w:cs="Times New Roman"/>
          <w:lang w:val="en-US"/>
        </w:rPr>
        <w:t>Parliament must be understood to know that this presumption will likely be applied unless some contrary intention is evident in the legislation.</w:t>
      </w:r>
    </w:p>
    <w:p w:rsidR="00A02B78" w:rsidRPr="00863359" w:rsidRDefault="00A02B78" w:rsidP="00A02B78">
      <w:pPr>
        <w:pStyle w:val="ParaNoNdepar-AltN"/>
        <w:tabs>
          <w:tab w:val="clear" w:pos="1166"/>
          <w:tab w:val="num" w:pos="1152"/>
        </w:tabs>
        <w:rPr>
          <w:rFonts w:cs="Times New Roman"/>
          <w:i/>
        </w:rPr>
      </w:pPr>
      <w:r w:rsidRPr="00863359">
        <w:rPr>
          <w:rFonts w:cs="Times New Roman"/>
        </w:rPr>
        <w:t>As for the role of the presumption of subjective fault in assessing competing interpretations, it sets out an important value underlying our criminal</w:t>
      </w:r>
      <w:r>
        <w:rPr>
          <w:rFonts w:cs="Times New Roman"/>
        </w:rPr>
        <w:t xml:space="preserve"> law. It has been aptly termed one of the</w:t>
      </w:r>
      <w:r w:rsidRPr="00863359">
        <w:rPr>
          <w:rFonts w:cs="Times New Roman"/>
        </w:rPr>
        <w:t xml:space="preserve"> “presumptive </w:t>
      </w:r>
      <w:r>
        <w:rPr>
          <w:rFonts w:cs="Times New Roman"/>
        </w:rPr>
        <w:t xml:space="preserve">principles </w:t>
      </w:r>
      <w:r w:rsidRPr="00863359">
        <w:rPr>
          <w:rFonts w:cs="Times New Roman"/>
        </w:rPr>
        <w:t xml:space="preserve">of criminal justice”: </w:t>
      </w:r>
      <w:r w:rsidRPr="00863359">
        <w:rPr>
          <w:rFonts w:cs="Times New Roman"/>
          <w:i/>
        </w:rPr>
        <w:t>R. v. Beatty</w:t>
      </w:r>
      <w:r w:rsidRPr="001235F2">
        <w:rPr>
          <w:rFonts w:cs="Times New Roman"/>
        </w:rPr>
        <w:t xml:space="preserve">, </w:t>
      </w:r>
      <w:r>
        <w:rPr>
          <w:rFonts w:cs="Times New Roman"/>
        </w:rPr>
        <w:t xml:space="preserve">2008 SCC 5, </w:t>
      </w:r>
      <w:r w:rsidRPr="00863359">
        <w:rPr>
          <w:rFonts w:cs="Times New Roman"/>
        </w:rPr>
        <w:t>[2008] 1 S.C.R. 49</w:t>
      </w:r>
      <w:r>
        <w:rPr>
          <w:rFonts w:cs="Times New Roman"/>
        </w:rPr>
        <w:t>,</w:t>
      </w:r>
      <w:r w:rsidRPr="00863359">
        <w:rPr>
          <w:rFonts w:cs="Times New Roman"/>
        </w:rPr>
        <w:t xml:space="preserve"> </w:t>
      </w:r>
      <w:r w:rsidRPr="00863359">
        <w:rPr>
          <w:rFonts w:cs="Times New Roman"/>
          <w:i/>
        </w:rPr>
        <w:t>per</w:t>
      </w:r>
      <w:r w:rsidRPr="00863359">
        <w:rPr>
          <w:rFonts w:cs="Times New Roman"/>
        </w:rPr>
        <w:t xml:space="preserve"> </w:t>
      </w:r>
      <w:proofErr w:type="spellStart"/>
      <w:r w:rsidRPr="00863359">
        <w:rPr>
          <w:rFonts w:cs="Times New Roman"/>
        </w:rPr>
        <w:t>Charron</w:t>
      </w:r>
      <w:proofErr w:type="spellEnd"/>
      <w:r w:rsidRPr="00863359">
        <w:rPr>
          <w:rFonts w:cs="Times New Roman"/>
        </w:rPr>
        <w:t xml:space="preserve"> J.</w:t>
      </w:r>
      <w:r>
        <w:rPr>
          <w:rFonts w:cs="Times New Roman"/>
        </w:rPr>
        <w:t xml:space="preserve">, at </w:t>
      </w:r>
      <w:proofErr w:type="spellStart"/>
      <w:r>
        <w:rPr>
          <w:rFonts w:cs="Times New Roman"/>
        </w:rPr>
        <w:t>paras</w:t>
      </w:r>
      <w:proofErr w:type="spellEnd"/>
      <w:r>
        <w:rPr>
          <w:rFonts w:cs="Times New Roman"/>
        </w:rPr>
        <w:t>. 22-</w:t>
      </w:r>
      <w:r w:rsidRPr="00863359">
        <w:rPr>
          <w:rFonts w:cs="Times New Roman"/>
        </w:rPr>
        <w:t xml:space="preserve">23. While the presumption must </w:t>
      </w:r>
      <w:r w:rsidRPr="00322CA4">
        <w:rPr>
          <w:rStyle w:val="st"/>
          <w:rFonts w:cs="Times New Roman"/>
          <w:color w:val="222222"/>
        </w:rPr>
        <w:t>—</w:t>
      </w:r>
      <w:r w:rsidRPr="00863359">
        <w:rPr>
          <w:rFonts w:cs="Times New Roman"/>
        </w:rPr>
        <w:t xml:space="preserve"> and often does </w:t>
      </w:r>
      <w:r w:rsidRPr="00322CA4">
        <w:rPr>
          <w:rStyle w:val="st"/>
          <w:rFonts w:cs="Times New Roman"/>
          <w:color w:val="222222"/>
        </w:rPr>
        <w:t>—</w:t>
      </w:r>
      <w:r w:rsidRPr="00863359">
        <w:rPr>
          <w:rFonts w:cs="Times New Roman"/>
        </w:rPr>
        <w:t xml:space="preserve"> give way to clear expressions of a different legislative intent, it nonetheless incorporates an important value in our criminal law, that the morally innocent should not be punished. This has perhaps never been better expressed than it was by Dickson J. in </w:t>
      </w:r>
      <w:proofErr w:type="spellStart"/>
      <w:r w:rsidRPr="00863359">
        <w:rPr>
          <w:rFonts w:cs="Times New Roman"/>
          <w:i/>
        </w:rPr>
        <w:t>Pappajohn</w:t>
      </w:r>
      <w:proofErr w:type="spellEnd"/>
      <w:r w:rsidRPr="00863359">
        <w:rPr>
          <w:rFonts w:cs="Times New Roman"/>
        </w:rPr>
        <w:t xml:space="preserve">, </w:t>
      </w:r>
      <w:r>
        <w:rPr>
          <w:rFonts w:cs="Times New Roman"/>
        </w:rPr>
        <w:t>at pp. 138-3</w:t>
      </w:r>
      <w:r w:rsidRPr="00863359">
        <w:rPr>
          <w:rFonts w:cs="Times New Roman"/>
        </w:rPr>
        <w:t>9:</w:t>
      </w:r>
    </w:p>
    <w:p w:rsidR="00A02B78" w:rsidRPr="00863359" w:rsidRDefault="00A02B78" w:rsidP="00A02B78">
      <w:pPr>
        <w:pStyle w:val="Citation-AltC"/>
        <w:ind w:firstLine="274"/>
      </w:pPr>
      <w:r w:rsidRPr="00863359">
        <w:t>There rests now, at the foundation of our system of criminal justice, the precept that a man cannot be adjudged guilty and subjected to punishment, unless the commission of the crime was voluntarily directed by a willing mind.</w:t>
      </w:r>
      <w:r>
        <w:t xml:space="preserve"> </w:t>
      </w:r>
      <w:r w:rsidRPr="00863359">
        <w:t>.</w:t>
      </w:r>
      <w:r>
        <w:t xml:space="preserve"> </w:t>
      </w:r>
      <w:r w:rsidRPr="00863359">
        <w:t>.</w:t>
      </w:r>
      <w:r>
        <w:t xml:space="preserve"> .</w:t>
      </w:r>
      <w:r w:rsidRPr="00863359">
        <w:t xml:space="preserve">  Parliament can, of course, by express words, </w:t>
      </w:r>
      <w:r w:rsidRPr="00863359">
        <w:lastRenderedPageBreak/>
        <w:t xml:space="preserve">create criminal offences for which a guilty intention is not an essential ingredient.  Equally, </w:t>
      </w:r>
      <w:proofErr w:type="spellStart"/>
      <w:r w:rsidRPr="00863359">
        <w:rPr>
          <w:i/>
        </w:rPr>
        <w:t>mens</w:t>
      </w:r>
      <w:proofErr w:type="spellEnd"/>
      <w:r w:rsidRPr="00863359">
        <w:rPr>
          <w:i/>
        </w:rPr>
        <w:t xml:space="preserve"> </w:t>
      </w:r>
      <w:proofErr w:type="spellStart"/>
      <w:r w:rsidRPr="00863359">
        <w:rPr>
          <w:i/>
        </w:rPr>
        <w:t>rea</w:t>
      </w:r>
      <w:proofErr w:type="spellEnd"/>
      <w:r w:rsidRPr="00863359">
        <w:t xml:space="preserve"> is not requisite in a wide category of statutory offences which are concerned with public welfare, health and safety.  Subject to these exceptions, </w:t>
      </w:r>
      <w:proofErr w:type="spellStart"/>
      <w:r w:rsidRPr="00863359">
        <w:rPr>
          <w:i/>
        </w:rPr>
        <w:t>mens</w:t>
      </w:r>
      <w:proofErr w:type="spellEnd"/>
      <w:r w:rsidRPr="00863359">
        <w:rPr>
          <w:i/>
        </w:rPr>
        <w:t xml:space="preserve"> </w:t>
      </w:r>
      <w:proofErr w:type="spellStart"/>
      <w:r w:rsidRPr="00863359">
        <w:rPr>
          <w:i/>
        </w:rPr>
        <w:t>rea</w:t>
      </w:r>
      <w:proofErr w:type="spellEnd"/>
      <w:r w:rsidRPr="00863359">
        <w:t>, consisting of</w:t>
      </w:r>
      <w:r>
        <w:t xml:space="preserve"> some</w:t>
      </w:r>
      <w:r w:rsidRPr="00863359">
        <w:t xml:space="preserve"> positive states of mind, such as evil intention, or knowledge of the wrongfulness of the act, or reckless disregard of consequences</w:t>
      </w:r>
      <w:r>
        <w:t>,</w:t>
      </w:r>
      <w:r w:rsidRPr="00863359">
        <w:t xml:space="preserve"> must be proved by the prosecution.</w:t>
      </w:r>
    </w:p>
    <w:p w:rsidR="00A02B78" w:rsidRPr="00863359" w:rsidRDefault="00A02B78" w:rsidP="00A02B78">
      <w:pPr>
        <w:pStyle w:val="ParaNoNdepar-AltN"/>
        <w:tabs>
          <w:tab w:val="clear" w:pos="1166"/>
          <w:tab w:val="num" w:pos="1152"/>
        </w:tabs>
        <w:rPr>
          <w:rFonts w:cs="Times New Roman"/>
          <w:i/>
        </w:rPr>
      </w:pPr>
      <w:r w:rsidRPr="00863359">
        <w:rPr>
          <w:rFonts w:cs="Times New Roman"/>
          <w:lang w:val="en-US"/>
        </w:rPr>
        <w:t>Viewed in this way, the presumption of subjective fault is not an outdated rule of construction which is at odds with the modern approach to statutory interpretation repeatedly endorsed by the Court. On the contrary, the presumption forms part of the context which the modern approach requires to be considered.</w:t>
      </w:r>
      <w:r w:rsidRPr="00863359">
        <w:rPr>
          <w:rFonts w:cs="Times New Roman"/>
        </w:rPr>
        <w:t xml:space="preserve"> </w:t>
      </w:r>
    </w:p>
    <w:p w:rsidR="00A02B78" w:rsidRPr="00863359" w:rsidRDefault="00A02B78" w:rsidP="00A02B78">
      <w:pPr>
        <w:pStyle w:val="ParaNoNdepar-AltN"/>
        <w:tabs>
          <w:tab w:val="clear" w:pos="1166"/>
          <w:tab w:val="num" w:pos="1152"/>
        </w:tabs>
        <w:rPr>
          <w:rFonts w:cs="Times New Roman"/>
        </w:rPr>
      </w:pPr>
      <w:r w:rsidRPr="00863359">
        <w:rPr>
          <w:rFonts w:cs="Times New Roman"/>
        </w:rPr>
        <w:t xml:space="preserve">As I will explain, there is nothing in the text or context of the child abandonment offence to suggest that Parliament intended to depart from requiring subjective fault. In fact, the text, scheme and purpose of the provision support the view that subjective fault is required. To the extent that Parliament’s intent is unclear, the presumption of subjective fault ought to have its full operation in this case. </w:t>
      </w:r>
    </w:p>
    <w:p w:rsidR="00A02B78" w:rsidRPr="00863359" w:rsidRDefault="002B1DB5" w:rsidP="002B1DB5">
      <w:pPr>
        <w:pStyle w:val="ParaNoNdepar-AltN"/>
        <w:numPr>
          <w:ilvl w:val="0"/>
          <w:numId w:val="0"/>
        </w:numPr>
        <w:tabs>
          <w:tab w:val="left" w:pos="1170"/>
        </w:tabs>
        <w:ind w:left="1620" w:hanging="1620"/>
        <w:rPr>
          <w:rFonts w:cs="Times New Roman"/>
        </w:rPr>
      </w:pPr>
      <w:r>
        <w:rPr>
          <w:rFonts w:cs="Times New Roman"/>
        </w:rPr>
        <w:tab/>
        <w:t>2.</w:t>
      </w:r>
      <w:r>
        <w:rPr>
          <w:rFonts w:cs="Times New Roman"/>
        </w:rPr>
        <w:tab/>
      </w:r>
      <w:r w:rsidR="00A02B78" w:rsidRPr="002B1DB5">
        <w:rPr>
          <w:rFonts w:cs="Times New Roman"/>
          <w:u w:val="single"/>
        </w:rPr>
        <w:t>Legislative Evolution</w:t>
      </w:r>
    </w:p>
    <w:p w:rsidR="00A02B78" w:rsidRPr="00863359" w:rsidRDefault="00A02B78" w:rsidP="00A02B78">
      <w:pPr>
        <w:pStyle w:val="ParaNoNdepar-AltN"/>
        <w:tabs>
          <w:tab w:val="clear" w:pos="1166"/>
          <w:tab w:val="num" w:pos="1152"/>
        </w:tabs>
        <w:rPr>
          <w:rFonts w:cs="Times New Roman"/>
        </w:rPr>
      </w:pPr>
      <w:r w:rsidRPr="00863359">
        <w:rPr>
          <w:rFonts w:cs="Times New Roman"/>
        </w:rPr>
        <w:t xml:space="preserve">Legislative evolution and history may often be important parts of the context within which to conduct the modern approach to statutory interpretation: </w:t>
      </w:r>
      <w:r w:rsidRPr="00863359">
        <w:rPr>
          <w:rFonts w:cs="Times New Roman"/>
          <w:i/>
        </w:rPr>
        <w:t>Canada (Canadian Human Rights Commission) v. Canada (Attorney General)</w:t>
      </w:r>
      <w:r w:rsidRPr="00863359">
        <w:rPr>
          <w:rFonts w:cs="Times New Roman"/>
        </w:rPr>
        <w:t xml:space="preserve">, </w:t>
      </w:r>
      <w:r>
        <w:rPr>
          <w:rFonts w:cs="Times New Roman"/>
        </w:rPr>
        <w:t xml:space="preserve">2011 SCC 53, </w:t>
      </w:r>
      <w:r w:rsidRPr="00863359">
        <w:rPr>
          <w:rFonts w:cs="Times New Roman"/>
        </w:rPr>
        <w:t>[2011] 3 S.C.R. 471</w:t>
      </w:r>
      <w:r>
        <w:rPr>
          <w:rFonts w:cs="Times New Roman"/>
        </w:rPr>
        <w:t>,</w:t>
      </w:r>
      <w:r w:rsidRPr="00863359">
        <w:rPr>
          <w:rFonts w:cs="Times New Roman"/>
        </w:rPr>
        <w:t xml:space="preserve"> at </w:t>
      </w:r>
      <w:proofErr w:type="spellStart"/>
      <w:r w:rsidRPr="00863359">
        <w:rPr>
          <w:rFonts w:cs="Times New Roman"/>
        </w:rPr>
        <w:t>para</w:t>
      </w:r>
      <w:proofErr w:type="spellEnd"/>
      <w:r w:rsidRPr="00863359">
        <w:rPr>
          <w:rFonts w:cs="Times New Roman"/>
        </w:rPr>
        <w:t xml:space="preserve">. 43. The Crown has been diligent in providing us with a detailed picture of the English origins and Canadian evolution of what is </w:t>
      </w:r>
      <w:r w:rsidRPr="00863359">
        <w:rPr>
          <w:rFonts w:cs="Times New Roman"/>
        </w:rPr>
        <w:lastRenderedPageBreak/>
        <w:t>now s. 218.  I will touch on this only briefly, however, because as I see it, this information sheds little real light on the issue at hand.</w:t>
      </w:r>
    </w:p>
    <w:p w:rsidR="00A02B78" w:rsidRPr="00863359" w:rsidRDefault="00A02B78" w:rsidP="00A02B78">
      <w:pPr>
        <w:pStyle w:val="ParaNoNdepar-AltN"/>
        <w:tabs>
          <w:tab w:val="clear" w:pos="1166"/>
          <w:tab w:val="num" w:pos="1152"/>
        </w:tabs>
        <w:rPr>
          <w:rFonts w:cs="Times New Roman"/>
        </w:rPr>
      </w:pPr>
      <w:r w:rsidRPr="00863359">
        <w:rPr>
          <w:rFonts w:cs="Times New Roman"/>
        </w:rPr>
        <w:t>It seems that from the beginning, there were two strands of prohibitions, one addressing abandoning or exposing a child to risk to its life or health and the other</w:t>
      </w:r>
      <w:r>
        <w:rPr>
          <w:rFonts w:cs="Times New Roman"/>
        </w:rPr>
        <w:t xml:space="preserve"> in relation to the breach of a duty by </w:t>
      </w:r>
      <w:r w:rsidRPr="00863359">
        <w:rPr>
          <w:rFonts w:cs="Times New Roman"/>
        </w:rPr>
        <w:t xml:space="preserve">people in certain relationships to provide the necessaries of life. </w:t>
      </w:r>
    </w:p>
    <w:p w:rsidR="00A02B78" w:rsidRPr="00863359" w:rsidRDefault="00A02B78" w:rsidP="00A02B78">
      <w:pPr>
        <w:pStyle w:val="ParaNoNdepar-AltN"/>
        <w:tabs>
          <w:tab w:val="clear" w:pos="1166"/>
          <w:tab w:val="num" w:pos="1152"/>
        </w:tabs>
        <w:rPr>
          <w:rFonts w:cs="Times New Roman"/>
        </w:rPr>
      </w:pPr>
      <w:r w:rsidRPr="00863359">
        <w:rPr>
          <w:rFonts w:cs="Times New Roman"/>
        </w:rPr>
        <w:t xml:space="preserve">The origin of the abandonment offence appears to be in the </w:t>
      </w:r>
      <w:r w:rsidRPr="001235F2">
        <w:rPr>
          <w:rFonts w:cs="Times New Roman"/>
        </w:rPr>
        <w:t>English</w:t>
      </w:r>
      <w:r w:rsidRPr="00863359">
        <w:rPr>
          <w:rFonts w:cs="Times New Roman"/>
          <w:i/>
        </w:rPr>
        <w:t xml:space="preserve"> </w:t>
      </w:r>
      <w:r>
        <w:rPr>
          <w:rFonts w:cs="Times New Roman"/>
          <w:i/>
        </w:rPr>
        <w:t>The Offences a</w:t>
      </w:r>
      <w:r w:rsidRPr="00863359">
        <w:rPr>
          <w:rFonts w:cs="Times New Roman"/>
          <w:i/>
        </w:rPr>
        <w:t>gainst the Person Act</w:t>
      </w:r>
      <w:r>
        <w:rPr>
          <w:rFonts w:cs="Times New Roman"/>
          <w:i/>
        </w:rPr>
        <w:t>,</w:t>
      </w:r>
      <w:r w:rsidRPr="00863359">
        <w:rPr>
          <w:rFonts w:cs="Times New Roman"/>
        </w:rPr>
        <w:t xml:space="preserve"> </w:t>
      </w:r>
      <w:r w:rsidRPr="001235F2">
        <w:rPr>
          <w:rFonts w:cs="Times New Roman"/>
          <w:i/>
        </w:rPr>
        <w:t>1861</w:t>
      </w:r>
      <w:r w:rsidRPr="00863359">
        <w:rPr>
          <w:rFonts w:cs="Times New Roman"/>
        </w:rPr>
        <w:t>,</w:t>
      </w:r>
      <w:r>
        <w:rPr>
          <w:rFonts w:cs="Times New Roman"/>
        </w:rPr>
        <w:t xml:space="preserve"> 24 &amp; 25 </w:t>
      </w:r>
      <w:proofErr w:type="spellStart"/>
      <w:r>
        <w:rPr>
          <w:rFonts w:cs="Times New Roman"/>
        </w:rPr>
        <w:t>Vict</w:t>
      </w:r>
      <w:proofErr w:type="spellEnd"/>
      <w:r>
        <w:rPr>
          <w:rFonts w:cs="Times New Roman"/>
        </w:rPr>
        <w:t>., c. 100,</w:t>
      </w:r>
      <w:r w:rsidRPr="00863359">
        <w:rPr>
          <w:rFonts w:cs="Times New Roman"/>
        </w:rPr>
        <w:t xml:space="preserve"> s. 27</w:t>
      </w:r>
      <w:r>
        <w:rPr>
          <w:rFonts w:cs="Times New Roman"/>
        </w:rPr>
        <w:t>,</w:t>
      </w:r>
      <w:r w:rsidRPr="00863359">
        <w:rPr>
          <w:rFonts w:cs="Times New Roman"/>
        </w:rPr>
        <w:t xml:space="preserve"> which created the misdemeanor of unlawfully abandoning or exposing any child under the age of two “whereby the life of such child shall be endangered</w:t>
      </w:r>
      <w:r>
        <w:rPr>
          <w:rFonts w:cs="Times New Roman"/>
        </w:rPr>
        <w:t>,</w:t>
      </w:r>
      <w:r w:rsidRPr="00863359">
        <w:rPr>
          <w:rFonts w:cs="Times New Roman"/>
        </w:rPr>
        <w:t xml:space="preserve"> or the health of such child shall have been or </w:t>
      </w:r>
      <w:r>
        <w:rPr>
          <w:rFonts w:cs="Times New Roman"/>
        </w:rPr>
        <w:t xml:space="preserve">shall </w:t>
      </w:r>
      <w:r w:rsidRPr="00863359">
        <w:rPr>
          <w:rFonts w:cs="Times New Roman"/>
        </w:rPr>
        <w:t>be likely to be permanently injured”</w:t>
      </w:r>
      <w:r>
        <w:rPr>
          <w:rFonts w:cs="Times New Roman"/>
        </w:rPr>
        <w:t>.</w:t>
      </w:r>
      <w:r w:rsidRPr="00863359">
        <w:rPr>
          <w:rFonts w:cs="Times New Roman"/>
        </w:rPr>
        <w:t xml:space="preserve"> The early case law is unclear as to whether subjective or objective fault was required although there is some support for the view that subjective fault is required:  see</w:t>
      </w:r>
      <w:r>
        <w:rPr>
          <w:rFonts w:cs="Times New Roman"/>
        </w:rPr>
        <w:t>,</w:t>
      </w:r>
      <w:r w:rsidRPr="00863359">
        <w:rPr>
          <w:rFonts w:cs="Times New Roman"/>
        </w:rPr>
        <w:t xml:space="preserve"> e.g.</w:t>
      </w:r>
      <w:r>
        <w:rPr>
          <w:rFonts w:cs="Times New Roman"/>
        </w:rPr>
        <w:t>,</w:t>
      </w:r>
      <w:r w:rsidRPr="00863359">
        <w:rPr>
          <w:rFonts w:cs="Times New Roman"/>
        </w:rPr>
        <w:t xml:space="preserve"> </w:t>
      </w:r>
      <w:r w:rsidR="002B1DB5">
        <w:rPr>
          <w:rFonts w:cs="Times New Roman"/>
          <w:i/>
        </w:rPr>
        <w:t xml:space="preserve">R. </w:t>
      </w:r>
      <w:r w:rsidRPr="00863359">
        <w:rPr>
          <w:rFonts w:cs="Times New Roman"/>
          <w:i/>
        </w:rPr>
        <w:t>v. White</w:t>
      </w:r>
      <w:r w:rsidRPr="00863359">
        <w:rPr>
          <w:rFonts w:cs="Times New Roman"/>
        </w:rPr>
        <w:t xml:space="preserve"> (1871), L.R. 1 C.C.R. 311</w:t>
      </w:r>
      <w:r>
        <w:rPr>
          <w:rFonts w:cs="Times New Roman"/>
        </w:rPr>
        <w:t>,</w:t>
      </w:r>
      <w:r w:rsidRPr="00863359">
        <w:rPr>
          <w:rFonts w:cs="Times New Roman"/>
        </w:rPr>
        <w:t xml:space="preserve"> </w:t>
      </w:r>
      <w:r w:rsidRPr="00863359">
        <w:rPr>
          <w:rFonts w:cs="Times New Roman"/>
          <w:i/>
        </w:rPr>
        <w:t>per</w:t>
      </w:r>
      <w:r w:rsidRPr="00863359">
        <w:rPr>
          <w:rFonts w:cs="Times New Roman"/>
        </w:rPr>
        <w:t xml:space="preserve"> </w:t>
      </w:r>
      <w:proofErr w:type="spellStart"/>
      <w:r w:rsidRPr="00863359">
        <w:rPr>
          <w:rFonts w:cs="Times New Roman"/>
        </w:rPr>
        <w:t>Bovill</w:t>
      </w:r>
      <w:proofErr w:type="spellEnd"/>
      <w:r w:rsidRPr="00863359">
        <w:rPr>
          <w:rFonts w:cs="Times New Roman"/>
        </w:rPr>
        <w:t xml:space="preserve"> C.J.</w:t>
      </w:r>
      <w:r>
        <w:rPr>
          <w:rFonts w:cs="Times New Roman"/>
        </w:rPr>
        <w:t>,</w:t>
      </w:r>
      <w:r w:rsidRPr="00863359">
        <w:rPr>
          <w:rFonts w:cs="Times New Roman"/>
        </w:rPr>
        <w:t xml:space="preserve"> at</w:t>
      </w:r>
      <w:r>
        <w:rPr>
          <w:rFonts w:cs="Times New Roman"/>
        </w:rPr>
        <w:t xml:space="preserve"> p.</w:t>
      </w:r>
      <w:r w:rsidRPr="00863359">
        <w:rPr>
          <w:rFonts w:cs="Times New Roman"/>
        </w:rPr>
        <w:t xml:space="preserve"> 313</w:t>
      </w:r>
      <w:r>
        <w:rPr>
          <w:rFonts w:cs="Times New Roman"/>
        </w:rPr>
        <w:t>,</w:t>
      </w:r>
      <w:r w:rsidRPr="00863359">
        <w:rPr>
          <w:rFonts w:cs="Times New Roman"/>
        </w:rPr>
        <w:t xml:space="preserve"> and</w:t>
      </w:r>
      <w:r>
        <w:rPr>
          <w:rFonts w:cs="Times New Roman"/>
        </w:rPr>
        <w:t xml:space="preserve"> </w:t>
      </w:r>
      <w:r>
        <w:rPr>
          <w:rFonts w:cs="Times New Roman"/>
          <w:i/>
        </w:rPr>
        <w:t>per</w:t>
      </w:r>
      <w:r w:rsidRPr="00863359">
        <w:rPr>
          <w:rFonts w:cs="Times New Roman"/>
        </w:rPr>
        <w:t xml:space="preserve"> Blackburn J.</w:t>
      </w:r>
      <w:r>
        <w:rPr>
          <w:rFonts w:cs="Times New Roman"/>
        </w:rPr>
        <w:t>,</w:t>
      </w:r>
      <w:r w:rsidRPr="00863359">
        <w:rPr>
          <w:rFonts w:cs="Times New Roman"/>
        </w:rPr>
        <w:t xml:space="preserve"> at</w:t>
      </w:r>
      <w:r>
        <w:rPr>
          <w:rFonts w:cs="Times New Roman"/>
        </w:rPr>
        <w:t xml:space="preserve"> p.</w:t>
      </w:r>
      <w:r w:rsidRPr="00863359">
        <w:rPr>
          <w:rFonts w:cs="Times New Roman"/>
        </w:rPr>
        <w:t xml:space="preserve"> 314. </w:t>
      </w:r>
    </w:p>
    <w:p w:rsidR="00A02B78" w:rsidRPr="00863359" w:rsidRDefault="00A02B78" w:rsidP="00A02B78">
      <w:pPr>
        <w:pStyle w:val="ParaNoNdepar-AltN"/>
        <w:tabs>
          <w:tab w:val="clear" w:pos="1166"/>
          <w:tab w:val="num" w:pos="1152"/>
        </w:tabs>
        <w:rPr>
          <w:rFonts w:cs="Times New Roman"/>
        </w:rPr>
      </w:pPr>
      <w:r w:rsidRPr="00863359">
        <w:rPr>
          <w:rFonts w:cs="Times New Roman"/>
        </w:rPr>
        <w:t xml:space="preserve">The necessaries offence appears to have its origins in the </w:t>
      </w:r>
      <w:r w:rsidRPr="003F654C">
        <w:rPr>
          <w:rFonts w:cs="Times New Roman"/>
        </w:rPr>
        <w:t>English</w:t>
      </w:r>
      <w:r>
        <w:rPr>
          <w:rFonts w:cs="Times New Roman"/>
          <w:i/>
        </w:rPr>
        <w:t xml:space="preserve"> The</w:t>
      </w:r>
      <w:r w:rsidRPr="00863359">
        <w:rPr>
          <w:rFonts w:cs="Times New Roman"/>
          <w:i/>
        </w:rPr>
        <w:t xml:space="preserve"> Poor Law Amendment Act</w:t>
      </w:r>
      <w:r>
        <w:rPr>
          <w:rFonts w:cs="Times New Roman"/>
          <w:i/>
        </w:rPr>
        <w:t>,</w:t>
      </w:r>
      <w:r w:rsidRPr="00863359">
        <w:rPr>
          <w:rFonts w:cs="Times New Roman"/>
          <w:i/>
        </w:rPr>
        <w:t xml:space="preserve"> 1868</w:t>
      </w:r>
      <w:r>
        <w:rPr>
          <w:rFonts w:cs="Times New Roman"/>
        </w:rPr>
        <w:t xml:space="preserve">, 31 &amp; 32 </w:t>
      </w:r>
      <w:proofErr w:type="spellStart"/>
      <w:proofErr w:type="gramStart"/>
      <w:r>
        <w:rPr>
          <w:rFonts w:cs="Times New Roman"/>
        </w:rPr>
        <w:t>Vict</w:t>
      </w:r>
      <w:proofErr w:type="spellEnd"/>
      <w:r>
        <w:rPr>
          <w:rFonts w:cs="Times New Roman"/>
        </w:rPr>
        <w:t>.,</w:t>
      </w:r>
      <w:proofErr w:type="gramEnd"/>
      <w:r>
        <w:rPr>
          <w:rFonts w:cs="Times New Roman"/>
        </w:rPr>
        <w:t xml:space="preserve"> c. 122</w:t>
      </w:r>
      <w:r w:rsidRPr="00863359">
        <w:rPr>
          <w:rFonts w:cs="Times New Roman"/>
        </w:rPr>
        <w:t>.  Section 37 of that Act made it an offence for any parent to “wilfully neglect to provide adequate food, clothing, medical aid</w:t>
      </w:r>
      <w:r>
        <w:rPr>
          <w:rFonts w:cs="Times New Roman"/>
        </w:rPr>
        <w:t>,</w:t>
      </w:r>
      <w:r w:rsidRPr="00863359">
        <w:rPr>
          <w:rFonts w:cs="Times New Roman"/>
        </w:rPr>
        <w:t xml:space="preserve"> or lodging for his child</w:t>
      </w:r>
      <w:r>
        <w:rPr>
          <w:rFonts w:cs="Times New Roman"/>
        </w:rPr>
        <w:t>,</w:t>
      </w:r>
      <w:r w:rsidRPr="00863359">
        <w:rPr>
          <w:rFonts w:cs="Times New Roman"/>
        </w:rPr>
        <w:t xml:space="preserve"> being in his custody, under the age </w:t>
      </w:r>
      <w:r>
        <w:rPr>
          <w:rFonts w:cs="Times New Roman"/>
        </w:rPr>
        <w:t>of fourteen</w:t>
      </w:r>
      <w:r w:rsidRPr="00863359">
        <w:rPr>
          <w:rFonts w:cs="Times New Roman"/>
        </w:rPr>
        <w:t xml:space="preserve"> years, whereby the health of such child shall have been or shall be likely to be seriously injured”</w:t>
      </w:r>
      <w:bookmarkStart w:id="11" w:name="_Toc343554203"/>
      <w:r>
        <w:rPr>
          <w:rFonts w:cs="Times New Roman"/>
        </w:rPr>
        <w:t>.</w:t>
      </w:r>
      <w:r w:rsidRPr="00863359">
        <w:rPr>
          <w:rFonts w:cs="Times New Roman"/>
        </w:rPr>
        <w:t xml:space="preserve">  The fault element for this offence appears to have been objective: </w:t>
      </w:r>
      <w:r w:rsidR="007F7EA2">
        <w:rPr>
          <w:rFonts w:cs="Times New Roman"/>
          <w:i/>
        </w:rPr>
        <w:t>R.</w:t>
      </w:r>
      <w:r w:rsidRPr="00863359">
        <w:rPr>
          <w:rFonts w:cs="Times New Roman"/>
          <w:i/>
        </w:rPr>
        <w:t xml:space="preserve"> v. </w:t>
      </w:r>
      <w:proofErr w:type="spellStart"/>
      <w:r w:rsidRPr="00863359">
        <w:rPr>
          <w:rFonts w:cs="Times New Roman"/>
          <w:i/>
        </w:rPr>
        <w:t>Downes</w:t>
      </w:r>
      <w:proofErr w:type="spellEnd"/>
      <w:r w:rsidRPr="00863359">
        <w:rPr>
          <w:rFonts w:cs="Times New Roman"/>
        </w:rPr>
        <w:t xml:space="preserve"> (1875)</w:t>
      </w:r>
      <w:r>
        <w:rPr>
          <w:rFonts w:cs="Times New Roman"/>
        </w:rPr>
        <w:t>,</w:t>
      </w:r>
      <w:r w:rsidRPr="00863359">
        <w:rPr>
          <w:rFonts w:cs="Times New Roman"/>
        </w:rPr>
        <w:t xml:space="preserve"> 1 Q.B.D. 25</w:t>
      </w:r>
      <w:bookmarkEnd w:id="11"/>
      <w:r>
        <w:rPr>
          <w:rFonts w:cs="Times New Roman"/>
        </w:rPr>
        <w:t>,</w:t>
      </w:r>
      <w:r w:rsidRPr="00863359">
        <w:rPr>
          <w:rFonts w:cs="Times New Roman"/>
        </w:rPr>
        <w:t xml:space="preserve"> </w:t>
      </w:r>
      <w:r w:rsidRPr="00863359">
        <w:rPr>
          <w:rFonts w:cs="Times New Roman"/>
          <w:i/>
        </w:rPr>
        <w:t>per</w:t>
      </w:r>
      <w:r w:rsidRPr="00863359">
        <w:rPr>
          <w:rFonts w:cs="Times New Roman"/>
        </w:rPr>
        <w:t xml:space="preserve"> </w:t>
      </w:r>
      <w:proofErr w:type="spellStart"/>
      <w:r w:rsidRPr="00863359">
        <w:rPr>
          <w:rFonts w:cs="Times New Roman"/>
        </w:rPr>
        <w:t>Bramwell</w:t>
      </w:r>
      <w:proofErr w:type="spellEnd"/>
      <w:r w:rsidRPr="00863359">
        <w:rPr>
          <w:rFonts w:cs="Times New Roman"/>
        </w:rPr>
        <w:t xml:space="preserve"> B.</w:t>
      </w:r>
      <w:r>
        <w:rPr>
          <w:rFonts w:cs="Times New Roman"/>
        </w:rPr>
        <w:t>, at p.</w:t>
      </w:r>
      <w:r w:rsidRPr="00863359">
        <w:rPr>
          <w:rFonts w:cs="Times New Roman"/>
        </w:rPr>
        <w:t xml:space="preserve"> 30.</w:t>
      </w:r>
    </w:p>
    <w:p w:rsidR="00A02B78" w:rsidRPr="00863359" w:rsidRDefault="00A02B78" w:rsidP="00A02B78">
      <w:pPr>
        <w:pStyle w:val="ParaNoNdepar-AltN"/>
        <w:tabs>
          <w:tab w:val="clear" w:pos="1166"/>
          <w:tab w:val="num" w:pos="1152"/>
        </w:tabs>
        <w:rPr>
          <w:rFonts w:cs="Times New Roman"/>
        </w:rPr>
      </w:pPr>
      <w:r w:rsidRPr="00863359">
        <w:rPr>
          <w:rFonts w:cs="Times New Roman"/>
        </w:rPr>
        <w:lastRenderedPageBreak/>
        <w:t>The two offences appear to have come closer together in England with the enactment of s.</w:t>
      </w:r>
      <w:r>
        <w:rPr>
          <w:rFonts w:cs="Times New Roman"/>
        </w:rPr>
        <w:t xml:space="preserve"> </w:t>
      </w:r>
      <w:r w:rsidRPr="00863359">
        <w:rPr>
          <w:rFonts w:cs="Times New Roman"/>
        </w:rPr>
        <w:t xml:space="preserve">1 of the </w:t>
      </w:r>
      <w:r w:rsidRPr="00863359">
        <w:rPr>
          <w:rFonts w:cs="Times New Roman"/>
          <w:i/>
        </w:rPr>
        <w:t>Prevention of Cruelty to</w:t>
      </w:r>
      <w:r>
        <w:rPr>
          <w:rFonts w:cs="Times New Roman"/>
          <w:i/>
        </w:rPr>
        <w:t>, and</w:t>
      </w:r>
      <w:r w:rsidRPr="00863359">
        <w:rPr>
          <w:rFonts w:cs="Times New Roman"/>
          <w:i/>
        </w:rPr>
        <w:t xml:space="preserve"> Protection of</w:t>
      </w:r>
      <w:r>
        <w:rPr>
          <w:rFonts w:cs="Times New Roman"/>
          <w:i/>
        </w:rPr>
        <w:t>,</w:t>
      </w:r>
      <w:r w:rsidRPr="00863359">
        <w:rPr>
          <w:rFonts w:cs="Times New Roman"/>
          <w:i/>
        </w:rPr>
        <w:t xml:space="preserve"> Children Act</w:t>
      </w:r>
      <w:r>
        <w:rPr>
          <w:rFonts w:cs="Times New Roman"/>
          <w:i/>
        </w:rPr>
        <w:t>,</w:t>
      </w:r>
      <w:r w:rsidRPr="00863359">
        <w:rPr>
          <w:rFonts w:cs="Times New Roman"/>
          <w:i/>
        </w:rPr>
        <w:t xml:space="preserve"> </w:t>
      </w:r>
      <w:r w:rsidRPr="003F654C">
        <w:rPr>
          <w:rFonts w:cs="Times New Roman"/>
          <w:i/>
        </w:rPr>
        <w:t>1889</w:t>
      </w:r>
      <w:r w:rsidRPr="00863359">
        <w:rPr>
          <w:rFonts w:cs="Times New Roman"/>
        </w:rPr>
        <w:t>,</w:t>
      </w:r>
      <w:r>
        <w:rPr>
          <w:rFonts w:cs="Times New Roman"/>
        </w:rPr>
        <w:t xml:space="preserve"> 52 &amp; 53 </w:t>
      </w:r>
      <w:proofErr w:type="spellStart"/>
      <w:r>
        <w:rPr>
          <w:rFonts w:cs="Times New Roman"/>
        </w:rPr>
        <w:t>Vict</w:t>
      </w:r>
      <w:proofErr w:type="spellEnd"/>
      <w:r>
        <w:rPr>
          <w:rFonts w:cs="Times New Roman"/>
        </w:rPr>
        <w:t>., c. 44,</w:t>
      </w:r>
      <w:r w:rsidRPr="00863359">
        <w:rPr>
          <w:rFonts w:cs="Times New Roman"/>
        </w:rPr>
        <w:t xml:space="preserve"> a provision that replaced s. 37 </w:t>
      </w:r>
      <w:r>
        <w:rPr>
          <w:rFonts w:cs="Times New Roman"/>
        </w:rPr>
        <w:t xml:space="preserve">of </w:t>
      </w:r>
      <w:r w:rsidRPr="003F654C">
        <w:rPr>
          <w:rFonts w:cs="Times New Roman"/>
          <w:i/>
        </w:rPr>
        <w:t>The</w:t>
      </w:r>
      <w:r w:rsidRPr="00863359">
        <w:rPr>
          <w:rFonts w:cs="Times New Roman"/>
        </w:rPr>
        <w:t xml:space="preserve"> </w:t>
      </w:r>
      <w:r w:rsidRPr="00863359">
        <w:rPr>
          <w:rFonts w:cs="Times New Roman"/>
          <w:i/>
        </w:rPr>
        <w:t>Poor Law Amendment Act</w:t>
      </w:r>
      <w:r>
        <w:rPr>
          <w:rFonts w:cs="Times New Roman"/>
          <w:i/>
        </w:rPr>
        <w:t>,</w:t>
      </w:r>
      <w:r w:rsidRPr="00863359">
        <w:rPr>
          <w:rFonts w:cs="Times New Roman"/>
        </w:rPr>
        <w:t xml:space="preserve"> </w:t>
      </w:r>
      <w:r w:rsidRPr="003F654C">
        <w:rPr>
          <w:rFonts w:cs="Times New Roman"/>
          <w:i/>
        </w:rPr>
        <w:t>1868</w:t>
      </w:r>
      <w:r w:rsidRPr="00863359">
        <w:rPr>
          <w:rFonts w:cs="Times New Roman"/>
        </w:rPr>
        <w:t>. (The latter provision was repealed by s. 18 of the 1889 Act.) Section 1 made it</w:t>
      </w:r>
      <w:r>
        <w:rPr>
          <w:rFonts w:cs="Times New Roman"/>
        </w:rPr>
        <w:t xml:space="preserve"> a misdemeanor </w:t>
      </w:r>
      <w:r w:rsidRPr="00863359">
        <w:rPr>
          <w:rFonts w:cs="Times New Roman"/>
        </w:rPr>
        <w:t xml:space="preserve">for anyone over 16 who had the custody, control, or charge of a boy under 14 or a </w:t>
      </w:r>
      <w:r>
        <w:rPr>
          <w:rFonts w:cs="Times New Roman"/>
        </w:rPr>
        <w:t>girl under 16 to “wilfully” ill-</w:t>
      </w:r>
      <w:r w:rsidRPr="00863359">
        <w:rPr>
          <w:rFonts w:cs="Times New Roman"/>
        </w:rPr>
        <w:t xml:space="preserve">treat, neglect, abandon or expose such child in a manner likely to cause such child unnecessary suffering or injury to its health. Again, the fault element is not very clear. In </w:t>
      </w:r>
      <w:r w:rsidRPr="00863359">
        <w:rPr>
          <w:rFonts w:cs="Times New Roman"/>
          <w:i/>
        </w:rPr>
        <w:t>R. v. Senior</w:t>
      </w:r>
      <w:r>
        <w:rPr>
          <w:rFonts w:cs="Times New Roman"/>
        </w:rPr>
        <w:t>, [1899</w:t>
      </w:r>
      <w:r w:rsidRPr="00863359">
        <w:rPr>
          <w:rFonts w:cs="Times New Roman"/>
        </w:rPr>
        <w:t xml:space="preserve">] 1 Q.B. 283, the court approved jury instructions that seemed to describe both an objective and a subjective requirement. </w:t>
      </w:r>
    </w:p>
    <w:p w:rsidR="00A02B78" w:rsidRPr="00863359" w:rsidRDefault="00A02B78" w:rsidP="00A02B78">
      <w:pPr>
        <w:pStyle w:val="ParaNoNdepar-AltN"/>
        <w:tabs>
          <w:tab w:val="clear" w:pos="1166"/>
          <w:tab w:val="num" w:pos="1152"/>
        </w:tabs>
        <w:rPr>
          <w:rFonts w:cs="Times New Roman"/>
        </w:rPr>
      </w:pPr>
      <w:r w:rsidRPr="00863359">
        <w:rPr>
          <w:rFonts w:cs="Times New Roman"/>
        </w:rPr>
        <w:t xml:space="preserve">In Canada, the abandonment offence and the necessaries of life offence have been kept distinct. The child abandonment offence was first enacted in 1869: </w:t>
      </w:r>
      <w:r w:rsidRPr="00863359">
        <w:rPr>
          <w:rFonts w:cs="Times New Roman"/>
          <w:i/>
        </w:rPr>
        <w:t>An Act respecting Offences against the Person</w:t>
      </w:r>
      <w:r w:rsidRPr="00863359">
        <w:rPr>
          <w:rFonts w:cs="Times New Roman"/>
        </w:rPr>
        <w:t>, S</w:t>
      </w:r>
      <w:r>
        <w:rPr>
          <w:rFonts w:cs="Times New Roman"/>
        </w:rPr>
        <w:t>.</w:t>
      </w:r>
      <w:r w:rsidRPr="00863359">
        <w:rPr>
          <w:rFonts w:cs="Times New Roman"/>
        </w:rPr>
        <w:t>C</w:t>
      </w:r>
      <w:r>
        <w:rPr>
          <w:rFonts w:cs="Times New Roman"/>
        </w:rPr>
        <w:t>.</w:t>
      </w:r>
      <w:r w:rsidRPr="00863359">
        <w:rPr>
          <w:rFonts w:cs="Times New Roman"/>
        </w:rPr>
        <w:t xml:space="preserve"> 1869, c</w:t>
      </w:r>
      <w:r>
        <w:rPr>
          <w:rFonts w:cs="Times New Roman"/>
        </w:rPr>
        <w:t>.</w:t>
      </w:r>
      <w:r w:rsidRPr="00863359">
        <w:rPr>
          <w:rFonts w:cs="Times New Roman"/>
        </w:rPr>
        <w:t xml:space="preserve"> 20, s</w:t>
      </w:r>
      <w:r>
        <w:rPr>
          <w:rFonts w:cs="Times New Roman"/>
        </w:rPr>
        <w:t>.</w:t>
      </w:r>
      <w:r w:rsidRPr="00863359">
        <w:rPr>
          <w:rFonts w:cs="Times New Roman"/>
        </w:rPr>
        <w:t xml:space="preserve"> 26.  The offence of failing to provide the necessaries of life was found in s. 25 of the same Act, and applied to individuals who were “legally liable” towards others.  From 1869 to 1892, the child abandonment offence did not include any reference to duty: </w:t>
      </w:r>
      <w:r w:rsidRPr="00863359">
        <w:rPr>
          <w:rFonts w:cs="Times New Roman"/>
          <w:i/>
        </w:rPr>
        <w:t>An Act respecting Offences against the Person</w:t>
      </w:r>
      <w:r w:rsidRPr="00863359">
        <w:rPr>
          <w:rFonts w:cs="Times New Roman"/>
        </w:rPr>
        <w:t xml:space="preserve"> </w:t>
      </w:r>
      <w:r>
        <w:rPr>
          <w:rFonts w:cs="Times New Roman"/>
        </w:rPr>
        <w:t>(</w:t>
      </w:r>
      <w:r w:rsidRPr="00863359">
        <w:rPr>
          <w:rFonts w:cs="Times New Roman"/>
        </w:rPr>
        <w:t>1869</w:t>
      </w:r>
      <w:r>
        <w:rPr>
          <w:rFonts w:cs="Times New Roman"/>
        </w:rPr>
        <w:t>)</w:t>
      </w:r>
      <w:r w:rsidRPr="00863359">
        <w:rPr>
          <w:rFonts w:cs="Times New Roman"/>
        </w:rPr>
        <w:t>, s</w:t>
      </w:r>
      <w:r>
        <w:rPr>
          <w:rFonts w:cs="Times New Roman"/>
        </w:rPr>
        <w:t>.</w:t>
      </w:r>
      <w:r w:rsidRPr="00863359">
        <w:rPr>
          <w:rFonts w:cs="Times New Roman"/>
        </w:rPr>
        <w:t xml:space="preserve"> 26; </w:t>
      </w:r>
      <w:r>
        <w:rPr>
          <w:rFonts w:cs="Times New Roman"/>
          <w:i/>
        </w:rPr>
        <w:t>An Act respecting Offences a</w:t>
      </w:r>
      <w:r w:rsidRPr="00863359">
        <w:rPr>
          <w:rFonts w:cs="Times New Roman"/>
          <w:i/>
        </w:rPr>
        <w:t>gainst the Person</w:t>
      </w:r>
      <w:r w:rsidRPr="00863359">
        <w:rPr>
          <w:rFonts w:cs="Times New Roman"/>
        </w:rPr>
        <w:t>, R</w:t>
      </w:r>
      <w:r>
        <w:rPr>
          <w:rFonts w:cs="Times New Roman"/>
        </w:rPr>
        <w:t>.</w:t>
      </w:r>
      <w:r w:rsidRPr="00863359">
        <w:rPr>
          <w:rFonts w:cs="Times New Roman"/>
        </w:rPr>
        <w:t>S</w:t>
      </w:r>
      <w:r>
        <w:rPr>
          <w:rFonts w:cs="Times New Roman"/>
        </w:rPr>
        <w:t>.</w:t>
      </w:r>
      <w:r w:rsidRPr="00863359">
        <w:rPr>
          <w:rFonts w:cs="Times New Roman"/>
        </w:rPr>
        <w:t>C</w:t>
      </w:r>
      <w:r>
        <w:rPr>
          <w:rFonts w:cs="Times New Roman"/>
        </w:rPr>
        <w:t>.</w:t>
      </w:r>
      <w:r w:rsidRPr="00863359">
        <w:rPr>
          <w:rFonts w:cs="Times New Roman"/>
        </w:rPr>
        <w:t xml:space="preserve"> 1886, c</w:t>
      </w:r>
      <w:r>
        <w:rPr>
          <w:rFonts w:cs="Times New Roman"/>
        </w:rPr>
        <w:t>.</w:t>
      </w:r>
      <w:r w:rsidRPr="00863359">
        <w:rPr>
          <w:rFonts w:cs="Times New Roman"/>
        </w:rPr>
        <w:t xml:space="preserve"> 162, s</w:t>
      </w:r>
      <w:r>
        <w:rPr>
          <w:rFonts w:cs="Times New Roman"/>
        </w:rPr>
        <w:t>.</w:t>
      </w:r>
      <w:r w:rsidRPr="00863359">
        <w:rPr>
          <w:rFonts w:cs="Times New Roman"/>
        </w:rPr>
        <w:t xml:space="preserve"> 20. Thus, the provision’s early legislative evolution shows clearly that it was not conceived of as</w:t>
      </w:r>
      <w:r>
        <w:rPr>
          <w:rFonts w:cs="Times New Roman"/>
        </w:rPr>
        <w:t xml:space="preserve"> a</w:t>
      </w:r>
      <w:r w:rsidRPr="00863359">
        <w:rPr>
          <w:rFonts w:cs="Times New Roman"/>
        </w:rPr>
        <w:t xml:space="preserve"> duty-based offence, and suggests that a subjective intent was required.</w:t>
      </w:r>
    </w:p>
    <w:p w:rsidR="00A02B78" w:rsidRPr="00863359" w:rsidRDefault="00A02B78" w:rsidP="00A02B78">
      <w:pPr>
        <w:pStyle w:val="ParaNoNdepar-AltN"/>
        <w:tabs>
          <w:tab w:val="clear" w:pos="1166"/>
          <w:tab w:val="num" w:pos="1152"/>
        </w:tabs>
        <w:rPr>
          <w:rFonts w:cs="Times New Roman"/>
        </w:rPr>
      </w:pPr>
      <w:r w:rsidRPr="00863359">
        <w:rPr>
          <w:rFonts w:cs="Times New Roman"/>
        </w:rPr>
        <w:lastRenderedPageBreak/>
        <w:t>In 1892, both offences were included in the first</w:t>
      </w:r>
      <w:r w:rsidR="004865BD">
        <w:rPr>
          <w:rFonts w:cs="Times New Roman"/>
        </w:rPr>
        <w:t xml:space="preserve"> </w:t>
      </w:r>
      <w:r w:rsidR="004865BD" w:rsidRPr="004865BD">
        <w:rPr>
          <w:rFonts w:cs="Times New Roman"/>
          <w:i/>
        </w:rPr>
        <w:t>Code</w:t>
      </w:r>
      <w:r w:rsidR="004865BD">
        <w:rPr>
          <w:rFonts w:cs="Times New Roman"/>
        </w:rPr>
        <w:t xml:space="preserve"> (</w:t>
      </w:r>
      <w:r w:rsidR="004865BD" w:rsidRPr="004865BD">
        <w:rPr>
          <w:rFonts w:cs="Times New Roman"/>
          <w:i/>
        </w:rPr>
        <w:t>The</w:t>
      </w:r>
      <w:r w:rsidRPr="004865BD">
        <w:rPr>
          <w:rFonts w:cs="Times New Roman"/>
          <w:i/>
        </w:rPr>
        <w:t xml:space="preserve"> </w:t>
      </w:r>
      <w:r w:rsidRPr="00863359">
        <w:rPr>
          <w:rFonts w:cs="Times New Roman"/>
          <w:i/>
        </w:rPr>
        <w:t>Criminal Code</w:t>
      </w:r>
      <w:r>
        <w:rPr>
          <w:rFonts w:cs="Times New Roman"/>
          <w:i/>
        </w:rPr>
        <w:t>,</w:t>
      </w:r>
      <w:r w:rsidRPr="00863359">
        <w:rPr>
          <w:rFonts w:cs="Times New Roman"/>
        </w:rPr>
        <w:t xml:space="preserve"> </w:t>
      </w:r>
      <w:r w:rsidRPr="00DC5B96">
        <w:rPr>
          <w:rFonts w:cs="Times New Roman"/>
          <w:i/>
        </w:rPr>
        <w:t>1892</w:t>
      </w:r>
      <w:r w:rsidRPr="00863359">
        <w:rPr>
          <w:rFonts w:cs="Times New Roman"/>
        </w:rPr>
        <w:t>,</w:t>
      </w:r>
      <w:r>
        <w:rPr>
          <w:rFonts w:cs="Times New Roman"/>
        </w:rPr>
        <w:t xml:space="preserve"> </w:t>
      </w:r>
      <w:r w:rsidR="004865BD">
        <w:rPr>
          <w:rFonts w:cs="Times New Roman"/>
        </w:rPr>
        <w:t xml:space="preserve">S.C. </w:t>
      </w:r>
      <w:r>
        <w:rPr>
          <w:rFonts w:cs="Times New Roman"/>
        </w:rPr>
        <w:t>1892</w:t>
      </w:r>
      <w:r w:rsidRPr="00863359">
        <w:rPr>
          <w:rFonts w:cs="Times New Roman"/>
        </w:rPr>
        <w:t>, c. 29</w:t>
      </w:r>
      <w:r w:rsidR="004865BD">
        <w:rPr>
          <w:rFonts w:cs="Times New Roman"/>
        </w:rPr>
        <w:t>)</w:t>
      </w:r>
      <w:r w:rsidRPr="00863359">
        <w:rPr>
          <w:rFonts w:cs="Times New Roman"/>
        </w:rPr>
        <w:t>. The abandonment offence was found in s. 216 while the necessaries offence was found in ss. 209</w:t>
      </w:r>
      <w:r>
        <w:rPr>
          <w:rFonts w:cs="Times New Roman"/>
        </w:rPr>
        <w:t xml:space="preserve"> to </w:t>
      </w:r>
      <w:r w:rsidRPr="00863359">
        <w:rPr>
          <w:rFonts w:cs="Times New Roman"/>
        </w:rPr>
        <w:t>211. The abandonment offence was then similar to the current provision.  It applied, however, only to children under two and required actual danger to life or permanent injury to health as opposed to the risk of those things occurring as under the current provision.  A non-exhaustive definition of “abandon” and “expose” was added in 1892. For the first time, a reference to duty was added, but only in the context of omissions. The definition provided that “aband</w:t>
      </w:r>
      <w:r>
        <w:rPr>
          <w:rFonts w:cs="Times New Roman"/>
        </w:rPr>
        <w:t>on” and “expose” included “a wi</w:t>
      </w:r>
      <w:r w:rsidRPr="00863359">
        <w:rPr>
          <w:rFonts w:cs="Times New Roman"/>
        </w:rPr>
        <w:t xml:space="preserve">lful omission to take charge of the child on the part of a person legally bound to do so”. </w:t>
      </w:r>
    </w:p>
    <w:p w:rsidR="00A02B78" w:rsidRPr="00863359" w:rsidRDefault="00A02B78" w:rsidP="00A02B78">
      <w:pPr>
        <w:pStyle w:val="ParaNoNdepar-AltN"/>
        <w:tabs>
          <w:tab w:val="clear" w:pos="1166"/>
          <w:tab w:val="num" w:pos="1152"/>
        </w:tabs>
        <w:rPr>
          <w:rFonts w:cs="Times New Roman"/>
        </w:rPr>
      </w:pPr>
      <w:r w:rsidRPr="00863359">
        <w:rPr>
          <w:rFonts w:cs="Times New Roman"/>
        </w:rPr>
        <w:t xml:space="preserve">The non-exhaustive definition added in 1892 also included “any mode of dealing with [the child] </w:t>
      </w:r>
      <w:r w:rsidRPr="00863359">
        <w:rPr>
          <w:rFonts w:cs="Times New Roman"/>
          <w:u w:val="single"/>
        </w:rPr>
        <w:t>calculated</w:t>
      </w:r>
      <w:r w:rsidRPr="00863359">
        <w:rPr>
          <w:rFonts w:cs="Times New Roman"/>
        </w:rPr>
        <w:t xml:space="preserve"> to leave it exposed to risk without protection”.  While I would not attach much weight to the use of the word “calculated”, I note that, if anything, it suggests a subjective fault requirement.  This is consistent with the fact that the English case of </w:t>
      </w:r>
      <w:r w:rsidRPr="00863359">
        <w:rPr>
          <w:rFonts w:cs="Times New Roman"/>
          <w:i/>
        </w:rPr>
        <w:t>White</w:t>
      </w:r>
      <w:r w:rsidRPr="00863359">
        <w:rPr>
          <w:rFonts w:cs="Times New Roman"/>
        </w:rPr>
        <w:t>, mentioned earlier, appears to have required subjective fault for the English equivalent of the abandonment offence. In 1954, the word</w:t>
      </w:r>
      <w:r>
        <w:rPr>
          <w:rFonts w:cs="Times New Roman"/>
        </w:rPr>
        <w:t>s</w:t>
      </w:r>
      <w:r w:rsidRPr="00863359">
        <w:rPr>
          <w:rFonts w:cs="Times New Roman"/>
        </w:rPr>
        <w:t xml:space="preserve"> “calculated</w:t>
      </w:r>
      <w:r>
        <w:rPr>
          <w:rFonts w:cs="Times New Roman"/>
        </w:rPr>
        <w:t xml:space="preserve"> to” were</w:t>
      </w:r>
      <w:r w:rsidRPr="00863359">
        <w:rPr>
          <w:rFonts w:cs="Times New Roman"/>
        </w:rPr>
        <w:t xml:space="preserve"> replaced by “likely to” in the non-exhaustive definition so that the provision read as it does today:</w:t>
      </w:r>
      <w:r>
        <w:rPr>
          <w:rFonts w:cs="Times New Roman"/>
        </w:rPr>
        <w:t xml:space="preserve"> </w:t>
      </w:r>
      <w:r>
        <w:rPr>
          <w:rFonts w:cs="Times New Roman"/>
          <w:i/>
        </w:rPr>
        <w:t>Criminal Code</w:t>
      </w:r>
      <w:r>
        <w:rPr>
          <w:rFonts w:cs="Times New Roman"/>
        </w:rPr>
        <w:t>, S.C. 1953-</w:t>
      </w:r>
      <w:r w:rsidRPr="00863359">
        <w:rPr>
          <w:rFonts w:cs="Times New Roman"/>
        </w:rPr>
        <w:t>54, c. 51</w:t>
      </w:r>
      <w:r>
        <w:rPr>
          <w:rFonts w:cs="Times New Roman"/>
        </w:rPr>
        <w:t>, s. 185</w:t>
      </w:r>
      <w:r w:rsidRPr="00863359">
        <w:rPr>
          <w:rFonts w:cs="Times New Roman"/>
        </w:rPr>
        <w:t xml:space="preserve">. I would not attach much weight to this amendment. The </w:t>
      </w:r>
      <w:r w:rsidRPr="00DC5B96">
        <w:rPr>
          <w:rFonts w:cs="Times New Roman"/>
          <w:i/>
        </w:rPr>
        <w:t>Oxford English Dictionary</w:t>
      </w:r>
      <w:r w:rsidRPr="00863359">
        <w:rPr>
          <w:rFonts w:cs="Times New Roman"/>
        </w:rPr>
        <w:t xml:space="preserve"> </w:t>
      </w:r>
      <w:r>
        <w:rPr>
          <w:rFonts w:cs="Times New Roman"/>
        </w:rPr>
        <w:t xml:space="preserve">(2nd ed. 1989) </w:t>
      </w:r>
      <w:r w:rsidRPr="00863359">
        <w:rPr>
          <w:rFonts w:cs="Times New Roman"/>
        </w:rPr>
        <w:t xml:space="preserve">suggests that, particularly in the </w:t>
      </w:r>
      <w:r>
        <w:rPr>
          <w:rFonts w:cs="Times New Roman"/>
        </w:rPr>
        <w:t xml:space="preserve">18th </w:t>
      </w:r>
      <w:r w:rsidRPr="00863359">
        <w:rPr>
          <w:rFonts w:cs="Times New Roman"/>
        </w:rPr>
        <w:t xml:space="preserve">and </w:t>
      </w:r>
      <w:r>
        <w:rPr>
          <w:rFonts w:cs="Times New Roman"/>
        </w:rPr>
        <w:t xml:space="preserve">19th </w:t>
      </w:r>
      <w:r w:rsidR="008E08DE">
        <w:rPr>
          <w:rFonts w:cs="Times New Roman"/>
        </w:rPr>
        <w:t>centuries</w:t>
      </w:r>
      <w:r w:rsidRPr="00863359">
        <w:rPr>
          <w:rFonts w:cs="Times New Roman"/>
        </w:rPr>
        <w:t>, “calculated</w:t>
      </w:r>
      <w:r>
        <w:rPr>
          <w:rFonts w:cs="Times New Roman"/>
        </w:rPr>
        <w:t xml:space="preserve"> to</w:t>
      </w:r>
      <w:r w:rsidRPr="00863359">
        <w:rPr>
          <w:rFonts w:cs="Times New Roman"/>
        </w:rPr>
        <w:t>” and “likely to” could be used as synonyms. In any event, both “calculated</w:t>
      </w:r>
      <w:r>
        <w:rPr>
          <w:rFonts w:cs="Times New Roman"/>
        </w:rPr>
        <w:t xml:space="preserve"> to</w:t>
      </w:r>
      <w:r w:rsidRPr="00863359">
        <w:rPr>
          <w:rFonts w:cs="Times New Roman"/>
        </w:rPr>
        <w:t xml:space="preserve">” and “likely to” are consistent with legislative intent to require subjective fault, albeit </w:t>
      </w:r>
      <w:r w:rsidRPr="00863359">
        <w:rPr>
          <w:rFonts w:cs="Times New Roman"/>
        </w:rPr>
        <w:lastRenderedPageBreak/>
        <w:t>“calculated</w:t>
      </w:r>
      <w:r>
        <w:rPr>
          <w:rFonts w:cs="Times New Roman"/>
        </w:rPr>
        <w:t xml:space="preserve"> to</w:t>
      </w:r>
      <w:r w:rsidRPr="00863359">
        <w:rPr>
          <w:rFonts w:cs="Times New Roman"/>
        </w:rPr>
        <w:t>” could be viewed as requiring specific intent, while “likely to” suggests that general intent is required.</w:t>
      </w:r>
    </w:p>
    <w:p w:rsidR="00A02B78" w:rsidRPr="00863359" w:rsidRDefault="00A02B78" w:rsidP="00A02B78">
      <w:pPr>
        <w:pStyle w:val="ParaNoNdepar-AltN"/>
        <w:tabs>
          <w:tab w:val="clear" w:pos="1166"/>
          <w:tab w:val="num" w:pos="1152"/>
        </w:tabs>
        <w:rPr>
          <w:rFonts w:cs="Times New Roman"/>
        </w:rPr>
      </w:pPr>
      <w:r w:rsidRPr="00863359">
        <w:rPr>
          <w:rFonts w:cs="Times New Roman"/>
        </w:rPr>
        <w:t>All things considered, my view is that th</w:t>
      </w:r>
      <w:r>
        <w:rPr>
          <w:rFonts w:cs="Times New Roman"/>
        </w:rPr>
        <w:t xml:space="preserve">e legislative evolution of the child abandonment offence </w:t>
      </w:r>
      <w:r w:rsidRPr="00863359">
        <w:rPr>
          <w:rFonts w:cs="Times New Roman"/>
        </w:rPr>
        <w:t>is</w:t>
      </w:r>
      <w:proofErr w:type="gramStart"/>
      <w:r w:rsidRPr="00863359">
        <w:rPr>
          <w:rFonts w:cs="Times New Roman"/>
        </w:rPr>
        <w:t>,</w:t>
      </w:r>
      <w:proofErr w:type="gramEnd"/>
      <w:r w:rsidRPr="00863359">
        <w:rPr>
          <w:rFonts w:cs="Times New Roman"/>
        </w:rPr>
        <w:t xml:space="preserve"> if anything, more supportive than not of the view that subjective fault is required.</w:t>
      </w:r>
    </w:p>
    <w:p w:rsidR="00A02B78" w:rsidRPr="00863359" w:rsidRDefault="002016E3" w:rsidP="002016E3">
      <w:pPr>
        <w:pStyle w:val="ParaNoNdepar-AltN"/>
        <w:numPr>
          <w:ilvl w:val="0"/>
          <w:numId w:val="0"/>
        </w:numPr>
        <w:tabs>
          <w:tab w:val="left" w:pos="1710"/>
        </w:tabs>
        <w:ind w:firstLine="1170"/>
        <w:rPr>
          <w:rFonts w:cs="Times New Roman"/>
        </w:rPr>
      </w:pPr>
      <w:r>
        <w:rPr>
          <w:rFonts w:cs="Times New Roman"/>
        </w:rPr>
        <w:t>3.</w:t>
      </w:r>
      <w:r>
        <w:rPr>
          <w:rFonts w:cs="Times New Roman"/>
        </w:rPr>
        <w:tab/>
      </w:r>
      <w:r w:rsidR="00A02B78" w:rsidRPr="002016E3">
        <w:rPr>
          <w:rFonts w:cs="Times New Roman"/>
          <w:u w:val="single"/>
        </w:rPr>
        <w:t>Purpose and Breadth of the Offence</w:t>
      </w:r>
    </w:p>
    <w:p w:rsidR="00A02B78" w:rsidRPr="00863359" w:rsidRDefault="00A02B78" w:rsidP="00A02B78">
      <w:pPr>
        <w:pStyle w:val="ParaNoNdepar-AltN"/>
        <w:tabs>
          <w:tab w:val="clear" w:pos="1166"/>
          <w:tab w:val="num" w:pos="1152"/>
        </w:tabs>
        <w:rPr>
          <w:rFonts w:cs="Times New Roman"/>
        </w:rPr>
      </w:pPr>
      <w:r w:rsidRPr="00863359">
        <w:rPr>
          <w:rFonts w:cs="Times New Roman"/>
        </w:rPr>
        <w:t xml:space="preserve">There is no doubt that the purpose of the abandonment </w:t>
      </w:r>
      <w:r>
        <w:rPr>
          <w:rFonts w:cs="Times New Roman"/>
        </w:rPr>
        <w:t xml:space="preserve">offence </w:t>
      </w:r>
      <w:r w:rsidRPr="00863359">
        <w:rPr>
          <w:rFonts w:cs="Times New Roman"/>
        </w:rPr>
        <w:t xml:space="preserve">is the protection of children from risk even when no harm occurs.  Prior to the enactment of the offence of child abandonment in 1861, the offence required actual harm: </w:t>
      </w:r>
      <w:r w:rsidR="002016E3">
        <w:rPr>
          <w:rFonts w:cs="Times New Roman"/>
          <w:i/>
        </w:rPr>
        <w:t xml:space="preserve">R. </w:t>
      </w:r>
      <w:r w:rsidRPr="00863359">
        <w:rPr>
          <w:rFonts w:cs="Times New Roman"/>
          <w:i/>
        </w:rPr>
        <w:t xml:space="preserve">v. </w:t>
      </w:r>
      <w:proofErr w:type="spellStart"/>
      <w:r w:rsidRPr="00863359">
        <w:rPr>
          <w:rFonts w:cs="Times New Roman"/>
          <w:i/>
        </w:rPr>
        <w:t>Renshaw</w:t>
      </w:r>
      <w:proofErr w:type="spellEnd"/>
      <w:r w:rsidRPr="00863359">
        <w:rPr>
          <w:rFonts w:cs="Times New Roman"/>
        </w:rPr>
        <w:t xml:space="preserve"> (1847), 2 Cox C.C. 285; </w:t>
      </w:r>
      <w:r w:rsidRPr="00863359">
        <w:rPr>
          <w:rFonts w:cs="Times New Roman"/>
          <w:i/>
        </w:rPr>
        <w:t>R. v. Hogan</w:t>
      </w:r>
      <w:r w:rsidRPr="00863359">
        <w:rPr>
          <w:rFonts w:cs="Times New Roman"/>
        </w:rPr>
        <w:t xml:space="preserve"> (185</w:t>
      </w:r>
      <w:r>
        <w:rPr>
          <w:rFonts w:cs="Times New Roman"/>
        </w:rPr>
        <w:t>1</w:t>
      </w:r>
      <w:r w:rsidRPr="00863359">
        <w:rPr>
          <w:rFonts w:cs="Times New Roman"/>
        </w:rPr>
        <w:t xml:space="preserve">), 2 Den. 277. The new crime of child abandonment filled a perceived gap by punishing those who placed children in positions of risk: </w:t>
      </w:r>
      <w:r w:rsidR="00377415">
        <w:rPr>
          <w:rFonts w:cs="Times New Roman"/>
          <w:i/>
        </w:rPr>
        <w:t>R.</w:t>
      </w:r>
      <w:r>
        <w:rPr>
          <w:rFonts w:cs="Times New Roman"/>
          <w:i/>
        </w:rPr>
        <w:t xml:space="preserve"> v. </w:t>
      </w:r>
      <w:proofErr w:type="spellStart"/>
      <w:r w:rsidRPr="00863359">
        <w:rPr>
          <w:rFonts w:cs="Times New Roman"/>
          <w:i/>
        </w:rPr>
        <w:t>Falkingham</w:t>
      </w:r>
      <w:proofErr w:type="spellEnd"/>
      <w:r w:rsidRPr="00863359">
        <w:rPr>
          <w:rFonts w:cs="Times New Roman"/>
          <w:i/>
        </w:rPr>
        <w:t xml:space="preserve"> </w:t>
      </w:r>
      <w:r w:rsidRPr="00863359">
        <w:rPr>
          <w:rFonts w:cs="Times New Roman"/>
        </w:rPr>
        <w:t xml:space="preserve">(1870), L.R. 1 C.C.R. 222; </w:t>
      </w:r>
      <w:r w:rsidRPr="00863359">
        <w:rPr>
          <w:rFonts w:cs="Times New Roman"/>
          <w:i/>
        </w:rPr>
        <w:t>White</w:t>
      </w:r>
      <w:r w:rsidRPr="00863359">
        <w:rPr>
          <w:rFonts w:cs="Times New Roman"/>
        </w:rPr>
        <w:t xml:space="preserve">. </w:t>
      </w:r>
    </w:p>
    <w:p w:rsidR="00A02B78" w:rsidRPr="00863359" w:rsidRDefault="00A02B78" w:rsidP="00A02B78">
      <w:pPr>
        <w:pStyle w:val="ParaNoNdepar-AltN"/>
        <w:tabs>
          <w:tab w:val="clear" w:pos="1166"/>
          <w:tab w:val="num" w:pos="1152"/>
        </w:tabs>
        <w:rPr>
          <w:rFonts w:cs="Times New Roman"/>
        </w:rPr>
      </w:pPr>
      <w:r w:rsidRPr="00863359">
        <w:rPr>
          <w:rFonts w:cs="Times New Roman"/>
        </w:rPr>
        <w:t xml:space="preserve">It follows that the scope of potential liability under </w:t>
      </w:r>
      <w:r>
        <w:rPr>
          <w:rFonts w:cs="Times New Roman"/>
        </w:rPr>
        <w:t xml:space="preserve">s. 218 of the </w:t>
      </w:r>
      <w:r w:rsidRPr="00502F86">
        <w:rPr>
          <w:rFonts w:cs="Times New Roman"/>
          <w:i/>
        </w:rPr>
        <w:t>Code</w:t>
      </w:r>
      <w:r>
        <w:rPr>
          <w:rFonts w:cs="Times New Roman"/>
        </w:rPr>
        <w:t xml:space="preserve"> </w:t>
      </w:r>
      <w:r w:rsidRPr="00863359">
        <w:rPr>
          <w:rFonts w:cs="Times New Roman"/>
        </w:rPr>
        <w:t>is very broad, encompassing a wide range of persons and conduct. Liability is not restricted to those who are related to the child, or who have any duties in relation to the child or even to those who are in charge of the child at the time. In addition, a very wide range of conduct falls within the words “abandon” and “expose”</w:t>
      </w:r>
      <w:r>
        <w:rPr>
          <w:rFonts w:cs="Times New Roman"/>
        </w:rPr>
        <w:t>.</w:t>
      </w:r>
      <w:r w:rsidRPr="00863359">
        <w:rPr>
          <w:rFonts w:cs="Times New Roman"/>
        </w:rPr>
        <w:t xml:space="preserve"> These are broad words that are not exhaustively </w:t>
      </w:r>
      <w:r>
        <w:rPr>
          <w:rFonts w:cs="Times New Roman"/>
        </w:rPr>
        <w:t xml:space="preserve">defined under the </w:t>
      </w:r>
      <w:r>
        <w:rPr>
          <w:rFonts w:cs="Times New Roman"/>
          <w:i/>
        </w:rPr>
        <w:t>Code</w:t>
      </w:r>
      <w:r w:rsidRPr="00863359">
        <w:rPr>
          <w:rFonts w:cs="Times New Roman"/>
        </w:rPr>
        <w:t xml:space="preserve">. </w:t>
      </w:r>
    </w:p>
    <w:p w:rsidR="00A02B78" w:rsidRPr="00863359" w:rsidRDefault="00A02B78" w:rsidP="00A02B78">
      <w:pPr>
        <w:pStyle w:val="ParaNoNdepar-AltN"/>
        <w:tabs>
          <w:tab w:val="clear" w:pos="1166"/>
          <w:tab w:val="num" w:pos="1152"/>
        </w:tabs>
        <w:rPr>
          <w:rFonts w:cs="Times New Roman"/>
        </w:rPr>
      </w:pPr>
      <w:r w:rsidRPr="00863359">
        <w:rPr>
          <w:rFonts w:cs="Times New Roman"/>
        </w:rPr>
        <w:lastRenderedPageBreak/>
        <w:t>Viewed in the light of the broad scope of potential liability under</w:t>
      </w:r>
      <w:r>
        <w:rPr>
          <w:rFonts w:cs="Times New Roman"/>
        </w:rPr>
        <w:t xml:space="preserve"> s. 218 of the </w:t>
      </w:r>
      <w:r>
        <w:rPr>
          <w:rFonts w:cs="Times New Roman"/>
          <w:i/>
        </w:rPr>
        <w:t>Code</w:t>
      </w:r>
      <w:r w:rsidRPr="00863359">
        <w:rPr>
          <w:rFonts w:cs="Times New Roman"/>
        </w:rPr>
        <w:t xml:space="preserve">, the requirement for subjective fault serves an important purpose of ensuring that the reach of the criminal law does not extend too far. </w:t>
      </w:r>
      <w:r w:rsidRPr="00863359">
        <w:rPr>
          <w:rFonts w:cs="Times New Roman"/>
        </w:rPr>
        <w:tab/>
        <w:t xml:space="preserve">While the conduct and people that fall within </w:t>
      </w:r>
      <w:r>
        <w:rPr>
          <w:rFonts w:cs="Times New Roman"/>
        </w:rPr>
        <w:t xml:space="preserve">s. 218 of the </w:t>
      </w:r>
      <w:r>
        <w:rPr>
          <w:rFonts w:cs="Times New Roman"/>
          <w:i/>
        </w:rPr>
        <w:t>Code</w:t>
      </w:r>
      <w:r w:rsidRPr="00863359">
        <w:rPr>
          <w:rFonts w:cs="Times New Roman"/>
        </w:rPr>
        <w:t xml:space="preserve"> are broadly defined, the requirement for subjective fault ensures that only those with a guilty mind are punished.</w:t>
      </w:r>
    </w:p>
    <w:p w:rsidR="00A02B78" w:rsidRPr="00863359" w:rsidRDefault="00A02B78" w:rsidP="00A33076">
      <w:pPr>
        <w:pStyle w:val="ParaNoNdepar-AltN"/>
        <w:numPr>
          <w:ilvl w:val="0"/>
          <w:numId w:val="0"/>
        </w:numPr>
        <w:tabs>
          <w:tab w:val="left" w:pos="540"/>
        </w:tabs>
        <w:rPr>
          <w:rFonts w:cs="Times New Roman"/>
        </w:rPr>
      </w:pPr>
      <w:r w:rsidRPr="00863359">
        <w:rPr>
          <w:rFonts w:cs="Times New Roman"/>
        </w:rPr>
        <w:t>D.</w:t>
      </w:r>
      <w:r w:rsidRPr="00863359">
        <w:rPr>
          <w:rFonts w:cs="Times New Roman"/>
        </w:rPr>
        <w:tab/>
      </w:r>
      <w:r>
        <w:rPr>
          <w:rFonts w:cs="Times New Roman"/>
          <w:i/>
        </w:rPr>
        <w:t>The Text of the P</w:t>
      </w:r>
      <w:r w:rsidRPr="00DC5B96">
        <w:rPr>
          <w:rFonts w:cs="Times New Roman"/>
          <w:i/>
        </w:rPr>
        <w:t>rovision</w:t>
      </w:r>
      <w:r>
        <w:rPr>
          <w:rFonts w:cs="Times New Roman"/>
          <w:i/>
        </w:rPr>
        <w:t>s</w:t>
      </w:r>
    </w:p>
    <w:p w:rsidR="00A02B78" w:rsidRPr="00863359" w:rsidRDefault="00A02B78" w:rsidP="00A02B78">
      <w:pPr>
        <w:pStyle w:val="ParaNoNdepar-AltN"/>
        <w:tabs>
          <w:tab w:val="clear" w:pos="1166"/>
          <w:tab w:val="num" w:pos="1152"/>
        </w:tabs>
        <w:rPr>
          <w:rFonts w:cs="Times New Roman"/>
        </w:rPr>
      </w:pPr>
      <w:r w:rsidRPr="00863359">
        <w:rPr>
          <w:rFonts w:cs="Times New Roman"/>
        </w:rPr>
        <w:t>The text of the provision</w:t>
      </w:r>
      <w:r>
        <w:rPr>
          <w:rFonts w:cs="Times New Roman"/>
        </w:rPr>
        <w:t xml:space="preserve">s </w:t>
      </w:r>
      <w:r w:rsidR="00376651">
        <w:rPr>
          <w:rFonts w:cs="Times New Roman"/>
        </w:rPr>
        <w:t>is</w:t>
      </w:r>
      <w:r>
        <w:rPr>
          <w:rFonts w:cs="Times New Roman"/>
        </w:rPr>
        <w:t xml:space="preserve"> found in</w:t>
      </w:r>
      <w:r w:rsidRPr="00863359">
        <w:rPr>
          <w:rFonts w:cs="Times New Roman"/>
        </w:rPr>
        <w:t xml:space="preserve"> the Appendix. There are three main points which emerge from a careful study of the text and scheme of these provisions.  First, the words “abandon”</w:t>
      </w:r>
      <w:r>
        <w:rPr>
          <w:rFonts w:cs="Times New Roman"/>
        </w:rPr>
        <w:t>,</w:t>
      </w:r>
      <w:r w:rsidRPr="00863359">
        <w:rPr>
          <w:rFonts w:cs="Times New Roman"/>
        </w:rPr>
        <w:t xml:space="preserve"> “expose” and “wilful” suggest a subjective fault requirement.  Second, the use of the </w:t>
      </w:r>
      <w:r>
        <w:rPr>
          <w:rFonts w:cs="Times New Roman"/>
        </w:rPr>
        <w:t>word “likely</w:t>
      </w:r>
      <w:r w:rsidRPr="00863359">
        <w:rPr>
          <w:rFonts w:cs="Times New Roman"/>
        </w:rPr>
        <w:t xml:space="preserve">” in this context does not suggest an objective fault requirement. Third, what is absent from the text of </w:t>
      </w:r>
      <w:r>
        <w:rPr>
          <w:rFonts w:cs="Times New Roman"/>
        </w:rPr>
        <w:t xml:space="preserve">s. </w:t>
      </w:r>
      <w:proofErr w:type="gramStart"/>
      <w:r>
        <w:rPr>
          <w:rFonts w:cs="Times New Roman"/>
        </w:rPr>
        <w:t>218  of</w:t>
      </w:r>
      <w:proofErr w:type="gramEnd"/>
      <w:r>
        <w:rPr>
          <w:rFonts w:cs="Times New Roman"/>
        </w:rPr>
        <w:t xml:space="preserve"> the </w:t>
      </w:r>
      <w:r>
        <w:rPr>
          <w:rFonts w:cs="Times New Roman"/>
          <w:i/>
        </w:rPr>
        <w:t xml:space="preserve">Code </w:t>
      </w:r>
      <w:r w:rsidRPr="00863359">
        <w:rPr>
          <w:rFonts w:cs="Times New Roman"/>
        </w:rPr>
        <w:t>and the broader scheme in which it appears strongly suggest that subject</w:t>
      </w:r>
      <w:r>
        <w:rPr>
          <w:rFonts w:cs="Times New Roman"/>
        </w:rPr>
        <w:t>ive</w:t>
      </w:r>
      <w:r w:rsidRPr="00863359">
        <w:rPr>
          <w:rFonts w:cs="Times New Roman"/>
        </w:rPr>
        <w:t xml:space="preserve"> fault is required.</w:t>
      </w:r>
    </w:p>
    <w:p w:rsidR="00A02B78" w:rsidRPr="00DC5B96" w:rsidRDefault="00A33076" w:rsidP="00A33076">
      <w:pPr>
        <w:pStyle w:val="ParaNoNdepar-AltN"/>
        <w:numPr>
          <w:ilvl w:val="0"/>
          <w:numId w:val="0"/>
        </w:numPr>
        <w:tabs>
          <w:tab w:val="left" w:pos="1170"/>
          <w:tab w:val="left" w:pos="1620"/>
        </w:tabs>
        <w:ind w:left="1620" w:hanging="1620"/>
        <w:rPr>
          <w:rFonts w:cs="Times New Roman"/>
          <w:i/>
        </w:rPr>
      </w:pPr>
      <w:r>
        <w:rPr>
          <w:rFonts w:cs="Times New Roman"/>
        </w:rPr>
        <w:tab/>
      </w:r>
      <w:r w:rsidR="00A02B78" w:rsidRPr="00863359">
        <w:rPr>
          <w:rFonts w:cs="Times New Roman"/>
        </w:rPr>
        <w:t>1.</w:t>
      </w:r>
      <w:r w:rsidR="00A02B78" w:rsidRPr="00863359">
        <w:rPr>
          <w:rFonts w:cs="Times New Roman"/>
        </w:rPr>
        <w:tab/>
      </w:r>
      <w:r w:rsidR="00A02B78" w:rsidRPr="009A3148">
        <w:rPr>
          <w:rFonts w:cs="Times New Roman"/>
          <w:u w:val="single"/>
        </w:rPr>
        <w:t>“Abandon”,</w:t>
      </w:r>
      <w:r w:rsidR="009A3148" w:rsidRPr="009A3148">
        <w:rPr>
          <w:rFonts w:cs="Times New Roman"/>
          <w:u w:val="single"/>
        </w:rPr>
        <w:t xml:space="preserve"> </w:t>
      </w:r>
      <w:r w:rsidR="00A02B78" w:rsidRPr="009A3148">
        <w:rPr>
          <w:rFonts w:cs="Times New Roman"/>
          <w:u w:val="single"/>
        </w:rPr>
        <w:t>“E</w:t>
      </w:r>
      <w:r w:rsidR="009A3148" w:rsidRPr="009A3148">
        <w:rPr>
          <w:rFonts w:cs="Times New Roman"/>
          <w:u w:val="single"/>
        </w:rPr>
        <w:t xml:space="preserve">xpose” and </w:t>
      </w:r>
      <w:r w:rsidR="00A02B78" w:rsidRPr="009A3148">
        <w:rPr>
          <w:rFonts w:cs="Times New Roman"/>
          <w:u w:val="single"/>
        </w:rPr>
        <w:t>“Wilful” Suggest Subjective Fault</w:t>
      </w:r>
    </w:p>
    <w:p w:rsidR="00A02B78" w:rsidRPr="00863359" w:rsidRDefault="00A02B78" w:rsidP="00A02B78">
      <w:pPr>
        <w:pStyle w:val="ParaNoNdepar-AltN"/>
        <w:tabs>
          <w:tab w:val="clear" w:pos="1166"/>
          <w:tab w:val="num" w:pos="1152"/>
        </w:tabs>
      </w:pPr>
      <w:r w:rsidRPr="00863359">
        <w:rPr>
          <w:rFonts w:cs="Times New Roman"/>
        </w:rPr>
        <w:t xml:space="preserve">The words “abandon” and “expose” are not given </w:t>
      </w:r>
      <w:r>
        <w:rPr>
          <w:rFonts w:cs="Times New Roman"/>
        </w:rPr>
        <w:t xml:space="preserve">an </w:t>
      </w:r>
      <w:r w:rsidRPr="00863359">
        <w:rPr>
          <w:rFonts w:cs="Times New Roman"/>
        </w:rPr>
        <w:t>exhaustive definition in</w:t>
      </w:r>
      <w:r>
        <w:rPr>
          <w:rFonts w:cs="Times New Roman"/>
        </w:rPr>
        <w:t xml:space="preserve"> s. 214</w:t>
      </w:r>
      <w:r w:rsidRPr="00863359">
        <w:rPr>
          <w:rFonts w:cs="Times New Roman"/>
        </w:rPr>
        <w:t xml:space="preserve"> the </w:t>
      </w:r>
      <w:r w:rsidRPr="00DC5B96">
        <w:rPr>
          <w:rFonts w:cs="Times New Roman"/>
          <w:i/>
        </w:rPr>
        <w:t xml:space="preserve">Code </w:t>
      </w:r>
      <w:r w:rsidRPr="00863359">
        <w:rPr>
          <w:rFonts w:cs="Times New Roman"/>
        </w:rPr>
        <w:t xml:space="preserve">and therefore their ordinary grammatical meanings remain relevant to their interpretation. Both words suggest actions taken with knowledge of their consequences. The </w:t>
      </w:r>
      <w:r w:rsidRPr="00DC5B96">
        <w:rPr>
          <w:rFonts w:cs="Times New Roman"/>
          <w:i/>
        </w:rPr>
        <w:t xml:space="preserve">Oxford Dictionary of English </w:t>
      </w:r>
      <w:r>
        <w:rPr>
          <w:rFonts w:cs="Times New Roman"/>
        </w:rPr>
        <w:t>(2nd ed. rev. 2005)</w:t>
      </w:r>
      <w:r w:rsidRPr="009A3148">
        <w:rPr>
          <w:rFonts w:cs="Times New Roman"/>
        </w:rPr>
        <w:t>,</w:t>
      </w:r>
      <w:r w:rsidRPr="00DC5B96">
        <w:rPr>
          <w:rFonts w:cs="Times New Roman"/>
          <w:i/>
        </w:rPr>
        <w:t xml:space="preserve"> </w:t>
      </w:r>
      <w:r w:rsidRPr="00863359">
        <w:rPr>
          <w:rFonts w:cs="Times New Roman"/>
        </w:rPr>
        <w:t>for example, defines “abandon” as</w:t>
      </w:r>
      <w:r>
        <w:rPr>
          <w:rFonts w:cs="Times New Roman"/>
        </w:rPr>
        <w:t xml:space="preserve"> “</w:t>
      </w:r>
      <w:r w:rsidRPr="00863359">
        <w:t>cease to support or look after (someone); desert</w:t>
      </w:r>
      <w:r>
        <w:t>”.</w:t>
      </w:r>
    </w:p>
    <w:p w:rsidR="00A02B78" w:rsidRPr="00863359" w:rsidRDefault="00A02B78" w:rsidP="00A02B78">
      <w:pPr>
        <w:pStyle w:val="ParaNoNdepar-AltN"/>
        <w:tabs>
          <w:tab w:val="clear" w:pos="1166"/>
          <w:tab w:val="num" w:pos="1152"/>
        </w:tabs>
      </w:pPr>
      <w:r w:rsidRPr="00863359">
        <w:rPr>
          <w:rFonts w:cs="Times New Roman"/>
        </w:rPr>
        <w:lastRenderedPageBreak/>
        <w:t>The same</w:t>
      </w:r>
      <w:r>
        <w:rPr>
          <w:rFonts w:cs="Times New Roman"/>
        </w:rPr>
        <w:t xml:space="preserve"> dictionary defines “expose” (in the sense of “expose someone to”) as “</w:t>
      </w:r>
      <w:r w:rsidRPr="00863359">
        <w:t>cause someone t</w:t>
      </w:r>
      <w:r>
        <w:t>o be vulnerable or at risk” or “</w:t>
      </w:r>
      <w:r w:rsidRPr="00863359">
        <w:t>leave (a</w:t>
      </w:r>
      <w:r>
        <w:t xml:space="preserve"> child) in the open to die”.</w:t>
      </w:r>
    </w:p>
    <w:p w:rsidR="00A02B78" w:rsidRPr="00863359" w:rsidRDefault="00A02B78" w:rsidP="00A02B78">
      <w:pPr>
        <w:pStyle w:val="ParaNoNdepar-AltN"/>
        <w:tabs>
          <w:tab w:val="clear" w:pos="1166"/>
          <w:tab w:val="num" w:pos="1152"/>
        </w:tabs>
      </w:pPr>
      <w:r w:rsidRPr="00863359">
        <w:rPr>
          <w:rFonts w:cs="Times New Roman"/>
        </w:rPr>
        <w:t>The definition of “desert” is also helpful:</w:t>
      </w:r>
      <w:r>
        <w:rPr>
          <w:rFonts w:cs="Times New Roman"/>
        </w:rPr>
        <w:t xml:space="preserve"> “[A]</w:t>
      </w:r>
      <w:proofErr w:type="spellStart"/>
      <w:r w:rsidRPr="00863359">
        <w:t>bandon</w:t>
      </w:r>
      <w:proofErr w:type="spellEnd"/>
      <w:r w:rsidRPr="00863359">
        <w:t xml:space="preserve"> (a person, cause, or organization) in a way considered disloyal or treacherous</w:t>
      </w:r>
      <w:r w:rsidR="009A3148">
        <w:t xml:space="preserve"> . . . .”</w:t>
      </w:r>
      <w:r w:rsidRPr="00863359">
        <w:t xml:space="preserve"> </w:t>
      </w:r>
    </w:p>
    <w:p w:rsidR="00A02B78" w:rsidRPr="00863359" w:rsidRDefault="00A02B78" w:rsidP="00A02B78">
      <w:pPr>
        <w:pStyle w:val="ParaNoNdepar-AltN"/>
        <w:tabs>
          <w:tab w:val="clear" w:pos="1166"/>
          <w:tab w:val="num" w:pos="1152"/>
        </w:tabs>
        <w:rPr>
          <w:rFonts w:cs="Times New Roman"/>
        </w:rPr>
      </w:pPr>
      <w:r w:rsidRPr="00863359">
        <w:rPr>
          <w:rFonts w:cs="Times New Roman"/>
        </w:rPr>
        <w:t xml:space="preserve">I agree with Richards J.A. that the words “abandon” and “expose” on their face, and standing alone, are </w:t>
      </w:r>
      <w:r w:rsidR="000307B2">
        <w:rPr>
          <w:rFonts w:cs="Times New Roman"/>
        </w:rPr>
        <w:t xml:space="preserve">indicative of subjective fault: </w:t>
      </w:r>
      <w:r>
        <w:rPr>
          <w:rFonts w:cs="Times New Roman"/>
        </w:rPr>
        <w:t>C.A.</w:t>
      </w:r>
      <w:r w:rsidRPr="00863359">
        <w:rPr>
          <w:rFonts w:cs="Times New Roman"/>
        </w:rPr>
        <w:t xml:space="preserve">, </w:t>
      </w:r>
      <w:r>
        <w:rPr>
          <w:rFonts w:cs="Times New Roman"/>
        </w:rPr>
        <w:t xml:space="preserve">at </w:t>
      </w:r>
      <w:proofErr w:type="spellStart"/>
      <w:r w:rsidRPr="00863359">
        <w:rPr>
          <w:rFonts w:cs="Times New Roman"/>
        </w:rPr>
        <w:t>para</w:t>
      </w:r>
      <w:proofErr w:type="spellEnd"/>
      <w:r w:rsidRPr="00863359">
        <w:rPr>
          <w:rFonts w:cs="Times New Roman"/>
        </w:rPr>
        <w:t xml:space="preserve">. 59. They involve more than just leaving a child alone or failing to take care of it: they denote awareness of the risk involved. This view is also perfectly consistent with the statutory non-exhaustive definition of “abandon” or “expose” in s. 214 </w:t>
      </w:r>
      <w:r>
        <w:rPr>
          <w:rFonts w:cs="Times New Roman"/>
        </w:rPr>
        <w:t xml:space="preserve">of the </w:t>
      </w:r>
      <w:r>
        <w:rPr>
          <w:rFonts w:cs="Times New Roman"/>
          <w:i/>
        </w:rPr>
        <w:t xml:space="preserve">Code </w:t>
      </w:r>
      <w:r w:rsidRPr="00863359">
        <w:rPr>
          <w:rFonts w:cs="Times New Roman"/>
        </w:rPr>
        <w:t xml:space="preserve">which, as noted earlier, suggests a requirement for knowledge of the consequences flowing from the prohibited acts of abandonment or exposure.  This is also reflected in the jurisprudence.  As noted in </w:t>
      </w:r>
      <w:r w:rsidRPr="00863359">
        <w:rPr>
          <w:rFonts w:cs="Times New Roman"/>
          <w:i/>
        </w:rPr>
        <w:t>L.M</w:t>
      </w:r>
      <w:r w:rsidRPr="00DC5B96">
        <w:rPr>
          <w:rFonts w:cs="Times New Roman"/>
          <w:i/>
        </w:rPr>
        <w:t>.</w:t>
      </w:r>
      <w:r>
        <w:rPr>
          <w:rFonts w:cs="Times New Roman"/>
        </w:rPr>
        <w:t>, abandon means “leaving the</w:t>
      </w:r>
      <w:r w:rsidRPr="00863359">
        <w:rPr>
          <w:rFonts w:cs="Times New Roman"/>
        </w:rPr>
        <w:t xml:space="preserve"> child to its fate” which suggests an act accompanied by knowledge of or recklessness as to the consequences</w:t>
      </w:r>
      <w:r>
        <w:rPr>
          <w:rFonts w:cs="Times New Roman"/>
        </w:rPr>
        <w:t xml:space="preserve">: </w:t>
      </w:r>
      <w:proofErr w:type="spellStart"/>
      <w:r>
        <w:rPr>
          <w:rFonts w:cs="Times New Roman"/>
        </w:rPr>
        <w:t>paras</w:t>
      </w:r>
      <w:proofErr w:type="spellEnd"/>
      <w:r>
        <w:rPr>
          <w:rFonts w:cs="Times New Roman"/>
        </w:rPr>
        <w:t>. 28 and 47;</w:t>
      </w:r>
      <w:r w:rsidRPr="00863359">
        <w:rPr>
          <w:rFonts w:cs="Times New Roman"/>
        </w:rPr>
        <w:t xml:space="preserve"> see also</w:t>
      </w:r>
      <w:r>
        <w:rPr>
          <w:rFonts w:cs="Times New Roman"/>
        </w:rPr>
        <w:t>,</w:t>
      </w:r>
      <w:r w:rsidRPr="00863359">
        <w:rPr>
          <w:rFonts w:cs="Times New Roman"/>
        </w:rPr>
        <w:t xml:space="preserve"> e.g.</w:t>
      </w:r>
      <w:r>
        <w:rPr>
          <w:rFonts w:cs="Times New Roman"/>
        </w:rPr>
        <w:t>,</w:t>
      </w:r>
      <w:r w:rsidRPr="00863359">
        <w:rPr>
          <w:rFonts w:cs="Times New Roman"/>
        </w:rPr>
        <w:t xml:space="preserve"> </w:t>
      </w:r>
      <w:r w:rsidRPr="00863359">
        <w:rPr>
          <w:rFonts w:cs="Times New Roman"/>
          <w:i/>
        </w:rPr>
        <w:t xml:space="preserve">R. v. </w:t>
      </w:r>
      <w:proofErr w:type="spellStart"/>
      <w:r w:rsidRPr="00863359">
        <w:rPr>
          <w:rFonts w:cs="Times New Roman"/>
          <w:i/>
        </w:rPr>
        <w:t>Boulden</w:t>
      </w:r>
      <w:proofErr w:type="spellEnd"/>
      <w:r w:rsidRPr="00863359">
        <w:rPr>
          <w:rFonts w:cs="Times New Roman"/>
        </w:rPr>
        <w:t xml:space="preserve"> (1957)</w:t>
      </w:r>
      <w:r>
        <w:rPr>
          <w:rFonts w:cs="Times New Roman"/>
        </w:rPr>
        <w:t>,</w:t>
      </w:r>
      <w:r w:rsidRPr="00863359">
        <w:rPr>
          <w:rFonts w:cs="Times New Roman"/>
        </w:rPr>
        <w:t xml:space="preserve"> 41 Cr. App. R. 105</w:t>
      </w:r>
      <w:r>
        <w:rPr>
          <w:rFonts w:cs="Times New Roman"/>
        </w:rPr>
        <w:t>,</w:t>
      </w:r>
      <w:r w:rsidRPr="00863359">
        <w:rPr>
          <w:rFonts w:cs="Times New Roman"/>
        </w:rPr>
        <w:t xml:space="preserve"> at p. 110</w:t>
      </w:r>
      <w:r>
        <w:rPr>
          <w:rFonts w:cs="Times New Roman"/>
        </w:rPr>
        <w:t>;</w:t>
      </w:r>
      <w:r w:rsidRPr="00863359">
        <w:rPr>
          <w:rFonts w:cs="Times New Roman"/>
        </w:rPr>
        <w:t xml:space="preserve"> </w:t>
      </w:r>
      <w:r>
        <w:rPr>
          <w:rFonts w:cs="Times New Roman"/>
          <w:i/>
        </w:rPr>
        <w:t xml:space="preserve">Re </w:t>
      </w:r>
      <w:r w:rsidRPr="00863359">
        <w:rPr>
          <w:rFonts w:cs="Times New Roman"/>
          <w:i/>
        </w:rPr>
        <w:t>Davis</w:t>
      </w:r>
      <w:r w:rsidRPr="00863359">
        <w:rPr>
          <w:rFonts w:cs="Times New Roman"/>
        </w:rPr>
        <w:t xml:space="preserve"> (1909), 18 O.L.R. 384</w:t>
      </w:r>
      <w:r>
        <w:rPr>
          <w:rFonts w:cs="Times New Roman"/>
        </w:rPr>
        <w:t>,</w:t>
      </w:r>
      <w:r w:rsidRPr="00863359">
        <w:rPr>
          <w:rFonts w:cs="Times New Roman"/>
        </w:rPr>
        <w:t xml:space="preserve"> at </w:t>
      </w:r>
      <w:r>
        <w:rPr>
          <w:rFonts w:cs="Times New Roman"/>
        </w:rPr>
        <w:t>p. 387</w:t>
      </w:r>
      <w:r w:rsidRPr="00863359">
        <w:rPr>
          <w:rFonts w:cs="Times New Roman"/>
        </w:rPr>
        <w:t xml:space="preserve">.  This is one of the factors that led the court in </w:t>
      </w:r>
      <w:r w:rsidRPr="00863359">
        <w:rPr>
          <w:rFonts w:cs="Times New Roman"/>
          <w:i/>
        </w:rPr>
        <w:t>Reedy</w:t>
      </w:r>
      <w:r>
        <w:rPr>
          <w:rFonts w:cs="Times New Roman"/>
          <w:i/>
        </w:rPr>
        <w:t xml:space="preserve"> (No. 2)</w:t>
      </w:r>
      <w:r w:rsidRPr="00863359">
        <w:rPr>
          <w:rFonts w:cs="Times New Roman"/>
        </w:rPr>
        <w:t>, to imply a subjective fault requirement</w:t>
      </w:r>
      <w:r w:rsidR="00BD0A60">
        <w:rPr>
          <w:rFonts w:cs="Times New Roman"/>
        </w:rPr>
        <w:t xml:space="preserve"> (</w:t>
      </w:r>
      <w:r>
        <w:rPr>
          <w:rFonts w:cs="Times New Roman"/>
        </w:rPr>
        <w:t>p. 107</w:t>
      </w:r>
      <w:r w:rsidR="00BD0A60">
        <w:rPr>
          <w:rFonts w:cs="Times New Roman"/>
        </w:rPr>
        <w:t>)</w:t>
      </w:r>
      <w:r w:rsidRPr="00863359">
        <w:rPr>
          <w:rFonts w:cs="Times New Roman"/>
        </w:rPr>
        <w:t xml:space="preserve">. </w:t>
      </w:r>
    </w:p>
    <w:p w:rsidR="00A02B78" w:rsidRPr="00863359" w:rsidRDefault="00A02B78" w:rsidP="00A02B78">
      <w:pPr>
        <w:pStyle w:val="ParaNoNdepar-AltN"/>
        <w:tabs>
          <w:tab w:val="clear" w:pos="1166"/>
          <w:tab w:val="num" w:pos="1152"/>
        </w:tabs>
        <w:rPr>
          <w:rFonts w:cs="Times New Roman"/>
        </w:rPr>
      </w:pPr>
      <w:r w:rsidRPr="00863359">
        <w:rPr>
          <w:rFonts w:cs="Times New Roman"/>
        </w:rPr>
        <w:t xml:space="preserve">The Crown, in support of its position that the fault element is objective, argued that the non-exhaustive definition of “abandon” and “expose” included in the </w:t>
      </w:r>
      <w:r w:rsidRPr="00863359">
        <w:rPr>
          <w:rFonts w:cs="Times New Roman"/>
          <w:i/>
        </w:rPr>
        <w:t>Code</w:t>
      </w:r>
      <w:r w:rsidRPr="00863359">
        <w:rPr>
          <w:rFonts w:cs="Times New Roman"/>
        </w:rPr>
        <w:t xml:space="preserve"> in 1892 </w:t>
      </w:r>
      <w:r>
        <w:rPr>
          <w:rFonts w:cs="Times New Roman"/>
        </w:rPr>
        <w:t>(</w:t>
      </w:r>
      <w:r w:rsidRPr="00863359">
        <w:rPr>
          <w:rFonts w:cs="Times New Roman"/>
        </w:rPr>
        <w:t>now in s. 214</w:t>
      </w:r>
      <w:r>
        <w:rPr>
          <w:rFonts w:cs="Times New Roman"/>
        </w:rPr>
        <w:t>)</w:t>
      </w:r>
      <w:r w:rsidRPr="00863359">
        <w:rPr>
          <w:rFonts w:cs="Times New Roman"/>
        </w:rPr>
        <w:t xml:space="preserve"> likely came from the English decisions of </w:t>
      </w:r>
      <w:proofErr w:type="spellStart"/>
      <w:r w:rsidRPr="00863359">
        <w:rPr>
          <w:rFonts w:cs="Times New Roman"/>
          <w:i/>
        </w:rPr>
        <w:t>Falkingham</w:t>
      </w:r>
      <w:proofErr w:type="spellEnd"/>
      <w:r w:rsidRPr="00863359">
        <w:rPr>
          <w:rFonts w:cs="Times New Roman"/>
        </w:rPr>
        <w:t xml:space="preserve"> and</w:t>
      </w:r>
      <w:r w:rsidRPr="00863359">
        <w:rPr>
          <w:rFonts w:cs="Times New Roman"/>
          <w:i/>
        </w:rPr>
        <w:t xml:space="preserve"> White</w:t>
      </w:r>
      <w:r w:rsidRPr="00863359">
        <w:rPr>
          <w:rFonts w:cs="Times New Roman"/>
        </w:rPr>
        <w:t xml:space="preserve">. While those cases may well be the origin of the </w:t>
      </w:r>
      <w:r w:rsidRPr="00863359">
        <w:rPr>
          <w:rFonts w:cs="Times New Roman"/>
          <w:i/>
        </w:rPr>
        <w:t xml:space="preserve">Code </w:t>
      </w:r>
      <w:r w:rsidRPr="00863359">
        <w:rPr>
          <w:rFonts w:cs="Times New Roman"/>
        </w:rPr>
        <w:t xml:space="preserve">definition, this does </w:t>
      </w:r>
      <w:r w:rsidRPr="00863359">
        <w:rPr>
          <w:rFonts w:cs="Times New Roman"/>
        </w:rPr>
        <w:lastRenderedPageBreak/>
        <w:t xml:space="preserve">not advance the Crown’s position.  In both cases, there was evidence of subjective fault. In </w:t>
      </w:r>
      <w:r w:rsidRPr="00863359">
        <w:rPr>
          <w:rFonts w:cs="Times New Roman"/>
          <w:i/>
        </w:rPr>
        <w:t>White</w:t>
      </w:r>
      <w:r w:rsidRPr="00863359">
        <w:rPr>
          <w:rFonts w:cs="Times New Roman"/>
        </w:rPr>
        <w:t xml:space="preserve">, there was clear evidence that the accused intentionally and knowingly abandoned and exposed the child and was aware of the risk. In </w:t>
      </w:r>
      <w:proofErr w:type="spellStart"/>
      <w:r w:rsidRPr="00863359">
        <w:rPr>
          <w:rFonts w:cs="Times New Roman"/>
          <w:i/>
        </w:rPr>
        <w:t>Falkingham</w:t>
      </w:r>
      <w:proofErr w:type="spellEnd"/>
      <w:r w:rsidRPr="00863359">
        <w:rPr>
          <w:rFonts w:cs="Times New Roman"/>
        </w:rPr>
        <w:t>, there was evidence of at least recklessness or wilful blindness: a mother, with the knowledge and connivance of another woman who was also charged with child abandonment, had put her child in a hamper and sent it by train to the child’s father without indicating to the railway employees that a child was in the package.  The accused had been cautious in “packaging” the child, the mother indicated to the railway clerk to be very careful with it and wrote on the hamper “with care, to be delivered immediately”</w:t>
      </w:r>
      <w:r>
        <w:rPr>
          <w:rFonts w:cs="Times New Roman"/>
        </w:rPr>
        <w:t xml:space="preserve"> (p. 223). </w:t>
      </w:r>
      <w:r w:rsidRPr="00863359">
        <w:rPr>
          <w:rFonts w:cs="Times New Roman"/>
        </w:rPr>
        <w:t xml:space="preserve">This indicated awareness of the risk. </w:t>
      </w:r>
    </w:p>
    <w:p w:rsidR="00A02B78" w:rsidRPr="00863359" w:rsidRDefault="00A02B78" w:rsidP="00A02B78">
      <w:pPr>
        <w:pStyle w:val="ParaNoNdepar-AltN"/>
        <w:tabs>
          <w:tab w:val="clear" w:pos="1166"/>
          <w:tab w:val="num" w:pos="1152"/>
        </w:tabs>
        <w:rPr>
          <w:rFonts w:cs="Times New Roman"/>
        </w:rPr>
      </w:pPr>
      <w:r w:rsidRPr="00863359">
        <w:rPr>
          <w:rFonts w:cs="Times New Roman"/>
        </w:rPr>
        <w:t>What emerges from both the ordinary meaning and the non-exhaustive statutory definition of the words “abandon” and “expose” is the notion of awareness of or recklessness in relation to risk.</w:t>
      </w:r>
    </w:p>
    <w:p w:rsidR="00A02B78" w:rsidRPr="00863359" w:rsidRDefault="00A02B78" w:rsidP="00A02B78">
      <w:pPr>
        <w:pStyle w:val="ParaNoNdepar-AltN"/>
        <w:tabs>
          <w:tab w:val="clear" w:pos="1166"/>
          <w:tab w:val="num" w:pos="1152"/>
        </w:tabs>
        <w:rPr>
          <w:rFonts w:cs="Times New Roman"/>
        </w:rPr>
      </w:pPr>
      <w:r w:rsidRPr="00863359">
        <w:rPr>
          <w:rFonts w:cs="Times New Roman"/>
        </w:rPr>
        <w:t>That brings me to the word “wilful”</w:t>
      </w:r>
      <w:r>
        <w:rPr>
          <w:rFonts w:cs="Times New Roman"/>
        </w:rPr>
        <w:t xml:space="preserve"> found in the s. 214 definition of the terms “abandon” and “expose”</w:t>
      </w:r>
      <w:r w:rsidRPr="00863359">
        <w:rPr>
          <w:rFonts w:cs="Times New Roman"/>
        </w:rPr>
        <w:t>.  Richards J.A. for the majority of the Court of Appeal placed considerable weight on</w:t>
      </w:r>
      <w:r>
        <w:rPr>
          <w:rFonts w:cs="Times New Roman"/>
        </w:rPr>
        <w:t xml:space="preserve"> s. 214’s</w:t>
      </w:r>
      <w:r w:rsidRPr="00863359">
        <w:rPr>
          <w:rFonts w:cs="Times New Roman"/>
        </w:rPr>
        <w:t xml:space="preserve"> use of the word “wilful” in concluding that subjective fault was required. The word “wilful” is often (although not always) a strong indication that intention is required: see, </w:t>
      </w:r>
      <w:r>
        <w:rPr>
          <w:rFonts w:cs="Times New Roman"/>
        </w:rPr>
        <w:t>e.g.</w:t>
      </w:r>
      <w:r w:rsidRPr="00863359">
        <w:rPr>
          <w:rFonts w:cs="Times New Roman"/>
        </w:rPr>
        <w:t xml:space="preserve">, the discussion in </w:t>
      </w:r>
      <w:r w:rsidRPr="00863359">
        <w:rPr>
          <w:rFonts w:cs="Times New Roman"/>
          <w:i/>
        </w:rPr>
        <w:t xml:space="preserve">R. v. </w:t>
      </w:r>
      <w:proofErr w:type="spellStart"/>
      <w:r w:rsidRPr="00863359">
        <w:rPr>
          <w:rFonts w:cs="Times New Roman"/>
          <w:i/>
        </w:rPr>
        <w:t>Buzzanga</w:t>
      </w:r>
      <w:proofErr w:type="spellEnd"/>
      <w:r>
        <w:rPr>
          <w:rFonts w:cs="Times New Roman"/>
          <w:i/>
        </w:rPr>
        <w:t xml:space="preserve"> </w:t>
      </w:r>
      <w:r w:rsidRPr="00863359">
        <w:rPr>
          <w:rFonts w:cs="Times New Roman"/>
        </w:rPr>
        <w:t>(1979), 25 O.R. (2d) 705</w:t>
      </w:r>
      <w:r w:rsidR="007753B1">
        <w:rPr>
          <w:rFonts w:cs="Times New Roman"/>
        </w:rPr>
        <w:t xml:space="preserve"> (C.A.)</w:t>
      </w:r>
      <w:r>
        <w:rPr>
          <w:rFonts w:cs="Times New Roman"/>
        </w:rPr>
        <w:t>,</w:t>
      </w:r>
      <w:r w:rsidRPr="00863359">
        <w:rPr>
          <w:rFonts w:cs="Times New Roman"/>
        </w:rPr>
        <w:t xml:space="preserve"> at pp. 715-17; </w:t>
      </w:r>
      <w:r w:rsidRPr="00863359">
        <w:rPr>
          <w:rFonts w:cs="Times New Roman"/>
          <w:i/>
        </w:rPr>
        <w:t>R. v.</w:t>
      </w:r>
      <w:r>
        <w:rPr>
          <w:rFonts w:cs="Times New Roman"/>
          <w:i/>
        </w:rPr>
        <w:t xml:space="preserve"> L.</w:t>
      </w:r>
      <w:r w:rsidRPr="00863359">
        <w:rPr>
          <w:rFonts w:cs="Times New Roman"/>
          <w:i/>
        </w:rPr>
        <w:t>B.</w:t>
      </w:r>
      <w:proofErr w:type="gramStart"/>
      <w:r>
        <w:rPr>
          <w:rFonts w:cs="Times New Roman"/>
        </w:rPr>
        <w:t>,</w:t>
      </w:r>
      <w:r w:rsidRPr="00863359">
        <w:rPr>
          <w:rFonts w:cs="Times New Roman"/>
          <w:i/>
        </w:rPr>
        <w:t xml:space="preserve"> </w:t>
      </w:r>
      <w:r w:rsidRPr="00863359">
        <w:rPr>
          <w:rFonts w:cs="Times New Roman"/>
        </w:rPr>
        <w:t xml:space="preserve"> 2011</w:t>
      </w:r>
      <w:proofErr w:type="gramEnd"/>
      <w:r w:rsidRPr="00863359">
        <w:rPr>
          <w:rFonts w:cs="Times New Roman"/>
        </w:rPr>
        <w:t xml:space="preserve"> ONCA 153</w:t>
      </w:r>
      <w:r>
        <w:rPr>
          <w:rFonts w:cs="Times New Roman"/>
        </w:rPr>
        <w:t>, 274 O.A.C. 365,</w:t>
      </w:r>
      <w:r w:rsidRPr="00863359">
        <w:rPr>
          <w:rFonts w:cs="Times New Roman"/>
        </w:rPr>
        <w:t xml:space="preserve"> at </w:t>
      </w:r>
      <w:proofErr w:type="spellStart"/>
      <w:r w:rsidRPr="00863359">
        <w:rPr>
          <w:rFonts w:cs="Times New Roman"/>
        </w:rPr>
        <w:t>paras</w:t>
      </w:r>
      <w:proofErr w:type="spellEnd"/>
      <w:r w:rsidRPr="00863359">
        <w:rPr>
          <w:rFonts w:cs="Times New Roman"/>
        </w:rPr>
        <w:t>. 108</w:t>
      </w:r>
      <w:r>
        <w:rPr>
          <w:rFonts w:cs="Times New Roman"/>
        </w:rPr>
        <w:t>-</w:t>
      </w:r>
      <w:r w:rsidRPr="00863359">
        <w:rPr>
          <w:rFonts w:cs="Times New Roman"/>
        </w:rPr>
        <w:t>9</w:t>
      </w:r>
      <w:r>
        <w:rPr>
          <w:rFonts w:cs="Times New Roman"/>
        </w:rPr>
        <w:t>,</w:t>
      </w:r>
      <w:r w:rsidRPr="00863359">
        <w:rPr>
          <w:rFonts w:cs="Times New Roman"/>
        </w:rPr>
        <w:t xml:space="preserve"> leave to appeal </w:t>
      </w:r>
      <w:r w:rsidR="00A51601">
        <w:rPr>
          <w:rFonts w:cs="Times New Roman"/>
        </w:rPr>
        <w:t>refused, [2011] 3</w:t>
      </w:r>
      <w:r>
        <w:rPr>
          <w:rFonts w:cs="Times New Roman"/>
        </w:rPr>
        <w:t xml:space="preserve"> S.C.R. x</w:t>
      </w:r>
      <w:proofErr w:type="gramStart"/>
      <w:r w:rsidRPr="00863359">
        <w:rPr>
          <w:rFonts w:cs="Times New Roman"/>
        </w:rPr>
        <w:t xml:space="preserve">;  </w:t>
      </w:r>
      <w:r>
        <w:rPr>
          <w:rFonts w:cs="Times New Roman"/>
          <w:i/>
        </w:rPr>
        <w:t>Manning</w:t>
      </w:r>
      <w:proofErr w:type="gramEnd"/>
      <w:r>
        <w:rPr>
          <w:rFonts w:cs="Times New Roman"/>
          <w:i/>
        </w:rPr>
        <w:t xml:space="preserve">, </w:t>
      </w:r>
      <w:proofErr w:type="spellStart"/>
      <w:r>
        <w:rPr>
          <w:rFonts w:cs="Times New Roman"/>
          <w:i/>
        </w:rPr>
        <w:t>Mewett</w:t>
      </w:r>
      <w:proofErr w:type="spellEnd"/>
      <w:r>
        <w:rPr>
          <w:rFonts w:cs="Times New Roman"/>
          <w:i/>
        </w:rPr>
        <w:t xml:space="preserve"> &amp;</w:t>
      </w:r>
      <w:r w:rsidRPr="003A5308">
        <w:rPr>
          <w:rFonts w:cs="Times New Roman"/>
          <w:i/>
        </w:rPr>
        <w:t xml:space="preserve"> </w:t>
      </w:r>
      <w:proofErr w:type="spellStart"/>
      <w:r w:rsidRPr="003A5308">
        <w:rPr>
          <w:rFonts w:cs="Times New Roman"/>
          <w:i/>
        </w:rPr>
        <w:t>Sankoff</w:t>
      </w:r>
      <w:proofErr w:type="spellEnd"/>
      <w:r>
        <w:rPr>
          <w:rFonts w:cs="Times New Roman"/>
          <w:i/>
        </w:rPr>
        <w:t>: Criminal Law</w:t>
      </w:r>
      <w:r>
        <w:rPr>
          <w:rFonts w:cs="Times New Roman"/>
        </w:rPr>
        <w:t>, at pp. 149-</w:t>
      </w:r>
      <w:r w:rsidRPr="00863359">
        <w:rPr>
          <w:rFonts w:cs="Times New Roman"/>
        </w:rPr>
        <w:t xml:space="preserve">50. While the word is used here only in </w:t>
      </w:r>
      <w:r w:rsidRPr="00863359">
        <w:rPr>
          <w:rFonts w:cs="Times New Roman"/>
        </w:rPr>
        <w:lastRenderedPageBreak/>
        <w:t xml:space="preserve">the non-exhaustive definition of the words “abandon” and “expose” and only in relation to omissions, I agree with Richards J.A. that a wilful omission is the antithesis of a crime involving a mere failure to act in accordance with some minimum level of behaviour. If Parliament had meant to include in the terms </w:t>
      </w:r>
      <w:r>
        <w:rPr>
          <w:rFonts w:cs="Times New Roman"/>
        </w:rPr>
        <w:t>“</w:t>
      </w:r>
      <w:r w:rsidRPr="00863359">
        <w:rPr>
          <w:rFonts w:cs="Times New Roman"/>
        </w:rPr>
        <w:t>abandon</w:t>
      </w:r>
      <w:r>
        <w:rPr>
          <w:rFonts w:cs="Times New Roman"/>
        </w:rPr>
        <w:t>”</w:t>
      </w:r>
      <w:r w:rsidRPr="00863359">
        <w:rPr>
          <w:rFonts w:cs="Times New Roman"/>
        </w:rPr>
        <w:t xml:space="preserve"> and </w:t>
      </w:r>
      <w:r>
        <w:rPr>
          <w:rFonts w:cs="Times New Roman"/>
        </w:rPr>
        <w:t>“expose”</w:t>
      </w:r>
      <w:r w:rsidRPr="00863359">
        <w:rPr>
          <w:rFonts w:cs="Times New Roman"/>
        </w:rPr>
        <w:t xml:space="preserve"> situation</w:t>
      </w:r>
      <w:r>
        <w:rPr>
          <w:rFonts w:cs="Times New Roman"/>
        </w:rPr>
        <w:t>s in which there is no more than</w:t>
      </w:r>
      <w:r w:rsidRPr="00863359">
        <w:rPr>
          <w:rFonts w:cs="Times New Roman"/>
        </w:rPr>
        <w:t xml:space="preserve"> a failure to meet a standard of reasonable conduct, it would not make sense to require that omissions to observe that standard would have to be “wilful”:  C</w:t>
      </w:r>
      <w:r>
        <w:rPr>
          <w:rFonts w:cs="Times New Roman"/>
        </w:rPr>
        <w:t>.</w:t>
      </w:r>
      <w:r w:rsidRPr="00863359">
        <w:rPr>
          <w:rFonts w:cs="Times New Roman"/>
        </w:rPr>
        <w:t>A</w:t>
      </w:r>
      <w:r>
        <w:rPr>
          <w:rFonts w:cs="Times New Roman"/>
        </w:rPr>
        <w:t>.,</w:t>
      </w:r>
      <w:r w:rsidRPr="00863359">
        <w:rPr>
          <w:rFonts w:cs="Times New Roman"/>
        </w:rPr>
        <w:t xml:space="preserve"> </w:t>
      </w:r>
      <w:r>
        <w:rPr>
          <w:rFonts w:cs="Times New Roman"/>
        </w:rPr>
        <w:t xml:space="preserve">at </w:t>
      </w:r>
      <w:proofErr w:type="spellStart"/>
      <w:r w:rsidRPr="00863359">
        <w:rPr>
          <w:rFonts w:cs="Times New Roman"/>
        </w:rPr>
        <w:t>paras</w:t>
      </w:r>
      <w:proofErr w:type="spellEnd"/>
      <w:r w:rsidRPr="00863359">
        <w:rPr>
          <w:rFonts w:cs="Times New Roman"/>
        </w:rPr>
        <w:t>.</w:t>
      </w:r>
      <w:r>
        <w:rPr>
          <w:rFonts w:cs="Times New Roman"/>
        </w:rPr>
        <w:t xml:space="preserve"> 66-</w:t>
      </w:r>
      <w:r w:rsidRPr="00863359">
        <w:rPr>
          <w:rFonts w:cs="Times New Roman"/>
        </w:rPr>
        <w:t xml:space="preserve">67. </w:t>
      </w:r>
    </w:p>
    <w:p w:rsidR="00A02B78" w:rsidRPr="00863359" w:rsidRDefault="000013D3" w:rsidP="000013D3">
      <w:pPr>
        <w:pStyle w:val="TitleTitre-AltT"/>
        <w:tabs>
          <w:tab w:val="left" w:pos="1710"/>
        </w:tabs>
        <w:ind w:firstLine="810"/>
        <w:rPr>
          <w:rFonts w:cs="Times New Roman"/>
        </w:rPr>
      </w:pPr>
      <w:r>
        <w:rPr>
          <w:rFonts w:cs="Times New Roman"/>
        </w:rPr>
        <w:t>2.</w:t>
      </w:r>
      <w:r>
        <w:rPr>
          <w:rFonts w:cs="Times New Roman"/>
        </w:rPr>
        <w:tab/>
      </w:r>
      <w:r w:rsidR="00A02B78" w:rsidRPr="000013D3">
        <w:rPr>
          <w:rFonts w:cs="Times New Roman"/>
          <w:u w:val="single"/>
        </w:rPr>
        <w:t>The Word “Likely” Does Not Suggest Objective Fault</w:t>
      </w:r>
      <w:r w:rsidR="00A02B78" w:rsidRPr="00863359">
        <w:rPr>
          <w:rFonts w:cs="Times New Roman"/>
        </w:rPr>
        <w:t xml:space="preserve"> </w:t>
      </w:r>
    </w:p>
    <w:p w:rsidR="00A02B78" w:rsidRPr="00863359" w:rsidRDefault="00A02B78" w:rsidP="00A02B78">
      <w:pPr>
        <w:pStyle w:val="ParaNoNdepar-AltN"/>
        <w:tabs>
          <w:tab w:val="clear" w:pos="1166"/>
          <w:tab w:val="num" w:pos="1152"/>
        </w:tabs>
        <w:rPr>
          <w:rFonts w:cs="Times New Roman"/>
        </w:rPr>
      </w:pPr>
      <w:proofErr w:type="spellStart"/>
      <w:r w:rsidRPr="00863359">
        <w:rPr>
          <w:rFonts w:cs="Times New Roman"/>
        </w:rPr>
        <w:t>Ottenbreit</w:t>
      </w:r>
      <w:proofErr w:type="spellEnd"/>
      <w:r w:rsidRPr="00863359">
        <w:rPr>
          <w:rFonts w:cs="Times New Roman"/>
        </w:rPr>
        <w:t xml:space="preserve"> J.A., in deciding that only objective fault was required, placed considerable weight </w:t>
      </w:r>
      <w:r>
        <w:rPr>
          <w:rFonts w:cs="Times New Roman"/>
        </w:rPr>
        <w:t xml:space="preserve">on </w:t>
      </w:r>
      <w:r w:rsidRPr="00863359">
        <w:rPr>
          <w:rFonts w:cs="Times New Roman"/>
        </w:rPr>
        <w:t>the use of the word “likely” in the non-exhaustive definition of the terms “abandon” or “expose” in s. 214</w:t>
      </w:r>
      <w:r>
        <w:rPr>
          <w:rFonts w:cs="Times New Roman"/>
        </w:rPr>
        <w:t xml:space="preserve">: </w:t>
      </w:r>
      <w:proofErr w:type="spellStart"/>
      <w:r>
        <w:rPr>
          <w:rFonts w:cs="Times New Roman"/>
        </w:rPr>
        <w:t>para</w:t>
      </w:r>
      <w:proofErr w:type="spellEnd"/>
      <w:r>
        <w:rPr>
          <w:rFonts w:cs="Times New Roman"/>
        </w:rPr>
        <w:t>. (</w:t>
      </w:r>
      <w:r>
        <w:rPr>
          <w:rFonts w:cs="Times New Roman"/>
          <w:i/>
        </w:rPr>
        <w:t>b</w:t>
      </w:r>
      <w:r>
        <w:rPr>
          <w:rFonts w:cs="Times New Roman"/>
        </w:rPr>
        <w:t xml:space="preserve">) </w:t>
      </w:r>
      <w:proofErr w:type="gramStart"/>
      <w:r>
        <w:rPr>
          <w:rFonts w:cs="Times New Roman"/>
        </w:rPr>
        <w:t>of</w:t>
      </w:r>
      <w:proofErr w:type="gramEnd"/>
      <w:r>
        <w:rPr>
          <w:rFonts w:cs="Times New Roman"/>
        </w:rPr>
        <w:t xml:space="preserve"> definition </w:t>
      </w:r>
      <w:r w:rsidRPr="00322CA4">
        <w:rPr>
          <w:rStyle w:val="st"/>
          <w:rFonts w:cs="Times New Roman"/>
          <w:color w:val="222222"/>
        </w:rPr>
        <w:t>—</w:t>
      </w:r>
      <w:r w:rsidRPr="00863359">
        <w:rPr>
          <w:rFonts w:cs="Times New Roman"/>
        </w:rPr>
        <w:t xml:space="preserve"> that is, “dealing with a child in a manner that is likely to leav</w:t>
      </w:r>
      <w:r>
        <w:rPr>
          <w:rFonts w:cs="Times New Roman"/>
        </w:rPr>
        <w:t>e that child exposed to risk</w:t>
      </w:r>
      <w:r w:rsidRPr="00863359">
        <w:rPr>
          <w:rFonts w:cs="Times New Roman"/>
        </w:rPr>
        <w:t>”. As he put it, “[t]he terms ‘in a manner</w:t>
      </w:r>
      <w:r w:rsidR="000013D3">
        <w:rPr>
          <w:rFonts w:cs="Times New Roman"/>
        </w:rPr>
        <w:t xml:space="preserve"> . . .</w:t>
      </w:r>
      <w:r>
        <w:rPr>
          <w:rFonts w:cs="Times New Roman"/>
        </w:rPr>
        <w:t xml:space="preserve"> </w:t>
      </w:r>
      <w:r w:rsidRPr="00863359">
        <w:rPr>
          <w:rFonts w:cs="Times New Roman"/>
        </w:rPr>
        <w:t>likely</w:t>
      </w:r>
      <w:r>
        <w:rPr>
          <w:rFonts w:cs="Times New Roman"/>
        </w:rPr>
        <w:t xml:space="preserve"> . . .</w:t>
      </w:r>
      <w:r w:rsidRPr="00863359">
        <w:rPr>
          <w:rFonts w:cs="Times New Roman"/>
        </w:rPr>
        <w:t>’ .</w:t>
      </w:r>
      <w:r>
        <w:rPr>
          <w:rFonts w:cs="Times New Roman"/>
        </w:rPr>
        <w:t xml:space="preserve"> </w:t>
      </w:r>
      <w:r w:rsidRPr="00863359">
        <w:rPr>
          <w:rFonts w:cs="Times New Roman"/>
        </w:rPr>
        <w:t>.</w:t>
      </w:r>
      <w:r>
        <w:rPr>
          <w:rFonts w:cs="Times New Roman"/>
        </w:rPr>
        <w:t xml:space="preserve"> </w:t>
      </w:r>
      <w:r w:rsidRPr="00863359">
        <w:rPr>
          <w:rFonts w:cs="Times New Roman"/>
        </w:rPr>
        <w:t>.</w:t>
      </w:r>
      <w:r>
        <w:rPr>
          <w:rFonts w:cs="Times New Roman"/>
        </w:rPr>
        <w:t xml:space="preserve"> </w:t>
      </w:r>
      <w:r w:rsidRPr="00863359">
        <w:rPr>
          <w:rFonts w:cs="Times New Roman"/>
        </w:rPr>
        <w:t xml:space="preserve"> speak of the societal rather than </w:t>
      </w:r>
      <w:r>
        <w:rPr>
          <w:rFonts w:cs="Times New Roman"/>
        </w:rPr>
        <w:t>a personal standard of conduct</w:t>
      </w:r>
      <w:r w:rsidR="000013D3">
        <w:rPr>
          <w:rFonts w:cs="Times New Roman"/>
        </w:rPr>
        <w:t>” (</w:t>
      </w:r>
      <w:proofErr w:type="spellStart"/>
      <w:r w:rsidRPr="00863359">
        <w:rPr>
          <w:rFonts w:cs="Times New Roman"/>
        </w:rPr>
        <w:t>para</w:t>
      </w:r>
      <w:proofErr w:type="spellEnd"/>
      <w:r w:rsidRPr="00863359">
        <w:rPr>
          <w:rFonts w:cs="Times New Roman"/>
        </w:rPr>
        <w:t>. 32</w:t>
      </w:r>
      <w:r w:rsidR="000013D3">
        <w:rPr>
          <w:rFonts w:cs="Times New Roman"/>
        </w:rPr>
        <w:t>)</w:t>
      </w:r>
      <w:r w:rsidRPr="00863359">
        <w:rPr>
          <w:rFonts w:cs="Times New Roman"/>
        </w:rPr>
        <w:t xml:space="preserve">. However, I do not think that the word </w:t>
      </w:r>
      <w:r w:rsidR="000013D3">
        <w:rPr>
          <w:rFonts w:cs="Times New Roman"/>
        </w:rPr>
        <w:t>“</w:t>
      </w:r>
      <w:r w:rsidRPr="00863359">
        <w:rPr>
          <w:rFonts w:cs="Times New Roman"/>
        </w:rPr>
        <w:t>likely</w:t>
      </w:r>
      <w:r w:rsidR="000013D3">
        <w:rPr>
          <w:rFonts w:cs="Times New Roman"/>
        </w:rPr>
        <w:t>”</w:t>
      </w:r>
      <w:r w:rsidRPr="00863359">
        <w:rPr>
          <w:rFonts w:cs="Times New Roman"/>
        </w:rPr>
        <w:t xml:space="preserve"> in this context is an indication of legislative intent to require only objective fault, for two reasons.</w:t>
      </w:r>
    </w:p>
    <w:p w:rsidR="00A02B78" w:rsidRPr="00863359" w:rsidRDefault="00A02B78" w:rsidP="00A02B78">
      <w:pPr>
        <w:pStyle w:val="ParaNoNdepar-AltN"/>
        <w:tabs>
          <w:tab w:val="clear" w:pos="1166"/>
          <w:tab w:val="num" w:pos="1152"/>
        </w:tabs>
        <w:rPr>
          <w:rFonts w:cs="Times New Roman"/>
        </w:rPr>
      </w:pPr>
      <w:r w:rsidRPr="00863359">
        <w:rPr>
          <w:rFonts w:cs="Times New Roman"/>
        </w:rPr>
        <w:t xml:space="preserve">The French version of the </w:t>
      </w:r>
      <w:r>
        <w:rPr>
          <w:rFonts w:cs="Times New Roman"/>
        </w:rPr>
        <w:t xml:space="preserve">s. 214 definition </w:t>
      </w:r>
      <w:r w:rsidRPr="00863359">
        <w:rPr>
          <w:rFonts w:cs="Times New Roman"/>
        </w:rPr>
        <w:t>uses the terms “</w:t>
      </w:r>
      <w:proofErr w:type="spellStart"/>
      <w:r w:rsidRPr="00863359">
        <w:rPr>
          <w:rFonts w:cs="Times New Roman"/>
          <w:i/>
        </w:rPr>
        <w:t>pouvant</w:t>
      </w:r>
      <w:proofErr w:type="spellEnd"/>
      <w:r w:rsidRPr="00863359">
        <w:rPr>
          <w:rFonts w:cs="Times New Roman"/>
          <w:i/>
        </w:rPr>
        <w:t xml:space="preserve"> </w:t>
      </w:r>
      <w:proofErr w:type="spellStart"/>
      <w:r w:rsidRPr="00863359">
        <w:rPr>
          <w:rFonts w:cs="Times New Roman"/>
          <w:i/>
        </w:rPr>
        <w:t>l’exposer</w:t>
      </w:r>
      <w:proofErr w:type="spellEnd"/>
      <w:r>
        <w:rPr>
          <w:rFonts w:cs="Times New Roman"/>
        </w:rPr>
        <w:t xml:space="preserve">” </w:t>
      </w:r>
      <w:r w:rsidRPr="00863359">
        <w:rPr>
          <w:rFonts w:cs="Times New Roman"/>
        </w:rPr>
        <w:t xml:space="preserve">and </w:t>
      </w:r>
      <w:r>
        <w:rPr>
          <w:rFonts w:cs="Times New Roman"/>
        </w:rPr>
        <w:t xml:space="preserve">the French version of the s. 218 offence uses the terms </w:t>
      </w:r>
      <w:r w:rsidRPr="00863359">
        <w:rPr>
          <w:rFonts w:cs="Times New Roman"/>
        </w:rPr>
        <w:t>“</w:t>
      </w:r>
      <w:proofErr w:type="spellStart"/>
      <w:r w:rsidRPr="00863359">
        <w:rPr>
          <w:rFonts w:cs="Times New Roman"/>
          <w:i/>
        </w:rPr>
        <w:t>exposé</w:t>
      </w:r>
      <w:r>
        <w:rPr>
          <w:rFonts w:cs="Times New Roman"/>
          <w:i/>
        </w:rPr>
        <w:t>e</w:t>
      </w:r>
      <w:proofErr w:type="spellEnd"/>
      <w:r>
        <w:rPr>
          <w:rFonts w:cs="Times New Roman"/>
          <w:i/>
        </w:rPr>
        <w:t xml:space="preserve"> à</w:t>
      </w:r>
      <w:r w:rsidRPr="00863359">
        <w:rPr>
          <w:rFonts w:cs="Times New Roman"/>
          <w:i/>
        </w:rPr>
        <w:t xml:space="preserve"> </w:t>
      </w:r>
      <w:proofErr w:type="spellStart"/>
      <w:r w:rsidRPr="00863359">
        <w:rPr>
          <w:rFonts w:cs="Times New Roman"/>
          <w:i/>
        </w:rPr>
        <w:t>l’être</w:t>
      </w:r>
      <w:proofErr w:type="spellEnd"/>
      <w:r w:rsidRPr="00863359">
        <w:rPr>
          <w:rFonts w:cs="Times New Roman"/>
        </w:rPr>
        <w:t xml:space="preserve">”. The French wording suggests that the focus is on the outcome of the conduct rather than on the standard of care. This makes it clear that the English word “likely” serves the same purpose. Moreover, as I have discussed, the purpose of the child </w:t>
      </w:r>
      <w:r w:rsidRPr="00863359">
        <w:rPr>
          <w:rFonts w:cs="Times New Roman"/>
        </w:rPr>
        <w:lastRenderedPageBreak/>
        <w:t xml:space="preserve">abandonment offence is to criminalize </w:t>
      </w:r>
      <w:r>
        <w:rPr>
          <w:rFonts w:cs="Times New Roman"/>
        </w:rPr>
        <w:t xml:space="preserve">the </w:t>
      </w:r>
      <w:r w:rsidRPr="00863359">
        <w:rPr>
          <w:rFonts w:cs="Times New Roman"/>
        </w:rPr>
        <w:t xml:space="preserve">creation of the risk of harm; it makes it an offence to expose or abandon a child such that its life or health is put at serious risk even if no harm actually results. This is consistent with the well-established view that the criminal law may properly be aimed at preventing the risk of serious harm: see, </w:t>
      </w:r>
      <w:r>
        <w:rPr>
          <w:rFonts w:cs="Times New Roman"/>
        </w:rPr>
        <w:t>e.g.</w:t>
      </w:r>
      <w:r w:rsidRPr="00863359">
        <w:rPr>
          <w:rFonts w:cs="Times New Roman"/>
        </w:rPr>
        <w:t xml:space="preserve">, </w:t>
      </w:r>
      <w:r w:rsidRPr="00863359">
        <w:rPr>
          <w:rFonts w:cs="Times New Roman"/>
          <w:i/>
        </w:rPr>
        <w:t>R. v.</w:t>
      </w:r>
      <w:r w:rsidRPr="00863359">
        <w:rPr>
          <w:rFonts w:cs="Times New Roman"/>
        </w:rPr>
        <w:t xml:space="preserve"> </w:t>
      </w:r>
      <w:proofErr w:type="spellStart"/>
      <w:r w:rsidRPr="00863359">
        <w:rPr>
          <w:rFonts w:cs="Times New Roman"/>
          <w:i/>
        </w:rPr>
        <w:t>Keegstra</w:t>
      </w:r>
      <w:proofErr w:type="spellEnd"/>
      <w:r w:rsidRPr="003A5308">
        <w:rPr>
          <w:rFonts w:cs="Times New Roman"/>
        </w:rPr>
        <w:t>,</w:t>
      </w:r>
      <w:r w:rsidRPr="00863359">
        <w:rPr>
          <w:rFonts w:cs="Times New Roman"/>
          <w:i/>
        </w:rPr>
        <w:t xml:space="preserve"> </w:t>
      </w:r>
      <w:r w:rsidRPr="00863359">
        <w:rPr>
          <w:rFonts w:cs="Times New Roman"/>
        </w:rPr>
        <w:t>[1990] 3 S.C.R. 697</w:t>
      </w:r>
      <w:r>
        <w:rPr>
          <w:rFonts w:cs="Times New Roman"/>
        </w:rPr>
        <w:t>,</w:t>
      </w:r>
      <w:r w:rsidRPr="00863359">
        <w:rPr>
          <w:rFonts w:cs="Times New Roman"/>
        </w:rPr>
        <w:t xml:space="preserve"> at p. 776; </w:t>
      </w:r>
      <w:r w:rsidRPr="00863359">
        <w:rPr>
          <w:rFonts w:cs="Times New Roman"/>
          <w:i/>
        </w:rPr>
        <w:t>Lucas</w:t>
      </w:r>
      <w:r>
        <w:rPr>
          <w:rFonts w:cs="Times New Roman"/>
        </w:rPr>
        <w:t>,</w:t>
      </w:r>
      <w:r w:rsidRPr="00863359">
        <w:rPr>
          <w:rFonts w:cs="Times New Roman"/>
        </w:rPr>
        <w:t xml:space="preserve"> at </w:t>
      </w:r>
      <w:proofErr w:type="spellStart"/>
      <w:r w:rsidRPr="00863359">
        <w:rPr>
          <w:rFonts w:cs="Times New Roman"/>
        </w:rPr>
        <w:t>para</w:t>
      </w:r>
      <w:proofErr w:type="spellEnd"/>
      <w:r w:rsidRPr="00863359">
        <w:rPr>
          <w:rFonts w:cs="Times New Roman"/>
        </w:rPr>
        <w:t>. 8</w:t>
      </w:r>
      <w:r>
        <w:rPr>
          <w:rFonts w:cs="Times New Roman"/>
        </w:rPr>
        <w:t>3</w:t>
      </w:r>
      <w:r w:rsidRPr="00863359">
        <w:rPr>
          <w:rFonts w:cs="Times New Roman"/>
        </w:rPr>
        <w:t xml:space="preserve">.  The word </w:t>
      </w:r>
      <w:r>
        <w:rPr>
          <w:rFonts w:cs="Times New Roman"/>
        </w:rPr>
        <w:t>“</w:t>
      </w:r>
      <w:r w:rsidRPr="00863359">
        <w:rPr>
          <w:rFonts w:cs="Times New Roman"/>
        </w:rPr>
        <w:t>likely</w:t>
      </w:r>
      <w:r>
        <w:rPr>
          <w:rFonts w:cs="Times New Roman"/>
        </w:rPr>
        <w:t>”</w:t>
      </w:r>
      <w:r w:rsidRPr="00863359">
        <w:rPr>
          <w:rFonts w:cs="Times New Roman"/>
        </w:rPr>
        <w:t>, as it is used</w:t>
      </w:r>
      <w:r>
        <w:rPr>
          <w:rFonts w:cs="Times New Roman"/>
        </w:rPr>
        <w:t xml:space="preserve"> in both the s. 214 definition </w:t>
      </w:r>
      <w:r w:rsidRPr="00863359">
        <w:rPr>
          <w:rFonts w:cs="Times New Roman"/>
        </w:rPr>
        <w:t>and in the offence provision itself (s. 218)</w:t>
      </w:r>
      <w:r w:rsidR="000013D3">
        <w:rPr>
          <w:rFonts w:cs="Times New Roman"/>
        </w:rPr>
        <w:t>,</w:t>
      </w:r>
      <w:r w:rsidRPr="00863359">
        <w:rPr>
          <w:rFonts w:cs="Times New Roman"/>
        </w:rPr>
        <w:t xml:space="preserve"> is consistent with this preventive purpose. This purpose of criminalizing the creation of a serious risk of harm is not at all inconsistent with a r</w:t>
      </w:r>
      <w:r>
        <w:rPr>
          <w:rFonts w:cs="Times New Roman"/>
        </w:rPr>
        <w:t xml:space="preserve">equirement of subjective fault </w:t>
      </w:r>
      <w:r w:rsidRPr="00322CA4">
        <w:rPr>
          <w:rStyle w:val="st"/>
          <w:rFonts w:cs="Times New Roman"/>
          <w:color w:val="222222"/>
        </w:rPr>
        <w:t>—</w:t>
      </w:r>
      <w:r w:rsidRPr="00863359">
        <w:rPr>
          <w:rFonts w:cs="Times New Roman"/>
        </w:rPr>
        <w:t xml:space="preserve"> that is, actual </w:t>
      </w:r>
      <w:r>
        <w:rPr>
          <w:rFonts w:cs="Times New Roman"/>
        </w:rPr>
        <w:t xml:space="preserve">knowledge of the risk of harm </w:t>
      </w:r>
      <w:r w:rsidRPr="00322CA4">
        <w:rPr>
          <w:rStyle w:val="st"/>
          <w:rFonts w:cs="Times New Roman"/>
          <w:color w:val="222222"/>
        </w:rPr>
        <w:t>—</w:t>
      </w:r>
      <w:r w:rsidRPr="00863359">
        <w:rPr>
          <w:rFonts w:cs="Times New Roman"/>
        </w:rPr>
        <w:t xml:space="preserve"> as is clear from the Court’s decision in</w:t>
      </w:r>
      <w:r w:rsidRPr="00863359">
        <w:rPr>
          <w:rFonts w:cs="Times New Roman"/>
          <w:i/>
        </w:rPr>
        <w:t xml:space="preserve"> Lucas.</w:t>
      </w:r>
      <w:r w:rsidRPr="00863359">
        <w:rPr>
          <w:rFonts w:cs="Times New Roman"/>
        </w:rPr>
        <w:t xml:space="preserve"> </w:t>
      </w:r>
    </w:p>
    <w:p w:rsidR="00A02B78" w:rsidRPr="00863359" w:rsidRDefault="00A02B78" w:rsidP="00A02B78">
      <w:pPr>
        <w:pStyle w:val="ParaNoNdepar-AltN"/>
        <w:tabs>
          <w:tab w:val="clear" w:pos="1166"/>
          <w:tab w:val="num" w:pos="1152"/>
        </w:tabs>
        <w:rPr>
          <w:rFonts w:cs="Times New Roman"/>
        </w:rPr>
      </w:pPr>
      <w:r w:rsidRPr="00863359">
        <w:rPr>
          <w:rFonts w:cs="Times New Roman"/>
          <w:i/>
        </w:rPr>
        <w:t xml:space="preserve">Lucas </w:t>
      </w:r>
      <w:r w:rsidRPr="00863359">
        <w:rPr>
          <w:rFonts w:cs="Times New Roman"/>
        </w:rPr>
        <w:t xml:space="preserve">concerned the fault element of publishing a defamatory libel under s. 300 of the </w:t>
      </w:r>
      <w:r w:rsidRPr="003A5308">
        <w:rPr>
          <w:rFonts w:cs="Times New Roman"/>
          <w:i/>
        </w:rPr>
        <w:t>Code</w:t>
      </w:r>
      <w:r w:rsidRPr="00863359">
        <w:rPr>
          <w:rFonts w:cs="Times New Roman"/>
        </w:rPr>
        <w:t xml:space="preserve">. A defamatory libel is defined in s. 298 to be </w:t>
      </w:r>
      <w:r>
        <w:rPr>
          <w:rFonts w:cs="Times New Roman"/>
        </w:rPr>
        <w:t>a “</w:t>
      </w:r>
      <w:r w:rsidRPr="00863359">
        <w:rPr>
          <w:rFonts w:cs="Times New Roman"/>
        </w:rPr>
        <w:t>matter published .</w:t>
      </w:r>
      <w:r>
        <w:rPr>
          <w:rFonts w:cs="Times New Roman"/>
        </w:rPr>
        <w:t xml:space="preserve"> </w:t>
      </w:r>
      <w:r w:rsidRPr="00863359">
        <w:rPr>
          <w:rFonts w:cs="Times New Roman"/>
        </w:rPr>
        <w:t>.</w:t>
      </w:r>
      <w:r>
        <w:rPr>
          <w:rFonts w:cs="Times New Roman"/>
        </w:rPr>
        <w:t xml:space="preserve"> </w:t>
      </w:r>
      <w:r w:rsidRPr="00863359">
        <w:rPr>
          <w:rFonts w:cs="Times New Roman"/>
        </w:rPr>
        <w:t>. that is likely to injure the reputation of any person”.  The Court held that the fault element of the offence requires proof that the accused knew that the published material was defamatory, in other words, that it was “likely to injure</w:t>
      </w:r>
      <w:r>
        <w:rPr>
          <w:rFonts w:cs="Times New Roman"/>
        </w:rPr>
        <w:t xml:space="preserve"> the reputation of any person</w:t>
      </w:r>
      <w:r w:rsidRPr="00863359">
        <w:rPr>
          <w:rFonts w:cs="Times New Roman"/>
        </w:rPr>
        <w:t>”</w:t>
      </w:r>
      <w:r>
        <w:rPr>
          <w:rFonts w:cs="Times New Roman"/>
        </w:rPr>
        <w:t>,</w:t>
      </w:r>
      <w:r w:rsidRPr="00863359">
        <w:rPr>
          <w:rFonts w:cs="Times New Roman"/>
        </w:rPr>
        <w:t xml:space="preserve"> </w:t>
      </w:r>
      <w:r w:rsidRPr="003A5308">
        <w:rPr>
          <w:rFonts w:cs="Times New Roman"/>
          <w:i/>
        </w:rPr>
        <w:t>per</w:t>
      </w:r>
      <w:r w:rsidRPr="00863359">
        <w:rPr>
          <w:rFonts w:cs="Times New Roman"/>
        </w:rPr>
        <w:t xml:space="preserve"> Cory J.</w:t>
      </w:r>
      <w:r>
        <w:rPr>
          <w:rFonts w:cs="Times New Roman"/>
        </w:rPr>
        <w:t xml:space="preserve">, at </w:t>
      </w:r>
      <w:proofErr w:type="spellStart"/>
      <w:r>
        <w:rPr>
          <w:rFonts w:cs="Times New Roman"/>
        </w:rPr>
        <w:t>paras</w:t>
      </w:r>
      <w:proofErr w:type="spellEnd"/>
      <w:r>
        <w:rPr>
          <w:rFonts w:cs="Times New Roman"/>
        </w:rPr>
        <w:t>. 30 and 67-</w:t>
      </w:r>
      <w:r w:rsidRPr="00863359">
        <w:rPr>
          <w:rFonts w:cs="Times New Roman"/>
        </w:rPr>
        <w:t xml:space="preserve">68. Thus, the term “likely to injure the reputation” was found to require proof of subjective fault, i.e. that the accused actually knew of the risk of injury to reputation. </w:t>
      </w:r>
    </w:p>
    <w:p w:rsidR="00A02B78" w:rsidRPr="00863359" w:rsidRDefault="00A02B78" w:rsidP="00A02B78">
      <w:pPr>
        <w:pStyle w:val="ParaNoNdepar-AltN"/>
        <w:tabs>
          <w:tab w:val="clear" w:pos="1166"/>
          <w:tab w:val="num" w:pos="1152"/>
        </w:tabs>
        <w:rPr>
          <w:rFonts w:cs="Times New Roman"/>
        </w:rPr>
      </w:pPr>
      <w:r w:rsidRPr="00863359">
        <w:rPr>
          <w:rFonts w:cs="Times New Roman"/>
        </w:rPr>
        <w:t>I therefore conclude that t</w:t>
      </w:r>
      <w:r>
        <w:rPr>
          <w:rFonts w:cs="Times New Roman"/>
        </w:rPr>
        <w:t xml:space="preserve">he use of the word “likely” in </w:t>
      </w:r>
      <w:r w:rsidRPr="00863359">
        <w:rPr>
          <w:rFonts w:cs="Times New Roman"/>
        </w:rPr>
        <w:t xml:space="preserve">s. 214 (and </w:t>
      </w:r>
      <w:r>
        <w:rPr>
          <w:rFonts w:cs="Times New Roman"/>
        </w:rPr>
        <w:t xml:space="preserve">s. </w:t>
      </w:r>
      <w:r w:rsidRPr="00863359">
        <w:rPr>
          <w:rFonts w:cs="Times New Roman"/>
        </w:rPr>
        <w:t>218) does not suggest an objective fault element; it does not</w:t>
      </w:r>
      <w:r w:rsidR="000013D3">
        <w:rPr>
          <w:rFonts w:cs="Times New Roman"/>
        </w:rPr>
        <w:t>,</w:t>
      </w:r>
      <w:r w:rsidRPr="00863359">
        <w:rPr>
          <w:rFonts w:cs="Times New Roman"/>
        </w:rPr>
        <w:t xml:space="preserve"> as I see it</w:t>
      </w:r>
      <w:r w:rsidR="000013D3">
        <w:rPr>
          <w:rFonts w:cs="Times New Roman"/>
        </w:rPr>
        <w:t>,</w:t>
      </w:r>
      <w:r w:rsidRPr="00863359">
        <w:rPr>
          <w:rFonts w:cs="Times New Roman"/>
        </w:rPr>
        <w:t xml:space="preserve"> speak of a societal rather than a personal standard of conduct.   As in </w:t>
      </w:r>
      <w:r w:rsidRPr="00863359">
        <w:rPr>
          <w:rFonts w:cs="Times New Roman"/>
          <w:i/>
        </w:rPr>
        <w:t>Lucas</w:t>
      </w:r>
      <w:r w:rsidRPr="00863359">
        <w:rPr>
          <w:rFonts w:cs="Times New Roman"/>
        </w:rPr>
        <w:t xml:space="preserve">, the use of the word </w:t>
      </w:r>
      <w:r w:rsidRPr="00863359">
        <w:rPr>
          <w:rFonts w:cs="Times New Roman"/>
        </w:rPr>
        <w:lastRenderedPageBreak/>
        <w:t xml:space="preserve">“likely” is simply aimed at criminalizing the creation of risk and, as in </w:t>
      </w:r>
      <w:proofErr w:type="gramStart"/>
      <w:r w:rsidRPr="00863359">
        <w:rPr>
          <w:rFonts w:cs="Times New Roman"/>
          <w:i/>
        </w:rPr>
        <w:t>Lucas</w:t>
      </w:r>
      <w:r w:rsidRPr="000C1B71">
        <w:rPr>
          <w:rFonts w:cs="Times New Roman"/>
        </w:rPr>
        <w:t>,</w:t>
      </w:r>
      <w:proofErr w:type="gramEnd"/>
      <w:r w:rsidRPr="000C1B71">
        <w:rPr>
          <w:rFonts w:cs="Times New Roman"/>
        </w:rPr>
        <w:t xml:space="preserve"> </w:t>
      </w:r>
      <w:r w:rsidRPr="00863359">
        <w:rPr>
          <w:rFonts w:cs="Times New Roman"/>
        </w:rPr>
        <w:t xml:space="preserve">the fault element may require knowledge of that risk. </w:t>
      </w:r>
    </w:p>
    <w:p w:rsidR="00A02B78" w:rsidRPr="000C1B71" w:rsidRDefault="000013D3" w:rsidP="000013D3">
      <w:pPr>
        <w:pStyle w:val="ParaNoNdepar-AltN"/>
        <w:numPr>
          <w:ilvl w:val="0"/>
          <w:numId w:val="0"/>
        </w:numPr>
        <w:tabs>
          <w:tab w:val="left" w:pos="1170"/>
        </w:tabs>
        <w:spacing w:line="240" w:lineRule="auto"/>
        <w:ind w:left="1710" w:hanging="1710"/>
        <w:rPr>
          <w:rFonts w:cs="Times New Roman"/>
          <w:i/>
        </w:rPr>
      </w:pPr>
      <w:r>
        <w:rPr>
          <w:rFonts w:cs="Times New Roman"/>
        </w:rPr>
        <w:tab/>
        <w:t>3.</w:t>
      </w:r>
      <w:r w:rsidR="00A02B78" w:rsidRPr="00863359">
        <w:rPr>
          <w:rFonts w:cs="Times New Roman"/>
        </w:rPr>
        <w:tab/>
      </w:r>
      <w:r w:rsidR="00A02B78" w:rsidRPr="000013D3">
        <w:rPr>
          <w:rFonts w:cs="Times New Roman"/>
          <w:u w:val="single"/>
        </w:rPr>
        <w:t xml:space="preserve">What Is Not in the Text and the Scheme of the </w:t>
      </w:r>
      <w:r w:rsidR="00A02B78" w:rsidRPr="00091E9F">
        <w:rPr>
          <w:rFonts w:cs="Times New Roman"/>
          <w:i/>
          <w:u w:val="single"/>
        </w:rPr>
        <w:t>Code</w:t>
      </w:r>
      <w:r w:rsidR="00A02B78" w:rsidRPr="000013D3">
        <w:rPr>
          <w:rFonts w:cs="Times New Roman"/>
          <w:u w:val="single"/>
        </w:rPr>
        <w:t xml:space="preserve"> Suggest Subjective Fault</w:t>
      </w:r>
    </w:p>
    <w:p w:rsidR="00A02B78" w:rsidRPr="00863359" w:rsidRDefault="00A02B78" w:rsidP="00A02B78">
      <w:pPr>
        <w:pStyle w:val="ParaNoNdepar-AltN"/>
        <w:tabs>
          <w:tab w:val="clear" w:pos="1166"/>
          <w:tab w:val="num" w:pos="1152"/>
        </w:tabs>
        <w:rPr>
          <w:rFonts w:cs="Times New Roman"/>
        </w:rPr>
      </w:pPr>
      <w:r w:rsidRPr="00863359">
        <w:rPr>
          <w:rFonts w:cs="Times New Roman"/>
        </w:rPr>
        <w:t xml:space="preserve">In my view, what is </w:t>
      </w:r>
      <w:r w:rsidRPr="000C1B71">
        <w:rPr>
          <w:rFonts w:cs="Times New Roman"/>
          <w:i/>
        </w:rPr>
        <w:t>not</w:t>
      </w:r>
      <w:r w:rsidRPr="00863359">
        <w:rPr>
          <w:rFonts w:cs="Times New Roman"/>
        </w:rPr>
        <w:t xml:space="preserve"> in the text of the provision and what surrounds it suggest that a subjective fault element should be implied. </w:t>
      </w:r>
    </w:p>
    <w:p w:rsidR="00A02B78" w:rsidRPr="00863359" w:rsidRDefault="00F940A7" w:rsidP="00F940A7">
      <w:pPr>
        <w:pStyle w:val="ParaNoNdepar-AltN"/>
        <w:numPr>
          <w:ilvl w:val="0"/>
          <w:numId w:val="0"/>
        </w:numPr>
        <w:tabs>
          <w:tab w:val="left" w:pos="1620"/>
        </w:tabs>
        <w:ind w:left="1170" w:hanging="1170"/>
        <w:rPr>
          <w:rFonts w:cs="Times New Roman"/>
        </w:rPr>
      </w:pPr>
      <w:r>
        <w:rPr>
          <w:rFonts w:cs="Times New Roman"/>
        </w:rPr>
        <w:tab/>
      </w:r>
      <w:r w:rsidR="00A02B78">
        <w:rPr>
          <w:rFonts w:cs="Times New Roman"/>
        </w:rPr>
        <w:t>(a</w:t>
      </w:r>
      <w:r>
        <w:rPr>
          <w:rFonts w:cs="Times New Roman"/>
        </w:rPr>
        <w:t>)</w:t>
      </w:r>
      <w:r>
        <w:rPr>
          <w:rFonts w:cs="Times New Roman"/>
        </w:rPr>
        <w:tab/>
      </w:r>
      <w:r w:rsidR="00A02B78">
        <w:rPr>
          <w:rFonts w:cs="Times New Roman"/>
          <w:i/>
        </w:rPr>
        <w:t>What I</w:t>
      </w:r>
      <w:r w:rsidR="00A02B78" w:rsidRPr="000C1B71">
        <w:rPr>
          <w:rFonts w:cs="Times New Roman"/>
          <w:i/>
        </w:rPr>
        <w:t xml:space="preserve">s </w:t>
      </w:r>
      <w:r w:rsidR="00A02B78">
        <w:rPr>
          <w:rFonts w:cs="Times New Roman"/>
          <w:i/>
        </w:rPr>
        <w:t>N</w:t>
      </w:r>
      <w:r w:rsidR="00A02B78" w:rsidRPr="000C1B71">
        <w:rPr>
          <w:rFonts w:cs="Times New Roman"/>
          <w:i/>
        </w:rPr>
        <w:t>ot</w:t>
      </w:r>
      <w:r w:rsidR="00A02B78">
        <w:rPr>
          <w:rFonts w:cs="Times New Roman"/>
          <w:i/>
        </w:rPr>
        <w:t xml:space="preserve"> Found in the </w:t>
      </w:r>
      <w:proofErr w:type="gramStart"/>
      <w:r w:rsidR="00A02B78">
        <w:rPr>
          <w:rFonts w:cs="Times New Roman"/>
          <w:i/>
        </w:rPr>
        <w:t>T</w:t>
      </w:r>
      <w:r w:rsidR="00A02B78" w:rsidRPr="000C1B71">
        <w:rPr>
          <w:rFonts w:cs="Times New Roman"/>
          <w:i/>
        </w:rPr>
        <w:t>ext</w:t>
      </w:r>
      <w:proofErr w:type="gramEnd"/>
      <w:r w:rsidR="00A02B78" w:rsidRPr="00863359">
        <w:rPr>
          <w:rFonts w:cs="Times New Roman"/>
        </w:rPr>
        <w:t xml:space="preserve"> </w:t>
      </w:r>
    </w:p>
    <w:p w:rsidR="00A02B78" w:rsidRPr="00863359" w:rsidRDefault="00A02B78" w:rsidP="00A02B78">
      <w:pPr>
        <w:pStyle w:val="ParaNoNdepar-AltN"/>
        <w:tabs>
          <w:tab w:val="clear" w:pos="1166"/>
          <w:tab w:val="num" w:pos="1152"/>
        </w:tabs>
        <w:rPr>
          <w:rFonts w:cs="Times New Roman"/>
        </w:rPr>
      </w:pPr>
      <w:r w:rsidRPr="00863359">
        <w:rPr>
          <w:rFonts w:cs="Times New Roman"/>
        </w:rPr>
        <w:t xml:space="preserve">There is no doubt that Parliament can and does create criminal offences that require objective rather than subjective fault. How those provisions are drafted sheds some light on the sorts of language used when that is the intent. As I see it, the text of the child abandonment provision does not contain any of the language typically employed by Parliament when it intends to create an offence of objective fault. </w:t>
      </w:r>
    </w:p>
    <w:p w:rsidR="00A02B78" w:rsidRPr="00863359" w:rsidRDefault="00A02B78" w:rsidP="00A02B78">
      <w:pPr>
        <w:pStyle w:val="ParaNoNdepar-AltN"/>
        <w:tabs>
          <w:tab w:val="clear" w:pos="1166"/>
          <w:tab w:val="num" w:pos="1152"/>
        </w:tabs>
        <w:rPr>
          <w:rFonts w:cs="Times New Roman"/>
        </w:rPr>
      </w:pPr>
      <w:r w:rsidRPr="00863359">
        <w:rPr>
          <w:rFonts w:cs="Times New Roman"/>
        </w:rPr>
        <w:t xml:space="preserve">I will briefly review five main types of objective fault offences in the </w:t>
      </w:r>
      <w:r w:rsidRPr="00863359">
        <w:rPr>
          <w:rFonts w:cs="Times New Roman"/>
          <w:i/>
        </w:rPr>
        <w:t>Code</w:t>
      </w:r>
      <w:r w:rsidRPr="00863359">
        <w:rPr>
          <w:rFonts w:cs="Times New Roman"/>
        </w:rPr>
        <w:t xml:space="preserve"> in order to explain why</w:t>
      </w:r>
      <w:r>
        <w:rPr>
          <w:rFonts w:cs="Times New Roman"/>
        </w:rPr>
        <w:t>,</w:t>
      </w:r>
      <w:r w:rsidRPr="00863359">
        <w:rPr>
          <w:rFonts w:cs="Times New Roman"/>
        </w:rPr>
        <w:t xml:space="preserve"> in my view</w:t>
      </w:r>
      <w:r>
        <w:rPr>
          <w:rFonts w:cs="Times New Roman"/>
        </w:rPr>
        <w:t>,</w:t>
      </w:r>
      <w:r w:rsidRPr="00863359">
        <w:rPr>
          <w:rFonts w:cs="Times New Roman"/>
        </w:rPr>
        <w:t xml:space="preserve"> a comparison of the way they are drafted with the text of s. 218 supports the inference that </w:t>
      </w:r>
      <w:r>
        <w:rPr>
          <w:rFonts w:cs="Times New Roman"/>
        </w:rPr>
        <w:t xml:space="preserve">the latter </w:t>
      </w:r>
      <w:r w:rsidRPr="00863359">
        <w:rPr>
          <w:rFonts w:cs="Times New Roman"/>
        </w:rPr>
        <w:t>requires subjective fault. This will lead me to explain why I reject the Crown’s position that penal negligence should apply to the s. 218 offence because it applies to the s. 215 offence of failing to provide the necessaries of life.</w:t>
      </w:r>
    </w:p>
    <w:p w:rsidR="00A02B78" w:rsidRPr="00863359" w:rsidRDefault="00A02B78" w:rsidP="00A02B78">
      <w:pPr>
        <w:pStyle w:val="ParaNoNdepar-AltN"/>
        <w:tabs>
          <w:tab w:val="clear" w:pos="1166"/>
          <w:tab w:val="num" w:pos="1152"/>
        </w:tabs>
        <w:rPr>
          <w:rFonts w:cs="Times New Roman"/>
        </w:rPr>
      </w:pPr>
      <w:r w:rsidRPr="00863359">
        <w:rPr>
          <w:rFonts w:cs="Times New Roman"/>
        </w:rPr>
        <w:lastRenderedPageBreak/>
        <w:t>We come first to offences defined in terms of dangerous conduct. In</w:t>
      </w:r>
      <w:r w:rsidRPr="00863359">
        <w:rPr>
          <w:rFonts w:cs="Times New Roman"/>
          <w:i/>
        </w:rPr>
        <w:t xml:space="preserve"> R. v. </w:t>
      </w:r>
      <w:proofErr w:type="spellStart"/>
      <w:r w:rsidRPr="00863359">
        <w:rPr>
          <w:rFonts w:cs="Times New Roman"/>
          <w:i/>
        </w:rPr>
        <w:t>Hundal</w:t>
      </w:r>
      <w:proofErr w:type="spellEnd"/>
      <w:r w:rsidRPr="00863359">
        <w:rPr>
          <w:rFonts w:cs="Times New Roman"/>
        </w:rPr>
        <w:t xml:space="preserve">, [1993] 1 S.C.R. 867, the Court found that the fault element of the offence of dangerous driving was a manner of driving which constituted a “marked departure” from that expected of a reasonable person in the same circumstances. (See also, more recently, </w:t>
      </w:r>
      <w:r w:rsidRPr="00863359">
        <w:rPr>
          <w:rFonts w:cs="Times New Roman"/>
          <w:i/>
        </w:rPr>
        <w:t>Beatty</w:t>
      </w:r>
      <w:r>
        <w:rPr>
          <w:rFonts w:cs="Times New Roman"/>
        </w:rPr>
        <w:t xml:space="preserve"> </w:t>
      </w:r>
      <w:r w:rsidRPr="00863359">
        <w:rPr>
          <w:rFonts w:cs="Times New Roman"/>
        </w:rPr>
        <w:t xml:space="preserve">and </w:t>
      </w:r>
      <w:r w:rsidRPr="00863359">
        <w:rPr>
          <w:rFonts w:cs="Times New Roman"/>
          <w:i/>
        </w:rPr>
        <w:t>R. v. Roy</w:t>
      </w:r>
      <w:r w:rsidRPr="00863359">
        <w:rPr>
          <w:rFonts w:cs="Times New Roman"/>
        </w:rPr>
        <w:t>, 2012 SCC 26</w:t>
      </w:r>
      <w:r>
        <w:rPr>
          <w:rFonts w:cs="Times New Roman"/>
        </w:rPr>
        <w:t>, [2012] 2 S.C.R. 60</w:t>
      </w:r>
      <w:r w:rsidRPr="00863359">
        <w:rPr>
          <w:rFonts w:cs="Times New Roman"/>
        </w:rPr>
        <w:t>.) Several factors justified adopting an objective rather than a subjective fault requirement: driving is a regulated activity in which people choose to engage; driving is automatic and reflexive in nature; and the text of the offence focuses on the manner of driving, all of which suggest that the offence seeks to impose a minimum uniform standard of care.  Cory J. noted, for example, that “[l]</w:t>
      </w:r>
      <w:proofErr w:type="spellStart"/>
      <w:r w:rsidRPr="00863359">
        <w:rPr>
          <w:rFonts w:cs="Times New Roman"/>
        </w:rPr>
        <w:t>icensed</w:t>
      </w:r>
      <w:proofErr w:type="spellEnd"/>
      <w:r w:rsidRPr="00863359">
        <w:rPr>
          <w:rFonts w:cs="Times New Roman"/>
        </w:rPr>
        <w:t xml:space="preserve"> drivers choose to engage in the regulated activity of driving. </w:t>
      </w:r>
      <w:r w:rsidRPr="00863359">
        <w:rPr>
          <w:rFonts w:cs="Times New Roman"/>
          <w:u w:val="single"/>
        </w:rPr>
        <w:t>They place themselves in a position of responsibility</w:t>
      </w:r>
      <w:r w:rsidRPr="00863359">
        <w:rPr>
          <w:rFonts w:cs="Times New Roman"/>
        </w:rPr>
        <w:t xml:space="preserve"> to other members of the public who use the roads”: </w:t>
      </w:r>
      <w:proofErr w:type="spellStart"/>
      <w:r w:rsidRPr="000827FE">
        <w:rPr>
          <w:rFonts w:cs="Times New Roman"/>
          <w:i/>
        </w:rPr>
        <w:t>Hundal</w:t>
      </w:r>
      <w:proofErr w:type="spellEnd"/>
      <w:r>
        <w:rPr>
          <w:rFonts w:cs="Times New Roman"/>
        </w:rPr>
        <w:t xml:space="preserve">, </w:t>
      </w:r>
      <w:r w:rsidR="000013D3">
        <w:rPr>
          <w:rFonts w:cs="Times New Roman"/>
        </w:rPr>
        <w:t xml:space="preserve">at </w:t>
      </w:r>
      <w:r w:rsidRPr="000C1B71">
        <w:rPr>
          <w:rFonts w:cs="Times New Roman"/>
        </w:rPr>
        <w:t>p</w:t>
      </w:r>
      <w:r w:rsidRPr="00863359">
        <w:rPr>
          <w:rFonts w:cs="Times New Roman"/>
        </w:rPr>
        <w:t>. 884</w:t>
      </w:r>
      <w:r>
        <w:rPr>
          <w:rFonts w:cs="Times New Roman"/>
        </w:rPr>
        <w:t xml:space="preserve"> (emphasis added)</w:t>
      </w:r>
      <w:r w:rsidRPr="00863359">
        <w:rPr>
          <w:rFonts w:cs="Times New Roman"/>
        </w:rPr>
        <w:t>.  With respect to the text of the provision, Cory J. observed that it creates an offence of driving “in a manner that is dangerous to the public, having regard to all the circumstances” and this suggests an objective standard: “The ‘manner of driving’ can only be compared to a st</w:t>
      </w:r>
      <w:r>
        <w:rPr>
          <w:rFonts w:cs="Times New Roman"/>
        </w:rPr>
        <w:t>andard of reasonable conduct”</w:t>
      </w:r>
      <w:r w:rsidRPr="00863359">
        <w:rPr>
          <w:rFonts w:cs="Times New Roman"/>
        </w:rPr>
        <w:t xml:space="preserve"> </w:t>
      </w:r>
      <w:r w:rsidR="000013D3">
        <w:rPr>
          <w:rFonts w:cs="Times New Roman"/>
        </w:rPr>
        <w:t>(</w:t>
      </w:r>
      <w:r w:rsidRPr="00863359">
        <w:rPr>
          <w:rFonts w:cs="Times New Roman"/>
        </w:rPr>
        <w:t>p. 885</w:t>
      </w:r>
      <w:r w:rsidR="000013D3">
        <w:rPr>
          <w:rFonts w:cs="Times New Roman"/>
        </w:rPr>
        <w:t>)</w:t>
      </w:r>
      <w:r w:rsidRPr="00863359">
        <w:rPr>
          <w:rFonts w:cs="Times New Roman"/>
        </w:rPr>
        <w:t>. So in the case of dangerous driving both the text and nature of the provision, as well as other factors, provided strong support for an objective fault element.  None of those factors is present in the s. 218 offence.</w:t>
      </w:r>
    </w:p>
    <w:p w:rsidR="00A02B78" w:rsidRPr="00863359" w:rsidRDefault="00A02B78" w:rsidP="00A02B78">
      <w:pPr>
        <w:pStyle w:val="ParaNoNdepar-AltN"/>
        <w:tabs>
          <w:tab w:val="clear" w:pos="1166"/>
          <w:tab w:val="num" w:pos="1152"/>
        </w:tabs>
        <w:rPr>
          <w:rFonts w:cs="Times New Roman"/>
        </w:rPr>
      </w:pPr>
      <w:r w:rsidRPr="00863359">
        <w:rPr>
          <w:rFonts w:cs="Times New Roman"/>
        </w:rPr>
        <w:t xml:space="preserve">Next, there are offences which are expressed in terms of careless conduct, such as the careless storage of firearms.  In </w:t>
      </w:r>
      <w:r w:rsidRPr="00863359">
        <w:rPr>
          <w:rFonts w:cs="Times New Roman"/>
          <w:i/>
        </w:rPr>
        <w:t>R. v. Finlay</w:t>
      </w:r>
      <w:r w:rsidRPr="00863359">
        <w:rPr>
          <w:rFonts w:cs="Times New Roman"/>
        </w:rPr>
        <w:t xml:space="preserve">, [1993] 3 S.C.R. 103, the Court concluded that the carelessness targeted by the offence is not consistent with </w:t>
      </w:r>
      <w:r w:rsidRPr="00863359">
        <w:rPr>
          <w:rFonts w:cs="Times New Roman"/>
        </w:rPr>
        <w:lastRenderedPageBreak/>
        <w:t>subjective fault.  The provision required the Crown to establish that a firearm was used, carried, handled, shipped or stored “in a careless manner or without reasonable precautions for the safety of other</w:t>
      </w:r>
      <w:r>
        <w:rPr>
          <w:rFonts w:cs="Times New Roman"/>
        </w:rPr>
        <w:t xml:space="preserve"> persons</w:t>
      </w:r>
      <w:r w:rsidRPr="00863359">
        <w:rPr>
          <w:rFonts w:cs="Times New Roman"/>
        </w:rPr>
        <w:t>”</w:t>
      </w:r>
      <w:r>
        <w:rPr>
          <w:rFonts w:cs="Times New Roman"/>
        </w:rPr>
        <w:t>.</w:t>
      </w:r>
      <w:r w:rsidRPr="00863359">
        <w:rPr>
          <w:rFonts w:cs="Times New Roman"/>
        </w:rPr>
        <w:t xml:space="preserve"> The use of the word “careless” and the reference to “reasonable precautions” were clear markers </w:t>
      </w:r>
      <w:r>
        <w:rPr>
          <w:rFonts w:cs="Times New Roman"/>
        </w:rPr>
        <w:t>of objectively assessed fault</w:t>
      </w:r>
      <w:r w:rsidR="00ED13A5">
        <w:rPr>
          <w:rFonts w:cs="Times New Roman"/>
        </w:rPr>
        <w:t xml:space="preserve"> (</w:t>
      </w:r>
      <w:r w:rsidRPr="00863359">
        <w:rPr>
          <w:rFonts w:cs="Times New Roman"/>
        </w:rPr>
        <w:t>pp. 114-15</w:t>
      </w:r>
      <w:r w:rsidR="00ED13A5">
        <w:rPr>
          <w:rFonts w:cs="Times New Roman"/>
        </w:rPr>
        <w:t>)</w:t>
      </w:r>
      <w:r w:rsidRPr="00863359">
        <w:rPr>
          <w:rFonts w:cs="Times New Roman"/>
        </w:rPr>
        <w:t>. There is no similar language in s. 218.</w:t>
      </w:r>
    </w:p>
    <w:p w:rsidR="00A02B78" w:rsidRPr="00863359" w:rsidRDefault="00A02B78" w:rsidP="00A02B78">
      <w:pPr>
        <w:pStyle w:val="ParaNoNdepar-AltN"/>
        <w:tabs>
          <w:tab w:val="clear" w:pos="1166"/>
          <w:tab w:val="num" w:pos="1152"/>
        </w:tabs>
        <w:rPr>
          <w:rFonts w:cs="Times New Roman"/>
        </w:rPr>
      </w:pPr>
      <w:r>
        <w:rPr>
          <w:rFonts w:cs="Times New Roman"/>
        </w:rPr>
        <w:t xml:space="preserve">A third </w:t>
      </w:r>
      <w:r w:rsidRPr="00863359">
        <w:rPr>
          <w:rFonts w:cs="Times New Roman"/>
        </w:rPr>
        <w:t>category relates to so-called predicate offences. These are offences such as unlawful act manslaughter and unlawfully causing bodily harm which require the commission of an underlying unlawful act.  They have been found to require the mental element for the underlying offence but only objective foresight of harm flowing from it:  see</w:t>
      </w:r>
      <w:r>
        <w:rPr>
          <w:rFonts w:cs="Times New Roman"/>
        </w:rPr>
        <w:t>,</w:t>
      </w:r>
      <w:r w:rsidRPr="00863359">
        <w:rPr>
          <w:rFonts w:cs="Times New Roman"/>
        </w:rPr>
        <w:t xml:space="preserve"> e.g.</w:t>
      </w:r>
      <w:r>
        <w:rPr>
          <w:rFonts w:cs="Times New Roman"/>
        </w:rPr>
        <w:t>,</w:t>
      </w:r>
      <w:r w:rsidRPr="00863359">
        <w:rPr>
          <w:rFonts w:cs="Times New Roman"/>
        </w:rPr>
        <w:t xml:space="preserve"> </w:t>
      </w:r>
      <w:r w:rsidRPr="00863359">
        <w:rPr>
          <w:rFonts w:cs="Times New Roman"/>
          <w:i/>
        </w:rPr>
        <w:t xml:space="preserve">R. v. </w:t>
      </w:r>
      <w:proofErr w:type="spellStart"/>
      <w:r w:rsidRPr="00863359">
        <w:rPr>
          <w:rFonts w:cs="Times New Roman"/>
          <w:i/>
        </w:rPr>
        <w:t>DeSousa</w:t>
      </w:r>
      <w:proofErr w:type="spellEnd"/>
      <w:r w:rsidRPr="00863359">
        <w:rPr>
          <w:rFonts w:cs="Times New Roman"/>
        </w:rPr>
        <w:t xml:space="preserve">, [1992] 2 S.C.R. 944 (unlawfully causing bodily harm); </w:t>
      </w:r>
      <w:r w:rsidRPr="00863359">
        <w:rPr>
          <w:rFonts w:cs="Times New Roman"/>
          <w:i/>
        </w:rPr>
        <w:t>R. v. Creighton</w:t>
      </w:r>
      <w:r w:rsidRPr="00863359">
        <w:rPr>
          <w:rFonts w:cs="Times New Roman"/>
        </w:rPr>
        <w:t xml:space="preserve">, [1993] 3 S.C.R. 3 (unlawful act manslaughter).  Without reiterating the detailed reasons given in those cases, I simply underline that these offences are ones in which the commission of the predicate or underlying offence has actual and serious consequences. As </w:t>
      </w:r>
      <w:proofErr w:type="spellStart"/>
      <w:r w:rsidRPr="00863359">
        <w:rPr>
          <w:rFonts w:cs="Times New Roman"/>
        </w:rPr>
        <w:t>Sopinka</w:t>
      </w:r>
      <w:proofErr w:type="spellEnd"/>
      <w:r w:rsidRPr="00863359">
        <w:rPr>
          <w:rFonts w:cs="Times New Roman"/>
        </w:rPr>
        <w:t xml:space="preserve"> J. said in </w:t>
      </w:r>
      <w:proofErr w:type="spellStart"/>
      <w:r w:rsidRPr="00863359">
        <w:rPr>
          <w:rFonts w:cs="Times New Roman"/>
          <w:i/>
        </w:rPr>
        <w:t>DeSousa</w:t>
      </w:r>
      <w:proofErr w:type="spellEnd"/>
      <w:r>
        <w:rPr>
          <w:rFonts w:cs="Times New Roman"/>
        </w:rPr>
        <w:t xml:space="preserve"> (at p. 967</w:t>
      </w:r>
      <w:r w:rsidRPr="00863359">
        <w:rPr>
          <w:rFonts w:cs="Times New Roman"/>
        </w:rPr>
        <w:t xml:space="preserve">) and McLachlin J. repeated in </w:t>
      </w:r>
      <w:r w:rsidRPr="00863359">
        <w:rPr>
          <w:rFonts w:cs="Times New Roman"/>
          <w:i/>
        </w:rPr>
        <w:t>Creighton</w:t>
      </w:r>
      <w:r w:rsidRPr="00863359">
        <w:rPr>
          <w:rFonts w:cs="Times New Roman"/>
        </w:rPr>
        <w:t xml:space="preserve"> (at p. 55): “The implicit rationale of the law in this area is that it is acceptable to distinguish between criminal </w:t>
      </w:r>
      <w:proofErr w:type="gramStart"/>
      <w:r w:rsidRPr="00863359">
        <w:rPr>
          <w:rFonts w:cs="Times New Roman"/>
        </w:rPr>
        <w:t>responsibility</w:t>
      </w:r>
      <w:proofErr w:type="gramEnd"/>
      <w:r w:rsidRPr="00863359">
        <w:rPr>
          <w:rFonts w:cs="Times New Roman"/>
        </w:rPr>
        <w:t xml:space="preserve"> for equally reprehensible acts on the basis of the harm that is actually caused.” This rationale has no application to s. 218; there is neither a predicate offence nor any need to show that actual harm resulted from the conduct in the child abandonment offence.</w:t>
      </w:r>
    </w:p>
    <w:p w:rsidR="00A02B78" w:rsidRPr="00863359" w:rsidRDefault="00A02B78" w:rsidP="00A02B78">
      <w:pPr>
        <w:pStyle w:val="ParaNoNdepar-AltN"/>
        <w:tabs>
          <w:tab w:val="clear" w:pos="1166"/>
          <w:tab w:val="num" w:pos="1152"/>
        </w:tabs>
        <w:rPr>
          <w:rFonts w:cs="Times New Roman"/>
        </w:rPr>
      </w:pPr>
      <w:r w:rsidRPr="00863359">
        <w:rPr>
          <w:rFonts w:cs="Times New Roman"/>
        </w:rPr>
        <w:t xml:space="preserve">On that point, I note that at the court of appeal level, the Crown suggested that the word “unlawfully” in s. 218 was intended to imply that a violation of s. 215 </w:t>
      </w:r>
      <w:r w:rsidRPr="00863359">
        <w:rPr>
          <w:rFonts w:cs="Times New Roman"/>
        </w:rPr>
        <w:lastRenderedPageBreak/>
        <w:t xml:space="preserve">constituted a predicate offence to child abandonment. I disagree. Rather, I agree with Richards J.A. that the word “unlawfully” in s. 218 is mere </w:t>
      </w:r>
      <w:proofErr w:type="spellStart"/>
      <w:r w:rsidRPr="00863359">
        <w:rPr>
          <w:rFonts w:cs="Times New Roman"/>
        </w:rPr>
        <w:t>surplusage</w:t>
      </w:r>
      <w:proofErr w:type="spellEnd"/>
      <w:r w:rsidRPr="00863359">
        <w:rPr>
          <w:rFonts w:cs="Times New Roman"/>
        </w:rPr>
        <w:t xml:space="preserve"> that was left from the original text in </w:t>
      </w:r>
      <w:r w:rsidRPr="00863359">
        <w:rPr>
          <w:rFonts w:cs="Times New Roman"/>
          <w:i/>
          <w:lang w:val="en-US"/>
        </w:rPr>
        <w:t>An Act respecting Offences against the Person</w:t>
      </w:r>
      <w:r w:rsidRPr="00863359">
        <w:rPr>
          <w:rFonts w:cs="Times New Roman"/>
          <w:lang w:val="en-US"/>
        </w:rPr>
        <w:t xml:space="preserve"> </w:t>
      </w:r>
      <w:r>
        <w:rPr>
          <w:rFonts w:cs="Times New Roman"/>
          <w:lang w:val="en-US"/>
        </w:rPr>
        <w:t>(</w:t>
      </w:r>
      <w:r w:rsidRPr="00863359">
        <w:rPr>
          <w:rFonts w:cs="Times New Roman"/>
          <w:lang w:val="en-US"/>
        </w:rPr>
        <w:t>1869</w:t>
      </w:r>
      <w:r>
        <w:rPr>
          <w:rFonts w:cs="Times New Roman"/>
          <w:lang w:val="en-US"/>
        </w:rPr>
        <w:t>)</w:t>
      </w:r>
      <w:r w:rsidRPr="00863359">
        <w:rPr>
          <w:rFonts w:cs="Times New Roman"/>
          <w:lang w:val="en-US"/>
        </w:rPr>
        <w:t>, s</w:t>
      </w:r>
      <w:r>
        <w:rPr>
          <w:rFonts w:cs="Times New Roman"/>
          <w:lang w:val="en-US"/>
        </w:rPr>
        <w:t>.</w:t>
      </w:r>
      <w:r w:rsidRPr="00863359">
        <w:rPr>
          <w:rFonts w:cs="Times New Roman"/>
          <w:lang w:val="en-US"/>
        </w:rPr>
        <w:t xml:space="preserve"> 26</w:t>
      </w:r>
      <w:r w:rsidRPr="00863359">
        <w:rPr>
          <w:rFonts w:cs="Times New Roman"/>
        </w:rPr>
        <w:t>: see</w:t>
      </w:r>
      <w:r>
        <w:rPr>
          <w:rFonts w:cs="Times New Roman"/>
        </w:rPr>
        <w:t>,</w:t>
      </w:r>
      <w:r w:rsidRPr="00863359">
        <w:rPr>
          <w:rFonts w:cs="Times New Roman"/>
        </w:rPr>
        <w:t xml:space="preserve"> e.g.</w:t>
      </w:r>
      <w:r>
        <w:rPr>
          <w:rFonts w:cs="Times New Roman"/>
        </w:rPr>
        <w:t>,</w:t>
      </w:r>
      <w:r w:rsidRPr="00863359">
        <w:rPr>
          <w:rFonts w:cs="Times New Roman"/>
        </w:rPr>
        <w:t xml:space="preserve"> </w:t>
      </w:r>
      <w:r w:rsidRPr="00863359">
        <w:rPr>
          <w:rFonts w:cs="Times New Roman"/>
          <w:i/>
        </w:rPr>
        <w:t>R. v. Chartrand</w:t>
      </w:r>
      <w:r w:rsidRPr="00863359">
        <w:rPr>
          <w:rFonts w:cs="Times New Roman"/>
        </w:rPr>
        <w:t>, [1994] 2 S.C.R. 864</w:t>
      </w:r>
      <w:r>
        <w:rPr>
          <w:rFonts w:cs="Times New Roman"/>
        </w:rPr>
        <w:t>,</w:t>
      </w:r>
      <w:r w:rsidRPr="00863359">
        <w:rPr>
          <w:rFonts w:cs="Times New Roman"/>
        </w:rPr>
        <w:t xml:space="preserve"> at </w:t>
      </w:r>
      <w:r>
        <w:rPr>
          <w:rFonts w:cs="Times New Roman"/>
        </w:rPr>
        <w:t xml:space="preserve">pp. </w:t>
      </w:r>
      <w:r w:rsidRPr="00863359">
        <w:rPr>
          <w:rFonts w:cs="Times New Roman"/>
        </w:rPr>
        <w:t>886-87.</w:t>
      </w:r>
      <w:r>
        <w:rPr>
          <w:rFonts w:cs="Times New Roman"/>
        </w:rPr>
        <w:t xml:space="preserve">  The commission of </w:t>
      </w:r>
      <w:proofErr w:type="gramStart"/>
      <w:r>
        <w:rPr>
          <w:rFonts w:cs="Times New Roman"/>
        </w:rPr>
        <w:t>a</w:t>
      </w:r>
      <w:proofErr w:type="gramEnd"/>
      <w:r>
        <w:rPr>
          <w:rFonts w:cs="Times New Roman"/>
        </w:rPr>
        <w:t xml:space="preserve"> s. 215 offence, or any other offence, is not required for purposes of a child abandonment conviction</w:t>
      </w:r>
      <w:r w:rsidRPr="00863359">
        <w:rPr>
          <w:rFonts w:cs="Times New Roman"/>
        </w:rPr>
        <w:t>. Section 218 has a broader application than s. 215, which only applies to specific individuals. To hold that a conviction under s. 218 is dependent upon a conviction under s. 215 would overlook the word</w:t>
      </w:r>
      <w:r>
        <w:rPr>
          <w:rFonts w:cs="Times New Roman"/>
        </w:rPr>
        <w:t>s</w:t>
      </w:r>
      <w:r w:rsidRPr="00863359">
        <w:rPr>
          <w:rFonts w:cs="Times New Roman"/>
        </w:rPr>
        <w:t xml:space="preserve"> “</w:t>
      </w:r>
      <w:r>
        <w:rPr>
          <w:rFonts w:cs="Times New Roman"/>
        </w:rPr>
        <w:t>[</w:t>
      </w:r>
      <w:r w:rsidRPr="00863359">
        <w:rPr>
          <w:rFonts w:cs="Times New Roman"/>
        </w:rPr>
        <w:t>e</w:t>
      </w:r>
      <w:r>
        <w:rPr>
          <w:rFonts w:cs="Times New Roman"/>
        </w:rPr>
        <w:t>]</w:t>
      </w:r>
      <w:r w:rsidRPr="00863359">
        <w:rPr>
          <w:rFonts w:cs="Times New Roman"/>
        </w:rPr>
        <w:t xml:space="preserve">very one” in s. 218, </w:t>
      </w:r>
      <w:r w:rsidR="00ED13A5">
        <w:rPr>
          <w:rFonts w:cs="Times New Roman"/>
        </w:rPr>
        <w:t xml:space="preserve">would </w:t>
      </w:r>
      <w:r>
        <w:rPr>
          <w:rFonts w:cs="Times New Roman"/>
        </w:rPr>
        <w:t xml:space="preserve">void </w:t>
      </w:r>
      <w:proofErr w:type="spellStart"/>
      <w:r>
        <w:rPr>
          <w:rFonts w:cs="Times New Roman"/>
        </w:rPr>
        <w:t>para</w:t>
      </w:r>
      <w:proofErr w:type="spellEnd"/>
      <w:r>
        <w:rPr>
          <w:rFonts w:cs="Times New Roman"/>
        </w:rPr>
        <w:t>. (</w:t>
      </w:r>
      <w:r w:rsidRPr="00E4146F">
        <w:rPr>
          <w:rFonts w:cs="Times New Roman"/>
          <w:i/>
        </w:rPr>
        <w:t>b</w:t>
      </w:r>
      <w:r>
        <w:rPr>
          <w:rFonts w:cs="Times New Roman"/>
        </w:rPr>
        <w:t xml:space="preserve">) </w:t>
      </w:r>
      <w:proofErr w:type="gramStart"/>
      <w:r>
        <w:rPr>
          <w:rFonts w:cs="Times New Roman"/>
        </w:rPr>
        <w:t>of</w:t>
      </w:r>
      <w:proofErr w:type="gramEnd"/>
      <w:r>
        <w:rPr>
          <w:rFonts w:cs="Times New Roman"/>
        </w:rPr>
        <w:t xml:space="preserve"> the s. 214 definition </w:t>
      </w:r>
      <w:r w:rsidRPr="00E4146F">
        <w:rPr>
          <w:rFonts w:cs="Times New Roman"/>
        </w:rPr>
        <w:t>of</w:t>
      </w:r>
      <w:r w:rsidRPr="00863359">
        <w:rPr>
          <w:rFonts w:cs="Times New Roman"/>
        </w:rPr>
        <w:t xml:space="preserve"> meaning,</w:t>
      </w:r>
      <w:r>
        <w:rPr>
          <w:rFonts w:cs="Times New Roman"/>
        </w:rPr>
        <w:t xml:space="preserve"> and</w:t>
      </w:r>
      <w:r w:rsidRPr="00863359">
        <w:rPr>
          <w:rFonts w:cs="Times New Roman"/>
        </w:rPr>
        <w:t xml:space="preserve"> would render s. 218 redundant, as it would serve the exact same purpose as s. 215. Section 218 does not provide for a greater sentence and therefore it is not merely an enhanced form of s. 215, in the way that, for example, unlawfully causing bodily harm</w:t>
      </w:r>
      <w:r>
        <w:rPr>
          <w:rFonts w:cs="Times New Roman"/>
        </w:rPr>
        <w:t xml:space="preserve"> (s. 269, maximum sentence of 10 years)</w:t>
      </w:r>
      <w:r w:rsidRPr="00863359">
        <w:rPr>
          <w:rFonts w:cs="Times New Roman"/>
        </w:rPr>
        <w:t xml:space="preserve"> is an enhanced version of assault (s. 266, maximum sentence of 5 years). </w:t>
      </w:r>
    </w:p>
    <w:p w:rsidR="00A02B78" w:rsidRPr="00863359" w:rsidRDefault="00A02B78" w:rsidP="00A02B78">
      <w:pPr>
        <w:pStyle w:val="ParaNoNdepar-AltN"/>
        <w:tabs>
          <w:tab w:val="clear" w:pos="1166"/>
          <w:tab w:val="num" w:pos="1152"/>
        </w:tabs>
        <w:rPr>
          <w:rFonts w:cs="Times New Roman"/>
        </w:rPr>
      </w:pPr>
      <w:r w:rsidRPr="00863359">
        <w:rPr>
          <w:rFonts w:cs="Times New Roman"/>
        </w:rPr>
        <w:t>I should also refer to the offences based on criminal negligence:  see</w:t>
      </w:r>
      <w:r>
        <w:rPr>
          <w:rFonts w:cs="Times New Roman"/>
        </w:rPr>
        <w:t>,</w:t>
      </w:r>
      <w:r w:rsidRPr="00863359">
        <w:rPr>
          <w:rFonts w:cs="Times New Roman"/>
        </w:rPr>
        <w:t xml:space="preserve"> e.g.</w:t>
      </w:r>
      <w:r>
        <w:rPr>
          <w:rFonts w:cs="Times New Roman"/>
        </w:rPr>
        <w:t>,</w:t>
      </w:r>
      <w:r w:rsidRPr="00863359">
        <w:rPr>
          <w:rFonts w:cs="Times New Roman"/>
        </w:rPr>
        <w:t xml:space="preserve"> ss. 219, 220 and 221. Criminal negligence is defined as conduct that “shows wanton or reckless disregard for the lives or safety of other persons” </w:t>
      </w:r>
      <w:r w:rsidR="00ED13A5">
        <w:rPr>
          <w:rFonts w:cs="Times New Roman"/>
        </w:rPr>
        <w:t>(</w:t>
      </w:r>
      <w:r w:rsidRPr="00863359">
        <w:rPr>
          <w:rFonts w:cs="Times New Roman"/>
        </w:rPr>
        <w:t>s. 219</w:t>
      </w:r>
      <w:r w:rsidR="00ED13A5">
        <w:rPr>
          <w:rFonts w:cs="Times New Roman"/>
        </w:rPr>
        <w:t>)</w:t>
      </w:r>
      <w:r w:rsidRPr="00863359">
        <w:rPr>
          <w:rFonts w:cs="Times New Roman"/>
        </w:rPr>
        <w:t>.  The text of this provision has fueled much debate about the required fault element.  The use of the word “negligence” in the name of the offence</w:t>
      </w:r>
      <w:r>
        <w:rPr>
          <w:rFonts w:cs="Times New Roman"/>
        </w:rPr>
        <w:t xml:space="preserve"> suggests an objectively</w:t>
      </w:r>
      <w:r w:rsidRPr="00863359">
        <w:rPr>
          <w:rFonts w:cs="Times New Roman"/>
        </w:rPr>
        <w:t xml:space="preserve"> defined standard consistent with the meaning of the word “negligence” in the common law of torts.  On the other hand, the words “wanton and reckless disregard” could be taken as describing actual knowledge of the risk created by the conduct and therefore a subjective fault element: see </w:t>
      </w:r>
      <w:r w:rsidRPr="00863359">
        <w:rPr>
          <w:rFonts w:cs="Times New Roman"/>
          <w:i/>
        </w:rPr>
        <w:t>R. v. Anderson</w:t>
      </w:r>
      <w:r w:rsidRPr="00863359">
        <w:rPr>
          <w:rFonts w:cs="Times New Roman"/>
        </w:rPr>
        <w:t>, [1990] 1 S.C.R. 265</w:t>
      </w:r>
      <w:r>
        <w:rPr>
          <w:rFonts w:cs="Times New Roman"/>
        </w:rPr>
        <w:t>,</w:t>
      </w:r>
      <w:r w:rsidRPr="00863359">
        <w:rPr>
          <w:rFonts w:cs="Times New Roman"/>
        </w:rPr>
        <w:t xml:space="preserve"> at </w:t>
      </w:r>
      <w:r>
        <w:rPr>
          <w:rFonts w:cs="Times New Roman"/>
        </w:rPr>
        <w:t>pp. 269-</w:t>
      </w:r>
      <w:r w:rsidRPr="00863359">
        <w:rPr>
          <w:rFonts w:cs="Times New Roman"/>
        </w:rPr>
        <w:t xml:space="preserve">70. </w:t>
      </w:r>
      <w:r w:rsidRPr="00863359">
        <w:rPr>
          <w:rFonts w:cs="Times New Roman"/>
        </w:rPr>
        <w:lastRenderedPageBreak/>
        <w:t xml:space="preserve">Ultimately, the Court decided that proof of intention or actual foresight of a prohibited consequence is not required. Rather, criminal negligence requires a marked and substantial departure from the conduct of a reasonably prudent person in circumstances in which the accused either recognized and ran an obvious and serious risk or, alternatively, gave no thought to that risk:  </w:t>
      </w:r>
      <w:r w:rsidRPr="00863359">
        <w:rPr>
          <w:rFonts w:cs="Times New Roman"/>
          <w:i/>
        </w:rPr>
        <w:t>R. v. J.F</w:t>
      </w:r>
      <w:r w:rsidRPr="000C1B71">
        <w:rPr>
          <w:rFonts w:cs="Times New Roman"/>
          <w:i/>
        </w:rPr>
        <w:t>.</w:t>
      </w:r>
      <w:r w:rsidRPr="00863359">
        <w:rPr>
          <w:rFonts w:cs="Times New Roman"/>
        </w:rPr>
        <w:t>,</w:t>
      </w:r>
      <w:r>
        <w:rPr>
          <w:rFonts w:cs="Times New Roman"/>
        </w:rPr>
        <w:t xml:space="preserve"> 2008 SCC 60, </w:t>
      </w:r>
      <w:r w:rsidRPr="00863359">
        <w:rPr>
          <w:rFonts w:cs="Times New Roman"/>
        </w:rPr>
        <w:t>[2008] 3 S.C.R. 215</w:t>
      </w:r>
      <w:r>
        <w:rPr>
          <w:rFonts w:cs="Times New Roman"/>
        </w:rPr>
        <w:t>,</w:t>
      </w:r>
      <w:r w:rsidRPr="00863359">
        <w:rPr>
          <w:rFonts w:cs="Times New Roman"/>
        </w:rPr>
        <w:t xml:space="preserve"> at </w:t>
      </w:r>
      <w:proofErr w:type="spellStart"/>
      <w:r>
        <w:rPr>
          <w:rFonts w:cs="Times New Roman"/>
        </w:rPr>
        <w:t>paras</w:t>
      </w:r>
      <w:proofErr w:type="spellEnd"/>
      <w:r>
        <w:rPr>
          <w:rFonts w:cs="Times New Roman"/>
        </w:rPr>
        <w:t>. 7-11</w:t>
      </w:r>
      <w:r w:rsidRPr="00863359">
        <w:rPr>
          <w:rFonts w:cs="Times New Roman"/>
        </w:rPr>
        <w:t xml:space="preserve">. </w:t>
      </w:r>
    </w:p>
    <w:p w:rsidR="00A02B78" w:rsidRPr="00863359" w:rsidRDefault="00A02B78" w:rsidP="00A02B78">
      <w:pPr>
        <w:pStyle w:val="ParaNoNdepar-AltN"/>
        <w:tabs>
          <w:tab w:val="clear" w:pos="1166"/>
          <w:tab w:val="num" w:pos="1152"/>
        </w:tabs>
        <w:rPr>
          <w:rFonts w:cs="Times New Roman"/>
        </w:rPr>
      </w:pPr>
      <w:r w:rsidRPr="00863359">
        <w:rPr>
          <w:rFonts w:cs="Times New Roman"/>
        </w:rPr>
        <w:t>This approach to the fault element in the criminal negligence offences does not in my view suggest that a similar, objective fault approach should be taken to the child abandonment provision that concerns us in this case.   Unlike the criminal negligence offences, the s. 218 offence is not described as being concerned with conduct that is governed by a community standard rather than an individual appreciation of the circumstances.</w:t>
      </w:r>
    </w:p>
    <w:p w:rsidR="00A02B78" w:rsidRPr="00863359" w:rsidRDefault="00A02B78" w:rsidP="00A02B78">
      <w:pPr>
        <w:pStyle w:val="ParaNoNdepar-AltN"/>
        <w:tabs>
          <w:tab w:val="clear" w:pos="1166"/>
          <w:tab w:val="num" w:pos="1152"/>
        </w:tabs>
        <w:rPr>
          <w:rFonts w:cs="Times New Roman"/>
        </w:rPr>
      </w:pPr>
      <w:r w:rsidRPr="00863359">
        <w:rPr>
          <w:rFonts w:cs="Times New Roman"/>
        </w:rPr>
        <w:t xml:space="preserve">I turn to a fifth and final category, one strongly relied on by the Crown in its submissions.  That category consists of the duty-based offence in s. 215 of the </w:t>
      </w:r>
      <w:r w:rsidRPr="00863359">
        <w:rPr>
          <w:rFonts w:cs="Times New Roman"/>
          <w:i/>
        </w:rPr>
        <w:t>Code</w:t>
      </w:r>
      <w:r w:rsidRPr="00863359">
        <w:rPr>
          <w:rFonts w:cs="Times New Roman"/>
        </w:rPr>
        <w:t xml:space="preserve">. Consideration of this category and of this submission requires a closer look at the scheme of the </w:t>
      </w:r>
      <w:r w:rsidRPr="00863359">
        <w:rPr>
          <w:rFonts w:cs="Times New Roman"/>
          <w:i/>
        </w:rPr>
        <w:t>Code</w:t>
      </w:r>
      <w:r w:rsidRPr="00863359">
        <w:rPr>
          <w:rFonts w:cs="Times New Roman"/>
        </w:rPr>
        <w:t xml:space="preserve"> and the Court’s decision in </w:t>
      </w:r>
      <w:r w:rsidRPr="00863359">
        <w:rPr>
          <w:rFonts w:cs="Times New Roman"/>
          <w:i/>
        </w:rPr>
        <w:t xml:space="preserve">R. v. </w:t>
      </w:r>
      <w:proofErr w:type="spellStart"/>
      <w:r w:rsidRPr="00863359">
        <w:rPr>
          <w:rFonts w:cs="Times New Roman"/>
          <w:i/>
        </w:rPr>
        <w:t>Naglik</w:t>
      </w:r>
      <w:proofErr w:type="spellEnd"/>
      <w:r w:rsidRPr="00863359">
        <w:rPr>
          <w:rFonts w:cs="Times New Roman"/>
        </w:rPr>
        <w:t>, [1993] 3 S.C.R. 122.</w:t>
      </w:r>
    </w:p>
    <w:p w:rsidR="00A02B78" w:rsidRPr="00863359" w:rsidRDefault="0054790C" w:rsidP="0054790C">
      <w:pPr>
        <w:tabs>
          <w:tab w:val="left" w:pos="1170"/>
        </w:tabs>
        <w:ind w:left="1710" w:hanging="1710"/>
      </w:pPr>
      <w:r>
        <w:tab/>
        <w:t>(b)</w:t>
      </w:r>
      <w:r>
        <w:tab/>
      </w:r>
      <w:r w:rsidR="00A02B78">
        <w:rPr>
          <w:i/>
        </w:rPr>
        <w:t>The S</w:t>
      </w:r>
      <w:r w:rsidR="00A02B78" w:rsidRPr="000C1B71">
        <w:rPr>
          <w:i/>
        </w:rPr>
        <w:t xml:space="preserve">cheme of the Code </w:t>
      </w:r>
    </w:p>
    <w:p w:rsidR="00A02B78" w:rsidRPr="00863359" w:rsidRDefault="00A02B78" w:rsidP="00A02B78">
      <w:pPr>
        <w:pStyle w:val="ParaNoNdepar-AltN"/>
        <w:tabs>
          <w:tab w:val="clear" w:pos="1166"/>
          <w:tab w:val="num" w:pos="1152"/>
        </w:tabs>
        <w:rPr>
          <w:rFonts w:cs="Times New Roman"/>
        </w:rPr>
      </w:pPr>
      <w:r w:rsidRPr="00863359">
        <w:rPr>
          <w:rFonts w:cs="Times New Roman"/>
        </w:rPr>
        <w:t>Various legal duties are set out in ss. 215, 216</w:t>
      </w:r>
      <w:r>
        <w:rPr>
          <w:rFonts w:cs="Times New Roman"/>
        </w:rPr>
        <w:t>,</w:t>
      </w:r>
      <w:r w:rsidRPr="00863359">
        <w:rPr>
          <w:rFonts w:cs="Times New Roman"/>
        </w:rPr>
        <w:t xml:space="preserve"> 217 </w:t>
      </w:r>
      <w:r>
        <w:rPr>
          <w:rFonts w:cs="Times New Roman"/>
        </w:rPr>
        <w:t>and 217.1</w:t>
      </w:r>
      <w:r w:rsidR="00091E9F">
        <w:rPr>
          <w:rFonts w:cs="Times New Roman"/>
        </w:rPr>
        <w:t>,</w:t>
      </w:r>
      <w:r>
        <w:rPr>
          <w:rFonts w:cs="Times New Roman"/>
        </w:rPr>
        <w:t xml:space="preserve"> </w:t>
      </w:r>
      <w:r w:rsidRPr="00863359">
        <w:rPr>
          <w:rFonts w:cs="Times New Roman"/>
        </w:rPr>
        <w:t xml:space="preserve">including duties to provide the necessaries of life and to use reasonable knowledge, </w:t>
      </w:r>
      <w:r>
        <w:rPr>
          <w:rFonts w:cs="Times New Roman"/>
        </w:rPr>
        <w:t xml:space="preserve">skill </w:t>
      </w:r>
      <w:r w:rsidRPr="00863359">
        <w:rPr>
          <w:rFonts w:cs="Times New Roman"/>
        </w:rPr>
        <w:t xml:space="preserve">and </w:t>
      </w:r>
      <w:r>
        <w:rPr>
          <w:rFonts w:cs="Times New Roman"/>
        </w:rPr>
        <w:t xml:space="preserve">care </w:t>
      </w:r>
      <w:r w:rsidRPr="00863359">
        <w:rPr>
          <w:rFonts w:cs="Times New Roman"/>
        </w:rPr>
        <w:t xml:space="preserve">in administering surgical </w:t>
      </w:r>
      <w:r>
        <w:rPr>
          <w:rFonts w:cs="Times New Roman"/>
        </w:rPr>
        <w:t xml:space="preserve">or medical treatment.  However, </w:t>
      </w:r>
      <w:r w:rsidRPr="00863359">
        <w:rPr>
          <w:rFonts w:cs="Times New Roman"/>
        </w:rPr>
        <w:t xml:space="preserve">s. 215 </w:t>
      </w:r>
      <w:r>
        <w:rPr>
          <w:rFonts w:cs="Times New Roman"/>
        </w:rPr>
        <w:t xml:space="preserve">is the only </w:t>
      </w:r>
      <w:r>
        <w:rPr>
          <w:rFonts w:cs="Times New Roman"/>
        </w:rPr>
        <w:lastRenderedPageBreak/>
        <w:t xml:space="preserve">provision that creates an offence, that of failing </w:t>
      </w:r>
      <w:r w:rsidRPr="00863359">
        <w:rPr>
          <w:rFonts w:cs="Times New Roman"/>
        </w:rPr>
        <w:t xml:space="preserve">to provide the necessaries of life.  The Court in </w:t>
      </w:r>
      <w:proofErr w:type="spellStart"/>
      <w:r w:rsidRPr="00863359">
        <w:rPr>
          <w:rFonts w:cs="Times New Roman"/>
          <w:i/>
        </w:rPr>
        <w:t>Naglik</w:t>
      </w:r>
      <w:proofErr w:type="spellEnd"/>
      <w:r w:rsidRPr="00863359">
        <w:rPr>
          <w:rFonts w:cs="Times New Roman"/>
          <w:i/>
        </w:rPr>
        <w:t xml:space="preserve"> </w:t>
      </w:r>
      <w:r w:rsidRPr="00863359">
        <w:rPr>
          <w:rFonts w:cs="Times New Roman"/>
        </w:rPr>
        <w:t>held that this offence is one of objective fault and the Crown appellant submits that the same reasoning should apply to the abandonment offence under s.</w:t>
      </w:r>
      <w:r>
        <w:rPr>
          <w:rFonts w:cs="Times New Roman"/>
        </w:rPr>
        <w:t xml:space="preserve"> </w:t>
      </w:r>
      <w:r w:rsidRPr="00863359">
        <w:rPr>
          <w:rFonts w:cs="Times New Roman"/>
        </w:rPr>
        <w:t>218.</w:t>
      </w:r>
    </w:p>
    <w:p w:rsidR="00A02B78" w:rsidRPr="00863359" w:rsidRDefault="00A02B78" w:rsidP="00A02B78">
      <w:pPr>
        <w:pStyle w:val="ParaNoNdepar-AltN"/>
        <w:tabs>
          <w:tab w:val="clear" w:pos="1166"/>
          <w:tab w:val="num" w:pos="1152"/>
        </w:tabs>
        <w:rPr>
          <w:rFonts w:cs="Times New Roman"/>
        </w:rPr>
      </w:pPr>
      <w:r w:rsidRPr="00863359">
        <w:rPr>
          <w:rFonts w:cs="Times New Roman"/>
        </w:rPr>
        <w:t xml:space="preserve">Respectfully, this submission is not persuasive. The s. 215 offence is structured entirely differently than the s. 218 </w:t>
      </w:r>
      <w:proofErr w:type="gramStart"/>
      <w:r w:rsidRPr="00863359">
        <w:rPr>
          <w:rFonts w:cs="Times New Roman"/>
        </w:rPr>
        <w:t>offence</w:t>
      </w:r>
      <w:proofErr w:type="gramEnd"/>
      <w:r w:rsidRPr="00863359">
        <w:rPr>
          <w:rFonts w:cs="Times New Roman"/>
        </w:rPr>
        <w:t xml:space="preserve"> that concerns us here and the reasoning of </w:t>
      </w:r>
      <w:proofErr w:type="spellStart"/>
      <w:r w:rsidRPr="00863359">
        <w:rPr>
          <w:rFonts w:cs="Times New Roman"/>
          <w:i/>
        </w:rPr>
        <w:t>Naglik</w:t>
      </w:r>
      <w:proofErr w:type="spellEnd"/>
      <w:r w:rsidRPr="00863359">
        <w:rPr>
          <w:rFonts w:cs="Times New Roman"/>
        </w:rPr>
        <w:t xml:space="preserve"> is not applicable to the s. 218 offence. That reasoning in fact supports the view that </w:t>
      </w:r>
      <w:r w:rsidRPr="00863359">
        <w:rPr>
          <w:rFonts w:cs="Times New Roman"/>
          <w:i/>
        </w:rPr>
        <w:t>subjective</w:t>
      </w:r>
      <w:r w:rsidRPr="00863359">
        <w:rPr>
          <w:rFonts w:cs="Times New Roman"/>
        </w:rPr>
        <w:t xml:space="preserve"> fault is required in s. 218. Finally, the different purposes served by both offences also support that view.</w:t>
      </w:r>
    </w:p>
    <w:p w:rsidR="00A02B78" w:rsidRPr="00863359" w:rsidRDefault="00A02B78" w:rsidP="00A02B78">
      <w:pPr>
        <w:pStyle w:val="ParaNoNdepar-AltN"/>
        <w:tabs>
          <w:tab w:val="clear" w:pos="1166"/>
          <w:tab w:val="num" w:pos="1152"/>
        </w:tabs>
        <w:rPr>
          <w:rFonts w:cs="Times New Roman"/>
        </w:rPr>
      </w:pPr>
      <w:r w:rsidRPr="00863359">
        <w:rPr>
          <w:rFonts w:cs="Times New Roman"/>
        </w:rPr>
        <w:t xml:space="preserve">Consider first the differences in the text of the two provisions. Unlike the s. 218 child abandonment </w:t>
      </w:r>
      <w:proofErr w:type="gramStart"/>
      <w:r w:rsidRPr="00863359">
        <w:rPr>
          <w:rFonts w:cs="Times New Roman"/>
        </w:rPr>
        <w:t>offence</w:t>
      </w:r>
      <w:proofErr w:type="gramEnd"/>
      <w:r w:rsidRPr="00863359">
        <w:rPr>
          <w:rFonts w:cs="Times New Roman"/>
        </w:rPr>
        <w:t xml:space="preserve">, the s. 215 necessaries of life offence considered in </w:t>
      </w:r>
      <w:proofErr w:type="spellStart"/>
      <w:r w:rsidRPr="00863359">
        <w:rPr>
          <w:rFonts w:cs="Times New Roman"/>
          <w:i/>
        </w:rPr>
        <w:t>Naglik</w:t>
      </w:r>
      <w:proofErr w:type="spellEnd"/>
      <w:r w:rsidRPr="00863359">
        <w:rPr>
          <w:rFonts w:cs="Times New Roman"/>
        </w:rPr>
        <w:t xml:space="preserve"> is defined in terms of failure to perform specified legal duties. What is more, these specified legal duties arise out of specified relationships between the person owing the duty and</w:t>
      </w:r>
      <w:r>
        <w:rPr>
          <w:rFonts w:cs="Times New Roman"/>
        </w:rPr>
        <w:t xml:space="preserve"> the person</w:t>
      </w:r>
      <w:r w:rsidRPr="00863359">
        <w:rPr>
          <w:rFonts w:cs="Times New Roman"/>
        </w:rPr>
        <w:t xml:space="preserve"> to whom the duty is owed.  (The text of s. 215 is found in the Appendix.)</w:t>
      </w:r>
    </w:p>
    <w:p w:rsidR="00A02B78" w:rsidRPr="00863359" w:rsidRDefault="00A02B78" w:rsidP="00A02B78">
      <w:pPr>
        <w:pStyle w:val="ParaNoNdepar-AltN"/>
        <w:tabs>
          <w:tab w:val="clear" w:pos="1166"/>
          <w:tab w:val="num" w:pos="1152"/>
        </w:tabs>
        <w:rPr>
          <w:rFonts w:cs="Times New Roman"/>
        </w:rPr>
      </w:pPr>
      <w:r w:rsidRPr="00863359">
        <w:rPr>
          <w:rFonts w:cs="Times New Roman"/>
        </w:rPr>
        <w:t xml:space="preserve">The essence of the s. 215 offence, then, is that it imposes legal duties arising out of defined relationships.  It is clear that the decision in </w:t>
      </w:r>
      <w:proofErr w:type="spellStart"/>
      <w:r w:rsidRPr="00863359">
        <w:rPr>
          <w:rFonts w:cs="Times New Roman"/>
          <w:i/>
        </w:rPr>
        <w:t>Naglik</w:t>
      </w:r>
      <w:proofErr w:type="spellEnd"/>
      <w:r w:rsidRPr="00863359">
        <w:rPr>
          <w:rFonts w:cs="Times New Roman"/>
        </w:rPr>
        <w:t xml:space="preserve"> was based on that premise. </w:t>
      </w:r>
      <w:r>
        <w:rPr>
          <w:rFonts w:cs="Times New Roman"/>
        </w:rPr>
        <w:t xml:space="preserve">Lamer C.J. </w:t>
      </w:r>
      <w:r w:rsidRPr="00863359">
        <w:rPr>
          <w:rFonts w:cs="Times New Roman"/>
        </w:rPr>
        <w:t xml:space="preserve">writes, in </w:t>
      </w:r>
      <w:proofErr w:type="spellStart"/>
      <w:r w:rsidRPr="00863359">
        <w:rPr>
          <w:rFonts w:cs="Times New Roman"/>
          <w:i/>
        </w:rPr>
        <w:t>Naglik</w:t>
      </w:r>
      <w:proofErr w:type="spellEnd"/>
      <w:r w:rsidRPr="00863359">
        <w:rPr>
          <w:rFonts w:cs="Times New Roman"/>
        </w:rPr>
        <w:t>:</w:t>
      </w:r>
    </w:p>
    <w:p w:rsidR="00A02B78" w:rsidRPr="00863359" w:rsidRDefault="00A02B78" w:rsidP="00A02B78">
      <w:pPr>
        <w:pStyle w:val="Citation-AltC"/>
        <w:rPr>
          <w:rFonts w:eastAsiaTheme="minorEastAsia"/>
          <w:lang w:eastAsia="en-US"/>
        </w:rPr>
      </w:pPr>
      <w:r w:rsidRPr="00863359">
        <w:rPr>
          <w:rFonts w:eastAsiaTheme="minorEastAsia"/>
          <w:lang w:eastAsia="en-US"/>
        </w:rPr>
        <w:t>With respect to the wording of s. 215, while there is</w:t>
      </w:r>
      <w:r>
        <w:rPr>
          <w:rFonts w:eastAsiaTheme="minorEastAsia"/>
          <w:lang w:eastAsia="en-US"/>
        </w:rPr>
        <w:t xml:space="preserve"> no language in s. 215 such as “ought to have known” </w:t>
      </w:r>
      <w:r w:rsidRPr="00863359">
        <w:rPr>
          <w:rFonts w:eastAsiaTheme="minorEastAsia"/>
          <w:lang w:eastAsia="en-US"/>
        </w:rPr>
        <w:t>indicating that Parliament intended an objective standard of fault, the language of s. 215 referri</w:t>
      </w:r>
      <w:r>
        <w:rPr>
          <w:rFonts w:eastAsiaTheme="minorEastAsia"/>
          <w:lang w:eastAsia="en-US"/>
        </w:rPr>
        <w:t xml:space="preserve">ng to the failure </w:t>
      </w:r>
      <w:r>
        <w:rPr>
          <w:rFonts w:eastAsiaTheme="minorEastAsia"/>
          <w:lang w:eastAsia="en-US"/>
        </w:rPr>
        <w:lastRenderedPageBreak/>
        <w:t>to perform a “duty”</w:t>
      </w:r>
      <w:r w:rsidRPr="00863359">
        <w:rPr>
          <w:rFonts w:eastAsiaTheme="minorEastAsia"/>
          <w:lang w:eastAsia="en-US"/>
        </w:rPr>
        <w:t xml:space="preserve"> suggests that the </w:t>
      </w:r>
      <w:proofErr w:type="spellStart"/>
      <w:r w:rsidRPr="00863359">
        <w:rPr>
          <w:rFonts w:eastAsiaTheme="minorEastAsia"/>
          <w:lang w:eastAsia="en-US"/>
        </w:rPr>
        <w:t>accused</w:t>
      </w:r>
      <w:r>
        <w:rPr>
          <w:rFonts w:eastAsiaTheme="minorEastAsia"/>
          <w:lang w:eastAsia="en-US"/>
        </w:rPr>
        <w:t>’</w:t>
      </w:r>
      <w:r w:rsidRPr="00863359">
        <w:rPr>
          <w:rFonts w:eastAsiaTheme="minorEastAsia"/>
          <w:lang w:eastAsia="en-US"/>
        </w:rPr>
        <w:t>s</w:t>
      </w:r>
      <w:proofErr w:type="spellEnd"/>
      <w:r w:rsidRPr="00863359">
        <w:rPr>
          <w:rFonts w:eastAsiaTheme="minorEastAsia"/>
          <w:lang w:eastAsia="en-US"/>
        </w:rPr>
        <w:t xml:space="preserve"> conduct in a particular circumstance is to be determined on an objective, or community, standard.  The concept of a duty indicates a societal minimum which has been established for conduct:  as in the law of civil negligence, a duty would be meaningless if every individual defined its content for him</w:t>
      </w:r>
      <w:r>
        <w:rPr>
          <w:rFonts w:eastAsiaTheme="minorEastAsia"/>
          <w:lang w:eastAsia="en-US"/>
        </w:rPr>
        <w:t>-</w:t>
      </w:r>
      <w:r w:rsidRPr="00863359">
        <w:rPr>
          <w:rFonts w:eastAsiaTheme="minorEastAsia"/>
          <w:lang w:eastAsia="en-US"/>
        </w:rPr>
        <w:t xml:space="preserve"> or herself according to his or her subjective beliefs and priorities.  Therefore, the conduct of the accused should be measured against an objective, societal standard to</w:t>
      </w:r>
      <w:r>
        <w:rPr>
          <w:rFonts w:eastAsiaTheme="minorEastAsia"/>
          <w:lang w:eastAsia="en-US"/>
        </w:rPr>
        <w:t xml:space="preserve"> give effect to the concept of “duty”</w:t>
      </w:r>
      <w:r w:rsidRPr="00863359">
        <w:rPr>
          <w:rFonts w:eastAsiaTheme="minorEastAsia"/>
          <w:lang w:eastAsia="en-US"/>
        </w:rPr>
        <w:t xml:space="preserve"> employed by Parliament. </w:t>
      </w:r>
      <w:r>
        <w:rPr>
          <w:rFonts w:eastAsiaTheme="minorEastAsia"/>
          <w:lang w:eastAsia="en-US"/>
        </w:rPr>
        <w:t>[p. 141]</w:t>
      </w:r>
    </w:p>
    <w:p w:rsidR="00A02B78" w:rsidRPr="00863359" w:rsidRDefault="00A02B78" w:rsidP="00A02B78">
      <w:pPr>
        <w:pStyle w:val="ParaNoNdepar-AltN"/>
        <w:tabs>
          <w:tab w:val="clear" w:pos="1166"/>
          <w:tab w:val="num" w:pos="1152"/>
        </w:tabs>
        <w:rPr>
          <w:rFonts w:cs="Times New Roman"/>
          <w:u w:val="single"/>
        </w:rPr>
      </w:pPr>
      <w:r w:rsidRPr="00863359">
        <w:rPr>
          <w:rFonts w:cs="Times New Roman"/>
        </w:rPr>
        <w:t xml:space="preserve">The Crown submits that this reasoning applies equally to s. 218 because that offence, too, may be committed by a person who fails in a legal duty to take charge of a child. I do not accept this position.  While failure to perform a duty imposed by law on persons in particular relationships is the essence of the offence created by s. 215, this is not at all the case with respect to child abandonment under s. 218.  This is why the reasoning of </w:t>
      </w:r>
      <w:proofErr w:type="spellStart"/>
      <w:r w:rsidRPr="00863359">
        <w:rPr>
          <w:rFonts w:cs="Times New Roman"/>
          <w:i/>
        </w:rPr>
        <w:t>Naglik</w:t>
      </w:r>
      <w:proofErr w:type="spellEnd"/>
      <w:r w:rsidRPr="00863359">
        <w:rPr>
          <w:rFonts w:cs="Times New Roman"/>
        </w:rPr>
        <w:t xml:space="preserve"> cannot apply to s. 218. The child abandonment offence may be committed by “</w:t>
      </w:r>
      <w:r>
        <w:rPr>
          <w:rFonts w:cs="Times New Roman"/>
        </w:rPr>
        <w:t>[</w:t>
      </w:r>
      <w:r w:rsidRPr="00863359">
        <w:rPr>
          <w:rFonts w:cs="Times New Roman"/>
        </w:rPr>
        <w:t>e</w:t>
      </w:r>
      <w:r>
        <w:rPr>
          <w:rFonts w:cs="Times New Roman"/>
        </w:rPr>
        <w:t>]</w:t>
      </w:r>
      <w:r w:rsidRPr="00863359">
        <w:rPr>
          <w:rFonts w:cs="Times New Roman"/>
        </w:rPr>
        <w:t>very one”; it is not restricted to persons in particular relationships or under specified, statutorily</w:t>
      </w:r>
      <w:r>
        <w:rPr>
          <w:rFonts w:cs="Times New Roman"/>
        </w:rPr>
        <w:t xml:space="preserve"> </w:t>
      </w:r>
      <w:r w:rsidRPr="00863359">
        <w:rPr>
          <w:rFonts w:cs="Times New Roman"/>
        </w:rPr>
        <w:t xml:space="preserve">created legal duties. The concept of duty in the child abandonment offence becomes relevant only in relation to an omission and is found in the non-exhaustive definition of “abandon” or </w:t>
      </w:r>
      <w:r>
        <w:rPr>
          <w:rFonts w:cs="Times New Roman"/>
        </w:rPr>
        <w:t>“expose</w:t>
      </w:r>
      <w:r w:rsidRPr="00863359">
        <w:rPr>
          <w:rFonts w:cs="Times New Roman"/>
        </w:rPr>
        <w:t>”</w:t>
      </w:r>
      <w:r>
        <w:rPr>
          <w:rFonts w:cs="Times New Roman"/>
        </w:rPr>
        <w:t>.</w:t>
      </w:r>
      <w:r w:rsidRPr="00863359">
        <w:rPr>
          <w:rFonts w:cs="Times New Roman"/>
        </w:rPr>
        <w:t xml:space="preserve">  Those terms include “a wilful omission to take charge of a child by a person who is under a legal duty to do so”</w:t>
      </w:r>
      <w:r>
        <w:rPr>
          <w:rFonts w:cs="Times New Roman"/>
        </w:rPr>
        <w:t xml:space="preserve">: </w:t>
      </w:r>
      <w:proofErr w:type="spellStart"/>
      <w:r>
        <w:rPr>
          <w:rFonts w:cs="Times New Roman"/>
        </w:rPr>
        <w:t>para</w:t>
      </w:r>
      <w:proofErr w:type="spellEnd"/>
      <w:r>
        <w:rPr>
          <w:rFonts w:cs="Times New Roman"/>
        </w:rPr>
        <w:t>. (</w:t>
      </w:r>
      <w:r>
        <w:rPr>
          <w:rFonts w:cs="Times New Roman"/>
          <w:i/>
        </w:rPr>
        <w:t>a</w:t>
      </w:r>
      <w:r>
        <w:rPr>
          <w:rFonts w:cs="Times New Roman"/>
        </w:rPr>
        <w:t xml:space="preserve">) </w:t>
      </w:r>
      <w:proofErr w:type="gramStart"/>
      <w:r>
        <w:rPr>
          <w:rFonts w:cs="Times New Roman"/>
        </w:rPr>
        <w:t>of</w:t>
      </w:r>
      <w:proofErr w:type="gramEnd"/>
      <w:r>
        <w:rPr>
          <w:rFonts w:cs="Times New Roman"/>
        </w:rPr>
        <w:t xml:space="preserve"> the s. 214 definition.</w:t>
      </w:r>
      <w:r w:rsidRPr="00863359">
        <w:rPr>
          <w:rFonts w:cs="Times New Roman"/>
        </w:rPr>
        <w:t xml:space="preserve">  In my opinion, the reference to “legal duty” in relation to omissions in this section simply gives effect to the common law principle that criminal responsibility generally does not arise from an omission unless there is a pre-exist</w:t>
      </w:r>
      <w:r>
        <w:rPr>
          <w:rFonts w:cs="Times New Roman"/>
        </w:rPr>
        <w:t xml:space="preserve">ing legal duty to act: see, e.g., </w:t>
      </w:r>
      <w:r w:rsidRPr="00863359">
        <w:rPr>
          <w:rFonts w:cs="Times New Roman"/>
        </w:rPr>
        <w:t>Roach</w:t>
      </w:r>
      <w:r>
        <w:rPr>
          <w:rFonts w:cs="Times New Roman"/>
        </w:rPr>
        <w:t xml:space="preserve"> (2012),</w:t>
      </w:r>
      <w:r w:rsidRPr="00863359">
        <w:rPr>
          <w:rFonts w:cs="Times New Roman"/>
        </w:rPr>
        <w:t xml:space="preserve"> at</w:t>
      </w:r>
      <w:r>
        <w:rPr>
          <w:rFonts w:cs="Times New Roman"/>
        </w:rPr>
        <w:t xml:space="preserve"> p. 115; D.</w:t>
      </w:r>
      <w:r w:rsidRPr="00863359">
        <w:rPr>
          <w:rFonts w:cs="Times New Roman"/>
        </w:rPr>
        <w:t xml:space="preserve"> Stuart, </w:t>
      </w:r>
      <w:r w:rsidRPr="00863359">
        <w:rPr>
          <w:rFonts w:cs="Times New Roman"/>
          <w:i/>
        </w:rPr>
        <w:t>Canadian Criminal Law</w:t>
      </w:r>
      <w:r>
        <w:rPr>
          <w:rFonts w:cs="Times New Roman"/>
          <w:i/>
        </w:rPr>
        <w:t>: A Treatise</w:t>
      </w:r>
      <w:r>
        <w:rPr>
          <w:rFonts w:cs="Times New Roman"/>
        </w:rPr>
        <w:t xml:space="preserve"> (6th ed.</w:t>
      </w:r>
      <w:r w:rsidRPr="00863359">
        <w:rPr>
          <w:rFonts w:cs="Times New Roman"/>
        </w:rPr>
        <w:t xml:space="preserve"> 2011)</w:t>
      </w:r>
      <w:r>
        <w:rPr>
          <w:rFonts w:cs="Times New Roman"/>
        </w:rPr>
        <w:t>,</w:t>
      </w:r>
      <w:r w:rsidRPr="00863359">
        <w:rPr>
          <w:rFonts w:cs="Times New Roman"/>
        </w:rPr>
        <w:t xml:space="preserve"> at</w:t>
      </w:r>
      <w:r>
        <w:rPr>
          <w:rFonts w:cs="Times New Roman"/>
        </w:rPr>
        <w:t xml:space="preserve"> p.</w:t>
      </w:r>
      <w:r w:rsidRPr="00863359">
        <w:rPr>
          <w:rFonts w:cs="Times New Roman"/>
        </w:rPr>
        <w:t xml:space="preserve"> 95. Therefore, the effec</w:t>
      </w:r>
      <w:r>
        <w:rPr>
          <w:rFonts w:cs="Times New Roman"/>
        </w:rPr>
        <w:t xml:space="preserve">t of the reference to duty in </w:t>
      </w:r>
      <w:proofErr w:type="spellStart"/>
      <w:r>
        <w:rPr>
          <w:rFonts w:cs="Times New Roman"/>
        </w:rPr>
        <w:t>para</w:t>
      </w:r>
      <w:proofErr w:type="spellEnd"/>
      <w:r>
        <w:rPr>
          <w:rFonts w:cs="Times New Roman"/>
        </w:rPr>
        <w:t>. (</w:t>
      </w:r>
      <w:r>
        <w:rPr>
          <w:rFonts w:cs="Times New Roman"/>
          <w:i/>
        </w:rPr>
        <w:t>a</w:t>
      </w:r>
      <w:r>
        <w:rPr>
          <w:rFonts w:cs="Times New Roman"/>
        </w:rPr>
        <w:t xml:space="preserve">) </w:t>
      </w:r>
      <w:proofErr w:type="gramStart"/>
      <w:r>
        <w:rPr>
          <w:rFonts w:cs="Times New Roman"/>
        </w:rPr>
        <w:t>of</w:t>
      </w:r>
      <w:proofErr w:type="gramEnd"/>
      <w:r>
        <w:rPr>
          <w:rFonts w:cs="Times New Roman"/>
        </w:rPr>
        <w:t xml:space="preserve"> the s. 214 </w:t>
      </w:r>
      <w:r>
        <w:rPr>
          <w:rFonts w:cs="Times New Roman"/>
        </w:rPr>
        <w:lastRenderedPageBreak/>
        <w:t>definition</w:t>
      </w:r>
      <w:r w:rsidRPr="00863359">
        <w:rPr>
          <w:rFonts w:cs="Times New Roman"/>
        </w:rPr>
        <w:t xml:space="preserve"> is to ensure that the offence applies to omissions by those with a legal duty towards a child.  However, the child abandonment offence does not impose any such duties and people with no duty may be liable, but only for positive acts captured, for example, by the words “dealing with” in </w:t>
      </w:r>
      <w:proofErr w:type="spellStart"/>
      <w:r>
        <w:rPr>
          <w:rFonts w:cs="Times New Roman"/>
        </w:rPr>
        <w:t>para</w:t>
      </w:r>
      <w:proofErr w:type="spellEnd"/>
      <w:r>
        <w:rPr>
          <w:rFonts w:cs="Times New Roman"/>
        </w:rPr>
        <w:t>. (</w:t>
      </w:r>
      <w:r w:rsidRPr="00885FF6">
        <w:rPr>
          <w:rFonts w:cs="Times New Roman"/>
          <w:i/>
        </w:rPr>
        <w:t>b</w:t>
      </w:r>
      <w:r>
        <w:rPr>
          <w:rFonts w:cs="Times New Roman"/>
        </w:rPr>
        <w:t xml:space="preserve">) </w:t>
      </w:r>
      <w:proofErr w:type="gramStart"/>
      <w:r>
        <w:rPr>
          <w:rFonts w:cs="Times New Roman"/>
        </w:rPr>
        <w:t>of</w:t>
      </w:r>
      <w:proofErr w:type="gramEnd"/>
      <w:r>
        <w:rPr>
          <w:rFonts w:cs="Times New Roman"/>
        </w:rPr>
        <w:t xml:space="preserve"> the s. 214 definition</w:t>
      </w:r>
      <w:r w:rsidRPr="00863359">
        <w:rPr>
          <w:rFonts w:cs="Times New Roman"/>
        </w:rPr>
        <w:t xml:space="preserve">. </w:t>
      </w:r>
    </w:p>
    <w:p w:rsidR="00A02B78" w:rsidRPr="00863359" w:rsidRDefault="00A02B78" w:rsidP="00A02B78">
      <w:pPr>
        <w:pStyle w:val="ParaNoNdepar-AltN"/>
        <w:tabs>
          <w:tab w:val="clear" w:pos="1166"/>
          <w:tab w:val="num" w:pos="1152"/>
        </w:tabs>
        <w:rPr>
          <w:rFonts w:cs="Times New Roman"/>
          <w:u w:val="single"/>
        </w:rPr>
      </w:pPr>
      <w:r w:rsidRPr="00863359">
        <w:rPr>
          <w:rFonts w:cs="Times New Roman"/>
        </w:rPr>
        <w:t>The brief comments about the chi</w:t>
      </w:r>
      <w:r>
        <w:rPr>
          <w:rFonts w:cs="Times New Roman"/>
        </w:rPr>
        <w:t>ld abandonment offence in both</w:t>
      </w:r>
      <w:r w:rsidRPr="00863359">
        <w:rPr>
          <w:rFonts w:cs="Times New Roman"/>
        </w:rPr>
        <w:t xml:space="preserve"> Stuart, at p. 96</w:t>
      </w:r>
      <w:r>
        <w:rPr>
          <w:rFonts w:cs="Times New Roman"/>
        </w:rPr>
        <w:t>,</w:t>
      </w:r>
      <w:r w:rsidRPr="00863359">
        <w:rPr>
          <w:rFonts w:cs="Times New Roman"/>
        </w:rPr>
        <w:t xml:space="preserve"> and Roach </w:t>
      </w:r>
      <w:r>
        <w:rPr>
          <w:rFonts w:cs="Times New Roman"/>
        </w:rPr>
        <w:t>(2012), at p.</w:t>
      </w:r>
      <w:r w:rsidRPr="00863359">
        <w:rPr>
          <w:rFonts w:cs="Times New Roman"/>
        </w:rPr>
        <w:t xml:space="preserve"> 116</w:t>
      </w:r>
      <w:r>
        <w:rPr>
          <w:rFonts w:cs="Times New Roman"/>
        </w:rPr>
        <w:t>,</w:t>
      </w:r>
      <w:r w:rsidRPr="00863359">
        <w:rPr>
          <w:rFonts w:cs="Times New Roman"/>
        </w:rPr>
        <w:t xml:space="preserve"> do not support the view that the fault element of the offence is objective.  Rather they point out, as I have just discussed, that the concept of duty appears in this offence only in relation to omissions. As for the Manning and </w:t>
      </w:r>
      <w:proofErr w:type="spellStart"/>
      <w:r w:rsidRPr="00863359">
        <w:rPr>
          <w:rFonts w:cs="Times New Roman"/>
        </w:rPr>
        <w:t>Sankoff</w:t>
      </w:r>
      <w:proofErr w:type="spellEnd"/>
      <w:r w:rsidRPr="00863359">
        <w:rPr>
          <w:rFonts w:cs="Times New Roman"/>
        </w:rPr>
        <w:t xml:space="preserve"> treatise, it expresses the view the s. 218 offence is “entirely superfluous”</w:t>
      </w:r>
      <w:r>
        <w:rPr>
          <w:rFonts w:cs="Times New Roman"/>
        </w:rPr>
        <w:t xml:space="preserve"> (p. 826)</w:t>
      </w:r>
      <w:r w:rsidRPr="00863359">
        <w:rPr>
          <w:rFonts w:cs="Times New Roman"/>
        </w:rPr>
        <w:t xml:space="preserve"> </w:t>
      </w:r>
      <w:r w:rsidRPr="00322CA4">
        <w:rPr>
          <w:rStyle w:val="st"/>
          <w:rFonts w:cs="Times New Roman"/>
          <w:color w:val="222222"/>
        </w:rPr>
        <w:t>—</w:t>
      </w:r>
      <w:r w:rsidRPr="00863359">
        <w:rPr>
          <w:rFonts w:cs="Times New Roman"/>
        </w:rPr>
        <w:t xml:space="preserve"> a conclusion with which I disagree for the reasons I have already set out.  I note that some of the case law cited by Manning and </w:t>
      </w:r>
      <w:proofErr w:type="spellStart"/>
      <w:r w:rsidRPr="00863359">
        <w:rPr>
          <w:rFonts w:cs="Times New Roman"/>
        </w:rPr>
        <w:t>Sankoff</w:t>
      </w:r>
      <w:proofErr w:type="spellEnd"/>
      <w:r w:rsidRPr="00863359">
        <w:rPr>
          <w:rFonts w:cs="Times New Roman"/>
        </w:rPr>
        <w:t xml:space="preserve"> involved parents who were convicted of child abandonment for having </w:t>
      </w:r>
      <w:r w:rsidRPr="00863359">
        <w:rPr>
          <w:rFonts w:cs="Times New Roman"/>
          <w:i/>
        </w:rPr>
        <w:t>knowingly</w:t>
      </w:r>
      <w:r w:rsidRPr="00863359">
        <w:rPr>
          <w:rFonts w:cs="Times New Roman"/>
        </w:rPr>
        <w:t xml:space="preserve"> left their child in risky circumstances: </w:t>
      </w:r>
      <w:r>
        <w:rPr>
          <w:rFonts w:cs="Times New Roman"/>
        </w:rPr>
        <w:t>p</w:t>
      </w:r>
      <w:r w:rsidRPr="00863359">
        <w:rPr>
          <w:rFonts w:cs="Times New Roman"/>
        </w:rPr>
        <w:t xml:space="preserve">. 827, notes 155-56; </w:t>
      </w:r>
      <w:r w:rsidRPr="00863359">
        <w:rPr>
          <w:rFonts w:cs="Times New Roman"/>
          <w:i/>
        </w:rPr>
        <w:t>Christiansen</w:t>
      </w:r>
      <w:r w:rsidRPr="00863359">
        <w:rPr>
          <w:rFonts w:cs="Times New Roman"/>
        </w:rPr>
        <w:t xml:space="preserve">, at </w:t>
      </w:r>
      <w:proofErr w:type="spellStart"/>
      <w:r w:rsidRPr="00863359">
        <w:rPr>
          <w:rFonts w:cs="Times New Roman"/>
        </w:rPr>
        <w:t>para</w:t>
      </w:r>
      <w:proofErr w:type="spellEnd"/>
      <w:r w:rsidRPr="00863359">
        <w:rPr>
          <w:rFonts w:cs="Times New Roman"/>
        </w:rPr>
        <w:t xml:space="preserve">. 8; </w:t>
      </w:r>
      <w:r w:rsidRPr="00863359">
        <w:rPr>
          <w:rFonts w:cs="Times New Roman"/>
          <w:i/>
        </w:rPr>
        <w:t xml:space="preserve">R. v. </w:t>
      </w:r>
      <w:proofErr w:type="spellStart"/>
      <w:r w:rsidRPr="00863359">
        <w:rPr>
          <w:rFonts w:cs="Times New Roman"/>
          <w:i/>
        </w:rPr>
        <w:t>Holzer</w:t>
      </w:r>
      <w:proofErr w:type="spellEnd"/>
      <w:r w:rsidRPr="00863359">
        <w:rPr>
          <w:rFonts w:cs="Times New Roman"/>
          <w:i/>
        </w:rPr>
        <w:t xml:space="preserve"> </w:t>
      </w:r>
      <w:r w:rsidRPr="00863359">
        <w:rPr>
          <w:rFonts w:cs="Times New Roman"/>
        </w:rPr>
        <w:t>(1988), 63 C.R. (3d) 301 (</w:t>
      </w:r>
      <w:r>
        <w:rPr>
          <w:rFonts w:cs="Times New Roman"/>
        </w:rPr>
        <w:t xml:space="preserve">Alta. </w:t>
      </w:r>
      <w:r w:rsidRPr="00863359">
        <w:rPr>
          <w:rFonts w:cs="Times New Roman"/>
        </w:rPr>
        <w:t>Q.B.)</w:t>
      </w:r>
      <w:r>
        <w:rPr>
          <w:rFonts w:cs="Times New Roman"/>
        </w:rPr>
        <w:t>,</w:t>
      </w:r>
      <w:r w:rsidRPr="00863359">
        <w:rPr>
          <w:rFonts w:cs="Times New Roman"/>
        </w:rPr>
        <w:t xml:space="preserve"> at p. </w:t>
      </w:r>
      <w:r>
        <w:rPr>
          <w:rFonts w:cs="Times New Roman"/>
        </w:rPr>
        <w:t>303</w:t>
      </w:r>
      <w:r w:rsidRPr="00863359">
        <w:rPr>
          <w:rFonts w:cs="Times New Roman"/>
        </w:rPr>
        <w:t>.</w:t>
      </w:r>
    </w:p>
    <w:p w:rsidR="00A02B78" w:rsidRPr="00863359" w:rsidRDefault="00A02B78" w:rsidP="00A02B78">
      <w:pPr>
        <w:pStyle w:val="ParaNoNdepar-AltN"/>
        <w:tabs>
          <w:tab w:val="clear" w:pos="1166"/>
          <w:tab w:val="num" w:pos="1152"/>
        </w:tabs>
        <w:rPr>
          <w:rFonts w:cs="Times New Roman"/>
          <w:u w:val="single"/>
        </w:rPr>
      </w:pPr>
      <w:r w:rsidRPr="00863359">
        <w:rPr>
          <w:rFonts w:cs="Times New Roman"/>
        </w:rPr>
        <w:t xml:space="preserve"> Further, it seems to me that the clearly different structures of the text of s. 218 on one hand, and the duty-based offence in s. 215 on the other, support the view that the s. 218 offence is different. Where Parliament intended to base an offence on violation of a duty, s. 215 shows that it could find the language to do so clearly.  None of this sort of language appears in s. 218.</w:t>
      </w:r>
    </w:p>
    <w:p w:rsidR="00A02B78" w:rsidRPr="00863359" w:rsidRDefault="00A02B78" w:rsidP="00A02B78">
      <w:pPr>
        <w:pStyle w:val="ParaNoNdepar-AltN"/>
        <w:tabs>
          <w:tab w:val="clear" w:pos="1166"/>
          <w:tab w:val="num" w:pos="1152"/>
        </w:tabs>
        <w:rPr>
          <w:rFonts w:cs="Times New Roman"/>
          <w:u w:val="single"/>
        </w:rPr>
      </w:pPr>
      <w:r w:rsidRPr="00863359">
        <w:rPr>
          <w:rFonts w:cs="Times New Roman"/>
        </w:rPr>
        <w:t xml:space="preserve">The distinct structure and wording of the child abandonment offence also counter any suggestion that its placement in the same part of the </w:t>
      </w:r>
      <w:r w:rsidRPr="00863359">
        <w:rPr>
          <w:rFonts w:cs="Times New Roman"/>
          <w:i/>
        </w:rPr>
        <w:t>Code</w:t>
      </w:r>
      <w:r w:rsidRPr="00863359">
        <w:rPr>
          <w:rFonts w:cs="Times New Roman"/>
        </w:rPr>
        <w:t xml:space="preserve"> with the </w:t>
      </w:r>
      <w:r w:rsidRPr="00863359">
        <w:rPr>
          <w:rFonts w:cs="Times New Roman"/>
        </w:rPr>
        <w:lastRenderedPageBreak/>
        <w:t>sections creating legal duties (i.e. s</w:t>
      </w:r>
      <w:r>
        <w:rPr>
          <w:rFonts w:cs="Times New Roman"/>
        </w:rPr>
        <w:t>s. 215 to</w:t>
      </w:r>
      <w:r w:rsidRPr="00863359">
        <w:rPr>
          <w:rFonts w:cs="Times New Roman"/>
        </w:rPr>
        <w:t xml:space="preserve"> 217.1) informs the nature of the required fault element. The placement of a provision within the </w:t>
      </w:r>
      <w:r w:rsidRPr="00863359">
        <w:rPr>
          <w:rFonts w:cs="Times New Roman"/>
          <w:i/>
        </w:rPr>
        <w:t xml:space="preserve">Code </w:t>
      </w:r>
      <w:r w:rsidRPr="00863359">
        <w:rPr>
          <w:rFonts w:cs="Times New Roman"/>
        </w:rPr>
        <w:t xml:space="preserve">or the elements of other offences in the same part of the </w:t>
      </w:r>
      <w:r w:rsidRPr="00863359">
        <w:rPr>
          <w:rFonts w:cs="Times New Roman"/>
          <w:i/>
        </w:rPr>
        <w:t>Code</w:t>
      </w:r>
      <w:r w:rsidRPr="00863359">
        <w:rPr>
          <w:rFonts w:cs="Times New Roman"/>
        </w:rPr>
        <w:t xml:space="preserve"> do not often assist in determining the nature of its fault requirement and are particularly unhelpful here: see</w:t>
      </w:r>
      <w:r>
        <w:rPr>
          <w:rFonts w:cs="Times New Roman"/>
        </w:rPr>
        <w:t>,</w:t>
      </w:r>
      <w:r w:rsidRPr="00863359">
        <w:rPr>
          <w:rFonts w:cs="Times New Roman"/>
        </w:rPr>
        <w:t xml:space="preserve"> e.g.</w:t>
      </w:r>
      <w:r>
        <w:rPr>
          <w:rFonts w:cs="Times New Roman"/>
        </w:rPr>
        <w:t>,</w:t>
      </w:r>
      <w:r w:rsidRPr="00863359">
        <w:rPr>
          <w:rFonts w:cs="Times New Roman"/>
        </w:rPr>
        <w:t xml:space="preserve"> </w:t>
      </w:r>
      <w:proofErr w:type="spellStart"/>
      <w:r w:rsidRPr="00863359">
        <w:rPr>
          <w:rFonts w:cs="Times New Roman"/>
          <w:i/>
        </w:rPr>
        <w:t>Pappajohn</w:t>
      </w:r>
      <w:proofErr w:type="spellEnd"/>
      <w:r>
        <w:rPr>
          <w:rFonts w:cs="Times New Roman"/>
        </w:rPr>
        <w:t>,</w:t>
      </w:r>
      <w:r w:rsidRPr="00863359">
        <w:rPr>
          <w:rFonts w:cs="Times New Roman"/>
          <w:i/>
        </w:rPr>
        <w:t xml:space="preserve"> </w:t>
      </w:r>
      <w:r w:rsidRPr="00863359">
        <w:rPr>
          <w:rFonts w:cs="Times New Roman"/>
        </w:rPr>
        <w:t>at p</w:t>
      </w:r>
      <w:r>
        <w:rPr>
          <w:rFonts w:cs="Times New Roman"/>
        </w:rPr>
        <w:t>.</w:t>
      </w:r>
      <w:r w:rsidRPr="00863359">
        <w:rPr>
          <w:rFonts w:cs="Times New Roman"/>
        </w:rPr>
        <w:t xml:space="preserve"> 146. While the provision is placed under the heading “Duties Tending to Preservation of Life”, the </w:t>
      </w:r>
      <w:r>
        <w:rPr>
          <w:rFonts w:cs="Times New Roman"/>
        </w:rPr>
        <w:t xml:space="preserve">marginal note </w:t>
      </w:r>
      <w:r w:rsidRPr="00863359">
        <w:rPr>
          <w:rFonts w:cs="Times New Roman"/>
        </w:rPr>
        <w:t xml:space="preserve">of s. 218, “Abandoning child” is the only one of the five sections under this heading which does </w:t>
      </w:r>
      <w:r w:rsidRPr="00C84881">
        <w:rPr>
          <w:rFonts w:cs="Times New Roman"/>
          <w:i/>
        </w:rPr>
        <w:t>not</w:t>
      </w:r>
      <w:r w:rsidRPr="00863359">
        <w:rPr>
          <w:rFonts w:cs="Times New Roman"/>
        </w:rPr>
        <w:t xml:space="preserve"> have the word “duty” in its</w:t>
      </w:r>
      <w:r>
        <w:rPr>
          <w:rFonts w:cs="Times New Roman"/>
        </w:rPr>
        <w:t xml:space="preserve"> marginal note</w:t>
      </w:r>
      <w:r w:rsidRPr="00863359">
        <w:rPr>
          <w:rFonts w:cs="Times New Roman"/>
        </w:rPr>
        <w:t>. If anything, this tends to underline that it is different from the other provisions.</w:t>
      </w:r>
    </w:p>
    <w:p w:rsidR="00A02B78" w:rsidRPr="00863359" w:rsidRDefault="00A02B78" w:rsidP="00A02B78">
      <w:pPr>
        <w:pStyle w:val="ParaNoNdepar-AltN"/>
        <w:tabs>
          <w:tab w:val="clear" w:pos="1166"/>
          <w:tab w:val="num" w:pos="1152"/>
        </w:tabs>
        <w:rPr>
          <w:rFonts w:cs="Times New Roman"/>
        </w:rPr>
      </w:pPr>
      <w:r w:rsidRPr="00863359">
        <w:rPr>
          <w:rFonts w:cs="Times New Roman"/>
        </w:rPr>
        <w:t>The child abandonment offence has the same range of possible punishments as does the objective fault offence of failing to provide necessaries in s. 215. However, the range of punishments says little about the required fault element. To take a stark example, criminal negligence causing death, with a possible punishment of life in prison, has an objective fault element requirement. Theft under five thousand dollars, which may be prosecuted by summary conviction, is an offence not only requiring subjective fault but specific intent.  I do not find any help in defining the fault requirement of the child abandonment offence that other offences which may be punished with the same or even greater periods of imprisonment require only objective fault.</w:t>
      </w:r>
    </w:p>
    <w:p w:rsidR="00A02B78" w:rsidRPr="00C84881" w:rsidRDefault="00A02B78" w:rsidP="001B5C93">
      <w:pPr>
        <w:tabs>
          <w:tab w:val="left" w:pos="1710"/>
        </w:tabs>
        <w:ind w:left="1710" w:hanging="540"/>
        <w:rPr>
          <w:i/>
        </w:rPr>
      </w:pPr>
      <w:r>
        <w:t>(c</w:t>
      </w:r>
      <w:r w:rsidR="000053C3">
        <w:t>)</w:t>
      </w:r>
      <w:r w:rsidR="001B5C93">
        <w:tab/>
      </w:r>
      <w:r>
        <w:rPr>
          <w:i/>
        </w:rPr>
        <w:t>Conclusion on the Text of the Provision and S</w:t>
      </w:r>
      <w:r w:rsidRPr="00C84881">
        <w:rPr>
          <w:i/>
        </w:rPr>
        <w:t>cheme of the Code</w:t>
      </w:r>
    </w:p>
    <w:p w:rsidR="00A02B78" w:rsidRPr="00863359" w:rsidRDefault="00A02B78" w:rsidP="00A02B78">
      <w:pPr>
        <w:pStyle w:val="ParaNoNdepar-AltN"/>
        <w:tabs>
          <w:tab w:val="clear" w:pos="1166"/>
          <w:tab w:val="num" w:pos="1152"/>
        </w:tabs>
        <w:rPr>
          <w:rFonts w:cs="Times New Roman"/>
          <w:u w:val="single"/>
        </w:rPr>
      </w:pPr>
      <w:r w:rsidRPr="00863359">
        <w:rPr>
          <w:rFonts w:cs="Times New Roman"/>
        </w:rPr>
        <w:t xml:space="preserve">To sum up, none of the considerations that persuaded the Court to adopt an objective fault standard in the categories of </w:t>
      </w:r>
      <w:r>
        <w:rPr>
          <w:rFonts w:cs="Times New Roman"/>
        </w:rPr>
        <w:t xml:space="preserve">offences </w:t>
      </w:r>
      <w:r w:rsidRPr="00863359">
        <w:rPr>
          <w:rFonts w:cs="Times New Roman"/>
        </w:rPr>
        <w:t xml:space="preserve">I have just reviewed is present </w:t>
      </w:r>
      <w:r w:rsidRPr="00863359">
        <w:rPr>
          <w:rFonts w:cs="Times New Roman"/>
        </w:rPr>
        <w:lastRenderedPageBreak/>
        <w:t>in the child abandonment offence under s. 218. The prohibition applies to everyone, not just to a particular group engaged in a regulated activity or standing in a particular, defined relationship with the alleged victim.  Nothing in the text suggests an intention to impose a minimum and uniform standard of care.  There are no references in the text to “dangerous”</w:t>
      </w:r>
      <w:r>
        <w:rPr>
          <w:rFonts w:cs="Times New Roman"/>
        </w:rPr>
        <w:t>,</w:t>
      </w:r>
      <w:r w:rsidRPr="00863359">
        <w:rPr>
          <w:rFonts w:cs="Times New Roman"/>
        </w:rPr>
        <w:t xml:space="preserve"> “careless” or “reasonable” conduct or any requirement to take “reasonable precautions”</w:t>
      </w:r>
      <w:r>
        <w:rPr>
          <w:rFonts w:cs="Times New Roman"/>
        </w:rPr>
        <w:t>.</w:t>
      </w:r>
      <w:r w:rsidRPr="00863359">
        <w:rPr>
          <w:rFonts w:cs="Times New Roman"/>
        </w:rPr>
        <w:t xml:space="preserve">  There is no predicate offence and no actual harm is required by the provision. The provision does not create, define or impose a duty to do anything other than in the sense that all criminal offences could be considered to create a duty not to commit them.  </w:t>
      </w:r>
    </w:p>
    <w:p w:rsidR="00A02B78" w:rsidRPr="00863359" w:rsidRDefault="00A02B78" w:rsidP="00A02B78">
      <w:pPr>
        <w:pStyle w:val="ParaNoNdepar-AltN"/>
        <w:tabs>
          <w:tab w:val="clear" w:pos="1166"/>
          <w:tab w:val="num" w:pos="1152"/>
        </w:tabs>
        <w:rPr>
          <w:rFonts w:cs="Times New Roman"/>
          <w:u w:val="single"/>
        </w:rPr>
      </w:pPr>
      <w:r w:rsidRPr="00863359">
        <w:rPr>
          <w:rFonts w:cs="Times New Roman"/>
        </w:rPr>
        <w:t>I conclude that both what is present in</w:t>
      </w:r>
      <w:r>
        <w:rPr>
          <w:rFonts w:cs="Times New Roman"/>
        </w:rPr>
        <w:t xml:space="preserve"> s. 218 of the </w:t>
      </w:r>
      <w:r>
        <w:rPr>
          <w:rFonts w:cs="Times New Roman"/>
          <w:i/>
        </w:rPr>
        <w:t>Code</w:t>
      </w:r>
      <w:r>
        <w:rPr>
          <w:rFonts w:cs="Times New Roman"/>
        </w:rPr>
        <w:t xml:space="preserve"> and its related provisions</w:t>
      </w:r>
      <w:r w:rsidRPr="00863359">
        <w:rPr>
          <w:rFonts w:cs="Times New Roman"/>
        </w:rPr>
        <w:t xml:space="preserve"> and what is absent from it strongly support the view that a subjective fault element is required. </w:t>
      </w:r>
    </w:p>
    <w:p w:rsidR="00A02B78" w:rsidRPr="00863359" w:rsidRDefault="00A02B78" w:rsidP="000053C3">
      <w:pPr>
        <w:pStyle w:val="ParaNoNdepar-AltN"/>
        <w:numPr>
          <w:ilvl w:val="0"/>
          <w:numId w:val="0"/>
        </w:numPr>
        <w:tabs>
          <w:tab w:val="left" w:pos="540"/>
        </w:tabs>
        <w:rPr>
          <w:rFonts w:cs="Times New Roman"/>
        </w:rPr>
      </w:pPr>
      <w:bookmarkStart w:id="12" w:name="_Toc343554191"/>
      <w:r>
        <w:rPr>
          <w:rFonts w:cs="Times New Roman"/>
        </w:rPr>
        <w:t>E</w:t>
      </w:r>
      <w:r w:rsidR="000053C3">
        <w:rPr>
          <w:rFonts w:cs="Times New Roman"/>
        </w:rPr>
        <w:t>.</w:t>
      </w:r>
      <w:r w:rsidRPr="00863359">
        <w:rPr>
          <w:rFonts w:cs="Times New Roman"/>
        </w:rPr>
        <w:tab/>
      </w:r>
      <w:r w:rsidRPr="00E763DE">
        <w:rPr>
          <w:rFonts w:cs="Times New Roman"/>
          <w:i/>
        </w:rPr>
        <w:t>Conclusion</w:t>
      </w:r>
    </w:p>
    <w:p w:rsidR="00A02B78" w:rsidRPr="00863359" w:rsidRDefault="00A02B78" w:rsidP="00A02B78">
      <w:pPr>
        <w:pStyle w:val="ParaNoNdepar-AltN"/>
        <w:tabs>
          <w:tab w:val="clear" w:pos="1166"/>
          <w:tab w:val="num" w:pos="1152"/>
        </w:tabs>
        <w:rPr>
          <w:rFonts w:cs="Times New Roman"/>
        </w:rPr>
      </w:pPr>
      <w:r w:rsidRPr="00863359">
        <w:rPr>
          <w:rFonts w:cs="Times New Roman"/>
        </w:rPr>
        <w:t xml:space="preserve">In my view, the text, context and purpose of </w:t>
      </w:r>
      <w:r>
        <w:rPr>
          <w:rFonts w:cs="Times New Roman"/>
        </w:rPr>
        <w:t xml:space="preserve">s. 218 of the </w:t>
      </w:r>
      <w:r w:rsidRPr="00CF29EF">
        <w:rPr>
          <w:rFonts w:cs="Times New Roman"/>
          <w:i/>
        </w:rPr>
        <w:t>Code</w:t>
      </w:r>
      <w:r>
        <w:rPr>
          <w:rFonts w:cs="Times New Roman"/>
        </w:rPr>
        <w:t xml:space="preserve"> </w:t>
      </w:r>
      <w:r w:rsidRPr="00863359">
        <w:rPr>
          <w:rFonts w:cs="Times New Roman"/>
        </w:rPr>
        <w:t xml:space="preserve">show that subjective fault is required. It follows that the trial judge did not err in acquitting the respondent on the basis that this subjective fault requirement had not been proved. The Court of Appeal was correct to uphold the acquittal. </w:t>
      </w:r>
    </w:p>
    <w:p w:rsidR="00A02B78" w:rsidRPr="00E763DE" w:rsidRDefault="001B5C93" w:rsidP="000053C3">
      <w:pPr>
        <w:pStyle w:val="ParaNoNdepar-AltN"/>
        <w:numPr>
          <w:ilvl w:val="0"/>
          <w:numId w:val="0"/>
        </w:numPr>
        <w:tabs>
          <w:tab w:val="left" w:pos="540"/>
        </w:tabs>
        <w:ind w:left="540" w:hanging="540"/>
        <w:rPr>
          <w:rFonts w:cs="Times New Roman"/>
          <w:i/>
        </w:rPr>
      </w:pPr>
      <w:r>
        <w:rPr>
          <w:rFonts w:cs="Times New Roman"/>
        </w:rPr>
        <w:t>V.</w:t>
      </w:r>
      <w:r>
        <w:rPr>
          <w:rFonts w:cs="Times New Roman"/>
        </w:rPr>
        <w:tab/>
      </w:r>
      <w:r w:rsidR="00A02B78" w:rsidRPr="001B5C93">
        <w:rPr>
          <w:rFonts w:cs="Times New Roman"/>
          <w:u w:val="single"/>
        </w:rPr>
        <w:t>Disposition</w:t>
      </w:r>
    </w:p>
    <w:p w:rsidR="00A02B78" w:rsidRPr="00863359" w:rsidRDefault="00A02B78" w:rsidP="00A02B78">
      <w:pPr>
        <w:pStyle w:val="ParaNoNdepar-AltN"/>
        <w:tabs>
          <w:tab w:val="clear" w:pos="1166"/>
          <w:tab w:val="num" w:pos="1152"/>
        </w:tabs>
        <w:rPr>
          <w:rFonts w:cs="Times New Roman"/>
        </w:rPr>
      </w:pPr>
      <w:r w:rsidRPr="00863359">
        <w:rPr>
          <w:rFonts w:cs="Times New Roman"/>
        </w:rPr>
        <w:t>I would dismiss the ap</w:t>
      </w:r>
      <w:r w:rsidR="000053C3">
        <w:rPr>
          <w:rFonts w:cs="Times New Roman"/>
        </w:rPr>
        <w:t xml:space="preserve">peal. </w:t>
      </w:r>
    </w:p>
    <w:bookmarkEnd w:id="12"/>
    <w:p w:rsidR="00A30AF3" w:rsidRPr="001B5C93" w:rsidRDefault="001B5C93" w:rsidP="00A02B78">
      <w:pPr>
        <w:pStyle w:val="JudgeJuge"/>
        <w:rPr>
          <w:smallCaps w:val="0"/>
        </w:rPr>
      </w:pPr>
      <w:r>
        <w:lastRenderedPageBreak/>
        <w:tab/>
      </w:r>
      <w:proofErr w:type="gramStart"/>
      <w:r w:rsidRPr="001B5C93">
        <w:rPr>
          <w:smallCaps w:val="0"/>
        </w:rPr>
        <w:t>The rea</w:t>
      </w:r>
      <w:r>
        <w:rPr>
          <w:smallCaps w:val="0"/>
        </w:rPr>
        <w:t xml:space="preserve">sons of Rothstein and </w:t>
      </w:r>
      <w:proofErr w:type="spellStart"/>
      <w:r>
        <w:rPr>
          <w:smallCaps w:val="0"/>
        </w:rPr>
        <w:t>Moldaver</w:t>
      </w:r>
      <w:proofErr w:type="spellEnd"/>
      <w:r>
        <w:rPr>
          <w:smallCaps w:val="0"/>
        </w:rPr>
        <w:t xml:space="preserve"> JJ.</w:t>
      </w:r>
      <w:proofErr w:type="gramEnd"/>
      <w:r>
        <w:rPr>
          <w:smallCaps w:val="0"/>
        </w:rPr>
        <w:t xml:space="preserve"> </w:t>
      </w:r>
      <w:proofErr w:type="gramStart"/>
      <w:r>
        <w:rPr>
          <w:smallCaps w:val="0"/>
        </w:rPr>
        <w:t>were</w:t>
      </w:r>
      <w:proofErr w:type="gramEnd"/>
      <w:r>
        <w:rPr>
          <w:smallCaps w:val="0"/>
        </w:rPr>
        <w:t xml:space="preserve"> delivere</w:t>
      </w:r>
      <w:r w:rsidR="000053C3">
        <w:rPr>
          <w:smallCaps w:val="0"/>
        </w:rPr>
        <w:t>d</w:t>
      </w:r>
      <w:r>
        <w:rPr>
          <w:smallCaps w:val="0"/>
        </w:rPr>
        <w:t xml:space="preserve"> by</w:t>
      </w:r>
    </w:p>
    <w:p w:rsidR="00A02B78" w:rsidRPr="005F43C5" w:rsidRDefault="00A02B78" w:rsidP="00A02B78">
      <w:pPr>
        <w:pStyle w:val="JudgeJuge"/>
      </w:pPr>
      <w:r w:rsidRPr="005F43C5">
        <w:tab/>
      </w:r>
      <w:proofErr w:type="spellStart"/>
      <w:r w:rsidRPr="005F43C5">
        <w:t>Moldaver</w:t>
      </w:r>
      <w:proofErr w:type="spellEnd"/>
      <w:r w:rsidRPr="005F43C5">
        <w:t xml:space="preserve"> J. — </w:t>
      </w:r>
    </w:p>
    <w:p w:rsidR="00A02B78" w:rsidRPr="005F43C5" w:rsidRDefault="001B5C93" w:rsidP="00A02B78">
      <w:pPr>
        <w:pStyle w:val="TitleTitre-AltT"/>
        <w:tabs>
          <w:tab w:val="clear" w:pos="360"/>
          <w:tab w:val="left" w:pos="630"/>
        </w:tabs>
        <w:rPr>
          <w:rFonts w:cs="Times New Roman"/>
          <w:u w:val="single"/>
        </w:rPr>
      </w:pPr>
      <w:r>
        <w:rPr>
          <w:rFonts w:cs="Times New Roman"/>
        </w:rPr>
        <w:t>I.</w:t>
      </w:r>
      <w:r>
        <w:rPr>
          <w:rFonts w:cs="Times New Roman"/>
        </w:rPr>
        <w:tab/>
      </w:r>
      <w:r w:rsidR="00A02B78" w:rsidRPr="005F43C5">
        <w:rPr>
          <w:rFonts w:cs="Times New Roman"/>
          <w:u w:val="single"/>
        </w:rPr>
        <w:t>Introduction</w:t>
      </w:r>
    </w:p>
    <w:p w:rsidR="00A02B78" w:rsidRPr="005F43C5" w:rsidRDefault="00A02B78" w:rsidP="00A02B78">
      <w:pPr>
        <w:pStyle w:val="ParaNoNdepar-AltN"/>
        <w:tabs>
          <w:tab w:val="clear" w:pos="1166"/>
          <w:tab w:val="num" w:pos="1152"/>
        </w:tabs>
      </w:pPr>
      <w:r w:rsidRPr="005F43C5">
        <w:t xml:space="preserve">Section 218 of the </w:t>
      </w:r>
      <w:r w:rsidRPr="005F43C5">
        <w:rPr>
          <w:i/>
        </w:rPr>
        <w:t>Criminal Code</w:t>
      </w:r>
      <w:r w:rsidRPr="005F43C5">
        <w:t>, R.S.C. 1985, c. C-46 (“</w:t>
      </w:r>
      <w:r w:rsidRPr="005F43C5">
        <w:rPr>
          <w:i/>
        </w:rPr>
        <w:t>Code</w:t>
      </w:r>
      <w:r w:rsidRPr="005F43C5">
        <w:t xml:space="preserve">”), makes it an offence to abandon or expose a child under the age of 10 so that the child’s life is or is likely to be endangered or its health is or is likely to be permanently injured.  The question presented in this appeal concerns the mental element, or </w:t>
      </w:r>
      <w:proofErr w:type="spellStart"/>
      <w:r w:rsidRPr="005F43C5">
        <w:rPr>
          <w:i/>
        </w:rPr>
        <w:t>mens</w:t>
      </w:r>
      <w:proofErr w:type="spellEnd"/>
      <w:r w:rsidRPr="005F43C5">
        <w:rPr>
          <w:i/>
        </w:rPr>
        <w:t xml:space="preserve"> </w:t>
      </w:r>
      <w:proofErr w:type="spellStart"/>
      <w:r w:rsidRPr="005F43C5">
        <w:rPr>
          <w:i/>
        </w:rPr>
        <w:t>rea</w:t>
      </w:r>
      <w:proofErr w:type="spellEnd"/>
      <w:r w:rsidRPr="005F43C5">
        <w:t>, that applies to the proscribed consequences of abandonment or exposure, namely, the risk of death or permanent injury to the child’s health.  Specifically, is fault to be judged subjectively, which is to say, focusing on whether the accused actually knew that abandoning the child would put its life or health in danger?  Or is it to be judged objectively, focusing on whether a reasonable person in the same circumstances would have known that abandoning the child would put its life or health in danger?  Notwithstanding this crime’s ancient lineage — and the vital purpose it serves in protecting the most vulnerable among us — it is a question about which this Court has not spoken.</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The facts and judgments below have been set out by Cromwell J. for the majority, whose reasons I have had the opportunity of reading.  Like the majority, I too would uphold the respondent’s acquittal, but for reasons that differ from those of Justice Cromwell. </w:t>
      </w:r>
    </w:p>
    <w:p w:rsidR="00A02B78" w:rsidRPr="005F43C5" w:rsidRDefault="00A02B78" w:rsidP="00A02B78">
      <w:pPr>
        <w:pStyle w:val="ParaNoNdepar-AltN"/>
        <w:tabs>
          <w:tab w:val="clear" w:pos="1166"/>
          <w:tab w:val="num" w:pos="1152"/>
        </w:tabs>
        <w:spacing w:before="240"/>
        <w:rPr>
          <w:rFonts w:cs="Times New Roman"/>
        </w:rPr>
      </w:pPr>
      <w:r w:rsidRPr="005F43C5">
        <w:rPr>
          <w:rFonts w:cs="Times New Roman"/>
        </w:rPr>
        <w:lastRenderedPageBreak/>
        <w:t xml:space="preserve">My colleague concludes that s. 218 requires subjective </w:t>
      </w:r>
      <w:proofErr w:type="spellStart"/>
      <w:r w:rsidRPr="005F43C5">
        <w:rPr>
          <w:rFonts w:cs="Times New Roman"/>
        </w:rPr>
        <w:t>foreseeability</w:t>
      </w:r>
      <w:proofErr w:type="spellEnd"/>
      <w:r w:rsidRPr="005F43C5">
        <w:rPr>
          <w:rFonts w:cs="Times New Roman"/>
        </w:rPr>
        <w:t xml:space="preserve"> of the consequences that follow or are likely to follow upon the child being abandoned or exposed.  Under this approach, to sustain a conviction, the Crown would be required to prove, among other things, that upon abandoning or exposing the child, the accused foresaw that his or her conduct placed or was likely to place the child at risk of death or permanent injury, and went ahead anyway, reckless as to the consequences.  </w:t>
      </w:r>
    </w:p>
    <w:p w:rsidR="00A02B78" w:rsidRPr="005F43C5" w:rsidRDefault="00A02B78" w:rsidP="00A02B78">
      <w:pPr>
        <w:pStyle w:val="ParaNoNdepar-AltN"/>
        <w:tabs>
          <w:tab w:val="clear" w:pos="1166"/>
          <w:tab w:val="num" w:pos="1152"/>
        </w:tabs>
        <w:spacing w:before="240"/>
        <w:rPr>
          <w:rFonts w:cs="Times New Roman"/>
        </w:rPr>
      </w:pPr>
      <w:r w:rsidRPr="005F43C5">
        <w:rPr>
          <w:rFonts w:cs="Times New Roman"/>
        </w:rPr>
        <w:t xml:space="preserve">Respectfully, I do not read the provision as requiring such a high degree of fault in respect of the proscribed consequences.  Nor do I believe that such an interpretation reflects Parliament’s will.  </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In its essence, s. 218 is child protection legislation.  It seeks to protect a limited class of people (children under the age of 10) from two defined risks (death or permanent injury) that occur or are likely to occur from abandoning or exposing the child.  And, as I will explain, the section is aimed at three limited classes of people faced with a situation where a child under 10 is or is likely to be at risk of death or permanent injury:  (1) those who have </w:t>
      </w:r>
      <w:r>
        <w:rPr>
          <w:rFonts w:cs="Times New Roman"/>
        </w:rPr>
        <w:t xml:space="preserve">a pre-existing and </w:t>
      </w:r>
      <w:r w:rsidRPr="005F43C5">
        <w:rPr>
          <w:rFonts w:cs="Times New Roman"/>
        </w:rPr>
        <w:t>an ongoing legal duty to take charge of the child; (2) those who choose to come to the aid of the child in that situation; and (3) those who place the child in that situation.</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Construed this way, as I believe s. 218 is meant to be, penal negligence is sufficient to satisfy the fault component of the provision as it relates to the consequences of abandoning or exposing a child.  To prove penal negligence, the </w:t>
      </w:r>
      <w:r w:rsidRPr="005F43C5">
        <w:rPr>
          <w:rFonts w:cs="Times New Roman"/>
        </w:rPr>
        <w:lastRenderedPageBreak/>
        <w:t xml:space="preserve">Crown must establish that a reasonable person would have foreseen that his or her conduct placed, or was likely to place, the child at risk of death or permanent injury and that the </w:t>
      </w:r>
      <w:proofErr w:type="spellStart"/>
      <w:r w:rsidRPr="005F43C5">
        <w:rPr>
          <w:rFonts w:cs="Times New Roman"/>
        </w:rPr>
        <w:t>accused’s</w:t>
      </w:r>
      <w:proofErr w:type="spellEnd"/>
      <w:r w:rsidRPr="005F43C5">
        <w:rPr>
          <w:rFonts w:cs="Times New Roman"/>
        </w:rPr>
        <w:t xml:space="preserve"> conduct constituted a marked departure from that expected of a reasonable person in the circumstances. </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The recognized tools of statutory interpretation support the conclusion that penal negligence is the requisite fault element for the proscribed consequences in s. 218 of the </w:t>
      </w:r>
      <w:r w:rsidRPr="005F43C5">
        <w:rPr>
          <w:rFonts w:cs="Times New Roman"/>
          <w:i/>
        </w:rPr>
        <w:t>Code</w:t>
      </w:r>
      <w:r w:rsidRPr="005F43C5">
        <w:rPr>
          <w:rFonts w:cs="Times New Roman"/>
        </w:rPr>
        <w:t>.  In what follows, I propose to canvass the plain language of the provision, its legislative history, relevant scholarly opinion, and this Court’s precedents in an attempt to establish as much.  But I also propose to rely on some common sense.  Indeed, when one steps back from the mechanistic and often result-driven application of the seemingly endless and at times contradictory tools of statutory interpretation, common sense may, and generally will, prove to be the best guide to statutory interpretation.  It certainly is here, as I will explain.</w:t>
      </w:r>
    </w:p>
    <w:p w:rsidR="00A02B78" w:rsidRPr="005F43C5" w:rsidRDefault="00242705" w:rsidP="00242705">
      <w:pPr>
        <w:pStyle w:val="TitleTitre-AltT"/>
        <w:tabs>
          <w:tab w:val="clear" w:pos="360"/>
          <w:tab w:val="left" w:pos="630"/>
        </w:tabs>
        <w:ind w:left="540" w:hanging="540"/>
        <w:rPr>
          <w:rFonts w:cs="Times New Roman"/>
        </w:rPr>
      </w:pPr>
      <w:r>
        <w:rPr>
          <w:rFonts w:cs="Times New Roman"/>
        </w:rPr>
        <w:t>II.</w:t>
      </w:r>
      <w:r>
        <w:rPr>
          <w:rFonts w:cs="Times New Roman"/>
        </w:rPr>
        <w:tab/>
      </w:r>
      <w:r w:rsidR="00A02B78" w:rsidRPr="005F43C5">
        <w:rPr>
          <w:rFonts w:cs="Times New Roman"/>
          <w:u w:val="single"/>
        </w:rPr>
        <w:t>Analysis</w:t>
      </w:r>
    </w:p>
    <w:p w:rsidR="00A02B78" w:rsidRPr="005F43C5" w:rsidRDefault="00242705" w:rsidP="00242705">
      <w:pPr>
        <w:pStyle w:val="TitleTitre-AltT"/>
        <w:tabs>
          <w:tab w:val="clear" w:pos="360"/>
          <w:tab w:val="left" w:pos="630"/>
        </w:tabs>
        <w:ind w:left="540" w:hanging="540"/>
        <w:rPr>
          <w:rFonts w:cs="Times New Roman"/>
        </w:rPr>
      </w:pPr>
      <w:r>
        <w:rPr>
          <w:rFonts w:cs="Times New Roman"/>
        </w:rPr>
        <w:t>A.</w:t>
      </w:r>
      <w:r>
        <w:rPr>
          <w:rFonts w:cs="Times New Roman"/>
        </w:rPr>
        <w:tab/>
      </w:r>
      <w:r w:rsidR="00A02B78" w:rsidRPr="005F43C5">
        <w:rPr>
          <w:rFonts w:cs="Times New Roman"/>
          <w:i/>
        </w:rPr>
        <w:t>Understanding the Elements of the Offence of Child Abandonment</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As with all offences, to secure a conviction under s. 218, the Crown must prove, beyond a reasonable doubt, that the conduct of the accused satisfies every element of the offence.  For convenience, I set out the provision in its entirety: </w:t>
      </w:r>
    </w:p>
    <w:p w:rsidR="00A02B78" w:rsidRPr="005F43C5" w:rsidRDefault="00A02B78" w:rsidP="00242705">
      <w:pPr>
        <w:pStyle w:val="Citation-AltC"/>
        <w:spacing w:after="240"/>
        <w:ind w:firstLine="274"/>
        <w:contextualSpacing w:val="0"/>
        <w:rPr>
          <w:lang w:eastAsia="en-US"/>
        </w:rPr>
      </w:pPr>
      <w:r w:rsidRPr="005F43C5">
        <w:rPr>
          <w:b/>
          <w:bCs/>
          <w:lang w:eastAsia="en-US"/>
        </w:rPr>
        <w:lastRenderedPageBreak/>
        <w:t>218.</w:t>
      </w:r>
      <w:r w:rsidRPr="005F43C5">
        <w:rPr>
          <w:lang w:eastAsia="en-US"/>
        </w:rPr>
        <w:t xml:space="preserve"> [Abandoning child]</w:t>
      </w:r>
      <w:r w:rsidRPr="005F43C5">
        <w:rPr>
          <w:b/>
          <w:lang w:eastAsia="en-US"/>
        </w:rPr>
        <w:t xml:space="preserve"> </w:t>
      </w:r>
      <w:proofErr w:type="spellStart"/>
      <w:r w:rsidRPr="005F43C5">
        <w:rPr>
          <w:lang w:eastAsia="en-US"/>
        </w:rPr>
        <w:t>Every one</w:t>
      </w:r>
      <w:proofErr w:type="spellEnd"/>
      <w:r w:rsidRPr="005F43C5">
        <w:rPr>
          <w:lang w:eastAsia="en-US"/>
        </w:rPr>
        <w:t xml:space="preserve"> who unlawfully abandons or exposes a child who is under the age of ten years, so that its life is or is likely to be endangered or its health is or is likely to be permanently injured,</w:t>
      </w:r>
    </w:p>
    <w:p w:rsidR="00A02B78" w:rsidRPr="005F43C5" w:rsidRDefault="00242705" w:rsidP="00242705">
      <w:pPr>
        <w:pStyle w:val="Citation-AltC"/>
        <w:tabs>
          <w:tab w:val="left" w:pos="1980"/>
        </w:tabs>
        <w:spacing w:after="240"/>
        <w:ind w:left="1440"/>
        <w:contextualSpacing w:val="0"/>
      </w:pPr>
      <w:r>
        <w:t>(</w:t>
      </w:r>
      <w:proofErr w:type="gramStart"/>
      <w:r w:rsidRPr="00242705">
        <w:rPr>
          <w:i/>
        </w:rPr>
        <w:t>a</w:t>
      </w:r>
      <w:proofErr w:type="gramEnd"/>
      <w:r>
        <w:t>)</w:t>
      </w:r>
      <w:r>
        <w:tab/>
      </w:r>
      <w:r w:rsidR="00A02B78" w:rsidRPr="005F43C5">
        <w:t>is guilty of an indictable offence and liable to imprisonment for a term not exceeding five years; or</w:t>
      </w:r>
    </w:p>
    <w:p w:rsidR="00A02B78" w:rsidRPr="005F43C5" w:rsidRDefault="00242705" w:rsidP="00242705">
      <w:pPr>
        <w:pStyle w:val="Citation-AltC"/>
        <w:tabs>
          <w:tab w:val="left" w:pos="1980"/>
        </w:tabs>
        <w:ind w:left="1440"/>
      </w:pPr>
      <w:r>
        <w:t>(</w:t>
      </w:r>
      <w:proofErr w:type="gramStart"/>
      <w:r w:rsidRPr="00242705">
        <w:rPr>
          <w:i/>
        </w:rPr>
        <w:t>b</w:t>
      </w:r>
      <w:proofErr w:type="gramEnd"/>
      <w:r>
        <w:t>)</w:t>
      </w:r>
      <w:r>
        <w:tab/>
      </w:r>
      <w:r w:rsidR="00A02B78" w:rsidRPr="005F43C5">
        <w:t>is guilty of an offence punishable on summary conviction and liable to imprisonment for a term not exceeding eighteen months.</w:t>
      </w:r>
    </w:p>
    <w:p w:rsidR="00A02B78" w:rsidRPr="005F43C5" w:rsidRDefault="00A02B78" w:rsidP="00A02B78">
      <w:pPr>
        <w:pStyle w:val="ContinueParaSuitedupar-AltP"/>
        <w:rPr>
          <w:rFonts w:cs="Times New Roman"/>
        </w:rPr>
      </w:pPr>
      <w:r w:rsidRPr="005F43C5">
        <w:rPr>
          <w:rFonts w:cs="Times New Roman"/>
        </w:rPr>
        <w:t xml:space="preserve">Section 214 of the </w:t>
      </w:r>
      <w:r w:rsidRPr="005F43C5">
        <w:rPr>
          <w:rFonts w:cs="Times New Roman"/>
          <w:i/>
        </w:rPr>
        <w:t xml:space="preserve">Code </w:t>
      </w:r>
      <w:r w:rsidRPr="005F43C5">
        <w:rPr>
          <w:rFonts w:cs="Times New Roman"/>
        </w:rPr>
        <w:t>defines the words “abandon” and “expose” for the purposes of s. 218, and reads as follows:</w:t>
      </w:r>
    </w:p>
    <w:p w:rsidR="00A02B78" w:rsidRPr="005F43C5" w:rsidRDefault="00A02B78" w:rsidP="00A02B78">
      <w:pPr>
        <w:pStyle w:val="Citation-AltC"/>
        <w:ind w:firstLine="274"/>
      </w:pPr>
      <w:r w:rsidRPr="005F43C5">
        <w:rPr>
          <w:b/>
        </w:rPr>
        <w:t>214.</w:t>
      </w:r>
      <w:r w:rsidRPr="005F43C5">
        <w:t xml:space="preserve"> </w:t>
      </w:r>
      <w:proofErr w:type="gramStart"/>
      <w:r w:rsidRPr="005F43C5">
        <w:t>In</w:t>
      </w:r>
      <w:proofErr w:type="gramEnd"/>
      <w:r w:rsidRPr="005F43C5">
        <w:t xml:space="preserve"> this Part,  </w:t>
      </w:r>
    </w:p>
    <w:p w:rsidR="00A02B78" w:rsidRPr="005F43C5" w:rsidRDefault="00A02B78" w:rsidP="00A02B78">
      <w:pPr>
        <w:pStyle w:val="Citation-AltC"/>
      </w:pPr>
    </w:p>
    <w:p w:rsidR="00A02B78" w:rsidRPr="005F43C5" w:rsidRDefault="00A02B78" w:rsidP="00A02B78">
      <w:pPr>
        <w:pStyle w:val="Citation-AltC"/>
      </w:pPr>
      <w:r w:rsidRPr="005F43C5">
        <w:t>“</w:t>
      </w:r>
      <w:proofErr w:type="gramStart"/>
      <w:r w:rsidRPr="005F43C5">
        <w:t>abandon</w:t>
      </w:r>
      <w:proofErr w:type="gramEnd"/>
      <w:r w:rsidRPr="005F43C5">
        <w:t>” or “expose” includes</w:t>
      </w:r>
    </w:p>
    <w:p w:rsidR="00A02B78" w:rsidRPr="005F43C5" w:rsidRDefault="00A02B78" w:rsidP="00A02B78">
      <w:pPr>
        <w:pStyle w:val="Citation-AltC"/>
      </w:pPr>
    </w:p>
    <w:p w:rsidR="00A02B78" w:rsidRPr="005F43C5" w:rsidRDefault="00A02B78" w:rsidP="00A02B78">
      <w:pPr>
        <w:pStyle w:val="Citation-AltC"/>
        <w:ind w:left="1440"/>
      </w:pPr>
      <w:r w:rsidRPr="005F43C5">
        <w:t>(</w:t>
      </w:r>
      <w:r w:rsidRPr="005F43C5">
        <w:rPr>
          <w:i/>
        </w:rPr>
        <w:t>a</w:t>
      </w:r>
      <w:r w:rsidRPr="005F43C5">
        <w:t xml:space="preserve">) </w:t>
      </w:r>
      <w:proofErr w:type="gramStart"/>
      <w:r w:rsidRPr="005F43C5">
        <w:t>a</w:t>
      </w:r>
      <w:proofErr w:type="gramEnd"/>
      <w:r w:rsidRPr="005F43C5">
        <w:t xml:space="preserve"> wilful omission to take charge of a child by a person who is under a legal duty to do so, and</w:t>
      </w:r>
    </w:p>
    <w:p w:rsidR="00A02B78" w:rsidRPr="005F43C5" w:rsidRDefault="00A02B78" w:rsidP="00A02B78">
      <w:pPr>
        <w:pStyle w:val="Citation-AltC"/>
      </w:pPr>
    </w:p>
    <w:p w:rsidR="00A02B78" w:rsidRPr="005F43C5" w:rsidRDefault="00A02B78" w:rsidP="00A02B78">
      <w:pPr>
        <w:pStyle w:val="Citation-AltC"/>
        <w:ind w:left="1440"/>
      </w:pPr>
      <w:r w:rsidRPr="005F43C5">
        <w:t>(</w:t>
      </w:r>
      <w:r w:rsidRPr="005F43C5">
        <w:rPr>
          <w:i/>
        </w:rPr>
        <w:t>b</w:t>
      </w:r>
      <w:r w:rsidRPr="005F43C5">
        <w:t xml:space="preserve">) </w:t>
      </w:r>
      <w:proofErr w:type="gramStart"/>
      <w:r w:rsidRPr="005F43C5">
        <w:t>dealing</w:t>
      </w:r>
      <w:proofErr w:type="gramEnd"/>
      <w:r w:rsidRPr="005F43C5">
        <w:t xml:space="preserve"> with a child in a manner that is likely to leave that child exposed to risk without protection;</w:t>
      </w:r>
    </w:p>
    <w:p w:rsidR="00A02B78" w:rsidRPr="005F43C5" w:rsidRDefault="00A02B78" w:rsidP="00A02B78">
      <w:pPr>
        <w:pStyle w:val="ParaNoNdepar-AltN"/>
        <w:tabs>
          <w:tab w:val="clear" w:pos="1166"/>
          <w:tab w:val="num" w:pos="1152"/>
        </w:tabs>
        <w:rPr>
          <w:rFonts w:cs="Times New Roman"/>
        </w:rPr>
      </w:pPr>
      <w:r w:rsidRPr="005F43C5">
        <w:rPr>
          <w:rFonts w:cs="Times New Roman"/>
        </w:rPr>
        <w:t>It bears noting that the offence under s. 218 is not concerned with an act of abandonment or exposure in the abstract, or even the act of abandoning or exposing any child.  Rather, it is concerned with an act of abandoning or exposing a child under 10 so that the child is subject to certain risks.  There are thus three distinct elements, as follows:</w:t>
      </w:r>
    </w:p>
    <w:p w:rsidR="00A02B78" w:rsidRPr="005F43C5" w:rsidRDefault="005804A1" w:rsidP="00242705">
      <w:pPr>
        <w:pStyle w:val="Citation-AltC"/>
        <w:spacing w:after="480" w:line="480" w:lineRule="auto"/>
        <w:ind w:left="720" w:hanging="720"/>
        <w:contextualSpacing w:val="0"/>
        <w:rPr>
          <w:lang w:val="en-US"/>
        </w:rPr>
      </w:pPr>
      <w:r>
        <w:rPr>
          <w:lang w:val="en-US"/>
        </w:rPr>
        <w:t>1.</w:t>
      </w:r>
      <w:r>
        <w:rPr>
          <w:lang w:val="en-US"/>
        </w:rPr>
        <w:tab/>
      </w:r>
      <w:proofErr w:type="gramStart"/>
      <w:r>
        <w:rPr>
          <w:lang w:val="en-US"/>
        </w:rPr>
        <w:t>a</w:t>
      </w:r>
      <w:r w:rsidR="00A02B78" w:rsidRPr="005F43C5">
        <w:rPr>
          <w:lang w:val="en-US"/>
        </w:rPr>
        <w:t>n</w:t>
      </w:r>
      <w:proofErr w:type="gramEnd"/>
      <w:r w:rsidR="00A02B78" w:rsidRPr="005F43C5">
        <w:rPr>
          <w:lang w:val="en-US"/>
        </w:rPr>
        <w:t xml:space="preserve"> act of abandonment or exposure, </w:t>
      </w:r>
    </w:p>
    <w:p w:rsidR="00A02B78" w:rsidRPr="005F43C5" w:rsidRDefault="00A02B78" w:rsidP="00242705">
      <w:pPr>
        <w:pStyle w:val="Citation-AltC"/>
        <w:spacing w:after="480" w:line="480" w:lineRule="auto"/>
        <w:ind w:left="720" w:hanging="720"/>
        <w:contextualSpacing w:val="0"/>
        <w:rPr>
          <w:lang w:val="en-US"/>
        </w:rPr>
      </w:pPr>
      <w:r w:rsidRPr="005F43C5">
        <w:rPr>
          <w:lang w:val="en-US"/>
        </w:rPr>
        <w:t>2.</w:t>
      </w:r>
      <w:r w:rsidRPr="005F43C5">
        <w:rPr>
          <w:lang w:val="en-US"/>
        </w:rPr>
        <w:tab/>
        <w:t>of a child under the age of 10,</w:t>
      </w:r>
    </w:p>
    <w:p w:rsidR="00A02B78" w:rsidRPr="005F43C5" w:rsidRDefault="00A02B78" w:rsidP="00242705">
      <w:pPr>
        <w:pStyle w:val="Citation-AltC"/>
        <w:spacing w:after="480" w:line="480" w:lineRule="auto"/>
        <w:ind w:left="720" w:hanging="720"/>
        <w:contextualSpacing w:val="0"/>
        <w:rPr>
          <w:lang w:val="en-US"/>
        </w:rPr>
      </w:pPr>
      <w:r w:rsidRPr="005F43C5">
        <w:rPr>
          <w:lang w:val="en-US"/>
        </w:rPr>
        <w:lastRenderedPageBreak/>
        <w:t>3.</w:t>
      </w:r>
      <w:r w:rsidRPr="005F43C5">
        <w:rPr>
          <w:lang w:val="en-US"/>
        </w:rPr>
        <w:tab/>
      </w:r>
      <w:proofErr w:type="gramStart"/>
      <w:r w:rsidRPr="005F43C5">
        <w:rPr>
          <w:lang w:val="en-US"/>
        </w:rPr>
        <w:t>so</w:t>
      </w:r>
      <w:proofErr w:type="gramEnd"/>
      <w:r w:rsidRPr="005F43C5">
        <w:rPr>
          <w:lang w:val="en-US"/>
        </w:rPr>
        <w:t xml:space="preserve"> that the child’s life is or is likely to be endangered </w:t>
      </w:r>
      <w:r w:rsidRPr="005F43C5">
        <w:rPr>
          <w:i/>
          <w:lang w:val="en-US"/>
        </w:rPr>
        <w:t xml:space="preserve">or </w:t>
      </w:r>
      <w:r w:rsidRPr="005F43C5">
        <w:rPr>
          <w:lang w:val="en-US"/>
        </w:rPr>
        <w:t>its health is or is likely to be permanently injured.</w:t>
      </w:r>
    </w:p>
    <w:p w:rsidR="00A02B78" w:rsidRPr="005F43C5" w:rsidRDefault="00A02B78" w:rsidP="00A02B78">
      <w:pPr>
        <w:pStyle w:val="ParaNoNdepar-AltN"/>
        <w:tabs>
          <w:tab w:val="clear" w:pos="1166"/>
          <w:tab w:val="num" w:pos="1152"/>
        </w:tabs>
        <w:rPr>
          <w:rFonts w:cs="Times New Roman"/>
          <w:lang w:val="en-US"/>
        </w:rPr>
      </w:pPr>
      <w:r w:rsidRPr="005F43C5">
        <w:rPr>
          <w:rFonts w:cs="Times New Roman"/>
          <w:lang w:val="en-US"/>
        </w:rPr>
        <w:t xml:space="preserve">These three elements have been termed “acts”, “circumstances” and “consequences”.  See D. </w:t>
      </w:r>
      <w:proofErr w:type="spellStart"/>
      <w:r w:rsidRPr="005F43C5">
        <w:rPr>
          <w:rFonts w:cs="Times New Roman"/>
          <w:lang w:val="en-US"/>
        </w:rPr>
        <w:t>Ormerod</w:t>
      </w:r>
      <w:proofErr w:type="spellEnd"/>
      <w:r w:rsidRPr="005F43C5">
        <w:rPr>
          <w:rFonts w:cs="Times New Roman"/>
          <w:lang w:val="en-US"/>
        </w:rPr>
        <w:t xml:space="preserve">, </w:t>
      </w:r>
      <w:r w:rsidRPr="005F43C5">
        <w:rPr>
          <w:rFonts w:cs="Times New Roman"/>
          <w:i/>
          <w:lang w:val="en-US"/>
        </w:rPr>
        <w:t xml:space="preserve">Smith and Hogan’s Criminal Law </w:t>
      </w:r>
      <w:r w:rsidRPr="005F43C5">
        <w:rPr>
          <w:rFonts w:cs="Times New Roman"/>
          <w:lang w:val="en-US"/>
        </w:rPr>
        <w:t xml:space="preserve">(13th ed. 2011), at p. 56.  The act — here, abandonment or exposure — speaks to the conduct that, on its own or because of its consequences, the law seeks to punish.  The circumstances — here, a child under 10 — bring more specificity to the conduct by identifying certain facts or conditions that must be present.  Finally, the consequences — here, the risk to the child’s life or health — are the result that the law seeks to prevent.  Breaking an offence down into its various parts is important because, as Professor </w:t>
      </w:r>
      <w:proofErr w:type="spellStart"/>
      <w:r w:rsidRPr="005F43C5">
        <w:rPr>
          <w:rFonts w:cs="Times New Roman"/>
          <w:lang w:val="en-US"/>
        </w:rPr>
        <w:t>Ormerod</w:t>
      </w:r>
      <w:proofErr w:type="spellEnd"/>
      <w:r w:rsidRPr="005F43C5">
        <w:rPr>
          <w:rFonts w:cs="Times New Roman"/>
          <w:lang w:val="en-US"/>
        </w:rPr>
        <w:t xml:space="preserve"> observes, “the law may require different mental elements for the various constituents” (p. 56).  This is true with respect to s. 218 and, for reasons I will explain, care must thus be taken to distinguish between the act, its circumstances and its consequences in assessing the requisite </w:t>
      </w:r>
      <w:proofErr w:type="spellStart"/>
      <w:r w:rsidRPr="005F43C5">
        <w:rPr>
          <w:rFonts w:cs="Times New Roman"/>
          <w:i/>
          <w:lang w:val="en-US"/>
        </w:rPr>
        <w:t>mens</w:t>
      </w:r>
      <w:proofErr w:type="spellEnd"/>
      <w:r w:rsidRPr="005F43C5">
        <w:rPr>
          <w:rFonts w:cs="Times New Roman"/>
          <w:i/>
          <w:lang w:val="en-US"/>
        </w:rPr>
        <w:t xml:space="preserve"> </w:t>
      </w:r>
      <w:proofErr w:type="spellStart"/>
      <w:r w:rsidRPr="005F43C5">
        <w:rPr>
          <w:rFonts w:cs="Times New Roman"/>
          <w:i/>
          <w:lang w:val="en-US"/>
        </w:rPr>
        <w:t>rea</w:t>
      </w:r>
      <w:proofErr w:type="spellEnd"/>
      <w:r w:rsidRPr="005F43C5">
        <w:rPr>
          <w:rFonts w:cs="Times New Roman"/>
          <w:i/>
          <w:lang w:val="en-US"/>
        </w:rPr>
        <w:t xml:space="preserve"> </w:t>
      </w:r>
      <w:r w:rsidRPr="005F43C5">
        <w:rPr>
          <w:rFonts w:cs="Times New Roman"/>
          <w:lang w:val="en-US"/>
        </w:rPr>
        <w:t>for the offence.</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The </w:t>
      </w:r>
      <w:proofErr w:type="spellStart"/>
      <w:r w:rsidRPr="005F43C5">
        <w:rPr>
          <w:rFonts w:cs="Times New Roman"/>
          <w:i/>
        </w:rPr>
        <w:t>mens</w:t>
      </w:r>
      <w:proofErr w:type="spellEnd"/>
      <w:r w:rsidRPr="005F43C5">
        <w:rPr>
          <w:rFonts w:cs="Times New Roman"/>
          <w:i/>
        </w:rPr>
        <w:t xml:space="preserve"> </w:t>
      </w:r>
      <w:proofErr w:type="spellStart"/>
      <w:r w:rsidRPr="005F43C5">
        <w:rPr>
          <w:rFonts w:cs="Times New Roman"/>
          <w:i/>
        </w:rPr>
        <w:t>rea</w:t>
      </w:r>
      <w:proofErr w:type="spellEnd"/>
      <w:r w:rsidRPr="005F43C5">
        <w:rPr>
          <w:rFonts w:cs="Times New Roman"/>
        </w:rPr>
        <w:t xml:space="preserve"> of an offence “does not exist in the air or in the abstract but must be related to certain consequences or circumstances” (K. Roach, </w:t>
      </w:r>
      <w:r w:rsidRPr="005F43C5">
        <w:rPr>
          <w:rFonts w:cs="Times New Roman"/>
          <w:i/>
        </w:rPr>
        <w:t>Criminal Law</w:t>
      </w:r>
      <w:r w:rsidRPr="005F43C5">
        <w:rPr>
          <w:rFonts w:cs="Times New Roman"/>
        </w:rPr>
        <w:t xml:space="preserve"> (5th ed. 2012), at p. 164).  As a general rule, a mental element, whether subjective or objective, will accompany each physical element of a crime, be it the act, its circumstances or its consequences.  For example, as the third element in s. 218 requires that the child’s life or health is or is likely to be placed at risk, absent an exception to the rule, there must be an accompanying mental element of some kind, </w:t>
      </w:r>
      <w:r w:rsidRPr="005F43C5">
        <w:rPr>
          <w:rFonts w:cs="Times New Roman"/>
        </w:rPr>
        <w:lastRenderedPageBreak/>
        <w:t xml:space="preserve">whether subjective or objective, that addresses the </w:t>
      </w:r>
      <w:proofErr w:type="spellStart"/>
      <w:r w:rsidRPr="005F43C5">
        <w:rPr>
          <w:rFonts w:cs="Times New Roman"/>
        </w:rPr>
        <w:t>accused’s</w:t>
      </w:r>
      <w:proofErr w:type="spellEnd"/>
      <w:r w:rsidRPr="005F43C5">
        <w:rPr>
          <w:rFonts w:cs="Times New Roman"/>
        </w:rPr>
        <w:t xml:space="preserve"> state of mind in respect of the risk to the child.</w:t>
      </w:r>
    </w:p>
    <w:p w:rsidR="00A02B78" w:rsidRPr="005F43C5" w:rsidRDefault="00A02B78" w:rsidP="00A02B78">
      <w:pPr>
        <w:pStyle w:val="ParaNoNdepar-AltN"/>
        <w:tabs>
          <w:tab w:val="clear" w:pos="1166"/>
          <w:tab w:val="num" w:pos="1152"/>
        </w:tabs>
        <w:rPr>
          <w:rFonts w:cs="Times New Roman"/>
        </w:rPr>
      </w:pPr>
      <w:r w:rsidRPr="005F43C5">
        <w:rPr>
          <w:rFonts w:cs="Times New Roman"/>
        </w:rPr>
        <w:t>Furthermore, it is worth recalling that a particular offence may well have some mental elements that are assessed subjectively and others that are assessed objectively.</w:t>
      </w:r>
      <w:r w:rsidRPr="005F43C5">
        <w:rPr>
          <w:rFonts w:cs="Times New Roman"/>
          <w:i/>
        </w:rPr>
        <w:t xml:space="preserve"> </w:t>
      </w:r>
      <w:r w:rsidRPr="005F43C5">
        <w:rPr>
          <w:rFonts w:cs="Times New Roman"/>
        </w:rPr>
        <w:t xml:space="preserve"> In </w:t>
      </w:r>
      <w:r w:rsidRPr="005F43C5">
        <w:rPr>
          <w:rFonts w:cs="Times New Roman"/>
          <w:i/>
        </w:rPr>
        <w:t>R. v. Hinchey</w:t>
      </w:r>
      <w:r w:rsidRPr="005F43C5">
        <w:rPr>
          <w:rFonts w:cs="Times New Roman"/>
        </w:rPr>
        <w:t xml:space="preserve">, [1996] 3 S.C.R. 1128, at </w:t>
      </w:r>
      <w:proofErr w:type="spellStart"/>
      <w:r w:rsidRPr="005F43C5">
        <w:rPr>
          <w:rFonts w:cs="Times New Roman"/>
        </w:rPr>
        <w:t>para</w:t>
      </w:r>
      <w:proofErr w:type="spellEnd"/>
      <w:r w:rsidRPr="005F43C5">
        <w:rPr>
          <w:rFonts w:cs="Times New Roman"/>
        </w:rPr>
        <w:t xml:space="preserve">. 80, </w:t>
      </w:r>
      <w:proofErr w:type="spellStart"/>
      <w:r w:rsidRPr="005F43C5">
        <w:rPr>
          <w:rFonts w:cs="Times New Roman"/>
        </w:rPr>
        <w:t>L’Heureux-Dubé</w:t>
      </w:r>
      <w:proofErr w:type="spellEnd"/>
      <w:r w:rsidRPr="005F43C5">
        <w:rPr>
          <w:rFonts w:cs="Times New Roman"/>
        </w:rPr>
        <w:t xml:space="preserve"> J.,</w:t>
      </w:r>
      <w:r w:rsidRPr="005F43C5">
        <w:rPr>
          <w:rFonts w:cs="Times New Roman"/>
          <w:lang w:val="en-US"/>
        </w:rPr>
        <w:t xml:space="preserve"> for the majority, refused to accept that “an offence must be either subjective or objective with no possible middle ground”.  In her view,</w:t>
      </w:r>
    </w:p>
    <w:p w:rsidR="00A02B78" w:rsidRPr="005F43C5" w:rsidRDefault="00A02B78" w:rsidP="00A02B78">
      <w:pPr>
        <w:pStyle w:val="Citation-AltC"/>
      </w:pPr>
      <w:proofErr w:type="gramStart"/>
      <w:r w:rsidRPr="005F43C5">
        <w:t>the</w:t>
      </w:r>
      <w:proofErr w:type="gramEnd"/>
      <w:r w:rsidRPr="005F43C5">
        <w:t xml:space="preserve"> </w:t>
      </w:r>
      <w:proofErr w:type="spellStart"/>
      <w:r w:rsidRPr="005F43C5">
        <w:rPr>
          <w:i/>
        </w:rPr>
        <w:t>mens</w:t>
      </w:r>
      <w:proofErr w:type="spellEnd"/>
      <w:r w:rsidRPr="005F43C5">
        <w:rPr>
          <w:i/>
        </w:rPr>
        <w:t xml:space="preserve"> </w:t>
      </w:r>
      <w:proofErr w:type="spellStart"/>
      <w:r w:rsidRPr="005F43C5">
        <w:rPr>
          <w:i/>
        </w:rPr>
        <w:t>rea</w:t>
      </w:r>
      <w:proofErr w:type="spellEnd"/>
      <w:r w:rsidRPr="005F43C5">
        <w:t xml:space="preserve"> of a particular offence is composed of the totality of its component fault elements.  The mere fact that most criminal offences require </w:t>
      </w:r>
      <w:r w:rsidRPr="005F43C5">
        <w:rPr>
          <w:u w:val="single"/>
        </w:rPr>
        <w:t>some</w:t>
      </w:r>
      <w:r w:rsidRPr="005F43C5">
        <w:t xml:space="preserve"> subjective component does not mean that every element of the offence requires such a state of mind.  </w:t>
      </w:r>
      <w:proofErr w:type="gramStart"/>
      <w:r w:rsidRPr="005F43C5">
        <w:t xml:space="preserve">[Emphasis in original; </w:t>
      </w:r>
      <w:proofErr w:type="spellStart"/>
      <w:r w:rsidRPr="005F43C5">
        <w:t>para</w:t>
      </w:r>
      <w:proofErr w:type="spellEnd"/>
      <w:r w:rsidR="00B5583A">
        <w:t>.</w:t>
      </w:r>
      <w:proofErr w:type="gramEnd"/>
      <w:r w:rsidRPr="005F43C5">
        <w:t xml:space="preserve"> 80.]</w:t>
      </w:r>
    </w:p>
    <w:p w:rsidR="00A02B78" w:rsidRPr="005F43C5" w:rsidRDefault="00A02B78" w:rsidP="00A02B78">
      <w:pPr>
        <w:pStyle w:val="ContinueParaSuitedupar-AltP"/>
        <w:rPr>
          <w:rFonts w:cs="Times New Roman"/>
        </w:rPr>
      </w:pPr>
      <w:r w:rsidRPr="005F43C5">
        <w:rPr>
          <w:rFonts w:cs="Times New Roman"/>
        </w:rPr>
        <w:t xml:space="preserve">With that point in mind, one must be careful not to speak of a crime as requiring simply subjective or objective </w:t>
      </w:r>
      <w:proofErr w:type="spellStart"/>
      <w:r w:rsidRPr="005F43C5">
        <w:rPr>
          <w:rFonts w:cs="Times New Roman"/>
          <w:i/>
        </w:rPr>
        <w:t>mens</w:t>
      </w:r>
      <w:proofErr w:type="spellEnd"/>
      <w:r w:rsidRPr="005F43C5">
        <w:rPr>
          <w:rFonts w:cs="Times New Roman"/>
          <w:i/>
        </w:rPr>
        <w:t xml:space="preserve"> </w:t>
      </w:r>
      <w:proofErr w:type="spellStart"/>
      <w:r w:rsidRPr="005F43C5">
        <w:rPr>
          <w:rFonts w:cs="Times New Roman"/>
          <w:i/>
        </w:rPr>
        <w:t>rea</w:t>
      </w:r>
      <w:proofErr w:type="spellEnd"/>
      <w:r w:rsidRPr="005F43C5">
        <w:rPr>
          <w:rFonts w:cs="Times New Roman"/>
        </w:rPr>
        <w:t>.  Such conclusions “</w:t>
      </w:r>
      <w:proofErr w:type="spellStart"/>
      <w:proofErr w:type="gramStart"/>
      <w:r w:rsidRPr="005F43C5">
        <w:rPr>
          <w:rFonts w:cs="Times New Roman"/>
        </w:rPr>
        <w:t>tel</w:t>
      </w:r>
      <w:proofErr w:type="spellEnd"/>
      <w:r w:rsidRPr="005F43C5">
        <w:rPr>
          <w:rFonts w:cs="Times New Roman"/>
        </w:rPr>
        <w:t>[l] only part of the story”,</w:t>
      </w:r>
      <w:proofErr w:type="gramEnd"/>
      <w:r w:rsidRPr="005F43C5">
        <w:rPr>
          <w:rFonts w:cs="Times New Roman"/>
        </w:rPr>
        <w:t xml:space="preserve"> and a “more precise approach” requires identifying each mental element in relation to its coordinate physical element (Roach, at p. 164).  Accordingly, the task before us is to identify the mental element </w:t>
      </w:r>
      <w:r w:rsidRPr="005F43C5">
        <w:rPr>
          <w:rFonts w:cs="Times New Roman"/>
          <w:i/>
        </w:rPr>
        <w:t xml:space="preserve">for each </w:t>
      </w:r>
      <w:r w:rsidRPr="005F43C5">
        <w:rPr>
          <w:rFonts w:cs="Times New Roman"/>
        </w:rPr>
        <w:t>of the three physical elements of the offence of child abandonment — the act, the circumstances and the consequences.</w:t>
      </w:r>
    </w:p>
    <w:p w:rsidR="00A02B78" w:rsidRPr="005F43C5" w:rsidRDefault="00A02B78" w:rsidP="00A02B78">
      <w:pPr>
        <w:pStyle w:val="ParaNoNdepar-AltN"/>
        <w:tabs>
          <w:tab w:val="clear" w:pos="1166"/>
          <w:tab w:val="num" w:pos="1152"/>
        </w:tabs>
        <w:rPr>
          <w:rFonts w:cs="Times New Roman"/>
        </w:rPr>
      </w:pPr>
      <w:r w:rsidRPr="005F43C5">
        <w:rPr>
          <w:rFonts w:cs="Times New Roman"/>
        </w:rPr>
        <w:t>That brings me to the presumption that Parliament intends crimes to have a subjective fault element.  My colleague does a thorough analysis of the subject and concludes that</w:t>
      </w:r>
    </w:p>
    <w:p w:rsidR="00A02B78" w:rsidRPr="005F43C5" w:rsidRDefault="00A02B78" w:rsidP="00A02B78">
      <w:pPr>
        <w:pStyle w:val="Citation-AltC"/>
      </w:pPr>
      <w:proofErr w:type="gramStart"/>
      <w:r w:rsidRPr="005F43C5">
        <w:lastRenderedPageBreak/>
        <w:t>the</w:t>
      </w:r>
      <w:proofErr w:type="gramEnd"/>
      <w:r w:rsidRPr="005F43C5">
        <w:t xml:space="preserve"> presumption of subjective fault is not an outdated rule of construction which is at odds with the modern approach to statutory interpretation repeatedly endorsed by the Court.  On the contrary, the presumption forms part of the context which the modern approach requires to be considered.  [</w:t>
      </w:r>
      <w:proofErr w:type="spellStart"/>
      <w:r w:rsidRPr="005F43C5">
        <w:t>para</w:t>
      </w:r>
      <w:proofErr w:type="spellEnd"/>
      <w:r w:rsidRPr="005F43C5">
        <w:t>. 28]</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I do not take issue with that observation.  Care must be taken, however, to keep the presumption in its proper perspective.  As Morris Manning and Peter </w:t>
      </w:r>
      <w:proofErr w:type="spellStart"/>
      <w:r w:rsidRPr="005F43C5">
        <w:rPr>
          <w:rFonts w:cs="Times New Roman"/>
        </w:rPr>
        <w:t>Sankoff</w:t>
      </w:r>
      <w:proofErr w:type="spellEnd"/>
      <w:r w:rsidRPr="005F43C5">
        <w:rPr>
          <w:rFonts w:cs="Times New Roman"/>
        </w:rPr>
        <w:t xml:space="preserve"> observe in their treatise:</w:t>
      </w:r>
    </w:p>
    <w:p w:rsidR="00A02B78" w:rsidRPr="005F43C5" w:rsidRDefault="00A02B78" w:rsidP="00A02B78">
      <w:pPr>
        <w:pStyle w:val="Citation-AltC"/>
        <w:ind w:firstLine="274"/>
      </w:pPr>
      <w:r w:rsidRPr="005F43C5">
        <w:t xml:space="preserve">While generally correct, even [the presumption of subjective </w:t>
      </w:r>
      <w:proofErr w:type="spellStart"/>
      <w:r w:rsidRPr="005F43C5">
        <w:rPr>
          <w:i/>
        </w:rPr>
        <w:t>mens</w:t>
      </w:r>
      <w:proofErr w:type="spellEnd"/>
      <w:r w:rsidRPr="005F43C5">
        <w:rPr>
          <w:i/>
        </w:rPr>
        <w:t xml:space="preserve"> </w:t>
      </w:r>
      <w:proofErr w:type="spellStart"/>
      <w:r w:rsidRPr="005F43C5">
        <w:rPr>
          <w:i/>
        </w:rPr>
        <w:t>rea</w:t>
      </w:r>
      <w:proofErr w:type="spellEnd"/>
      <w:r w:rsidRPr="005F43C5">
        <w:t xml:space="preserve">] runs the possibility of being misinterpreted.  Although subjective fault is clearly the preferred standard, this has not always extended to every element of the offence, and </w:t>
      </w:r>
      <w:r w:rsidRPr="005F43C5">
        <w:rPr>
          <w:u w:val="single"/>
        </w:rPr>
        <w:t>it is particularly controversial in relation to the mental foresight required for particular consequences</w:t>
      </w:r>
      <w:r w:rsidRPr="00242705">
        <w:t>.</w:t>
      </w:r>
      <w:r w:rsidRPr="005F43C5">
        <w:t xml:space="preserve"> [Emphasis added.]</w:t>
      </w:r>
    </w:p>
    <w:p w:rsidR="00A02B78" w:rsidRPr="005F43C5" w:rsidRDefault="00A02B78" w:rsidP="00A02B78">
      <w:pPr>
        <w:pStyle w:val="Citation-AltC"/>
        <w:ind w:firstLine="274"/>
        <w:rPr>
          <w:u w:val="single"/>
        </w:rPr>
      </w:pPr>
    </w:p>
    <w:p w:rsidR="00A02B78" w:rsidRPr="005F43C5" w:rsidRDefault="00A02B78" w:rsidP="00242705">
      <w:pPr>
        <w:pStyle w:val="Citation-AltC"/>
        <w:ind w:left="0"/>
      </w:pPr>
      <w:r w:rsidRPr="005F43C5">
        <w:t>(</w:t>
      </w:r>
      <w:r w:rsidRPr="005F43C5">
        <w:rPr>
          <w:i/>
        </w:rPr>
        <w:t xml:space="preserve">Manning, </w:t>
      </w:r>
      <w:proofErr w:type="spellStart"/>
      <w:r w:rsidRPr="005F43C5">
        <w:rPr>
          <w:i/>
        </w:rPr>
        <w:t>Mewett</w:t>
      </w:r>
      <w:proofErr w:type="spellEnd"/>
      <w:r w:rsidRPr="005F43C5">
        <w:rPr>
          <w:i/>
        </w:rPr>
        <w:t xml:space="preserve"> &amp; </w:t>
      </w:r>
      <w:proofErr w:type="spellStart"/>
      <w:r w:rsidRPr="005F43C5">
        <w:rPr>
          <w:i/>
        </w:rPr>
        <w:t>Sankoff</w:t>
      </w:r>
      <w:proofErr w:type="spellEnd"/>
      <w:r w:rsidRPr="005F43C5">
        <w:rPr>
          <w:i/>
        </w:rPr>
        <w:t>: Criminal Law</w:t>
      </w:r>
      <w:r w:rsidRPr="005F43C5">
        <w:t xml:space="preserve"> (4th ed. 2009), at p. 153)</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The authors’ caution is well founded.  A line of decisions from this Court, beginning with </w:t>
      </w:r>
      <w:r w:rsidRPr="005F43C5">
        <w:rPr>
          <w:rFonts w:cs="Times New Roman"/>
          <w:i/>
          <w:szCs w:val="24"/>
        </w:rPr>
        <w:t xml:space="preserve">R. v. </w:t>
      </w:r>
      <w:proofErr w:type="spellStart"/>
      <w:r w:rsidRPr="005F43C5">
        <w:rPr>
          <w:rFonts w:cs="Times New Roman"/>
          <w:i/>
          <w:szCs w:val="24"/>
        </w:rPr>
        <w:t>DeSousa</w:t>
      </w:r>
      <w:proofErr w:type="spellEnd"/>
      <w:r w:rsidRPr="005F43C5">
        <w:rPr>
          <w:rFonts w:cs="Times New Roman"/>
          <w:szCs w:val="24"/>
        </w:rPr>
        <w:t xml:space="preserve">, [1992] 2 S.C.R. 944, have made clear that criminal law may justifiably “distinguish between criminal responsibility for equally reprehensible acts on the basis of the harm that is actually caused” (p. 967).  Thus, for so-called “predicate” offences, the law requires subjective </w:t>
      </w:r>
      <w:proofErr w:type="spellStart"/>
      <w:r w:rsidRPr="005F43C5">
        <w:rPr>
          <w:rFonts w:cs="Times New Roman"/>
          <w:i/>
          <w:szCs w:val="24"/>
        </w:rPr>
        <w:t>mens</w:t>
      </w:r>
      <w:proofErr w:type="spellEnd"/>
      <w:r w:rsidRPr="005F43C5">
        <w:rPr>
          <w:rFonts w:cs="Times New Roman"/>
          <w:i/>
          <w:szCs w:val="24"/>
        </w:rPr>
        <w:t xml:space="preserve"> </w:t>
      </w:r>
      <w:proofErr w:type="spellStart"/>
      <w:r w:rsidRPr="005F43C5">
        <w:rPr>
          <w:rFonts w:cs="Times New Roman"/>
          <w:i/>
          <w:szCs w:val="24"/>
        </w:rPr>
        <w:t>rea</w:t>
      </w:r>
      <w:proofErr w:type="spellEnd"/>
      <w:r w:rsidRPr="005F43C5">
        <w:rPr>
          <w:rFonts w:cs="Times New Roman"/>
          <w:szCs w:val="24"/>
        </w:rPr>
        <w:t xml:space="preserve"> only for the underlying act, while accepting objective </w:t>
      </w:r>
      <w:proofErr w:type="spellStart"/>
      <w:r w:rsidRPr="005F43C5">
        <w:rPr>
          <w:rFonts w:cs="Times New Roman"/>
          <w:i/>
          <w:szCs w:val="24"/>
        </w:rPr>
        <w:t>mens</w:t>
      </w:r>
      <w:proofErr w:type="spellEnd"/>
      <w:r w:rsidRPr="005F43C5">
        <w:rPr>
          <w:rFonts w:cs="Times New Roman"/>
          <w:i/>
          <w:szCs w:val="24"/>
        </w:rPr>
        <w:t xml:space="preserve"> </w:t>
      </w:r>
      <w:proofErr w:type="spellStart"/>
      <w:r w:rsidRPr="005F43C5">
        <w:rPr>
          <w:rFonts w:cs="Times New Roman"/>
          <w:i/>
          <w:szCs w:val="24"/>
        </w:rPr>
        <w:t>rea</w:t>
      </w:r>
      <w:proofErr w:type="spellEnd"/>
      <w:r w:rsidRPr="005F43C5">
        <w:rPr>
          <w:rFonts w:cs="Times New Roman"/>
          <w:i/>
          <w:szCs w:val="24"/>
        </w:rPr>
        <w:t xml:space="preserve"> </w:t>
      </w:r>
      <w:r w:rsidRPr="005F43C5">
        <w:rPr>
          <w:rFonts w:cs="Times New Roman"/>
          <w:szCs w:val="24"/>
        </w:rPr>
        <w:t xml:space="preserve">for the </w:t>
      </w:r>
      <w:r w:rsidRPr="005F43C5">
        <w:rPr>
          <w:rFonts w:cs="Times New Roman"/>
          <w:i/>
          <w:szCs w:val="24"/>
        </w:rPr>
        <w:t xml:space="preserve">consequences </w:t>
      </w:r>
      <w:r w:rsidRPr="005F43C5">
        <w:rPr>
          <w:rFonts w:cs="Times New Roman"/>
          <w:szCs w:val="24"/>
        </w:rPr>
        <w:t xml:space="preserve">that flow from that act.  As McLachlin J. (as she then was) aptly put it in </w:t>
      </w:r>
      <w:r w:rsidRPr="005F43C5">
        <w:rPr>
          <w:rFonts w:cs="Times New Roman"/>
          <w:i/>
          <w:szCs w:val="24"/>
        </w:rPr>
        <w:t>R. v. Creighton</w:t>
      </w:r>
      <w:r w:rsidRPr="005F43C5">
        <w:rPr>
          <w:rFonts w:cs="Times New Roman"/>
          <w:szCs w:val="24"/>
        </w:rPr>
        <w:t xml:space="preserve">, </w:t>
      </w:r>
      <w:r w:rsidRPr="005F43C5">
        <w:rPr>
          <w:rFonts w:cs="Times New Roman"/>
        </w:rPr>
        <w:t>[1993] 3 S.C.R. 3</w:t>
      </w:r>
      <w:r w:rsidRPr="005F43C5">
        <w:rPr>
          <w:rFonts w:cs="Times New Roman"/>
          <w:szCs w:val="24"/>
        </w:rPr>
        <w:t>, at p. 54, “[c]</w:t>
      </w:r>
      <w:proofErr w:type="spellStart"/>
      <w:r w:rsidRPr="005F43C5">
        <w:rPr>
          <w:rFonts w:cs="Times New Roman"/>
          <w:szCs w:val="24"/>
        </w:rPr>
        <w:t>onsequences</w:t>
      </w:r>
      <w:proofErr w:type="spellEnd"/>
      <w:r w:rsidRPr="005F43C5">
        <w:rPr>
          <w:rFonts w:cs="Times New Roman"/>
          <w:szCs w:val="24"/>
        </w:rPr>
        <w:t xml:space="preserve"> can be important.”</w:t>
      </w:r>
    </w:p>
    <w:p w:rsidR="00A02B78" w:rsidRPr="005F43C5" w:rsidRDefault="00A02B78" w:rsidP="00A02B78">
      <w:pPr>
        <w:pStyle w:val="ParaNoNdepar-AltN"/>
        <w:tabs>
          <w:tab w:val="clear" w:pos="1166"/>
          <w:tab w:val="num" w:pos="1152"/>
        </w:tabs>
        <w:rPr>
          <w:rFonts w:cs="Times New Roman"/>
        </w:rPr>
      </w:pPr>
      <w:r w:rsidRPr="005F43C5">
        <w:rPr>
          <w:rFonts w:cs="Times New Roman"/>
        </w:rPr>
        <w:lastRenderedPageBreak/>
        <w:t xml:space="preserve">More broadly, however, the adoption of objective </w:t>
      </w:r>
      <w:proofErr w:type="spellStart"/>
      <w:r w:rsidRPr="005F43C5">
        <w:rPr>
          <w:rFonts w:cs="Times New Roman"/>
          <w:i/>
        </w:rPr>
        <w:t>mens</w:t>
      </w:r>
      <w:proofErr w:type="spellEnd"/>
      <w:r w:rsidRPr="005F43C5">
        <w:rPr>
          <w:rFonts w:cs="Times New Roman"/>
          <w:i/>
        </w:rPr>
        <w:t xml:space="preserve"> </w:t>
      </w:r>
      <w:proofErr w:type="spellStart"/>
      <w:r w:rsidRPr="005F43C5">
        <w:rPr>
          <w:rFonts w:cs="Times New Roman"/>
          <w:i/>
        </w:rPr>
        <w:t>rea</w:t>
      </w:r>
      <w:proofErr w:type="spellEnd"/>
      <w:r w:rsidRPr="005F43C5">
        <w:rPr>
          <w:rFonts w:cs="Times New Roman"/>
          <w:i/>
        </w:rPr>
        <w:t xml:space="preserve"> </w:t>
      </w:r>
      <w:r w:rsidRPr="005F43C5">
        <w:rPr>
          <w:rFonts w:cs="Times New Roman"/>
        </w:rPr>
        <w:t xml:space="preserve">for the consequences of a particular act is not confined to predicate offences.  </w:t>
      </w:r>
      <w:r w:rsidRPr="005F43C5">
        <w:rPr>
          <w:rFonts w:cs="Times New Roman"/>
          <w:lang w:val="en-US"/>
        </w:rPr>
        <w:t>Such a narrow approach would “not [be] consistent with the way in which this Court has defined standards of fault” (</w:t>
      </w:r>
      <w:r w:rsidRPr="005F43C5">
        <w:rPr>
          <w:rFonts w:cs="Times New Roman"/>
          <w:i/>
          <w:lang w:val="en-US"/>
        </w:rPr>
        <w:t>Hinchey</w:t>
      </w:r>
      <w:r w:rsidRPr="005F43C5">
        <w:rPr>
          <w:rFonts w:cs="Times New Roman"/>
          <w:lang w:val="en-US"/>
        </w:rPr>
        <w:t xml:space="preserve">, at </w:t>
      </w:r>
      <w:proofErr w:type="spellStart"/>
      <w:r w:rsidRPr="005F43C5">
        <w:rPr>
          <w:rFonts w:cs="Times New Roman"/>
          <w:lang w:val="en-US"/>
        </w:rPr>
        <w:t>para</w:t>
      </w:r>
      <w:proofErr w:type="spellEnd"/>
      <w:r w:rsidRPr="005F43C5">
        <w:rPr>
          <w:rFonts w:cs="Times New Roman"/>
          <w:lang w:val="en-US"/>
        </w:rPr>
        <w:t>. 81).  In the end, “the question of which crimes can legitimately possess objective fault elements . . . will often depend on the wording of a particular section as well as its legislative purpose and context” (</w:t>
      </w:r>
      <w:proofErr w:type="spellStart"/>
      <w:r w:rsidRPr="005F43C5">
        <w:rPr>
          <w:rFonts w:cs="Times New Roman"/>
          <w:lang w:val="en-US"/>
        </w:rPr>
        <w:t>para</w:t>
      </w:r>
      <w:proofErr w:type="spellEnd"/>
      <w:r w:rsidRPr="005F43C5">
        <w:rPr>
          <w:rFonts w:cs="Times New Roman"/>
          <w:lang w:val="en-US"/>
        </w:rPr>
        <w:t xml:space="preserve">. 83).  Bearing that observation in mind, this Court has concluded in certain cases other than those dealing with predicate offences that objective </w:t>
      </w:r>
      <w:proofErr w:type="spellStart"/>
      <w:r w:rsidRPr="005F43C5">
        <w:rPr>
          <w:rFonts w:cs="Times New Roman"/>
          <w:i/>
          <w:lang w:val="en-US"/>
        </w:rPr>
        <w:t>mens</w:t>
      </w:r>
      <w:proofErr w:type="spellEnd"/>
      <w:r w:rsidRPr="005F43C5">
        <w:rPr>
          <w:rFonts w:cs="Times New Roman"/>
          <w:i/>
          <w:lang w:val="en-US"/>
        </w:rPr>
        <w:t xml:space="preserve"> </w:t>
      </w:r>
      <w:proofErr w:type="spellStart"/>
      <w:r w:rsidRPr="005F43C5">
        <w:rPr>
          <w:rFonts w:cs="Times New Roman"/>
          <w:i/>
          <w:lang w:val="en-US"/>
        </w:rPr>
        <w:t>rea</w:t>
      </w:r>
      <w:proofErr w:type="spellEnd"/>
      <w:r w:rsidRPr="005F43C5">
        <w:rPr>
          <w:rFonts w:cs="Times New Roman"/>
          <w:i/>
          <w:lang w:val="en-US"/>
        </w:rPr>
        <w:t xml:space="preserve"> </w:t>
      </w:r>
      <w:r w:rsidRPr="005F43C5">
        <w:rPr>
          <w:rFonts w:cs="Times New Roman"/>
          <w:lang w:val="en-US"/>
        </w:rPr>
        <w:t xml:space="preserve">is the appropriate standard with respect to the consequences of particular acts.  See, e.g., </w:t>
      </w:r>
      <w:r w:rsidRPr="005F43C5">
        <w:rPr>
          <w:rFonts w:cs="Times New Roman"/>
          <w:i/>
          <w:lang w:val="en-US"/>
        </w:rPr>
        <w:t xml:space="preserve">R. v. </w:t>
      </w:r>
      <w:proofErr w:type="spellStart"/>
      <w:r w:rsidRPr="005F43C5">
        <w:rPr>
          <w:rFonts w:cs="Times New Roman"/>
          <w:i/>
          <w:lang w:val="en-US"/>
        </w:rPr>
        <w:t>Lohnes</w:t>
      </w:r>
      <w:proofErr w:type="spellEnd"/>
      <w:r w:rsidRPr="005F43C5">
        <w:rPr>
          <w:rFonts w:cs="Times New Roman"/>
          <w:lang w:val="en-US"/>
        </w:rPr>
        <w:t>, [1992] 1 S.C.R. 167</w:t>
      </w:r>
      <w:r w:rsidRPr="005F43C5">
        <w:rPr>
          <w:rFonts w:cs="Times New Roman"/>
          <w:i/>
          <w:lang w:val="en-US"/>
        </w:rPr>
        <w:t xml:space="preserve"> </w:t>
      </w:r>
      <w:r w:rsidRPr="005F43C5">
        <w:rPr>
          <w:rFonts w:cs="Times New Roman"/>
          <w:lang w:val="en-US"/>
        </w:rPr>
        <w:t xml:space="preserve">(causing a disturbance); </w:t>
      </w:r>
      <w:r w:rsidRPr="005F43C5">
        <w:rPr>
          <w:rFonts w:cs="Times New Roman"/>
          <w:i/>
        </w:rPr>
        <w:t>R. v. Nova Scotia Pharmaceutical Society</w:t>
      </w:r>
      <w:r w:rsidRPr="005F43C5">
        <w:rPr>
          <w:rFonts w:cs="Times New Roman"/>
        </w:rPr>
        <w:t xml:space="preserve">, [1992] 2 S.C.R. 606 (conspiracy to prevent or lessen competition unduly); </w:t>
      </w:r>
      <w:r w:rsidRPr="005F43C5">
        <w:rPr>
          <w:rFonts w:cs="Times New Roman"/>
          <w:i/>
        </w:rPr>
        <w:t xml:space="preserve">R. v. </w:t>
      </w:r>
      <w:proofErr w:type="spellStart"/>
      <w:r w:rsidRPr="005F43C5">
        <w:rPr>
          <w:rFonts w:cs="Times New Roman"/>
          <w:i/>
        </w:rPr>
        <w:t>Naglik</w:t>
      </w:r>
      <w:proofErr w:type="spellEnd"/>
      <w:r w:rsidRPr="005F43C5">
        <w:rPr>
          <w:rFonts w:cs="Times New Roman"/>
        </w:rPr>
        <w:t>, [1993] 3 S.C.R. 122 (failing to provide the necessaries of life)</w:t>
      </w:r>
      <w:r w:rsidRPr="005F43C5">
        <w:rPr>
          <w:rFonts w:cs="Times New Roman"/>
          <w:lang w:val="en-US"/>
        </w:rPr>
        <w:t xml:space="preserve">. </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The same logic applies here.  For reasons I will develop, the wording of s. 218, its legislative purpose and its context lead to the conclusion that objective </w:t>
      </w:r>
      <w:proofErr w:type="spellStart"/>
      <w:r w:rsidRPr="005F43C5">
        <w:rPr>
          <w:rFonts w:cs="Times New Roman"/>
          <w:i/>
        </w:rPr>
        <w:t>mens</w:t>
      </w:r>
      <w:proofErr w:type="spellEnd"/>
      <w:r w:rsidRPr="005F43C5">
        <w:rPr>
          <w:rFonts w:cs="Times New Roman"/>
          <w:i/>
        </w:rPr>
        <w:t xml:space="preserve"> </w:t>
      </w:r>
      <w:proofErr w:type="spellStart"/>
      <w:r w:rsidRPr="005F43C5">
        <w:rPr>
          <w:rFonts w:cs="Times New Roman"/>
          <w:i/>
        </w:rPr>
        <w:t>rea</w:t>
      </w:r>
      <w:proofErr w:type="spellEnd"/>
      <w:r w:rsidRPr="005F43C5">
        <w:rPr>
          <w:rFonts w:cs="Times New Roman"/>
          <w:i/>
        </w:rPr>
        <w:t xml:space="preserve"> </w:t>
      </w:r>
      <w:r w:rsidRPr="005F43C5">
        <w:rPr>
          <w:rFonts w:cs="Times New Roman"/>
        </w:rPr>
        <w:t>is the standard against which the third element of the offence — the consequences of abandoning or exposing a child — is to be measured.</w:t>
      </w:r>
    </w:p>
    <w:p w:rsidR="00A02B78" w:rsidRPr="005F43C5" w:rsidRDefault="001E3F68" w:rsidP="001E3F68">
      <w:pPr>
        <w:pStyle w:val="TitleTitre-AltT"/>
        <w:tabs>
          <w:tab w:val="clear" w:pos="360"/>
          <w:tab w:val="left" w:pos="540"/>
        </w:tabs>
        <w:ind w:left="540" w:hanging="540"/>
        <w:rPr>
          <w:rFonts w:cs="Times New Roman"/>
          <w:i/>
          <w:u w:val="single"/>
        </w:rPr>
      </w:pPr>
      <w:r>
        <w:rPr>
          <w:rFonts w:cs="Times New Roman"/>
        </w:rPr>
        <w:t>B.</w:t>
      </w:r>
      <w:r>
        <w:rPr>
          <w:rFonts w:cs="Times New Roman"/>
        </w:rPr>
        <w:tab/>
      </w:r>
      <w:r w:rsidR="00A02B78" w:rsidRPr="005F43C5">
        <w:rPr>
          <w:rFonts w:cs="Times New Roman"/>
          <w:i/>
        </w:rPr>
        <w:t>Some</w:t>
      </w:r>
      <w:r w:rsidR="00A02B78" w:rsidRPr="005F43C5">
        <w:rPr>
          <w:rFonts w:cs="Times New Roman"/>
        </w:rPr>
        <w:t xml:space="preserve"> </w:t>
      </w:r>
      <w:r w:rsidR="00A02B78" w:rsidRPr="005F43C5">
        <w:rPr>
          <w:rFonts w:cs="Times New Roman"/>
          <w:i/>
        </w:rPr>
        <w:t xml:space="preserve">Common Sense </w:t>
      </w:r>
      <w:proofErr w:type="gramStart"/>
      <w:r w:rsidR="00A02B78" w:rsidRPr="005F43C5">
        <w:rPr>
          <w:rFonts w:cs="Times New Roman"/>
          <w:i/>
        </w:rPr>
        <w:t>About</w:t>
      </w:r>
      <w:proofErr w:type="gramEnd"/>
      <w:r w:rsidR="00A02B78" w:rsidRPr="005F43C5">
        <w:rPr>
          <w:rFonts w:cs="Times New Roman"/>
          <w:i/>
        </w:rPr>
        <w:t xml:space="preserve"> Child Abandonment </w:t>
      </w:r>
    </w:p>
    <w:p w:rsidR="00A02B78" w:rsidRPr="005F43C5" w:rsidRDefault="00A02B78" w:rsidP="00A02B78">
      <w:pPr>
        <w:pStyle w:val="ParaNoNdepar-AltN"/>
        <w:tabs>
          <w:tab w:val="clear" w:pos="1166"/>
          <w:tab w:val="num" w:pos="1152"/>
        </w:tabs>
        <w:rPr>
          <w:rFonts w:cs="Times New Roman"/>
        </w:rPr>
      </w:pPr>
      <w:r w:rsidRPr="005F43C5">
        <w:rPr>
          <w:rFonts w:cs="Times New Roman"/>
        </w:rPr>
        <w:t>As Professor Don Stuart has observed, “[m]ore ink has been spilt over the guilty mind concept than any other substantive criminal law topic” (</w:t>
      </w:r>
      <w:r w:rsidRPr="005F43C5">
        <w:rPr>
          <w:rFonts w:cs="Times New Roman"/>
          <w:i/>
        </w:rPr>
        <w:t>Canadian Criminal Law: A Treatise</w:t>
      </w:r>
      <w:r w:rsidRPr="005F43C5">
        <w:rPr>
          <w:rFonts w:cs="Times New Roman"/>
        </w:rPr>
        <w:t xml:space="preserve"> (6th ed. 2011), at p. 167).  The cases and commentary are muddled by a “bewildering variety of terminology” and “semantic acrobatics” (p. </w:t>
      </w:r>
      <w:r w:rsidRPr="005F43C5">
        <w:rPr>
          <w:rFonts w:cs="Times New Roman"/>
        </w:rPr>
        <w:lastRenderedPageBreak/>
        <w:t xml:space="preserve">167).  Regrettably, the case at hand is no exception.  Before turning to the task of statutory interpretation, then, I think it important to pause and reflect on the offence we are tasked with interpreting.  </w:t>
      </w:r>
    </w:p>
    <w:p w:rsidR="00A02B78" w:rsidRPr="005F43C5" w:rsidRDefault="00A02B78" w:rsidP="00A02B78">
      <w:pPr>
        <w:pStyle w:val="ParaNoNdepar-AltN"/>
        <w:tabs>
          <w:tab w:val="clear" w:pos="1166"/>
          <w:tab w:val="num" w:pos="1152"/>
        </w:tabs>
        <w:rPr>
          <w:rFonts w:cs="Times New Roman"/>
        </w:rPr>
      </w:pPr>
      <w:r w:rsidRPr="005F43C5">
        <w:rPr>
          <w:rFonts w:cs="Times New Roman"/>
        </w:rPr>
        <w:t>As mentioned, s. 218 is child protection legislation.  It seeks to protect children under the age of 10 who cannot fend for themselves and who, for that reason, are among society’s most vulnerable members.  To be sure, abandoning or exposing a child under the age of 10 is a risky matter.  No reasonable person would suggest otherwise.  Given the inherent danger of abandoning or exposing a helpless child, Parliament has chosen to criminalize such conduct, but only to the extent that it places or is likely to place the child at risk of death or permanent injury.  To put the matter somewhat differently, s. 218 reflects an effort by Parliament to require certain individuals to take care of a young child in certain situations that threaten its life or health.  In the interests of protecting the child, the provision thus imposes a societal minimum standard of conduct.</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Once it is accepted that in enacting s. 218 Parliament intended to guard against dangerous conduct that any reasonable person would foresee is likely to endanger a child’s life or expose it to permanent injury, I fail to see why Parliament would turn around and provide accused persons with a host of defences based on their individual characteristics.  Doing so would effectively defeat the provision’s purpose of imposing a societal minimum standard of conduct, since crimes of subjective fault require an assessment of personal characteristics to the extent that they tend to prove </w:t>
      </w:r>
      <w:r w:rsidRPr="005F43C5">
        <w:rPr>
          <w:rFonts w:cs="Times New Roman"/>
        </w:rPr>
        <w:lastRenderedPageBreak/>
        <w:t>or disprove an element of the offence (</w:t>
      </w:r>
      <w:r w:rsidRPr="005F43C5">
        <w:rPr>
          <w:rFonts w:cs="Times New Roman"/>
          <w:i/>
        </w:rPr>
        <w:t>Creighton</w:t>
      </w:r>
      <w:r w:rsidRPr="005F43C5">
        <w:rPr>
          <w:rFonts w:cs="Times New Roman"/>
        </w:rPr>
        <w:t>, at p. 63).  Age, temperament, mental development, experience, sophistication and education would all factor into the determination of whether a particular accused appreciated the risk of harm resulting from the inherently dangerous conduct of abandoning or exposing a helpless child.  Of particular concern, such an approach would provide a defence to the errant parent or irresponsible caregiver who, by virtue of intoxication, could not or did not foresee the likely consequences of his or her dangerous conduct, whether it be locking a child in a car on a hot summer’s day or exposing a child to the elements on a cold winter’s night.</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I do not accept that Parliament, in enacting s. 218, contemplated such a self-defeating regime.  Common sense suggests that Parliament would not treat the lives and safety of innocent children with such indifference. </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These observations are neither new nor novel.  One need only </w:t>
      </w:r>
      <w:proofErr w:type="gramStart"/>
      <w:r w:rsidRPr="005F43C5">
        <w:rPr>
          <w:rFonts w:cs="Times New Roman"/>
        </w:rPr>
        <w:t>look back to the last time</w:t>
      </w:r>
      <w:proofErr w:type="gramEnd"/>
      <w:r w:rsidRPr="005F43C5">
        <w:rPr>
          <w:rFonts w:cs="Times New Roman"/>
        </w:rPr>
        <w:t xml:space="preserve"> this Court addressed the fault requirements of a child protection measure in the </w:t>
      </w:r>
      <w:r w:rsidRPr="005F43C5">
        <w:rPr>
          <w:rFonts w:cs="Times New Roman"/>
          <w:i/>
        </w:rPr>
        <w:t xml:space="preserve">Criminal Code </w:t>
      </w:r>
      <w:r w:rsidRPr="005F43C5">
        <w:rPr>
          <w:rFonts w:cs="Times New Roman"/>
        </w:rPr>
        <w:t xml:space="preserve">to find support for an objective standard in this context.  In </w:t>
      </w:r>
      <w:proofErr w:type="spellStart"/>
      <w:r w:rsidRPr="005F43C5">
        <w:rPr>
          <w:rFonts w:cs="Times New Roman"/>
          <w:i/>
        </w:rPr>
        <w:t>Naglik</w:t>
      </w:r>
      <w:proofErr w:type="spellEnd"/>
      <w:r w:rsidRPr="005F43C5">
        <w:rPr>
          <w:rFonts w:cs="Times New Roman"/>
        </w:rPr>
        <w:t xml:space="preserve">, the Court interpreted the fault requirements for s. 215 — a sister provision to s. 218 that punishes a failure to provide the necessaries of life.  No member of the </w:t>
      </w:r>
      <w:proofErr w:type="spellStart"/>
      <w:r w:rsidRPr="005F43C5">
        <w:rPr>
          <w:rFonts w:cs="Times New Roman"/>
          <w:i/>
        </w:rPr>
        <w:t>Naglik</w:t>
      </w:r>
      <w:proofErr w:type="spellEnd"/>
      <w:r w:rsidRPr="005F43C5">
        <w:rPr>
          <w:rFonts w:cs="Times New Roman"/>
          <w:i/>
        </w:rPr>
        <w:t xml:space="preserve"> </w:t>
      </w:r>
      <w:r w:rsidRPr="005F43C5">
        <w:rPr>
          <w:rFonts w:cs="Times New Roman"/>
        </w:rPr>
        <w:t xml:space="preserve">Court questioned the need for an objective standard.  Indeed, every member of the Court recognized that anything other than an objective standard would undermine the provision’s purpose.  Even Lamer C.J., who would have </w:t>
      </w:r>
      <w:r w:rsidRPr="005F43C5">
        <w:rPr>
          <w:rFonts w:cs="Times New Roman"/>
        </w:rPr>
        <w:lastRenderedPageBreak/>
        <w:t>allowed for some personal characteristics, was unequivocal that a subjective standard was untenable in this context:</w:t>
      </w:r>
    </w:p>
    <w:p w:rsidR="00A02B78" w:rsidRPr="005F43C5" w:rsidRDefault="00A02B78" w:rsidP="00A02B78">
      <w:pPr>
        <w:pStyle w:val="Citation-AltC"/>
      </w:pPr>
      <w:r w:rsidRPr="005F43C5">
        <w:t xml:space="preserve">Section 215 is aimed at establishing a uniform minimum level of care to be provided for those to whom it applies, and </w:t>
      </w:r>
      <w:r w:rsidRPr="005F43C5">
        <w:rPr>
          <w:u w:val="single"/>
        </w:rPr>
        <w:t>this can only be achieved if those under the duty are held to a societal, rather than a personal, standard of conduct</w:t>
      </w:r>
      <w:r w:rsidRPr="005F43C5">
        <w:t>.  [Emphasis added; emphasis in original deleted; p. 141.]</w:t>
      </w:r>
    </w:p>
    <w:p w:rsidR="00A02B78" w:rsidRPr="005F43C5" w:rsidRDefault="00A02B78" w:rsidP="00A02B78">
      <w:pPr>
        <w:pStyle w:val="ContinueParaSuitedupar-AltP"/>
        <w:rPr>
          <w:rFonts w:cs="Times New Roman"/>
        </w:rPr>
      </w:pPr>
      <w:r w:rsidRPr="005F43C5">
        <w:rPr>
          <w:rFonts w:cs="Times New Roman"/>
        </w:rPr>
        <w:t>Justice McLachlin (as she then was), speaking for the majority on this issue, went further, holding that personal factors such as “youth, experience, [and] education” have no place in adjudicating fault for this kind of offence (p. 148).  With respect, I believe the same holds true for s. 218.</w:t>
      </w:r>
    </w:p>
    <w:p w:rsidR="00A02B78" w:rsidRPr="005F43C5" w:rsidRDefault="001E3F68" w:rsidP="001E3F68">
      <w:pPr>
        <w:pStyle w:val="TitleTitre-AltT"/>
        <w:tabs>
          <w:tab w:val="clear" w:pos="360"/>
          <w:tab w:val="left" w:pos="540"/>
        </w:tabs>
        <w:ind w:left="540" w:hanging="540"/>
        <w:rPr>
          <w:rFonts w:cs="Times New Roman"/>
          <w:u w:val="single"/>
        </w:rPr>
      </w:pPr>
      <w:r>
        <w:rPr>
          <w:rFonts w:cs="Times New Roman"/>
        </w:rPr>
        <w:t>C.</w:t>
      </w:r>
      <w:r>
        <w:rPr>
          <w:rFonts w:cs="Times New Roman"/>
        </w:rPr>
        <w:tab/>
      </w:r>
      <w:r w:rsidR="00A02B78" w:rsidRPr="005F43C5">
        <w:rPr>
          <w:rFonts w:cs="Times New Roman"/>
          <w:i/>
        </w:rPr>
        <w:t>Section 218 Is a Duty-Based Offence</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Turning then to the heart of the matter, in my view, s. 218 is a duty-based offence — no less so than its sister provision s. 215.  Admittedly, the wording of s. 218 is not as explicit as the wording of s. 215 and more work is needed to uncover the true purpose of s. 218 and the individuals it targets.  However, if s. 218 is duty-based, then the reasoning that led this Court in </w:t>
      </w:r>
      <w:proofErr w:type="spellStart"/>
      <w:r w:rsidRPr="005F43C5">
        <w:rPr>
          <w:rFonts w:cs="Times New Roman"/>
          <w:i/>
        </w:rPr>
        <w:t>Naglik</w:t>
      </w:r>
      <w:proofErr w:type="spellEnd"/>
      <w:r w:rsidRPr="005F43C5">
        <w:rPr>
          <w:rFonts w:cs="Times New Roman"/>
        </w:rPr>
        <w:t xml:space="preserve"> to conclude that penal negligence satisfies the fault element in s. 215 applies with equal force to s. 218 as a matter of principle and precedent.  It is really as simple as that.</w:t>
      </w:r>
    </w:p>
    <w:p w:rsidR="00A02B78" w:rsidRPr="005F43C5" w:rsidRDefault="00A02B78" w:rsidP="00A02B78">
      <w:pPr>
        <w:pStyle w:val="ParaNoNdepar-AltN"/>
        <w:tabs>
          <w:tab w:val="clear" w:pos="1166"/>
          <w:tab w:val="num" w:pos="1152"/>
        </w:tabs>
        <w:rPr>
          <w:rFonts w:cs="Times New Roman"/>
        </w:rPr>
      </w:pPr>
      <w:r w:rsidRPr="005F43C5">
        <w:rPr>
          <w:rFonts w:cs="Times New Roman"/>
        </w:rPr>
        <w:lastRenderedPageBreak/>
        <w:t xml:space="preserve">As indicated, I am satisfied that s. 218 targets three limited classes of people faced with a situation where a child under 10 is or is likely to be at risk of death or permanent injury:  </w:t>
      </w:r>
    </w:p>
    <w:p w:rsidR="00A02B78" w:rsidRPr="005F43C5" w:rsidRDefault="00A02B78" w:rsidP="001E3F68">
      <w:pPr>
        <w:pStyle w:val="Citation-AltC"/>
        <w:spacing w:after="480" w:line="480" w:lineRule="auto"/>
        <w:ind w:left="720" w:hanging="720"/>
        <w:contextualSpacing w:val="0"/>
      </w:pPr>
      <w:r w:rsidRPr="005F43C5">
        <w:t>1.</w:t>
      </w:r>
      <w:r w:rsidRPr="005F43C5">
        <w:tab/>
      </w:r>
      <w:proofErr w:type="gramStart"/>
      <w:r w:rsidRPr="005F43C5">
        <w:t>those</w:t>
      </w:r>
      <w:proofErr w:type="gramEnd"/>
      <w:r w:rsidRPr="005F43C5">
        <w:t xml:space="preserve"> who have </w:t>
      </w:r>
      <w:r>
        <w:t xml:space="preserve">a pre-existing and </w:t>
      </w:r>
      <w:r w:rsidRPr="005F43C5">
        <w:t>an ongoing legal duty to take charge of the child;</w:t>
      </w:r>
    </w:p>
    <w:p w:rsidR="00A02B78" w:rsidRPr="005F43C5" w:rsidRDefault="00A02B78" w:rsidP="001E3F68">
      <w:pPr>
        <w:pStyle w:val="Citation-AltC"/>
        <w:spacing w:after="480" w:line="480" w:lineRule="auto"/>
        <w:ind w:left="720" w:hanging="720"/>
        <w:contextualSpacing w:val="0"/>
      </w:pPr>
      <w:r w:rsidRPr="005F43C5">
        <w:t>2.</w:t>
      </w:r>
      <w:r w:rsidRPr="005F43C5">
        <w:tab/>
      </w:r>
      <w:proofErr w:type="gramStart"/>
      <w:r w:rsidRPr="005F43C5">
        <w:t>those</w:t>
      </w:r>
      <w:proofErr w:type="gramEnd"/>
      <w:r w:rsidRPr="005F43C5">
        <w:t xml:space="preserve"> who choose to come to the aid of the child in that situation; and</w:t>
      </w:r>
    </w:p>
    <w:p w:rsidR="00A02B78" w:rsidRPr="005F43C5" w:rsidRDefault="00A02B78" w:rsidP="001E3F68">
      <w:pPr>
        <w:pStyle w:val="Citation-AltC"/>
        <w:spacing w:after="480" w:line="480" w:lineRule="auto"/>
        <w:ind w:left="720" w:hanging="720"/>
        <w:contextualSpacing w:val="0"/>
      </w:pPr>
      <w:r w:rsidRPr="005F43C5">
        <w:t>3.</w:t>
      </w:r>
      <w:r w:rsidRPr="005F43C5">
        <w:tab/>
      </w:r>
      <w:proofErr w:type="gramStart"/>
      <w:r w:rsidRPr="005F43C5">
        <w:t>those</w:t>
      </w:r>
      <w:proofErr w:type="gramEnd"/>
      <w:r w:rsidRPr="005F43C5">
        <w:t xml:space="preserve"> who place the child in that situation.</w:t>
      </w:r>
    </w:p>
    <w:p w:rsidR="00A02B78" w:rsidRPr="005F43C5" w:rsidRDefault="00A02B78" w:rsidP="00A02B78">
      <w:pPr>
        <w:pStyle w:val="ContinueParaSuitedupar-AltP"/>
        <w:rPr>
          <w:rFonts w:cs="Times New Roman"/>
        </w:rPr>
      </w:pPr>
      <w:r w:rsidRPr="005F43C5">
        <w:rPr>
          <w:rFonts w:cs="Times New Roman"/>
        </w:rPr>
        <w:t>I explain my thinking in what follows.</w:t>
      </w:r>
    </w:p>
    <w:p w:rsidR="00A02B78" w:rsidRPr="005F43C5" w:rsidRDefault="00A02B78" w:rsidP="001E3F68">
      <w:pPr>
        <w:pStyle w:val="TitleTitre-AltT"/>
        <w:tabs>
          <w:tab w:val="clear" w:pos="360"/>
          <w:tab w:val="left" w:pos="1170"/>
          <w:tab w:val="left" w:pos="1710"/>
        </w:tabs>
        <w:ind w:left="1710" w:hanging="1530"/>
        <w:rPr>
          <w:rFonts w:cs="Times New Roman"/>
        </w:rPr>
      </w:pPr>
      <w:r w:rsidRPr="005F43C5">
        <w:rPr>
          <w:rFonts w:cs="Times New Roman"/>
        </w:rPr>
        <w:tab/>
        <w:t>(1)</w:t>
      </w:r>
      <w:r w:rsidRPr="005F43C5">
        <w:rPr>
          <w:rFonts w:cs="Times New Roman"/>
        </w:rPr>
        <w:tab/>
      </w:r>
      <w:r w:rsidRPr="005F43C5">
        <w:rPr>
          <w:rFonts w:cs="Times New Roman"/>
          <w:u w:val="single"/>
        </w:rPr>
        <w:t>The Language of Sections 214 and 218</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Turning to the first group mentioned above, while s. 218 of the </w:t>
      </w:r>
      <w:r w:rsidRPr="005F43C5">
        <w:rPr>
          <w:rFonts w:cs="Times New Roman"/>
          <w:i/>
        </w:rPr>
        <w:t>Code</w:t>
      </w:r>
      <w:r w:rsidRPr="005F43C5">
        <w:rPr>
          <w:rFonts w:cs="Times New Roman"/>
        </w:rPr>
        <w:t xml:space="preserve"> does not itself refer to persons who have a legal duty to take charge of a child under the age of 10 years, s. 214, which provides a non-exhaustive definition of the terms “abandon” and “expose” as used in s. 218, incorporates such persons expressly.  Par</w:t>
      </w:r>
      <w:r w:rsidR="001E3F68">
        <w:rPr>
          <w:rFonts w:cs="Times New Roman"/>
        </w:rPr>
        <w:t>agraph</w:t>
      </w:r>
      <w:r w:rsidRPr="005F43C5">
        <w:rPr>
          <w:rFonts w:cs="Times New Roman"/>
        </w:rPr>
        <w:t xml:space="preserve"> (</w:t>
      </w:r>
      <w:r w:rsidRPr="005F43C5">
        <w:rPr>
          <w:rFonts w:cs="Times New Roman"/>
          <w:i/>
        </w:rPr>
        <w:t>a</w:t>
      </w:r>
      <w:r w:rsidRPr="005F43C5">
        <w:rPr>
          <w:rFonts w:cs="Times New Roman"/>
        </w:rPr>
        <w:t xml:space="preserve">) of the definition includes within the meaning of “abandon” or “expose” “a wilful omission to take charge of a child by a person </w:t>
      </w:r>
      <w:r w:rsidRPr="005F43C5">
        <w:rPr>
          <w:rFonts w:cs="Times New Roman"/>
          <w:u w:val="single"/>
        </w:rPr>
        <w:t>who is under a legal duty to do so</w:t>
      </w:r>
      <w:r w:rsidRPr="005F43C5">
        <w:rPr>
          <w:rFonts w:cs="Times New Roman"/>
        </w:rPr>
        <w:t xml:space="preserve">”. </w:t>
      </w:r>
    </w:p>
    <w:p w:rsidR="00A02B78" w:rsidRPr="005F43C5" w:rsidRDefault="00A02B78" w:rsidP="00A02B78">
      <w:pPr>
        <w:pStyle w:val="ParaNoNdepar-AltN"/>
        <w:tabs>
          <w:tab w:val="clear" w:pos="1166"/>
          <w:tab w:val="num" w:pos="1152"/>
        </w:tabs>
        <w:rPr>
          <w:rFonts w:cs="Times New Roman"/>
        </w:rPr>
      </w:pPr>
      <w:r w:rsidRPr="005F43C5">
        <w:rPr>
          <w:rFonts w:cs="Times New Roman"/>
        </w:rPr>
        <w:lastRenderedPageBreak/>
        <w:t xml:space="preserve">As a consequence of this language, s. 218 plainly takes in a large swath of people </w:t>
      </w:r>
      <w:r w:rsidRPr="005F43C5">
        <w:rPr>
          <w:rFonts w:cs="Times New Roman"/>
          <w:i/>
        </w:rPr>
        <w:t>who owe a legal duty</w:t>
      </w:r>
      <w:r w:rsidRPr="005F43C5">
        <w:rPr>
          <w:rFonts w:cs="Times New Roman"/>
        </w:rPr>
        <w:t xml:space="preserve"> to take charge of a child under the age of 10 — including parents, foster parents and guardians, the people most likely to run afoul of the provision by virtue of being the central figures in a child’s life. Once that is accepted, as I think it must be</w:t>
      </w:r>
      <w:proofErr w:type="gramStart"/>
      <w:r w:rsidRPr="005F43C5">
        <w:rPr>
          <w:rFonts w:cs="Times New Roman"/>
        </w:rPr>
        <w:t>,</w:t>
      </w:r>
      <w:proofErr w:type="gramEnd"/>
      <w:r w:rsidRPr="005F43C5">
        <w:rPr>
          <w:rFonts w:cs="Times New Roman"/>
        </w:rPr>
        <w:t xml:space="preserve"> I fail to see how or why the provision should not be characterized as </w:t>
      </w:r>
      <w:r w:rsidRPr="005F43C5">
        <w:rPr>
          <w:rFonts w:cs="Times New Roman"/>
          <w:lang w:val="en-US"/>
        </w:rPr>
        <w:t>“duty-based”.</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The recognition that s. 218 sweeps within its ambit persons who are </w:t>
      </w:r>
      <w:r w:rsidRPr="005F43C5">
        <w:rPr>
          <w:rFonts w:cs="Times New Roman"/>
          <w:i/>
        </w:rPr>
        <w:t xml:space="preserve">already </w:t>
      </w:r>
      <w:r w:rsidRPr="005F43C5">
        <w:rPr>
          <w:rFonts w:cs="Times New Roman"/>
        </w:rPr>
        <w:t xml:space="preserve">duty-bound to protect a child leads to the central difficulty with holding that s. 218 is, in its entirety, a subjective </w:t>
      </w:r>
      <w:proofErr w:type="spellStart"/>
      <w:r w:rsidRPr="005F43C5">
        <w:rPr>
          <w:rFonts w:cs="Times New Roman"/>
          <w:i/>
        </w:rPr>
        <w:t>mens</w:t>
      </w:r>
      <w:proofErr w:type="spellEnd"/>
      <w:r w:rsidRPr="005F43C5">
        <w:rPr>
          <w:rFonts w:cs="Times New Roman"/>
          <w:i/>
        </w:rPr>
        <w:t xml:space="preserve"> </w:t>
      </w:r>
      <w:proofErr w:type="spellStart"/>
      <w:r w:rsidRPr="005F43C5">
        <w:rPr>
          <w:rFonts w:cs="Times New Roman"/>
          <w:i/>
        </w:rPr>
        <w:t>rea</w:t>
      </w:r>
      <w:proofErr w:type="spellEnd"/>
      <w:r w:rsidRPr="005F43C5">
        <w:rPr>
          <w:rFonts w:cs="Times New Roman"/>
          <w:i/>
        </w:rPr>
        <w:t xml:space="preserve"> </w:t>
      </w:r>
      <w:r w:rsidRPr="005F43C5">
        <w:rPr>
          <w:rFonts w:cs="Times New Roman"/>
        </w:rPr>
        <w:t xml:space="preserve">offence.  Put simply, if the great bulk of people to whom the provision applies have a pre-existing and ongoing legal duty to take charge of children who fall below the age of 10, it hardly seems reasonable, or right, that they should be judged against a subjective </w:t>
      </w:r>
      <w:proofErr w:type="spellStart"/>
      <w:r w:rsidRPr="005F43C5">
        <w:rPr>
          <w:rFonts w:cs="Times New Roman"/>
          <w:i/>
        </w:rPr>
        <w:t>mens</w:t>
      </w:r>
      <w:proofErr w:type="spellEnd"/>
      <w:r w:rsidRPr="005F43C5">
        <w:rPr>
          <w:rFonts w:cs="Times New Roman"/>
          <w:i/>
        </w:rPr>
        <w:t xml:space="preserve"> </w:t>
      </w:r>
      <w:proofErr w:type="spellStart"/>
      <w:r w:rsidRPr="005F43C5">
        <w:rPr>
          <w:rFonts w:cs="Times New Roman"/>
          <w:i/>
        </w:rPr>
        <w:t>rea</w:t>
      </w:r>
      <w:proofErr w:type="spellEnd"/>
      <w:r w:rsidRPr="005F43C5">
        <w:rPr>
          <w:rFonts w:cs="Times New Roman"/>
        </w:rPr>
        <w:t xml:space="preserve"> standard when the very same people who run afoul of the duty-based provision next door (s. 215) are judged on a penal negligence standard (see </w:t>
      </w:r>
      <w:proofErr w:type="spellStart"/>
      <w:r w:rsidRPr="005F43C5">
        <w:rPr>
          <w:rFonts w:cs="Times New Roman"/>
          <w:i/>
        </w:rPr>
        <w:t>Naglik</w:t>
      </w:r>
      <w:proofErr w:type="spellEnd"/>
      <w:r w:rsidRPr="005F43C5">
        <w:rPr>
          <w:rFonts w:cs="Times New Roman"/>
        </w:rPr>
        <w:t>)</w:t>
      </w:r>
      <w:r w:rsidRPr="005F43C5">
        <w:rPr>
          <w:rFonts w:cs="Times New Roman"/>
          <w:i/>
        </w:rPr>
        <w:t xml:space="preserve">.  </w:t>
      </w:r>
      <w:r w:rsidRPr="005F43C5">
        <w:rPr>
          <w:rFonts w:cs="Times New Roman"/>
        </w:rPr>
        <w:t>Self-evidently, the result would be a double standard — an objective standard under s. 215 and a subjective standard under s. 218 — for provisions that serve similar, if not identical, purposes:  protecting the same children, imposing a duty on the same people, guarding against the same consequences.</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One might be inclined to justify such a double standard on the basis of a key difference in s. 218, namely that it applies to people who have a pre-existing and ongoing legal duty to children under the age of 10 </w:t>
      </w:r>
      <w:r w:rsidRPr="005F43C5">
        <w:rPr>
          <w:rFonts w:cs="Times New Roman"/>
          <w:i/>
        </w:rPr>
        <w:t xml:space="preserve">and </w:t>
      </w:r>
      <w:r w:rsidRPr="005F43C5">
        <w:rPr>
          <w:rFonts w:cs="Times New Roman"/>
        </w:rPr>
        <w:t xml:space="preserve">to those who do </w:t>
      </w:r>
      <w:r w:rsidRPr="005F43C5">
        <w:rPr>
          <w:rFonts w:cs="Times New Roman"/>
          <w:i/>
        </w:rPr>
        <w:t>not</w:t>
      </w:r>
      <w:r w:rsidRPr="005F43C5">
        <w:rPr>
          <w:rFonts w:cs="Times New Roman"/>
        </w:rPr>
        <w:t xml:space="preserve"> have such </w:t>
      </w:r>
      <w:r w:rsidRPr="005F43C5">
        <w:rPr>
          <w:rFonts w:cs="Times New Roman"/>
        </w:rPr>
        <w:lastRenderedPageBreak/>
        <w:t xml:space="preserve">a duty, by virtue of </w:t>
      </w:r>
      <w:proofErr w:type="spellStart"/>
      <w:r w:rsidRPr="005F43C5">
        <w:rPr>
          <w:rFonts w:cs="Times New Roman"/>
        </w:rPr>
        <w:t>par</w:t>
      </w:r>
      <w:r w:rsidR="00230E1D">
        <w:rPr>
          <w:rFonts w:cs="Times New Roman"/>
        </w:rPr>
        <w:t>a</w:t>
      </w:r>
      <w:proofErr w:type="spellEnd"/>
      <w:r w:rsidR="00230E1D">
        <w:rPr>
          <w:rFonts w:cs="Times New Roman"/>
        </w:rPr>
        <w:t>.</w:t>
      </w:r>
      <w:r w:rsidRPr="005F43C5">
        <w:rPr>
          <w:rFonts w:cs="Times New Roman"/>
        </w:rPr>
        <w:t xml:space="preserve"> (</w:t>
      </w:r>
      <w:r w:rsidRPr="005F43C5">
        <w:rPr>
          <w:rFonts w:cs="Times New Roman"/>
          <w:i/>
        </w:rPr>
        <w:t>b</w:t>
      </w:r>
      <w:r w:rsidRPr="005F43C5">
        <w:rPr>
          <w:rFonts w:cs="Times New Roman"/>
        </w:rPr>
        <w:t xml:space="preserve">) </w:t>
      </w:r>
      <w:proofErr w:type="gramStart"/>
      <w:r w:rsidRPr="005F43C5">
        <w:rPr>
          <w:rFonts w:cs="Times New Roman"/>
        </w:rPr>
        <w:t>of</w:t>
      </w:r>
      <w:proofErr w:type="gramEnd"/>
      <w:r w:rsidRPr="005F43C5">
        <w:rPr>
          <w:rFonts w:cs="Times New Roman"/>
        </w:rPr>
        <w:t xml:space="preserve"> the definition of “abandon” or “expose” in s. 214.  That part of the definition includes persons “dealing with a child in a manner that is likely to leave that child exposed to risk without protection”, which at first blush could be read as sweeping in a large number of people who have no pre-existing duty to the child.</w:t>
      </w:r>
      <w:r w:rsidRPr="005F43C5">
        <w:rPr>
          <w:rStyle w:val="FootnoteReference"/>
          <w:rFonts w:cs="Times New Roman"/>
        </w:rPr>
        <w:footnoteReference w:id="1"/>
      </w:r>
      <w:r w:rsidRPr="005F43C5">
        <w:rPr>
          <w:rFonts w:cs="Times New Roman"/>
        </w:rPr>
        <w:t xml:space="preserve">  </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If one were inclined to argue that </w:t>
      </w:r>
      <w:proofErr w:type="spellStart"/>
      <w:r w:rsidRPr="005F43C5">
        <w:rPr>
          <w:rFonts w:cs="Times New Roman"/>
        </w:rPr>
        <w:t>par</w:t>
      </w:r>
      <w:r w:rsidR="00A604EE">
        <w:rPr>
          <w:rFonts w:cs="Times New Roman"/>
        </w:rPr>
        <w:t>a</w:t>
      </w:r>
      <w:proofErr w:type="spellEnd"/>
      <w:r w:rsidR="00A604EE">
        <w:rPr>
          <w:rFonts w:cs="Times New Roman"/>
        </w:rPr>
        <w:t>.</w:t>
      </w:r>
      <w:r w:rsidRPr="005F43C5">
        <w:rPr>
          <w:rFonts w:cs="Times New Roman"/>
        </w:rPr>
        <w:t xml:space="preserve"> (</w:t>
      </w:r>
      <w:proofErr w:type="gramStart"/>
      <w:r w:rsidRPr="005F43C5">
        <w:rPr>
          <w:rFonts w:cs="Times New Roman"/>
          <w:i/>
        </w:rPr>
        <w:t>b</w:t>
      </w:r>
      <w:proofErr w:type="gramEnd"/>
      <w:r w:rsidRPr="005F43C5">
        <w:rPr>
          <w:rFonts w:cs="Times New Roman"/>
        </w:rPr>
        <w:t xml:space="preserve">) makes a critical difference, one might reason that Parliament picked the better of only two options before it with respect to </w:t>
      </w:r>
      <w:proofErr w:type="spellStart"/>
      <w:r w:rsidRPr="005F43C5">
        <w:rPr>
          <w:rFonts w:cs="Times New Roman"/>
          <w:i/>
        </w:rPr>
        <w:t>mens</w:t>
      </w:r>
      <w:proofErr w:type="spellEnd"/>
      <w:r w:rsidRPr="005F43C5">
        <w:rPr>
          <w:rFonts w:cs="Times New Roman"/>
          <w:i/>
        </w:rPr>
        <w:t xml:space="preserve"> </w:t>
      </w:r>
      <w:proofErr w:type="spellStart"/>
      <w:r w:rsidRPr="005F43C5">
        <w:rPr>
          <w:rFonts w:cs="Times New Roman"/>
          <w:i/>
        </w:rPr>
        <w:t>rea</w:t>
      </w:r>
      <w:proofErr w:type="spellEnd"/>
      <w:r w:rsidRPr="005F43C5">
        <w:rPr>
          <w:rFonts w:cs="Times New Roman"/>
        </w:rPr>
        <w:t xml:space="preserve">.  Parliament could have identified an objective </w:t>
      </w:r>
      <w:proofErr w:type="spellStart"/>
      <w:r w:rsidRPr="005F43C5">
        <w:rPr>
          <w:rFonts w:cs="Times New Roman"/>
          <w:i/>
        </w:rPr>
        <w:t>mens</w:t>
      </w:r>
      <w:proofErr w:type="spellEnd"/>
      <w:r w:rsidRPr="005F43C5">
        <w:rPr>
          <w:rFonts w:cs="Times New Roman"/>
          <w:i/>
        </w:rPr>
        <w:t xml:space="preserve"> </w:t>
      </w:r>
      <w:proofErr w:type="spellStart"/>
      <w:r w:rsidRPr="005F43C5">
        <w:rPr>
          <w:rFonts w:cs="Times New Roman"/>
          <w:i/>
        </w:rPr>
        <w:t>rea</w:t>
      </w:r>
      <w:proofErr w:type="spellEnd"/>
      <w:r w:rsidRPr="005F43C5">
        <w:rPr>
          <w:rFonts w:cs="Times New Roman"/>
        </w:rPr>
        <w:t xml:space="preserve"> standard in s. 218 for those with a pre-existing and ongoing duty (to achieve harmony with s. 215) and a subjective </w:t>
      </w:r>
      <w:proofErr w:type="spellStart"/>
      <w:r w:rsidRPr="005F43C5">
        <w:rPr>
          <w:rFonts w:cs="Times New Roman"/>
          <w:i/>
        </w:rPr>
        <w:t>mens</w:t>
      </w:r>
      <w:proofErr w:type="spellEnd"/>
      <w:r w:rsidRPr="005F43C5">
        <w:rPr>
          <w:rFonts w:cs="Times New Roman"/>
          <w:i/>
        </w:rPr>
        <w:t xml:space="preserve"> </w:t>
      </w:r>
      <w:proofErr w:type="spellStart"/>
      <w:r w:rsidRPr="005F43C5">
        <w:rPr>
          <w:rFonts w:cs="Times New Roman"/>
          <w:i/>
        </w:rPr>
        <w:t>rea</w:t>
      </w:r>
      <w:proofErr w:type="spellEnd"/>
      <w:r w:rsidRPr="005F43C5">
        <w:rPr>
          <w:rFonts w:cs="Times New Roman"/>
        </w:rPr>
        <w:t xml:space="preserve"> standard for the others captured by </w:t>
      </w:r>
      <w:proofErr w:type="spellStart"/>
      <w:r w:rsidRPr="005F43C5">
        <w:rPr>
          <w:rFonts w:cs="Times New Roman"/>
        </w:rPr>
        <w:t>par</w:t>
      </w:r>
      <w:r w:rsidR="00D43E1C">
        <w:rPr>
          <w:rFonts w:cs="Times New Roman"/>
        </w:rPr>
        <w:t>a</w:t>
      </w:r>
      <w:proofErr w:type="spellEnd"/>
      <w:r w:rsidR="00D43E1C">
        <w:rPr>
          <w:rFonts w:cs="Times New Roman"/>
        </w:rPr>
        <w:t>.</w:t>
      </w:r>
      <w:r w:rsidRPr="005F43C5">
        <w:rPr>
          <w:rFonts w:cs="Times New Roman"/>
        </w:rPr>
        <w:t xml:space="preserve"> (</w:t>
      </w:r>
      <w:r w:rsidRPr="005F43C5">
        <w:rPr>
          <w:rFonts w:cs="Times New Roman"/>
          <w:i/>
        </w:rPr>
        <w:t>b</w:t>
      </w:r>
      <w:r w:rsidRPr="005F43C5">
        <w:rPr>
          <w:rFonts w:cs="Times New Roman"/>
        </w:rPr>
        <w:t>) (</w:t>
      </w:r>
      <w:proofErr w:type="gramStart"/>
      <w:r w:rsidRPr="005F43C5">
        <w:rPr>
          <w:rFonts w:cs="Times New Roman"/>
        </w:rPr>
        <w:t>to</w:t>
      </w:r>
      <w:proofErr w:type="gramEnd"/>
      <w:r w:rsidRPr="005F43C5">
        <w:rPr>
          <w:rFonts w:cs="Times New Roman"/>
        </w:rPr>
        <w:t xml:space="preserve"> restrict the scope of criminal liability).  However, this result — a single crime that contemplates different mental standards for different persons engaging in the same culpable acts — is entirely foreign to our criminal law.  Surely, Parliament did not intend this.  The only remaining option, then, might be to allow persons with a pre-existing and ongoing duty to reap the benefit of the subjective higher standard, even if that created a double standard for them.  Such a result, it might be argued, would ensure that those additional individuals caught by </w:t>
      </w:r>
      <w:proofErr w:type="spellStart"/>
      <w:r w:rsidRPr="005F43C5">
        <w:rPr>
          <w:rFonts w:cs="Times New Roman"/>
        </w:rPr>
        <w:t>par</w:t>
      </w:r>
      <w:r w:rsidR="00D43E1C">
        <w:rPr>
          <w:rFonts w:cs="Times New Roman"/>
        </w:rPr>
        <w:t>a</w:t>
      </w:r>
      <w:proofErr w:type="spellEnd"/>
      <w:r w:rsidR="00D43E1C">
        <w:rPr>
          <w:rFonts w:cs="Times New Roman"/>
        </w:rPr>
        <w:t>.</w:t>
      </w:r>
      <w:r w:rsidRPr="005F43C5">
        <w:rPr>
          <w:rFonts w:cs="Times New Roman"/>
        </w:rPr>
        <w:t xml:space="preserve"> (</w:t>
      </w:r>
      <w:r w:rsidRPr="005F43C5">
        <w:rPr>
          <w:rFonts w:cs="Times New Roman"/>
          <w:i/>
        </w:rPr>
        <w:t>b</w:t>
      </w:r>
      <w:r w:rsidRPr="005F43C5">
        <w:rPr>
          <w:rFonts w:cs="Times New Roman"/>
        </w:rPr>
        <w:t xml:space="preserve">) </w:t>
      </w:r>
      <w:proofErr w:type="gramStart"/>
      <w:r w:rsidRPr="005F43C5">
        <w:rPr>
          <w:rFonts w:cs="Times New Roman"/>
        </w:rPr>
        <w:t>of</w:t>
      </w:r>
      <w:proofErr w:type="gramEnd"/>
      <w:r w:rsidRPr="005F43C5">
        <w:rPr>
          <w:rFonts w:cs="Times New Roman"/>
        </w:rPr>
        <w:t xml:space="preserve"> the s. 214 definition are not unjustly branded as criminals.  That is the approach the majority adopts.</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Respectfully, I would prefer not to endorse such a stark double standard — and, fortunately, I need not do so.  There is a third option.  Section 218 can, and in </w:t>
      </w:r>
      <w:r w:rsidRPr="005F43C5">
        <w:rPr>
          <w:rFonts w:cs="Times New Roman"/>
        </w:rPr>
        <w:lastRenderedPageBreak/>
        <w:t xml:space="preserve">my view should, be read purposefully and harmoniously, such that it applies only to persons who are cloaked with a duty, whether pre-existing and ongoing </w:t>
      </w:r>
      <w:r w:rsidRPr="005F43C5">
        <w:rPr>
          <w:rFonts w:cs="Times New Roman"/>
          <w:i/>
        </w:rPr>
        <w:t>or situational</w:t>
      </w:r>
      <w:r w:rsidRPr="005F43C5">
        <w:rPr>
          <w:rFonts w:cs="Times New Roman"/>
        </w:rPr>
        <w:t xml:space="preserve">, to protect a particular child under the age of 10 from death or permanent injury, </w:t>
      </w:r>
      <w:r w:rsidRPr="005F43C5">
        <w:rPr>
          <w:rFonts w:cs="Times New Roman"/>
          <w:i/>
        </w:rPr>
        <w:t xml:space="preserve">all of whom </w:t>
      </w:r>
      <w:r w:rsidRPr="005F43C5">
        <w:rPr>
          <w:rFonts w:cs="Times New Roman"/>
        </w:rPr>
        <w:t>are properly subject to an objective standard with respect to the consequences element of s. 218.  Let me explain.</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Manifestly, the language of </w:t>
      </w:r>
      <w:proofErr w:type="spellStart"/>
      <w:r w:rsidRPr="005F43C5">
        <w:rPr>
          <w:rFonts w:cs="Times New Roman"/>
        </w:rPr>
        <w:t>par</w:t>
      </w:r>
      <w:r w:rsidR="00756783">
        <w:rPr>
          <w:rFonts w:cs="Times New Roman"/>
        </w:rPr>
        <w:t>a</w:t>
      </w:r>
      <w:proofErr w:type="spellEnd"/>
      <w:r w:rsidR="00756783">
        <w:rPr>
          <w:rFonts w:cs="Times New Roman"/>
        </w:rPr>
        <w:t>.</w:t>
      </w:r>
      <w:r w:rsidRPr="005F43C5">
        <w:rPr>
          <w:rFonts w:cs="Times New Roman"/>
        </w:rPr>
        <w:t xml:space="preserve"> (</w:t>
      </w:r>
      <w:r w:rsidRPr="005F43C5">
        <w:rPr>
          <w:rFonts w:cs="Times New Roman"/>
          <w:i/>
        </w:rPr>
        <w:t>b</w:t>
      </w:r>
      <w:r w:rsidRPr="005F43C5">
        <w:rPr>
          <w:rFonts w:cs="Times New Roman"/>
        </w:rPr>
        <w:t xml:space="preserve">) </w:t>
      </w:r>
      <w:proofErr w:type="gramStart"/>
      <w:r w:rsidRPr="005F43C5">
        <w:rPr>
          <w:rFonts w:cs="Times New Roman"/>
        </w:rPr>
        <w:t>of</w:t>
      </w:r>
      <w:proofErr w:type="gramEnd"/>
      <w:r w:rsidRPr="005F43C5">
        <w:rPr>
          <w:rFonts w:cs="Times New Roman"/>
        </w:rPr>
        <w:t xml:space="preserve"> the s. 214 definition is broad.  The plain language of the words “dealing with a child” can connote much; the question is how much.  In my view, they are meant to capture those people who take active steps to alleviate a situation or who place a child in a situation that will, or is likely to, endanger the child’s life or cause it permanent injury — the second and third groups to which I referred above.  Such persons are cloaked with a </w:t>
      </w:r>
      <w:r w:rsidRPr="005F43C5">
        <w:rPr>
          <w:rFonts w:cs="Times New Roman"/>
          <w:i/>
        </w:rPr>
        <w:t xml:space="preserve">situational </w:t>
      </w:r>
      <w:r w:rsidRPr="005F43C5">
        <w:rPr>
          <w:rFonts w:cs="Times New Roman"/>
        </w:rPr>
        <w:t>duty to take reasonable steps to preserve and protect the life and safety of the child during the course of their limited involvement with the child.</w:t>
      </w:r>
    </w:p>
    <w:p w:rsidR="00A02B78" w:rsidRPr="005F43C5" w:rsidRDefault="00A02B78" w:rsidP="00A02B78">
      <w:pPr>
        <w:pStyle w:val="ParaNoNdepar-AltN"/>
        <w:tabs>
          <w:tab w:val="clear" w:pos="1166"/>
          <w:tab w:val="num" w:pos="1152"/>
        </w:tabs>
        <w:rPr>
          <w:rFonts w:cs="Times New Roman"/>
        </w:rPr>
      </w:pPr>
      <w:r w:rsidRPr="005F43C5">
        <w:rPr>
          <w:rFonts w:cs="Times New Roman"/>
        </w:rPr>
        <w:t>The facts of the present case provide a fitting example.  The store manager became duty-bound to the child, A.J.H., when he removed him from the toilet.  Having taken active steps to come to the child’s aid, he was cloaked with a duty to take reasonable steps to protect the child from further harm.  No such duty attached to the assistant store manager or the store patrons, however, as they did not choose to become directly involved with the child.  Consequently, they did not “</w:t>
      </w:r>
      <w:proofErr w:type="spellStart"/>
      <w:r w:rsidRPr="005F43C5">
        <w:rPr>
          <w:rFonts w:cs="Times New Roman"/>
        </w:rPr>
        <w:t>dea</w:t>
      </w:r>
      <w:proofErr w:type="spellEnd"/>
      <w:r w:rsidRPr="005F43C5">
        <w:rPr>
          <w:rFonts w:cs="Times New Roman"/>
        </w:rPr>
        <w:t xml:space="preserve">[l] with” the child within the meaning of s. 214. </w:t>
      </w:r>
    </w:p>
    <w:p w:rsidR="00A02B78" w:rsidRPr="005F43C5" w:rsidRDefault="00A02B78" w:rsidP="00A02B78">
      <w:pPr>
        <w:pStyle w:val="ParaNoNdepar-AltN"/>
        <w:tabs>
          <w:tab w:val="clear" w:pos="1166"/>
          <w:tab w:val="num" w:pos="1152"/>
        </w:tabs>
        <w:rPr>
          <w:rFonts w:cs="Times New Roman"/>
        </w:rPr>
      </w:pPr>
      <w:r w:rsidRPr="005F43C5">
        <w:rPr>
          <w:rFonts w:cs="Times New Roman"/>
        </w:rPr>
        <w:lastRenderedPageBreak/>
        <w:t xml:space="preserve">Situational duties of the kind I describe here are far from foreign to the </w:t>
      </w:r>
      <w:r w:rsidRPr="005F43C5">
        <w:rPr>
          <w:rFonts w:cs="Times New Roman"/>
          <w:i/>
        </w:rPr>
        <w:t>Code</w:t>
      </w:r>
      <w:r w:rsidRPr="005F43C5">
        <w:rPr>
          <w:rFonts w:cs="Times New Roman"/>
        </w:rPr>
        <w:t xml:space="preserve">.  I gain comfort in the case at hand from ss. 216, 217 and 217.1 of the </w:t>
      </w:r>
      <w:r w:rsidRPr="005F43C5">
        <w:rPr>
          <w:rFonts w:cs="Times New Roman"/>
          <w:i/>
        </w:rPr>
        <w:t>Code</w:t>
      </w:r>
      <w:r w:rsidRPr="005F43C5">
        <w:rPr>
          <w:rFonts w:cs="Times New Roman"/>
        </w:rPr>
        <w:t>, each of which contemplate a duty imposed by law on an individual who undertakes to do something by virtue of positive actions.  Section 217, for example, provides:</w:t>
      </w:r>
    </w:p>
    <w:p w:rsidR="00A02B78" w:rsidRPr="005F43C5" w:rsidRDefault="00A02B78" w:rsidP="00A02B78">
      <w:pPr>
        <w:pStyle w:val="Citation-AltC"/>
        <w:ind w:firstLine="274"/>
      </w:pPr>
      <w:r w:rsidRPr="005F43C5">
        <w:rPr>
          <w:b/>
        </w:rPr>
        <w:t xml:space="preserve">217.  </w:t>
      </w:r>
      <w:proofErr w:type="spellStart"/>
      <w:r w:rsidRPr="005F43C5">
        <w:t>Every one</w:t>
      </w:r>
      <w:proofErr w:type="spellEnd"/>
      <w:r w:rsidRPr="005F43C5">
        <w:t xml:space="preserve"> who undertakes to do an act is under a legal duty to do it if an omission to do the act is or may be dangerous to life.</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Much like the language in </w:t>
      </w:r>
      <w:proofErr w:type="spellStart"/>
      <w:r w:rsidRPr="005F43C5">
        <w:rPr>
          <w:rFonts w:cs="Times New Roman"/>
        </w:rPr>
        <w:t>par</w:t>
      </w:r>
      <w:r w:rsidR="006D0C0C">
        <w:rPr>
          <w:rFonts w:cs="Times New Roman"/>
        </w:rPr>
        <w:t>a</w:t>
      </w:r>
      <w:proofErr w:type="spellEnd"/>
      <w:r w:rsidR="006D0C0C">
        <w:rPr>
          <w:rFonts w:cs="Times New Roman"/>
        </w:rPr>
        <w:t xml:space="preserve">. </w:t>
      </w:r>
      <w:r w:rsidRPr="005F43C5">
        <w:rPr>
          <w:rFonts w:cs="Times New Roman"/>
        </w:rPr>
        <w:t>(</w:t>
      </w:r>
      <w:r w:rsidRPr="005F43C5">
        <w:rPr>
          <w:rFonts w:cs="Times New Roman"/>
          <w:i/>
        </w:rPr>
        <w:t>b</w:t>
      </w:r>
      <w:r w:rsidRPr="005F43C5">
        <w:rPr>
          <w:rFonts w:cs="Times New Roman"/>
        </w:rPr>
        <w:t xml:space="preserve">) </w:t>
      </w:r>
      <w:proofErr w:type="gramStart"/>
      <w:r w:rsidRPr="005F43C5">
        <w:rPr>
          <w:rFonts w:cs="Times New Roman"/>
        </w:rPr>
        <w:t>of</w:t>
      </w:r>
      <w:proofErr w:type="gramEnd"/>
      <w:r w:rsidRPr="005F43C5">
        <w:rPr>
          <w:rFonts w:cs="Times New Roman"/>
        </w:rPr>
        <w:t xml:space="preserve"> the s. 214 definition of “abandon” or “expose”, the language of “</w:t>
      </w:r>
      <w:proofErr w:type="spellStart"/>
      <w:r w:rsidRPr="005F43C5">
        <w:rPr>
          <w:rFonts w:cs="Times New Roman"/>
        </w:rPr>
        <w:t>undertak</w:t>
      </w:r>
      <w:proofErr w:type="spellEnd"/>
      <w:r w:rsidRPr="005F43C5">
        <w:rPr>
          <w:rFonts w:cs="Times New Roman"/>
        </w:rPr>
        <w:t>[</w:t>
      </w:r>
      <w:proofErr w:type="spellStart"/>
      <w:r w:rsidRPr="005F43C5">
        <w:rPr>
          <w:rFonts w:cs="Times New Roman"/>
        </w:rPr>
        <w:t>ing</w:t>
      </w:r>
      <w:proofErr w:type="spellEnd"/>
      <w:r w:rsidRPr="005F43C5">
        <w:rPr>
          <w:rFonts w:cs="Times New Roman"/>
        </w:rPr>
        <w:t xml:space="preserve">] to do an act” in s. 217 is capable of a sweeping definition.  But that is not the path the criminal law has followed — and wisely so.  As </w:t>
      </w:r>
      <w:proofErr w:type="spellStart"/>
      <w:r w:rsidRPr="005F43C5">
        <w:rPr>
          <w:rFonts w:cs="Times New Roman"/>
        </w:rPr>
        <w:t>Abella</w:t>
      </w:r>
      <w:proofErr w:type="spellEnd"/>
      <w:r w:rsidRPr="005F43C5">
        <w:rPr>
          <w:rFonts w:cs="Times New Roman"/>
        </w:rPr>
        <w:t xml:space="preserve"> J.A. (as she then was) observed in </w:t>
      </w:r>
      <w:r w:rsidRPr="005F43C5">
        <w:rPr>
          <w:rFonts w:cs="Times New Roman"/>
          <w:i/>
        </w:rPr>
        <w:t>R. v. Browne</w:t>
      </w:r>
      <w:r w:rsidRPr="005F43C5">
        <w:rPr>
          <w:rFonts w:cs="Times New Roman"/>
        </w:rPr>
        <w:t xml:space="preserve"> (1997), 33 O.R. (3d) 775</w:t>
      </w:r>
      <w:r w:rsidR="00C30FAE">
        <w:rPr>
          <w:rFonts w:cs="Times New Roman"/>
        </w:rPr>
        <w:t xml:space="preserve"> (C.A.) </w:t>
      </w:r>
      <w:r w:rsidRPr="005F43C5">
        <w:rPr>
          <w:rFonts w:cs="Times New Roman"/>
        </w:rPr>
        <w:t>:</w:t>
      </w:r>
    </w:p>
    <w:p w:rsidR="00A02B78" w:rsidRPr="005F43C5" w:rsidRDefault="00A02B78" w:rsidP="00A02B78">
      <w:pPr>
        <w:pStyle w:val="Citation-AltC"/>
      </w:pPr>
      <w:r w:rsidRPr="005F43C5">
        <w:t xml:space="preserve">There is no doubt that the definition embraces an interpretive continuum ranging from an assertion to a promise.  But it seems to me that when we are deciding whether conduct is caught by the web of criminal liability, the threshold definition we apply must justify penal sanctions. . . . The word “undertaking” in s. 217 must be interpreted in this context.  </w:t>
      </w:r>
      <w:r w:rsidRPr="005F43C5">
        <w:rPr>
          <w:u w:val="single"/>
        </w:rPr>
        <w:t>The threshold definition must be sufficiently high to justify such serious penal consequences.</w:t>
      </w:r>
      <w:r w:rsidRPr="005F43C5">
        <w:t xml:space="preserve">  The mere expression of words indicating a willingness to do an act cannot trigger the legal duty. There must be something in the nature of a commitment, generally, though not necessarily, upon which reliance can reasonably be said to have been placed.  [Emphasis added; pp. 779-80.]</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In my view, Justice </w:t>
      </w:r>
      <w:proofErr w:type="spellStart"/>
      <w:r w:rsidRPr="005F43C5">
        <w:rPr>
          <w:rFonts w:cs="Times New Roman"/>
        </w:rPr>
        <w:t>Abella’s</w:t>
      </w:r>
      <w:proofErr w:type="spellEnd"/>
      <w:r w:rsidRPr="005F43C5">
        <w:rPr>
          <w:rFonts w:cs="Times New Roman"/>
        </w:rPr>
        <w:t xml:space="preserve"> conclusion with respect to s. 217 points to</w:t>
      </w:r>
      <w:r w:rsidR="008138A9">
        <w:rPr>
          <w:rFonts w:cs="Times New Roman"/>
        </w:rPr>
        <w:t xml:space="preserve"> the proper construction of </w:t>
      </w:r>
      <w:proofErr w:type="spellStart"/>
      <w:r w:rsidR="008138A9">
        <w:rPr>
          <w:rFonts w:cs="Times New Roman"/>
        </w:rPr>
        <w:t>para</w:t>
      </w:r>
      <w:proofErr w:type="spellEnd"/>
      <w:r w:rsidR="008138A9">
        <w:rPr>
          <w:rFonts w:cs="Times New Roman"/>
        </w:rPr>
        <w:t>.</w:t>
      </w:r>
      <w:r w:rsidRPr="005F43C5">
        <w:rPr>
          <w:rFonts w:cs="Times New Roman"/>
        </w:rPr>
        <w:t xml:space="preserve"> (</w:t>
      </w:r>
      <w:r w:rsidRPr="005F43C5">
        <w:rPr>
          <w:rFonts w:cs="Times New Roman"/>
          <w:i/>
        </w:rPr>
        <w:t>b</w:t>
      </w:r>
      <w:r w:rsidRPr="005F43C5">
        <w:rPr>
          <w:rFonts w:cs="Times New Roman"/>
        </w:rPr>
        <w:t xml:space="preserve">) </w:t>
      </w:r>
      <w:proofErr w:type="gramStart"/>
      <w:r w:rsidRPr="005F43C5">
        <w:rPr>
          <w:rFonts w:cs="Times New Roman"/>
        </w:rPr>
        <w:t>of</w:t>
      </w:r>
      <w:proofErr w:type="gramEnd"/>
      <w:r w:rsidRPr="005F43C5">
        <w:rPr>
          <w:rFonts w:cs="Times New Roman"/>
        </w:rPr>
        <w:t xml:space="preserve"> the s. 214 definition as cloaking with a duty to act reasonably only those people who by active steps undertake to preserve and </w:t>
      </w:r>
      <w:r w:rsidRPr="005F43C5">
        <w:rPr>
          <w:rFonts w:cs="Times New Roman"/>
        </w:rPr>
        <w:lastRenderedPageBreak/>
        <w:t xml:space="preserve">protect a child from death or permanent injury (the second group mentioned above).  By the same token, it does not require a leap of logic to conclude that “dealing with” a child within the meaning of </w:t>
      </w:r>
      <w:proofErr w:type="spellStart"/>
      <w:r w:rsidRPr="005F43C5">
        <w:rPr>
          <w:rFonts w:cs="Times New Roman"/>
        </w:rPr>
        <w:t>par</w:t>
      </w:r>
      <w:r w:rsidR="00D742A6">
        <w:rPr>
          <w:rFonts w:cs="Times New Roman"/>
        </w:rPr>
        <w:t>a</w:t>
      </w:r>
      <w:proofErr w:type="spellEnd"/>
      <w:r w:rsidR="00D742A6">
        <w:rPr>
          <w:rFonts w:cs="Times New Roman"/>
        </w:rPr>
        <w:t xml:space="preserve">. </w:t>
      </w:r>
      <w:r w:rsidRPr="005F43C5">
        <w:rPr>
          <w:rFonts w:cs="Times New Roman"/>
        </w:rPr>
        <w:t>(</w:t>
      </w:r>
      <w:r w:rsidRPr="005F43C5">
        <w:rPr>
          <w:rFonts w:cs="Times New Roman"/>
          <w:i/>
        </w:rPr>
        <w:t>b</w:t>
      </w:r>
      <w:r w:rsidRPr="005F43C5">
        <w:rPr>
          <w:rFonts w:cs="Times New Roman"/>
        </w:rPr>
        <w:t xml:space="preserve">) </w:t>
      </w:r>
      <w:proofErr w:type="gramStart"/>
      <w:r w:rsidRPr="005F43C5">
        <w:rPr>
          <w:rFonts w:cs="Times New Roman"/>
        </w:rPr>
        <w:t>of</w:t>
      </w:r>
      <w:proofErr w:type="gramEnd"/>
      <w:r w:rsidRPr="005F43C5">
        <w:rPr>
          <w:rFonts w:cs="Times New Roman"/>
        </w:rPr>
        <w:t xml:space="preserve"> the s. 214 definition must similarly be restricted in scope to those who actually place the child in a situation in which it is put at risk of death or permanent injury (the third group).</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When one steps back to look at the broader picture, the understanding that one’s positive actions can give rise to a situational duty is a principle well known to the common law.  As Professors Colvin and </w:t>
      </w:r>
      <w:proofErr w:type="spellStart"/>
      <w:r w:rsidRPr="005F43C5">
        <w:rPr>
          <w:rFonts w:cs="Times New Roman"/>
        </w:rPr>
        <w:t>Anand</w:t>
      </w:r>
      <w:proofErr w:type="spellEnd"/>
      <w:r w:rsidRPr="005F43C5">
        <w:rPr>
          <w:rFonts w:cs="Times New Roman"/>
        </w:rPr>
        <w:t xml:space="preserve"> have noted, historically there have been “three reasonably well-established categories of duty to act” (</w:t>
      </w:r>
      <w:r w:rsidRPr="005F43C5">
        <w:rPr>
          <w:rFonts w:cs="Times New Roman"/>
          <w:i/>
        </w:rPr>
        <w:t>Principles of Criminal Law</w:t>
      </w:r>
      <w:r w:rsidRPr="005F43C5">
        <w:rPr>
          <w:rFonts w:cs="Times New Roman"/>
        </w:rPr>
        <w:t xml:space="preserve"> (3rd ed. 2007), at p. 141).  The first is well known and concerns “general relationships of care and protection”, such as those captured by </w:t>
      </w:r>
      <w:proofErr w:type="spellStart"/>
      <w:r w:rsidRPr="005F43C5">
        <w:rPr>
          <w:rFonts w:cs="Times New Roman"/>
        </w:rPr>
        <w:t>par</w:t>
      </w:r>
      <w:r w:rsidR="0064311A">
        <w:rPr>
          <w:rFonts w:cs="Times New Roman"/>
        </w:rPr>
        <w:t>a</w:t>
      </w:r>
      <w:proofErr w:type="spellEnd"/>
      <w:r w:rsidR="0064311A">
        <w:rPr>
          <w:rFonts w:cs="Times New Roman"/>
        </w:rPr>
        <w:t>.</w:t>
      </w:r>
      <w:r w:rsidRPr="005F43C5">
        <w:rPr>
          <w:rFonts w:cs="Times New Roman"/>
        </w:rPr>
        <w:t xml:space="preserve"> (</w:t>
      </w:r>
      <w:r w:rsidRPr="005F43C5">
        <w:rPr>
          <w:rFonts w:cs="Times New Roman"/>
          <w:i/>
        </w:rPr>
        <w:t>a</w:t>
      </w:r>
      <w:r w:rsidRPr="005F43C5">
        <w:rPr>
          <w:rFonts w:cs="Times New Roman"/>
        </w:rPr>
        <w:t xml:space="preserve">) </w:t>
      </w:r>
      <w:proofErr w:type="gramStart"/>
      <w:r w:rsidRPr="005F43C5">
        <w:rPr>
          <w:rFonts w:cs="Times New Roman"/>
        </w:rPr>
        <w:t>of</w:t>
      </w:r>
      <w:proofErr w:type="gramEnd"/>
      <w:r w:rsidRPr="005F43C5">
        <w:rPr>
          <w:rFonts w:cs="Times New Roman"/>
        </w:rPr>
        <w:t xml:space="preserve"> the s. 214 definition.  The second concerns “specific undertakings to act” (see, e.g., </w:t>
      </w:r>
      <w:r w:rsidRPr="005F43C5">
        <w:rPr>
          <w:rFonts w:cs="Times New Roman"/>
          <w:i/>
        </w:rPr>
        <w:t>R. v. Nicholls</w:t>
      </w:r>
      <w:r w:rsidRPr="005F43C5">
        <w:rPr>
          <w:rFonts w:cs="Times New Roman"/>
        </w:rPr>
        <w:t xml:space="preserve"> (1874), 13 Cox C.C. 75; </w:t>
      </w:r>
      <w:r w:rsidR="0074427B">
        <w:rPr>
          <w:rFonts w:cs="Times New Roman"/>
          <w:i/>
        </w:rPr>
        <w:t xml:space="preserve">R. </w:t>
      </w:r>
      <w:r w:rsidRPr="005F43C5">
        <w:rPr>
          <w:rFonts w:cs="Times New Roman"/>
          <w:i/>
        </w:rPr>
        <w:t xml:space="preserve">v. </w:t>
      </w:r>
      <w:proofErr w:type="spellStart"/>
      <w:r w:rsidRPr="005F43C5">
        <w:rPr>
          <w:rFonts w:cs="Times New Roman"/>
          <w:i/>
        </w:rPr>
        <w:t>Instan</w:t>
      </w:r>
      <w:proofErr w:type="spellEnd"/>
      <w:r w:rsidRPr="005F43C5">
        <w:rPr>
          <w:rFonts w:cs="Times New Roman"/>
        </w:rPr>
        <w:t xml:space="preserve">, [1893] 1 Q.B. 450) and the third concerns duties arising from “causal responsibility for dangerous situations” (see, e.g., </w:t>
      </w:r>
      <w:r w:rsidR="003E13BF">
        <w:rPr>
          <w:rFonts w:cs="Times New Roman"/>
          <w:i/>
        </w:rPr>
        <w:t>R</w:t>
      </w:r>
      <w:r w:rsidRPr="005F43C5">
        <w:rPr>
          <w:rFonts w:cs="Times New Roman"/>
          <w:i/>
        </w:rPr>
        <w:t xml:space="preserve">. v. Salmon </w:t>
      </w:r>
      <w:r w:rsidRPr="005F43C5">
        <w:rPr>
          <w:rFonts w:cs="Times New Roman"/>
        </w:rPr>
        <w:t xml:space="preserve">(1880), 6 Q.B.D. 79; </w:t>
      </w:r>
      <w:r w:rsidRPr="005F43C5">
        <w:rPr>
          <w:rFonts w:cs="Times New Roman"/>
          <w:i/>
        </w:rPr>
        <w:t>R. v. Coyne</w:t>
      </w:r>
      <w:r w:rsidRPr="005F43C5">
        <w:rPr>
          <w:rFonts w:cs="Times New Roman"/>
        </w:rPr>
        <w:t xml:space="preserve"> (1958), 124 C.C.C. 176 (N.B.S.C. (App. Div.)); </w:t>
      </w:r>
      <w:r w:rsidRPr="005F43C5">
        <w:rPr>
          <w:rFonts w:cs="Times New Roman"/>
          <w:i/>
        </w:rPr>
        <w:t>R. v. Miller</w:t>
      </w:r>
      <w:r w:rsidRPr="005F43C5">
        <w:rPr>
          <w:rFonts w:cs="Times New Roman"/>
        </w:rPr>
        <w:t xml:space="preserve">, [1983] 1 All E.R. 978 (H.L.)).  See also </w:t>
      </w:r>
      <w:proofErr w:type="spellStart"/>
      <w:r w:rsidRPr="005F43C5">
        <w:rPr>
          <w:rFonts w:cs="Times New Roman"/>
        </w:rPr>
        <w:t>Ormerod</w:t>
      </w:r>
      <w:proofErr w:type="spellEnd"/>
      <w:r w:rsidRPr="005F43C5">
        <w:rPr>
          <w:rFonts w:cs="Times New Roman"/>
        </w:rPr>
        <w:t>, at pp. 70-75 (including “[p]</w:t>
      </w:r>
      <w:proofErr w:type="spellStart"/>
      <w:r w:rsidRPr="005F43C5">
        <w:rPr>
          <w:rFonts w:cs="Times New Roman"/>
        </w:rPr>
        <w:t>arents</w:t>
      </w:r>
      <w:proofErr w:type="spellEnd"/>
      <w:r w:rsidRPr="005F43C5">
        <w:rPr>
          <w:rFonts w:cs="Times New Roman"/>
        </w:rPr>
        <w:t xml:space="preserve"> and other relations”, “[v]</w:t>
      </w:r>
      <w:proofErr w:type="spellStart"/>
      <w:r w:rsidRPr="005F43C5">
        <w:rPr>
          <w:rFonts w:cs="Times New Roman"/>
        </w:rPr>
        <w:t>oluntary</w:t>
      </w:r>
      <w:proofErr w:type="spellEnd"/>
      <w:r w:rsidRPr="005F43C5">
        <w:rPr>
          <w:rFonts w:cs="Times New Roman"/>
        </w:rPr>
        <w:t xml:space="preserve"> undertakings”, and “[c]</w:t>
      </w:r>
      <w:proofErr w:type="spellStart"/>
      <w:r w:rsidRPr="005F43C5">
        <w:rPr>
          <w:rFonts w:cs="Times New Roman"/>
        </w:rPr>
        <w:t>reating</w:t>
      </w:r>
      <w:proofErr w:type="spellEnd"/>
      <w:r w:rsidRPr="005F43C5">
        <w:rPr>
          <w:rFonts w:cs="Times New Roman"/>
        </w:rPr>
        <w:t xml:space="preserve"> a dangerous situation” as categories).  These three categories map precisely to the three groups of individuals who I conclude come within the ambit of s. 218.  While it is, of course, true that our criminal law does not include common law offences, in my view, the wording of </w:t>
      </w:r>
      <w:proofErr w:type="spellStart"/>
      <w:r w:rsidRPr="005F43C5">
        <w:rPr>
          <w:rFonts w:cs="Times New Roman"/>
        </w:rPr>
        <w:t>par</w:t>
      </w:r>
      <w:r w:rsidR="00520E7A">
        <w:rPr>
          <w:rFonts w:cs="Times New Roman"/>
        </w:rPr>
        <w:t>a</w:t>
      </w:r>
      <w:proofErr w:type="spellEnd"/>
      <w:r w:rsidR="00520E7A">
        <w:rPr>
          <w:rFonts w:cs="Times New Roman"/>
        </w:rPr>
        <w:t>.</w:t>
      </w:r>
      <w:r w:rsidRPr="005F43C5">
        <w:rPr>
          <w:rFonts w:cs="Times New Roman"/>
        </w:rPr>
        <w:t xml:space="preserve"> (</w:t>
      </w:r>
      <w:r w:rsidRPr="005F43C5">
        <w:rPr>
          <w:rFonts w:cs="Times New Roman"/>
          <w:i/>
        </w:rPr>
        <w:t>b</w:t>
      </w:r>
      <w:r w:rsidRPr="005F43C5">
        <w:rPr>
          <w:rFonts w:cs="Times New Roman"/>
        </w:rPr>
        <w:t xml:space="preserve">) of the s. 214 definition reflects a specific statutory </w:t>
      </w:r>
      <w:bookmarkStart w:id="13" w:name="_Hlk352234436"/>
      <w:r w:rsidRPr="005F43C5">
        <w:rPr>
          <w:rFonts w:cs="Times New Roman"/>
        </w:rPr>
        <w:t xml:space="preserve">instantiation </w:t>
      </w:r>
      <w:bookmarkEnd w:id="13"/>
      <w:r w:rsidRPr="005F43C5">
        <w:rPr>
          <w:rFonts w:cs="Times New Roman"/>
        </w:rPr>
        <w:t xml:space="preserve">of the second and third of these long-standing common </w:t>
      </w:r>
      <w:r w:rsidRPr="005F43C5">
        <w:rPr>
          <w:rFonts w:cs="Times New Roman"/>
        </w:rPr>
        <w:lastRenderedPageBreak/>
        <w:t>law principles — much like ss. 216, 217 and 217.1 do — in this case with respect to young children.</w:t>
      </w:r>
    </w:p>
    <w:p w:rsidR="00A02B78" w:rsidRPr="005F43C5" w:rsidRDefault="00A02B78" w:rsidP="00A02B78">
      <w:pPr>
        <w:pStyle w:val="ParaNoNdepar-AltN"/>
        <w:tabs>
          <w:tab w:val="clear" w:pos="1166"/>
          <w:tab w:val="num" w:pos="1152"/>
          <w:tab w:val="left" w:pos="1530"/>
        </w:tabs>
        <w:rPr>
          <w:rFonts w:cs="Times New Roman"/>
        </w:rPr>
      </w:pPr>
      <w:r w:rsidRPr="005F43C5">
        <w:rPr>
          <w:rFonts w:cs="Times New Roman"/>
        </w:rPr>
        <w:t>Interpreting the scope of s. 218 in this way, as I believe it was meant to be, goes a long way toward addressing concerns about the broad scope of potential liability under the provision.  The spectre of criminal liability under the offence is not overly broad.  Indeed, the interpretation I favour may be narrower</w:t>
      </w:r>
      <w:r w:rsidRPr="005F43C5">
        <w:rPr>
          <w:rFonts w:cs="Times New Roman"/>
          <w:i/>
        </w:rPr>
        <w:t xml:space="preserve"> </w:t>
      </w:r>
      <w:r w:rsidRPr="005F43C5">
        <w:rPr>
          <w:rFonts w:cs="Times New Roman"/>
        </w:rPr>
        <w:t>than that endorsed in the majority position, which does not delineate the type of conduct that would amount to “dealing with” a child.  All else being equal, I thus cannot accept that the scope</w:t>
      </w:r>
      <w:r w:rsidRPr="005F43C5">
        <w:rPr>
          <w:rFonts w:cs="Times New Roman"/>
          <w:i/>
        </w:rPr>
        <w:t xml:space="preserve"> </w:t>
      </w:r>
      <w:r w:rsidRPr="005F43C5">
        <w:rPr>
          <w:rFonts w:cs="Times New Roman"/>
        </w:rPr>
        <w:t>of this offence is a valid ground to require subjective foresight of the consequences proscribed by s. 218.</w:t>
      </w:r>
    </w:p>
    <w:p w:rsidR="00A02B78" w:rsidRPr="005F43C5" w:rsidRDefault="00C169DA" w:rsidP="00C169DA">
      <w:pPr>
        <w:pStyle w:val="TitleTitre-AltT"/>
        <w:tabs>
          <w:tab w:val="clear" w:pos="360"/>
          <w:tab w:val="left" w:pos="1170"/>
          <w:tab w:val="left" w:pos="1710"/>
        </w:tabs>
        <w:ind w:left="1710" w:hanging="1710"/>
        <w:rPr>
          <w:rFonts w:cs="Times New Roman"/>
        </w:rPr>
      </w:pPr>
      <w:r>
        <w:rPr>
          <w:rFonts w:cs="Times New Roman"/>
        </w:rPr>
        <w:tab/>
        <w:t>(2)</w:t>
      </w:r>
      <w:r>
        <w:rPr>
          <w:rFonts w:cs="Times New Roman"/>
        </w:rPr>
        <w:tab/>
      </w:r>
      <w:r w:rsidR="00A02B78" w:rsidRPr="005F43C5">
        <w:rPr>
          <w:rFonts w:cs="Times New Roman"/>
          <w:u w:val="single"/>
        </w:rPr>
        <w:t>The Statutory Scheme</w:t>
      </w:r>
      <w:r w:rsidR="00A02B78" w:rsidRPr="005F43C5">
        <w:rPr>
          <w:rFonts w:cs="Times New Roman"/>
        </w:rPr>
        <w:t xml:space="preserve"> </w:t>
      </w:r>
    </w:p>
    <w:p w:rsidR="00A02B78" w:rsidRPr="005F43C5" w:rsidRDefault="00A02B78" w:rsidP="00C169DA">
      <w:pPr>
        <w:pStyle w:val="ParaNoNdepar-AltN"/>
        <w:tabs>
          <w:tab w:val="clear" w:pos="1166"/>
          <w:tab w:val="num" w:pos="1152"/>
          <w:tab w:val="left" w:pos="1530"/>
        </w:tabs>
        <w:rPr>
          <w:rFonts w:cs="Times New Roman"/>
        </w:rPr>
      </w:pPr>
      <w:r w:rsidRPr="005F43C5">
        <w:rPr>
          <w:rFonts w:cs="Times New Roman"/>
        </w:rPr>
        <w:t xml:space="preserve">I also note that s. 218 finds its place in Part VIII of the </w:t>
      </w:r>
      <w:r w:rsidRPr="005F43C5">
        <w:rPr>
          <w:rFonts w:cs="Times New Roman"/>
          <w:i/>
        </w:rPr>
        <w:t>Code</w:t>
      </w:r>
      <w:r w:rsidRPr="005F43C5">
        <w:rPr>
          <w:rFonts w:cs="Times New Roman"/>
        </w:rPr>
        <w:t xml:space="preserve"> under the heading “Duties Tending to Preservation of Life”.  It is one of two offences located under that heading — the other being s. 215.  In my view, this provides some indication that Parliament intended that s. 218 be construed as a duty-based offence. </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In her text, </w:t>
      </w:r>
      <w:r w:rsidRPr="005F43C5">
        <w:rPr>
          <w:rFonts w:cs="Times New Roman"/>
          <w:i/>
        </w:rPr>
        <w:t>Sullivan on the Construction of Statutes</w:t>
      </w:r>
      <w:r w:rsidRPr="005F43C5">
        <w:rPr>
          <w:rFonts w:cs="Times New Roman"/>
        </w:rPr>
        <w:t xml:space="preserve"> (5th ed. 2008), Professor Ruth Sullivan, a leading authority on the construction of statutes, observes that “headings are a valid indicator of legislative meaning and may be taken into account in interpretation” (p. 394).  See also </w:t>
      </w:r>
      <w:r w:rsidRPr="005F43C5">
        <w:rPr>
          <w:rFonts w:cs="Times New Roman"/>
          <w:i/>
        </w:rPr>
        <w:t>R. v. Lucas</w:t>
      </w:r>
      <w:r w:rsidRPr="005F43C5">
        <w:rPr>
          <w:rFonts w:cs="Times New Roman"/>
        </w:rPr>
        <w:t xml:space="preserve">, [1998] 1 S.C.R. 439, at </w:t>
      </w:r>
      <w:proofErr w:type="spellStart"/>
      <w:r w:rsidRPr="005F43C5">
        <w:rPr>
          <w:rFonts w:cs="Times New Roman"/>
        </w:rPr>
        <w:t>para</w:t>
      </w:r>
      <w:proofErr w:type="spellEnd"/>
      <w:r w:rsidRPr="005F43C5">
        <w:rPr>
          <w:rFonts w:cs="Times New Roman"/>
        </w:rPr>
        <w:t xml:space="preserve">. </w:t>
      </w:r>
      <w:r w:rsidRPr="005F43C5">
        <w:rPr>
          <w:rFonts w:cs="Times New Roman"/>
        </w:rPr>
        <w:lastRenderedPageBreak/>
        <w:t>47.  Of particular note, in discussing the relationship between provisions grouped under the same heading, she writes:</w:t>
      </w:r>
    </w:p>
    <w:p w:rsidR="00A02B78" w:rsidRPr="005F43C5" w:rsidRDefault="000A64D2" w:rsidP="000A64D2">
      <w:pPr>
        <w:pStyle w:val="Citation-AltC"/>
        <w:tabs>
          <w:tab w:val="left" w:pos="1620"/>
        </w:tabs>
        <w:ind w:left="1170"/>
      </w:pPr>
      <w:r>
        <w:tab/>
      </w:r>
      <w:r w:rsidR="00A02B78" w:rsidRPr="005F43C5">
        <w:t xml:space="preserve">When provisions are grouped together under a heading </w:t>
      </w:r>
      <w:r w:rsidR="00A02B78" w:rsidRPr="005F43C5">
        <w:rPr>
          <w:u w:val="single"/>
        </w:rPr>
        <w:t>it is presumed that they are related to one another in some particular way</w:t>
      </w:r>
      <w:r w:rsidR="00A02B78" w:rsidRPr="005F43C5">
        <w:t>, that there is a shared subject or object or a common feature to the provisions.  [Emphasis added; p. 396.]</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While I do not place undue weight on it, I think some significance can be attached to the fact that s. 218 is coupled with one other offence, s. 215, which is clearly duty-based.  And as I have just noted, s. 218 is grouped with other provisions (ss. 216, 217 and 217.1) that speak to the creation of legal duties in particular circumstances.  Manifestly, s. 218 is embedded in a number of provisions which have, as their common denominator, the concept of “duty”.  That being so, it seems anomalous that Parliament would, for no apparent reason, insert a non-duty-based offence into a thicket of duty-related provisions.  The scenario becomes even more remarkable when one appreciates that s. 218 is concerned with inherently dangerous conduct that is or is likely to put the lives and safety of helpless young children at risk — the very type of situation which, in my view, requires a societal minimum standard of conduct and calls out for a standard of fault based on objective </w:t>
      </w:r>
      <w:proofErr w:type="spellStart"/>
      <w:r w:rsidRPr="005F43C5">
        <w:rPr>
          <w:rFonts w:cs="Times New Roman"/>
        </w:rPr>
        <w:t>foreseeability</w:t>
      </w:r>
      <w:proofErr w:type="spellEnd"/>
      <w:r w:rsidRPr="005F43C5">
        <w:rPr>
          <w:rFonts w:cs="Times New Roman"/>
        </w:rPr>
        <w:t>.</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The reason, in my view, why the word “duty” is not found in s. 218 is because s. 218 deals primarily with acts of commission, whereas s. 215 deals with acts of omission.  We do not speak of parents failing “not to abandon” their children or failing “not to expose” them to the risk of death or permanent injury.  The </w:t>
      </w:r>
      <w:r w:rsidRPr="005F43C5">
        <w:rPr>
          <w:rFonts w:cs="Times New Roman"/>
        </w:rPr>
        <w:lastRenderedPageBreak/>
        <w:t xml:space="preserve">gravamen of s. 218 lies not in the failure of an accused to do that which he or she is legally obliged to do (although </w:t>
      </w:r>
      <w:proofErr w:type="spellStart"/>
      <w:r w:rsidRPr="005F43C5">
        <w:rPr>
          <w:rFonts w:cs="Times New Roman"/>
        </w:rPr>
        <w:t>par</w:t>
      </w:r>
      <w:r w:rsidR="000A64D2">
        <w:rPr>
          <w:rFonts w:cs="Times New Roman"/>
        </w:rPr>
        <w:t>a</w:t>
      </w:r>
      <w:proofErr w:type="spellEnd"/>
      <w:r w:rsidR="000A64D2">
        <w:rPr>
          <w:rFonts w:cs="Times New Roman"/>
        </w:rPr>
        <w:t xml:space="preserve">. </w:t>
      </w:r>
      <w:r w:rsidR="000A64D2" w:rsidRPr="005F43C5">
        <w:rPr>
          <w:rFonts w:cs="Times New Roman"/>
        </w:rPr>
        <w:t>(</w:t>
      </w:r>
      <w:r w:rsidRPr="005F43C5">
        <w:rPr>
          <w:rFonts w:cs="Times New Roman"/>
          <w:i/>
        </w:rPr>
        <w:t>a</w:t>
      </w:r>
      <w:r w:rsidRPr="005F43C5">
        <w:rPr>
          <w:rFonts w:cs="Times New Roman"/>
        </w:rPr>
        <w:t xml:space="preserve">) of the s. 214 definition accounts for such a situation) but rather, the doing of something that is inherently dangerous — abandoning or exposing a helpless child to the risk of death or permanent injury. </w:t>
      </w:r>
    </w:p>
    <w:p w:rsidR="00A02B78" w:rsidRPr="005F43C5" w:rsidRDefault="00611C3F" w:rsidP="00611C3F">
      <w:pPr>
        <w:pStyle w:val="TitleTitre-AltT"/>
        <w:tabs>
          <w:tab w:val="clear" w:pos="360"/>
          <w:tab w:val="left" w:pos="1170"/>
          <w:tab w:val="left" w:pos="1620"/>
        </w:tabs>
        <w:ind w:left="1170" w:hanging="1170"/>
        <w:rPr>
          <w:rFonts w:cs="Times New Roman"/>
        </w:rPr>
      </w:pPr>
      <w:r>
        <w:rPr>
          <w:rFonts w:cs="Times New Roman"/>
        </w:rPr>
        <w:tab/>
      </w:r>
      <w:r w:rsidR="00A02B78" w:rsidRPr="005F43C5">
        <w:rPr>
          <w:rFonts w:cs="Times New Roman"/>
        </w:rPr>
        <w:t>(3)</w:t>
      </w:r>
      <w:r w:rsidR="00A02B78" w:rsidRPr="005F43C5">
        <w:rPr>
          <w:rFonts w:cs="Times New Roman"/>
        </w:rPr>
        <w:tab/>
      </w:r>
      <w:r w:rsidR="00A02B78" w:rsidRPr="005F43C5">
        <w:rPr>
          <w:rFonts w:cs="Times New Roman"/>
          <w:u w:val="single"/>
        </w:rPr>
        <w:t>Scholarly Opinion</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Finally, I note that scholarly opinion on the offence of abandoning or exposing a child under s. 218 of the </w:t>
      </w:r>
      <w:r w:rsidRPr="005F43C5">
        <w:rPr>
          <w:rFonts w:cs="Times New Roman"/>
          <w:i/>
        </w:rPr>
        <w:t>Code</w:t>
      </w:r>
      <w:r w:rsidRPr="005F43C5">
        <w:rPr>
          <w:rFonts w:cs="Times New Roman"/>
        </w:rPr>
        <w:t xml:space="preserve"> is sparse, but that which there is suggests the offence is duty-based.</w:t>
      </w:r>
    </w:p>
    <w:p w:rsidR="00A02B78" w:rsidRPr="005F43C5" w:rsidRDefault="00A02B78" w:rsidP="00A02B78">
      <w:pPr>
        <w:pStyle w:val="ParaNoNdepar-AltN"/>
        <w:tabs>
          <w:tab w:val="clear" w:pos="1166"/>
          <w:tab w:val="num" w:pos="1152"/>
        </w:tabs>
        <w:rPr>
          <w:rFonts w:cs="Times New Roman"/>
        </w:rPr>
      </w:pPr>
      <w:r w:rsidRPr="005F43C5">
        <w:rPr>
          <w:rFonts w:cs="Times New Roman"/>
        </w:rPr>
        <w:t>In his treatise, Professor Stuart indicates that the offence of child abandonment is a duty-based offence, although not one where the duty is stated within the offence.  He places it in the category of “[o]</w:t>
      </w:r>
      <w:proofErr w:type="spellStart"/>
      <w:r w:rsidRPr="005F43C5">
        <w:rPr>
          <w:rFonts w:cs="Times New Roman"/>
        </w:rPr>
        <w:t>ffences</w:t>
      </w:r>
      <w:proofErr w:type="spellEnd"/>
      <w:r w:rsidRPr="005F43C5">
        <w:rPr>
          <w:rFonts w:cs="Times New Roman"/>
        </w:rPr>
        <w:t xml:space="preserve"> that extend to omissions but do not create a legal duty to act so a legal duty outside the offence must be found” (p. 96).  According to Professor Stuart, this category describes two types of offences, the first of which encompasses child abandonment:</w:t>
      </w:r>
    </w:p>
    <w:p w:rsidR="00A02B78" w:rsidRPr="005F43C5" w:rsidRDefault="00A02B78" w:rsidP="00A02B78">
      <w:pPr>
        <w:pStyle w:val="Citation-AltC"/>
        <w:ind w:firstLine="274"/>
      </w:pPr>
      <w:r w:rsidRPr="005F43C5">
        <w:t>The first is where the Code offences refer to a duty without defining it.  Examples occur in the case of the offences of permitting an escape by failing to perform “a legal duty” (section 146(</w:t>
      </w:r>
      <w:r w:rsidRPr="005F43C5">
        <w:rPr>
          <w:i/>
        </w:rPr>
        <w:t>a</w:t>
      </w:r>
      <w:r w:rsidRPr="005F43C5">
        <w:t xml:space="preserve">)), committing a common nuisance by failing to discharge “a legal duty” (section 180), and </w:t>
      </w:r>
      <w:r w:rsidRPr="005F43C5">
        <w:rPr>
          <w:u w:val="single"/>
        </w:rPr>
        <w:t>abandoning a child by omitting to take charge of it when under “a legal duty to do so”</w:t>
      </w:r>
      <w:r w:rsidRPr="005F43C5">
        <w:t xml:space="preserve"> (sections 214 and 218). [Emphasis added; p. 96.]</w:t>
      </w:r>
    </w:p>
    <w:p w:rsidR="00A02B78" w:rsidRPr="005F43C5" w:rsidRDefault="00A02B78" w:rsidP="00A02B78">
      <w:pPr>
        <w:pStyle w:val="ParaNoNdepar-AltN"/>
        <w:tabs>
          <w:tab w:val="clear" w:pos="1166"/>
          <w:tab w:val="num" w:pos="1152"/>
        </w:tabs>
        <w:rPr>
          <w:rFonts w:cs="Times New Roman"/>
        </w:rPr>
      </w:pPr>
      <w:r w:rsidRPr="005F43C5">
        <w:rPr>
          <w:rFonts w:cs="Times New Roman"/>
        </w:rPr>
        <w:lastRenderedPageBreak/>
        <w:t>As I have explained, narrowing the scope of the offence under s. 218 exclusively to those who have a pre-existing and ongoing duty cannot be supported by the plain text o</w:t>
      </w:r>
      <w:r w:rsidR="00611C3F">
        <w:rPr>
          <w:rFonts w:cs="Times New Roman"/>
        </w:rPr>
        <w:t xml:space="preserve">f the provision in light of </w:t>
      </w:r>
      <w:proofErr w:type="spellStart"/>
      <w:r w:rsidR="00611C3F">
        <w:rPr>
          <w:rFonts w:cs="Times New Roman"/>
        </w:rPr>
        <w:t>para</w:t>
      </w:r>
      <w:proofErr w:type="spellEnd"/>
      <w:r w:rsidR="00611C3F">
        <w:rPr>
          <w:rFonts w:cs="Times New Roman"/>
        </w:rPr>
        <w:t>.</w:t>
      </w:r>
      <w:r w:rsidRPr="005F43C5">
        <w:rPr>
          <w:rFonts w:cs="Times New Roman"/>
        </w:rPr>
        <w:t xml:space="preserve"> (</w:t>
      </w:r>
      <w:r w:rsidRPr="005F43C5">
        <w:rPr>
          <w:rFonts w:cs="Times New Roman"/>
          <w:i/>
        </w:rPr>
        <w:t>b</w:t>
      </w:r>
      <w:r w:rsidRPr="005F43C5">
        <w:rPr>
          <w:rFonts w:cs="Times New Roman"/>
        </w:rPr>
        <w:t xml:space="preserve">) </w:t>
      </w:r>
      <w:proofErr w:type="gramStart"/>
      <w:r w:rsidRPr="005F43C5">
        <w:rPr>
          <w:rFonts w:cs="Times New Roman"/>
        </w:rPr>
        <w:t>of</w:t>
      </w:r>
      <w:proofErr w:type="gramEnd"/>
      <w:r w:rsidRPr="005F43C5">
        <w:rPr>
          <w:rFonts w:cs="Times New Roman"/>
        </w:rPr>
        <w:t xml:space="preserve"> the s. 214 definition of “abandon” or “expose”.  Nonetheless, I would take Professor Stuart as making the more modest point that s. 218 at least in part looks to those with such pre-existing and ongoing duties and, as such, is properly characterized as duty-based.</w:t>
      </w:r>
    </w:p>
    <w:p w:rsidR="00A02B78" w:rsidRPr="005F43C5" w:rsidRDefault="00A02B78" w:rsidP="00A02B78">
      <w:pPr>
        <w:pStyle w:val="ParaNoNdepar-AltN"/>
        <w:rPr>
          <w:rFonts w:cs="Times New Roman"/>
        </w:rPr>
      </w:pPr>
      <w:r w:rsidRPr="005F43C5">
        <w:rPr>
          <w:rFonts w:cs="Times New Roman"/>
        </w:rPr>
        <w:t xml:space="preserve">Likewise, Professor Roach, at pp. 115-16 of his text, explains that although an omission will not generally constitute the </w:t>
      </w:r>
      <w:proofErr w:type="spellStart"/>
      <w:r w:rsidRPr="005F43C5">
        <w:rPr>
          <w:rFonts w:cs="Times New Roman"/>
          <w:i/>
        </w:rPr>
        <w:t>actus</w:t>
      </w:r>
      <w:proofErr w:type="spellEnd"/>
      <w:r w:rsidRPr="005F43C5">
        <w:rPr>
          <w:rFonts w:cs="Times New Roman"/>
          <w:i/>
        </w:rPr>
        <w:t xml:space="preserve"> </w:t>
      </w:r>
      <w:proofErr w:type="spellStart"/>
      <w:proofErr w:type="gramStart"/>
      <w:r w:rsidRPr="005F43C5">
        <w:rPr>
          <w:rFonts w:cs="Times New Roman"/>
          <w:i/>
        </w:rPr>
        <w:t>reus</w:t>
      </w:r>
      <w:proofErr w:type="spellEnd"/>
      <w:proofErr w:type="gramEnd"/>
      <w:r w:rsidRPr="005F43C5">
        <w:rPr>
          <w:rFonts w:cs="Times New Roman"/>
        </w:rPr>
        <w:t xml:space="preserve"> of an offence, a failure to act will suffice where an individual has a “specific legal duty to act”.  He then includes child abandonment in his list of duty-based offences:</w:t>
      </w:r>
    </w:p>
    <w:p w:rsidR="00A02B78" w:rsidRPr="005F43C5" w:rsidRDefault="00A02B78" w:rsidP="00A02B78">
      <w:pPr>
        <w:pStyle w:val="Citation-AltC"/>
        <w:ind w:left="1170" w:firstLine="450"/>
      </w:pPr>
      <w:r w:rsidRPr="005F43C5">
        <w:t xml:space="preserve">There is a duty to use reasonable care when providing medical treatment or other lawful acts that may endanger the life of others.  This duty was breached by a person who donated blood that he knew was infected with HIV.  It is also an offence not to use reasonable care in handling explosives; to disobey a court order; to fail to assist a peace officer when requested; </w:t>
      </w:r>
      <w:r w:rsidRPr="005F43C5">
        <w:rPr>
          <w:u w:val="single"/>
        </w:rPr>
        <w:t>to abandon a child</w:t>
      </w:r>
      <w:r w:rsidRPr="005F43C5">
        <w:t>; not to obtain assistance in child-birth; to fail to stop when your vehicle is involved in an accident; to neglect animals; and to fail to take steps to protect holes in ice or open excavations.  [Footnotes omitted; emphasis added; p. 116.]</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Finally, Manning and </w:t>
      </w:r>
      <w:proofErr w:type="spellStart"/>
      <w:r w:rsidRPr="005F43C5">
        <w:rPr>
          <w:rFonts w:cs="Times New Roman"/>
        </w:rPr>
        <w:t>Sankoff</w:t>
      </w:r>
      <w:proofErr w:type="spellEnd"/>
      <w:r w:rsidRPr="005F43C5">
        <w:rPr>
          <w:rFonts w:cs="Times New Roman"/>
        </w:rPr>
        <w:t xml:space="preserve">, at p. 826 of their treatise, take a glum view of s. 218, calling it “entirely superfluous” on the basis that “there does not appear to be a conceivable situation in which abandonment would not also constitute a failure to provide the necessaries of life [under s. 215]”.  Again, I note that this analysis neglects to take any account of </w:t>
      </w:r>
      <w:proofErr w:type="spellStart"/>
      <w:r w:rsidRPr="005F43C5">
        <w:rPr>
          <w:rFonts w:cs="Times New Roman"/>
        </w:rPr>
        <w:t>par</w:t>
      </w:r>
      <w:r w:rsidR="00611C3F">
        <w:rPr>
          <w:rFonts w:cs="Times New Roman"/>
        </w:rPr>
        <w:t>a</w:t>
      </w:r>
      <w:proofErr w:type="spellEnd"/>
      <w:r w:rsidR="00611C3F">
        <w:rPr>
          <w:rFonts w:cs="Times New Roman"/>
        </w:rPr>
        <w:t>.</w:t>
      </w:r>
      <w:r w:rsidRPr="005F43C5">
        <w:rPr>
          <w:rFonts w:cs="Times New Roman"/>
        </w:rPr>
        <w:t xml:space="preserve"> (</w:t>
      </w:r>
      <w:r w:rsidRPr="005F43C5">
        <w:rPr>
          <w:rFonts w:cs="Times New Roman"/>
          <w:i/>
        </w:rPr>
        <w:t>b</w:t>
      </w:r>
      <w:r w:rsidRPr="005F43C5">
        <w:rPr>
          <w:rFonts w:cs="Times New Roman"/>
        </w:rPr>
        <w:t xml:space="preserve">) </w:t>
      </w:r>
      <w:proofErr w:type="gramStart"/>
      <w:r w:rsidRPr="005F43C5">
        <w:rPr>
          <w:rFonts w:cs="Times New Roman"/>
        </w:rPr>
        <w:t>of</w:t>
      </w:r>
      <w:proofErr w:type="gramEnd"/>
      <w:r w:rsidRPr="005F43C5">
        <w:rPr>
          <w:rFonts w:cs="Times New Roman"/>
        </w:rPr>
        <w:t xml:space="preserve"> the s. 214 definition of “abandon” or “expose” and I do not comment on their thesis that s. 218 is superfluous.  But setting </w:t>
      </w:r>
      <w:r w:rsidRPr="005F43C5">
        <w:rPr>
          <w:rFonts w:cs="Times New Roman"/>
        </w:rPr>
        <w:lastRenderedPageBreak/>
        <w:t>those matters aside, in saying that s. 218 is entirely subsumed by s. 215 — which everyone agrees is a duty-based offence — these authors must be taken as accepting that s. 218 is likewise a duty-based offence.</w:t>
      </w:r>
    </w:p>
    <w:p w:rsidR="00A02B78" w:rsidRPr="005F43C5" w:rsidRDefault="00611C3F" w:rsidP="00611C3F">
      <w:pPr>
        <w:pStyle w:val="TitleTitre-AltT"/>
        <w:tabs>
          <w:tab w:val="clear" w:pos="360"/>
          <w:tab w:val="left" w:pos="1170"/>
        </w:tabs>
        <w:ind w:left="1710" w:hanging="1710"/>
        <w:rPr>
          <w:rFonts w:cs="Times New Roman"/>
        </w:rPr>
      </w:pPr>
      <w:r>
        <w:rPr>
          <w:rFonts w:cs="Times New Roman"/>
        </w:rPr>
        <w:tab/>
      </w:r>
      <w:r w:rsidR="00A02B78" w:rsidRPr="005F43C5">
        <w:rPr>
          <w:rFonts w:cs="Times New Roman"/>
        </w:rPr>
        <w:t>(4)</w:t>
      </w:r>
      <w:r w:rsidR="00A02B78" w:rsidRPr="005F43C5">
        <w:rPr>
          <w:rFonts w:cs="Times New Roman"/>
        </w:rPr>
        <w:tab/>
      </w:r>
      <w:r w:rsidR="00A02B78" w:rsidRPr="005F43C5">
        <w:rPr>
          <w:rFonts w:cs="Times New Roman"/>
          <w:u w:val="single"/>
        </w:rPr>
        <w:t>Conclusion on the Duty-Based Nature of Section 218</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To sum up, the plain language of s. 218 — supported by the place of situational duties in Canadian criminal law, the offence’s placement among other duty-based provisions in the </w:t>
      </w:r>
      <w:r w:rsidRPr="005F43C5">
        <w:rPr>
          <w:rFonts w:cs="Times New Roman"/>
          <w:i/>
        </w:rPr>
        <w:t>Code</w:t>
      </w:r>
      <w:r w:rsidRPr="005F43C5">
        <w:rPr>
          <w:rFonts w:cs="Times New Roman"/>
        </w:rPr>
        <w:t xml:space="preserve"> and the scholarship on s. 218 — leads to the conclusion that the offence of child abandonment is duty-based.  It is targeted at three distinct groups faced with a situation where a child under 10 is or is likely to be at risk of death or permanent i</w:t>
      </w:r>
      <w:r w:rsidR="00611C3F">
        <w:rPr>
          <w:rFonts w:cs="Times New Roman"/>
        </w:rPr>
        <w:t xml:space="preserve">njury:  first, by virtue of </w:t>
      </w:r>
      <w:proofErr w:type="spellStart"/>
      <w:r w:rsidR="00611C3F">
        <w:rPr>
          <w:rFonts w:cs="Times New Roman"/>
        </w:rPr>
        <w:t>para</w:t>
      </w:r>
      <w:proofErr w:type="spellEnd"/>
      <w:r w:rsidR="00611C3F">
        <w:rPr>
          <w:rFonts w:cs="Times New Roman"/>
        </w:rPr>
        <w:t>.</w:t>
      </w:r>
      <w:r w:rsidRPr="005F43C5">
        <w:rPr>
          <w:rFonts w:cs="Times New Roman"/>
        </w:rPr>
        <w:t xml:space="preserve"> (</w:t>
      </w:r>
      <w:r w:rsidRPr="005F43C5">
        <w:rPr>
          <w:rFonts w:cs="Times New Roman"/>
          <w:i/>
        </w:rPr>
        <w:t>a</w:t>
      </w:r>
      <w:r w:rsidRPr="005F43C5">
        <w:rPr>
          <w:rFonts w:cs="Times New Roman"/>
        </w:rPr>
        <w:t xml:space="preserve">) </w:t>
      </w:r>
      <w:proofErr w:type="gramStart"/>
      <w:r w:rsidRPr="005F43C5">
        <w:rPr>
          <w:rFonts w:cs="Times New Roman"/>
        </w:rPr>
        <w:t>of</w:t>
      </w:r>
      <w:proofErr w:type="gramEnd"/>
      <w:r w:rsidRPr="005F43C5">
        <w:rPr>
          <w:rFonts w:cs="Times New Roman"/>
        </w:rPr>
        <w:t xml:space="preserve"> the s. 214 definition, those with a pre-existing and ongoing duty to take charge of the child; second, by virtue of </w:t>
      </w:r>
      <w:proofErr w:type="spellStart"/>
      <w:r w:rsidRPr="005F43C5">
        <w:rPr>
          <w:rFonts w:cs="Times New Roman"/>
        </w:rPr>
        <w:t>par</w:t>
      </w:r>
      <w:r w:rsidR="00611C3F">
        <w:rPr>
          <w:rFonts w:cs="Times New Roman"/>
        </w:rPr>
        <w:t>a</w:t>
      </w:r>
      <w:proofErr w:type="spellEnd"/>
      <w:r w:rsidR="00611C3F">
        <w:rPr>
          <w:rFonts w:cs="Times New Roman"/>
        </w:rPr>
        <w:t>.</w:t>
      </w:r>
      <w:r w:rsidRPr="005F43C5">
        <w:rPr>
          <w:rFonts w:cs="Times New Roman"/>
        </w:rPr>
        <w:t xml:space="preserve"> (</w:t>
      </w:r>
      <w:r w:rsidRPr="005F43C5">
        <w:rPr>
          <w:rFonts w:cs="Times New Roman"/>
          <w:i/>
        </w:rPr>
        <w:t>b</w:t>
      </w:r>
      <w:r w:rsidRPr="005F43C5">
        <w:rPr>
          <w:rFonts w:cs="Times New Roman"/>
        </w:rPr>
        <w:t>), those who “</w:t>
      </w:r>
      <w:proofErr w:type="spellStart"/>
      <w:r w:rsidRPr="005F43C5">
        <w:rPr>
          <w:rFonts w:cs="Times New Roman"/>
        </w:rPr>
        <w:t>dea</w:t>
      </w:r>
      <w:proofErr w:type="spellEnd"/>
      <w:r w:rsidRPr="005F43C5">
        <w:rPr>
          <w:rFonts w:cs="Times New Roman"/>
        </w:rPr>
        <w:t>[l] with” the child by undertaking positive steps to come to its aid in that situation; an</w:t>
      </w:r>
      <w:r w:rsidR="00611C3F">
        <w:rPr>
          <w:rFonts w:cs="Times New Roman"/>
        </w:rPr>
        <w:t xml:space="preserve">d third, again by virtue of </w:t>
      </w:r>
      <w:proofErr w:type="spellStart"/>
      <w:r w:rsidR="00611C3F">
        <w:rPr>
          <w:rFonts w:cs="Times New Roman"/>
        </w:rPr>
        <w:t>para</w:t>
      </w:r>
      <w:proofErr w:type="spellEnd"/>
      <w:r w:rsidR="00611C3F">
        <w:rPr>
          <w:rFonts w:cs="Times New Roman"/>
        </w:rPr>
        <w:t>.</w:t>
      </w:r>
      <w:r w:rsidRPr="005F43C5">
        <w:rPr>
          <w:rFonts w:cs="Times New Roman"/>
        </w:rPr>
        <w:t xml:space="preserve"> (</w:t>
      </w:r>
      <w:r w:rsidRPr="005F43C5">
        <w:rPr>
          <w:rFonts w:cs="Times New Roman"/>
          <w:i/>
        </w:rPr>
        <w:t>b</w:t>
      </w:r>
      <w:r w:rsidRPr="005F43C5">
        <w:rPr>
          <w:rFonts w:cs="Times New Roman"/>
        </w:rPr>
        <w:t>), those who “</w:t>
      </w:r>
      <w:proofErr w:type="spellStart"/>
      <w:r w:rsidRPr="005F43C5">
        <w:rPr>
          <w:rFonts w:cs="Times New Roman"/>
        </w:rPr>
        <w:t>dea</w:t>
      </w:r>
      <w:proofErr w:type="spellEnd"/>
      <w:r w:rsidRPr="005F43C5">
        <w:rPr>
          <w:rFonts w:cs="Times New Roman"/>
        </w:rPr>
        <w:t>[l] with” the child by placing it in that situation.</w:t>
      </w:r>
    </w:p>
    <w:p w:rsidR="00A02B78" w:rsidRPr="005F43C5" w:rsidRDefault="00A02B78" w:rsidP="00A02B78">
      <w:pPr>
        <w:pStyle w:val="ParaNoNdepar-AltN"/>
        <w:tabs>
          <w:tab w:val="clear" w:pos="1166"/>
          <w:tab w:val="num" w:pos="1152"/>
        </w:tabs>
        <w:rPr>
          <w:rFonts w:cs="Times New Roman"/>
        </w:rPr>
      </w:pPr>
      <w:r w:rsidRPr="005F43C5">
        <w:rPr>
          <w:rFonts w:cs="Times New Roman"/>
        </w:rPr>
        <w:t>With this in mind, I turn again to the wording of s. 218, and particularly the language employed with respect to the consequences, the mental element of which forms the crux of this case:</w:t>
      </w:r>
    </w:p>
    <w:p w:rsidR="00A02B78" w:rsidRPr="005F43C5" w:rsidRDefault="00A02B78" w:rsidP="00A02B78">
      <w:pPr>
        <w:pStyle w:val="Citation-AltC"/>
        <w:ind w:firstLine="274"/>
      </w:pPr>
      <w:r w:rsidRPr="00B85579">
        <w:rPr>
          <w:rStyle w:val="sectionlabel"/>
          <w:rFonts w:eastAsiaTheme="majorEastAsia"/>
          <w:b/>
        </w:rPr>
        <w:t>218.</w:t>
      </w:r>
      <w:r w:rsidRPr="005F43C5">
        <w:t xml:space="preserve"> </w:t>
      </w:r>
      <w:proofErr w:type="spellStart"/>
      <w:r w:rsidRPr="005F43C5">
        <w:t>Every one</w:t>
      </w:r>
      <w:proofErr w:type="spellEnd"/>
      <w:r w:rsidRPr="005F43C5">
        <w:t xml:space="preserve"> who unlawfully abandons or exposes a child who is under the age of ten years, </w:t>
      </w:r>
      <w:r w:rsidRPr="005F43C5">
        <w:rPr>
          <w:u w:val="single"/>
        </w:rPr>
        <w:t>so that its life is or is likely to be endangered or its health is or is likely to be permanently injured</w:t>
      </w:r>
      <w:r w:rsidRPr="005F43C5">
        <w:t xml:space="preserve"> . . . .</w:t>
      </w:r>
    </w:p>
    <w:p w:rsidR="00A02B78" w:rsidRPr="005F43C5" w:rsidRDefault="00A02B78" w:rsidP="00A02B78">
      <w:pPr>
        <w:pStyle w:val="ParaNoNdepar-AltN"/>
        <w:tabs>
          <w:tab w:val="clear" w:pos="1166"/>
          <w:tab w:val="num" w:pos="1152"/>
        </w:tabs>
        <w:rPr>
          <w:rFonts w:cs="Times New Roman"/>
        </w:rPr>
      </w:pPr>
      <w:r w:rsidRPr="005F43C5">
        <w:rPr>
          <w:rFonts w:cs="Times New Roman"/>
        </w:rPr>
        <w:lastRenderedPageBreak/>
        <w:t xml:space="preserve">This language, which we are tasked with interpreting today, is strikingly similar to that which this Court explained in the context of s. 215, the sister provision to s. 218 concerning a failure to provide the necessaries of life.  As I have already mentioned, this Court held in </w:t>
      </w:r>
      <w:proofErr w:type="spellStart"/>
      <w:r w:rsidRPr="005F43C5">
        <w:rPr>
          <w:rFonts w:cs="Times New Roman"/>
          <w:i/>
        </w:rPr>
        <w:t>Naglik</w:t>
      </w:r>
      <w:proofErr w:type="spellEnd"/>
      <w:r w:rsidRPr="005F43C5">
        <w:rPr>
          <w:rFonts w:cs="Times New Roman"/>
          <w:i/>
        </w:rPr>
        <w:t xml:space="preserve"> </w:t>
      </w:r>
      <w:r w:rsidRPr="005F43C5">
        <w:rPr>
          <w:rFonts w:cs="Times New Roman"/>
        </w:rPr>
        <w:t xml:space="preserve">that the </w:t>
      </w:r>
      <w:proofErr w:type="spellStart"/>
      <w:r w:rsidRPr="005F43C5">
        <w:rPr>
          <w:rFonts w:cs="Times New Roman"/>
          <w:i/>
        </w:rPr>
        <w:t>mens</w:t>
      </w:r>
      <w:proofErr w:type="spellEnd"/>
      <w:r w:rsidRPr="005F43C5">
        <w:rPr>
          <w:rFonts w:cs="Times New Roman"/>
          <w:i/>
        </w:rPr>
        <w:t xml:space="preserve"> </w:t>
      </w:r>
      <w:proofErr w:type="spellStart"/>
      <w:r w:rsidRPr="005F43C5">
        <w:rPr>
          <w:rFonts w:cs="Times New Roman"/>
          <w:i/>
        </w:rPr>
        <w:t>rea</w:t>
      </w:r>
      <w:proofErr w:type="spellEnd"/>
      <w:r w:rsidRPr="005F43C5">
        <w:rPr>
          <w:rFonts w:cs="Times New Roman"/>
          <w:i/>
        </w:rPr>
        <w:t xml:space="preserve"> </w:t>
      </w:r>
      <w:r w:rsidRPr="005F43C5">
        <w:rPr>
          <w:rFonts w:cs="Times New Roman"/>
        </w:rPr>
        <w:t>for s. 215 is in relevant part satisfied on an objective basis.</w:t>
      </w:r>
      <w:r w:rsidRPr="005F43C5">
        <w:rPr>
          <w:rFonts w:cs="Times New Roman"/>
          <w:i/>
        </w:rPr>
        <w:t xml:space="preserve">  </w:t>
      </w:r>
      <w:r w:rsidRPr="005F43C5">
        <w:rPr>
          <w:rFonts w:cs="Times New Roman"/>
        </w:rPr>
        <w:t>In an opinion unanimous on this issue, Lamer C.J., at p. 143, asked rhetorically, “</w:t>
      </w:r>
      <w:r w:rsidRPr="005F43C5">
        <w:rPr>
          <w:rFonts w:cs="Times New Roman"/>
          <w:szCs w:val="24"/>
        </w:rPr>
        <w:t>What parts of the offence must be objectively foreseeable?” and then identified the subparagraph in s. 215 that I emphasize below:</w:t>
      </w:r>
    </w:p>
    <w:p w:rsidR="00A02B78" w:rsidRPr="005F43C5" w:rsidRDefault="00A02B78" w:rsidP="00A02B78">
      <w:pPr>
        <w:pStyle w:val="Citation-AltC"/>
        <w:ind w:firstLine="454"/>
      </w:pPr>
      <w:r w:rsidRPr="005F43C5">
        <w:t>(2) Every one commits an offence who, being under a legal duty within the meaning of subsection (1), fails without lawful excuse, the proof of which lies on him, to perform that duty, if</w:t>
      </w:r>
    </w:p>
    <w:p w:rsidR="00A02B78" w:rsidRPr="005F43C5" w:rsidRDefault="00A02B78" w:rsidP="00A02B78">
      <w:pPr>
        <w:pStyle w:val="Citation-AltC"/>
      </w:pPr>
    </w:p>
    <w:p w:rsidR="00A02B78" w:rsidRPr="005F43C5" w:rsidRDefault="00A02B78" w:rsidP="00611C3F">
      <w:pPr>
        <w:pStyle w:val="Citation-AltC"/>
        <w:tabs>
          <w:tab w:val="left" w:pos="1980"/>
        </w:tabs>
        <w:ind w:firstLine="454"/>
      </w:pPr>
      <w:r w:rsidRPr="005F43C5">
        <w:t>(</w:t>
      </w:r>
      <w:r w:rsidRPr="005F43C5">
        <w:rPr>
          <w:rStyle w:val="Emphasis"/>
          <w:rFonts w:eastAsiaTheme="majorEastAsia"/>
        </w:rPr>
        <w:t>a</w:t>
      </w:r>
      <w:r w:rsidR="00611C3F">
        <w:t>)</w:t>
      </w:r>
      <w:r w:rsidR="00611C3F">
        <w:tab/>
      </w:r>
      <w:proofErr w:type="gramStart"/>
      <w:r w:rsidRPr="005F43C5">
        <w:t>with</w:t>
      </w:r>
      <w:proofErr w:type="gramEnd"/>
      <w:r w:rsidRPr="005F43C5">
        <w:t xml:space="preserve"> respect to a duty imposed . . . </w:t>
      </w:r>
    </w:p>
    <w:p w:rsidR="00A02B78" w:rsidRPr="005F43C5" w:rsidRDefault="00A02B78" w:rsidP="00A02B78">
      <w:pPr>
        <w:pStyle w:val="Citation-AltC"/>
      </w:pPr>
    </w:p>
    <w:p w:rsidR="00A02B78" w:rsidRPr="005F43C5" w:rsidRDefault="00A02B78" w:rsidP="00611C3F">
      <w:pPr>
        <w:pStyle w:val="Citation-AltC"/>
        <w:ind w:left="1980"/>
      </w:pPr>
      <w:r w:rsidRPr="005F43C5">
        <w:t xml:space="preserve">(ii) </w:t>
      </w:r>
      <w:proofErr w:type="gramStart"/>
      <w:r w:rsidRPr="005F43C5">
        <w:t>the</w:t>
      </w:r>
      <w:proofErr w:type="gramEnd"/>
      <w:r w:rsidRPr="005F43C5">
        <w:t xml:space="preserve"> failure to perform the duty </w:t>
      </w:r>
      <w:r w:rsidRPr="005F43C5">
        <w:rPr>
          <w:u w:val="single"/>
        </w:rPr>
        <w:t>endangers the life of the person to whom the duty is owed, or causes or is likely to cause the health of that person to be endangered permanently</w:t>
      </w:r>
      <w:r w:rsidRPr="005F43C5">
        <w:t xml:space="preserve"> . . . </w:t>
      </w:r>
      <w:r w:rsidR="002C5B3A">
        <w:t>.</w:t>
      </w:r>
    </w:p>
    <w:p w:rsidR="00A02B78" w:rsidRPr="005F43C5" w:rsidRDefault="00A02B78" w:rsidP="00A02B78">
      <w:pPr>
        <w:pStyle w:val="ParaNoNdepar-AltN"/>
        <w:tabs>
          <w:tab w:val="clear" w:pos="1166"/>
          <w:tab w:val="num" w:pos="1152"/>
        </w:tabs>
        <w:rPr>
          <w:rFonts w:cs="Times New Roman"/>
        </w:rPr>
      </w:pPr>
      <w:r w:rsidRPr="005F43C5">
        <w:rPr>
          <w:rFonts w:cs="Times New Roman"/>
        </w:rPr>
        <w:t>As is apparent, the relevant language in both provisions is strikingly similar.  If s. 218 is duty-based, as I have attempted to show it is, then this should be the end of the matter — there is no</w:t>
      </w:r>
      <w:r w:rsidRPr="005F43C5">
        <w:rPr>
          <w:rFonts w:cs="Times New Roman"/>
          <w:i/>
        </w:rPr>
        <w:t xml:space="preserve"> </w:t>
      </w:r>
      <w:r w:rsidRPr="005F43C5">
        <w:rPr>
          <w:rFonts w:cs="Times New Roman"/>
        </w:rPr>
        <w:t xml:space="preserve">basis in principle or precedent for departing from the rule announced in </w:t>
      </w:r>
      <w:proofErr w:type="spellStart"/>
      <w:r w:rsidRPr="005F43C5">
        <w:rPr>
          <w:rFonts w:cs="Times New Roman"/>
          <w:i/>
        </w:rPr>
        <w:t>Naglik</w:t>
      </w:r>
      <w:proofErr w:type="spellEnd"/>
      <w:r w:rsidRPr="005F43C5">
        <w:rPr>
          <w:rFonts w:cs="Times New Roman"/>
        </w:rPr>
        <w:t>.  This Court’s reasoning with respect to s. 215 applies with equal force to s. 218, and it does not stand to reason that the mental element for the risk element of child abandonment is anything other than objective.  But if that is not enough, there is more.</w:t>
      </w:r>
    </w:p>
    <w:p w:rsidR="00A02B78" w:rsidRPr="005F43C5" w:rsidRDefault="00B6746A" w:rsidP="00B6746A">
      <w:pPr>
        <w:pStyle w:val="TitleTitre-AltT"/>
        <w:tabs>
          <w:tab w:val="clear" w:pos="360"/>
          <w:tab w:val="left" w:pos="540"/>
        </w:tabs>
        <w:ind w:left="540" w:hanging="540"/>
        <w:rPr>
          <w:rFonts w:cs="Times New Roman"/>
        </w:rPr>
      </w:pPr>
      <w:r>
        <w:rPr>
          <w:rFonts w:cs="Times New Roman"/>
        </w:rPr>
        <w:t>D.</w:t>
      </w:r>
      <w:r>
        <w:rPr>
          <w:rFonts w:cs="Times New Roman"/>
        </w:rPr>
        <w:tab/>
      </w:r>
      <w:r w:rsidR="00A02B78" w:rsidRPr="005F43C5">
        <w:rPr>
          <w:rFonts w:cs="Times New Roman"/>
          <w:i/>
        </w:rPr>
        <w:t>The Legislative History Confirms an Objective Standard for the Proscribed Consequences</w:t>
      </w:r>
      <w:r w:rsidR="00A02B78" w:rsidRPr="005F43C5">
        <w:rPr>
          <w:rFonts w:cs="Times New Roman"/>
        </w:rPr>
        <w:t xml:space="preserve"> </w:t>
      </w:r>
    </w:p>
    <w:p w:rsidR="00A02B78" w:rsidRPr="005F43C5" w:rsidRDefault="00A02B78" w:rsidP="00A02B78">
      <w:pPr>
        <w:pStyle w:val="ParaNoNdepar-AltN"/>
        <w:tabs>
          <w:tab w:val="clear" w:pos="1166"/>
          <w:tab w:val="num" w:pos="1152"/>
        </w:tabs>
        <w:rPr>
          <w:rFonts w:cs="Times New Roman"/>
        </w:rPr>
      </w:pPr>
      <w:r w:rsidRPr="005F43C5">
        <w:rPr>
          <w:rFonts w:cs="Times New Roman"/>
        </w:rPr>
        <w:lastRenderedPageBreak/>
        <w:t xml:space="preserve">The legislative history of s. 218 is traceable to </w:t>
      </w:r>
      <w:r w:rsidRPr="005F43C5">
        <w:rPr>
          <w:rFonts w:cs="Times New Roman"/>
          <w:i/>
        </w:rPr>
        <w:t>The</w:t>
      </w:r>
      <w:r w:rsidRPr="005F43C5">
        <w:rPr>
          <w:rFonts w:cs="Times New Roman"/>
        </w:rPr>
        <w:t xml:space="preserve"> </w:t>
      </w:r>
      <w:r w:rsidRPr="005F43C5">
        <w:rPr>
          <w:rFonts w:cs="Times New Roman"/>
          <w:i/>
        </w:rPr>
        <w:t>Offences against the Person Act, 1861</w:t>
      </w:r>
      <w:r w:rsidRPr="005F43C5">
        <w:rPr>
          <w:rFonts w:cs="Times New Roman"/>
        </w:rPr>
        <w:t xml:space="preserve">, 24 &amp; 25 </w:t>
      </w:r>
      <w:proofErr w:type="spellStart"/>
      <w:proofErr w:type="gramStart"/>
      <w:r w:rsidRPr="005F43C5">
        <w:rPr>
          <w:rFonts w:cs="Times New Roman"/>
        </w:rPr>
        <w:t>Vict</w:t>
      </w:r>
      <w:proofErr w:type="spellEnd"/>
      <w:r w:rsidRPr="005F43C5">
        <w:rPr>
          <w:rFonts w:cs="Times New Roman"/>
        </w:rPr>
        <w:t>.,</w:t>
      </w:r>
      <w:proofErr w:type="gramEnd"/>
      <w:r w:rsidRPr="005F43C5">
        <w:rPr>
          <w:rFonts w:cs="Times New Roman"/>
        </w:rPr>
        <w:t xml:space="preserve"> c. 100.  The forerunner to what </w:t>
      </w:r>
      <w:proofErr w:type="gramStart"/>
      <w:r w:rsidRPr="005F43C5">
        <w:rPr>
          <w:rFonts w:cs="Times New Roman"/>
        </w:rPr>
        <w:t>is</w:t>
      </w:r>
      <w:proofErr w:type="gramEnd"/>
      <w:r w:rsidRPr="005F43C5">
        <w:rPr>
          <w:rFonts w:cs="Times New Roman"/>
        </w:rPr>
        <w:t xml:space="preserve"> now s. 218 is found in s. 27 of that Act, accompanied by the following marginal note:  “Exposing Children whereby Life endangered”.  The provision, in its relevant part, reads as follows:</w:t>
      </w:r>
    </w:p>
    <w:p w:rsidR="00A02B78" w:rsidRPr="005F43C5" w:rsidRDefault="00A02B78" w:rsidP="00A02B78">
      <w:pPr>
        <w:pStyle w:val="Citation-AltC"/>
        <w:ind w:firstLine="454"/>
      </w:pPr>
      <w:r w:rsidRPr="005F43C5">
        <w:rPr>
          <w:b/>
        </w:rPr>
        <w:t>27.</w:t>
      </w:r>
      <w:r w:rsidR="00AB5701">
        <w:rPr>
          <w:b/>
        </w:rPr>
        <w:t xml:space="preserve">  </w:t>
      </w:r>
      <w:r w:rsidRPr="005F43C5">
        <w:t xml:space="preserve">Whosoever shall unlawfully abandon or expose any child, being under the age of two years, </w:t>
      </w:r>
      <w:r w:rsidRPr="005F43C5">
        <w:rPr>
          <w:u w:val="single"/>
        </w:rPr>
        <w:t>whereby</w:t>
      </w:r>
      <w:r w:rsidRPr="005F43C5">
        <w:t xml:space="preserve"> the life of such child shall be endangered, or the health of such child shall have been or shall be likely to be permanently injured, shall be guilty of a misdemeanor . . . .  </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I have emphasized the word “whereby” which I take to mean “in consequence of” — hardly words one normally associates with subjective foresight.  To be sure, this was no oversight.  Words such as “knowingly”, “maliciously” and “with intent”, commonly understood as indicating a requirement of subjective </w:t>
      </w:r>
      <w:proofErr w:type="spellStart"/>
      <w:r w:rsidRPr="005F43C5">
        <w:rPr>
          <w:rFonts w:cs="Times New Roman"/>
          <w:i/>
        </w:rPr>
        <w:t>mens</w:t>
      </w:r>
      <w:proofErr w:type="spellEnd"/>
      <w:r w:rsidRPr="005F43C5">
        <w:rPr>
          <w:rFonts w:cs="Times New Roman"/>
          <w:i/>
        </w:rPr>
        <w:t xml:space="preserve"> </w:t>
      </w:r>
      <w:proofErr w:type="spellStart"/>
      <w:r w:rsidRPr="005F43C5">
        <w:rPr>
          <w:rFonts w:cs="Times New Roman"/>
          <w:i/>
        </w:rPr>
        <w:t>rea</w:t>
      </w:r>
      <w:proofErr w:type="spellEnd"/>
      <w:r w:rsidRPr="005F43C5">
        <w:rPr>
          <w:rFonts w:cs="Times New Roman"/>
        </w:rPr>
        <w:t xml:space="preserve">, </w:t>
      </w:r>
      <w:proofErr w:type="gramStart"/>
      <w:r w:rsidRPr="005F43C5">
        <w:rPr>
          <w:rFonts w:cs="Times New Roman"/>
        </w:rPr>
        <w:t>are</w:t>
      </w:r>
      <w:proofErr w:type="gramEnd"/>
      <w:r w:rsidRPr="005F43C5">
        <w:rPr>
          <w:rFonts w:cs="Times New Roman"/>
        </w:rPr>
        <w:t xml:space="preserve"> used throughout the Act.</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In 1869, Canada’s Parliament enacted </w:t>
      </w:r>
      <w:r w:rsidRPr="005F43C5">
        <w:rPr>
          <w:rFonts w:cs="Times New Roman"/>
          <w:i/>
        </w:rPr>
        <w:t>An Act respecting</w:t>
      </w:r>
      <w:r w:rsidRPr="005F43C5">
        <w:rPr>
          <w:rFonts w:cs="Times New Roman"/>
        </w:rPr>
        <w:t xml:space="preserve"> </w:t>
      </w:r>
      <w:r w:rsidR="00AD250E">
        <w:rPr>
          <w:rFonts w:cs="Times New Roman"/>
          <w:i/>
        </w:rPr>
        <w:t>Offences a</w:t>
      </w:r>
      <w:r w:rsidRPr="005F43C5">
        <w:rPr>
          <w:rFonts w:cs="Times New Roman"/>
          <w:i/>
        </w:rPr>
        <w:t>gainst the Person</w:t>
      </w:r>
      <w:r w:rsidRPr="00AD250E">
        <w:rPr>
          <w:rFonts w:cs="Times New Roman"/>
        </w:rPr>
        <w:t>,</w:t>
      </w:r>
      <w:r w:rsidRPr="005F43C5">
        <w:rPr>
          <w:rFonts w:cs="Times New Roman"/>
          <w:i/>
        </w:rPr>
        <w:t xml:space="preserve"> </w:t>
      </w:r>
      <w:r w:rsidRPr="005F43C5">
        <w:rPr>
          <w:rFonts w:cs="Times New Roman"/>
        </w:rPr>
        <w:t xml:space="preserve">S.C. 1869, </w:t>
      </w:r>
      <w:proofErr w:type="gramStart"/>
      <w:r w:rsidRPr="005F43C5">
        <w:rPr>
          <w:rFonts w:cs="Times New Roman"/>
        </w:rPr>
        <w:t>c</w:t>
      </w:r>
      <w:proofErr w:type="gramEnd"/>
      <w:r w:rsidRPr="005F43C5">
        <w:rPr>
          <w:rFonts w:cs="Times New Roman"/>
        </w:rPr>
        <w:t>. 20.  Section 26 of that Act tracked the wording of s. 27 of the English statute in all material respects:</w:t>
      </w:r>
    </w:p>
    <w:p w:rsidR="00A02B78" w:rsidRPr="005F43C5" w:rsidRDefault="00A02B78" w:rsidP="00A02B78">
      <w:pPr>
        <w:pStyle w:val="Citation-AltC"/>
        <w:ind w:firstLine="364"/>
      </w:pPr>
      <w:r w:rsidRPr="005F43C5">
        <w:rPr>
          <w:b/>
        </w:rPr>
        <w:t>26.</w:t>
      </w:r>
      <w:r w:rsidRPr="005F43C5">
        <w:t xml:space="preserve">  Whosoever unlawfully abandons or exposes any child being under the age of two years, </w:t>
      </w:r>
      <w:r w:rsidRPr="005F43C5">
        <w:rPr>
          <w:u w:val="single"/>
        </w:rPr>
        <w:t>whereby</w:t>
      </w:r>
      <w:r w:rsidRPr="005F43C5">
        <w:t xml:space="preserve"> the life of such child is endangered, or the health of such child has been, or is likely to be permanently injured, is guilty of a misdemeanor . . . .  </w:t>
      </w:r>
    </w:p>
    <w:p w:rsidR="00A02B78" w:rsidRPr="005F43C5" w:rsidRDefault="00A02B78" w:rsidP="00A02B78">
      <w:pPr>
        <w:pStyle w:val="ParaNoNdepar-AltN"/>
        <w:tabs>
          <w:tab w:val="clear" w:pos="1166"/>
          <w:tab w:val="num" w:pos="1152"/>
        </w:tabs>
        <w:rPr>
          <w:rFonts w:cs="Times New Roman"/>
        </w:rPr>
      </w:pPr>
      <w:r w:rsidRPr="005F43C5">
        <w:rPr>
          <w:rFonts w:cs="Times New Roman"/>
        </w:rPr>
        <w:lastRenderedPageBreak/>
        <w:t xml:space="preserve">In 1893, Canada’s first </w:t>
      </w:r>
      <w:r w:rsidRPr="005F43C5">
        <w:rPr>
          <w:rFonts w:cs="Times New Roman"/>
          <w:i/>
        </w:rPr>
        <w:t>Criminal Code</w:t>
      </w:r>
      <w:r w:rsidRPr="005F43C5">
        <w:rPr>
          <w:rFonts w:cs="Times New Roman"/>
        </w:rPr>
        <w:t xml:space="preserve"> came into force (</w:t>
      </w:r>
      <w:r w:rsidRPr="005F43C5">
        <w:rPr>
          <w:rFonts w:cs="Times New Roman"/>
          <w:i/>
        </w:rPr>
        <w:t>The Criminal Code</w:t>
      </w:r>
      <w:r w:rsidRPr="00AD250E">
        <w:rPr>
          <w:rFonts w:cs="Times New Roman"/>
          <w:i/>
        </w:rPr>
        <w:t>,</w:t>
      </w:r>
      <w:r w:rsidRPr="005F43C5">
        <w:rPr>
          <w:rFonts w:cs="Times New Roman"/>
          <w:i/>
        </w:rPr>
        <w:t xml:space="preserve"> 1892</w:t>
      </w:r>
      <w:r w:rsidRPr="005F43C5">
        <w:rPr>
          <w:rFonts w:cs="Times New Roman"/>
        </w:rPr>
        <w:t>, S.C. 1892, c. 29).  Under the heading “Duties Tending to the Preservation of Life”, Parliament created several duty-based offences.  Embedded in them was s. 216, accompanied by the following marginal note:  “Abandoning children under two years of age”.  Section 216 provided as follows:</w:t>
      </w:r>
    </w:p>
    <w:p w:rsidR="00A02B78" w:rsidRPr="005F43C5" w:rsidRDefault="00A02B78" w:rsidP="00A02B78">
      <w:pPr>
        <w:pStyle w:val="Citation-AltC"/>
        <w:ind w:left="1170" w:firstLine="450"/>
      </w:pPr>
      <w:r w:rsidRPr="005F43C5">
        <w:rPr>
          <w:b/>
        </w:rPr>
        <w:t>216.</w:t>
      </w:r>
      <w:r w:rsidRPr="005F43C5">
        <w:t xml:space="preserve">  </w:t>
      </w:r>
      <w:proofErr w:type="spellStart"/>
      <w:r w:rsidRPr="005F43C5">
        <w:t>Every one</w:t>
      </w:r>
      <w:proofErr w:type="spellEnd"/>
      <w:r w:rsidRPr="005F43C5">
        <w:t xml:space="preserve"> is guilty of an indictable offence and liable to three years’ imprisonment who unlawfully abandons or exposes any child under the age of two years, whereby its life is endangered, or its health is permanently injured.</w:t>
      </w:r>
    </w:p>
    <w:p w:rsidR="00A02B78" w:rsidRPr="005F43C5" w:rsidRDefault="00A02B78" w:rsidP="00A02B78">
      <w:pPr>
        <w:pStyle w:val="Citation-AltC"/>
        <w:ind w:left="1170" w:firstLine="450"/>
      </w:pPr>
    </w:p>
    <w:p w:rsidR="00A02B78" w:rsidRPr="005F43C5" w:rsidRDefault="00A02B78" w:rsidP="00A02B78">
      <w:pPr>
        <w:pStyle w:val="Citation-AltC"/>
        <w:ind w:left="1170" w:firstLine="450"/>
      </w:pPr>
      <w:r w:rsidRPr="005F43C5">
        <w:t xml:space="preserve">2.  The words “abandon” and “expose” include a wilful omission to take charge of the child on the part of a person legally bound to do so, and any mode of dealing with it calculated to leave it exposed to risk without protection.  </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As is self-evident, the first part of the provision essentially tracks the language of s. 26 of </w:t>
      </w:r>
      <w:r w:rsidRPr="005F43C5">
        <w:rPr>
          <w:rFonts w:cs="Times New Roman"/>
          <w:i/>
        </w:rPr>
        <w:t>An Act respecting</w:t>
      </w:r>
      <w:r w:rsidRPr="005F43C5">
        <w:rPr>
          <w:rFonts w:cs="Times New Roman"/>
        </w:rPr>
        <w:t xml:space="preserve"> </w:t>
      </w:r>
      <w:r w:rsidR="00AD250E">
        <w:rPr>
          <w:rFonts w:cs="Times New Roman"/>
          <w:i/>
        </w:rPr>
        <w:t>Offences a</w:t>
      </w:r>
      <w:r w:rsidRPr="005F43C5">
        <w:rPr>
          <w:rFonts w:cs="Times New Roman"/>
          <w:i/>
        </w:rPr>
        <w:t>gainst the Person</w:t>
      </w:r>
      <w:r w:rsidRPr="005F43C5">
        <w:rPr>
          <w:rFonts w:cs="Times New Roman"/>
        </w:rPr>
        <w:t xml:space="preserve">.  The second part is new and very much resembles what is now </w:t>
      </w:r>
      <w:proofErr w:type="spellStart"/>
      <w:r w:rsidRPr="005F43C5">
        <w:rPr>
          <w:rFonts w:cs="Times New Roman"/>
        </w:rPr>
        <w:t>par</w:t>
      </w:r>
      <w:r w:rsidR="00AD250E">
        <w:rPr>
          <w:rFonts w:cs="Times New Roman"/>
        </w:rPr>
        <w:t>as</w:t>
      </w:r>
      <w:proofErr w:type="spellEnd"/>
      <w:r w:rsidR="00AD250E">
        <w:rPr>
          <w:rFonts w:cs="Times New Roman"/>
        </w:rPr>
        <w:t>.</w:t>
      </w:r>
      <w:r w:rsidRPr="005F43C5">
        <w:rPr>
          <w:rFonts w:cs="Times New Roman"/>
        </w:rPr>
        <w:t xml:space="preserve"> (</w:t>
      </w:r>
      <w:r w:rsidRPr="005F43C5">
        <w:rPr>
          <w:rFonts w:cs="Times New Roman"/>
          <w:i/>
        </w:rPr>
        <w:t>a</w:t>
      </w:r>
      <w:r w:rsidRPr="005F43C5">
        <w:rPr>
          <w:rFonts w:cs="Times New Roman"/>
        </w:rPr>
        <w:t xml:space="preserve">) </w:t>
      </w:r>
      <w:proofErr w:type="gramStart"/>
      <w:r w:rsidRPr="005F43C5">
        <w:rPr>
          <w:rFonts w:cs="Times New Roman"/>
        </w:rPr>
        <w:t>and</w:t>
      </w:r>
      <w:proofErr w:type="gramEnd"/>
      <w:r w:rsidRPr="005F43C5">
        <w:rPr>
          <w:rFonts w:cs="Times New Roman"/>
        </w:rPr>
        <w:t xml:space="preserve"> (</w:t>
      </w:r>
      <w:r w:rsidRPr="005F43C5">
        <w:rPr>
          <w:rFonts w:cs="Times New Roman"/>
          <w:i/>
        </w:rPr>
        <w:t>b</w:t>
      </w:r>
      <w:r w:rsidRPr="005F43C5">
        <w:rPr>
          <w:rFonts w:cs="Times New Roman"/>
        </w:rPr>
        <w:t>) of the s. 214 definition of “abandon” or “expose” — with one notable exception.  The second half of s</w:t>
      </w:r>
      <w:r w:rsidR="00D617BE">
        <w:rPr>
          <w:rFonts w:cs="Times New Roman"/>
        </w:rPr>
        <w:t xml:space="preserve">. </w:t>
      </w:r>
      <w:r w:rsidRPr="005F43C5">
        <w:rPr>
          <w:rFonts w:cs="Times New Roman"/>
        </w:rPr>
        <w:t xml:space="preserve">216(2) reads “any mode of dealing with [the child] </w:t>
      </w:r>
      <w:r w:rsidRPr="005F43C5">
        <w:rPr>
          <w:rFonts w:cs="Times New Roman"/>
          <w:u w:val="single"/>
        </w:rPr>
        <w:t>calculated</w:t>
      </w:r>
      <w:r w:rsidRPr="005F43C5">
        <w:rPr>
          <w:rFonts w:cs="Times New Roman"/>
        </w:rPr>
        <w:t xml:space="preserve"> to leave it exposed to risk w</w:t>
      </w:r>
      <w:r w:rsidR="00AD250E">
        <w:rPr>
          <w:rFonts w:cs="Times New Roman"/>
        </w:rPr>
        <w:t xml:space="preserve">ithout protection”, whereas </w:t>
      </w:r>
      <w:proofErr w:type="spellStart"/>
      <w:r w:rsidR="00AD250E">
        <w:rPr>
          <w:rFonts w:cs="Times New Roman"/>
        </w:rPr>
        <w:t>para</w:t>
      </w:r>
      <w:proofErr w:type="spellEnd"/>
      <w:r w:rsidR="00AD250E">
        <w:rPr>
          <w:rFonts w:cs="Times New Roman"/>
        </w:rPr>
        <w:t>.</w:t>
      </w:r>
      <w:r w:rsidRPr="005F43C5">
        <w:rPr>
          <w:rFonts w:cs="Times New Roman"/>
        </w:rPr>
        <w:t xml:space="preserve"> (</w:t>
      </w:r>
      <w:r w:rsidRPr="005F43C5">
        <w:rPr>
          <w:rFonts w:cs="Times New Roman"/>
          <w:i/>
        </w:rPr>
        <w:t>b</w:t>
      </w:r>
      <w:r w:rsidRPr="005F43C5">
        <w:rPr>
          <w:rFonts w:cs="Times New Roman"/>
        </w:rPr>
        <w:t xml:space="preserve">) </w:t>
      </w:r>
      <w:proofErr w:type="gramStart"/>
      <w:r w:rsidR="00AD250E">
        <w:rPr>
          <w:rFonts w:cs="Times New Roman"/>
        </w:rPr>
        <w:t>of</w:t>
      </w:r>
      <w:proofErr w:type="gramEnd"/>
      <w:r w:rsidR="00AD250E">
        <w:rPr>
          <w:rFonts w:cs="Times New Roman"/>
        </w:rPr>
        <w:t xml:space="preserve"> the s. 214 definition reads</w:t>
      </w:r>
      <w:r w:rsidRPr="005F43C5">
        <w:rPr>
          <w:rFonts w:cs="Times New Roman"/>
        </w:rPr>
        <w:t xml:space="preserve"> “dealing with a child in a manner </w:t>
      </w:r>
      <w:r w:rsidRPr="005F43C5">
        <w:rPr>
          <w:rFonts w:cs="Times New Roman"/>
          <w:u w:val="single"/>
        </w:rPr>
        <w:t>that is likely</w:t>
      </w:r>
      <w:r w:rsidRPr="005F43C5">
        <w:rPr>
          <w:rFonts w:cs="Times New Roman"/>
        </w:rPr>
        <w:t xml:space="preserve"> to leave that child exposed to risk without protection”.  In short, the words “calculated to leave” were replaced by the words “likely to leave”.  Though the change may appear highly meaningful to modern eyes, care must be taken not to confuse obsolete and current meanings of those words. As the majority observ</w:t>
      </w:r>
      <w:r w:rsidR="002C5B3A">
        <w:rPr>
          <w:rFonts w:cs="Times New Roman"/>
        </w:rPr>
        <w:t>es, in the 18th and 19th centuries</w:t>
      </w:r>
      <w:r w:rsidRPr="005F43C5">
        <w:rPr>
          <w:rFonts w:cs="Times New Roman"/>
        </w:rPr>
        <w:t xml:space="preserve">, “calculated to” and “likely to” </w:t>
      </w:r>
      <w:r w:rsidRPr="005F43C5">
        <w:rPr>
          <w:rFonts w:cs="Times New Roman"/>
        </w:rPr>
        <w:lastRenderedPageBreak/>
        <w:t>were synonyms.</w:t>
      </w:r>
      <w:r w:rsidRPr="005F43C5">
        <w:rPr>
          <w:rStyle w:val="FootnoteReference"/>
          <w:rFonts w:cs="Times New Roman"/>
        </w:rPr>
        <w:footnoteReference w:id="2"/>
      </w:r>
      <w:r w:rsidRPr="005F43C5">
        <w:rPr>
          <w:rFonts w:cs="Times New Roman"/>
        </w:rPr>
        <w:t xml:space="preserve">  This change occurred with the adoption of </w:t>
      </w:r>
      <w:r w:rsidR="00AD250E">
        <w:rPr>
          <w:rFonts w:cs="Times New Roman"/>
        </w:rPr>
        <w:t>a</w:t>
      </w:r>
      <w:r w:rsidRPr="005F43C5">
        <w:rPr>
          <w:rFonts w:cs="Times New Roman"/>
        </w:rPr>
        <w:t xml:space="preserve"> new </w:t>
      </w:r>
      <w:r w:rsidR="00AD250E" w:rsidRPr="00AD250E">
        <w:rPr>
          <w:rFonts w:cs="Times New Roman"/>
          <w:i/>
        </w:rPr>
        <w:t>Code</w:t>
      </w:r>
      <w:r w:rsidR="00AD250E">
        <w:rPr>
          <w:rFonts w:cs="Times New Roman"/>
        </w:rPr>
        <w:t xml:space="preserve"> (</w:t>
      </w:r>
      <w:r w:rsidR="00AD250E" w:rsidRPr="00F02B96">
        <w:rPr>
          <w:rFonts w:cs="Times New Roman"/>
          <w:i/>
        </w:rPr>
        <w:t>Criminal Code</w:t>
      </w:r>
      <w:r w:rsidR="00AD250E">
        <w:rPr>
          <w:rFonts w:cs="Times New Roman"/>
        </w:rPr>
        <w:t>, S.C. 1953-54</w:t>
      </w:r>
      <w:r w:rsidR="00F02B96">
        <w:rPr>
          <w:rFonts w:cs="Times New Roman"/>
        </w:rPr>
        <w:t>,</w:t>
      </w:r>
      <w:r w:rsidRPr="005F43C5">
        <w:rPr>
          <w:rFonts w:cs="Times New Roman"/>
        </w:rPr>
        <w:t xml:space="preserve"> c. 51, s. 185)</w:t>
      </w:r>
      <w:r w:rsidRPr="005F43C5">
        <w:rPr>
          <w:rFonts w:cs="Times New Roman"/>
          <w:i/>
        </w:rPr>
        <w:t xml:space="preserve"> </w:t>
      </w:r>
      <w:r w:rsidRPr="005F43C5">
        <w:rPr>
          <w:rFonts w:cs="Times New Roman"/>
        </w:rPr>
        <w:t>and thus is perhaps best explained as an attempt to update language to reflect current usage.  As Professor Sullivan notes, such a statutory revision can serve “to ensure the clarity, consistency and readability” of the revised act, as a result of which “outdated terminology may be modernized” (pp. 653-54).  The wording of the provisions creating the offence of abandonment, now ss. 214 and 218, has not been amended since.</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The plain language of the provision aside, early judicial interpretations of the child abandonment provision can be helpful in interpreting the modern-day s. 218.  In the leading English authority of </w:t>
      </w:r>
      <w:r w:rsidR="00F02B96">
        <w:rPr>
          <w:rFonts w:cs="Times New Roman"/>
          <w:i/>
        </w:rPr>
        <w:t>R.</w:t>
      </w:r>
      <w:r w:rsidRPr="005F43C5">
        <w:rPr>
          <w:rFonts w:cs="Times New Roman"/>
          <w:i/>
        </w:rPr>
        <w:t xml:space="preserve"> v. White</w:t>
      </w:r>
      <w:r w:rsidRPr="005F43C5">
        <w:rPr>
          <w:rFonts w:cs="Times New Roman"/>
        </w:rPr>
        <w:t xml:space="preserve"> (1871), L.R. 1 C.C.R. 311, a father failed to take custody of his nine-month-old child.  The child was left on the road in front of the father’s home by his estranged wife, who demanded that he take the child.  The father was charged and convicted under s. 27 of </w:t>
      </w:r>
      <w:r w:rsidR="00287208">
        <w:rPr>
          <w:rFonts w:cs="Times New Roman"/>
          <w:i/>
        </w:rPr>
        <w:t>T</w:t>
      </w:r>
      <w:r w:rsidRPr="00287208">
        <w:rPr>
          <w:rFonts w:cs="Times New Roman"/>
          <w:i/>
        </w:rPr>
        <w:t xml:space="preserve">he </w:t>
      </w:r>
      <w:r w:rsidRPr="005F43C5">
        <w:rPr>
          <w:rFonts w:cs="Times New Roman"/>
          <w:i/>
        </w:rPr>
        <w:t>Offences against the Person Act, 1861</w:t>
      </w:r>
      <w:r w:rsidRPr="00287208">
        <w:rPr>
          <w:rFonts w:cs="Times New Roman"/>
        </w:rPr>
        <w:t xml:space="preserve">, </w:t>
      </w:r>
      <w:r w:rsidRPr="005F43C5">
        <w:rPr>
          <w:rFonts w:cs="Times New Roman"/>
        </w:rPr>
        <w:t xml:space="preserve">and the conviction was upheld on appeal. </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The </w:t>
      </w:r>
      <w:r w:rsidRPr="005F43C5">
        <w:rPr>
          <w:rFonts w:cs="Times New Roman"/>
          <w:i/>
        </w:rPr>
        <w:t>White</w:t>
      </w:r>
      <w:r w:rsidRPr="005F43C5">
        <w:rPr>
          <w:rFonts w:cs="Times New Roman"/>
        </w:rPr>
        <w:t xml:space="preserve"> decision makes no mention of subjective </w:t>
      </w:r>
      <w:proofErr w:type="spellStart"/>
      <w:r w:rsidRPr="005F43C5">
        <w:rPr>
          <w:rFonts w:cs="Times New Roman"/>
          <w:i/>
        </w:rPr>
        <w:t>mens</w:t>
      </w:r>
      <w:proofErr w:type="spellEnd"/>
      <w:r w:rsidRPr="005F43C5">
        <w:rPr>
          <w:rFonts w:cs="Times New Roman"/>
          <w:i/>
        </w:rPr>
        <w:t xml:space="preserve"> </w:t>
      </w:r>
      <w:proofErr w:type="spellStart"/>
      <w:r w:rsidRPr="005F43C5">
        <w:rPr>
          <w:rFonts w:cs="Times New Roman"/>
          <w:i/>
        </w:rPr>
        <w:t>rea</w:t>
      </w:r>
      <w:proofErr w:type="spellEnd"/>
      <w:r w:rsidRPr="005F43C5">
        <w:rPr>
          <w:rFonts w:cs="Times New Roman"/>
          <w:i/>
        </w:rPr>
        <w:t xml:space="preserve"> </w:t>
      </w:r>
      <w:r w:rsidRPr="005F43C5">
        <w:rPr>
          <w:rFonts w:cs="Times New Roman"/>
        </w:rPr>
        <w:t xml:space="preserve">as being required to make out the offence of abandonment.  Indeed, it suggests the opposite, as evidenced by the following passage from Chief Justice </w:t>
      </w:r>
      <w:proofErr w:type="spellStart"/>
      <w:r w:rsidRPr="005F43C5">
        <w:rPr>
          <w:rFonts w:cs="Times New Roman"/>
        </w:rPr>
        <w:t>Bovill’s</w:t>
      </w:r>
      <w:proofErr w:type="spellEnd"/>
      <w:r w:rsidRPr="005F43C5">
        <w:rPr>
          <w:rFonts w:cs="Times New Roman"/>
        </w:rPr>
        <w:t xml:space="preserve"> opinion, to which the remaining four justices subscribed:</w:t>
      </w:r>
    </w:p>
    <w:p w:rsidR="00A02B78" w:rsidRPr="005F43C5" w:rsidRDefault="00A02B78" w:rsidP="00A02B78">
      <w:pPr>
        <w:pStyle w:val="Citation-AltC"/>
      </w:pPr>
      <w:r w:rsidRPr="005F43C5">
        <w:t xml:space="preserve">Instead of protecting and providing for the child, as it was his duty to do, [the father] allowed it to remain lying, first at his door, and afterwards in </w:t>
      </w:r>
      <w:r w:rsidRPr="005F43C5">
        <w:lastRenderedPageBreak/>
        <w:t xml:space="preserve">the road, insufficiently clothed, and at a time of year </w:t>
      </w:r>
      <w:r w:rsidRPr="005F43C5">
        <w:rPr>
          <w:u w:val="single"/>
        </w:rPr>
        <w:t>when the result was likely to be the child’s death</w:t>
      </w:r>
      <w:r w:rsidRPr="005F43C5">
        <w:t>.  [Emphasis added; p. 313</w:t>
      </w:r>
      <w:r w:rsidR="00F05510">
        <w:t>.</w:t>
      </w:r>
      <w:r w:rsidRPr="005F43C5">
        <w:t>]</w:t>
      </w:r>
    </w:p>
    <w:p w:rsidR="00A02B78" w:rsidRPr="005F43C5" w:rsidRDefault="00A02B78" w:rsidP="00A02B78">
      <w:pPr>
        <w:pStyle w:val="ContinueParaSuitedupar-AltP"/>
        <w:rPr>
          <w:rFonts w:cs="Times New Roman"/>
        </w:rPr>
      </w:pPr>
      <w:r w:rsidRPr="005F43C5">
        <w:rPr>
          <w:rFonts w:cs="Times New Roman"/>
        </w:rPr>
        <w:t xml:space="preserve">In my view, the language used by </w:t>
      </w:r>
      <w:proofErr w:type="spellStart"/>
      <w:r w:rsidRPr="005F43C5">
        <w:rPr>
          <w:rFonts w:cs="Times New Roman"/>
        </w:rPr>
        <w:t>Bovill</w:t>
      </w:r>
      <w:proofErr w:type="spellEnd"/>
      <w:r w:rsidRPr="005F43C5">
        <w:rPr>
          <w:rFonts w:cs="Times New Roman"/>
        </w:rPr>
        <w:t xml:space="preserve"> C.J. is the language of objective </w:t>
      </w:r>
      <w:proofErr w:type="spellStart"/>
      <w:r w:rsidRPr="005F43C5">
        <w:rPr>
          <w:rFonts w:cs="Times New Roman"/>
        </w:rPr>
        <w:t>foreseeability</w:t>
      </w:r>
      <w:proofErr w:type="spellEnd"/>
      <w:r w:rsidRPr="005F43C5">
        <w:rPr>
          <w:rFonts w:cs="Times New Roman"/>
        </w:rPr>
        <w:t xml:space="preserve"> (death was the likely result) and not the language of subjective </w:t>
      </w:r>
      <w:proofErr w:type="spellStart"/>
      <w:r w:rsidRPr="005F43C5">
        <w:rPr>
          <w:rFonts w:cs="Times New Roman"/>
        </w:rPr>
        <w:t>foreseeability</w:t>
      </w:r>
      <w:proofErr w:type="spellEnd"/>
      <w:r w:rsidRPr="005F43C5">
        <w:rPr>
          <w:rFonts w:cs="Times New Roman"/>
        </w:rPr>
        <w:t xml:space="preserve"> (he </w:t>
      </w:r>
      <w:r w:rsidRPr="005F43C5">
        <w:rPr>
          <w:rFonts w:cs="Times New Roman"/>
          <w:i/>
        </w:rPr>
        <w:t>knew</w:t>
      </w:r>
      <w:r w:rsidRPr="005F43C5">
        <w:rPr>
          <w:rFonts w:cs="Times New Roman"/>
        </w:rPr>
        <w:t xml:space="preserve"> that death was likely to result).  </w:t>
      </w:r>
    </w:p>
    <w:p w:rsidR="00A02B78" w:rsidRPr="005F43C5" w:rsidRDefault="00A02B78" w:rsidP="00A02B78">
      <w:pPr>
        <w:pStyle w:val="ParaNoNdepar-AltN"/>
        <w:tabs>
          <w:tab w:val="clear" w:pos="1166"/>
          <w:tab w:val="num" w:pos="1152"/>
        </w:tabs>
        <w:rPr>
          <w:rFonts w:cs="Times New Roman"/>
        </w:rPr>
      </w:pPr>
      <w:r w:rsidRPr="005F43C5">
        <w:rPr>
          <w:rFonts w:cs="Times New Roman"/>
        </w:rPr>
        <w:t>I acknowledge that in a separate opinion written by Blackburn J., language is used from which one might conclude that he viewed the crime of abandonment as requiring subjective foresight:</w:t>
      </w:r>
    </w:p>
    <w:p w:rsidR="00A02B78" w:rsidRPr="005F43C5" w:rsidRDefault="00A02B78" w:rsidP="00A02B78">
      <w:pPr>
        <w:pStyle w:val="Citation-AltC"/>
        <w:tabs>
          <w:tab w:val="left" w:pos="1170"/>
        </w:tabs>
        <w:ind w:left="1170"/>
      </w:pPr>
      <w:r w:rsidRPr="005F43C5">
        <w:t xml:space="preserve">. . . </w:t>
      </w:r>
      <w:proofErr w:type="gramStart"/>
      <w:r w:rsidRPr="005F43C5">
        <w:t>upon</w:t>
      </w:r>
      <w:proofErr w:type="gramEnd"/>
      <w:r w:rsidRPr="005F43C5">
        <w:t xml:space="preserve"> [the father] there is a strict legal duty to protect the child.  And when the child is left in a position of danger of which he knows, and from which he has full power to remove it, and he neglects his duty of protection, and lets the child remain in danger, I think this is an exposure and abandonment by him. [p. 314]</w:t>
      </w:r>
    </w:p>
    <w:p w:rsidR="00A02B78" w:rsidRPr="005F43C5" w:rsidRDefault="00A02B78" w:rsidP="00A02B78">
      <w:pPr>
        <w:pStyle w:val="ContinueParaSuitedupar-AltP"/>
        <w:rPr>
          <w:rFonts w:cs="Times New Roman"/>
        </w:rPr>
      </w:pPr>
      <w:r w:rsidRPr="005F43C5">
        <w:rPr>
          <w:rFonts w:cs="Times New Roman"/>
        </w:rPr>
        <w:t xml:space="preserve">I do not read that passage as indicating that subjective foresight is required to make out the offence of abandonment.  Rather, on Justice Blackburn’s assessment of the facts, the father clearly knew that the child’s life was imperilled and yet did nothing about it.  I would not, and do not, suggest that a person who in fact subjectively foresees a risk of death or permanent injury to the child cannot be convicted under s. 218.  But that is different from holding that subjective </w:t>
      </w:r>
      <w:proofErr w:type="spellStart"/>
      <w:r w:rsidRPr="005F43C5">
        <w:rPr>
          <w:rFonts w:cs="Times New Roman"/>
        </w:rPr>
        <w:t>foreseeability</w:t>
      </w:r>
      <w:proofErr w:type="spellEnd"/>
      <w:r w:rsidRPr="005F43C5">
        <w:rPr>
          <w:rFonts w:cs="Times New Roman"/>
        </w:rPr>
        <w:t xml:space="preserve"> is an essential ingredient of the crime.  Where an offence is satisfied — at a minimum — on an objective standard, subjective proof will obviously suffice to sustain a conviction.  </w:t>
      </w:r>
      <w:r w:rsidRPr="005F43C5">
        <w:rPr>
          <w:rFonts w:cs="Times New Roman"/>
        </w:rPr>
        <w:lastRenderedPageBreak/>
        <w:t xml:space="preserve">See </w:t>
      </w:r>
      <w:r w:rsidRPr="005F43C5">
        <w:rPr>
          <w:rFonts w:cs="Times New Roman"/>
          <w:i/>
        </w:rPr>
        <w:t>R. v. Beatty</w:t>
      </w:r>
      <w:r w:rsidRPr="005F43C5">
        <w:rPr>
          <w:rFonts w:cs="Times New Roman"/>
        </w:rPr>
        <w:t xml:space="preserve">, 2008 SCC 5, [2008] 1 S.C.R. 49, at </w:t>
      </w:r>
      <w:proofErr w:type="spellStart"/>
      <w:r w:rsidRPr="005F43C5">
        <w:rPr>
          <w:rFonts w:cs="Times New Roman"/>
        </w:rPr>
        <w:t>para</w:t>
      </w:r>
      <w:proofErr w:type="spellEnd"/>
      <w:r w:rsidRPr="005F43C5">
        <w:rPr>
          <w:rFonts w:cs="Times New Roman"/>
        </w:rPr>
        <w:t xml:space="preserve">. </w:t>
      </w:r>
      <w:proofErr w:type="gramStart"/>
      <w:r w:rsidRPr="005F43C5">
        <w:rPr>
          <w:rFonts w:cs="Times New Roman"/>
        </w:rPr>
        <w:t xml:space="preserve">47; </w:t>
      </w:r>
      <w:r w:rsidRPr="005F43C5">
        <w:rPr>
          <w:rFonts w:cs="Times New Roman"/>
          <w:i/>
        </w:rPr>
        <w:t>R. v. Roy</w:t>
      </w:r>
      <w:r w:rsidRPr="005F43C5">
        <w:rPr>
          <w:rFonts w:cs="Times New Roman"/>
        </w:rPr>
        <w:t xml:space="preserve">, 2012 SCC 26, [2012] 2 S.C.R. 60, at </w:t>
      </w:r>
      <w:proofErr w:type="spellStart"/>
      <w:r w:rsidRPr="005F43C5">
        <w:rPr>
          <w:rFonts w:cs="Times New Roman"/>
        </w:rPr>
        <w:t>para</w:t>
      </w:r>
      <w:proofErr w:type="spellEnd"/>
      <w:r w:rsidRPr="005F43C5">
        <w:rPr>
          <w:rFonts w:cs="Times New Roman"/>
        </w:rPr>
        <w:t>.</w:t>
      </w:r>
      <w:proofErr w:type="gramEnd"/>
      <w:r w:rsidRPr="005F43C5">
        <w:rPr>
          <w:rFonts w:cs="Times New Roman"/>
        </w:rPr>
        <w:t xml:space="preserve"> 38.</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To conclude on this point, the fact that the provision contains no words that can be read as requiring subjective foresight of the proscribed consequences is significant.  As mentioned, the words “calculated to leave” were removed </w:t>
      </w:r>
      <w:proofErr w:type="gramStart"/>
      <w:r w:rsidRPr="005F43C5">
        <w:rPr>
          <w:rFonts w:cs="Times New Roman"/>
        </w:rPr>
        <w:t xml:space="preserve">in the 1953-54 </w:t>
      </w:r>
      <w:r w:rsidRPr="005F43C5">
        <w:rPr>
          <w:rFonts w:cs="Times New Roman"/>
          <w:i/>
        </w:rPr>
        <w:t>Criminal Code</w:t>
      </w:r>
      <w:proofErr w:type="gramEnd"/>
      <w:r w:rsidRPr="005F43C5">
        <w:rPr>
          <w:rFonts w:cs="Times New Roman"/>
        </w:rPr>
        <w:t xml:space="preserve"> and replaced by the words “likely to leave”.  At the same time, the age of protected children was raised from two years to ten years and the word “whereby” was replaced with the synonymous words “so that”.  If Parliament had wanted to make it clear that subjective </w:t>
      </w:r>
      <w:proofErr w:type="spellStart"/>
      <w:r w:rsidRPr="005F43C5">
        <w:rPr>
          <w:rFonts w:cs="Times New Roman"/>
        </w:rPr>
        <w:t>foreseeability</w:t>
      </w:r>
      <w:proofErr w:type="spellEnd"/>
      <w:r w:rsidRPr="005F43C5">
        <w:rPr>
          <w:rFonts w:cs="Times New Roman"/>
        </w:rPr>
        <w:t xml:space="preserve"> was the requisite fault element, it could have done so when revising the language of the provision by using the words “knowing that” instead of “so that” in s. 218 and by changing the words “calculated to leave” to “he knows is or is likely to leave” in </w:t>
      </w:r>
      <w:proofErr w:type="spellStart"/>
      <w:r w:rsidRPr="005F43C5">
        <w:rPr>
          <w:rFonts w:cs="Times New Roman"/>
        </w:rPr>
        <w:t>par</w:t>
      </w:r>
      <w:r w:rsidR="002F2CF2">
        <w:rPr>
          <w:rFonts w:cs="Times New Roman"/>
        </w:rPr>
        <w:t>a</w:t>
      </w:r>
      <w:proofErr w:type="spellEnd"/>
      <w:r w:rsidR="002F2CF2">
        <w:rPr>
          <w:rFonts w:cs="Times New Roman"/>
        </w:rPr>
        <w:t>.</w:t>
      </w:r>
      <w:r w:rsidRPr="005F43C5">
        <w:rPr>
          <w:rFonts w:cs="Times New Roman"/>
        </w:rPr>
        <w:t xml:space="preserve"> (</w:t>
      </w:r>
      <w:r w:rsidRPr="005F43C5">
        <w:rPr>
          <w:rFonts w:cs="Times New Roman"/>
          <w:i/>
        </w:rPr>
        <w:t>b</w:t>
      </w:r>
      <w:r w:rsidRPr="005F43C5">
        <w:rPr>
          <w:rFonts w:cs="Times New Roman"/>
        </w:rPr>
        <w:t xml:space="preserve">) </w:t>
      </w:r>
      <w:proofErr w:type="gramStart"/>
      <w:r w:rsidRPr="005F43C5">
        <w:rPr>
          <w:rFonts w:cs="Times New Roman"/>
        </w:rPr>
        <w:t>of</w:t>
      </w:r>
      <w:proofErr w:type="gramEnd"/>
      <w:r w:rsidRPr="005F43C5">
        <w:rPr>
          <w:rFonts w:cs="Times New Roman"/>
        </w:rPr>
        <w:t xml:space="preserve"> the s. 214 definition.  As Professor Sullivan notes, “[</w:t>
      </w:r>
      <w:proofErr w:type="spellStart"/>
      <w:r w:rsidRPr="005F43C5">
        <w:rPr>
          <w:rFonts w:cs="Times New Roman"/>
        </w:rPr>
        <w:t>i</w:t>
      </w:r>
      <w:proofErr w:type="spellEnd"/>
      <w:r w:rsidRPr="005F43C5">
        <w:rPr>
          <w:rFonts w:cs="Times New Roman"/>
        </w:rPr>
        <w:t xml:space="preserve">]t is presumed that in so far as possible legislatures will adopt a simple, straightforward and concise way of expressing themselves” (p. 207).  But instead of making what would have been a straightforward change, Parliament preserved the original meaning of the provision which, as I have attempted to show, was understood as requiring objective, not subjective, </w:t>
      </w:r>
      <w:proofErr w:type="spellStart"/>
      <w:r w:rsidRPr="005F43C5">
        <w:rPr>
          <w:rFonts w:cs="Times New Roman"/>
        </w:rPr>
        <w:t>foreseeability</w:t>
      </w:r>
      <w:proofErr w:type="spellEnd"/>
      <w:r w:rsidRPr="005F43C5">
        <w:rPr>
          <w:rFonts w:cs="Times New Roman"/>
        </w:rPr>
        <w:t xml:space="preserve"> of the prohibited consequences.</w:t>
      </w:r>
    </w:p>
    <w:p w:rsidR="00A02B78" w:rsidRPr="005F43C5" w:rsidRDefault="00152197" w:rsidP="00152197">
      <w:pPr>
        <w:pStyle w:val="TitleTitre-AltT"/>
        <w:tabs>
          <w:tab w:val="left" w:pos="720"/>
        </w:tabs>
        <w:rPr>
          <w:rFonts w:cs="Times New Roman"/>
        </w:rPr>
      </w:pPr>
      <w:r>
        <w:rPr>
          <w:rFonts w:cs="Times New Roman"/>
        </w:rPr>
        <w:t>E.</w:t>
      </w:r>
      <w:r>
        <w:rPr>
          <w:rFonts w:cs="Times New Roman"/>
        </w:rPr>
        <w:tab/>
      </w:r>
      <w:r w:rsidR="00A02B78" w:rsidRPr="005F43C5">
        <w:rPr>
          <w:rFonts w:cs="Times New Roman"/>
          <w:i/>
        </w:rPr>
        <w:t>The Social Stigma and Gravity of the Offence Support an Objective Standard for the Proscribed Consequences</w:t>
      </w:r>
      <w:r w:rsidR="00A02B78" w:rsidRPr="005F43C5">
        <w:rPr>
          <w:rFonts w:cs="Times New Roman"/>
        </w:rPr>
        <w:t xml:space="preserve"> </w:t>
      </w:r>
    </w:p>
    <w:p w:rsidR="00A02B78" w:rsidRPr="005F43C5" w:rsidRDefault="00A02B78" w:rsidP="00A02B78">
      <w:pPr>
        <w:pStyle w:val="ParaNoNdepar-AltN"/>
        <w:tabs>
          <w:tab w:val="clear" w:pos="1166"/>
          <w:tab w:val="num" w:pos="1152"/>
        </w:tabs>
        <w:rPr>
          <w:rFonts w:cs="Times New Roman"/>
        </w:rPr>
      </w:pPr>
      <w:r w:rsidRPr="005F43C5">
        <w:rPr>
          <w:rFonts w:cs="Times New Roman"/>
        </w:rPr>
        <w:lastRenderedPageBreak/>
        <w:t xml:space="preserve">I touch, finally, on two other factors that support the conclusion that the fault element for s. 218 is penal negligence:  the social stigma attached to the crime of child abandonment and the gravity of the crime.  As McLachlin J., for the majority, observed in </w:t>
      </w:r>
      <w:r w:rsidRPr="005F43C5">
        <w:rPr>
          <w:rFonts w:cs="Times New Roman"/>
          <w:i/>
        </w:rPr>
        <w:t>Creighton</w:t>
      </w:r>
      <w:r w:rsidRPr="005F43C5">
        <w:rPr>
          <w:rFonts w:cs="Times New Roman"/>
        </w:rPr>
        <w:t xml:space="preserve">, at p. 46, the </w:t>
      </w:r>
      <w:proofErr w:type="spellStart"/>
      <w:r w:rsidRPr="005F43C5">
        <w:rPr>
          <w:rFonts w:cs="Times New Roman"/>
          <w:i/>
        </w:rPr>
        <w:t>mens</w:t>
      </w:r>
      <w:proofErr w:type="spellEnd"/>
      <w:r w:rsidRPr="005F43C5">
        <w:rPr>
          <w:rFonts w:cs="Times New Roman"/>
          <w:i/>
        </w:rPr>
        <w:t xml:space="preserve"> </w:t>
      </w:r>
      <w:proofErr w:type="spellStart"/>
      <w:r w:rsidRPr="005F43C5">
        <w:rPr>
          <w:rFonts w:cs="Times New Roman"/>
          <w:i/>
        </w:rPr>
        <w:t>rea</w:t>
      </w:r>
      <w:proofErr w:type="spellEnd"/>
      <w:r w:rsidRPr="005F43C5">
        <w:rPr>
          <w:rFonts w:cs="Times New Roman"/>
          <w:i/>
        </w:rPr>
        <w:t xml:space="preserve"> </w:t>
      </w:r>
      <w:r w:rsidRPr="005F43C5">
        <w:rPr>
          <w:rFonts w:cs="Times New Roman"/>
        </w:rPr>
        <w:t xml:space="preserve">of an offence should reflect the gravity of the crime.  Both the social stigma associated with its commission and the </w:t>
      </w:r>
      <w:proofErr w:type="gramStart"/>
      <w:r w:rsidRPr="005F43C5">
        <w:rPr>
          <w:rFonts w:cs="Times New Roman"/>
        </w:rPr>
        <w:t>penalty provided by Parliament afford</w:t>
      </w:r>
      <w:proofErr w:type="gramEnd"/>
      <w:r w:rsidRPr="005F43C5">
        <w:rPr>
          <w:rFonts w:cs="Times New Roman"/>
        </w:rPr>
        <w:t xml:space="preserve"> a measure of that gravity.</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The social stigma associated with the offence of child abandonment cannot — and in my view should not — be treated differently than the social stigma associated with its sister provision s. 215 (failure to provide necessaries) where penal negligence was found to be the requisite fault element.  Indeed, as I noted earlier, in their treatise, at p. 826, Manning and </w:t>
      </w:r>
      <w:proofErr w:type="spellStart"/>
      <w:r w:rsidRPr="005F43C5">
        <w:rPr>
          <w:rFonts w:cs="Times New Roman"/>
        </w:rPr>
        <w:t>Sankoff</w:t>
      </w:r>
      <w:proofErr w:type="spellEnd"/>
      <w:r w:rsidRPr="005F43C5">
        <w:rPr>
          <w:rFonts w:cs="Times New Roman"/>
        </w:rPr>
        <w:t xml:space="preserve"> write that the offence of child abandonment is “entirely superfluous” given its overlap with the offence </w:t>
      </w:r>
      <w:r w:rsidR="00F05510">
        <w:rPr>
          <w:rFonts w:cs="Times New Roman"/>
        </w:rPr>
        <w:t>of failing to provide</w:t>
      </w:r>
      <w:r w:rsidRPr="005F43C5">
        <w:rPr>
          <w:rFonts w:cs="Times New Roman"/>
        </w:rPr>
        <w:t xml:space="preserve"> the necessaries of life under s. 215 of the </w:t>
      </w:r>
      <w:r w:rsidRPr="005F43C5">
        <w:rPr>
          <w:rFonts w:cs="Times New Roman"/>
          <w:i/>
        </w:rPr>
        <w:t>Code</w:t>
      </w:r>
      <w:r w:rsidRPr="005F43C5">
        <w:rPr>
          <w:rFonts w:cs="Times New Roman"/>
        </w:rPr>
        <w:t>:</w:t>
      </w:r>
    </w:p>
    <w:p w:rsidR="00A02B78" w:rsidRPr="005F43C5" w:rsidRDefault="00A02B78" w:rsidP="00A02B78">
      <w:pPr>
        <w:pStyle w:val="Citation-AltC"/>
      </w:pPr>
      <w:r w:rsidRPr="005F43C5">
        <w:t>Given that the “necessaries of life” include shelter and protection from harm, there does not appear to be a conceivable situation in which abandonment would not also constitute a failure to provide the necessaries of life.</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Whether that statement is entirely accurate or not, it leads me to conclude that ss. 215 and 218 should be ranked equally on the social stigma scale.  They certainly rank equally in terms of their gravity.  Both offences are punishable by a maximum penalty of five years’ imprisonment (if the Crown proceeds by way of </w:t>
      </w:r>
      <w:r w:rsidRPr="005F43C5">
        <w:rPr>
          <w:rFonts w:cs="Times New Roman"/>
        </w:rPr>
        <w:lastRenderedPageBreak/>
        <w:t xml:space="preserve">indictment) and 18 months’ imprisonment (if the Crown proceeds by way of summary conviction).  </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Put differently, if Parliament had intended to build subjective </w:t>
      </w:r>
      <w:proofErr w:type="spellStart"/>
      <w:r w:rsidRPr="005F43C5">
        <w:rPr>
          <w:rFonts w:cs="Times New Roman"/>
        </w:rPr>
        <w:t>foreseeability</w:t>
      </w:r>
      <w:proofErr w:type="spellEnd"/>
      <w:r w:rsidRPr="005F43C5">
        <w:rPr>
          <w:rFonts w:cs="Times New Roman"/>
        </w:rPr>
        <w:t xml:space="preserve"> into s. 218, the degree of moral blameworthiness would necessarily be higher than that required to sustain a conviction under s. 215, which requires only objective </w:t>
      </w:r>
      <w:proofErr w:type="spellStart"/>
      <w:r w:rsidRPr="005F43C5">
        <w:rPr>
          <w:rFonts w:cs="Times New Roman"/>
        </w:rPr>
        <w:t>foreseeability</w:t>
      </w:r>
      <w:proofErr w:type="spellEnd"/>
      <w:r w:rsidRPr="005F43C5">
        <w:rPr>
          <w:rFonts w:cs="Times New Roman"/>
        </w:rPr>
        <w:t>.  If that were the case, one could reasonably expect, in my view, that the higher level of moral culpability would be reflected by a more severe punishment.  But this is not so.</w:t>
      </w:r>
      <w:r w:rsidRPr="005F43C5">
        <w:rPr>
          <w:rStyle w:val="FootnoteReference"/>
          <w:rFonts w:cs="Times New Roman"/>
        </w:rPr>
        <w:footnoteReference w:id="3"/>
      </w:r>
      <w:r w:rsidRPr="005F43C5">
        <w:rPr>
          <w:rFonts w:cs="Times New Roman"/>
        </w:rPr>
        <w:t xml:space="preserve">  And that leads me to conclude that the two provisions encompass the same degree of blameworthiness and thus require the same degree of mental fault.</w:t>
      </w:r>
    </w:p>
    <w:p w:rsidR="00A02B78" w:rsidRPr="005F43C5" w:rsidRDefault="00A02B78" w:rsidP="00A02B78">
      <w:pPr>
        <w:pStyle w:val="ParaNoNdepar-AltN"/>
        <w:tabs>
          <w:tab w:val="clear" w:pos="1166"/>
          <w:tab w:val="num" w:pos="1152"/>
        </w:tabs>
        <w:rPr>
          <w:rFonts w:cs="Times New Roman"/>
        </w:rPr>
      </w:pPr>
      <w:r w:rsidRPr="005F43C5">
        <w:rPr>
          <w:rFonts w:cs="Times New Roman"/>
        </w:rPr>
        <w:t>Finally, without wishing to minimize the nature and severity of the punishments available under ss. 215 and 218, they are significantly removed from other crimes which this Court has held to be crimes involving objective foresight, including manslaughter and certain instances of dangerous driving causing death — both of which attract maximum punishments of life imprisonment.</w:t>
      </w:r>
    </w:p>
    <w:p w:rsidR="00A02B78" w:rsidRPr="005F43C5" w:rsidRDefault="00C87E66" w:rsidP="00C87E66">
      <w:pPr>
        <w:pStyle w:val="TitleTitre-AltT"/>
        <w:tabs>
          <w:tab w:val="clear" w:pos="360"/>
          <w:tab w:val="left" w:pos="540"/>
          <w:tab w:val="left" w:pos="810"/>
        </w:tabs>
        <w:ind w:left="540" w:hanging="540"/>
        <w:rPr>
          <w:rFonts w:cs="Times New Roman"/>
        </w:rPr>
      </w:pPr>
      <w:r>
        <w:rPr>
          <w:rFonts w:cs="Times New Roman"/>
        </w:rPr>
        <w:t>F.</w:t>
      </w:r>
      <w:r>
        <w:rPr>
          <w:rFonts w:cs="Times New Roman"/>
        </w:rPr>
        <w:tab/>
      </w:r>
      <w:r w:rsidR="00A02B78" w:rsidRPr="005F43C5">
        <w:rPr>
          <w:rFonts w:cs="Times New Roman"/>
          <w:i/>
        </w:rPr>
        <w:t>The Remaining Elements of the Offence</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As explained earlier, there are three distinct elements to the offence of child abandonment: the act (abandonment or exposure), the circumstances (a child </w:t>
      </w:r>
      <w:r w:rsidRPr="005F43C5">
        <w:rPr>
          <w:rFonts w:cs="Times New Roman"/>
        </w:rPr>
        <w:lastRenderedPageBreak/>
        <w:t>under 10), and the consequences (the risk of harm to the child).  The focus of my analysis thus far has been the third element.  I turn now to the first and second elements, taking each in turn.</w:t>
      </w:r>
    </w:p>
    <w:p w:rsidR="00A02B78" w:rsidRPr="005F43C5" w:rsidRDefault="00A02B78" w:rsidP="00A02B78">
      <w:pPr>
        <w:pStyle w:val="TitleTitre-AltT"/>
        <w:tabs>
          <w:tab w:val="left" w:pos="1170"/>
          <w:tab w:val="left" w:pos="1620"/>
        </w:tabs>
        <w:rPr>
          <w:rFonts w:cs="Times New Roman"/>
        </w:rPr>
      </w:pPr>
      <w:r w:rsidRPr="005F43C5">
        <w:rPr>
          <w:rFonts w:cs="Times New Roman"/>
        </w:rPr>
        <w:tab/>
      </w:r>
      <w:r w:rsidRPr="005F43C5">
        <w:rPr>
          <w:rFonts w:cs="Times New Roman"/>
        </w:rPr>
        <w:tab/>
        <w:t>(1)</w:t>
      </w:r>
      <w:r w:rsidRPr="005F43C5">
        <w:rPr>
          <w:rFonts w:cs="Times New Roman"/>
        </w:rPr>
        <w:tab/>
      </w:r>
      <w:r w:rsidRPr="005F43C5">
        <w:rPr>
          <w:rFonts w:cs="Times New Roman"/>
          <w:u w:val="single"/>
        </w:rPr>
        <w:t xml:space="preserve">“Abandon” or “Expose” — </w:t>
      </w:r>
      <w:proofErr w:type="gramStart"/>
      <w:r w:rsidRPr="005F43C5">
        <w:rPr>
          <w:rFonts w:cs="Times New Roman"/>
          <w:u w:val="single"/>
        </w:rPr>
        <w:t>And</w:t>
      </w:r>
      <w:proofErr w:type="gramEnd"/>
      <w:r w:rsidRPr="005F43C5">
        <w:rPr>
          <w:rFonts w:cs="Times New Roman"/>
          <w:u w:val="single"/>
        </w:rPr>
        <w:t xml:space="preserve"> the “Wilful” Red Herring</w:t>
      </w:r>
    </w:p>
    <w:p w:rsidR="00A02B78" w:rsidRPr="005F43C5" w:rsidRDefault="00A02B78" w:rsidP="00A02B78">
      <w:pPr>
        <w:pStyle w:val="ParaNoNdepar-AltN"/>
        <w:tabs>
          <w:tab w:val="clear" w:pos="1166"/>
          <w:tab w:val="num" w:pos="1152"/>
        </w:tabs>
        <w:rPr>
          <w:rFonts w:cs="Times New Roman"/>
        </w:rPr>
      </w:pPr>
      <w:r w:rsidRPr="005F43C5">
        <w:rPr>
          <w:rFonts w:cs="Times New Roman"/>
        </w:rPr>
        <w:t>Although there are no words of subjective intent in s. 218, t</w:t>
      </w:r>
      <w:r w:rsidR="00C87E66">
        <w:rPr>
          <w:rFonts w:cs="Times New Roman"/>
        </w:rPr>
        <w:t xml:space="preserve">he word “wilful” is used in </w:t>
      </w:r>
      <w:proofErr w:type="spellStart"/>
      <w:r w:rsidR="00C87E66">
        <w:rPr>
          <w:rFonts w:cs="Times New Roman"/>
        </w:rPr>
        <w:t>para</w:t>
      </w:r>
      <w:proofErr w:type="spellEnd"/>
      <w:r w:rsidR="00C87E66">
        <w:rPr>
          <w:rFonts w:cs="Times New Roman"/>
        </w:rPr>
        <w:t>.</w:t>
      </w:r>
      <w:r w:rsidRPr="005F43C5">
        <w:rPr>
          <w:rFonts w:cs="Times New Roman"/>
        </w:rPr>
        <w:t xml:space="preserve"> (</w:t>
      </w:r>
      <w:r w:rsidRPr="005F43C5">
        <w:rPr>
          <w:rFonts w:cs="Times New Roman"/>
          <w:i/>
        </w:rPr>
        <w:t>a</w:t>
      </w:r>
      <w:r w:rsidRPr="005F43C5">
        <w:rPr>
          <w:rFonts w:cs="Times New Roman"/>
        </w:rPr>
        <w:t xml:space="preserve">) </w:t>
      </w:r>
      <w:proofErr w:type="gramStart"/>
      <w:r w:rsidRPr="005F43C5">
        <w:rPr>
          <w:rFonts w:cs="Times New Roman"/>
        </w:rPr>
        <w:t>of</w:t>
      </w:r>
      <w:proofErr w:type="gramEnd"/>
      <w:r w:rsidRPr="005F43C5">
        <w:rPr>
          <w:rFonts w:cs="Times New Roman"/>
        </w:rPr>
        <w:t xml:space="preserve"> the s. 214 definition of “abandon” or “expose” to modify the word “omission”.  Much of the focus on the word, unfortunately, has served as a red herring, distracting from its actual function in the language of s. 218.  Whatever meaning attaches to “wilful”, it speaks to the interpretation to be given to the act in the first element of the offence (abandoning or exposing).  It offers little, if any, assistance in interpreting the third element (risk to the child).</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As far back as 1898, in the case of </w:t>
      </w:r>
      <w:r w:rsidRPr="005F43C5">
        <w:rPr>
          <w:rFonts w:cs="Times New Roman"/>
          <w:i/>
        </w:rPr>
        <w:t>R. v. Senior</w:t>
      </w:r>
      <w:r w:rsidRPr="005F43C5">
        <w:rPr>
          <w:rFonts w:cs="Times New Roman"/>
        </w:rPr>
        <w:t xml:space="preserve">, [1899] 1 Q.B. 283, Lord Russell of </w:t>
      </w:r>
      <w:proofErr w:type="spellStart"/>
      <w:r w:rsidRPr="005F43C5">
        <w:rPr>
          <w:rFonts w:cs="Times New Roman"/>
        </w:rPr>
        <w:t>Killowen</w:t>
      </w:r>
      <w:proofErr w:type="spellEnd"/>
      <w:r w:rsidRPr="005F43C5">
        <w:rPr>
          <w:rFonts w:cs="Times New Roman"/>
        </w:rPr>
        <w:t xml:space="preserve"> C.J. considered the meaning of the word “wilfully” in s. 1 of the </w:t>
      </w:r>
      <w:r w:rsidRPr="005F43C5">
        <w:rPr>
          <w:rFonts w:cs="Times New Roman"/>
          <w:i/>
        </w:rPr>
        <w:t>Prevention of Cruelty to Children</w:t>
      </w:r>
      <w:r w:rsidRPr="005F43C5">
        <w:rPr>
          <w:rFonts w:cs="Times New Roman"/>
        </w:rPr>
        <w:t xml:space="preserve"> </w:t>
      </w:r>
      <w:r w:rsidRPr="005F43C5">
        <w:rPr>
          <w:rFonts w:cs="Times New Roman"/>
          <w:i/>
        </w:rPr>
        <w:t>Act, 1894</w:t>
      </w:r>
      <w:r w:rsidRPr="005F43C5">
        <w:rPr>
          <w:rFonts w:cs="Times New Roman"/>
        </w:rPr>
        <w:t xml:space="preserve">, 57 &amp; 58 </w:t>
      </w:r>
      <w:proofErr w:type="spellStart"/>
      <w:r w:rsidRPr="005F43C5">
        <w:rPr>
          <w:rFonts w:cs="Times New Roman"/>
        </w:rPr>
        <w:t>Vict</w:t>
      </w:r>
      <w:proofErr w:type="spellEnd"/>
      <w:r w:rsidRPr="005F43C5">
        <w:rPr>
          <w:rFonts w:cs="Times New Roman"/>
        </w:rPr>
        <w:t>., c. 41, which among other things, made it an offence to “wilfully” assault, ill-treat, neglect, abandon or expose a child under the age of 16 “in a manner likely to cause such child unnecessary suffering, or injury to its health”.  At pp. 290-91, the Chief Justice stated:</w:t>
      </w:r>
    </w:p>
    <w:p w:rsidR="00A02B78" w:rsidRPr="005F43C5" w:rsidRDefault="00A02B78" w:rsidP="00A02B78">
      <w:pPr>
        <w:pStyle w:val="Citation-AltC"/>
      </w:pPr>
      <w:r w:rsidRPr="005F43C5">
        <w:t xml:space="preserve">Whether the words in the statute, “wilfully neglects,” are taken together, or, as the learned judge did in directing the jury, are taken separately, the meaning is very clear.  </w:t>
      </w:r>
      <w:r w:rsidRPr="005F43C5">
        <w:rPr>
          <w:u w:val="single"/>
        </w:rPr>
        <w:t>“Wilfully” means that the act is done deliberately and intentionally, not by accident or inadvertence, but so that the mind of the person who does the act goes with it.</w:t>
      </w:r>
      <w:r w:rsidRPr="005F43C5">
        <w:t xml:space="preserve">  [Emphasis added.]</w:t>
      </w:r>
    </w:p>
    <w:p w:rsidR="00A02B78" w:rsidRPr="005F43C5" w:rsidRDefault="00A02B78" w:rsidP="00A02B78">
      <w:pPr>
        <w:pStyle w:val="ParaNoNdepar-AltN"/>
        <w:tabs>
          <w:tab w:val="clear" w:pos="1166"/>
          <w:tab w:val="num" w:pos="1152"/>
        </w:tabs>
        <w:rPr>
          <w:rFonts w:cs="Times New Roman"/>
        </w:rPr>
      </w:pPr>
      <w:r w:rsidRPr="005F43C5">
        <w:rPr>
          <w:rFonts w:cs="Times New Roman"/>
        </w:rPr>
        <w:lastRenderedPageBreak/>
        <w:t xml:space="preserve">Modern-day authorities have accepted that the word “wilful” may be used to indicate a voluntary or deliberate act, one that the mind “goes with”.  See, e.g., </w:t>
      </w:r>
      <w:r w:rsidRPr="005F43C5">
        <w:rPr>
          <w:rFonts w:cs="Times New Roman"/>
          <w:i/>
        </w:rPr>
        <w:t xml:space="preserve">R. v. </w:t>
      </w:r>
      <w:proofErr w:type="spellStart"/>
      <w:r w:rsidRPr="005F43C5">
        <w:rPr>
          <w:rFonts w:cs="Times New Roman"/>
          <w:i/>
        </w:rPr>
        <w:t>Buzzanga</w:t>
      </w:r>
      <w:proofErr w:type="spellEnd"/>
      <w:r w:rsidRPr="005F43C5">
        <w:rPr>
          <w:rFonts w:cs="Times New Roman"/>
          <w:i/>
        </w:rPr>
        <w:t xml:space="preserve"> </w:t>
      </w:r>
      <w:r w:rsidRPr="005F43C5">
        <w:rPr>
          <w:rFonts w:cs="Times New Roman"/>
        </w:rPr>
        <w:t xml:space="preserve">(1979), 25 O.R. (2d) 705 (C.A.), at pp. 715-17; </w:t>
      </w:r>
      <w:r w:rsidRPr="005F43C5">
        <w:rPr>
          <w:rFonts w:cs="Times New Roman"/>
          <w:i/>
        </w:rPr>
        <w:t>R. v. L.B.</w:t>
      </w:r>
      <w:r w:rsidRPr="005F43C5">
        <w:rPr>
          <w:rFonts w:cs="Times New Roman"/>
        </w:rPr>
        <w:t xml:space="preserve">, 2011 ONCA 153, 274 O.A.C. 365, at </w:t>
      </w:r>
      <w:proofErr w:type="spellStart"/>
      <w:r w:rsidRPr="005F43C5">
        <w:rPr>
          <w:rFonts w:cs="Times New Roman"/>
        </w:rPr>
        <w:t>paras</w:t>
      </w:r>
      <w:proofErr w:type="spellEnd"/>
      <w:r w:rsidRPr="005F43C5">
        <w:rPr>
          <w:rFonts w:cs="Times New Roman"/>
        </w:rPr>
        <w:t>. 108-9, leave to ap</w:t>
      </w:r>
      <w:r w:rsidR="00C87E66">
        <w:rPr>
          <w:rFonts w:cs="Times New Roman"/>
        </w:rPr>
        <w:t>peal refused, [2011] 3 S.C.R. x</w:t>
      </w:r>
      <w:r w:rsidRPr="005F43C5">
        <w:rPr>
          <w:rFonts w:cs="Times New Roman"/>
        </w:rPr>
        <w:t xml:space="preserve">; and Manning </w:t>
      </w:r>
      <w:r w:rsidR="00D0080D">
        <w:rPr>
          <w:rFonts w:cs="Times New Roman"/>
        </w:rPr>
        <w:t>and</w:t>
      </w:r>
      <w:r w:rsidRPr="005F43C5">
        <w:rPr>
          <w:rFonts w:cs="Times New Roman"/>
        </w:rPr>
        <w:t xml:space="preserve"> </w:t>
      </w:r>
      <w:proofErr w:type="spellStart"/>
      <w:r w:rsidRPr="005F43C5">
        <w:rPr>
          <w:rFonts w:cs="Times New Roman"/>
        </w:rPr>
        <w:t>Sankoff</w:t>
      </w:r>
      <w:proofErr w:type="spellEnd"/>
      <w:r w:rsidRPr="005F43C5">
        <w:rPr>
          <w:rFonts w:cs="Times New Roman"/>
        </w:rPr>
        <w:t>, at pp. 149-50.</w:t>
      </w:r>
    </w:p>
    <w:p w:rsidR="00A02B78" w:rsidRPr="005F43C5" w:rsidRDefault="00A02B78" w:rsidP="00A02B78">
      <w:pPr>
        <w:pStyle w:val="ParaNoNdepar-AltN"/>
        <w:tabs>
          <w:tab w:val="clear" w:pos="1166"/>
          <w:tab w:val="num" w:pos="1152"/>
        </w:tabs>
        <w:rPr>
          <w:rFonts w:cs="Times New Roman"/>
        </w:rPr>
      </w:pPr>
      <w:r w:rsidRPr="005F43C5">
        <w:rPr>
          <w:rFonts w:cs="Times New Roman"/>
        </w:rPr>
        <w:t>In my view, a fair reading of the provision establishes that the word “wilful” in s. 214 does not connote an intention to bring about the proscribed consequences identified in s. 218.  Rather</w:t>
      </w:r>
      <w:r w:rsidR="007D4B37">
        <w:rPr>
          <w:rFonts w:cs="Times New Roman"/>
        </w:rPr>
        <w:t xml:space="preserve">, it modifies “omission” in </w:t>
      </w:r>
      <w:proofErr w:type="spellStart"/>
      <w:r w:rsidR="007D4B37">
        <w:rPr>
          <w:rFonts w:cs="Times New Roman"/>
        </w:rPr>
        <w:t>para</w:t>
      </w:r>
      <w:proofErr w:type="spellEnd"/>
      <w:r w:rsidR="007D4B37">
        <w:rPr>
          <w:rFonts w:cs="Times New Roman"/>
        </w:rPr>
        <w:t>.</w:t>
      </w:r>
      <w:r w:rsidRPr="005F43C5">
        <w:rPr>
          <w:rFonts w:cs="Times New Roman"/>
        </w:rPr>
        <w:t xml:space="preserve"> (</w:t>
      </w:r>
      <w:r w:rsidRPr="005F43C5">
        <w:rPr>
          <w:rFonts w:cs="Times New Roman"/>
          <w:i/>
        </w:rPr>
        <w:t>a</w:t>
      </w:r>
      <w:r w:rsidRPr="005F43C5">
        <w:rPr>
          <w:rFonts w:cs="Times New Roman"/>
        </w:rPr>
        <w:t xml:space="preserve">) </w:t>
      </w:r>
      <w:proofErr w:type="gramStart"/>
      <w:r w:rsidRPr="005F43C5">
        <w:rPr>
          <w:rFonts w:cs="Times New Roman"/>
        </w:rPr>
        <w:t>of</w:t>
      </w:r>
      <w:proofErr w:type="gramEnd"/>
      <w:r w:rsidRPr="005F43C5">
        <w:rPr>
          <w:rFonts w:cs="Times New Roman"/>
        </w:rPr>
        <w:t xml:space="preserve"> the definition of “abandon” or “expose” and connotes, as Lord Russell C.J. described it, an act “done deliberately and intentionally, not by accident or inadvertence”.  </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To put the matter in more contemporary terms, basic intent or voluntariness is all that is required to satisfy the minimum mental element for the act of abandonment or exposure.  That conclusion sits independently from — and is entirely harmonious with — the separate conclusion that penal negligence is the proper mental standard for the third element in s. 218.  It would be a mistake to confuse the two. </w:t>
      </w:r>
    </w:p>
    <w:p w:rsidR="00A02B78" w:rsidRPr="005F43C5" w:rsidRDefault="00A02B78" w:rsidP="00300167">
      <w:pPr>
        <w:pStyle w:val="TitleTitre-AltT"/>
        <w:tabs>
          <w:tab w:val="clear" w:pos="360"/>
          <w:tab w:val="left" w:pos="1170"/>
          <w:tab w:val="left" w:pos="1710"/>
        </w:tabs>
        <w:ind w:left="1170" w:hanging="1170"/>
        <w:rPr>
          <w:rFonts w:cs="Times New Roman"/>
        </w:rPr>
      </w:pPr>
      <w:r w:rsidRPr="005F43C5">
        <w:rPr>
          <w:rFonts w:cs="Times New Roman"/>
        </w:rPr>
        <w:tab/>
        <w:t>(2)</w:t>
      </w:r>
      <w:r w:rsidRPr="005F43C5">
        <w:rPr>
          <w:rFonts w:cs="Times New Roman"/>
        </w:rPr>
        <w:tab/>
      </w:r>
      <w:r w:rsidRPr="005F43C5">
        <w:rPr>
          <w:rFonts w:cs="Times New Roman"/>
          <w:u w:val="single"/>
        </w:rPr>
        <w:t>The Age of the Child</w:t>
      </w:r>
    </w:p>
    <w:p w:rsidR="00A02B78" w:rsidRPr="005F43C5" w:rsidRDefault="00A02B78" w:rsidP="00A02B78">
      <w:pPr>
        <w:pStyle w:val="ParaNoNdepar-AltN"/>
        <w:tabs>
          <w:tab w:val="clear" w:pos="1166"/>
          <w:tab w:val="num" w:pos="1152"/>
        </w:tabs>
        <w:rPr>
          <w:rFonts w:cs="Times New Roman"/>
        </w:rPr>
      </w:pPr>
      <w:r w:rsidRPr="005F43C5">
        <w:rPr>
          <w:rFonts w:eastAsiaTheme="minorHAnsi" w:cs="Times New Roman"/>
        </w:rPr>
        <w:t xml:space="preserve">Lastly, I turn to the second element of the offence, the age of the child.  This element was not an issue in this appeal, as it was self-evident and undisputed that A.D.H.’s newborn baby was under the age of 10.  Nevertheless, mindful that the </w:t>
      </w:r>
      <w:r w:rsidRPr="005F43C5">
        <w:rPr>
          <w:rFonts w:eastAsiaTheme="minorHAnsi" w:cs="Times New Roman"/>
        </w:rPr>
        <w:lastRenderedPageBreak/>
        <w:t>age of the child is a question of circumstances and not consequences of the offence, and absent any indicators that Parliament intended an objective standard for this element, I would be inclined to hold that this element should be established on the basis of subjective fault.  However, as this matter is not before us, I need not say more about it.</w:t>
      </w:r>
    </w:p>
    <w:p w:rsidR="00A02B78" w:rsidRPr="005F43C5" w:rsidRDefault="00A02B78" w:rsidP="00A02B78">
      <w:pPr>
        <w:pStyle w:val="TitleTitre-AltT"/>
        <w:tabs>
          <w:tab w:val="clear" w:pos="360"/>
          <w:tab w:val="left" w:pos="720"/>
        </w:tabs>
        <w:ind w:left="630" w:hanging="630"/>
        <w:rPr>
          <w:rFonts w:cs="Times New Roman"/>
        </w:rPr>
      </w:pPr>
      <w:r w:rsidRPr="005F43C5">
        <w:rPr>
          <w:rFonts w:cs="Times New Roman"/>
        </w:rPr>
        <w:t>G.</w:t>
      </w:r>
      <w:r w:rsidRPr="005F43C5">
        <w:rPr>
          <w:rFonts w:cs="Times New Roman"/>
        </w:rPr>
        <w:tab/>
      </w:r>
      <w:r w:rsidRPr="005F43C5">
        <w:rPr>
          <w:rFonts w:cs="Times New Roman"/>
          <w:i/>
        </w:rPr>
        <w:t>Some Thoughts on Intoxication as a Defence</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Earlier in these reasons, I voiced my concern that an interpretation of s. 218 that requires subjective foresight of consequences would provide a defence to the errant parent or irresponsible caregiver who, by virtue of intoxication, could not or did not foresee the likely consequences of his or her dangerous conduct.  While it is true that none of the parties raised this point in their arguments, I believe that the ramifications that flow from interpreting a statutory provision in one way or another are a necessary part of the overall contextual analysis with which we are engaged.  That context cannot — and should not — be overlooked on the basis that a relevant issue does not arise on the facts of a particular case.  </w:t>
      </w:r>
    </w:p>
    <w:p w:rsidR="00A02B78" w:rsidRPr="005F43C5" w:rsidRDefault="00A02B78" w:rsidP="00A02B78">
      <w:pPr>
        <w:pStyle w:val="ParaNoNdepar-AltN"/>
        <w:tabs>
          <w:tab w:val="clear" w:pos="1166"/>
          <w:tab w:val="num" w:pos="1152"/>
        </w:tabs>
        <w:rPr>
          <w:rFonts w:cs="Times New Roman"/>
        </w:rPr>
      </w:pPr>
      <w:r w:rsidRPr="005F43C5">
        <w:rPr>
          <w:rFonts w:cs="Times New Roman"/>
        </w:rPr>
        <w:t>The majority concludes that s. 218 is a “general intent” offence (</w:t>
      </w:r>
      <w:proofErr w:type="spellStart"/>
      <w:r w:rsidRPr="005F43C5">
        <w:rPr>
          <w:rFonts w:cs="Times New Roman"/>
        </w:rPr>
        <w:t>para</w:t>
      </w:r>
      <w:proofErr w:type="spellEnd"/>
      <w:r w:rsidRPr="005F43C5">
        <w:rPr>
          <w:rFonts w:cs="Times New Roman"/>
        </w:rPr>
        <w:t xml:space="preserve">. 16).  I would have thought, however, that this Court’s decision in </w:t>
      </w:r>
      <w:r w:rsidRPr="005F43C5">
        <w:rPr>
          <w:rFonts w:cs="Times New Roman"/>
          <w:i/>
        </w:rPr>
        <w:t>Hinchey</w:t>
      </w:r>
      <w:r w:rsidRPr="005F43C5">
        <w:rPr>
          <w:rFonts w:cs="Times New Roman"/>
        </w:rPr>
        <w:t xml:space="preserve"> has pointed us beyond the binary fiction of specific versus general intent offences.</w:t>
      </w:r>
      <w:r w:rsidRPr="005F43C5">
        <w:rPr>
          <w:rStyle w:val="FootnoteReference"/>
          <w:rFonts w:cs="Times New Roman"/>
        </w:rPr>
        <w:footnoteReference w:id="4"/>
      </w:r>
      <w:r w:rsidRPr="005F43C5">
        <w:rPr>
          <w:rFonts w:cs="Times New Roman"/>
        </w:rPr>
        <w:t xml:space="preserve">  This case </w:t>
      </w:r>
      <w:r w:rsidRPr="005F43C5">
        <w:rPr>
          <w:rFonts w:cs="Times New Roman"/>
        </w:rPr>
        <w:lastRenderedPageBreak/>
        <w:t xml:space="preserve">underscores the merit of that approach because the nub of the difficulty is that s. 218, whether under the majority’s approach or mine, does not — indeed, it cannot — fit neatly into either the general or specific intent boxes.  To attempt to do so is to do what courts have for too long done — broad-brush offences in a way that at once over-generalizes and over-simplifies.  </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The majority’s invocation of </w:t>
      </w:r>
      <w:r w:rsidRPr="005F43C5">
        <w:rPr>
          <w:rFonts w:cs="Times New Roman"/>
          <w:i/>
        </w:rPr>
        <w:t xml:space="preserve">R. v. </w:t>
      </w:r>
      <w:proofErr w:type="spellStart"/>
      <w:r w:rsidRPr="005F43C5">
        <w:rPr>
          <w:rFonts w:cs="Times New Roman"/>
          <w:i/>
        </w:rPr>
        <w:t>Daviault</w:t>
      </w:r>
      <w:proofErr w:type="spellEnd"/>
      <w:r w:rsidRPr="005F43C5">
        <w:rPr>
          <w:rFonts w:cs="Times New Roman"/>
        </w:rPr>
        <w:t xml:space="preserve">, [1994] 3 S.C.R. </w:t>
      </w:r>
      <w:proofErr w:type="gramStart"/>
      <w:r w:rsidRPr="005F43C5">
        <w:rPr>
          <w:rFonts w:cs="Times New Roman"/>
        </w:rPr>
        <w:t>63,</w:t>
      </w:r>
      <w:proofErr w:type="gramEnd"/>
      <w:r w:rsidRPr="005F43C5">
        <w:rPr>
          <w:rFonts w:cs="Times New Roman"/>
        </w:rPr>
        <w:t xml:space="preserve"> and s. 33.1 of the </w:t>
      </w:r>
      <w:r w:rsidRPr="005F43C5">
        <w:rPr>
          <w:rFonts w:cs="Times New Roman"/>
          <w:i/>
        </w:rPr>
        <w:t xml:space="preserve">Code </w:t>
      </w:r>
      <w:r w:rsidRPr="005F43C5">
        <w:rPr>
          <w:rFonts w:cs="Times New Roman"/>
        </w:rPr>
        <w:t xml:space="preserve">is no answer to the concerns I raise.  First, </w:t>
      </w:r>
      <w:proofErr w:type="spellStart"/>
      <w:r w:rsidRPr="005F43C5">
        <w:rPr>
          <w:rFonts w:cs="Times New Roman"/>
          <w:i/>
        </w:rPr>
        <w:t>Daviault</w:t>
      </w:r>
      <w:proofErr w:type="spellEnd"/>
      <w:r w:rsidRPr="005F43C5">
        <w:rPr>
          <w:rFonts w:cs="Times New Roman"/>
          <w:i/>
        </w:rPr>
        <w:t xml:space="preserve"> </w:t>
      </w:r>
      <w:r w:rsidRPr="005F43C5">
        <w:rPr>
          <w:rFonts w:cs="Times New Roman"/>
        </w:rPr>
        <w:t xml:space="preserve">speaks only to the basic intent or voluntariness needed to commit an intentional act — what Cory J. described as “the </w:t>
      </w:r>
      <w:r w:rsidRPr="005F43C5">
        <w:rPr>
          <w:rFonts w:cs="Times New Roman"/>
          <w:u w:val="single"/>
        </w:rPr>
        <w:t>minimal mental element</w:t>
      </w:r>
      <w:r w:rsidRPr="005F43C5">
        <w:rPr>
          <w:rFonts w:cs="Times New Roman"/>
        </w:rPr>
        <w:t xml:space="preserve"> required for a general intent offence” (p. 87 (emphasis added)).  Our later decision in </w:t>
      </w:r>
      <w:r w:rsidRPr="005F43C5">
        <w:rPr>
          <w:rFonts w:cs="Times New Roman"/>
          <w:i/>
        </w:rPr>
        <w:t>R. v. Daley</w:t>
      </w:r>
      <w:r w:rsidRPr="005F43C5">
        <w:rPr>
          <w:rFonts w:cs="Times New Roman"/>
        </w:rPr>
        <w:t xml:space="preserve">, 2007 SCC 53, [2007] 3 S.C.R. 523, confirms that a so-called </w:t>
      </w:r>
      <w:proofErr w:type="spellStart"/>
      <w:r w:rsidRPr="005F43C5">
        <w:rPr>
          <w:rFonts w:cs="Times New Roman"/>
          <w:i/>
        </w:rPr>
        <w:t>Daviault</w:t>
      </w:r>
      <w:proofErr w:type="spellEnd"/>
      <w:r w:rsidRPr="005F43C5">
        <w:rPr>
          <w:rFonts w:cs="Times New Roman"/>
        </w:rPr>
        <w:t xml:space="preserve"> defence of “extreme intoxication” relates only to intoxication which “negates </w:t>
      </w:r>
      <w:r w:rsidRPr="005F43C5">
        <w:rPr>
          <w:rFonts w:cs="Times New Roman"/>
          <w:u w:val="single"/>
        </w:rPr>
        <w:t>voluntariness</w:t>
      </w:r>
      <w:r w:rsidRPr="005F43C5">
        <w:rPr>
          <w:rFonts w:cs="Times New Roman"/>
        </w:rPr>
        <w:t xml:space="preserve"> and thus is a complete defence to criminal responsibility” (</w:t>
      </w:r>
      <w:proofErr w:type="spellStart"/>
      <w:r w:rsidRPr="005F43C5">
        <w:rPr>
          <w:rFonts w:cs="Times New Roman"/>
        </w:rPr>
        <w:t>para</w:t>
      </w:r>
      <w:proofErr w:type="spellEnd"/>
      <w:r w:rsidRPr="005F43C5">
        <w:rPr>
          <w:rFonts w:cs="Times New Roman"/>
        </w:rPr>
        <w:t xml:space="preserve">. 43 (emphasis added)).  </w:t>
      </w:r>
      <w:proofErr w:type="spellStart"/>
      <w:r w:rsidRPr="005F43C5">
        <w:rPr>
          <w:rFonts w:cs="Times New Roman"/>
          <w:i/>
        </w:rPr>
        <w:t>Daviault</w:t>
      </w:r>
      <w:proofErr w:type="spellEnd"/>
      <w:r w:rsidRPr="005F43C5">
        <w:rPr>
          <w:rFonts w:cs="Times New Roman"/>
          <w:i/>
        </w:rPr>
        <w:t xml:space="preserve"> </w:t>
      </w:r>
      <w:r w:rsidRPr="005F43C5">
        <w:rPr>
          <w:rFonts w:cs="Times New Roman"/>
        </w:rPr>
        <w:t xml:space="preserve">thus says nothing about whether intoxication short of automatism could raise a reasonable doubt about an </w:t>
      </w:r>
      <w:proofErr w:type="spellStart"/>
      <w:r w:rsidRPr="005F43C5">
        <w:rPr>
          <w:rFonts w:cs="Times New Roman"/>
        </w:rPr>
        <w:t>accused’s</w:t>
      </w:r>
      <w:proofErr w:type="spellEnd"/>
      <w:r w:rsidRPr="005F43C5">
        <w:rPr>
          <w:rFonts w:cs="Times New Roman"/>
        </w:rPr>
        <w:t xml:space="preserve"> subjective foresight of consequences, as the majority requires of s. 218.</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Second, s. 33.1 of the </w:t>
      </w:r>
      <w:r w:rsidRPr="005F43C5">
        <w:rPr>
          <w:rFonts w:cs="Times New Roman"/>
          <w:i/>
        </w:rPr>
        <w:t>Code</w:t>
      </w:r>
      <w:r w:rsidRPr="005F43C5">
        <w:rPr>
          <w:rFonts w:cs="Times New Roman"/>
        </w:rPr>
        <w:t xml:space="preserve">, if it is applicable to s. 218, provides a statutory override of a </w:t>
      </w:r>
      <w:proofErr w:type="spellStart"/>
      <w:r w:rsidRPr="005F43C5">
        <w:rPr>
          <w:rFonts w:cs="Times New Roman"/>
          <w:i/>
        </w:rPr>
        <w:t>Daviault</w:t>
      </w:r>
      <w:proofErr w:type="spellEnd"/>
      <w:r w:rsidRPr="005F43C5">
        <w:rPr>
          <w:rFonts w:cs="Times New Roman"/>
          <w:i/>
        </w:rPr>
        <w:t xml:space="preserve"> </w:t>
      </w:r>
      <w:r w:rsidRPr="005F43C5">
        <w:rPr>
          <w:rFonts w:cs="Times New Roman"/>
        </w:rPr>
        <w:t xml:space="preserve">defence — but only to the extent that the accused “lacked the </w:t>
      </w:r>
      <w:r w:rsidRPr="005F43C5">
        <w:rPr>
          <w:rFonts w:cs="Times New Roman"/>
          <w:u w:val="single"/>
        </w:rPr>
        <w:t>general intent or the voluntariness</w:t>
      </w:r>
      <w:r w:rsidRPr="005F43C5">
        <w:rPr>
          <w:rFonts w:cs="Times New Roman"/>
        </w:rPr>
        <w:t xml:space="preserve"> required to commit the offence”.  Assuming for the sake of argument that s. 33.1 does apply to s. </w:t>
      </w:r>
      <w:proofErr w:type="gramStart"/>
      <w:r w:rsidRPr="005F43C5">
        <w:rPr>
          <w:rFonts w:cs="Times New Roman"/>
        </w:rPr>
        <w:t>218,</w:t>
      </w:r>
      <w:proofErr w:type="gramEnd"/>
      <w:r w:rsidRPr="005F43C5">
        <w:rPr>
          <w:rFonts w:cs="Times New Roman"/>
          <w:i/>
        </w:rPr>
        <w:t xml:space="preserve"> </w:t>
      </w:r>
      <w:r w:rsidRPr="005F43C5">
        <w:rPr>
          <w:rFonts w:cs="Times New Roman"/>
        </w:rPr>
        <w:t xml:space="preserve">it says nothing about intoxication as a defence in relation to the subjective foresight of consequences. </w:t>
      </w:r>
      <w:r w:rsidRPr="005F43C5">
        <w:rPr>
          <w:rFonts w:cs="Times New Roman"/>
        </w:rPr>
        <w:lastRenderedPageBreak/>
        <w:t xml:space="preserve">As I have said, </w:t>
      </w:r>
      <w:proofErr w:type="spellStart"/>
      <w:r w:rsidRPr="005F43C5">
        <w:rPr>
          <w:rFonts w:cs="Times New Roman"/>
          <w:i/>
        </w:rPr>
        <w:t>Daviault</w:t>
      </w:r>
      <w:proofErr w:type="spellEnd"/>
      <w:r w:rsidRPr="005F43C5">
        <w:rPr>
          <w:rFonts w:cs="Times New Roman"/>
          <w:i/>
        </w:rPr>
        <w:t xml:space="preserve"> </w:t>
      </w:r>
      <w:r w:rsidRPr="005F43C5">
        <w:rPr>
          <w:rFonts w:cs="Times New Roman"/>
        </w:rPr>
        <w:t xml:space="preserve">was only concerned with the basic intent or voluntariness required for an intentional act.  Thus, whether s. 33.1 does or does not apply to s. 218 is, in my respectful view, irrelevant.  </w:t>
      </w:r>
    </w:p>
    <w:p w:rsidR="00A02B78" w:rsidRPr="005F43C5" w:rsidRDefault="00577B32" w:rsidP="00577B32">
      <w:pPr>
        <w:pStyle w:val="TitleTitre-AltT"/>
        <w:tabs>
          <w:tab w:val="clear" w:pos="360"/>
          <w:tab w:val="left" w:pos="540"/>
        </w:tabs>
        <w:ind w:left="540" w:hanging="540"/>
        <w:rPr>
          <w:rFonts w:cs="Times New Roman"/>
        </w:rPr>
      </w:pPr>
      <w:r>
        <w:rPr>
          <w:rFonts w:cs="Times New Roman"/>
        </w:rPr>
        <w:t>H.</w:t>
      </w:r>
      <w:r>
        <w:rPr>
          <w:rFonts w:cs="Times New Roman"/>
        </w:rPr>
        <w:tab/>
      </w:r>
      <w:r w:rsidR="00A02B78" w:rsidRPr="005F43C5">
        <w:rPr>
          <w:rFonts w:cs="Times New Roman"/>
          <w:i/>
        </w:rPr>
        <w:t>Conclusion</w:t>
      </w:r>
    </w:p>
    <w:p w:rsidR="00A02B78" w:rsidRPr="005F43C5" w:rsidRDefault="00A02B78" w:rsidP="00A02B78">
      <w:pPr>
        <w:pStyle w:val="ParaNoNdepar-AltN"/>
        <w:tabs>
          <w:tab w:val="clear" w:pos="1166"/>
          <w:tab w:val="num" w:pos="1152"/>
        </w:tabs>
        <w:rPr>
          <w:rFonts w:cs="Times New Roman"/>
        </w:rPr>
      </w:pPr>
      <w:r w:rsidRPr="005F43C5">
        <w:rPr>
          <w:rFonts w:cs="Times New Roman"/>
        </w:rPr>
        <w:t>Section 218 is child protection legislation.  It targets three limited classes of people faced with a situation where a child under 10 is or is likely to be at risk of death or permanent injury.  A review of the provision’s language, its legislative evolution and history, the gravity of the crime and the social stigma associated with it confirm that the offence is duty-based and that penal negligence is the level of fault required to establish guilt as regards the proscribed consequences.</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Having so concluded, I hasten to point out that penal negligence involves a very real level of fault.  This is emphatically not a matter of punishing the “morally blameless”.  And while it may not reach the level of subjective fault in respect of each and every element of a particular crime, it does not punish people for acts of simple negligence.  As </w:t>
      </w:r>
      <w:proofErr w:type="spellStart"/>
      <w:r w:rsidRPr="005F43C5">
        <w:rPr>
          <w:rFonts w:cs="Times New Roman"/>
        </w:rPr>
        <w:t>Charron</w:t>
      </w:r>
      <w:proofErr w:type="spellEnd"/>
      <w:r w:rsidRPr="005F43C5">
        <w:rPr>
          <w:rFonts w:cs="Times New Roman"/>
        </w:rPr>
        <w:t xml:space="preserve"> J. observed in </w:t>
      </w:r>
      <w:r w:rsidRPr="005F43C5">
        <w:rPr>
          <w:rFonts w:cs="Times New Roman"/>
          <w:i/>
        </w:rPr>
        <w:t>Beatty</w:t>
      </w:r>
      <w:r w:rsidRPr="005F43C5">
        <w:rPr>
          <w:rFonts w:cs="Times New Roman"/>
        </w:rPr>
        <w:t xml:space="preserve">, at </w:t>
      </w:r>
      <w:proofErr w:type="spellStart"/>
      <w:r w:rsidRPr="005F43C5">
        <w:rPr>
          <w:rFonts w:cs="Times New Roman"/>
        </w:rPr>
        <w:t>para</w:t>
      </w:r>
      <w:proofErr w:type="spellEnd"/>
      <w:r w:rsidRPr="005F43C5">
        <w:rPr>
          <w:rFonts w:cs="Times New Roman"/>
        </w:rPr>
        <w:t>. 34:</w:t>
      </w:r>
    </w:p>
    <w:p w:rsidR="00A02B78" w:rsidRPr="005F43C5" w:rsidRDefault="00A02B78" w:rsidP="00A02B78">
      <w:pPr>
        <w:pStyle w:val="Citation-AltC"/>
      </w:pPr>
      <w:r w:rsidRPr="005F43C5">
        <w:t>If every departure from the civil norm is to be criminalized, regardless of the degree, we risk casting the net too widely and branding as criminals persons who are in reality not morally blameworthy.</w:t>
      </w:r>
    </w:p>
    <w:p w:rsidR="00A02B78" w:rsidRPr="005F43C5" w:rsidRDefault="00A02B78" w:rsidP="00A02B78">
      <w:pPr>
        <w:pStyle w:val="ContinueParaSuitedupar-AltP"/>
        <w:rPr>
          <w:rFonts w:cs="Times New Roman"/>
        </w:rPr>
      </w:pPr>
      <w:r w:rsidRPr="005F43C5">
        <w:rPr>
          <w:rFonts w:cs="Times New Roman"/>
        </w:rPr>
        <w:lastRenderedPageBreak/>
        <w:t xml:space="preserve">For that reason, an objective test “requires proof of a </w:t>
      </w:r>
      <w:r w:rsidRPr="005F43C5">
        <w:rPr>
          <w:rFonts w:cs="Times New Roman"/>
          <w:i/>
          <w:iCs/>
        </w:rPr>
        <w:t>marked departure</w:t>
      </w:r>
      <w:r w:rsidRPr="005F43C5">
        <w:rPr>
          <w:rFonts w:cs="Times New Roman"/>
        </w:rPr>
        <w:t xml:space="preserve"> from the standard of care that a reasonable person would observe in all the circumstances”</w:t>
      </w:r>
      <w:r w:rsidR="00BD1580">
        <w:rPr>
          <w:rFonts w:cs="Times New Roman"/>
        </w:rPr>
        <w:t xml:space="preserve">: </w:t>
      </w:r>
      <w:proofErr w:type="gramStart"/>
      <w:r w:rsidRPr="005F43C5">
        <w:rPr>
          <w:rFonts w:cs="Times New Roman"/>
          <w:i/>
        </w:rPr>
        <w:t>ibid.</w:t>
      </w:r>
      <w:r w:rsidRPr="005F43C5">
        <w:rPr>
          <w:rFonts w:cs="Times New Roman"/>
        </w:rPr>
        <w:t>,</w:t>
      </w:r>
      <w:proofErr w:type="gramEnd"/>
      <w:r w:rsidRPr="005F43C5">
        <w:rPr>
          <w:rFonts w:cs="Times New Roman"/>
        </w:rPr>
        <w:t xml:space="preserve"> at </w:t>
      </w:r>
      <w:proofErr w:type="spellStart"/>
      <w:r w:rsidRPr="005F43C5">
        <w:rPr>
          <w:rFonts w:cs="Times New Roman"/>
        </w:rPr>
        <w:t>para</w:t>
      </w:r>
      <w:proofErr w:type="spellEnd"/>
      <w:r w:rsidRPr="005F43C5">
        <w:rPr>
          <w:rFonts w:cs="Times New Roman"/>
        </w:rPr>
        <w:t xml:space="preserve">. </w:t>
      </w:r>
      <w:proofErr w:type="gramStart"/>
      <w:r w:rsidRPr="005F43C5">
        <w:rPr>
          <w:rFonts w:cs="Times New Roman"/>
        </w:rPr>
        <w:t>36 (emphasis in original).</w:t>
      </w:r>
      <w:proofErr w:type="gramEnd"/>
      <w:r w:rsidRPr="005F43C5">
        <w:rPr>
          <w:rFonts w:cs="Times New Roman"/>
        </w:rPr>
        <w:t xml:space="preserve">  </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Nor does an objective standard punish those who act under an honest but mistaken belief that their conduct is not dangerous in the circumstances — so long as the belief is reasonably held.  Justice </w:t>
      </w:r>
      <w:proofErr w:type="spellStart"/>
      <w:r w:rsidRPr="005F43C5">
        <w:rPr>
          <w:rFonts w:cs="Times New Roman"/>
        </w:rPr>
        <w:t>Charron</w:t>
      </w:r>
      <w:proofErr w:type="spellEnd"/>
      <w:r w:rsidRPr="005F43C5">
        <w:rPr>
          <w:rFonts w:cs="Times New Roman"/>
        </w:rPr>
        <w:t xml:space="preserve"> put the matter succinctly in </w:t>
      </w:r>
      <w:r w:rsidRPr="005F43C5">
        <w:rPr>
          <w:rFonts w:cs="Times New Roman"/>
          <w:i/>
        </w:rPr>
        <w:t>Beatty</w:t>
      </w:r>
      <w:r w:rsidRPr="005F43C5">
        <w:rPr>
          <w:rFonts w:cs="Times New Roman"/>
        </w:rPr>
        <w:t xml:space="preserve">, at </w:t>
      </w:r>
      <w:proofErr w:type="spellStart"/>
      <w:r w:rsidRPr="005F43C5">
        <w:rPr>
          <w:rFonts w:cs="Times New Roman"/>
        </w:rPr>
        <w:t>paras</w:t>
      </w:r>
      <w:proofErr w:type="spellEnd"/>
      <w:r w:rsidRPr="005F43C5">
        <w:rPr>
          <w:rFonts w:cs="Times New Roman"/>
        </w:rPr>
        <w:t>. 37-38:</w:t>
      </w:r>
    </w:p>
    <w:p w:rsidR="00A02B78" w:rsidRPr="005F43C5" w:rsidRDefault="00A02B78" w:rsidP="00A02B78">
      <w:pPr>
        <w:pStyle w:val="Citation-AltC"/>
      </w:pPr>
      <w:r w:rsidRPr="005F43C5">
        <w:t xml:space="preserve">However, because the </w:t>
      </w:r>
      <w:proofErr w:type="spellStart"/>
      <w:r w:rsidRPr="005F43C5">
        <w:t>accused’s</w:t>
      </w:r>
      <w:proofErr w:type="spellEnd"/>
      <w:r w:rsidRPr="005F43C5">
        <w:t xml:space="preserve"> mental state is relevant in a criminal setting, the objective test must be modified to give the accused the benefit of any reasonable doubt about whether the reasonable person would have appreciated the risk or could and would have done something to avoid creating the danger. . . . </w:t>
      </w:r>
    </w:p>
    <w:p w:rsidR="00A02B78" w:rsidRPr="005F43C5" w:rsidRDefault="00A02B78" w:rsidP="00A02B78">
      <w:pPr>
        <w:pStyle w:val="Citation-AltC"/>
        <w:ind w:firstLine="454"/>
      </w:pPr>
    </w:p>
    <w:p w:rsidR="00A02B78" w:rsidRPr="005F43C5" w:rsidRDefault="00A02B78" w:rsidP="00A02B78">
      <w:pPr>
        <w:pStyle w:val="Citation-AltC"/>
        <w:ind w:firstLine="274"/>
      </w:pPr>
      <w:r w:rsidRPr="005F43C5">
        <w:t xml:space="preserve">. . . In the same vein, a reasonably held mistake of fact may provide a complete defence if, based on the </w:t>
      </w:r>
      <w:proofErr w:type="spellStart"/>
      <w:r w:rsidRPr="005F43C5">
        <w:t>accused’s</w:t>
      </w:r>
      <w:proofErr w:type="spellEnd"/>
      <w:r w:rsidRPr="005F43C5">
        <w:t xml:space="preserve"> reasonable perception of the facts, the conduct measured up to the requisite standard of care.</w:t>
      </w:r>
    </w:p>
    <w:p w:rsidR="00A02B78" w:rsidRPr="005F43C5" w:rsidRDefault="00A02B78" w:rsidP="00A02B78">
      <w:pPr>
        <w:pStyle w:val="ParaNoNdepar-AltN"/>
        <w:tabs>
          <w:tab w:val="clear" w:pos="1166"/>
          <w:tab w:val="num" w:pos="1152"/>
        </w:tabs>
        <w:rPr>
          <w:rFonts w:cs="Times New Roman"/>
        </w:rPr>
      </w:pPr>
      <w:r w:rsidRPr="005F43C5">
        <w:rPr>
          <w:rFonts w:cs="Times New Roman"/>
        </w:rPr>
        <w:t>What the test does not do is take into account the personal attributes of the accused, short of incapacity to appreciate the risk.  Nor will it allow people who are drunk or high on drugs to escape liability on the basis that they were not capable of foreseeing, or did not foresee, the likely consequences of their actions.  That, with respect, is how it should be.  And the circumstances of this case serve to exemplify how the penal negligence standard works to spare the morally blameless from criminal liability.</w:t>
      </w:r>
    </w:p>
    <w:p w:rsidR="00A02B78" w:rsidRPr="005F43C5" w:rsidRDefault="00577B32" w:rsidP="00577B32">
      <w:pPr>
        <w:pStyle w:val="TitleTitre-AltT"/>
        <w:tabs>
          <w:tab w:val="clear" w:pos="360"/>
          <w:tab w:val="left" w:pos="540"/>
        </w:tabs>
        <w:ind w:left="540" w:hanging="540"/>
        <w:rPr>
          <w:rFonts w:cs="Times New Roman"/>
          <w:u w:val="single"/>
        </w:rPr>
      </w:pPr>
      <w:r>
        <w:rPr>
          <w:rFonts w:cs="Times New Roman"/>
        </w:rPr>
        <w:t>III.</w:t>
      </w:r>
      <w:r>
        <w:rPr>
          <w:rFonts w:cs="Times New Roman"/>
        </w:rPr>
        <w:tab/>
      </w:r>
      <w:r w:rsidR="00A02B78" w:rsidRPr="005F43C5">
        <w:rPr>
          <w:rFonts w:cs="Times New Roman"/>
          <w:u w:val="single"/>
        </w:rPr>
        <w:t xml:space="preserve">Application to the Facts </w:t>
      </w:r>
    </w:p>
    <w:p w:rsidR="00A02B78" w:rsidRPr="005F43C5" w:rsidRDefault="00A02B78" w:rsidP="00A02B78">
      <w:pPr>
        <w:pStyle w:val="ParaNoNdepar-AltN"/>
        <w:tabs>
          <w:tab w:val="clear" w:pos="1166"/>
          <w:tab w:val="num" w:pos="1152"/>
        </w:tabs>
        <w:rPr>
          <w:rFonts w:cs="Times New Roman"/>
        </w:rPr>
      </w:pPr>
      <w:r w:rsidRPr="005F43C5">
        <w:rPr>
          <w:rFonts w:cs="Times New Roman"/>
        </w:rPr>
        <w:lastRenderedPageBreak/>
        <w:t>The trial judge found that the respondent, A.D.H., honestly believed that her child was dead at birth.  In so concluding, he accepted that the birth was precipitous and the baby was born premature.  He also accepted that A.D.H. was confused and frightened at the time and that the baby, after birth, was blue and motionless.  The trial judge found objective support for A.D.H.’s belief in the evidence of Dr. Simpson and that of various bystanders who likewise believed the child was dead (2009 SKQB 261, 335 Sask. R. 173).</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Based on the trial judge’s findings of fact, </w:t>
      </w:r>
      <w:proofErr w:type="spellStart"/>
      <w:r w:rsidRPr="005F43C5">
        <w:rPr>
          <w:rFonts w:cs="Times New Roman"/>
        </w:rPr>
        <w:t>Ottenbreit</w:t>
      </w:r>
      <w:proofErr w:type="spellEnd"/>
      <w:r w:rsidRPr="005F43C5">
        <w:rPr>
          <w:rFonts w:cs="Times New Roman"/>
        </w:rPr>
        <w:t xml:space="preserve"> J.A. concluded that A.D.H. was entitled to be acquitted.  In his view, her belief that the child was dead at birth “was not only honestly held but reasonable in the context of the situation” (2011 SKCA 6, 366 Sask. R. 123, at </w:t>
      </w:r>
      <w:proofErr w:type="spellStart"/>
      <w:r w:rsidRPr="005F43C5">
        <w:rPr>
          <w:rFonts w:cs="Times New Roman"/>
        </w:rPr>
        <w:t>para</w:t>
      </w:r>
      <w:proofErr w:type="spellEnd"/>
      <w:r w:rsidRPr="005F43C5">
        <w:rPr>
          <w:rFonts w:cs="Times New Roman"/>
        </w:rPr>
        <w:t>. 38).  I agree.</w:t>
      </w:r>
    </w:p>
    <w:p w:rsidR="00A02B78" w:rsidRPr="005F43C5" w:rsidRDefault="00A02B78" w:rsidP="00A02B78">
      <w:pPr>
        <w:pStyle w:val="ParaNoNdepar-AltN"/>
        <w:tabs>
          <w:tab w:val="clear" w:pos="1166"/>
          <w:tab w:val="num" w:pos="1152"/>
        </w:tabs>
        <w:rPr>
          <w:rFonts w:cs="Times New Roman"/>
        </w:rPr>
      </w:pPr>
      <w:r w:rsidRPr="005F43C5">
        <w:rPr>
          <w:rFonts w:cs="Times New Roman"/>
        </w:rPr>
        <w:t xml:space="preserve">In all the circumstances, A.D.H.’s conduct in abandoning her child and leaving him exposed to the risk of death or permanent injury was not morally blameworthy.  As such, she was entitled to be acquitted. </w:t>
      </w:r>
    </w:p>
    <w:p w:rsidR="00A02B78" w:rsidRPr="005F43C5" w:rsidRDefault="00A02B78" w:rsidP="00A02B78">
      <w:pPr>
        <w:pStyle w:val="ParaNoNdepar-AltN"/>
        <w:tabs>
          <w:tab w:val="clear" w:pos="1166"/>
          <w:tab w:val="num" w:pos="1152"/>
        </w:tabs>
        <w:rPr>
          <w:rFonts w:cs="Times New Roman"/>
        </w:rPr>
      </w:pPr>
      <w:r w:rsidRPr="005F43C5">
        <w:rPr>
          <w:rFonts w:cs="Times New Roman"/>
        </w:rPr>
        <w:t>Accordingly, I would dismiss the appeal.</w:t>
      </w:r>
    </w:p>
    <w:p w:rsidR="00A02B78" w:rsidRPr="00530B9E" w:rsidRDefault="00A02B78" w:rsidP="00577B32">
      <w:pPr>
        <w:pStyle w:val="ParaNoNdepar-AltN"/>
        <w:numPr>
          <w:ilvl w:val="0"/>
          <w:numId w:val="0"/>
        </w:numPr>
        <w:spacing w:before="0"/>
        <w:jc w:val="center"/>
        <w:rPr>
          <w:rFonts w:cs="Times New Roman"/>
          <w:b/>
          <w:lang w:val="fr-FR"/>
        </w:rPr>
      </w:pPr>
      <w:r w:rsidRPr="00530B9E">
        <w:rPr>
          <w:rFonts w:cs="Times New Roman"/>
          <w:b/>
          <w:lang w:val="fr-FR"/>
        </w:rPr>
        <w:t>APPENDIX</w:t>
      </w:r>
    </w:p>
    <w:p w:rsidR="00A02B78" w:rsidRPr="00530B9E" w:rsidRDefault="00A02B78" w:rsidP="00577B32">
      <w:pPr>
        <w:pStyle w:val="ParaNoNdepar-AltN"/>
        <w:numPr>
          <w:ilvl w:val="0"/>
          <w:numId w:val="0"/>
        </w:numPr>
        <w:spacing w:before="0"/>
        <w:jc w:val="left"/>
        <w:rPr>
          <w:rFonts w:cs="Times New Roman"/>
          <w:lang w:val="fr-FR"/>
        </w:rPr>
      </w:pPr>
      <w:proofErr w:type="spellStart"/>
      <w:r w:rsidRPr="00530B9E">
        <w:rPr>
          <w:rFonts w:cs="Times New Roman"/>
          <w:i/>
          <w:lang w:val="fr-FR"/>
        </w:rPr>
        <w:t>Criminal</w:t>
      </w:r>
      <w:proofErr w:type="spellEnd"/>
      <w:r w:rsidRPr="00530B9E">
        <w:rPr>
          <w:rFonts w:cs="Times New Roman"/>
          <w:i/>
          <w:lang w:val="fr-FR"/>
        </w:rPr>
        <w:t xml:space="preserve"> Code</w:t>
      </w:r>
      <w:r w:rsidRPr="00530B9E">
        <w:rPr>
          <w:rFonts w:cs="Times New Roman"/>
          <w:lang w:val="fr-FR"/>
        </w:rPr>
        <w:t>, R.S.C. 1985, c. C-46</w:t>
      </w:r>
    </w:p>
    <w:p w:rsidR="00A02B78" w:rsidRPr="004274CC" w:rsidRDefault="00A02B78" w:rsidP="00577B32">
      <w:pPr>
        <w:pStyle w:val="Citation-AltC"/>
        <w:tabs>
          <w:tab w:val="left" w:pos="1800"/>
        </w:tabs>
        <w:spacing w:after="240"/>
        <w:ind w:left="1260" w:hanging="1260"/>
      </w:pPr>
      <w:r w:rsidRPr="00530B9E">
        <w:rPr>
          <w:rStyle w:val="sectionlabel"/>
          <w:rFonts w:eastAsiaTheme="majorEastAsia"/>
          <w:b/>
          <w:lang w:val="fr-FR"/>
        </w:rPr>
        <w:tab/>
      </w:r>
      <w:r w:rsidR="00577B32">
        <w:rPr>
          <w:rStyle w:val="sectionlabel"/>
          <w:rFonts w:eastAsiaTheme="majorEastAsia"/>
          <w:b/>
          <w:lang w:val="fr-FR"/>
        </w:rPr>
        <w:tab/>
      </w:r>
      <w:r w:rsidRPr="004274CC">
        <w:rPr>
          <w:rStyle w:val="sectionlabel"/>
          <w:rFonts w:eastAsiaTheme="majorEastAsia"/>
          <w:b/>
        </w:rPr>
        <w:t>214.</w:t>
      </w:r>
      <w:r w:rsidRPr="004274CC">
        <w:t> </w:t>
      </w:r>
      <w:proofErr w:type="gramStart"/>
      <w:r w:rsidRPr="004274CC">
        <w:t>In</w:t>
      </w:r>
      <w:proofErr w:type="gramEnd"/>
      <w:r w:rsidRPr="004274CC">
        <w:t xml:space="preserve"> this Part,</w:t>
      </w:r>
    </w:p>
    <w:p w:rsidR="00A02B78" w:rsidRPr="00530B9E" w:rsidRDefault="00577B32" w:rsidP="00577B32">
      <w:pPr>
        <w:pStyle w:val="Citation-AltC"/>
        <w:tabs>
          <w:tab w:val="left" w:pos="1260"/>
        </w:tabs>
        <w:spacing w:after="240"/>
        <w:ind w:left="1260" w:hanging="1260"/>
      </w:pPr>
      <w:r>
        <w:rPr>
          <w:rStyle w:val="HTMLDefinition"/>
          <w:rFonts w:eastAsiaTheme="majorEastAsia"/>
        </w:rPr>
        <w:lastRenderedPageBreak/>
        <w:tab/>
      </w:r>
      <w:r w:rsidR="00A02B78" w:rsidRPr="00530B9E">
        <w:rPr>
          <w:rStyle w:val="HTMLDefinition"/>
          <w:rFonts w:eastAsiaTheme="majorEastAsia"/>
        </w:rPr>
        <w:t>“</w:t>
      </w:r>
      <w:proofErr w:type="gramStart"/>
      <w:r w:rsidR="00A02B78" w:rsidRPr="00530B9E">
        <w:rPr>
          <w:rStyle w:val="HTMLDefinition"/>
          <w:rFonts w:eastAsiaTheme="majorEastAsia"/>
        </w:rPr>
        <w:t>abandon</w:t>
      </w:r>
      <w:proofErr w:type="gramEnd"/>
      <w:r w:rsidR="00A02B78" w:rsidRPr="00530B9E">
        <w:rPr>
          <w:rStyle w:val="HTMLDefinition"/>
          <w:rFonts w:eastAsiaTheme="majorEastAsia"/>
        </w:rPr>
        <w:t>”</w:t>
      </w:r>
      <w:r w:rsidR="00A02B78" w:rsidRPr="00530B9E">
        <w:t xml:space="preserve"> or </w:t>
      </w:r>
      <w:r w:rsidR="00A02B78" w:rsidRPr="00530B9E">
        <w:rPr>
          <w:rStyle w:val="HTMLDefinition"/>
          <w:rFonts w:eastAsiaTheme="majorEastAsia"/>
        </w:rPr>
        <w:t>“expose”</w:t>
      </w:r>
      <w:r w:rsidR="00A02B78" w:rsidRPr="00530B9E">
        <w:t xml:space="preserve"> includes</w:t>
      </w:r>
    </w:p>
    <w:p w:rsidR="00A02B78" w:rsidRPr="00530B9E" w:rsidRDefault="00A02B78" w:rsidP="00577B32">
      <w:pPr>
        <w:pStyle w:val="Citation-AltC"/>
        <w:spacing w:after="240"/>
        <w:ind w:left="0"/>
      </w:pPr>
    </w:p>
    <w:p w:rsidR="00A02B78" w:rsidRPr="004274CC" w:rsidRDefault="00577B32" w:rsidP="00577B32">
      <w:pPr>
        <w:pStyle w:val="Citation-AltC"/>
        <w:tabs>
          <w:tab w:val="left" w:pos="1260"/>
        </w:tabs>
        <w:ind w:left="1800" w:hanging="1710"/>
      </w:pPr>
      <w:r>
        <w:tab/>
      </w:r>
      <w:r>
        <w:tab/>
      </w:r>
      <w:r w:rsidR="00A02B78" w:rsidRPr="004274CC">
        <w:t>(</w:t>
      </w:r>
      <w:r w:rsidR="00A02B78" w:rsidRPr="004274CC">
        <w:rPr>
          <w:rStyle w:val="Emphasis"/>
          <w:rFonts w:eastAsiaTheme="majorEastAsia"/>
        </w:rPr>
        <w:t>a</w:t>
      </w:r>
      <w:r w:rsidR="00A02B78" w:rsidRPr="004274CC">
        <w:t>) </w:t>
      </w:r>
      <w:proofErr w:type="gramStart"/>
      <w:r w:rsidR="00A02B78" w:rsidRPr="004274CC">
        <w:t>a</w:t>
      </w:r>
      <w:proofErr w:type="gramEnd"/>
      <w:r w:rsidR="00A02B78" w:rsidRPr="004274CC">
        <w:t xml:space="preserve"> wilful omission to take charge of a child by a person who is under a legal duty to do so, and</w:t>
      </w:r>
    </w:p>
    <w:p w:rsidR="00A02B78" w:rsidRPr="004274CC" w:rsidRDefault="00A02B78" w:rsidP="00A02B78">
      <w:pPr>
        <w:pStyle w:val="Citation-AltC"/>
        <w:ind w:left="0"/>
      </w:pPr>
    </w:p>
    <w:p w:rsidR="00A02B78" w:rsidRPr="004274CC" w:rsidRDefault="00577B32" w:rsidP="00577B32">
      <w:pPr>
        <w:pStyle w:val="Citation-AltC"/>
        <w:tabs>
          <w:tab w:val="left" w:pos="1260"/>
        </w:tabs>
        <w:ind w:left="1800" w:hanging="1710"/>
      </w:pPr>
      <w:r>
        <w:tab/>
      </w:r>
      <w:r>
        <w:tab/>
      </w:r>
      <w:r w:rsidR="00A02B78" w:rsidRPr="004274CC">
        <w:t>(</w:t>
      </w:r>
      <w:r w:rsidR="00A02B78" w:rsidRPr="004274CC">
        <w:rPr>
          <w:rStyle w:val="Emphasis"/>
          <w:rFonts w:eastAsiaTheme="majorEastAsia"/>
        </w:rPr>
        <w:t>b</w:t>
      </w:r>
      <w:r w:rsidR="00A02B78" w:rsidRPr="004274CC">
        <w:t>) </w:t>
      </w:r>
      <w:proofErr w:type="gramStart"/>
      <w:r w:rsidR="00A02B78" w:rsidRPr="004274CC">
        <w:t>dealing</w:t>
      </w:r>
      <w:proofErr w:type="gramEnd"/>
      <w:r w:rsidR="00A02B78" w:rsidRPr="004274CC">
        <w:t xml:space="preserve"> with a child in a manner that is likely to leave that child exposed to risk without protection;</w:t>
      </w:r>
    </w:p>
    <w:p w:rsidR="00A02B78" w:rsidRPr="00530B9E" w:rsidRDefault="00A02B78" w:rsidP="00A02B78">
      <w:pPr>
        <w:pStyle w:val="Citation-AltC"/>
        <w:spacing w:after="0"/>
        <w:ind w:left="0"/>
        <w:contextualSpacing w:val="0"/>
      </w:pPr>
    </w:p>
    <w:p w:rsidR="00A02B78" w:rsidRPr="00530B9E" w:rsidRDefault="00A02B78" w:rsidP="00A02B78">
      <w:pPr>
        <w:pStyle w:val="Citation-AltC"/>
        <w:spacing w:after="0"/>
        <w:ind w:left="0"/>
        <w:contextualSpacing w:val="0"/>
        <w:jc w:val="center"/>
      </w:pPr>
      <w:r w:rsidRPr="00530B9E">
        <w:t>. . .</w:t>
      </w:r>
    </w:p>
    <w:p w:rsidR="00A02B78" w:rsidRPr="00530B9E" w:rsidRDefault="00A02B78" w:rsidP="00A02B78">
      <w:pPr>
        <w:pStyle w:val="Citation-AltC"/>
        <w:spacing w:after="0"/>
        <w:ind w:left="0"/>
        <w:contextualSpacing w:val="0"/>
      </w:pPr>
    </w:p>
    <w:p w:rsidR="00A02B78" w:rsidRPr="004274CC" w:rsidRDefault="00A02B78" w:rsidP="00577B32">
      <w:pPr>
        <w:pStyle w:val="Citation-AltC"/>
        <w:tabs>
          <w:tab w:val="left" w:pos="1800"/>
        </w:tabs>
        <w:spacing w:after="240"/>
        <w:ind w:left="1267" w:hanging="1267"/>
        <w:contextualSpacing w:val="0"/>
      </w:pPr>
      <w:r w:rsidRPr="00F63487">
        <w:tab/>
      </w:r>
      <w:r w:rsidR="00577B32">
        <w:tab/>
      </w:r>
      <w:r w:rsidRPr="00003A40">
        <w:rPr>
          <w:b/>
        </w:rPr>
        <w:t>215.</w:t>
      </w:r>
      <w:r w:rsidRPr="004274CC">
        <w:t xml:space="preserve"> (1) </w:t>
      </w:r>
      <w:r>
        <w:t>[</w:t>
      </w:r>
      <w:r w:rsidRPr="00003A40">
        <w:t>Duty of persons to provide necessaries</w:t>
      </w:r>
      <w:r>
        <w:t>]</w:t>
      </w:r>
      <w:r w:rsidRPr="00003A40">
        <w:t xml:space="preserve"> </w:t>
      </w:r>
      <w:proofErr w:type="spellStart"/>
      <w:proofErr w:type="gramStart"/>
      <w:r w:rsidRPr="004274CC">
        <w:t>Every</w:t>
      </w:r>
      <w:proofErr w:type="gramEnd"/>
      <w:r w:rsidRPr="004274CC">
        <w:t xml:space="preserve"> one</w:t>
      </w:r>
      <w:proofErr w:type="spellEnd"/>
      <w:r w:rsidRPr="004274CC">
        <w:t xml:space="preserve"> is under a legal duty</w:t>
      </w:r>
    </w:p>
    <w:p w:rsidR="00A02B78" w:rsidRDefault="00577B32" w:rsidP="00577B32">
      <w:pPr>
        <w:pStyle w:val="Citation-AltC"/>
        <w:tabs>
          <w:tab w:val="left" w:pos="1260"/>
        </w:tabs>
        <w:ind w:left="1800" w:hanging="1710"/>
      </w:pPr>
      <w:r>
        <w:tab/>
      </w:r>
      <w:r>
        <w:tab/>
      </w:r>
      <w:r w:rsidR="00A02B78" w:rsidRPr="004274CC">
        <w:t>(</w:t>
      </w:r>
      <w:r w:rsidR="00A02B78" w:rsidRPr="00003A40">
        <w:rPr>
          <w:i/>
        </w:rPr>
        <w:t>a</w:t>
      </w:r>
      <w:r>
        <w:t xml:space="preserve">) </w:t>
      </w:r>
      <w:proofErr w:type="gramStart"/>
      <w:r w:rsidR="00A02B78" w:rsidRPr="004274CC">
        <w:t>as</w:t>
      </w:r>
      <w:proofErr w:type="gramEnd"/>
      <w:r w:rsidR="00A02B78" w:rsidRPr="004274CC">
        <w:t xml:space="preserve"> a parent, foster parent, guardian or head of a family, to provide necessaries of life for a child under the age of sixteen years;</w:t>
      </w:r>
    </w:p>
    <w:p w:rsidR="00A02B78" w:rsidRPr="004274CC" w:rsidRDefault="00A02B78" w:rsidP="00A02B78">
      <w:pPr>
        <w:pStyle w:val="Citation-AltC"/>
        <w:ind w:left="360"/>
      </w:pPr>
    </w:p>
    <w:p w:rsidR="00A02B78" w:rsidRDefault="00577B32" w:rsidP="00577B32">
      <w:pPr>
        <w:pStyle w:val="Citation-AltC"/>
        <w:tabs>
          <w:tab w:val="left" w:pos="1260"/>
        </w:tabs>
        <w:ind w:left="1800" w:hanging="1710"/>
      </w:pPr>
      <w:r>
        <w:tab/>
      </w:r>
      <w:r>
        <w:tab/>
      </w:r>
      <w:r w:rsidR="00A02B78" w:rsidRPr="004274CC">
        <w:t>(</w:t>
      </w:r>
      <w:r w:rsidR="00A02B78" w:rsidRPr="00003A40">
        <w:rPr>
          <w:i/>
        </w:rPr>
        <w:t>b</w:t>
      </w:r>
      <w:r>
        <w:t xml:space="preserve">) </w:t>
      </w:r>
      <w:proofErr w:type="gramStart"/>
      <w:r w:rsidR="00A02B78" w:rsidRPr="004274CC">
        <w:t>to</w:t>
      </w:r>
      <w:proofErr w:type="gramEnd"/>
      <w:r w:rsidR="00A02B78" w:rsidRPr="004274CC">
        <w:t xml:space="preserve"> provide necessaries of life to their spouse or common-law partner; and</w:t>
      </w:r>
    </w:p>
    <w:p w:rsidR="00A02B78" w:rsidRPr="004274CC" w:rsidRDefault="00A02B78" w:rsidP="00A02B78">
      <w:pPr>
        <w:pStyle w:val="Citation-AltC"/>
        <w:ind w:left="360"/>
      </w:pPr>
    </w:p>
    <w:p w:rsidR="00A02B78" w:rsidRDefault="00577B32" w:rsidP="00577B32">
      <w:pPr>
        <w:pStyle w:val="Citation-AltC"/>
        <w:tabs>
          <w:tab w:val="left" w:pos="1260"/>
        </w:tabs>
        <w:ind w:left="1800" w:hanging="1710"/>
      </w:pPr>
      <w:r>
        <w:tab/>
      </w:r>
      <w:r>
        <w:tab/>
      </w:r>
      <w:r w:rsidR="00A02B78" w:rsidRPr="004274CC">
        <w:t>(</w:t>
      </w:r>
      <w:r w:rsidR="00A02B78" w:rsidRPr="00003A40">
        <w:rPr>
          <w:i/>
        </w:rPr>
        <w:t>c</w:t>
      </w:r>
      <w:r w:rsidR="00A02B78" w:rsidRPr="004274CC">
        <w:t xml:space="preserve">) </w:t>
      </w:r>
      <w:proofErr w:type="gramStart"/>
      <w:r w:rsidR="00A02B78" w:rsidRPr="004274CC">
        <w:t>to</w:t>
      </w:r>
      <w:proofErr w:type="gramEnd"/>
      <w:r w:rsidR="00A02B78" w:rsidRPr="004274CC">
        <w:t xml:space="preserve"> provide necessaries of life to a person under his charge if that person</w:t>
      </w:r>
    </w:p>
    <w:p w:rsidR="00A02B78" w:rsidRDefault="00A02B78" w:rsidP="00A02B78">
      <w:pPr>
        <w:pStyle w:val="Citation-AltC"/>
        <w:ind w:left="360"/>
      </w:pPr>
    </w:p>
    <w:p w:rsidR="00A02B78" w:rsidRDefault="00577B32" w:rsidP="00577B32">
      <w:pPr>
        <w:pStyle w:val="Citation-AltC"/>
        <w:tabs>
          <w:tab w:val="left" w:pos="1440"/>
        </w:tabs>
        <w:ind w:left="2160" w:hanging="2160"/>
      </w:pPr>
      <w:r>
        <w:tab/>
      </w:r>
      <w:r>
        <w:tab/>
      </w:r>
      <w:r w:rsidR="00A02B78" w:rsidRPr="004274CC">
        <w:t>(</w:t>
      </w:r>
      <w:proofErr w:type="spellStart"/>
      <w:r w:rsidR="00A02B78" w:rsidRPr="004274CC">
        <w:t>i</w:t>
      </w:r>
      <w:proofErr w:type="spellEnd"/>
      <w:r w:rsidR="00A02B78" w:rsidRPr="004274CC">
        <w:t>) is unable, by reason of detention, age, illness, mental disorder or other cause, to withdraw himself from that charge, and</w:t>
      </w:r>
    </w:p>
    <w:p w:rsidR="00A02B78" w:rsidRDefault="00A02B78" w:rsidP="00577B32">
      <w:pPr>
        <w:pStyle w:val="Citation-AltC"/>
        <w:tabs>
          <w:tab w:val="left" w:pos="1260"/>
        </w:tabs>
        <w:ind w:left="2160" w:hanging="2160"/>
      </w:pPr>
    </w:p>
    <w:p w:rsidR="00A02B78" w:rsidRDefault="00577B32" w:rsidP="00577B32">
      <w:pPr>
        <w:pStyle w:val="Citation-AltC"/>
        <w:tabs>
          <w:tab w:val="left" w:pos="1440"/>
        </w:tabs>
        <w:ind w:left="2160" w:hanging="2160"/>
      </w:pPr>
      <w:r>
        <w:tab/>
      </w:r>
      <w:r>
        <w:tab/>
      </w:r>
      <w:r w:rsidR="00A02B78" w:rsidRPr="004274CC">
        <w:t>(</w:t>
      </w:r>
      <w:proofErr w:type="gramStart"/>
      <w:r w:rsidR="00A02B78" w:rsidRPr="004274CC">
        <w:t>ii</w:t>
      </w:r>
      <w:proofErr w:type="gramEnd"/>
      <w:r w:rsidR="00A02B78" w:rsidRPr="004274CC">
        <w:t>) is unable to provide himself with necessaries of life.</w:t>
      </w:r>
    </w:p>
    <w:p w:rsidR="00A02B78" w:rsidRDefault="00A02B78" w:rsidP="00A02B78">
      <w:pPr>
        <w:pStyle w:val="Citation-AltC"/>
        <w:ind w:left="720"/>
      </w:pPr>
    </w:p>
    <w:p w:rsidR="00A02B78" w:rsidRDefault="00A02B78" w:rsidP="00577B32">
      <w:pPr>
        <w:pStyle w:val="Citation-AltC"/>
        <w:tabs>
          <w:tab w:val="left" w:pos="1800"/>
        </w:tabs>
        <w:spacing w:after="240"/>
        <w:ind w:left="1267" w:hanging="1267"/>
        <w:contextualSpacing w:val="0"/>
      </w:pPr>
      <w:r>
        <w:tab/>
      </w:r>
      <w:r w:rsidR="00577B32">
        <w:tab/>
      </w:r>
      <w:r w:rsidRPr="004274CC">
        <w:t xml:space="preserve">(2) </w:t>
      </w:r>
      <w:r>
        <w:t>[</w:t>
      </w:r>
      <w:r w:rsidRPr="00003A40">
        <w:t>Offence</w:t>
      </w:r>
      <w:r>
        <w:t>]</w:t>
      </w:r>
      <w:r w:rsidRPr="00003A40">
        <w:t xml:space="preserve"> </w:t>
      </w:r>
      <w:r w:rsidRPr="004274CC">
        <w:t>Every one commits an offence who, being under a legal duty within the meaning of subsection (1), fails without lawful excuse, the proof of which lies on him, to perform that duty, if</w:t>
      </w:r>
    </w:p>
    <w:p w:rsidR="00A02B78" w:rsidRPr="004274CC" w:rsidRDefault="00A02B78" w:rsidP="00A02B78">
      <w:pPr>
        <w:pStyle w:val="Citation-AltC"/>
        <w:tabs>
          <w:tab w:val="left" w:pos="360"/>
        </w:tabs>
        <w:ind w:left="0"/>
      </w:pPr>
    </w:p>
    <w:p w:rsidR="00A02B78" w:rsidRDefault="00577B32" w:rsidP="00577B32">
      <w:pPr>
        <w:pStyle w:val="Citation-AltC"/>
        <w:tabs>
          <w:tab w:val="left" w:pos="1260"/>
        </w:tabs>
        <w:ind w:left="1800" w:hanging="1710"/>
      </w:pPr>
      <w:r>
        <w:tab/>
      </w:r>
      <w:r>
        <w:tab/>
      </w:r>
      <w:r w:rsidR="00A02B78" w:rsidRPr="004274CC">
        <w:t>(</w:t>
      </w:r>
      <w:r w:rsidR="00A02B78" w:rsidRPr="00003A40">
        <w:rPr>
          <w:i/>
        </w:rPr>
        <w:t>a</w:t>
      </w:r>
      <w:r w:rsidR="00A02B78" w:rsidRPr="004274CC">
        <w:t xml:space="preserve">) </w:t>
      </w:r>
      <w:proofErr w:type="gramStart"/>
      <w:r w:rsidR="00A02B78" w:rsidRPr="004274CC">
        <w:t>with</w:t>
      </w:r>
      <w:proofErr w:type="gramEnd"/>
      <w:r w:rsidR="00A02B78" w:rsidRPr="004274CC">
        <w:t xml:space="preserve"> respect to a duty imposed by paragraph (1)(</w:t>
      </w:r>
      <w:r w:rsidR="00A02B78" w:rsidRPr="00F63487">
        <w:rPr>
          <w:i/>
        </w:rPr>
        <w:t>a</w:t>
      </w:r>
      <w:r w:rsidR="00A02B78" w:rsidRPr="004274CC">
        <w:t>) or (</w:t>
      </w:r>
      <w:r w:rsidR="00A02B78" w:rsidRPr="00F63487">
        <w:rPr>
          <w:i/>
        </w:rPr>
        <w:t>b</w:t>
      </w:r>
      <w:r w:rsidR="00A02B78" w:rsidRPr="004274CC">
        <w:t>),</w:t>
      </w:r>
    </w:p>
    <w:p w:rsidR="00A02B78" w:rsidRDefault="00A02B78" w:rsidP="00A02B78">
      <w:pPr>
        <w:pStyle w:val="Citation-AltC"/>
        <w:ind w:left="360"/>
      </w:pPr>
    </w:p>
    <w:p w:rsidR="00A02B78" w:rsidRDefault="00577B32" w:rsidP="00577B32">
      <w:pPr>
        <w:pStyle w:val="Citation-AltC"/>
        <w:tabs>
          <w:tab w:val="left" w:pos="1440"/>
        </w:tabs>
        <w:ind w:left="2160" w:hanging="2160"/>
      </w:pPr>
      <w:r>
        <w:tab/>
      </w:r>
      <w:r>
        <w:tab/>
      </w:r>
      <w:r w:rsidR="00A02B78" w:rsidRPr="004274CC">
        <w:t>(</w:t>
      </w:r>
      <w:proofErr w:type="spellStart"/>
      <w:r w:rsidR="00A02B78" w:rsidRPr="004274CC">
        <w:t>i</w:t>
      </w:r>
      <w:proofErr w:type="spellEnd"/>
      <w:r w:rsidR="00A02B78" w:rsidRPr="004274CC">
        <w:t xml:space="preserve">) </w:t>
      </w:r>
      <w:proofErr w:type="gramStart"/>
      <w:r w:rsidR="00A02B78" w:rsidRPr="004274CC">
        <w:t>the</w:t>
      </w:r>
      <w:proofErr w:type="gramEnd"/>
      <w:r w:rsidR="00A02B78" w:rsidRPr="004274CC">
        <w:t xml:space="preserve"> person to whom the duty is owed is in destitute or necessitous circumstances, or</w:t>
      </w:r>
    </w:p>
    <w:p w:rsidR="00A02B78" w:rsidRDefault="00A02B78" w:rsidP="00A02B78">
      <w:pPr>
        <w:pStyle w:val="Citation-AltC"/>
        <w:ind w:left="720"/>
      </w:pPr>
    </w:p>
    <w:p w:rsidR="00A02B78" w:rsidRDefault="00577B32" w:rsidP="00577B32">
      <w:pPr>
        <w:pStyle w:val="Citation-AltC"/>
        <w:tabs>
          <w:tab w:val="left" w:pos="1440"/>
        </w:tabs>
        <w:ind w:left="2160" w:hanging="2160"/>
      </w:pPr>
      <w:r>
        <w:tab/>
      </w:r>
      <w:r>
        <w:tab/>
      </w:r>
      <w:r w:rsidR="00A02B78" w:rsidRPr="004274CC">
        <w:t xml:space="preserve">(ii) </w:t>
      </w:r>
      <w:proofErr w:type="gramStart"/>
      <w:r w:rsidR="00A02B78" w:rsidRPr="004274CC">
        <w:t>the</w:t>
      </w:r>
      <w:proofErr w:type="gramEnd"/>
      <w:r w:rsidR="00A02B78" w:rsidRPr="004274CC">
        <w:t xml:space="preserve"> failure to perform the duty endangers the life of the person to whom the duty is owed, or causes or is likely to cause the health of that person to be endangered permanently; or</w:t>
      </w:r>
    </w:p>
    <w:p w:rsidR="00A02B78" w:rsidRDefault="00A02B78" w:rsidP="00A02B78">
      <w:pPr>
        <w:pStyle w:val="Citation-AltC"/>
        <w:ind w:left="720"/>
      </w:pPr>
    </w:p>
    <w:p w:rsidR="00A02B78" w:rsidRDefault="00577B32" w:rsidP="00577B32">
      <w:pPr>
        <w:pStyle w:val="Citation-AltC"/>
        <w:tabs>
          <w:tab w:val="left" w:pos="1260"/>
        </w:tabs>
        <w:ind w:left="1800" w:hanging="1710"/>
      </w:pPr>
      <w:r>
        <w:tab/>
      </w:r>
      <w:r>
        <w:tab/>
      </w:r>
      <w:r w:rsidR="00A02B78" w:rsidRPr="004274CC">
        <w:t>(</w:t>
      </w:r>
      <w:r w:rsidR="00A02B78" w:rsidRPr="00F63487">
        <w:rPr>
          <w:i/>
        </w:rPr>
        <w:t>b</w:t>
      </w:r>
      <w:r w:rsidR="00A02B78" w:rsidRPr="004274CC">
        <w:t xml:space="preserve">) </w:t>
      </w:r>
      <w:proofErr w:type="gramStart"/>
      <w:r w:rsidR="00A02B78" w:rsidRPr="004274CC">
        <w:t>with</w:t>
      </w:r>
      <w:proofErr w:type="gramEnd"/>
      <w:r w:rsidR="00A02B78" w:rsidRPr="004274CC">
        <w:t xml:space="preserve"> respect to a duty imposed by paragraph (1)(</w:t>
      </w:r>
      <w:r w:rsidR="00A02B78" w:rsidRPr="00F63487">
        <w:rPr>
          <w:i/>
        </w:rPr>
        <w:t>c</w:t>
      </w:r>
      <w:r w:rsidR="00A02B78" w:rsidRPr="004274CC">
        <w:t xml:space="preserve">), the failure to perform the duty endangers the life of the person to whom the </w:t>
      </w:r>
      <w:r w:rsidR="00A02B78" w:rsidRPr="004274CC">
        <w:lastRenderedPageBreak/>
        <w:t>duty is owed or causes or is likely to cause the health of that person to be injured permanently.</w:t>
      </w:r>
    </w:p>
    <w:p w:rsidR="00A02B78" w:rsidRDefault="00A02B78" w:rsidP="00A02B78">
      <w:pPr>
        <w:pStyle w:val="Citation-AltC"/>
        <w:ind w:left="360"/>
      </w:pPr>
    </w:p>
    <w:p w:rsidR="00A02B78" w:rsidRDefault="00A02B78" w:rsidP="00577B32">
      <w:pPr>
        <w:pStyle w:val="Citation-AltC"/>
        <w:tabs>
          <w:tab w:val="left" w:pos="1800"/>
        </w:tabs>
        <w:spacing w:after="240"/>
        <w:ind w:left="1267" w:hanging="1267"/>
        <w:contextualSpacing w:val="0"/>
      </w:pPr>
      <w:r>
        <w:tab/>
      </w:r>
      <w:r w:rsidR="00577B32">
        <w:tab/>
      </w:r>
      <w:r w:rsidRPr="004274CC">
        <w:t xml:space="preserve">(3) </w:t>
      </w:r>
      <w:r>
        <w:t xml:space="preserve">[Punishment] </w:t>
      </w:r>
      <w:proofErr w:type="spellStart"/>
      <w:proofErr w:type="gramStart"/>
      <w:r w:rsidRPr="004274CC">
        <w:t>Every</w:t>
      </w:r>
      <w:proofErr w:type="gramEnd"/>
      <w:r w:rsidRPr="004274CC">
        <w:t xml:space="preserve"> one</w:t>
      </w:r>
      <w:proofErr w:type="spellEnd"/>
      <w:r w:rsidRPr="004274CC">
        <w:t xml:space="preserve"> who commits an offence under subsection (2)</w:t>
      </w:r>
    </w:p>
    <w:p w:rsidR="00A02B78" w:rsidRDefault="00577B32" w:rsidP="00577B32">
      <w:pPr>
        <w:pStyle w:val="Citation-AltC"/>
        <w:tabs>
          <w:tab w:val="left" w:pos="1260"/>
        </w:tabs>
        <w:ind w:left="1800" w:hanging="1710"/>
      </w:pPr>
      <w:r>
        <w:tab/>
      </w:r>
      <w:r>
        <w:tab/>
      </w:r>
      <w:r w:rsidR="00A02B78" w:rsidRPr="004274CC">
        <w:t>(</w:t>
      </w:r>
      <w:proofErr w:type="gramStart"/>
      <w:r w:rsidR="00A02B78" w:rsidRPr="00F63487">
        <w:rPr>
          <w:i/>
        </w:rPr>
        <w:t>a</w:t>
      </w:r>
      <w:proofErr w:type="gramEnd"/>
      <w:r w:rsidR="00A02B78" w:rsidRPr="004274CC">
        <w:t>) is guilty of an indictable offence and liable to imprisonment for a term not exceeding five years; or</w:t>
      </w:r>
    </w:p>
    <w:p w:rsidR="00A02B78" w:rsidRDefault="00A02B78" w:rsidP="00A02B78">
      <w:pPr>
        <w:pStyle w:val="Citation-AltC"/>
        <w:ind w:left="360"/>
      </w:pPr>
    </w:p>
    <w:p w:rsidR="00A02B78" w:rsidRDefault="00577B32" w:rsidP="00577B32">
      <w:pPr>
        <w:pStyle w:val="Citation-AltC"/>
        <w:tabs>
          <w:tab w:val="left" w:pos="1260"/>
        </w:tabs>
        <w:ind w:left="1800" w:hanging="1710"/>
      </w:pPr>
      <w:r>
        <w:tab/>
      </w:r>
      <w:r>
        <w:tab/>
      </w:r>
      <w:r w:rsidR="00A02B78" w:rsidRPr="004274CC">
        <w:t>(</w:t>
      </w:r>
      <w:proofErr w:type="gramStart"/>
      <w:r w:rsidR="00A02B78" w:rsidRPr="00F63487">
        <w:rPr>
          <w:i/>
        </w:rPr>
        <w:t>b</w:t>
      </w:r>
      <w:proofErr w:type="gramEnd"/>
      <w:r w:rsidR="00A02B78" w:rsidRPr="004274CC">
        <w:t>) is guilty of an offence punishable on summary conviction and liable to imprisonment for a term not exceeding eighteen months.</w:t>
      </w:r>
    </w:p>
    <w:p w:rsidR="00A02B78" w:rsidRDefault="00A02B78" w:rsidP="00A02B78">
      <w:pPr>
        <w:pStyle w:val="Citation-AltC"/>
        <w:ind w:left="360"/>
      </w:pPr>
    </w:p>
    <w:p w:rsidR="00A02B78" w:rsidRDefault="00A02B78" w:rsidP="00577B32">
      <w:pPr>
        <w:pStyle w:val="Citation-AltC"/>
        <w:tabs>
          <w:tab w:val="left" w:pos="1800"/>
        </w:tabs>
        <w:spacing w:after="240"/>
        <w:ind w:left="1267" w:hanging="1267"/>
        <w:contextualSpacing w:val="0"/>
      </w:pPr>
      <w:r>
        <w:tab/>
      </w:r>
      <w:r w:rsidR="00577B32">
        <w:tab/>
      </w:r>
      <w:r w:rsidRPr="004274CC">
        <w:t xml:space="preserve">(4) </w:t>
      </w:r>
      <w:r>
        <w:t xml:space="preserve">[Presumptions] </w:t>
      </w:r>
      <w:r w:rsidRPr="004274CC">
        <w:t>For the purpose of proceedings under this section,</w:t>
      </w:r>
    </w:p>
    <w:p w:rsidR="00A02B78" w:rsidRDefault="00577B32" w:rsidP="00577B32">
      <w:pPr>
        <w:pStyle w:val="Citation-AltC"/>
        <w:tabs>
          <w:tab w:val="left" w:pos="1260"/>
        </w:tabs>
        <w:ind w:left="1800" w:hanging="1710"/>
      </w:pPr>
      <w:r>
        <w:tab/>
      </w:r>
      <w:r>
        <w:tab/>
      </w:r>
      <w:r w:rsidR="00A02B78" w:rsidRPr="004274CC">
        <w:t>(</w:t>
      </w:r>
      <w:r w:rsidR="00A02B78" w:rsidRPr="007C1851">
        <w:rPr>
          <w:i/>
        </w:rPr>
        <w:t>a</w:t>
      </w:r>
      <w:r w:rsidR="00A02B78" w:rsidRPr="004274CC">
        <w:t>) [Repealed, 2000, c. 12, s. 93]</w:t>
      </w:r>
    </w:p>
    <w:p w:rsidR="00A02B78" w:rsidRDefault="00A02B78" w:rsidP="00A02B78">
      <w:pPr>
        <w:pStyle w:val="Citation-AltC"/>
        <w:tabs>
          <w:tab w:val="left" w:pos="360"/>
        </w:tabs>
        <w:ind w:left="360"/>
      </w:pPr>
    </w:p>
    <w:p w:rsidR="00A02B78" w:rsidRDefault="00577B32" w:rsidP="00577B32">
      <w:pPr>
        <w:pStyle w:val="Citation-AltC"/>
        <w:tabs>
          <w:tab w:val="left" w:pos="1260"/>
        </w:tabs>
        <w:ind w:left="1800" w:hanging="1710"/>
      </w:pPr>
      <w:r>
        <w:tab/>
      </w:r>
      <w:r>
        <w:tab/>
      </w:r>
      <w:r w:rsidR="00A02B78" w:rsidRPr="004274CC">
        <w:t>(</w:t>
      </w:r>
      <w:r w:rsidR="00A02B78" w:rsidRPr="007C1851">
        <w:rPr>
          <w:i/>
        </w:rPr>
        <w:t>b</w:t>
      </w:r>
      <w:r w:rsidR="00A02B78" w:rsidRPr="004274CC">
        <w:t>) evidence that a person has in any way recognized a child as being his child is, in the absence of any evidence to the contrary, proof that the child is his child;</w:t>
      </w:r>
    </w:p>
    <w:p w:rsidR="00A02B78" w:rsidRDefault="00A02B78" w:rsidP="00A02B78">
      <w:pPr>
        <w:pStyle w:val="Citation-AltC"/>
        <w:tabs>
          <w:tab w:val="left" w:pos="360"/>
        </w:tabs>
        <w:ind w:left="360"/>
      </w:pPr>
    </w:p>
    <w:p w:rsidR="00A02B78" w:rsidRDefault="00577B32" w:rsidP="00577B32">
      <w:pPr>
        <w:pStyle w:val="Citation-AltC"/>
        <w:tabs>
          <w:tab w:val="left" w:pos="1260"/>
        </w:tabs>
        <w:ind w:left="1800" w:hanging="1710"/>
      </w:pPr>
      <w:r>
        <w:tab/>
      </w:r>
      <w:r>
        <w:tab/>
      </w:r>
      <w:r w:rsidR="00A02B78" w:rsidRPr="004274CC">
        <w:t>(</w:t>
      </w:r>
      <w:r w:rsidR="00A02B78" w:rsidRPr="007C1851">
        <w:rPr>
          <w:i/>
        </w:rPr>
        <w:t>c</w:t>
      </w:r>
      <w:r w:rsidR="00A02B78" w:rsidRPr="004274CC">
        <w:t>) evidence that a person has failed for a period of one month to make provision for the maintenance of any child of theirs under the age of sixteen years is, in the absence of any evidence to the contrary, proof that the person has failed without lawful excuse to provide necessaries of life for the child; and</w:t>
      </w:r>
    </w:p>
    <w:p w:rsidR="00A02B78" w:rsidRDefault="00A02B78" w:rsidP="00A02B78">
      <w:pPr>
        <w:pStyle w:val="Citation-AltC"/>
        <w:tabs>
          <w:tab w:val="left" w:pos="360"/>
        </w:tabs>
        <w:ind w:left="360"/>
      </w:pPr>
    </w:p>
    <w:p w:rsidR="00A02B78" w:rsidRDefault="00577B32" w:rsidP="00577B32">
      <w:pPr>
        <w:pStyle w:val="Citation-AltC"/>
        <w:tabs>
          <w:tab w:val="left" w:pos="1260"/>
        </w:tabs>
        <w:ind w:left="1800" w:hanging="1710"/>
      </w:pPr>
      <w:r>
        <w:tab/>
      </w:r>
      <w:r>
        <w:tab/>
      </w:r>
      <w:r w:rsidR="00A02B78" w:rsidRPr="004274CC">
        <w:t>(</w:t>
      </w:r>
      <w:r w:rsidR="00A02B78" w:rsidRPr="007C1851">
        <w:rPr>
          <w:i/>
        </w:rPr>
        <w:t>d</w:t>
      </w:r>
      <w:r w:rsidR="00A02B78" w:rsidRPr="004274CC">
        <w:t xml:space="preserve">) </w:t>
      </w:r>
      <w:proofErr w:type="gramStart"/>
      <w:r w:rsidR="00A02B78" w:rsidRPr="004274CC">
        <w:t>the</w:t>
      </w:r>
      <w:proofErr w:type="gramEnd"/>
      <w:r w:rsidR="00A02B78" w:rsidRPr="004274CC">
        <w:t xml:space="preserve"> fact that a spouse or common-law partner or child is receiving or has received necessaries of life from another person who is not under a legal duty to provide them is not a defence.</w:t>
      </w:r>
    </w:p>
    <w:p w:rsidR="00A02B78" w:rsidRPr="00530B9E" w:rsidRDefault="00A02B78" w:rsidP="00A02B78">
      <w:pPr>
        <w:pStyle w:val="Citation-AltC"/>
        <w:spacing w:after="0"/>
        <w:ind w:left="0"/>
        <w:contextualSpacing w:val="0"/>
      </w:pPr>
    </w:p>
    <w:p w:rsidR="00A02B78" w:rsidRPr="00530B9E" w:rsidRDefault="00A02B78" w:rsidP="00A02B78">
      <w:pPr>
        <w:pStyle w:val="Citation-AltC"/>
        <w:spacing w:after="0"/>
        <w:ind w:left="0"/>
        <w:contextualSpacing w:val="0"/>
        <w:jc w:val="center"/>
      </w:pPr>
      <w:r w:rsidRPr="00530B9E">
        <w:t>. . .</w:t>
      </w:r>
    </w:p>
    <w:p w:rsidR="00A02B78" w:rsidRPr="00530B9E" w:rsidRDefault="00A02B78" w:rsidP="00A02B78">
      <w:pPr>
        <w:pStyle w:val="Citation-AltC"/>
        <w:spacing w:after="0"/>
        <w:ind w:left="0"/>
        <w:contextualSpacing w:val="0"/>
      </w:pPr>
    </w:p>
    <w:p w:rsidR="00A02B78" w:rsidRDefault="00577B32" w:rsidP="00577B32">
      <w:pPr>
        <w:pStyle w:val="Citation-AltC"/>
        <w:tabs>
          <w:tab w:val="left" w:pos="1800"/>
        </w:tabs>
        <w:spacing w:after="240"/>
        <w:ind w:left="1267" w:hanging="1267"/>
        <w:contextualSpacing w:val="0"/>
      </w:pPr>
      <w:r>
        <w:rPr>
          <w:rStyle w:val="canliisection"/>
          <w:rFonts w:eastAsiaTheme="majorEastAsia"/>
          <w:b/>
          <w:bCs/>
        </w:rPr>
        <w:tab/>
      </w:r>
      <w:r w:rsidR="00A02B78">
        <w:rPr>
          <w:rStyle w:val="canliisection"/>
          <w:rFonts w:eastAsiaTheme="majorEastAsia"/>
          <w:b/>
          <w:bCs/>
        </w:rPr>
        <w:tab/>
      </w:r>
      <w:r w:rsidR="00A02B78" w:rsidRPr="004274CC">
        <w:rPr>
          <w:rStyle w:val="canliisection"/>
          <w:rFonts w:eastAsiaTheme="majorEastAsia"/>
          <w:b/>
          <w:bCs/>
        </w:rPr>
        <w:t>218.</w:t>
      </w:r>
      <w:r w:rsidR="00A02B78" w:rsidRPr="004274CC">
        <w:t> </w:t>
      </w:r>
      <w:r w:rsidR="00A02B78">
        <w:rPr>
          <w:bCs/>
        </w:rPr>
        <w:t>[</w:t>
      </w:r>
      <w:r w:rsidR="00A02B78" w:rsidRPr="00003A40">
        <w:rPr>
          <w:bCs/>
        </w:rPr>
        <w:t>Abandoning child</w:t>
      </w:r>
      <w:r w:rsidR="00A02B78">
        <w:rPr>
          <w:bCs/>
        </w:rPr>
        <w:t xml:space="preserve">] </w:t>
      </w:r>
      <w:proofErr w:type="spellStart"/>
      <w:r w:rsidR="00A02B78" w:rsidRPr="004274CC">
        <w:t>Every one</w:t>
      </w:r>
      <w:proofErr w:type="spellEnd"/>
      <w:r w:rsidR="00A02B78" w:rsidRPr="004274CC">
        <w:t xml:space="preserve"> who unlawfully abandons or exposes a child who is under the age of ten years, so that its life is or is likely to be endangered or its health is or is likely to be permanently injured,</w:t>
      </w:r>
    </w:p>
    <w:p w:rsidR="00A02B78" w:rsidRDefault="00577B32" w:rsidP="00577B32">
      <w:pPr>
        <w:pStyle w:val="Citation-AltC"/>
        <w:tabs>
          <w:tab w:val="left" w:pos="1260"/>
        </w:tabs>
        <w:ind w:left="1800" w:hanging="1710"/>
      </w:pPr>
      <w:r>
        <w:tab/>
      </w:r>
      <w:r>
        <w:tab/>
      </w:r>
      <w:r w:rsidR="00A02B78" w:rsidRPr="004274CC">
        <w:t>(</w:t>
      </w:r>
      <w:proofErr w:type="gramStart"/>
      <w:r w:rsidR="00A02B78" w:rsidRPr="004274CC">
        <w:rPr>
          <w:rStyle w:val="Emphasis"/>
          <w:rFonts w:eastAsiaTheme="majorEastAsia"/>
        </w:rPr>
        <w:t>a</w:t>
      </w:r>
      <w:proofErr w:type="gramEnd"/>
      <w:r w:rsidR="00A02B78" w:rsidRPr="004274CC">
        <w:t>) is guilty of an indictable offence and liable to imprisonment for a term not exceeding five years; or</w:t>
      </w:r>
    </w:p>
    <w:p w:rsidR="00577B32" w:rsidRDefault="00577B32" w:rsidP="00577B32">
      <w:pPr>
        <w:pStyle w:val="Citation-AltC"/>
        <w:tabs>
          <w:tab w:val="left" w:pos="1260"/>
        </w:tabs>
        <w:ind w:left="1800" w:hanging="1710"/>
      </w:pPr>
    </w:p>
    <w:p w:rsidR="00A02B78" w:rsidRDefault="00577B32" w:rsidP="00577B32">
      <w:pPr>
        <w:pStyle w:val="Citation-AltC"/>
        <w:tabs>
          <w:tab w:val="left" w:pos="1260"/>
        </w:tabs>
        <w:ind w:left="1800" w:hanging="1710"/>
      </w:pPr>
      <w:r>
        <w:tab/>
      </w:r>
      <w:r>
        <w:tab/>
      </w:r>
      <w:r w:rsidR="00A02B78" w:rsidRPr="004274CC">
        <w:t>(</w:t>
      </w:r>
      <w:proofErr w:type="gramStart"/>
      <w:r w:rsidR="00A02B78" w:rsidRPr="004274CC">
        <w:rPr>
          <w:rStyle w:val="Emphasis"/>
          <w:rFonts w:eastAsiaTheme="majorEastAsia"/>
        </w:rPr>
        <w:t>b</w:t>
      </w:r>
      <w:proofErr w:type="gramEnd"/>
      <w:r w:rsidR="00A02B78" w:rsidRPr="004274CC">
        <w:t>) is guilty of an offence punishable on summary conviction and liable to imprisonment for a term not exceeding eighteen months.</w:t>
      </w:r>
    </w:p>
    <w:p w:rsidR="00A02B78" w:rsidRPr="00530B9E" w:rsidRDefault="00A02B78" w:rsidP="00A02B78">
      <w:pPr>
        <w:jc w:val="both"/>
      </w:pPr>
    </w:p>
    <w:p w:rsidR="009B57B3" w:rsidRPr="00AF6CFE" w:rsidRDefault="00EA1465" w:rsidP="0009225F">
      <w:pPr>
        <w:pStyle w:val="SCCNormalDoubleSpacing"/>
        <w:spacing w:after="480"/>
      </w:pPr>
      <w:r w:rsidRPr="00AF6CFE">
        <w:lastRenderedPageBreak/>
        <w:tab/>
      </w:r>
      <w:r w:rsidR="00656313" w:rsidRPr="00AF6CFE">
        <w:rPr>
          <w:i/>
        </w:rPr>
        <w:t>Appeal</w:t>
      </w:r>
      <w:r w:rsidRPr="00AF6CFE">
        <w:rPr>
          <w:i/>
        </w:rPr>
        <w:t xml:space="preserve"> </w:t>
      </w:r>
      <w:r w:rsidR="0076319C" w:rsidRPr="00AF6CFE">
        <w:rPr>
          <w:i/>
        </w:rPr>
        <w:t>dismissed</w:t>
      </w:r>
      <w:r w:rsidRPr="00AF6CFE">
        <w:rPr>
          <w:i/>
        </w:rPr>
        <w:t>.</w:t>
      </w:r>
    </w:p>
    <w:p w:rsidR="00EA1465" w:rsidRPr="00AF6CFE" w:rsidRDefault="00EA1465" w:rsidP="0009225F">
      <w:pPr>
        <w:pStyle w:val="SCCLawFirm"/>
        <w:spacing w:after="480"/>
      </w:pPr>
      <w:r w:rsidRPr="00AF6CFE">
        <w:tab/>
        <w:t xml:space="preserve">Solicitor for the </w:t>
      </w:r>
      <w:r w:rsidR="0009225F" w:rsidRPr="00AF6CFE">
        <w:t>appellant:  </w:t>
      </w:r>
      <w:r w:rsidRPr="00AF6CFE">
        <w:t>Attorney General for Saskatchewan, Regina.</w:t>
      </w:r>
    </w:p>
    <w:p w:rsidR="00EA1465" w:rsidRPr="00AF6CFE" w:rsidRDefault="0009225F" w:rsidP="0009225F">
      <w:pPr>
        <w:pStyle w:val="SCCLawFirm"/>
        <w:spacing w:after="480"/>
      </w:pPr>
      <w:r w:rsidRPr="00AF6CFE">
        <w:tab/>
        <w:t>Solicitor for the respondent:  </w:t>
      </w:r>
      <w:r w:rsidR="00EA1465" w:rsidRPr="00AF6CFE">
        <w:t>Saskatchewan Legal Aid Commission, Prince Albert.</w:t>
      </w:r>
    </w:p>
    <w:p w:rsidR="00EA1465" w:rsidRPr="00AF6CFE" w:rsidRDefault="0009225F" w:rsidP="00EA1465">
      <w:pPr>
        <w:pStyle w:val="SCCLawFirm"/>
      </w:pPr>
      <w:r w:rsidRPr="00AF6CFE">
        <w:tab/>
        <w:t>Solicitor for the intervener:  </w:t>
      </w:r>
      <w:r w:rsidR="00EA1465" w:rsidRPr="00AF6CFE">
        <w:t>Attorney General of Ontario, Toronto.</w:t>
      </w:r>
    </w:p>
    <w:p w:rsidR="009B57B3" w:rsidRDefault="009B57B3" w:rsidP="0009225F">
      <w:pPr>
        <w:rPr>
          <w:b/>
        </w:rPr>
      </w:pPr>
    </w:p>
    <w:p w:rsidR="00A02B78" w:rsidRPr="002E5850" w:rsidRDefault="00A02B78" w:rsidP="0009225F">
      <w:pPr>
        <w:rPr>
          <w:lang w:val="en-US"/>
        </w:rPr>
      </w:pPr>
    </w:p>
    <w:sectPr w:rsidR="00A02B78" w:rsidRPr="002E5850" w:rsidSect="002E5850">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579" w:rsidRDefault="00B85579">
      <w:r>
        <w:separator/>
      </w:r>
    </w:p>
  </w:endnote>
  <w:endnote w:type="continuationSeparator" w:id="0">
    <w:p w:rsidR="00B85579" w:rsidRDefault="00B855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579" w:rsidRDefault="00B85579">
      <w:r>
        <w:separator/>
      </w:r>
    </w:p>
  </w:footnote>
  <w:footnote w:type="continuationSeparator" w:id="0">
    <w:p w:rsidR="00B85579" w:rsidRDefault="00B85579">
      <w:r>
        <w:continuationSeparator/>
      </w:r>
    </w:p>
  </w:footnote>
  <w:footnote w:id="1">
    <w:p w:rsidR="00B85579" w:rsidRPr="00230CC4" w:rsidRDefault="00B85579" w:rsidP="00A02B78">
      <w:pPr>
        <w:pStyle w:val="FootnoteText"/>
        <w:jc w:val="both"/>
        <w:rPr>
          <w:lang w:val="en-US"/>
        </w:rPr>
      </w:pPr>
      <w:r w:rsidRPr="00230CC4">
        <w:rPr>
          <w:rStyle w:val="FootnoteReference"/>
        </w:rPr>
        <w:footnoteRef/>
      </w:r>
      <w:r w:rsidRPr="00230CC4">
        <w:t xml:space="preserve"> </w:t>
      </w:r>
      <w:r w:rsidRPr="00230CC4">
        <w:rPr>
          <w:lang w:val="en-US"/>
        </w:rPr>
        <w:t>For convenience, I will refer in what follows simply to</w:t>
      </w:r>
      <w:r>
        <w:rPr>
          <w:lang w:val="en-US"/>
        </w:rPr>
        <w:t xml:space="preserve"> the “</w:t>
      </w:r>
      <w:r w:rsidRPr="00230CC4">
        <w:rPr>
          <w:lang w:val="en-US"/>
        </w:rPr>
        <w:t>s</w:t>
      </w:r>
      <w:r>
        <w:rPr>
          <w:lang w:val="en-US"/>
        </w:rPr>
        <w:t>. 214</w:t>
      </w:r>
      <w:r w:rsidRPr="00230CC4">
        <w:rPr>
          <w:lang w:val="en-US"/>
        </w:rPr>
        <w:t xml:space="preserve"> </w:t>
      </w:r>
      <w:r>
        <w:rPr>
          <w:lang w:val="en-US"/>
        </w:rPr>
        <w:t>definition”.</w:t>
      </w:r>
    </w:p>
  </w:footnote>
  <w:footnote w:id="2">
    <w:p w:rsidR="00B85579" w:rsidRPr="005F43C5" w:rsidRDefault="00B85579" w:rsidP="00A02B78">
      <w:pPr>
        <w:pStyle w:val="FootnoteText"/>
        <w:jc w:val="both"/>
      </w:pPr>
      <w:r w:rsidRPr="005F43C5">
        <w:rPr>
          <w:rStyle w:val="FootnoteReference"/>
        </w:rPr>
        <w:footnoteRef/>
      </w:r>
      <w:r w:rsidRPr="005F43C5">
        <w:t xml:space="preserve"> This observation is borne out by the French version of the 1892 provision in which the words “calculated to leave” are “</w:t>
      </w:r>
      <w:r w:rsidRPr="005F43C5">
        <w:rPr>
          <w:i/>
        </w:rPr>
        <w:t xml:space="preserve">de nature à . . . </w:t>
      </w:r>
      <w:proofErr w:type="spellStart"/>
      <w:r w:rsidRPr="005F43C5">
        <w:rPr>
          <w:i/>
        </w:rPr>
        <w:t>laisser</w:t>
      </w:r>
      <w:proofErr w:type="spellEnd"/>
      <w:r w:rsidRPr="005F43C5">
        <w:t>”.</w:t>
      </w:r>
    </w:p>
  </w:footnote>
  <w:footnote w:id="3">
    <w:p w:rsidR="00B85579" w:rsidRPr="004F350B" w:rsidRDefault="00B85579" w:rsidP="00A02B78">
      <w:pPr>
        <w:pStyle w:val="FootnoteText"/>
        <w:jc w:val="both"/>
        <w:rPr>
          <w:lang w:val="en-US"/>
        </w:rPr>
      </w:pPr>
      <w:r>
        <w:rPr>
          <w:rStyle w:val="FootnoteReference"/>
        </w:rPr>
        <w:footnoteRef/>
      </w:r>
      <w:r>
        <w:t xml:space="preserve"> </w:t>
      </w:r>
      <w:r w:rsidRPr="004F350B">
        <w:rPr>
          <w:i/>
        </w:rPr>
        <w:t xml:space="preserve">An Act to </w:t>
      </w:r>
      <w:r>
        <w:rPr>
          <w:i/>
        </w:rPr>
        <w:t>a</w:t>
      </w:r>
      <w:r w:rsidRPr="004F350B">
        <w:rPr>
          <w:i/>
        </w:rPr>
        <w:t>mend the Criminal Code (</w:t>
      </w:r>
      <w:r>
        <w:rPr>
          <w:i/>
        </w:rPr>
        <w:t>p</w:t>
      </w:r>
      <w:r w:rsidRPr="004F350B">
        <w:rPr>
          <w:i/>
        </w:rPr>
        <w:t xml:space="preserve">rotection of </w:t>
      </w:r>
      <w:r>
        <w:rPr>
          <w:i/>
        </w:rPr>
        <w:t>c</w:t>
      </w:r>
      <w:r w:rsidRPr="004F350B">
        <w:rPr>
          <w:i/>
        </w:rPr>
        <w:t xml:space="preserve">hildren and </w:t>
      </w:r>
      <w:r>
        <w:rPr>
          <w:i/>
        </w:rPr>
        <w:t>o</w:t>
      </w:r>
      <w:r w:rsidRPr="004F350B">
        <w:rPr>
          <w:i/>
        </w:rPr>
        <w:t xml:space="preserve">ther </w:t>
      </w:r>
      <w:r>
        <w:rPr>
          <w:i/>
        </w:rPr>
        <w:t>v</w:t>
      </w:r>
      <w:r w:rsidRPr="004F350B">
        <w:rPr>
          <w:i/>
        </w:rPr>
        <w:t xml:space="preserve">ulnerable </w:t>
      </w:r>
      <w:r>
        <w:rPr>
          <w:i/>
        </w:rPr>
        <w:t>p</w:t>
      </w:r>
      <w:r w:rsidRPr="004F350B">
        <w:rPr>
          <w:i/>
        </w:rPr>
        <w:t>ersons) and the Canada Evidence Act</w:t>
      </w:r>
      <w:r>
        <w:t xml:space="preserve">, </w:t>
      </w:r>
      <w:r w:rsidRPr="004F350B">
        <w:t>S</w:t>
      </w:r>
      <w:r>
        <w:t>.</w:t>
      </w:r>
      <w:r w:rsidRPr="004F350B">
        <w:t>C</w:t>
      </w:r>
      <w:r w:rsidRPr="00EB7EE5">
        <w:t>.</w:t>
      </w:r>
      <w:r w:rsidRPr="004F350B">
        <w:t xml:space="preserve"> 2005, c</w:t>
      </w:r>
      <w:r>
        <w:t>.</w:t>
      </w:r>
      <w:r w:rsidRPr="004F350B">
        <w:t xml:space="preserve"> 32,</w:t>
      </w:r>
      <w:r>
        <w:t xml:space="preserve"> ss. 11 and 12,</w:t>
      </w:r>
      <w:r w:rsidRPr="004F350B">
        <w:t xml:space="preserve"> had the effect of harmonizing the available sentences under ss. 215 and 218.</w:t>
      </w:r>
    </w:p>
  </w:footnote>
  <w:footnote w:id="4">
    <w:p w:rsidR="00B85579" w:rsidRPr="00A9660F" w:rsidRDefault="00B85579" w:rsidP="00A02B78">
      <w:pPr>
        <w:pStyle w:val="FootnoteText"/>
        <w:jc w:val="both"/>
        <w:rPr>
          <w:lang w:val="en-US"/>
        </w:rPr>
      </w:pPr>
      <w:r w:rsidRPr="00EB7EE5">
        <w:rPr>
          <w:rStyle w:val="FootnoteReference"/>
        </w:rPr>
        <w:footnoteRef/>
      </w:r>
      <w:r>
        <w:t xml:space="preserve"> </w:t>
      </w:r>
      <w:proofErr w:type="gramStart"/>
      <w:r w:rsidRPr="00EB7EE5">
        <w:t xml:space="preserve">More than three decades ago, </w:t>
      </w:r>
      <w:r>
        <w:t xml:space="preserve">dissenting </w:t>
      </w:r>
      <w:r w:rsidRPr="00EB7EE5">
        <w:t xml:space="preserve">in </w:t>
      </w:r>
      <w:r w:rsidRPr="00EB7EE5">
        <w:rPr>
          <w:i/>
        </w:rPr>
        <w:t>Leary</w:t>
      </w:r>
      <w:r>
        <w:rPr>
          <w:i/>
        </w:rPr>
        <w:t xml:space="preserve"> v.</w:t>
      </w:r>
      <w:proofErr w:type="gramEnd"/>
      <w:r>
        <w:rPr>
          <w:i/>
        </w:rPr>
        <w:t xml:space="preserve"> The Queen</w:t>
      </w:r>
      <w:r w:rsidRPr="00EB7EE5">
        <w:t xml:space="preserve">, [1978] 1 S.C.R. 29, Dickson J. (as he then was) recognized that the specific-general intent dichotomy has bewildered the bench and bar ever since it was brought to our shores by this Court’s decision in </w:t>
      </w:r>
      <w:r w:rsidRPr="00EB7EE5">
        <w:rPr>
          <w:i/>
        </w:rPr>
        <w:t>R. v. George</w:t>
      </w:r>
      <w:r w:rsidRPr="00EB7EE5">
        <w:t>, [1960] S.C.R. 871.  The difficulty, as Dickson J. put it, was that “there are not, and have never been, any legally adequate criteria for distinguishing the one gro</w:t>
      </w:r>
      <w:r>
        <w:t>up of crimes from the other” (</w:t>
      </w:r>
      <w:r w:rsidRPr="00EB7EE5">
        <w:t xml:space="preserve">p. 40).  In comments that I believe align well with </w:t>
      </w:r>
      <w:r w:rsidRPr="00EB7EE5">
        <w:rPr>
          <w:i/>
        </w:rPr>
        <w:t>Hinchey</w:t>
      </w:r>
      <w:r w:rsidRPr="00EB7EE5">
        <w:t>, Dickson J. counseled moving beyond labels that are “neither meaningful nor intelligible” to an analysis of the actual “mental element[s] which must b</w:t>
      </w:r>
      <w:r>
        <w:t>e established by the Crown” (</w:t>
      </w:r>
      <w:r w:rsidRPr="00EB7EE5">
        <w:t>pp. 42-43).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6107"/>
      <w:docPartObj>
        <w:docPartGallery w:val="Page Numbers (Top of Page)"/>
        <w:docPartUnique/>
      </w:docPartObj>
    </w:sdtPr>
    <w:sdtContent>
      <w:p w:rsidR="00B85579" w:rsidRDefault="00B85579">
        <w:pPr>
          <w:pStyle w:val="Header"/>
          <w:jc w:val="center"/>
        </w:pPr>
        <w:r>
          <w:t xml:space="preserve">- </w:t>
        </w:r>
        <w:fldSimple w:instr=" PAGE   \* MERGEFORMAT ">
          <w:r w:rsidR="00070648">
            <w:rPr>
              <w:noProof/>
            </w:rPr>
            <w:t>2</w:t>
          </w:r>
        </w:fldSimple>
        <w:r>
          <w:t xml:space="preserve"> -</w:t>
        </w:r>
      </w:p>
    </w:sdtContent>
  </w:sdt>
  <w:p w:rsidR="00B85579" w:rsidRPr="00450352" w:rsidRDefault="00B85579"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10.8pt;height:10.8pt" o:bullet="t">
        <v:imagedata r:id="rId2" o:title="feed-icon14x14"/>
      </v:shape>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1">
    <w:nsid w:val="0394729E"/>
    <w:multiLevelType w:val="multilevel"/>
    <w:tmpl w:val="D9B6CF60"/>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605170"/>
    <w:multiLevelType w:val="multilevel"/>
    <w:tmpl w:val="FB0A30B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213A71"/>
    <w:multiLevelType w:val="hybridMultilevel"/>
    <w:tmpl w:val="330A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9E09ED"/>
    <w:multiLevelType w:val="hybridMultilevel"/>
    <w:tmpl w:val="A7D4FEA0"/>
    <w:lvl w:ilvl="0" w:tplc="0409000B">
      <w:start w:val="3"/>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036201F"/>
    <w:multiLevelType w:val="multilevel"/>
    <w:tmpl w:val="EEC466FE"/>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4A03C58"/>
    <w:multiLevelType w:val="hybridMultilevel"/>
    <w:tmpl w:val="11F2E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ABA6791"/>
    <w:multiLevelType w:val="hybridMultilevel"/>
    <w:tmpl w:val="F8FEBAE8"/>
    <w:lvl w:ilvl="0" w:tplc="DE3C20F2">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EB7F70"/>
    <w:multiLevelType w:val="hybridMultilevel"/>
    <w:tmpl w:val="F5DA437A"/>
    <w:lvl w:ilvl="0" w:tplc="9C0C1E4C">
      <w:start w:val="1"/>
      <w:numFmt w:val="decimal"/>
      <w:lvlText w:val="(%1)"/>
      <w:lvlJc w:val="left"/>
      <w:pPr>
        <w:ind w:left="2160" w:hanging="360"/>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tplc="BBD0A7F4" w:tentative="1">
      <w:start w:val="1"/>
      <w:numFmt w:val="lowerLetter"/>
      <w:lvlText w:val="%2."/>
      <w:lvlJc w:val="left"/>
      <w:pPr>
        <w:ind w:left="2880" w:hanging="360"/>
      </w:pPr>
      <w:rPr>
        <w:rFonts w:cs="Times New Roman"/>
      </w:rPr>
    </w:lvl>
    <w:lvl w:ilvl="2" w:tplc="A6D838B0">
      <w:start w:val="1"/>
      <w:numFmt w:val="lowerRoman"/>
      <w:lvlText w:val="%3."/>
      <w:lvlJc w:val="right"/>
      <w:pPr>
        <w:ind w:left="3600" w:hanging="180"/>
      </w:pPr>
      <w:rPr>
        <w:rFonts w:cs="Times New Roman"/>
      </w:rPr>
    </w:lvl>
    <w:lvl w:ilvl="3" w:tplc="37B8DBA4" w:tentative="1">
      <w:start w:val="1"/>
      <w:numFmt w:val="decimal"/>
      <w:lvlText w:val="%4."/>
      <w:lvlJc w:val="left"/>
      <w:pPr>
        <w:ind w:left="4320" w:hanging="360"/>
      </w:pPr>
      <w:rPr>
        <w:rFonts w:cs="Times New Roman"/>
      </w:rPr>
    </w:lvl>
    <w:lvl w:ilvl="4" w:tplc="E60E3C38" w:tentative="1">
      <w:start w:val="1"/>
      <w:numFmt w:val="lowerLetter"/>
      <w:lvlText w:val="%5."/>
      <w:lvlJc w:val="left"/>
      <w:pPr>
        <w:ind w:left="5040" w:hanging="360"/>
      </w:pPr>
      <w:rPr>
        <w:rFonts w:cs="Times New Roman"/>
      </w:rPr>
    </w:lvl>
    <w:lvl w:ilvl="5" w:tplc="78C4628A" w:tentative="1">
      <w:start w:val="1"/>
      <w:numFmt w:val="lowerRoman"/>
      <w:lvlText w:val="%6."/>
      <w:lvlJc w:val="right"/>
      <w:pPr>
        <w:ind w:left="5760" w:hanging="180"/>
      </w:pPr>
      <w:rPr>
        <w:rFonts w:cs="Times New Roman"/>
      </w:rPr>
    </w:lvl>
    <w:lvl w:ilvl="6" w:tplc="C7967A9A" w:tentative="1">
      <w:start w:val="1"/>
      <w:numFmt w:val="decimal"/>
      <w:lvlText w:val="%7."/>
      <w:lvlJc w:val="left"/>
      <w:pPr>
        <w:ind w:left="6480" w:hanging="360"/>
      </w:pPr>
      <w:rPr>
        <w:rFonts w:cs="Times New Roman"/>
      </w:rPr>
    </w:lvl>
    <w:lvl w:ilvl="7" w:tplc="F32A3D22" w:tentative="1">
      <w:start w:val="1"/>
      <w:numFmt w:val="lowerLetter"/>
      <w:lvlText w:val="%8."/>
      <w:lvlJc w:val="left"/>
      <w:pPr>
        <w:ind w:left="7200" w:hanging="360"/>
      </w:pPr>
      <w:rPr>
        <w:rFonts w:cs="Times New Roman"/>
      </w:rPr>
    </w:lvl>
    <w:lvl w:ilvl="8" w:tplc="BD6C91B4" w:tentative="1">
      <w:start w:val="1"/>
      <w:numFmt w:val="lowerRoman"/>
      <w:lvlText w:val="%9."/>
      <w:lvlJc w:val="right"/>
      <w:pPr>
        <w:ind w:left="7920" w:hanging="180"/>
      </w:pPr>
      <w:rPr>
        <w:rFonts w:cs="Times New Roman"/>
      </w:rPr>
    </w:lvl>
  </w:abstractNum>
  <w:abstractNum w:abstractNumId="21">
    <w:nsid w:val="2E244583"/>
    <w:multiLevelType w:val="hybridMultilevel"/>
    <w:tmpl w:val="119E18A6"/>
    <w:lvl w:ilvl="0" w:tplc="21E8132A">
      <w:start w:val="1"/>
      <w:numFmt w:val="bullet"/>
      <w:lvlText w:val=""/>
      <w:lvlJc w:val="left"/>
      <w:pPr>
        <w:ind w:left="720" w:hanging="360"/>
      </w:pPr>
      <w:rPr>
        <w:rFonts w:ascii="Symbol" w:hAnsi="Symbol" w:hint="default"/>
      </w:rPr>
    </w:lvl>
    <w:lvl w:ilvl="1" w:tplc="10090019" w:tentative="1">
      <w:start w:val="1"/>
      <w:numFmt w:val="bullet"/>
      <w:lvlText w:val="o"/>
      <w:lvlJc w:val="left"/>
      <w:pPr>
        <w:ind w:left="1440" w:hanging="360"/>
      </w:pPr>
      <w:rPr>
        <w:rFonts w:ascii="Courier New" w:hAnsi="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22">
    <w:nsid w:val="2FFA4624"/>
    <w:multiLevelType w:val="hybridMultilevel"/>
    <w:tmpl w:val="0EF4E9CE"/>
    <w:lvl w:ilvl="0" w:tplc="AEF8EEB6">
      <w:start w:val="1"/>
      <w:numFmt w:val="bullet"/>
      <w:lvlText w:val=""/>
      <w:lvlJc w:val="left"/>
      <w:pPr>
        <w:ind w:left="1440" w:hanging="360"/>
      </w:pPr>
      <w:rPr>
        <w:rFonts w:ascii="Wingdings"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3DE00AC"/>
    <w:multiLevelType w:val="multilevel"/>
    <w:tmpl w:val="0BF0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FB6A37"/>
    <w:multiLevelType w:val="multilevel"/>
    <w:tmpl w:val="461CEFC6"/>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FB300E9"/>
    <w:multiLevelType w:val="multilevel"/>
    <w:tmpl w:val="67023B4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0204249"/>
    <w:multiLevelType w:val="multilevel"/>
    <w:tmpl w:val="3F60DA2A"/>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1E60F0"/>
    <w:multiLevelType w:val="multilevel"/>
    <w:tmpl w:val="28083D4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2B748B"/>
    <w:multiLevelType w:val="multilevel"/>
    <w:tmpl w:val="9FDAF344"/>
    <w:lvl w:ilvl="0">
      <w:start w:val="1"/>
      <w:numFmt w:val="decimal"/>
      <w:lvlText w:val="[%1]"/>
      <w:lvlJc w:val="left"/>
      <w:pPr>
        <w:tabs>
          <w:tab w:val="num" w:pos="1152"/>
        </w:tabs>
      </w:pPr>
      <w:rPr>
        <w:rFonts w:ascii="Times New Roman" w:hAnsi="Times New Roman" w:cs="Times New Roman" w:hint="default"/>
        <w:i w:val="0"/>
        <w:sz w:val="24"/>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1">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2572610"/>
    <w:multiLevelType w:val="hybridMultilevel"/>
    <w:tmpl w:val="FE3860E8"/>
    <w:lvl w:ilvl="0" w:tplc="DF7ADD80">
      <w:start w:val="1"/>
      <w:numFmt w:val="bullet"/>
      <w:lvlText w:val=""/>
      <w:lvlJc w:val="left"/>
      <w:pPr>
        <w:ind w:left="720" w:hanging="360"/>
      </w:pPr>
      <w:rPr>
        <w:rFonts w:ascii="Symbol" w:hAnsi="Symbol" w:hint="default"/>
      </w:rPr>
    </w:lvl>
    <w:lvl w:ilvl="1" w:tplc="172A21FE" w:tentative="1">
      <w:start w:val="1"/>
      <w:numFmt w:val="bullet"/>
      <w:lvlText w:val="o"/>
      <w:lvlJc w:val="left"/>
      <w:pPr>
        <w:ind w:left="1440" w:hanging="360"/>
      </w:pPr>
      <w:rPr>
        <w:rFonts w:ascii="Courier New" w:hAnsi="Courier New" w:hint="default"/>
      </w:rPr>
    </w:lvl>
    <w:lvl w:ilvl="2" w:tplc="4EBAA9E6" w:tentative="1">
      <w:start w:val="1"/>
      <w:numFmt w:val="bullet"/>
      <w:lvlText w:val=""/>
      <w:lvlJc w:val="left"/>
      <w:pPr>
        <w:ind w:left="2160" w:hanging="360"/>
      </w:pPr>
      <w:rPr>
        <w:rFonts w:ascii="Wingdings" w:hAnsi="Wingdings" w:hint="default"/>
      </w:rPr>
    </w:lvl>
    <w:lvl w:ilvl="3" w:tplc="70002FC6" w:tentative="1">
      <w:start w:val="1"/>
      <w:numFmt w:val="bullet"/>
      <w:lvlText w:val=""/>
      <w:lvlJc w:val="left"/>
      <w:pPr>
        <w:ind w:left="2880" w:hanging="360"/>
      </w:pPr>
      <w:rPr>
        <w:rFonts w:ascii="Symbol" w:hAnsi="Symbol" w:hint="default"/>
      </w:rPr>
    </w:lvl>
    <w:lvl w:ilvl="4" w:tplc="12D6FC88" w:tentative="1">
      <w:start w:val="1"/>
      <w:numFmt w:val="bullet"/>
      <w:lvlText w:val="o"/>
      <w:lvlJc w:val="left"/>
      <w:pPr>
        <w:ind w:left="3600" w:hanging="360"/>
      </w:pPr>
      <w:rPr>
        <w:rFonts w:ascii="Courier New" w:hAnsi="Courier New" w:hint="default"/>
      </w:rPr>
    </w:lvl>
    <w:lvl w:ilvl="5" w:tplc="8B7C91E8" w:tentative="1">
      <w:start w:val="1"/>
      <w:numFmt w:val="bullet"/>
      <w:lvlText w:val=""/>
      <w:lvlJc w:val="left"/>
      <w:pPr>
        <w:ind w:left="4320" w:hanging="360"/>
      </w:pPr>
      <w:rPr>
        <w:rFonts w:ascii="Wingdings" w:hAnsi="Wingdings" w:hint="default"/>
      </w:rPr>
    </w:lvl>
    <w:lvl w:ilvl="6" w:tplc="E8C6B9DA" w:tentative="1">
      <w:start w:val="1"/>
      <w:numFmt w:val="bullet"/>
      <w:lvlText w:val=""/>
      <w:lvlJc w:val="left"/>
      <w:pPr>
        <w:ind w:left="5040" w:hanging="360"/>
      </w:pPr>
      <w:rPr>
        <w:rFonts w:ascii="Symbol" w:hAnsi="Symbol" w:hint="default"/>
      </w:rPr>
    </w:lvl>
    <w:lvl w:ilvl="7" w:tplc="835CE7FC" w:tentative="1">
      <w:start w:val="1"/>
      <w:numFmt w:val="bullet"/>
      <w:lvlText w:val="o"/>
      <w:lvlJc w:val="left"/>
      <w:pPr>
        <w:ind w:left="5760" w:hanging="360"/>
      </w:pPr>
      <w:rPr>
        <w:rFonts w:ascii="Courier New" w:hAnsi="Courier New" w:hint="default"/>
      </w:rPr>
    </w:lvl>
    <w:lvl w:ilvl="8" w:tplc="3BC67D1E" w:tentative="1">
      <w:start w:val="1"/>
      <w:numFmt w:val="bullet"/>
      <w:lvlText w:val=""/>
      <w:lvlJc w:val="left"/>
      <w:pPr>
        <w:ind w:left="6480" w:hanging="360"/>
      </w:pPr>
      <w:rPr>
        <w:rFonts w:ascii="Wingdings" w:hAnsi="Wingdings" w:hint="default"/>
      </w:rPr>
    </w:lvl>
  </w:abstractNum>
  <w:abstractNum w:abstractNumId="33">
    <w:nsid w:val="54283EE8"/>
    <w:multiLevelType w:val="multilevel"/>
    <w:tmpl w:val="889A1554"/>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A5536D5"/>
    <w:multiLevelType w:val="hybridMultilevel"/>
    <w:tmpl w:val="7910BDF6"/>
    <w:lvl w:ilvl="0" w:tplc="1009000F">
      <w:start w:val="1"/>
      <w:numFmt w:val="decimal"/>
      <w:lvlText w:val="%1."/>
      <w:lvlJc w:val="left"/>
      <w:pPr>
        <w:ind w:left="1886" w:hanging="360"/>
      </w:pPr>
      <w:rPr>
        <w:rFonts w:cs="Times New Roman"/>
      </w:rPr>
    </w:lvl>
    <w:lvl w:ilvl="1" w:tplc="10090019" w:tentative="1">
      <w:start w:val="1"/>
      <w:numFmt w:val="lowerLetter"/>
      <w:lvlText w:val="%2."/>
      <w:lvlJc w:val="left"/>
      <w:pPr>
        <w:ind w:left="2606" w:hanging="360"/>
      </w:pPr>
      <w:rPr>
        <w:rFonts w:cs="Times New Roman"/>
      </w:rPr>
    </w:lvl>
    <w:lvl w:ilvl="2" w:tplc="1009001B" w:tentative="1">
      <w:start w:val="1"/>
      <w:numFmt w:val="lowerRoman"/>
      <w:lvlText w:val="%3."/>
      <w:lvlJc w:val="right"/>
      <w:pPr>
        <w:ind w:left="3326" w:hanging="180"/>
      </w:pPr>
      <w:rPr>
        <w:rFonts w:cs="Times New Roman"/>
      </w:rPr>
    </w:lvl>
    <w:lvl w:ilvl="3" w:tplc="1009000F" w:tentative="1">
      <w:start w:val="1"/>
      <w:numFmt w:val="decimal"/>
      <w:lvlText w:val="%4."/>
      <w:lvlJc w:val="left"/>
      <w:pPr>
        <w:ind w:left="4046" w:hanging="360"/>
      </w:pPr>
      <w:rPr>
        <w:rFonts w:cs="Times New Roman"/>
      </w:rPr>
    </w:lvl>
    <w:lvl w:ilvl="4" w:tplc="10090019" w:tentative="1">
      <w:start w:val="1"/>
      <w:numFmt w:val="lowerLetter"/>
      <w:lvlText w:val="%5."/>
      <w:lvlJc w:val="left"/>
      <w:pPr>
        <w:ind w:left="4766" w:hanging="360"/>
      </w:pPr>
      <w:rPr>
        <w:rFonts w:cs="Times New Roman"/>
      </w:rPr>
    </w:lvl>
    <w:lvl w:ilvl="5" w:tplc="1009001B" w:tentative="1">
      <w:start w:val="1"/>
      <w:numFmt w:val="lowerRoman"/>
      <w:lvlText w:val="%6."/>
      <w:lvlJc w:val="right"/>
      <w:pPr>
        <w:ind w:left="5486" w:hanging="180"/>
      </w:pPr>
      <w:rPr>
        <w:rFonts w:cs="Times New Roman"/>
      </w:rPr>
    </w:lvl>
    <w:lvl w:ilvl="6" w:tplc="1009000F" w:tentative="1">
      <w:start w:val="1"/>
      <w:numFmt w:val="decimal"/>
      <w:lvlText w:val="%7."/>
      <w:lvlJc w:val="left"/>
      <w:pPr>
        <w:ind w:left="6206" w:hanging="360"/>
      </w:pPr>
      <w:rPr>
        <w:rFonts w:cs="Times New Roman"/>
      </w:rPr>
    </w:lvl>
    <w:lvl w:ilvl="7" w:tplc="10090019" w:tentative="1">
      <w:start w:val="1"/>
      <w:numFmt w:val="lowerLetter"/>
      <w:lvlText w:val="%8."/>
      <w:lvlJc w:val="left"/>
      <w:pPr>
        <w:ind w:left="6926" w:hanging="360"/>
      </w:pPr>
      <w:rPr>
        <w:rFonts w:cs="Times New Roman"/>
      </w:rPr>
    </w:lvl>
    <w:lvl w:ilvl="8" w:tplc="1009001B" w:tentative="1">
      <w:start w:val="1"/>
      <w:numFmt w:val="lowerRoman"/>
      <w:lvlText w:val="%9."/>
      <w:lvlJc w:val="right"/>
      <w:pPr>
        <w:ind w:left="7646" w:hanging="180"/>
      </w:pPr>
      <w:rPr>
        <w:rFonts w:cs="Times New Roman"/>
      </w:rPr>
    </w:lvl>
  </w:abstractNum>
  <w:abstractNum w:abstractNumId="35">
    <w:nsid w:val="5CD10933"/>
    <w:multiLevelType w:val="hybridMultilevel"/>
    <w:tmpl w:val="6998694A"/>
    <w:lvl w:ilvl="0" w:tplc="9E26AD3E">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570CCB"/>
    <w:multiLevelType w:val="multilevel"/>
    <w:tmpl w:val="D626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E00918"/>
    <w:multiLevelType w:val="multilevel"/>
    <w:tmpl w:val="315E5B9A"/>
    <w:lvl w:ilvl="0">
      <w:start w:val="1"/>
      <w:numFmt w:val="bullet"/>
      <w:lvlText w:val=""/>
      <w:lvlPicBulletId w:val="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5CF61F4"/>
    <w:multiLevelType w:val="multilevel"/>
    <w:tmpl w:val="461CEFC6"/>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3"/>
  </w:num>
  <w:num w:numId="2">
    <w:abstractNumId w:val="38"/>
  </w:num>
  <w:num w:numId="3">
    <w:abstractNumId w:val="17"/>
  </w:num>
  <w:num w:numId="4">
    <w:abstractNumId w:val="15"/>
  </w:num>
  <w:num w:numId="5">
    <w:abstractNumId w:val="30"/>
  </w:num>
  <w:num w:numId="6">
    <w:abstractNumId w:val="31"/>
  </w:num>
  <w:num w:numId="7">
    <w:abstractNumId w:val="10"/>
  </w:num>
  <w:num w:numId="8">
    <w:abstractNumId w:val="25"/>
  </w:num>
  <w:num w:numId="9">
    <w:abstractNumId w:val="20"/>
  </w:num>
  <w:num w:numId="10">
    <w:abstractNumId w:val="32"/>
  </w:num>
  <w:num w:numId="11">
    <w:abstractNumId w:val="21"/>
  </w:num>
  <w:num w:numId="12">
    <w:abstractNumId w:val="28"/>
  </w:num>
  <w:num w:numId="13">
    <w:abstractNumId w:val="20"/>
    <w:lvlOverride w:ilvl="0">
      <w:startOverride w:val="1"/>
    </w:lvlOverride>
  </w:num>
  <w:num w:numId="14">
    <w:abstractNumId w:val="20"/>
    <w:lvlOverride w:ilvl="0">
      <w:startOverride w:val="1"/>
    </w:lvlOverride>
  </w:num>
  <w:num w:numId="15">
    <w:abstractNumId w:val="20"/>
    <w:lvlOverride w:ilvl="0">
      <w:startOverride w:val="1"/>
    </w:lvlOverride>
  </w:num>
  <w:num w:numId="16">
    <w:abstractNumId w:val="20"/>
    <w:lvlOverride w:ilvl="0">
      <w:startOverride w:val="1"/>
    </w:lvlOverride>
  </w:num>
  <w:num w:numId="17">
    <w:abstractNumId w:val="20"/>
    <w:lvlOverride w:ilvl="0">
      <w:startOverride w:val="1"/>
    </w:lvlOverride>
  </w:num>
  <w:num w:numId="18">
    <w:abstractNumId w:val="34"/>
  </w:num>
  <w:num w:numId="19">
    <w:abstractNumId w:val="23"/>
  </w:num>
  <w:num w:numId="20">
    <w:abstractNumId w:val="36"/>
  </w:num>
  <w:num w:numId="21">
    <w:abstractNumId w:val="14"/>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13"/>
  </w:num>
  <w:num w:numId="36">
    <w:abstractNumId w:val="19"/>
  </w:num>
  <w:num w:numId="37">
    <w:abstractNumId w:val="35"/>
  </w:num>
  <w:num w:numId="38">
    <w:abstractNumId w:val="22"/>
  </w:num>
  <w:num w:numId="39">
    <w:abstractNumId w:val="27"/>
  </w:num>
  <w:num w:numId="40">
    <w:abstractNumId w:val="12"/>
  </w:num>
  <w:num w:numId="41">
    <w:abstractNumId w:val="16"/>
  </w:num>
  <w:num w:numId="42">
    <w:abstractNumId w:val="26"/>
  </w:num>
  <w:num w:numId="43">
    <w:abstractNumId w:val="39"/>
  </w:num>
  <w:num w:numId="44">
    <w:abstractNumId w:val="11"/>
  </w:num>
  <w:num w:numId="45">
    <w:abstractNumId w:val="24"/>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013D3"/>
    <w:rsid w:val="000037B8"/>
    <w:rsid w:val="000053C3"/>
    <w:rsid w:val="0000587C"/>
    <w:rsid w:val="00025198"/>
    <w:rsid w:val="000307B2"/>
    <w:rsid w:val="00042B51"/>
    <w:rsid w:val="00043F6F"/>
    <w:rsid w:val="00055551"/>
    <w:rsid w:val="00056C7F"/>
    <w:rsid w:val="000578A3"/>
    <w:rsid w:val="00062414"/>
    <w:rsid w:val="000648CC"/>
    <w:rsid w:val="00070648"/>
    <w:rsid w:val="00080AF9"/>
    <w:rsid w:val="000849C8"/>
    <w:rsid w:val="00091E9F"/>
    <w:rsid w:val="0009225F"/>
    <w:rsid w:val="000A64D2"/>
    <w:rsid w:val="000B53CA"/>
    <w:rsid w:val="000C59B8"/>
    <w:rsid w:val="000C6AF0"/>
    <w:rsid w:val="000E1F0F"/>
    <w:rsid w:val="000E48AC"/>
    <w:rsid w:val="000F2BDE"/>
    <w:rsid w:val="00102665"/>
    <w:rsid w:val="00104F33"/>
    <w:rsid w:val="00111DE2"/>
    <w:rsid w:val="00116B38"/>
    <w:rsid w:val="00135406"/>
    <w:rsid w:val="00135972"/>
    <w:rsid w:val="001426A9"/>
    <w:rsid w:val="00152197"/>
    <w:rsid w:val="00154D7C"/>
    <w:rsid w:val="001556AB"/>
    <w:rsid w:val="001570B0"/>
    <w:rsid w:val="0015752C"/>
    <w:rsid w:val="00157737"/>
    <w:rsid w:val="00165277"/>
    <w:rsid w:val="00170592"/>
    <w:rsid w:val="001711E8"/>
    <w:rsid w:val="00186351"/>
    <w:rsid w:val="00195D83"/>
    <w:rsid w:val="001A00C1"/>
    <w:rsid w:val="001A107E"/>
    <w:rsid w:val="001B1215"/>
    <w:rsid w:val="001B33E0"/>
    <w:rsid w:val="001B4573"/>
    <w:rsid w:val="001B5C93"/>
    <w:rsid w:val="001C779F"/>
    <w:rsid w:val="001D2AC1"/>
    <w:rsid w:val="001D4E88"/>
    <w:rsid w:val="001D675F"/>
    <w:rsid w:val="001E3F68"/>
    <w:rsid w:val="002016E3"/>
    <w:rsid w:val="00220FC2"/>
    <w:rsid w:val="002222F4"/>
    <w:rsid w:val="002227F0"/>
    <w:rsid w:val="00222A3B"/>
    <w:rsid w:val="00224FC0"/>
    <w:rsid w:val="00225EA4"/>
    <w:rsid w:val="00226EAF"/>
    <w:rsid w:val="00230E1D"/>
    <w:rsid w:val="00231F3A"/>
    <w:rsid w:val="00233AC5"/>
    <w:rsid w:val="00234199"/>
    <w:rsid w:val="002406EE"/>
    <w:rsid w:val="00242705"/>
    <w:rsid w:val="00243EC8"/>
    <w:rsid w:val="00244916"/>
    <w:rsid w:val="00252635"/>
    <w:rsid w:val="00270D93"/>
    <w:rsid w:val="002721EC"/>
    <w:rsid w:val="002745CC"/>
    <w:rsid w:val="00287208"/>
    <w:rsid w:val="00292230"/>
    <w:rsid w:val="00297897"/>
    <w:rsid w:val="002A6F71"/>
    <w:rsid w:val="002B1DB5"/>
    <w:rsid w:val="002B7924"/>
    <w:rsid w:val="002C5B3A"/>
    <w:rsid w:val="002D28C3"/>
    <w:rsid w:val="002D39A4"/>
    <w:rsid w:val="002E5850"/>
    <w:rsid w:val="002E6705"/>
    <w:rsid w:val="002F2CF2"/>
    <w:rsid w:val="002F5EA0"/>
    <w:rsid w:val="00300167"/>
    <w:rsid w:val="00301D08"/>
    <w:rsid w:val="0030329A"/>
    <w:rsid w:val="0030712F"/>
    <w:rsid w:val="0031086F"/>
    <w:rsid w:val="0031414C"/>
    <w:rsid w:val="00314E01"/>
    <w:rsid w:val="0032089D"/>
    <w:rsid w:val="003310DE"/>
    <w:rsid w:val="003323B0"/>
    <w:rsid w:val="00340773"/>
    <w:rsid w:val="0035169A"/>
    <w:rsid w:val="0035259D"/>
    <w:rsid w:val="0036302E"/>
    <w:rsid w:val="00364B18"/>
    <w:rsid w:val="00376651"/>
    <w:rsid w:val="00377415"/>
    <w:rsid w:val="00384706"/>
    <w:rsid w:val="00384EDD"/>
    <w:rsid w:val="003970D8"/>
    <w:rsid w:val="003A0178"/>
    <w:rsid w:val="003A125D"/>
    <w:rsid w:val="003A410A"/>
    <w:rsid w:val="003A4C70"/>
    <w:rsid w:val="003B215F"/>
    <w:rsid w:val="003C5C26"/>
    <w:rsid w:val="003C799C"/>
    <w:rsid w:val="003D0399"/>
    <w:rsid w:val="003E13BF"/>
    <w:rsid w:val="003E1C71"/>
    <w:rsid w:val="003E32E1"/>
    <w:rsid w:val="003F327B"/>
    <w:rsid w:val="003F71FB"/>
    <w:rsid w:val="00406166"/>
    <w:rsid w:val="0040704B"/>
    <w:rsid w:val="00410A55"/>
    <w:rsid w:val="00411300"/>
    <w:rsid w:val="00415417"/>
    <w:rsid w:val="00426659"/>
    <w:rsid w:val="004367B9"/>
    <w:rsid w:val="00446A77"/>
    <w:rsid w:val="00450352"/>
    <w:rsid w:val="004521E1"/>
    <w:rsid w:val="00454BDB"/>
    <w:rsid w:val="00464800"/>
    <w:rsid w:val="00465132"/>
    <w:rsid w:val="00472559"/>
    <w:rsid w:val="00480C90"/>
    <w:rsid w:val="0048396F"/>
    <w:rsid w:val="00483E63"/>
    <w:rsid w:val="00484E5E"/>
    <w:rsid w:val="004865BD"/>
    <w:rsid w:val="00493C18"/>
    <w:rsid w:val="004A600C"/>
    <w:rsid w:val="004A6118"/>
    <w:rsid w:val="004B0222"/>
    <w:rsid w:val="004B5FF5"/>
    <w:rsid w:val="004C478D"/>
    <w:rsid w:val="004E1B1B"/>
    <w:rsid w:val="004E2C26"/>
    <w:rsid w:val="004F2420"/>
    <w:rsid w:val="004F36FF"/>
    <w:rsid w:val="005125A8"/>
    <w:rsid w:val="00513DFE"/>
    <w:rsid w:val="00520E7A"/>
    <w:rsid w:val="00521AE8"/>
    <w:rsid w:val="005230F0"/>
    <w:rsid w:val="00527180"/>
    <w:rsid w:val="0054201E"/>
    <w:rsid w:val="00545FAE"/>
    <w:rsid w:val="005465AB"/>
    <w:rsid w:val="0054790C"/>
    <w:rsid w:val="00555291"/>
    <w:rsid w:val="00561290"/>
    <w:rsid w:val="00565139"/>
    <w:rsid w:val="00566AD1"/>
    <w:rsid w:val="0057129A"/>
    <w:rsid w:val="00572A34"/>
    <w:rsid w:val="00577B32"/>
    <w:rsid w:val="005804A1"/>
    <w:rsid w:val="00583EDE"/>
    <w:rsid w:val="00586811"/>
    <w:rsid w:val="0059406C"/>
    <w:rsid w:val="00595284"/>
    <w:rsid w:val="005A6079"/>
    <w:rsid w:val="005B22DB"/>
    <w:rsid w:val="005E4698"/>
    <w:rsid w:val="005E5B35"/>
    <w:rsid w:val="00610539"/>
    <w:rsid w:val="00611C3F"/>
    <w:rsid w:val="00613969"/>
    <w:rsid w:val="00625C35"/>
    <w:rsid w:val="0063607F"/>
    <w:rsid w:val="0064311A"/>
    <w:rsid w:val="00656313"/>
    <w:rsid w:val="006565F4"/>
    <w:rsid w:val="00665399"/>
    <w:rsid w:val="00684EEA"/>
    <w:rsid w:val="0069689B"/>
    <w:rsid w:val="006A1551"/>
    <w:rsid w:val="006B5FF5"/>
    <w:rsid w:val="006B7A03"/>
    <w:rsid w:val="006D0C0C"/>
    <w:rsid w:val="006E20F0"/>
    <w:rsid w:val="006F30AF"/>
    <w:rsid w:val="006F3857"/>
    <w:rsid w:val="00701759"/>
    <w:rsid w:val="00702E13"/>
    <w:rsid w:val="00705C15"/>
    <w:rsid w:val="00710278"/>
    <w:rsid w:val="0071600E"/>
    <w:rsid w:val="007208D1"/>
    <w:rsid w:val="0074427B"/>
    <w:rsid w:val="0074513F"/>
    <w:rsid w:val="00747288"/>
    <w:rsid w:val="00747DD3"/>
    <w:rsid w:val="007549C8"/>
    <w:rsid w:val="00754A0B"/>
    <w:rsid w:val="00756783"/>
    <w:rsid w:val="0076319C"/>
    <w:rsid w:val="00766D14"/>
    <w:rsid w:val="00767A0F"/>
    <w:rsid w:val="007753B1"/>
    <w:rsid w:val="00780A28"/>
    <w:rsid w:val="007A05F6"/>
    <w:rsid w:val="007B24FA"/>
    <w:rsid w:val="007B6F4A"/>
    <w:rsid w:val="007D19FB"/>
    <w:rsid w:val="007D4B37"/>
    <w:rsid w:val="007E0CC1"/>
    <w:rsid w:val="007E1C47"/>
    <w:rsid w:val="007E337A"/>
    <w:rsid w:val="007E5C70"/>
    <w:rsid w:val="007F2FF5"/>
    <w:rsid w:val="007F3F08"/>
    <w:rsid w:val="007F7EA2"/>
    <w:rsid w:val="00803353"/>
    <w:rsid w:val="00804CC6"/>
    <w:rsid w:val="00812B08"/>
    <w:rsid w:val="008138A9"/>
    <w:rsid w:val="00817190"/>
    <w:rsid w:val="00820EE5"/>
    <w:rsid w:val="00821A71"/>
    <w:rsid w:val="00821D68"/>
    <w:rsid w:val="008260E2"/>
    <w:rsid w:val="008322BD"/>
    <w:rsid w:val="00833E0A"/>
    <w:rsid w:val="00834F73"/>
    <w:rsid w:val="00850652"/>
    <w:rsid w:val="00851395"/>
    <w:rsid w:val="00853E24"/>
    <w:rsid w:val="00855470"/>
    <w:rsid w:val="00855975"/>
    <w:rsid w:val="0085672E"/>
    <w:rsid w:val="00864CF8"/>
    <w:rsid w:val="00866B22"/>
    <w:rsid w:val="00872819"/>
    <w:rsid w:val="0087300B"/>
    <w:rsid w:val="00874914"/>
    <w:rsid w:val="00875DC0"/>
    <w:rsid w:val="00891422"/>
    <w:rsid w:val="00892E1A"/>
    <w:rsid w:val="00896386"/>
    <w:rsid w:val="008A3F29"/>
    <w:rsid w:val="008B660A"/>
    <w:rsid w:val="008B6D13"/>
    <w:rsid w:val="008C01DA"/>
    <w:rsid w:val="008E08DE"/>
    <w:rsid w:val="008E6B7B"/>
    <w:rsid w:val="008E76A0"/>
    <w:rsid w:val="008F3C66"/>
    <w:rsid w:val="008F4540"/>
    <w:rsid w:val="008F5F7D"/>
    <w:rsid w:val="008F78E9"/>
    <w:rsid w:val="00906978"/>
    <w:rsid w:val="00911989"/>
    <w:rsid w:val="009179F9"/>
    <w:rsid w:val="00926C6F"/>
    <w:rsid w:val="00932093"/>
    <w:rsid w:val="00933E5E"/>
    <w:rsid w:val="00935218"/>
    <w:rsid w:val="009403F3"/>
    <w:rsid w:val="009555B7"/>
    <w:rsid w:val="00956233"/>
    <w:rsid w:val="009567AA"/>
    <w:rsid w:val="00967374"/>
    <w:rsid w:val="009A17C3"/>
    <w:rsid w:val="009A3148"/>
    <w:rsid w:val="009A343A"/>
    <w:rsid w:val="009A7C39"/>
    <w:rsid w:val="009B2F23"/>
    <w:rsid w:val="009B4C4C"/>
    <w:rsid w:val="009B57B3"/>
    <w:rsid w:val="009B7B08"/>
    <w:rsid w:val="009C3B0D"/>
    <w:rsid w:val="009C5B92"/>
    <w:rsid w:val="009D2920"/>
    <w:rsid w:val="009D5AEB"/>
    <w:rsid w:val="009E6C78"/>
    <w:rsid w:val="009F0E33"/>
    <w:rsid w:val="009F2938"/>
    <w:rsid w:val="00A02B78"/>
    <w:rsid w:val="00A030CE"/>
    <w:rsid w:val="00A1000A"/>
    <w:rsid w:val="00A149DF"/>
    <w:rsid w:val="00A16F72"/>
    <w:rsid w:val="00A1755C"/>
    <w:rsid w:val="00A21B90"/>
    <w:rsid w:val="00A234AB"/>
    <w:rsid w:val="00A26A47"/>
    <w:rsid w:val="00A30AF3"/>
    <w:rsid w:val="00A33076"/>
    <w:rsid w:val="00A41805"/>
    <w:rsid w:val="00A42DCD"/>
    <w:rsid w:val="00A51601"/>
    <w:rsid w:val="00A52AFB"/>
    <w:rsid w:val="00A548CB"/>
    <w:rsid w:val="00A5521C"/>
    <w:rsid w:val="00A5553C"/>
    <w:rsid w:val="00A573C2"/>
    <w:rsid w:val="00A604EE"/>
    <w:rsid w:val="00A643E7"/>
    <w:rsid w:val="00A67335"/>
    <w:rsid w:val="00A676DD"/>
    <w:rsid w:val="00A73C38"/>
    <w:rsid w:val="00A922A1"/>
    <w:rsid w:val="00AA3DE1"/>
    <w:rsid w:val="00AB5701"/>
    <w:rsid w:val="00AB670D"/>
    <w:rsid w:val="00AD250E"/>
    <w:rsid w:val="00AF03C5"/>
    <w:rsid w:val="00AF288E"/>
    <w:rsid w:val="00AF3512"/>
    <w:rsid w:val="00AF6CFE"/>
    <w:rsid w:val="00B000D8"/>
    <w:rsid w:val="00B00F75"/>
    <w:rsid w:val="00B14406"/>
    <w:rsid w:val="00B145B6"/>
    <w:rsid w:val="00B279EB"/>
    <w:rsid w:val="00B50C81"/>
    <w:rsid w:val="00B53F59"/>
    <w:rsid w:val="00B557F8"/>
    <w:rsid w:val="00B5583A"/>
    <w:rsid w:val="00B6045C"/>
    <w:rsid w:val="00B6746A"/>
    <w:rsid w:val="00B815FC"/>
    <w:rsid w:val="00B85579"/>
    <w:rsid w:val="00B85AF4"/>
    <w:rsid w:val="00B921E9"/>
    <w:rsid w:val="00B93FBC"/>
    <w:rsid w:val="00BA7DA0"/>
    <w:rsid w:val="00BB03AA"/>
    <w:rsid w:val="00BB2EE4"/>
    <w:rsid w:val="00BC2108"/>
    <w:rsid w:val="00BC38E6"/>
    <w:rsid w:val="00BD0A60"/>
    <w:rsid w:val="00BD0E9E"/>
    <w:rsid w:val="00BD1580"/>
    <w:rsid w:val="00BD1BEC"/>
    <w:rsid w:val="00BD32FF"/>
    <w:rsid w:val="00BD4B1A"/>
    <w:rsid w:val="00BF41D2"/>
    <w:rsid w:val="00BF7856"/>
    <w:rsid w:val="00C02092"/>
    <w:rsid w:val="00C108B1"/>
    <w:rsid w:val="00C15452"/>
    <w:rsid w:val="00C169DA"/>
    <w:rsid w:val="00C171BE"/>
    <w:rsid w:val="00C22299"/>
    <w:rsid w:val="00C24D91"/>
    <w:rsid w:val="00C30FAE"/>
    <w:rsid w:val="00C4766F"/>
    <w:rsid w:val="00C53F14"/>
    <w:rsid w:val="00C600CF"/>
    <w:rsid w:val="00C6084F"/>
    <w:rsid w:val="00C6200E"/>
    <w:rsid w:val="00C62A66"/>
    <w:rsid w:val="00C71458"/>
    <w:rsid w:val="00C77613"/>
    <w:rsid w:val="00C828E7"/>
    <w:rsid w:val="00C833CE"/>
    <w:rsid w:val="00C86719"/>
    <w:rsid w:val="00C87E66"/>
    <w:rsid w:val="00C921DD"/>
    <w:rsid w:val="00CA2004"/>
    <w:rsid w:val="00CA26AF"/>
    <w:rsid w:val="00CA6391"/>
    <w:rsid w:val="00CB5945"/>
    <w:rsid w:val="00CC01B0"/>
    <w:rsid w:val="00CC34BD"/>
    <w:rsid w:val="00CC66FD"/>
    <w:rsid w:val="00CE161A"/>
    <w:rsid w:val="00CE3171"/>
    <w:rsid w:val="00CE71C9"/>
    <w:rsid w:val="00CF1601"/>
    <w:rsid w:val="00D0080D"/>
    <w:rsid w:val="00D0172F"/>
    <w:rsid w:val="00D02A8E"/>
    <w:rsid w:val="00D068A7"/>
    <w:rsid w:val="00D12D4F"/>
    <w:rsid w:val="00D15642"/>
    <w:rsid w:val="00D17476"/>
    <w:rsid w:val="00D2471C"/>
    <w:rsid w:val="00D3051D"/>
    <w:rsid w:val="00D32086"/>
    <w:rsid w:val="00D37A3F"/>
    <w:rsid w:val="00D430CE"/>
    <w:rsid w:val="00D43E1C"/>
    <w:rsid w:val="00D4431D"/>
    <w:rsid w:val="00D4667A"/>
    <w:rsid w:val="00D4710B"/>
    <w:rsid w:val="00D617BE"/>
    <w:rsid w:val="00D63A1C"/>
    <w:rsid w:val="00D720A8"/>
    <w:rsid w:val="00D742A6"/>
    <w:rsid w:val="00D7516F"/>
    <w:rsid w:val="00D80B1E"/>
    <w:rsid w:val="00D84D40"/>
    <w:rsid w:val="00D8579F"/>
    <w:rsid w:val="00D90D90"/>
    <w:rsid w:val="00D95F8E"/>
    <w:rsid w:val="00DA0590"/>
    <w:rsid w:val="00DB07F5"/>
    <w:rsid w:val="00DB4EEB"/>
    <w:rsid w:val="00DB7BEA"/>
    <w:rsid w:val="00DC1739"/>
    <w:rsid w:val="00DC1788"/>
    <w:rsid w:val="00DC348D"/>
    <w:rsid w:val="00DD00BA"/>
    <w:rsid w:val="00DD5AD3"/>
    <w:rsid w:val="00DE319C"/>
    <w:rsid w:val="00DF0CA8"/>
    <w:rsid w:val="00DF2B48"/>
    <w:rsid w:val="00DF49A7"/>
    <w:rsid w:val="00E05D13"/>
    <w:rsid w:val="00E07EE2"/>
    <w:rsid w:val="00E07FD1"/>
    <w:rsid w:val="00E24573"/>
    <w:rsid w:val="00E25E1E"/>
    <w:rsid w:val="00E27EE7"/>
    <w:rsid w:val="00E35404"/>
    <w:rsid w:val="00E4118E"/>
    <w:rsid w:val="00E45109"/>
    <w:rsid w:val="00E47B7A"/>
    <w:rsid w:val="00E51F01"/>
    <w:rsid w:val="00E56A44"/>
    <w:rsid w:val="00E60269"/>
    <w:rsid w:val="00E679B2"/>
    <w:rsid w:val="00E77932"/>
    <w:rsid w:val="00E93DD7"/>
    <w:rsid w:val="00E97830"/>
    <w:rsid w:val="00EA1465"/>
    <w:rsid w:val="00EA3A56"/>
    <w:rsid w:val="00EB4930"/>
    <w:rsid w:val="00ED13A5"/>
    <w:rsid w:val="00ED20B9"/>
    <w:rsid w:val="00ED7F29"/>
    <w:rsid w:val="00EE643C"/>
    <w:rsid w:val="00EE756A"/>
    <w:rsid w:val="00EF0683"/>
    <w:rsid w:val="00EF62CA"/>
    <w:rsid w:val="00EF69D2"/>
    <w:rsid w:val="00EF766E"/>
    <w:rsid w:val="00F0070C"/>
    <w:rsid w:val="00F00EB7"/>
    <w:rsid w:val="00F024DC"/>
    <w:rsid w:val="00F02B96"/>
    <w:rsid w:val="00F02C73"/>
    <w:rsid w:val="00F05510"/>
    <w:rsid w:val="00F1155A"/>
    <w:rsid w:val="00F174F9"/>
    <w:rsid w:val="00F244B7"/>
    <w:rsid w:val="00F279C4"/>
    <w:rsid w:val="00F33B58"/>
    <w:rsid w:val="00F36AB6"/>
    <w:rsid w:val="00F37A09"/>
    <w:rsid w:val="00F409CE"/>
    <w:rsid w:val="00F4379D"/>
    <w:rsid w:val="00F50D2D"/>
    <w:rsid w:val="00F56C8B"/>
    <w:rsid w:val="00F60ECE"/>
    <w:rsid w:val="00F66518"/>
    <w:rsid w:val="00F66810"/>
    <w:rsid w:val="00F81DDE"/>
    <w:rsid w:val="00F846D9"/>
    <w:rsid w:val="00F84DF4"/>
    <w:rsid w:val="00F85C97"/>
    <w:rsid w:val="00F940A7"/>
    <w:rsid w:val="00FA3B3E"/>
    <w:rsid w:val="00FB37D2"/>
    <w:rsid w:val="00FC4EFB"/>
    <w:rsid w:val="00FD068D"/>
    <w:rsid w:val="00FD4F28"/>
    <w:rsid w:val="00FE4836"/>
    <w:rsid w:val="00FE6784"/>
    <w:rsid w:val="00FE7F56"/>
    <w:rsid w:val="00FF1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A02B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A02B7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02B7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02B7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02B7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02B78"/>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unhideWhenUsed/>
    <w:qFormat/>
    <w:rsid w:val="00A02B7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2,3,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513DFE"/>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rsid w:val="00A02B78"/>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A02B78"/>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A02B78"/>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A02B7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A02B7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02B78"/>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9"/>
    <w:rsid w:val="00A02B78"/>
    <w:rPr>
      <w:rFonts w:asciiTheme="majorHAnsi" w:eastAsiaTheme="majorEastAsia" w:hAnsiTheme="majorHAnsi" w:cstheme="majorBidi"/>
      <w:i/>
      <w:iCs/>
      <w:color w:val="404040" w:themeColor="text1" w:themeTint="BF"/>
    </w:rPr>
  </w:style>
  <w:style w:type="paragraph" w:customStyle="1" w:styleId="SCCLsocOtherPartyRoleSeparator">
    <w:name w:val="SCC.Lsoc.OtherPartyRoleSeparator"/>
    <w:basedOn w:val="Normal"/>
    <w:next w:val="Normal"/>
    <w:link w:val="SCCLsocOtherPartyRoleSeparatorChar"/>
    <w:rsid w:val="00A02B78"/>
    <w:pPr>
      <w:spacing w:after="480"/>
    </w:pPr>
    <w:rPr>
      <w:rFonts w:eastAsiaTheme="minorHAnsi" w:cstheme="minorBidi"/>
      <w:szCs w:val="22"/>
      <w:lang w:val="en-US" w:eastAsia="en-US"/>
    </w:rPr>
  </w:style>
  <w:style w:type="paragraph" w:customStyle="1" w:styleId="SCCCoram">
    <w:name w:val="SCC.Coram"/>
    <w:basedOn w:val="Normal"/>
    <w:next w:val="Normal"/>
    <w:link w:val="SCCCoramChar"/>
    <w:rsid w:val="00A02B78"/>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locked/>
    <w:rsid w:val="00A02B78"/>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locked/>
    <w:rsid w:val="00A02B78"/>
    <w:rPr>
      <w:rFonts w:eastAsiaTheme="minorHAnsi" w:cstheme="minorBidi"/>
      <w:sz w:val="24"/>
      <w:szCs w:val="22"/>
      <w:lang w:val="en-US" w:eastAsia="en-US"/>
    </w:rPr>
  </w:style>
  <w:style w:type="character" w:customStyle="1" w:styleId="SCCBanSummaryChar">
    <w:name w:val="SCC.BanSummary Char"/>
    <w:basedOn w:val="DefaultParagraphFont"/>
    <w:link w:val="SCCBanSummary"/>
    <w:locked/>
    <w:rsid w:val="00A02B78"/>
    <w:rPr>
      <w:b/>
      <w:sz w:val="24"/>
    </w:rPr>
  </w:style>
  <w:style w:type="table" w:styleId="TableGrid">
    <w:name w:val="Table Grid"/>
    <w:basedOn w:val="TableNormal"/>
    <w:uiPriority w:val="59"/>
    <w:rsid w:val="00A02B78"/>
    <w:rPr>
      <w:sz w:val="22"/>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A02B78"/>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A02B78"/>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A02B78"/>
    <w:pPr>
      <w:tabs>
        <w:tab w:val="left" w:pos="1166"/>
      </w:tabs>
      <w:spacing w:after="480" w:line="480" w:lineRule="auto"/>
    </w:pPr>
    <w:rPr>
      <w:smallCaps/>
      <w:sz w:val="24"/>
      <w:szCs w:val="24"/>
    </w:rPr>
  </w:style>
  <w:style w:type="paragraph" w:customStyle="1" w:styleId="TitleTitre-AltT">
    <w:name w:val="Title / Titre - Alt T"/>
    <w:next w:val="ParaNoNdepar-AltN"/>
    <w:uiPriority w:val="3"/>
    <w:qFormat/>
    <w:rsid w:val="00A02B78"/>
    <w:pPr>
      <w:tabs>
        <w:tab w:val="left" w:pos="360"/>
      </w:tabs>
      <w:spacing w:before="480" w:after="720"/>
      <w:ind w:left="360" w:hanging="360"/>
      <w:jc w:val="both"/>
    </w:pPr>
    <w:rPr>
      <w:rFonts w:eastAsiaTheme="minorHAnsi" w:cstheme="minorBidi"/>
      <w:sz w:val="24"/>
      <w:szCs w:val="22"/>
      <w:lang w:eastAsia="en-US"/>
    </w:rPr>
  </w:style>
  <w:style w:type="paragraph" w:styleId="TOC1">
    <w:name w:val="toc 1"/>
    <w:basedOn w:val="Normal"/>
    <w:next w:val="Normal"/>
    <w:autoRedefine/>
    <w:uiPriority w:val="99"/>
    <w:rsid w:val="00A02B78"/>
    <w:pPr>
      <w:spacing w:after="100"/>
    </w:pPr>
    <w:rPr>
      <w:szCs w:val="24"/>
    </w:rPr>
  </w:style>
  <w:style w:type="paragraph" w:styleId="TOC2">
    <w:name w:val="toc 2"/>
    <w:basedOn w:val="Normal"/>
    <w:next w:val="Normal"/>
    <w:autoRedefine/>
    <w:uiPriority w:val="99"/>
    <w:rsid w:val="00A02B78"/>
    <w:pPr>
      <w:spacing w:after="100"/>
    </w:pPr>
    <w:rPr>
      <w:szCs w:val="24"/>
    </w:rPr>
  </w:style>
  <w:style w:type="character" w:styleId="Hyperlink">
    <w:name w:val="Hyperlink"/>
    <w:basedOn w:val="DefaultParagraphFont"/>
    <w:uiPriority w:val="99"/>
    <w:unhideWhenUsed/>
    <w:rsid w:val="00A02B78"/>
    <w:rPr>
      <w:color w:val="0000FF" w:themeColor="hyperlink"/>
      <w:u w:val="single"/>
    </w:rPr>
  </w:style>
  <w:style w:type="paragraph" w:styleId="Title">
    <w:name w:val="Title"/>
    <w:basedOn w:val="Normal"/>
    <w:next w:val="Normal"/>
    <w:link w:val="TitleChar"/>
    <w:uiPriority w:val="10"/>
    <w:rsid w:val="00A02B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2B7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A02B7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02B78"/>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A02B78"/>
    <w:rPr>
      <w:i/>
      <w:iCs/>
    </w:rPr>
  </w:style>
  <w:style w:type="paragraph" w:styleId="NoSpacing">
    <w:name w:val="No Spacing"/>
    <w:basedOn w:val="Normal"/>
    <w:uiPriority w:val="99"/>
    <w:qFormat/>
    <w:rsid w:val="00A02B78"/>
    <w:rPr>
      <w:szCs w:val="24"/>
    </w:rPr>
  </w:style>
  <w:style w:type="paragraph" w:styleId="ListParagraph">
    <w:name w:val="List Paragraph"/>
    <w:basedOn w:val="Normal"/>
    <w:uiPriority w:val="34"/>
    <w:qFormat/>
    <w:rsid w:val="00A02B78"/>
    <w:pPr>
      <w:ind w:left="720"/>
    </w:pPr>
    <w:rPr>
      <w:szCs w:val="24"/>
    </w:rPr>
  </w:style>
  <w:style w:type="paragraph" w:styleId="Quote">
    <w:name w:val="Quote"/>
    <w:basedOn w:val="Normal"/>
    <w:next w:val="Normal"/>
    <w:link w:val="QuoteChar"/>
    <w:uiPriority w:val="29"/>
    <w:rsid w:val="00A02B78"/>
    <w:rPr>
      <w:i/>
      <w:iCs/>
      <w:color w:val="000000" w:themeColor="text1"/>
    </w:rPr>
  </w:style>
  <w:style w:type="character" w:customStyle="1" w:styleId="QuoteChar">
    <w:name w:val="Quote Char"/>
    <w:basedOn w:val="DefaultParagraphFont"/>
    <w:link w:val="Quote"/>
    <w:uiPriority w:val="29"/>
    <w:rsid w:val="00A02B78"/>
    <w:rPr>
      <w:i/>
      <w:iCs/>
      <w:color w:val="000000" w:themeColor="text1"/>
      <w:sz w:val="24"/>
    </w:rPr>
  </w:style>
  <w:style w:type="paragraph" w:styleId="IntenseQuote">
    <w:name w:val="Intense Quote"/>
    <w:basedOn w:val="Normal"/>
    <w:next w:val="Normal"/>
    <w:link w:val="IntenseQuoteChar"/>
    <w:uiPriority w:val="30"/>
    <w:rsid w:val="00A02B7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02B78"/>
    <w:rPr>
      <w:b/>
      <w:bCs/>
      <w:i/>
      <w:iCs/>
      <w:color w:val="4F81BD" w:themeColor="accent1"/>
      <w:sz w:val="24"/>
    </w:rPr>
  </w:style>
  <w:style w:type="character" w:styleId="SubtleEmphasis">
    <w:name w:val="Subtle Emphasis"/>
    <w:basedOn w:val="DefaultParagraphFont"/>
    <w:uiPriority w:val="19"/>
    <w:rsid w:val="00A02B78"/>
    <w:rPr>
      <w:i/>
      <w:iCs/>
      <w:color w:val="808080" w:themeColor="text1" w:themeTint="7F"/>
    </w:rPr>
  </w:style>
  <w:style w:type="character" w:styleId="IntenseEmphasis">
    <w:name w:val="Intense Emphasis"/>
    <w:basedOn w:val="DefaultParagraphFont"/>
    <w:uiPriority w:val="21"/>
    <w:rsid w:val="00A02B78"/>
    <w:rPr>
      <w:b/>
      <w:bCs/>
      <w:i/>
      <w:iCs/>
      <w:color w:val="4F81BD" w:themeColor="accent1"/>
    </w:rPr>
  </w:style>
  <w:style w:type="character" w:styleId="SubtleReference">
    <w:name w:val="Subtle Reference"/>
    <w:basedOn w:val="DefaultParagraphFont"/>
    <w:uiPriority w:val="31"/>
    <w:rsid w:val="00A02B78"/>
    <w:rPr>
      <w:smallCaps/>
      <w:color w:val="C0504D" w:themeColor="accent2"/>
      <w:u w:val="single"/>
    </w:rPr>
  </w:style>
  <w:style w:type="character" w:styleId="IntenseReference">
    <w:name w:val="Intense Reference"/>
    <w:basedOn w:val="DefaultParagraphFont"/>
    <w:uiPriority w:val="32"/>
    <w:rsid w:val="00A02B78"/>
    <w:rPr>
      <w:b/>
      <w:bCs/>
      <w:smallCaps/>
      <w:color w:val="C0504D" w:themeColor="accent2"/>
      <w:spacing w:val="5"/>
      <w:u w:val="single"/>
    </w:rPr>
  </w:style>
  <w:style w:type="character" w:styleId="BookTitle">
    <w:name w:val="Book Title"/>
    <w:basedOn w:val="DefaultParagraphFont"/>
    <w:uiPriority w:val="33"/>
    <w:rsid w:val="00A02B78"/>
    <w:rPr>
      <w:b/>
      <w:bCs/>
      <w:smallCaps/>
      <w:spacing w:val="5"/>
    </w:rPr>
  </w:style>
  <w:style w:type="paragraph" w:styleId="TOCHeading">
    <w:name w:val="TOC Heading"/>
    <w:basedOn w:val="Heading1"/>
    <w:next w:val="Normal"/>
    <w:uiPriority w:val="39"/>
    <w:unhideWhenUsed/>
    <w:qFormat/>
    <w:rsid w:val="00A02B78"/>
    <w:pPr>
      <w:spacing w:before="480" w:after="0"/>
      <w:ind w:left="0" w:firstLine="0"/>
      <w:outlineLvl w:val="9"/>
    </w:pPr>
  </w:style>
  <w:style w:type="paragraph" w:styleId="FootnoteText">
    <w:name w:val="footnote text"/>
    <w:basedOn w:val="Normal"/>
    <w:link w:val="FootnoteTextChar"/>
    <w:uiPriority w:val="99"/>
    <w:unhideWhenUsed/>
    <w:rsid w:val="00A02B78"/>
    <w:rPr>
      <w:sz w:val="20"/>
    </w:rPr>
  </w:style>
  <w:style w:type="character" w:customStyle="1" w:styleId="FootnoteTextChar">
    <w:name w:val="Footnote Text Char"/>
    <w:basedOn w:val="DefaultParagraphFont"/>
    <w:link w:val="FootnoteText"/>
    <w:uiPriority w:val="99"/>
    <w:rsid w:val="00A02B78"/>
  </w:style>
  <w:style w:type="character" w:styleId="FootnoteReference">
    <w:name w:val="footnote reference"/>
    <w:basedOn w:val="DefaultParagraphFont"/>
    <w:uiPriority w:val="99"/>
    <w:unhideWhenUsed/>
    <w:rsid w:val="00A02B78"/>
    <w:rPr>
      <w:vertAlign w:val="superscript"/>
    </w:rPr>
  </w:style>
  <w:style w:type="paragraph" w:styleId="TOC3">
    <w:name w:val="toc 3"/>
    <w:basedOn w:val="Normal"/>
    <w:next w:val="Normal"/>
    <w:autoRedefine/>
    <w:uiPriority w:val="99"/>
    <w:rsid w:val="00A02B78"/>
    <w:pPr>
      <w:spacing w:after="100"/>
      <w:ind w:left="480"/>
    </w:pPr>
    <w:rPr>
      <w:szCs w:val="24"/>
    </w:rPr>
  </w:style>
  <w:style w:type="paragraph" w:customStyle="1" w:styleId="SCCNormal">
    <w:name w:val="SCC.Normal"/>
    <w:autoRedefine/>
    <w:rsid w:val="00A02B78"/>
    <w:rPr>
      <w:rFonts w:eastAsiaTheme="minorEastAsia"/>
      <w:sz w:val="24"/>
      <w:szCs w:val="24"/>
    </w:rPr>
  </w:style>
  <w:style w:type="paragraph" w:customStyle="1" w:styleId="SCCCirculationDate">
    <w:name w:val="SCC.CirculationDate"/>
    <w:basedOn w:val="SCCNormal"/>
    <w:next w:val="SCCNormal"/>
    <w:autoRedefine/>
    <w:rsid w:val="00A02B78"/>
    <w:pPr>
      <w:jc w:val="right"/>
    </w:pPr>
  </w:style>
  <w:style w:type="paragraph" w:customStyle="1" w:styleId="SCCCitationTitle">
    <w:name w:val="SCC.CitationTitle"/>
    <w:basedOn w:val="SCCNormal"/>
    <w:next w:val="SCCNormal"/>
    <w:autoRedefine/>
    <w:rsid w:val="00A02B78"/>
    <w:pPr>
      <w:jc w:val="center"/>
    </w:pPr>
    <w:rPr>
      <w:b/>
      <w:sz w:val="28"/>
    </w:rPr>
  </w:style>
  <w:style w:type="paragraph" w:customStyle="1" w:styleId="SCCConcurringJudge">
    <w:name w:val="SCC.ConcurringJudge"/>
    <w:basedOn w:val="SCCNormal"/>
    <w:next w:val="SCCNormal"/>
    <w:autoRedefine/>
    <w:rsid w:val="00A02B78"/>
    <w:rPr>
      <w:u w:val="single"/>
    </w:rPr>
  </w:style>
  <w:style w:type="paragraph" w:customStyle="1" w:styleId="SCCFileNumber">
    <w:name w:val="SCC.FileNumber"/>
    <w:basedOn w:val="SCCNormal"/>
    <w:next w:val="SCCNormal"/>
    <w:autoRedefine/>
    <w:rsid w:val="00A02B78"/>
    <w:pPr>
      <w:jc w:val="right"/>
    </w:pPr>
  </w:style>
  <w:style w:type="character" w:customStyle="1" w:styleId="SCCLowerCourtNameLowerCase0">
    <w:name w:val="SCC.LowerCourtNameLowerCase"/>
    <w:rsid w:val="00A02B78"/>
    <w:rPr>
      <w:smallCaps/>
    </w:rPr>
  </w:style>
  <w:style w:type="paragraph" w:customStyle="1" w:styleId="SCCProtected">
    <w:name w:val="SCC.Protected"/>
    <w:basedOn w:val="SCCNormal"/>
    <w:next w:val="SCCNormal"/>
    <w:autoRedefine/>
    <w:rsid w:val="00A02B78"/>
    <w:pPr>
      <w:jc w:val="right"/>
    </w:pPr>
    <w:rPr>
      <w:b/>
    </w:rPr>
  </w:style>
  <w:style w:type="paragraph" w:customStyle="1" w:styleId="SCCPublicationBanSummary">
    <w:name w:val="SCC.PublicationBanSummary"/>
    <w:basedOn w:val="SCCNormal"/>
    <w:next w:val="SCCNormal"/>
    <w:autoRedefine/>
    <w:rsid w:val="00A02B78"/>
    <w:pPr>
      <w:jc w:val="right"/>
    </w:pPr>
    <w:rPr>
      <w:b/>
    </w:rPr>
  </w:style>
  <w:style w:type="character" w:customStyle="1" w:styleId="SCCReasonsAuthor">
    <w:name w:val="SCC.ReasonsAuthor"/>
    <w:basedOn w:val="DefaultParagraphFont"/>
    <w:uiPriority w:val="1"/>
    <w:rsid w:val="00A02B78"/>
    <w:rPr>
      <w:rFonts w:ascii="Times New Roman" w:eastAsiaTheme="minorEastAsia" w:hAnsi="Times New Roman" w:cs="Times New Roman"/>
      <w:sz w:val="24"/>
      <w:szCs w:val="24"/>
      <w:lang w:val="en-CA" w:eastAsia="en-CA"/>
    </w:rPr>
  </w:style>
  <w:style w:type="character" w:customStyle="1" w:styleId="SCCRunningHead">
    <w:name w:val="SCC.RunningHead"/>
    <w:rsid w:val="00A02B78"/>
    <w:rPr>
      <w:smallCaps/>
    </w:rPr>
  </w:style>
  <w:style w:type="paragraph" w:customStyle="1" w:styleId="SCCSubTitle">
    <w:name w:val="SCC.SubTitle"/>
    <w:basedOn w:val="SCCNormal"/>
    <w:next w:val="SCCNormal"/>
    <w:rsid w:val="00A02B78"/>
    <w:rPr>
      <w:b/>
      <w:sz w:val="28"/>
    </w:rPr>
  </w:style>
  <w:style w:type="paragraph" w:customStyle="1" w:styleId="SCCTitleStyle">
    <w:name w:val="SCC.TitleStyle"/>
    <w:basedOn w:val="SCCNormal"/>
    <w:next w:val="SCCNormal"/>
    <w:autoRedefine/>
    <w:rsid w:val="00A02B78"/>
    <w:rPr>
      <w:b/>
      <w:sz w:val="32"/>
    </w:rPr>
  </w:style>
  <w:style w:type="character" w:customStyle="1" w:styleId="SCCVersusStyle">
    <w:name w:val="SCC.VersusStyle"/>
    <w:basedOn w:val="DefaultParagraphFont"/>
    <w:rsid w:val="00A02B78"/>
    <w:rPr>
      <w:b/>
      <w:i/>
      <w:iCs/>
      <w:u w:val="none"/>
    </w:rPr>
  </w:style>
  <w:style w:type="character" w:styleId="CommentReference">
    <w:name w:val="annotation reference"/>
    <w:basedOn w:val="DefaultParagraphFont"/>
    <w:uiPriority w:val="99"/>
    <w:semiHidden/>
    <w:unhideWhenUsed/>
    <w:rsid w:val="00A02B78"/>
    <w:rPr>
      <w:sz w:val="16"/>
      <w:szCs w:val="16"/>
    </w:rPr>
  </w:style>
  <w:style w:type="paragraph" w:styleId="CommentText">
    <w:name w:val="annotation text"/>
    <w:basedOn w:val="Normal"/>
    <w:link w:val="CommentTextChar"/>
    <w:uiPriority w:val="99"/>
    <w:semiHidden/>
    <w:unhideWhenUsed/>
    <w:rsid w:val="00A02B78"/>
    <w:rPr>
      <w:sz w:val="20"/>
      <w:szCs w:val="24"/>
    </w:rPr>
  </w:style>
  <w:style w:type="character" w:customStyle="1" w:styleId="CommentTextChar">
    <w:name w:val="Comment Text Char"/>
    <w:basedOn w:val="DefaultParagraphFont"/>
    <w:link w:val="CommentText"/>
    <w:uiPriority w:val="99"/>
    <w:semiHidden/>
    <w:rsid w:val="00A02B78"/>
    <w:rPr>
      <w:szCs w:val="24"/>
    </w:rPr>
  </w:style>
  <w:style w:type="paragraph" w:styleId="CommentSubject">
    <w:name w:val="annotation subject"/>
    <w:basedOn w:val="CommentText"/>
    <w:next w:val="CommentText"/>
    <w:link w:val="CommentSubjectChar"/>
    <w:uiPriority w:val="99"/>
    <w:semiHidden/>
    <w:unhideWhenUsed/>
    <w:rsid w:val="00A02B78"/>
    <w:rPr>
      <w:b/>
      <w:bCs/>
    </w:rPr>
  </w:style>
  <w:style w:type="character" w:customStyle="1" w:styleId="CommentSubjectChar">
    <w:name w:val="Comment Subject Char"/>
    <w:basedOn w:val="CommentTextChar"/>
    <w:link w:val="CommentSubject"/>
    <w:uiPriority w:val="99"/>
    <w:semiHidden/>
    <w:rsid w:val="00A02B78"/>
    <w:rPr>
      <w:b/>
      <w:bCs/>
    </w:rPr>
  </w:style>
  <w:style w:type="character" w:customStyle="1" w:styleId="JudgeJugeChar">
    <w:name w:val="Judge / Juge Char"/>
    <w:basedOn w:val="DefaultParagraphFont"/>
    <w:link w:val="JudgeJuge"/>
    <w:uiPriority w:val="3"/>
    <w:locked/>
    <w:rsid w:val="00A02B78"/>
    <w:rPr>
      <w:smallCaps/>
      <w:sz w:val="24"/>
      <w:szCs w:val="24"/>
    </w:rPr>
  </w:style>
  <w:style w:type="paragraph" w:styleId="Revision">
    <w:name w:val="Revision"/>
    <w:hidden/>
    <w:uiPriority w:val="99"/>
    <w:semiHidden/>
    <w:rsid w:val="00A02B78"/>
    <w:rPr>
      <w:sz w:val="24"/>
    </w:rPr>
  </w:style>
  <w:style w:type="character" w:customStyle="1" w:styleId="FootnoteTextChar1">
    <w:name w:val="Footnote Text Char1"/>
    <w:basedOn w:val="DefaultParagraphFont"/>
    <w:uiPriority w:val="99"/>
    <w:semiHidden/>
    <w:rsid w:val="00A02B78"/>
    <w:rPr>
      <w:sz w:val="20"/>
      <w:szCs w:val="20"/>
    </w:rPr>
  </w:style>
  <w:style w:type="table" w:customStyle="1" w:styleId="TableGrid1">
    <w:name w:val="Table Grid1"/>
    <w:basedOn w:val="TableNormal"/>
    <w:next w:val="TableGrid"/>
    <w:uiPriority w:val="59"/>
    <w:rsid w:val="00A02B78"/>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02B78"/>
    <w:rPr>
      <w:sz w:val="22"/>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CounselPartyRole">
    <w:name w:val="SCC.CounselPartyRole"/>
    <w:basedOn w:val="Normal"/>
    <w:link w:val="SCCCounselPartyRoleChar"/>
    <w:rsid w:val="00A02B78"/>
    <w:pPr>
      <w:spacing w:line="480" w:lineRule="auto"/>
      <w:jc w:val="both"/>
    </w:pPr>
  </w:style>
  <w:style w:type="character" w:customStyle="1" w:styleId="SCCCounselPartyRoleChar">
    <w:name w:val="SCC.CounselPartyRole Char"/>
    <w:basedOn w:val="DefaultParagraphFont"/>
    <w:link w:val="SCCCounselPartyRole"/>
    <w:locked/>
    <w:rsid w:val="00A02B78"/>
    <w:rPr>
      <w:sz w:val="24"/>
    </w:rPr>
  </w:style>
  <w:style w:type="table" w:customStyle="1" w:styleId="TableGrid3">
    <w:name w:val="Table Grid3"/>
    <w:basedOn w:val="TableNormal"/>
    <w:next w:val="TableGrid"/>
    <w:uiPriority w:val="59"/>
    <w:rsid w:val="00A02B78"/>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02B78"/>
    <w:rPr>
      <w:b/>
      <w:bCs/>
      <w:color w:val="4F81BD" w:themeColor="accent1"/>
      <w:sz w:val="18"/>
      <w:szCs w:val="18"/>
    </w:rPr>
  </w:style>
  <w:style w:type="character" w:customStyle="1" w:styleId="sectionlabel">
    <w:name w:val="sectionlabel"/>
    <w:basedOn w:val="DefaultParagraphFont"/>
    <w:uiPriority w:val="99"/>
    <w:rsid w:val="00A02B78"/>
    <w:rPr>
      <w:rFonts w:cs="Times New Roman"/>
    </w:rPr>
  </w:style>
  <w:style w:type="character" w:customStyle="1" w:styleId="canliisection">
    <w:name w:val="canlii_section"/>
    <w:basedOn w:val="DefaultParagraphFont"/>
    <w:uiPriority w:val="99"/>
    <w:rsid w:val="00A02B78"/>
    <w:rPr>
      <w:rFonts w:cs="Times New Roman"/>
    </w:rPr>
  </w:style>
  <w:style w:type="character" w:styleId="HTMLDefinition">
    <w:name w:val="HTML Definition"/>
    <w:basedOn w:val="DefaultParagraphFont"/>
    <w:uiPriority w:val="99"/>
    <w:rsid w:val="00A02B78"/>
    <w:rPr>
      <w:rFonts w:cs="Times New Roman"/>
    </w:rPr>
  </w:style>
  <w:style w:type="character" w:customStyle="1" w:styleId="definedtermlink">
    <w:name w:val="definedtermlink"/>
    <w:basedOn w:val="DefaultParagraphFont"/>
    <w:rsid w:val="00A02B78"/>
    <w:rPr>
      <w:rFonts w:cs="Times New Roman"/>
      <w:i/>
      <w:iCs/>
    </w:rPr>
  </w:style>
  <w:style w:type="character" w:customStyle="1" w:styleId="ssl21">
    <w:name w:val="ss_l21"/>
    <w:basedOn w:val="DefaultParagraphFont"/>
    <w:uiPriority w:val="99"/>
    <w:rsid w:val="00A02B78"/>
    <w:rPr>
      <w:rFonts w:cs="Times New Roman"/>
      <w:color w:val="000000"/>
      <w:sz w:val="24"/>
      <w:szCs w:val="24"/>
    </w:rPr>
  </w:style>
  <w:style w:type="character" w:customStyle="1" w:styleId="hit1">
    <w:name w:val="hit1"/>
    <w:basedOn w:val="DefaultParagraphFont"/>
    <w:uiPriority w:val="99"/>
    <w:rsid w:val="00A02B78"/>
    <w:rPr>
      <w:rFonts w:cs="Times New Roman"/>
      <w:b/>
      <w:bCs/>
      <w:color w:val="CC0033"/>
    </w:rPr>
  </w:style>
  <w:style w:type="character" w:styleId="FollowedHyperlink">
    <w:name w:val="FollowedHyperlink"/>
    <w:basedOn w:val="DefaultParagraphFont"/>
    <w:uiPriority w:val="99"/>
    <w:semiHidden/>
    <w:rsid w:val="00A02B78"/>
    <w:rPr>
      <w:rFonts w:cs="Times New Roman"/>
      <w:color w:val="800080"/>
      <w:u w:val="single"/>
    </w:rPr>
  </w:style>
  <w:style w:type="character" w:customStyle="1" w:styleId="st">
    <w:name w:val="st"/>
    <w:basedOn w:val="DefaultParagraphFont"/>
    <w:rsid w:val="00A02B78"/>
  </w:style>
  <w:style w:type="paragraph" w:customStyle="1" w:styleId="marginalnotedefinedterm">
    <w:name w:val="marginalnotedefinedterm"/>
    <w:basedOn w:val="Normal"/>
    <w:rsid w:val="00A02B78"/>
    <w:rPr>
      <w:sz w:val="20"/>
      <w:lang w:val="en-US" w:eastAsia="en-US"/>
    </w:rPr>
  </w:style>
  <w:style w:type="paragraph" w:customStyle="1" w:styleId="definition">
    <w:name w:val="definition"/>
    <w:basedOn w:val="Normal"/>
    <w:rsid w:val="00A02B78"/>
    <w:pPr>
      <w:spacing w:before="120" w:after="100" w:afterAutospacing="1"/>
    </w:pPr>
    <w:rPr>
      <w:szCs w:val="24"/>
      <w:lang w:val="en-US" w:eastAsia="en-US"/>
    </w:rPr>
  </w:style>
  <w:style w:type="paragraph" w:customStyle="1" w:styleId="section">
    <w:name w:val="section"/>
    <w:basedOn w:val="Normal"/>
    <w:rsid w:val="00A02B78"/>
    <w:pPr>
      <w:spacing w:before="168" w:after="120"/>
      <w:ind w:firstLine="360"/>
    </w:pPr>
    <w:rPr>
      <w:szCs w:val="24"/>
      <w:lang w:val="en-US" w:eastAsia="en-US"/>
    </w:rPr>
  </w:style>
  <w:style w:type="paragraph" w:customStyle="1" w:styleId="paragraph">
    <w:name w:val="paragraph"/>
    <w:basedOn w:val="Normal"/>
    <w:rsid w:val="00A02B78"/>
    <w:pPr>
      <w:spacing w:before="168" w:after="120"/>
      <w:ind w:left="360"/>
    </w:pPr>
    <w:rPr>
      <w:szCs w:val="24"/>
      <w:lang w:val="en-US" w:eastAsia="en-US"/>
    </w:rPr>
  </w:style>
  <w:style w:type="paragraph" w:customStyle="1" w:styleId="subparagraph">
    <w:name w:val="subparagraph"/>
    <w:basedOn w:val="Normal"/>
    <w:rsid w:val="00A02B78"/>
    <w:pPr>
      <w:spacing w:before="168" w:after="120"/>
      <w:ind w:left="720"/>
    </w:pPr>
    <w:rPr>
      <w:szCs w:val="24"/>
      <w:lang w:val="en-US" w:eastAsia="en-US"/>
    </w:rPr>
  </w:style>
  <w:style w:type="character" w:customStyle="1" w:styleId="repealed1">
    <w:name w:val="repealed1"/>
    <w:basedOn w:val="DefaultParagraphFont"/>
    <w:rsid w:val="00A02B78"/>
    <w:rPr>
      <w:color w:val="660000"/>
    </w:rPr>
  </w:style>
  <w:style w:type="paragraph" w:customStyle="1" w:styleId="subsection">
    <w:name w:val="subsection"/>
    <w:basedOn w:val="Normal"/>
    <w:rsid w:val="00A02B78"/>
    <w:pPr>
      <w:spacing w:before="168" w:after="120"/>
      <w:ind w:firstLine="360"/>
    </w:pPr>
    <w:rPr>
      <w:szCs w:val="24"/>
      <w:lang w:val="en-US" w:eastAsia="en-US"/>
    </w:rPr>
  </w:style>
  <w:style w:type="character" w:customStyle="1" w:styleId="srnumbold1">
    <w:name w:val="sr_num_bold1"/>
    <w:basedOn w:val="DefaultParagraphFont"/>
    <w:rsid w:val="00A02B78"/>
    <w:rPr>
      <w:b/>
      <w:bCs/>
    </w:rPr>
  </w:style>
  <w:style w:type="paragraph" w:customStyle="1" w:styleId="srse1">
    <w:name w:val="sr_se1"/>
    <w:basedOn w:val="Normal"/>
    <w:rsid w:val="00A02B78"/>
    <w:pPr>
      <w:spacing w:before="100" w:beforeAutospacing="1" w:after="100" w:afterAutospacing="1"/>
      <w:ind w:left="300"/>
    </w:pPr>
    <w:rPr>
      <w:szCs w:val="24"/>
      <w:lang w:val="en-US" w:eastAsia="en-US"/>
    </w:rPr>
  </w:style>
  <w:style w:type="paragraph" w:customStyle="1" w:styleId="srse3">
    <w:name w:val="sr_se3"/>
    <w:basedOn w:val="Normal"/>
    <w:rsid w:val="00A02B78"/>
    <w:pPr>
      <w:spacing w:before="100" w:beforeAutospacing="1" w:after="100" w:afterAutospacing="1"/>
      <w:ind w:left="600" w:right="300"/>
    </w:pPr>
    <w:rPr>
      <w:szCs w:val="24"/>
      <w:lang w:val="en-US" w:eastAsia="en-US"/>
    </w:rPr>
  </w:style>
  <w:style w:type="paragraph" w:customStyle="1" w:styleId="srse4">
    <w:name w:val="sr_se4"/>
    <w:basedOn w:val="Normal"/>
    <w:rsid w:val="00A02B78"/>
    <w:pPr>
      <w:spacing w:before="100" w:beforeAutospacing="1" w:after="100" w:afterAutospacing="1"/>
      <w:ind w:left="900" w:right="300"/>
    </w:pPr>
    <w:rPr>
      <w:szCs w:val="24"/>
      <w:lang w:val="en-US" w:eastAsia="en-US"/>
    </w:rPr>
  </w:style>
  <w:style w:type="table" w:customStyle="1" w:styleId="TableGrid4">
    <w:name w:val="Table Grid4"/>
    <w:basedOn w:val="TableNormal"/>
    <w:next w:val="TableGrid"/>
    <w:uiPriority w:val="59"/>
    <w:rsid w:val="00070648"/>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B47B0-A9B4-4155-8624-31C7CD53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22190</Words>
  <Characters>106519</Characters>
  <Application>Microsoft Office Word</Application>
  <DocSecurity>0</DocSecurity>
  <Lines>887</Lines>
  <Paragraphs>256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2013-05-21T14:58:00Z</dcterms:created>
  <dcterms:modified xsi:type="dcterms:W3CDTF">2014-04-07T14:50:00Z</dcterms:modified>
</cp:coreProperties>
</file>