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79" w:rsidRPr="0036581A" w:rsidRDefault="00D43379" w:rsidP="00D43379">
      <w:pPr>
        <w:tabs>
          <w:tab w:val="center" w:pos="4680"/>
          <w:tab w:val="right" w:pos="9360"/>
        </w:tabs>
        <w:jc w:val="center"/>
        <w:rPr>
          <w:rFonts w:eastAsiaTheme="minorHAnsi" w:cstheme="minorBidi"/>
          <w:szCs w:val="24"/>
          <w:lang w:eastAsia="en-US"/>
        </w:rPr>
      </w:pPr>
      <w:r w:rsidRPr="0036581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5pt" o:ole="">
            <v:imagedata r:id="rId8" o:title=""/>
          </v:shape>
          <o:OLEObject Type="Embed" ProgID="Presentations.Drawing.13" ShapeID="_x0000_i1025" DrawAspect="Content" ObjectID="_1458030128" r:id="rId9"/>
        </w:object>
      </w:r>
    </w:p>
    <w:p w:rsidR="00D43379" w:rsidRPr="0036581A" w:rsidRDefault="00D43379" w:rsidP="00D43379">
      <w:pPr>
        <w:tabs>
          <w:tab w:val="center" w:pos="4680"/>
          <w:tab w:val="right" w:pos="9360"/>
        </w:tabs>
        <w:rPr>
          <w:rFonts w:eastAsiaTheme="minorHAnsi" w:cstheme="minorBidi"/>
          <w:szCs w:val="24"/>
          <w:lang w:eastAsia="en-US"/>
        </w:rPr>
      </w:pPr>
    </w:p>
    <w:p w:rsidR="00D43379" w:rsidRPr="0036581A" w:rsidRDefault="00D43379" w:rsidP="00D43379">
      <w:pPr>
        <w:jc w:val="center"/>
        <w:rPr>
          <w:rFonts w:eastAsiaTheme="minorHAnsi" w:cstheme="minorBidi"/>
          <w:b/>
          <w:szCs w:val="24"/>
          <w:lang w:eastAsia="en-US"/>
        </w:rPr>
      </w:pPr>
      <w:r w:rsidRPr="0036581A">
        <w:rPr>
          <w:rFonts w:eastAsiaTheme="minorHAnsi" w:cstheme="minorBidi"/>
          <w:b/>
          <w:szCs w:val="24"/>
          <w:lang w:eastAsia="en-US"/>
        </w:rPr>
        <w:t>SUPREME COURT OF CANADA</w:t>
      </w:r>
    </w:p>
    <w:p w:rsidR="00D43379" w:rsidRPr="0036581A" w:rsidRDefault="00D43379" w:rsidP="00D43379">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43379" w:rsidRPr="0036581A" w:rsidTr="00A91E19">
        <w:trPr>
          <w:cantSplit/>
        </w:trPr>
        <w:tc>
          <w:tcPr>
            <w:tcW w:w="6768" w:type="dxa"/>
          </w:tcPr>
          <w:p w:rsidR="00D43379" w:rsidRPr="0036581A" w:rsidRDefault="00D43379" w:rsidP="00D43379">
            <w:r w:rsidRPr="0036581A">
              <w:rPr>
                <w:b/>
                <w:smallCaps/>
              </w:rPr>
              <w:t>Citation:</w:t>
            </w:r>
            <w:r w:rsidRPr="0036581A">
              <w:t xml:space="preserve"> Castonguay Blasting Ltd.</w:t>
            </w:r>
            <w:r w:rsidRPr="0036581A">
              <w:rPr>
                <w:i/>
                <w:iCs/>
                <w:color w:val="000000" w:themeColor="text1"/>
              </w:rPr>
              <w:t xml:space="preserve"> v.</w:t>
            </w:r>
            <w:r w:rsidRPr="0036581A">
              <w:rPr>
                <w:iCs/>
                <w:color w:val="000000" w:themeColor="text1"/>
              </w:rPr>
              <w:t xml:space="preserve"> Ontario (Environment),</w:t>
            </w:r>
            <w:r>
              <w:t xml:space="preserve"> 2013 SCC 52, [2013] 3 S.C.R. 323</w:t>
            </w:r>
          </w:p>
        </w:tc>
        <w:tc>
          <w:tcPr>
            <w:tcW w:w="2808" w:type="dxa"/>
          </w:tcPr>
          <w:p w:rsidR="00D43379" w:rsidRPr="0036581A" w:rsidRDefault="00D43379" w:rsidP="00A91E19">
            <w:r w:rsidRPr="0036581A">
              <w:rPr>
                <w:b/>
                <w:smallCaps/>
              </w:rPr>
              <w:t>Date:</w:t>
            </w:r>
            <w:r w:rsidRPr="0036581A">
              <w:t xml:space="preserve"> 20131017</w:t>
            </w:r>
          </w:p>
          <w:p w:rsidR="00D43379" w:rsidRPr="0036581A" w:rsidRDefault="00D43379" w:rsidP="00A91E19">
            <w:r w:rsidRPr="0036581A">
              <w:rPr>
                <w:b/>
                <w:smallCaps/>
              </w:rPr>
              <w:t>Docket:</w:t>
            </w:r>
            <w:r w:rsidRPr="0036581A">
              <w:t xml:space="preserve"> 34816</w:t>
            </w:r>
          </w:p>
        </w:tc>
      </w:tr>
    </w:tbl>
    <w:p w:rsidR="00D43379" w:rsidRPr="0036581A" w:rsidRDefault="00D43379" w:rsidP="00D43379">
      <w:pPr>
        <w:rPr>
          <w:rFonts w:eastAsiaTheme="minorHAnsi" w:cstheme="minorBidi"/>
          <w:szCs w:val="24"/>
          <w:lang w:eastAsia="en-US"/>
        </w:rPr>
      </w:pPr>
    </w:p>
    <w:p w:rsidR="00D43379" w:rsidRPr="0036581A" w:rsidRDefault="00D43379" w:rsidP="00D43379">
      <w:pPr>
        <w:rPr>
          <w:rFonts w:eastAsiaTheme="minorHAnsi" w:cstheme="minorBidi"/>
          <w:b/>
          <w:smallCaps/>
          <w:szCs w:val="24"/>
          <w:lang w:eastAsia="en-US"/>
        </w:rPr>
      </w:pPr>
      <w:r w:rsidRPr="0036581A">
        <w:rPr>
          <w:rFonts w:eastAsiaTheme="minorHAnsi" w:cstheme="minorBidi"/>
          <w:b/>
          <w:smallCaps/>
          <w:szCs w:val="24"/>
          <w:lang w:eastAsia="en-US"/>
        </w:rPr>
        <w:t>Between:</w:t>
      </w:r>
    </w:p>
    <w:p w:rsidR="00D43379" w:rsidRPr="0036581A" w:rsidRDefault="00D43379" w:rsidP="00D43379">
      <w:pPr>
        <w:jc w:val="center"/>
        <w:rPr>
          <w:rFonts w:eastAsiaTheme="minorHAnsi" w:cstheme="minorBidi"/>
          <w:b/>
          <w:szCs w:val="24"/>
          <w:lang w:eastAsia="en-US"/>
        </w:rPr>
      </w:pPr>
      <w:r w:rsidRPr="0036581A">
        <w:rPr>
          <w:rFonts w:eastAsiaTheme="minorHAnsi" w:cstheme="minorBidi"/>
          <w:b/>
          <w:szCs w:val="24"/>
          <w:lang w:eastAsia="en-US"/>
        </w:rPr>
        <w:t>Castonguay Blasting Ltd.</w:t>
      </w:r>
    </w:p>
    <w:p w:rsidR="00D43379" w:rsidRPr="0036581A" w:rsidRDefault="00D43379" w:rsidP="00D43379">
      <w:pPr>
        <w:jc w:val="center"/>
        <w:rPr>
          <w:rFonts w:eastAsiaTheme="minorHAnsi" w:cstheme="minorBidi"/>
          <w:szCs w:val="24"/>
          <w:lang w:eastAsia="en-US"/>
        </w:rPr>
      </w:pPr>
      <w:r w:rsidRPr="0036581A">
        <w:rPr>
          <w:rFonts w:eastAsiaTheme="minorHAnsi" w:cstheme="minorBidi"/>
          <w:szCs w:val="24"/>
          <w:lang w:eastAsia="en-US"/>
        </w:rPr>
        <w:t>Appellant</w:t>
      </w:r>
    </w:p>
    <w:p w:rsidR="00D43379" w:rsidRPr="0036581A" w:rsidRDefault="00D43379" w:rsidP="00D43379">
      <w:pPr>
        <w:jc w:val="center"/>
        <w:rPr>
          <w:rFonts w:eastAsiaTheme="minorHAnsi" w:cstheme="minorBidi"/>
          <w:szCs w:val="24"/>
          <w:lang w:eastAsia="en-US"/>
        </w:rPr>
      </w:pPr>
      <w:r w:rsidRPr="0036581A">
        <w:rPr>
          <w:rFonts w:eastAsiaTheme="minorHAnsi" w:cstheme="minorBidi"/>
          <w:szCs w:val="24"/>
          <w:lang w:eastAsia="en-US"/>
        </w:rPr>
        <w:t>and</w:t>
      </w:r>
    </w:p>
    <w:p w:rsidR="00D43379" w:rsidRPr="0036581A" w:rsidRDefault="00D43379" w:rsidP="00D43379">
      <w:pPr>
        <w:jc w:val="center"/>
        <w:rPr>
          <w:rFonts w:eastAsiaTheme="minorHAnsi" w:cstheme="minorBidi"/>
          <w:b/>
          <w:szCs w:val="24"/>
          <w:lang w:eastAsia="en-US"/>
        </w:rPr>
      </w:pPr>
      <w:r w:rsidRPr="0036581A">
        <w:rPr>
          <w:rFonts w:eastAsiaTheme="minorHAnsi" w:cstheme="minorBidi"/>
          <w:b/>
          <w:szCs w:val="24"/>
          <w:lang w:eastAsia="en-US"/>
        </w:rPr>
        <w:t xml:space="preserve">Her Majesty The Queen in Right of the Province of Ontario as represented </w:t>
      </w:r>
    </w:p>
    <w:p w:rsidR="00D43379" w:rsidRPr="0036581A" w:rsidRDefault="00D43379" w:rsidP="00D43379">
      <w:pPr>
        <w:jc w:val="center"/>
        <w:rPr>
          <w:rFonts w:eastAsiaTheme="minorHAnsi" w:cstheme="minorBidi"/>
          <w:b/>
          <w:szCs w:val="24"/>
          <w:lang w:eastAsia="en-US"/>
        </w:rPr>
      </w:pPr>
      <w:r w:rsidRPr="0036581A">
        <w:rPr>
          <w:rFonts w:eastAsiaTheme="minorHAnsi" w:cstheme="minorBidi"/>
          <w:b/>
          <w:szCs w:val="24"/>
          <w:lang w:eastAsia="en-US"/>
        </w:rPr>
        <w:t>by the Minister of the Environment</w:t>
      </w:r>
    </w:p>
    <w:p w:rsidR="00D43379" w:rsidRPr="0036581A" w:rsidRDefault="00D43379" w:rsidP="00D43379">
      <w:pPr>
        <w:jc w:val="center"/>
        <w:rPr>
          <w:rFonts w:eastAsiaTheme="minorHAnsi" w:cstheme="minorBidi"/>
          <w:szCs w:val="24"/>
          <w:lang w:eastAsia="en-US"/>
        </w:rPr>
      </w:pPr>
      <w:r w:rsidRPr="0036581A">
        <w:rPr>
          <w:rFonts w:eastAsiaTheme="minorHAnsi" w:cstheme="minorBidi"/>
          <w:szCs w:val="24"/>
          <w:lang w:eastAsia="en-US"/>
        </w:rPr>
        <w:t>Respondent</w:t>
      </w:r>
    </w:p>
    <w:p w:rsidR="00D43379" w:rsidRPr="0036581A" w:rsidRDefault="00D43379" w:rsidP="00D43379">
      <w:pPr>
        <w:jc w:val="center"/>
        <w:rPr>
          <w:rFonts w:eastAsiaTheme="minorHAnsi" w:cstheme="minorBidi"/>
          <w:szCs w:val="24"/>
          <w:lang w:eastAsia="en-US"/>
        </w:rPr>
      </w:pPr>
      <w:r w:rsidRPr="0036581A">
        <w:rPr>
          <w:rFonts w:eastAsiaTheme="minorHAnsi" w:cstheme="minorBidi"/>
          <w:szCs w:val="24"/>
          <w:lang w:eastAsia="en-US"/>
        </w:rPr>
        <w:t>- and -</w:t>
      </w:r>
    </w:p>
    <w:p w:rsidR="00D43379" w:rsidRPr="0036581A" w:rsidRDefault="00D43379" w:rsidP="00D43379">
      <w:pPr>
        <w:jc w:val="center"/>
        <w:rPr>
          <w:rFonts w:eastAsiaTheme="minorHAnsi" w:cstheme="minorBidi"/>
          <w:b/>
          <w:szCs w:val="24"/>
          <w:lang w:eastAsia="en-US"/>
        </w:rPr>
      </w:pPr>
      <w:r w:rsidRPr="0036581A">
        <w:rPr>
          <w:rFonts w:eastAsiaTheme="minorHAnsi" w:cstheme="minorBidi"/>
          <w:b/>
          <w:szCs w:val="24"/>
          <w:lang w:eastAsia="en-US"/>
        </w:rPr>
        <w:t>Canadian Environmental Law Association and Lake Ontario Waterkeeper</w:t>
      </w:r>
    </w:p>
    <w:p w:rsidR="00D43379" w:rsidRPr="0036581A" w:rsidRDefault="00D43379" w:rsidP="00D43379">
      <w:pPr>
        <w:jc w:val="center"/>
        <w:rPr>
          <w:rFonts w:eastAsiaTheme="minorHAnsi" w:cstheme="minorBidi"/>
          <w:szCs w:val="24"/>
          <w:lang w:eastAsia="en-US"/>
        </w:rPr>
      </w:pPr>
      <w:r w:rsidRPr="0036581A">
        <w:rPr>
          <w:rFonts w:eastAsiaTheme="minorHAnsi" w:cstheme="minorBidi"/>
          <w:szCs w:val="24"/>
          <w:lang w:eastAsia="en-US"/>
        </w:rPr>
        <w:t>Interveners</w:t>
      </w:r>
    </w:p>
    <w:p w:rsidR="00D43379" w:rsidRPr="0036581A" w:rsidRDefault="00D43379" w:rsidP="00D43379">
      <w:pPr>
        <w:rPr>
          <w:rFonts w:eastAsiaTheme="minorHAnsi" w:cstheme="minorBidi"/>
          <w:szCs w:val="24"/>
          <w:lang w:eastAsia="en-US"/>
        </w:rPr>
      </w:pPr>
    </w:p>
    <w:p w:rsidR="00D43379" w:rsidRPr="0036581A" w:rsidRDefault="00D43379" w:rsidP="00D43379">
      <w:pPr>
        <w:rPr>
          <w:rFonts w:eastAsiaTheme="minorHAnsi" w:cstheme="minorBidi"/>
          <w:szCs w:val="24"/>
          <w:lang w:eastAsia="en-US"/>
        </w:rPr>
      </w:pPr>
      <w:r w:rsidRPr="0036581A">
        <w:rPr>
          <w:rFonts w:eastAsiaTheme="minorHAnsi" w:cstheme="minorBidi"/>
          <w:b/>
          <w:smallCaps/>
          <w:szCs w:val="24"/>
          <w:lang w:eastAsia="en-US"/>
        </w:rPr>
        <w:t>Coram:</w:t>
      </w:r>
      <w:r w:rsidRPr="0036581A">
        <w:rPr>
          <w:rFonts w:eastAsiaTheme="minorHAnsi" w:cstheme="minorBidi"/>
          <w:szCs w:val="24"/>
          <w:lang w:eastAsia="en-US"/>
        </w:rPr>
        <w:t xml:space="preserve"> McLachlin C.J. and LeBel, Abella, Rothstein, Cromwell, Karakatsanis and Wagner JJ.</w:t>
      </w:r>
    </w:p>
    <w:p w:rsidR="00D43379" w:rsidRPr="0036581A" w:rsidRDefault="00D43379" w:rsidP="00D43379">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43379" w:rsidRPr="0036581A" w:rsidTr="00A91E19">
        <w:trPr>
          <w:cantSplit/>
        </w:trPr>
        <w:tc>
          <w:tcPr>
            <w:tcW w:w="3618" w:type="dxa"/>
          </w:tcPr>
          <w:p w:rsidR="00D43379" w:rsidRPr="0036581A" w:rsidRDefault="00D43379" w:rsidP="00A91E19">
            <w:pPr>
              <w:rPr>
                <w:b/>
                <w:smallCaps/>
              </w:rPr>
            </w:pPr>
            <w:r w:rsidRPr="0036581A">
              <w:rPr>
                <w:b/>
                <w:smallCaps/>
              </w:rPr>
              <w:t>Reasons for Judgment:</w:t>
            </w:r>
          </w:p>
          <w:p w:rsidR="00D43379" w:rsidRPr="0036581A" w:rsidRDefault="00D43379" w:rsidP="00A91E19">
            <w:r w:rsidRPr="0036581A">
              <w:t>(paras. 1 to 41)</w:t>
            </w:r>
          </w:p>
        </w:tc>
        <w:tc>
          <w:tcPr>
            <w:tcW w:w="5958" w:type="dxa"/>
          </w:tcPr>
          <w:p w:rsidR="00D43379" w:rsidRPr="0036581A" w:rsidRDefault="00D43379" w:rsidP="00A91E19">
            <w:r w:rsidRPr="0036581A">
              <w:t>Abella J. (McLachlin C.J. and LeBel, Rothstein, Cromwell, Karakatsanis and Wagner JJ. concurring)</w:t>
            </w:r>
          </w:p>
        </w:tc>
      </w:tr>
    </w:tbl>
    <w:p w:rsidR="00D43379" w:rsidRPr="0036581A" w:rsidRDefault="00D43379" w:rsidP="00D43379">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D43379" w:rsidRDefault="00D43379" w:rsidP="00D43379">
      <w:pPr>
        <w:rPr>
          <w:smallCaps/>
        </w:rPr>
      </w:pPr>
      <w:r>
        <w:rPr>
          <w:smallCaps/>
        </w:rPr>
        <w:br w:type="page"/>
      </w:r>
    </w:p>
    <w:p w:rsidR="00F036E5" w:rsidRPr="001F06E5" w:rsidRDefault="001F06E5" w:rsidP="00F036E5">
      <w:pPr>
        <w:spacing w:after="720"/>
        <w:jc w:val="both"/>
      </w:pPr>
      <w:r w:rsidRPr="001F06E5">
        <w:lastRenderedPageBreak/>
        <w:t xml:space="preserve">Castonguay Blasting Ltd. </w:t>
      </w:r>
      <w:r w:rsidRPr="001F06E5">
        <w:rPr>
          <w:i/>
        </w:rPr>
        <w:t>v.</w:t>
      </w:r>
      <w:r w:rsidRPr="001F06E5">
        <w:t xml:space="preserve"> Ontario (Environment)</w:t>
      </w:r>
      <w:r>
        <w:t>, 2013 SCC 52, [2013] 3 S.C.R. 323</w:t>
      </w:r>
    </w:p>
    <w:p w:rsidR="00F036E5" w:rsidRPr="006574C8" w:rsidRDefault="00F036E5" w:rsidP="00F036E5">
      <w:pPr>
        <w:pStyle w:val="SCCLsocLastPartyInRole"/>
        <w:rPr>
          <w:rStyle w:val="SCCLsocPartyRole"/>
        </w:rPr>
      </w:pPr>
      <w:r w:rsidRPr="006574C8">
        <w:t>Castonguay Blasting Ltd.</w:t>
      </w:r>
      <w:r w:rsidRPr="006574C8">
        <w:rPr>
          <w:rStyle w:val="SCCLsocPartyRole"/>
        </w:rPr>
        <w:tab/>
        <w:t>Appellant</w:t>
      </w:r>
    </w:p>
    <w:p w:rsidR="00F036E5" w:rsidRPr="006574C8" w:rsidRDefault="00F036E5" w:rsidP="00F036E5">
      <w:pPr>
        <w:pStyle w:val="SCCLsocVersus"/>
      </w:pPr>
      <w:r w:rsidRPr="006574C8">
        <w:t>v.</w:t>
      </w:r>
    </w:p>
    <w:p w:rsidR="00F036E5" w:rsidRPr="006574C8" w:rsidRDefault="00F036E5" w:rsidP="00F036E5">
      <w:pPr>
        <w:pStyle w:val="SCCLsocLastPartyInRole"/>
        <w:spacing w:after="0"/>
      </w:pPr>
      <w:r w:rsidRPr="006574C8">
        <w:t xml:space="preserve">Her Majesty The Queen in Right of the Province of Ontario </w:t>
      </w:r>
    </w:p>
    <w:p w:rsidR="00F036E5" w:rsidRPr="006574C8" w:rsidRDefault="00F036E5" w:rsidP="00F036E5">
      <w:pPr>
        <w:pStyle w:val="SCCLsocLastPartyInRole"/>
      </w:pPr>
      <w:r w:rsidRPr="006574C8">
        <w:t>as represented by the Minister of the Environment</w:t>
      </w:r>
      <w:r w:rsidRPr="006574C8">
        <w:rPr>
          <w:rStyle w:val="SCCLsocPartyRole"/>
        </w:rPr>
        <w:tab/>
        <w:t>Respondent</w:t>
      </w:r>
    </w:p>
    <w:p w:rsidR="00F036E5" w:rsidRPr="006574C8" w:rsidRDefault="00F036E5" w:rsidP="00F036E5">
      <w:pPr>
        <w:pStyle w:val="SCCLsocOtherPartySeparator"/>
      </w:pPr>
      <w:r w:rsidRPr="006574C8">
        <w:t>and</w:t>
      </w:r>
    </w:p>
    <w:p w:rsidR="00F036E5" w:rsidRPr="006574C8" w:rsidRDefault="00F036E5" w:rsidP="00F036E5">
      <w:pPr>
        <w:pStyle w:val="SCCLsocLastPartyInRole"/>
        <w:spacing w:after="0"/>
      </w:pPr>
      <w:r w:rsidRPr="006574C8">
        <w:t xml:space="preserve">Canadian Environmental Law Association and </w:t>
      </w:r>
    </w:p>
    <w:p w:rsidR="00F036E5" w:rsidRPr="006574C8" w:rsidRDefault="00F036E5" w:rsidP="00F036E5">
      <w:pPr>
        <w:pStyle w:val="SCCLsocLastPartyInRole"/>
      </w:pPr>
      <w:r w:rsidRPr="006574C8">
        <w:t>Lake Ontario Waterkeeper</w:t>
      </w:r>
      <w:r w:rsidRPr="006574C8">
        <w:rPr>
          <w:rStyle w:val="SCCLsocPartyRole"/>
        </w:rPr>
        <w:tab/>
        <w:t>Interveners</w:t>
      </w:r>
    </w:p>
    <w:p w:rsidR="00F036E5" w:rsidRPr="006574C8" w:rsidRDefault="00F036E5" w:rsidP="00F036E5">
      <w:pPr>
        <w:spacing w:after="720"/>
        <w:jc w:val="both"/>
        <w:rPr>
          <w:b/>
        </w:rPr>
      </w:pPr>
      <w:r w:rsidRPr="006574C8">
        <w:rPr>
          <w:b/>
        </w:rPr>
        <w:t xml:space="preserve">Indexed as:  Castonguay Blasting Ltd. </w:t>
      </w:r>
      <w:r w:rsidRPr="006574C8">
        <w:rPr>
          <w:b/>
          <w:i/>
        </w:rPr>
        <w:t>v.</w:t>
      </w:r>
      <w:r w:rsidRPr="006574C8">
        <w:rPr>
          <w:b/>
        </w:rPr>
        <w:t xml:space="preserve"> Ontario (Environment)</w:t>
      </w:r>
    </w:p>
    <w:p w:rsidR="00F036E5" w:rsidRPr="006574C8" w:rsidRDefault="00F036E5" w:rsidP="00F036E5">
      <w:pPr>
        <w:pStyle w:val="SCCSystemYear"/>
        <w:spacing w:after="720"/>
        <w:jc w:val="both"/>
      </w:pPr>
      <w:r w:rsidRPr="006574C8">
        <w:t>2013 SCC 52</w:t>
      </w:r>
    </w:p>
    <w:p w:rsidR="00F036E5" w:rsidRPr="006574C8" w:rsidRDefault="00F036E5" w:rsidP="00F036E5">
      <w:pPr>
        <w:spacing w:after="720"/>
        <w:jc w:val="both"/>
      </w:pPr>
      <w:r w:rsidRPr="006574C8">
        <w:t>File No.:  34816.</w:t>
      </w:r>
    </w:p>
    <w:p w:rsidR="00F036E5" w:rsidRPr="006574C8" w:rsidRDefault="00F036E5" w:rsidP="00F036E5">
      <w:pPr>
        <w:spacing w:after="720"/>
        <w:jc w:val="both"/>
      </w:pPr>
      <w:r w:rsidRPr="006574C8">
        <w:t>2013:  May 17; 2013:  October 17.</w:t>
      </w:r>
    </w:p>
    <w:p w:rsidR="00F036E5" w:rsidRPr="006574C8" w:rsidRDefault="00F036E5" w:rsidP="00F036E5">
      <w:pPr>
        <w:spacing w:after="720"/>
        <w:jc w:val="both"/>
      </w:pPr>
      <w:r w:rsidRPr="006574C8">
        <w:t>Present:  McLachlin C.J. and LeBel, Abella, Rothstein, Cromwell, Karakatsanis and Wagner JJ.</w:t>
      </w:r>
    </w:p>
    <w:p w:rsidR="00F036E5" w:rsidRPr="006574C8" w:rsidRDefault="00F036E5" w:rsidP="00F036E5">
      <w:pPr>
        <w:pStyle w:val="SCCLowerCourtNameLowercase"/>
        <w:spacing w:after="720" w:line="240" w:lineRule="auto"/>
      </w:pPr>
      <w:r w:rsidRPr="006574C8">
        <w:t>on appeal from the court of appeal for ontario</w:t>
      </w:r>
    </w:p>
    <w:p w:rsidR="00F036E5" w:rsidRPr="006574C8" w:rsidRDefault="00F036E5" w:rsidP="00F036E5">
      <w:pPr>
        <w:pStyle w:val="SCCNormalDoubleSpacing"/>
        <w:spacing w:after="480"/>
      </w:pPr>
      <w:r w:rsidRPr="006574C8">
        <w:lastRenderedPageBreak/>
        <w:tab/>
      </w:r>
      <w:r w:rsidRPr="006574C8">
        <w:rPr>
          <w:i/>
        </w:rPr>
        <w:t>Environmental law — Offences — Obligation to report to Ministry of Environment discharge of contaminant into natural environment — Subcontractor’s blasting operations propelling rock debris into air, damaging home and car — Subcontractor failing to report to Ministry of Environment discharge of contaminant — Whether reporting requirement triggered in this case — Environmental Protection Act, R.S.O. 1990, c.</w:t>
      </w:r>
      <w:r>
        <w:rPr>
          <w:i/>
        </w:rPr>
        <w:t> </w:t>
      </w:r>
      <w:r w:rsidRPr="006574C8">
        <w:rPr>
          <w:i/>
        </w:rPr>
        <w:t>E.19, s. 15(1).</w:t>
      </w:r>
    </w:p>
    <w:p w:rsidR="00F036E5" w:rsidRPr="006574C8" w:rsidRDefault="00F036E5" w:rsidP="00F036E5">
      <w:pPr>
        <w:pStyle w:val="SCCNormalDoubleSpacing"/>
        <w:spacing w:after="480"/>
      </w:pPr>
      <w:r w:rsidRPr="006574C8">
        <w:tab/>
        <w:t>The appellant C was conducting blasting operations for a highway</w:t>
      </w:r>
      <w:r w:rsidRPr="006574C8">
        <w:noBreakHyphen/>
        <w:t>widening project when the operation went awry and rock debris known as “fly</w:t>
      </w:r>
      <w:r w:rsidRPr="006574C8">
        <w:noBreakHyphen/>
        <w:t>rock” was propelled into the air by an explosion.  The fly</w:t>
      </w:r>
      <w:r w:rsidRPr="006574C8">
        <w:noBreakHyphen/>
        <w:t xml:space="preserve">rock shot approximately 90 metres in the air and damaged a home and a car.  A significant amount of rock also landed in the yard.  C did not report the incident to the Ministry of the Environment (“Ministry”) and was subsequently charged with failing to report to the Ministry the discharge of a contaminant into the natural environment contrary to s. 15(1) of the </w:t>
      </w:r>
      <w:r w:rsidRPr="006574C8">
        <w:rPr>
          <w:i/>
        </w:rPr>
        <w:t xml:space="preserve">Environmental Protection Act </w:t>
      </w:r>
      <w:r w:rsidRPr="006574C8">
        <w:t>(“</w:t>
      </w:r>
      <w:r w:rsidRPr="006574C8">
        <w:rPr>
          <w:i/>
        </w:rPr>
        <w:t>EPA</w:t>
      </w:r>
      <w:r w:rsidRPr="006574C8">
        <w:t>”).  C was acquitted by the Ontario Court of Justice.  The Ontario Superior Court of Justice set aside the acquittal and entered a conviction.  A majority in the Court of Appeal dismissed C’s appeal.</w:t>
      </w:r>
    </w:p>
    <w:p w:rsidR="00F036E5" w:rsidRPr="006574C8" w:rsidRDefault="00F036E5" w:rsidP="00F036E5">
      <w:pPr>
        <w:pStyle w:val="SCCNormalDoubleSpacing"/>
        <w:spacing w:after="480"/>
      </w:pPr>
      <w:r w:rsidRPr="006574C8">
        <w:tab/>
      </w:r>
      <w:r w:rsidRPr="006574C8">
        <w:rPr>
          <w:i/>
        </w:rPr>
        <w:t>Held</w:t>
      </w:r>
      <w:r w:rsidRPr="003B33C1">
        <w:t xml:space="preserve">:  </w:t>
      </w:r>
      <w:r w:rsidRPr="006574C8">
        <w:t>The appeal should be dismissed.</w:t>
      </w:r>
    </w:p>
    <w:p w:rsidR="00F036E5" w:rsidRPr="006574C8" w:rsidRDefault="00F036E5" w:rsidP="00F036E5">
      <w:pPr>
        <w:pStyle w:val="SCCNormalDoubleSpacing"/>
        <w:spacing w:after="480"/>
      </w:pPr>
      <w:r w:rsidRPr="006574C8">
        <w:tab/>
        <w:t xml:space="preserve">Ontario’s </w:t>
      </w:r>
      <w:r w:rsidR="003B33C1">
        <w:rPr>
          <w:i/>
        </w:rPr>
        <w:t>EPA</w:t>
      </w:r>
      <w:r w:rsidRPr="006574C8">
        <w:t xml:space="preserve"> requires that the Ministry of the Environment be immediately notified when a contaminant is discharged into the environment.  There are two pre</w:t>
      </w:r>
      <w:r w:rsidRPr="006574C8">
        <w:noBreakHyphen/>
        <w:t xml:space="preserve">conditions to this reporting requirement — the discharge must have been out of the normal course of events and it must have had — or was likely to have — an </w:t>
      </w:r>
      <w:r w:rsidRPr="006574C8">
        <w:lastRenderedPageBreak/>
        <w:t>adverse environmental impact.  The purpose of the requirement is to let the Ministry know about potential environmental damage so that any consequential remedial steps can be taken in a timely way.</w:t>
      </w:r>
    </w:p>
    <w:p w:rsidR="00F036E5" w:rsidRPr="006574C8" w:rsidRDefault="00F036E5" w:rsidP="00F036E5">
      <w:pPr>
        <w:pStyle w:val="SCCNormalDoubleSpacing"/>
        <w:spacing w:after="480"/>
      </w:pPr>
      <w:r w:rsidRPr="006574C8">
        <w:tab/>
        <w:t xml:space="preserve">The </w:t>
      </w:r>
      <w:r w:rsidRPr="006574C8">
        <w:rPr>
          <w:i/>
        </w:rPr>
        <w:t xml:space="preserve">EPA </w:t>
      </w:r>
      <w:r w:rsidRPr="006574C8">
        <w:t>is Ontario’s principal environmental protection statute.  Its status as remedial legislation entitles it to a generous interpretation.  Environmental protection is a complex subject matter — the environment itself and the wide range of activities which might harm it are not easily conducive to precise codification.  As a result, environmental legislation embraces an expansive approach to ensure that it can adequately respond to a variety of environmentally harmful scenarios, including ones which might not have been foreseen by the drafters of the legislation.  Because the legislature is pursuing the objective of environmental protection, its intended reach is wide and deep. </w:t>
      </w:r>
    </w:p>
    <w:p w:rsidR="00F036E5" w:rsidRPr="006574C8" w:rsidRDefault="00F036E5" w:rsidP="00F036E5">
      <w:pPr>
        <w:pStyle w:val="SCCNormalDoubleSpacing"/>
        <w:spacing w:after="480"/>
      </w:pPr>
      <w:r w:rsidRPr="006574C8">
        <w:tab/>
        <w:t xml:space="preserve">The overall purpose of the </w:t>
      </w:r>
      <w:r w:rsidRPr="006574C8">
        <w:rPr>
          <w:i/>
        </w:rPr>
        <w:t xml:space="preserve">EPA </w:t>
      </w:r>
      <w:r w:rsidRPr="006574C8">
        <w:t>is</w:t>
      </w:r>
      <w:r w:rsidRPr="006574C8">
        <w:rPr>
          <w:i/>
        </w:rPr>
        <w:t xml:space="preserve"> </w:t>
      </w:r>
      <w:r w:rsidRPr="006574C8">
        <w:t>set out in s. 3:  “The purpose of this Act is to provide for the protection and conservation of the natural environment</w:t>
      </w:r>
      <w:r w:rsidR="00E24525">
        <w:t>.</w:t>
      </w:r>
      <w:r w:rsidRPr="006574C8">
        <w:t xml:space="preserve">”  The </w:t>
      </w:r>
      <w:r w:rsidRPr="006574C8">
        <w:rPr>
          <w:i/>
        </w:rPr>
        <w:t xml:space="preserve">EPA </w:t>
      </w:r>
      <w:r w:rsidRPr="006574C8">
        <w:t xml:space="preserve">also protects those who </w:t>
      </w:r>
      <w:r w:rsidRPr="006574C8">
        <w:rPr>
          <w:i/>
        </w:rPr>
        <w:t>use</w:t>
      </w:r>
      <w:r w:rsidRPr="006574C8">
        <w:t xml:space="preserve"> the natural environment by protecting human health, plant and animal life, and property.  </w:t>
      </w:r>
      <w:r w:rsidRPr="006574C8">
        <w:rPr>
          <w:lang w:val="en-US"/>
        </w:rPr>
        <w:t xml:space="preserve">The </w:t>
      </w:r>
      <w:r w:rsidRPr="006574C8">
        <w:rPr>
          <w:i/>
          <w:lang w:val="en-US"/>
        </w:rPr>
        <w:t xml:space="preserve">EPA </w:t>
      </w:r>
      <w:r w:rsidRPr="006574C8">
        <w:rPr>
          <w:lang w:val="en-US"/>
        </w:rPr>
        <w:t>seeks to</w:t>
      </w:r>
      <w:r w:rsidRPr="006574C8">
        <w:rPr>
          <w:i/>
          <w:lang w:val="en-US"/>
        </w:rPr>
        <w:t xml:space="preserve"> </w:t>
      </w:r>
      <w:r w:rsidRPr="006574C8">
        <w:rPr>
          <w:lang w:val="en-US"/>
        </w:rPr>
        <w:t>achieve its goal of protecting the natural environment and those who use it through a series of regulations, prohibitions and reporting requirements.  It</w:t>
      </w:r>
      <w:r w:rsidRPr="006574C8">
        <w:rPr>
          <w:i/>
          <w:lang w:val="en-US"/>
        </w:rPr>
        <w:t xml:space="preserve"> </w:t>
      </w:r>
      <w:r w:rsidRPr="006574C8">
        <w:rPr>
          <w:lang w:val="en-US"/>
        </w:rPr>
        <w:t>also provides for a wide range of inspection, enforcement, preventative and remedial powers</w:t>
      </w:r>
      <w:r w:rsidRPr="006574C8">
        <w:t xml:space="preserve">. </w:t>
      </w:r>
    </w:p>
    <w:p w:rsidR="00F036E5" w:rsidRPr="006574C8" w:rsidRDefault="00F036E5" w:rsidP="00F036E5">
      <w:pPr>
        <w:pStyle w:val="SCCNormalDoubleSpacing"/>
        <w:spacing w:after="480"/>
        <w:rPr>
          <w:lang w:val="en-US"/>
        </w:rPr>
      </w:pPr>
      <w:r w:rsidRPr="006574C8">
        <w:tab/>
      </w:r>
      <w:r w:rsidRPr="006574C8">
        <w:rPr>
          <w:lang w:val="en-US"/>
        </w:rPr>
        <w:t>One of the means by which the</w:t>
      </w:r>
      <w:r w:rsidRPr="006574C8">
        <w:rPr>
          <w:i/>
          <w:lang w:val="en-US"/>
        </w:rPr>
        <w:t xml:space="preserve"> EPA </w:t>
      </w:r>
      <w:r w:rsidRPr="006574C8">
        <w:rPr>
          <w:lang w:val="en-US"/>
        </w:rPr>
        <w:t xml:space="preserve">promotes its protective and preventative purposes is through the prohibition in s. 14(1) against discharging a </w:t>
      </w:r>
      <w:r w:rsidRPr="006574C8">
        <w:rPr>
          <w:lang w:val="en-US"/>
        </w:rPr>
        <w:lastRenderedPageBreak/>
        <w:t xml:space="preserve">contaminant into the natural environment where it is likely to have an “adverse effect”.  This purpose is reinforced by the related requirement in s. 15(1) that any such discharge which is out of the normal course of events be reported to the Ministry of the Environment. </w:t>
      </w:r>
    </w:p>
    <w:p w:rsidR="00F036E5" w:rsidRPr="006574C8" w:rsidRDefault="00F036E5" w:rsidP="00F036E5">
      <w:pPr>
        <w:pStyle w:val="SCCNormalDoubleSpacing"/>
        <w:spacing w:after="480"/>
      </w:pPr>
      <w:r w:rsidRPr="006574C8">
        <w:tab/>
        <w:t>When a contaminant is discharged, the discharger may not know the full extent of the damage caused or likely to be caused.  The purpose of the reporting requirement in s. 15(1) is to ensure that it is the Ministry, and not the discharger, who decides what, if any, further steps are required.  Moreover, many potential harms may be difficult to detect without the expertise and resources of the Ministry.  As a result, the statute places both the obligation to investigate and the decision about what further steps are necessary with the Ministry and not the discharger.  Notification provides the Ministry with the opportunity to conduct an inspection as quickly as possible and to obtain information in order to take any necessary remedial action and to fulfill its statutory mandate.  This enables the Ministry to respond in a timely way to the discharge of a contaminant into the natural environment and to be involved in determining what, if any, preventative or remedial measures are appropriate.</w:t>
      </w:r>
    </w:p>
    <w:p w:rsidR="00F036E5" w:rsidRPr="006574C8" w:rsidRDefault="00F036E5" w:rsidP="00F036E5">
      <w:pPr>
        <w:pStyle w:val="SCCNormalDoubleSpacing"/>
        <w:spacing w:after="480"/>
      </w:pPr>
      <w:r w:rsidRPr="006574C8">
        <w:tab/>
        <w:t xml:space="preserve">“Adverse effect” is defined in s. 1(1) of the </w:t>
      </w:r>
      <w:r w:rsidRPr="006574C8">
        <w:rPr>
          <w:i/>
        </w:rPr>
        <w:t>EPA</w:t>
      </w:r>
      <w:r w:rsidRPr="006574C8">
        <w:t xml:space="preserve">.  It has eight definitional components.  These eight branches of the definition reflect a statutory recognition that protecting the natural environment requires, among other strategies, maximizing the circumstances in which the Ministry of the Environment may investigate and </w:t>
      </w:r>
      <w:r w:rsidRPr="006574C8">
        <w:lastRenderedPageBreak/>
        <w:t xml:space="preserve">remedy environmental harms.  Each of the eight branches provides an independent trigger for the duty to report.  </w:t>
      </w:r>
    </w:p>
    <w:p w:rsidR="00F036E5" w:rsidRPr="006574C8" w:rsidRDefault="00F036E5" w:rsidP="00F036E5">
      <w:pPr>
        <w:pStyle w:val="SCCNormalDoubleSpacing"/>
        <w:spacing w:after="480"/>
      </w:pPr>
      <w:r w:rsidRPr="006574C8">
        <w:tab/>
        <w:t xml:space="preserve">Section 15(1) of the </w:t>
      </w:r>
      <w:r w:rsidRPr="006574C8">
        <w:rPr>
          <w:i/>
        </w:rPr>
        <w:t xml:space="preserve">EPA </w:t>
      </w:r>
      <w:r w:rsidRPr="006574C8">
        <w:t>was clearly engaged in the circumstances of this case and C was required to report the discharge of fly</w:t>
      </w:r>
      <w:r w:rsidRPr="006574C8">
        <w:noBreakHyphen/>
        <w:t>rock forthwith to the Ministry of the Environment.  C “discharged” fly</w:t>
      </w:r>
      <w:r w:rsidRPr="006574C8">
        <w:noBreakHyphen/>
        <w:t>rock into the “natural environment”, and there is no doubt that fly</w:t>
      </w:r>
      <w:r w:rsidRPr="006574C8">
        <w:noBreakHyphen/>
        <w:t>rock meets the definition of “contaminant”.  The discharge was “out of the normal course of events”, and it caused an “adverse effect” under the definition of that term in s. 1(1), namely, it caused injury or damage to property and loss of enjoyment of the normal use of property.  The adverse effects were not trivial.  The force of the blast, and the rocks it produced, were so powerful they caused extensive and significant property damage, penetrating the roof of a residence and landing in the kitchen.  A vehicle was also seriously damaged.  The fly</w:t>
      </w:r>
      <w:r w:rsidRPr="006574C8">
        <w:noBreakHyphen/>
        <w:t>rock could easily have seriously injured or killed someone.  Accordingly, C was required to report the discharge of fly</w:t>
      </w:r>
      <w:r w:rsidRPr="006574C8">
        <w:noBreakHyphen/>
        <w:t xml:space="preserve">rock forthwith to the Ministry of Environment under s. 15(1) of the </w:t>
      </w:r>
      <w:r w:rsidRPr="006574C8">
        <w:rPr>
          <w:i/>
        </w:rPr>
        <w:t>EPA</w:t>
      </w:r>
      <w:r w:rsidRPr="006574C8">
        <w:t>.</w:t>
      </w:r>
    </w:p>
    <w:p w:rsidR="00F036E5" w:rsidRPr="006574C8" w:rsidRDefault="00F036E5" w:rsidP="00F036E5">
      <w:pPr>
        <w:pStyle w:val="SCCNormalDoubleSpacing"/>
        <w:keepNext/>
        <w:keepLines/>
        <w:spacing w:after="720" w:line="240" w:lineRule="auto"/>
        <w:rPr>
          <w:b/>
        </w:rPr>
      </w:pPr>
      <w:r w:rsidRPr="006574C8">
        <w:rPr>
          <w:b/>
        </w:rPr>
        <w:t>Cases Cited</w:t>
      </w:r>
    </w:p>
    <w:p w:rsidR="00F036E5" w:rsidRPr="006574C8" w:rsidRDefault="00F036E5" w:rsidP="00F036E5">
      <w:pPr>
        <w:pStyle w:val="SCCNormalDoubleSpacing"/>
        <w:spacing w:after="480"/>
      </w:pPr>
      <w:r w:rsidRPr="006574C8">
        <w:tab/>
      </w:r>
      <w:r w:rsidRPr="006574C8">
        <w:rPr>
          <w:b/>
        </w:rPr>
        <w:t>Referred to:</w:t>
      </w:r>
      <w:r w:rsidRPr="006574C8">
        <w:t xml:space="preserve">  </w:t>
      </w:r>
      <w:r w:rsidRPr="006574C8">
        <w:rPr>
          <w:i/>
        </w:rPr>
        <w:t>Ontario v. Canadian Pacific Ltd.</w:t>
      </w:r>
      <w:r w:rsidRPr="006574C8">
        <w:t xml:space="preserve">, [1995] 2 S.C.R. 1031; </w:t>
      </w:r>
      <w:r w:rsidRPr="006574C8">
        <w:rPr>
          <w:i/>
        </w:rPr>
        <w:t>R. v. Dow Chemical Canada Inc.</w:t>
      </w:r>
      <w:r w:rsidRPr="006574C8">
        <w:t xml:space="preserve"> (2000), 47 O.R. (3d) 577; </w:t>
      </w:r>
      <w:r w:rsidRPr="006574C8">
        <w:rPr>
          <w:i/>
        </w:rPr>
        <w:t>114957</w:t>
      </w:r>
      <w:r w:rsidRPr="006574C8">
        <w:t xml:space="preserve"> </w:t>
      </w:r>
      <w:r w:rsidRPr="006574C8">
        <w:rPr>
          <w:i/>
        </w:rPr>
        <w:t xml:space="preserve">Canada Ltée (Spraytech, Société d’arrosage) </w:t>
      </w:r>
      <w:r w:rsidRPr="006574C8">
        <w:rPr>
          <w:i/>
          <w:iCs/>
        </w:rPr>
        <w:t>v</w:t>
      </w:r>
      <w:r w:rsidRPr="006574C8">
        <w:rPr>
          <w:i/>
        </w:rPr>
        <w:t>. Hudson (Town)</w:t>
      </w:r>
      <w:r w:rsidRPr="006574C8">
        <w:t xml:space="preserve">, </w:t>
      </w:r>
      <w:bookmarkStart w:id="0" w:name="reflex-caselaw-87183227"/>
      <w:bookmarkEnd w:id="0"/>
      <w:r w:rsidRPr="006574C8">
        <w:t>2001 SCC 40, [2001] 2 S.C.R. 241.</w:t>
      </w:r>
    </w:p>
    <w:p w:rsidR="00F036E5" w:rsidRPr="006574C8" w:rsidRDefault="00F036E5" w:rsidP="00F036E5">
      <w:pPr>
        <w:pStyle w:val="SCCNormalDoubleSpacing"/>
        <w:keepNext/>
        <w:keepLines/>
        <w:spacing w:after="720" w:line="240" w:lineRule="auto"/>
        <w:rPr>
          <w:b/>
        </w:rPr>
      </w:pPr>
      <w:r w:rsidRPr="006574C8">
        <w:rPr>
          <w:b/>
        </w:rPr>
        <w:lastRenderedPageBreak/>
        <w:t>Statutes and Regulations Cited</w:t>
      </w:r>
    </w:p>
    <w:p w:rsidR="00F036E5" w:rsidRPr="006574C8" w:rsidRDefault="00F036E5" w:rsidP="00F036E5">
      <w:pPr>
        <w:pStyle w:val="SCCNormalDoubleSpacing"/>
        <w:spacing w:after="240" w:line="240" w:lineRule="auto"/>
        <w:ind w:left="547" w:hanging="547"/>
      </w:pPr>
      <w:r w:rsidRPr="006574C8">
        <w:rPr>
          <w:i/>
        </w:rPr>
        <w:t>Environmental Protection Act</w:t>
      </w:r>
      <w:r w:rsidRPr="006574C8">
        <w:t>, R.S.O. 1980, c. 141, s. 13(1).</w:t>
      </w:r>
    </w:p>
    <w:p w:rsidR="00F036E5" w:rsidRPr="006574C8" w:rsidRDefault="00F036E5" w:rsidP="00F036E5">
      <w:pPr>
        <w:pStyle w:val="SCCNormalDoubleSpacing"/>
        <w:spacing w:after="240" w:line="240" w:lineRule="auto"/>
        <w:ind w:left="547" w:hanging="547"/>
      </w:pPr>
      <w:r w:rsidRPr="006574C8">
        <w:rPr>
          <w:i/>
        </w:rPr>
        <w:t>Environmental Protection Act</w:t>
      </w:r>
      <w:r w:rsidRPr="006574C8">
        <w:t>, R.S.O. 1990, c. E</w:t>
      </w:r>
      <w:r w:rsidR="007C56EF">
        <w:t>.</w:t>
      </w:r>
      <w:r w:rsidRPr="006574C8">
        <w:t>19, ss. 1(1) “adverse effect”, “contaminant”, “discharge”, “natural environment”, 3, 6, 7, 8, 14, 15(1), 17, 18, 91.1, 92, 93, 94, 97, 132, 156, 157, 157.1</w:t>
      </w:r>
      <w:r w:rsidR="007C56EF">
        <w:t>, 188.1</w:t>
      </w:r>
      <w:r w:rsidRPr="006574C8">
        <w:t>.</w:t>
      </w:r>
    </w:p>
    <w:p w:rsidR="00F036E5" w:rsidRPr="006574C8" w:rsidRDefault="00F036E5" w:rsidP="00F036E5">
      <w:pPr>
        <w:pStyle w:val="SCCNormalDoubleSpacing"/>
        <w:spacing w:after="240" w:line="240" w:lineRule="auto"/>
        <w:ind w:left="547" w:hanging="547"/>
      </w:pPr>
      <w:r w:rsidRPr="006574C8">
        <w:rPr>
          <w:i/>
        </w:rPr>
        <w:t>Legislation Act, 2006</w:t>
      </w:r>
      <w:r w:rsidRPr="006574C8">
        <w:t>,</w:t>
      </w:r>
      <w:r w:rsidRPr="006574C8">
        <w:rPr>
          <w:i/>
        </w:rPr>
        <w:t xml:space="preserve"> </w:t>
      </w:r>
      <w:r w:rsidRPr="006574C8">
        <w:t>S.O. 2006, c. 21, Sch. F, s. 64.</w:t>
      </w:r>
    </w:p>
    <w:p w:rsidR="00F036E5" w:rsidRPr="006574C8" w:rsidRDefault="00F036E5" w:rsidP="00F036E5">
      <w:pPr>
        <w:pStyle w:val="SCCNormalDoubleSpacing"/>
        <w:spacing w:after="720" w:line="240" w:lineRule="auto"/>
        <w:ind w:left="547" w:hanging="547"/>
      </w:pPr>
      <w:r w:rsidRPr="006574C8">
        <w:rPr>
          <w:i/>
          <w:iCs/>
        </w:rPr>
        <w:t>Occupational Health and Safety Act</w:t>
      </w:r>
      <w:r w:rsidRPr="006574C8">
        <w:t>, R.S.O. 1990, c. O.1, s. 53.</w:t>
      </w:r>
    </w:p>
    <w:p w:rsidR="00F036E5" w:rsidRPr="006574C8" w:rsidRDefault="00F036E5" w:rsidP="00F036E5">
      <w:pPr>
        <w:pStyle w:val="SCCNormalDoubleSpacing"/>
        <w:keepNext/>
        <w:keepLines/>
        <w:spacing w:after="720" w:line="240" w:lineRule="auto"/>
        <w:rPr>
          <w:b/>
        </w:rPr>
      </w:pPr>
      <w:r w:rsidRPr="006574C8">
        <w:rPr>
          <w:b/>
        </w:rPr>
        <w:t>Authors Cited</w:t>
      </w:r>
    </w:p>
    <w:p w:rsidR="00F036E5" w:rsidRPr="006574C8" w:rsidRDefault="00F036E5" w:rsidP="00F036E5">
      <w:pPr>
        <w:pStyle w:val="SCCNormalDoubleSpacing"/>
        <w:spacing w:after="720" w:line="240" w:lineRule="auto"/>
        <w:ind w:left="547" w:hanging="547"/>
      </w:pPr>
      <w:r w:rsidRPr="006574C8">
        <w:t xml:space="preserve">McIntyre, Owen, and Thomas Mosedale.  “The Precautionary Principle as a Norm of Customary International Law” (1997), 9 </w:t>
      </w:r>
      <w:r w:rsidRPr="006574C8">
        <w:rPr>
          <w:i/>
        </w:rPr>
        <w:t>J. Envtl. L.</w:t>
      </w:r>
      <w:r w:rsidRPr="006574C8">
        <w:t xml:space="preserve"> 221.</w:t>
      </w:r>
    </w:p>
    <w:p w:rsidR="00F036E5" w:rsidRPr="006574C8" w:rsidRDefault="00F036E5" w:rsidP="00F036E5">
      <w:pPr>
        <w:pStyle w:val="SCCNormalDoubleSpacing"/>
        <w:spacing w:after="480"/>
        <w:rPr>
          <w:lang w:val="en-US"/>
        </w:rPr>
      </w:pPr>
      <w:r w:rsidRPr="006574C8">
        <w:tab/>
        <w:t xml:space="preserve">APPEAL from a judgment of the Ontario Court of Appeal (MacPherson, Simmons and Blair JJ.A.), </w:t>
      </w:r>
      <w:r w:rsidRPr="006574C8">
        <w:rPr>
          <w:lang w:val="en-US"/>
        </w:rPr>
        <w:t>2012 ONCA 165, 109 O.R. (3d) 401, 289 O.A.C. 146, 65 C.E.L.R. (3d) 1, 10 C.L.R. (4th) 165, [2012] O.J. No. 1161 (QL), 2012 CarswellOnt 2199, affirming a decision of Ray J., 2011 ONSC 767, 57 C.E.L.R. (3d) 142, 226 C.R.R. (2d) 180, [2011] O.J. No. 364 (QL), 2011 CarswellOnt 467, which set aside a decision of Hunter J., 53 C.E.L.R. (3d) 140, [2010] O.J. No. 5713 (QL), 2010 CarswellOnt 6245.  Appeal dismissed.</w:t>
      </w:r>
    </w:p>
    <w:p w:rsidR="00F036E5" w:rsidRPr="006574C8" w:rsidRDefault="00F036E5" w:rsidP="00F036E5">
      <w:pPr>
        <w:pStyle w:val="SCCNormalDoubleSpacing"/>
        <w:spacing w:after="480"/>
      </w:pPr>
      <w:r w:rsidRPr="006574C8">
        <w:rPr>
          <w:i/>
        </w:rPr>
        <w:tab/>
        <w:t>J. Bruce McMeekin</w:t>
      </w:r>
      <w:r w:rsidRPr="006574C8">
        <w:t xml:space="preserve">, </w:t>
      </w:r>
      <w:r w:rsidRPr="006574C8">
        <w:rPr>
          <w:i/>
        </w:rPr>
        <w:t>Andrea Farkouh</w:t>
      </w:r>
      <w:r w:rsidRPr="007C56EF">
        <w:t xml:space="preserve"> and</w:t>
      </w:r>
      <w:r w:rsidRPr="006574C8">
        <w:rPr>
          <w:i/>
        </w:rPr>
        <w:t xml:space="preserve"> Marie</w:t>
      </w:r>
      <w:r w:rsidRPr="006574C8">
        <w:rPr>
          <w:i/>
        </w:rPr>
        <w:noBreakHyphen/>
        <w:t>France Major</w:t>
      </w:r>
      <w:r w:rsidRPr="006574C8">
        <w:t>, for the appellant.</w:t>
      </w:r>
    </w:p>
    <w:p w:rsidR="00F036E5" w:rsidRPr="006574C8" w:rsidRDefault="00F036E5" w:rsidP="00F036E5">
      <w:pPr>
        <w:pStyle w:val="SCCNormalDoubleSpacing"/>
        <w:spacing w:after="480"/>
      </w:pPr>
      <w:r w:rsidRPr="006574C8">
        <w:rPr>
          <w:i/>
        </w:rPr>
        <w:tab/>
        <w:t>Sara Blake</w:t>
      </w:r>
      <w:r w:rsidRPr="006574C8">
        <w:t xml:space="preserve">, </w:t>
      </w:r>
      <w:r w:rsidRPr="006574C8">
        <w:rPr>
          <w:i/>
        </w:rPr>
        <w:t>Paul McCulloch</w:t>
      </w:r>
      <w:r w:rsidRPr="006574C8">
        <w:t xml:space="preserve"> and </w:t>
      </w:r>
      <w:r w:rsidRPr="006574C8">
        <w:rPr>
          <w:i/>
        </w:rPr>
        <w:t>Danielle Meuleman</w:t>
      </w:r>
      <w:r w:rsidRPr="006574C8">
        <w:t>, for the respondent.</w:t>
      </w:r>
    </w:p>
    <w:p w:rsidR="00F036E5" w:rsidRDefault="00F036E5" w:rsidP="00F036E5">
      <w:pPr>
        <w:pStyle w:val="SCCNormalDoubleSpacing"/>
        <w:spacing w:after="480"/>
      </w:pPr>
      <w:r w:rsidRPr="006574C8">
        <w:rPr>
          <w:i/>
        </w:rPr>
        <w:lastRenderedPageBreak/>
        <w:tab/>
        <w:t>Joseph F. Castrilli</w:t>
      </w:r>
      <w:r w:rsidRPr="006574C8">
        <w:t xml:space="preserve"> and </w:t>
      </w:r>
      <w:r w:rsidRPr="006574C8">
        <w:rPr>
          <w:i/>
        </w:rPr>
        <w:t>Ramani Nadarajah</w:t>
      </w:r>
      <w:r w:rsidRPr="006574C8">
        <w:t>, for the interveners.</w:t>
      </w:r>
    </w:p>
    <w:p w:rsidR="00F036E5" w:rsidRPr="007C56EF" w:rsidRDefault="00F036E5" w:rsidP="00F036E5">
      <w:pPr>
        <w:pStyle w:val="JudgeJuge"/>
        <w:rPr>
          <w:smallCaps w:val="0"/>
        </w:rPr>
      </w:pPr>
      <w:r w:rsidRPr="006363DB">
        <w:tab/>
      </w:r>
      <w:r w:rsidR="007C56EF" w:rsidRPr="007C56EF">
        <w:rPr>
          <w:smallCaps w:val="0"/>
        </w:rPr>
        <w:t>The</w:t>
      </w:r>
      <w:r w:rsidRPr="007C56EF">
        <w:rPr>
          <w:smallCaps w:val="0"/>
        </w:rPr>
        <w:t xml:space="preserve"> </w:t>
      </w:r>
      <w:r w:rsidR="007C56EF">
        <w:rPr>
          <w:smallCaps w:val="0"/>
        </w:rPr>
        <w:t>judgment of the Court was delivered by</w:t>
      </w:r>
    </w:p>
    <w:p w:rsidR="00F036E5" w:rsidRPr="006363DB" w:rsidRDefault="007C56EF" w:rsidP="00F63DDB">
      <w:pPr>
        <w:pStyle w:val="ParaNoNdepar-AltN"/>
        <w:tabs>
          <w:tab w:val="clear" w:pos="1872"/>
        </w:tabs>
        <w:ind w:left="0"/>
        <w:rPr>
          <w:rFonts w:cs="Times New Roman"/>
        </w:rPr>
      </w:pPr>
      <w:r w:rsidRPr="007C56EF">
        <w:rPr>
          <w:smallCaps/>
        </w:rPr>
        <w:t>Abella J.</w:t>
      </w:r>
      <w:r w:rsidRPr="006363DB">
        <w:t xml:space="preserve"> — </w:t>
      </w:r>
      <w:r w:rsidR="00F036E5" w:rsidRPr="006363DB">
        <w:rPr>
          <w:rFonts w:cs="Times New Roman"/>
        </w:rPr>
        <w:t xml:space="preserve">Ontario’s </w:t>
      </w:r>
      <w:r w:rsidR="00F036E5" w:rsidRPr="006363DB">
        <w:rPr>
          <w:rFonts w:cs="Times New Roman"/>
          <w:i/>
        </w:rPr>
        <w:t>Environmental Protection Act</w:t>
      </w:r>
      <w:r w:rsidR="00EE6F79">
        <w:rPr>
          <w:rFonts w:cs="Times New Roman"/>
        </w:rPr>
        <w:t>, R.S.O. 1990, c. E.</w:t>
      </w:r>
      <w:r w:rsidR="00F036E5" w:rsidRPr="006363DB">
        <w:rPr>
          <w:rFonts w:cs="Times New Roman"/>
        </w:rPr>
        <w:t>19 (“</w:t>
      </w:r>
      <w:r w:rsidR="00F036E5" w:rsidRPr="006363DB">
        <w:rPr>
          <w:rFonts w:cs="Times New Roman"/>
          <w:i/>
        </w:rPr>
        <w:t>EPA</w:t>
      </w:r>
      <w:r w:rsidR="00F036E5" w:rsidRPr="006363DB">
        <w:rPr>
          <w:rFonts w:cs="Times New Roman"/>
        </w:rPr>
        <w:t xml:space="preserve">”), requires that the Ministry of the Environment be immediately notified when a </w:t>
      </w:r>
      <w:r w:rsidR="00F036E5" w:rsidRPr="00F63DDB">
        <w:t>contaminant</w:t>
      </w:r>
      <w:r w:rsidR="00F036E5" w:rsidRPr="006363DB">
        <w:rPr>
          <w:rFonts w:cs="Times New Roman"/>
        </w:rPr>
        <w:t xml:space="preserve"> is discharged into the environment.  There are two pre-conditions to this reporting requirement — the discharge must have been out of the normal course of events and it must have had — or was likely to have — an adverse environmental impact.  The purpose of the requirement is to let the Ministry know about potential environmental damage so that any consequential remedial steps can be taken in a timely way.</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The interpretive </w:t>
      </w:r>
      <w:r w:rsidRPr="00F63DDB">
        <w:t>exercise</w:t>
      </w:r>
      <w:r w:rsidRPr="006363DB">
        <w:rPr>
          <w:rFonts w:cs="Times New Roman"/>
        </w:rPr>
        <w:t xml:space="preserve"> engaged in this appeal is to determine when the reporting requirement is triggered.  In my view, there is clarity both of legislative purpose and language: the Ministry of the Environment must be notified when there has been a discharge of a contaminant out of the normal course of events without waiting for proof that the natural environment has, in fact, been impaired.  In other words: when in doubt, report.</w:t>
      </w:r>
    </w:p>
    <w:p w:rsidR="00F036E5" w:rsidRPr="006363DB" w:rsidRDefault="00F036E5" w:rsidP="00F036E5">
      <w:pPr>
        <w:pStyle w:val="TitleTitre-AltT"/>
        <w:rPr>
          <w:rFonts w:cs="Times New Roman"/>
          <w:u w:val="single"/>
        </w:rPr>
      </w:pPr>
      <w:r w:rsidRPr="006363DB">
        <w:rPr>
          <w:rFonts w:cs="Times New Roman"/>
          <w:u w:val="single"/>
        </w:rPr>
        <w:t>Background</w:t>
      </w:r>
    </w:p>
    <w:p w:rsidR="00F036E5" w:rsidRPr="006363DB" w:rsidRDefault="00F036E5" w:rsidP="00F63DDB">
      <w:pPr>
        <w:pStyle w:val="ParaNoNdepar-AltN"/>
        <w:tabs>
          <w:tab w:val="clear" w:pos="1872"/>
        </w:tabs>
        <w:ind w:left="0"/>
        <w:rPr>
          <w:rFonts w:cs="Times New Roman"/>
        </w:rPr>
      </w:pPr>
      <w:r w:rsidRPr="006363DB">
        <w:rPr>
          <w:rFonts w:cs="Times New Roman"/>
        </w:rPr>
        <w:lastRenderedPageBreak/>
        <w:t>In 200</w:t>
      </w:r>
      <w:r w:rsidRPr="00F63DDB">
        <w:t>7</w:t>
      </w:r>
      <w:r w:rsidRPr="006363DB">
        <w:rPr>
          <w:rFonts w:cs="Times New Roman"/>
        </w:rPr>
        <w:t xml:space="preserve">, Castonguay Blasting Ltd. was hired as a subcontractor to conduct blasting operations for a highway-widening project commissioned by the Ontario Ministry of Transportation.  </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On </w:t>
      </w:r>
      <w:r w:rsidRPr="00F63DDB">
        <w:t>November</w:t>
      </w:r>
      <w:r w:rsidRPr="006363DB">
        <w:rPr>
          <w:rFonts w:cs="Times New Roman"/>
        </w:rPr>
        <w:t xml:space="preserve"> 26, 2007, Castonguay was blasting rock when the operation went awry and rock debris known as “fly-rock” was propelled into the air by an explosion.  Had the blast been carried out according to plan, the force of the blast would have been contained and concentrated inwards, reducing the risk of shattered rock becoming airborne.  In this case, however, the fly-rock shot approximately 90 metres in the air and crashed through the roof of a home, damaging the kitchen ceiling, the siding and the eavestroughs.  Some of the fly-rock hit a car, breaking the windshield and damaging the hood.  There was also a significant amount of rock in the yard. </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Castonguay </w:t>
      </w:r>
      <w:r w:rsidRPr="00F63DDB">
        <w:t>immediately</w:t>
      </w:r>
      <w:r w:rsidRPr="006363DB">
        <w:rPr>
          <w:rFonts w:cs="Times New Roman"/>
        </w:rPr>
        <w:t xml:space="preserve"> reported the incident to the contract administrator, who in turn reported it to the Ministry of Transportation (which had commissioned the project) and the provincial Ministry of Labour in accordance with the requirements in s. 53 of the </w:t>
      </w:r>
      <w:r w:rsidRPr="006363DB">
        <w:rPr>
          <w:rFonts w:cs="Times New Roman"/>
          <w:i/>
          <w:iCs/>
        </w:rPr>
        <w:t>Occupational Health and Safety Act</w:t>
      </w:r>
      <w:r w:rsidRPr="006363DB">
        <w:rPr>
          <w:rFonts w:cs="Times New Roman"/>
        </w:rPr>
        <w:t xml:space="preserve">, R.S.O. 1990, c. O.1.  Further blasting on the project stopped until the site was inspected and remedial steps were agreed to with the Ministry of Labour.  </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Castonguay did not report the incident to the Ministry of the Environment.  That Ministry was not notified until May 2008, when it was told about the incident by the Ministry of Transportation.  </w:t>
      </w:r>
    </w:p>
    <w:p w:rsidR="00F036E5" w:rsidRPr="006363DB" w:rsidRDefault="00F036E5" w:rsidP="00F63DDB">
      <w:pPr>
        <w:pStyle w:val="ParaNoNdepar-AltN"/>
        <w:tabs>
          <w:tab w:val="clear" w:pos="1872"/>
        </w:tabs>
        <w:ind w:left="0"/>
        <w:rPr>
          <w:rFonts w:cs="Times New Roman"/>
        </w:rPr>
      </w:pPr>
      <w:r w:rsidRPr="006363DB">
        <w:rPr>
          <w:rFonts w:cs="Times New Roman"/>
        </w:rPr>
        <w:lastRenderedPageBreak/>
        <w:t xml:space="preserve">In September </w:t>
      </w:r>
      <w:r w:rsidRPr="00F63DDB">
        <w:t>2009</w:t>
      </w:r>
      <w:r w:rsidRPr="006363DB">
        <w:rPr>
          <w:rFonts w:cs="Times New Roman"/>
        </w:rPr>
        <w:t xml:space="preserve">, Castonguay was charged with failing to report the “discharge of a contaminant into the natural environment” to the Ministry of the Environment contrary to s. 15(1) of the </w:t>
      </w:r>
      <w:r w:rsidRPr="006363DB">
        <w:rPr>
          <w:rFonts w:cs="Times New Roman"/>
          <w:i/>
        </w:rPr>
        <w:t>EPA</w:t>
      </w:r>
      <w:r w:rsidRPr="006363DB">
        <w:rPr>
          <w:rFonts w:cs="Times New Roman"/>
        </w:rPr>
        <w:t xml:space="preserve">.  Castonguay was acquitted by the Ontario Court of Justice. The Ontario Superior Court of Justice set aside the acquittal and entered a conviction (2011 ONSC 767, 57 C.E.L.R. (3d) 142). Castonguay appealed on the basis that s. 15(1) was not triggered in these circumstances.  </w:t>
      </w:r>
    </w:p>
    <w:p w:rsidR="00F036E5" w:rsidRPr="006363DB" w:rsidRDefault="00F036E5" w:rsidP="00F63DDB">
      <w:pPr>
        <w:pStyle w:val="ParaNoNdepar-AltN"/>
        <w:tabs>
          <w:tab w:val="clear" w:pos="1872"/>
        </w:tabs>
        <w:ind w:left="0"/>
        <w:rPr>
          <w:rFonts w:cs="Times New Roman"/>
          <w:lang w:val="en-US"/>
        </w:rPr>
      </w:pPr>
      <w:r w:rsidRPr="006363DB">
        <w:rPr>
          <w:rFonts w:cs="Times New Roman"/>
        </w:rPr>
        <w:t xml:space="preserve">In the Court of </w:t>
      </w:r>
      <w:r w:rsidRPr="00F63DDB">
        <w:t>Appeal</w:t>
      </w:r>
      <w:r w:rsidRPr="006363DB">
        <w:rPr>
          <w:rFonts w:cs="Times New Roman"/>
        </w:rPr>
        <w:t xml:space="preserve"> (2012 ONCA 165, 109 O.R. (3d) 401), MacPherson J.A., writing for the majority, concluded that the plain meaning of the relevant provisions of the </w:t>
      </w:r>
      <w:r w:rsidRPr="006363DB">
        <w:rPr>
          <w:rFonts w:cs="Times New Roman"/>
          <w:i/>
        </w:rPr>
        <w:t>EPA</w:t>
      </w:r>
      <w:r w:rsidRPr="006363DB">
        <w:rPr>
          <w:rFonts w:cs="Times New Roman"/>
        </w:rPr>
        <w:t xml:space="preserve">, the relevant case law, and a proper understanding of the broad purposes of the </w:t>
      </w:r>
      <w:r w:rsidRPr="006363DB">
        <w:rPr>
          <w:rFonts w:cs="Times New Roman"/>
          <w:i/>
        </w:rPr>
        <w:t>EPA</w:t>
      </w:r>
      <w:r w:rsidRPr="006363DB">
        <w:rPr>
          <w:rFonts w:cs="Times New Roman"/>
        </w:rPr>
        <w:t xml:space="preserve"> confirmed that the discharge of the fly-rock in this case was covered by s. 15(1) of the </w:t>
      </w:r>
      <w:r w:rsidRPr="006363DB">
        <w:rPr>
          <w:rFonts w:cs="Times New Roman"/>
          <w:i/>
        </w:rPr>
        <w:t>EPA</w:t>
      </w:r>
      <w:r w:rsidRPr="006363DB">
        <w:rPr>
          <w:rFonts w:cs="Times New Roman"/>
        </w:rPr>
        <w:t xml:space="preserve"> and that Castonguay was therefore required to report the incident to the Ministry of the Environment.  In dissent, Blair J.A. found no breach of s. 15(1) in these circumstances.  I agree with the majority that Castonguay was required to report the incident. </w:t>
      </w:r>
    </w:p>
    <w:p w:rsidR="00F036E5" w:rsidRPr="006363DB" w:rsidRDefault="00F036E5" w:rsidP="00F036E5">
      <w:pPr>
        <w:pStyle w:val="ParaNoNdepar-AltN"/>
        <w:numPr>
          <w:ilvl w:val="0"/>
          <w:numId w:val="0"/>
        </w:numPr>
        <w:rPr>
          <w:rFonts w:cs="Times New Roman"/>
          <w:u w:val="single"/>
        </w:rPr>
      </w:pPr>
      <w:r w:rsidRPr="006363DB">
        <w:rPr>
          <w:rFonts w:cs="Times New Roman"/>
          <w:u w:val="single"/>
        </w:rPr>
        <w:t>Analysis</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The </w:t>
      </w:r>
      <w:r w:rsidRPr="006363DB">
        <w:rPr>
          <w:rFonts w:cs="Times New Roman"/>
          <w:i/>
        </w:rPr>
        <w:t xml:space="preserve">EPA </w:t>
      </w:r>
      <w:r w:rsidRPr="006363DB">
        <w:rPr>
          <w:rFonts w:cs="Times New Roman"/>
        </w:rPr>
        <w:t xml:space="preserve">is </w:t>
      </w:r>
      <w:r w:rsidRPr="00F63DDB">
        <w:t>Ontario’s</w:t>
      </w:r>
      <w:r w:rsidRPr="006363DB">
        <w:rPr>
          <w:rFonts w:cs="Times New Roman"/>
        </w:rPr>
        <w:t xml:space="preserve"> principal environmental protection statute.  Its status as remedial legislation entitles it to a</w:t>
      </w:r>
      <w:r>
        <w:rPr>
          <w:rFonts w:cs="Times New Roman"/>
        </w:rPr>
        <w:t xml:space="preserve"> </w:t>
      </w:r>
      <w:r w:rsidRPr="006363DB">
        <w:rPr>
          <w:rFonts w:cs="Times New Roman"/>
        </w:rPr>
        <w:t>generous interpretation (</w:t>
      </w:r>
      <w:r w:rsidRPr="006363DB">
        <w:rPr>
          <w:rFonts w:cs="Times New Roman"/>
          <w:i/>
        </w:rPr>
        <w:t>Legislation Act, 2006</w:t>
      </w:r>
      <w:r w:rsidRPr="006363DB">
        <w:rPr>
          <w:rFonts w:cs="Times New Roman"/>
        </w:rPr>
        <w:t>,</w:t>
      </w:r>
      <w:r w:rsidRPr="006363DB">
        <w:rPr>
          <w:rFonts w:cs="Times New Roman"/>
          <w:i/>
        </w:rPr>
        <w:t xml:space="preserve"> </w:t>
      </w:r>
      <w:r w:rsidRPr="006363DB">
        <w:rPr>
          <w:rFonts w:cs="Times New Roman"/>
        </w:rPr>
        <w:t xml:space="preserve">S.O. 2006, c. 21, Sch. F, s. 64; </w:t>
      </w:r>
      <w:r w:rsidRPr="006363DB">
        <w:rPr>
          <w:rFonts w:cs="Times New Roman"/>
          <w:i/>
        </w:rPr>
        <w:t>Ontario v. Canadian Pacific Ltd.</w:t>
      </w:r>
      <w:r w:rsidRPr="006363DB">
        <w:rPr>
          <w:rFonts w:cs="Times New Roman"/>
        </w:rPr>
        <w:t>,</w:t>
      </w:r>
      <w:r w:rsidRPr="006363DB">
        <w:rPr>
          <w:rFonts w:cs="Times New Roman"/>
          <w:i/>
        </w:rPr>
        <w:t xml:space="preserve"> </w:t>
      </w:r>
      <w:r w:rsidRPr="006363DB">
        <w:rPr>
          <w:rFonts w:cs="Times New Roman"/>
        </w:rPr>
        <w:t>[1995] 2 S.C.R. 1031,</w:t>
      </w:r>
      <w:r w:rsidRPr="006363DB">
        <w:rPr>
          <w:rFonts w:cs="Times New Roman"/>
          <w:i/>
        </w:rPr>
        <w:t xml:space="preserve"> </w:t>
      </w:r>
      <w:r w:rsidRPr="006363DB">
        <w:rPr>
          <w:rFonts w:cs="Times New Roman"/>
        </w:rPr>
        <w:t xml:space="preserve">at para. 84).  Moreover, as this Court recognized in </w:t>
      </w:r>
      <w:r w:rsidRPr="006363DB">
        <w:rPr>
          <w:rFonts w:cs="Times New Roman"/>
          <w:i/>
        </w:rPr>
        <w:t>Canadian Pacific</w:t>
      </w:r>
      <w:r w:rsidRPr="006363DB">
        <w:rPr>
          <w:rFonts w:cs="Times New Roman"/>
        </w:rPr>
        <w:t>,</w:t>
      </w:r>
      <w:r w:rsidRPr="006363DB">
        <w:rPr>
          <w:rFonts w:cs="Times New Roman"/>
          <w:i/>
        </w:rPr>
        <w:t xml:space="preserve"> </w:t>
      </w:r>
      <w:r w:rsidRPr="006363DB">
        <w:rPr>
          <w:rFonts w:cs="Times New Roman"/>
        </w:rPr>
        <w:t>environmental protection is a complex subject matter — the environment itself and the wide range of activities which might harm it are not easily cond</w:t>
      </w:r>
      <w:r w:rsidR="00615833">
        <w:rPr>
          <w:rFonts w:cs="Times New Roman"/>
        </w:rPr>
        <w:t xml:space="preserve">ucive to precise </w:t>
      </w:r>
      <w:r w:rsidR="00615833">
        <w:rPr>
          <w:rFonts w:cs="Times New Roman"/>
        </w:rPr>
        <w:lastRenderedPageBreak/>
        <w:t>codification (</w:t>
      </w:r>
      <w:r w:rsidRPr="006363DB">
        <w:rPr>
          <w:rFonts w:cs="Times New Roman"/>
        </w:rPr>
        <w:t xml:space="preserve">para. 43).  As a result, environmental legislation embraces an expansive approach to ensure that it can adequately respond “to a wide variety of environmentally harmful scenarios, including ones which might not have been foreseen by the drafters of the legislation” (para. 43).  Because the legislature is pursuing the objective of environmental protection, its intended reach is wide and deep (para. 84).  </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The overall </w:t>
      </w:r>
      <w:r w:rsidRPr="00F63DDB">
        <w:t>purpose</w:t>
      </w:r>
      <w:r w:rsidRPr="006363DB">
        <w:rPr>
          <w:rFonts w:cs="Times New Roman"/>
        </w:rPr>
        <w:t xml:space="preserve"> of the </w:t>
      </w:r>
      <w:r w:rsidRPr="006363DB">
        <w:rPr>
          <w:rFonts w:cs="Times New Roman"/>
          <w:i/>
        </w:rPr>
        <w:t xml:space="preserve">EPA </w:t>
      </w:r>
      <w:r w:rsidRPr="006363DB">
        <w:rPr>
          <w:rFonts w:cs="Times New Roman"/>
        </w:rPr>
        <w:t>is</w:t>
      </w:r>
      <w:r w:rsidRPr="006363DB">
        <w:rPr>
          <w:rFonts w:cs="Times New Roman"/>
          <w:i/>
        </w:rPr>
        <w:t xml:space="preserve"> </w:t>
      </w:r>
      <w:r w:rsidRPr="006363DB">
        <w:rPr>
          <w:rFonts w:cs="Times New Roman"/>
        </w:rPr>
        <w:t>set out in s. 3: “The purpose of this Act is to provide for the protection and conservat</w:t>
      </w:r>
      <w:r w:rsidR="0040161B">
        <w:rPr>
          <w:rFonts w:cs="Times New Roman"/>
        </w:rPr>
        <w:t>ion of the natural environment.”</w:t>
      </w:r>
      <w:r w:rsidRPr="006363DB">
        <w:rPr>
          <w:rFonts w:cs="Times New Roman"/>
        </w:rPr>
        <w:t xml:space="preserve">  “[N]atural environment” is defined in s. 1(1) as the “air, land and water, or any combination or part thereof, of the Province of Ontario”.  The </w:t>
      </w:r>
      <w:r w:rsidRPr="006363DB">
        <w:rPr>
          <w:rFonts w:cs="Times New Roman"/>
          <w:i/>
        </w:rPr>
        <w:t xml:space="preserve">EPA </w:t>
      </w:r>
      <w:r w:rsidRPr="006363DB">
        <w:rPr>
          <w:rFonts w:cs="Times New Roman"/>
        </w:rPr>
        <w:t xml:space="preserve">also protects those who </w:t>
      </w:r>
      <w:r w:rsidRPr="006363DB">
        <w:rPr>
          <w:rFonts w:cs="Times New Roman"/>
          <w:i/>
        </w:rPr>
        <w:t>use</w:t>
      </w:r>
      <w:r w:rsidRPr="006363DB">
        <w:rPr>
          <w:rFonts w:cs="Times New Roman"/>
        </w:rPr>
        <w:t xml:space="preserve"> the natural environment by protecting human health, plant and animal life, and property.  This purpose was aptly summarized by MacPherson J.A. in </w:t>
      </w:r>
      <w:r w:rsidRPr="006363DB">
        <w:rPr>
          <w:rFonts w:cs="Times New Roman"/>
          <w:i/>
        </w:rPr>
        <w:t xml:space="preserve">R. v. Dow Chemical Canada Inc. </w:t>
      </w:r>
      <w:r w:rsidRPr="006363DB">
        <w:rPr>
          <w:rFonts w:cs="Times New Roman"/>
        </w:rPr>
        <w:t>(2000), 47 O.R. (3d) 577 (C.A.),</w:t>
      </w:r>
      <w:r w:rsidRPr="006363DB">
        <w:rPr>
          <w:rFonts w:cs="Times New Roman"/>
          <w:i/>
        </w:rPr>
        <w:t xml:space="preserve"> </w:t>
      </w:r>
      <w:r w:rsidRPr="006363DB">
        <w:rPr>
          <w:rFonts w:cs="Times New Roman"/>
        </w:rPr>
        <w:t xml:space="preserve">as being “to protect the natural environment and the people who live, work and play in it” (para. 49). </w:t>
      </w:r>
    </w:p>
    <w:p w:rsidR="00F036E5" w:rsidRPr="006363DB" w:rsidRDefault="00F036E5" w:rsidP="00F63DDB">
      <w:pPr>
        <w:pStyle w:val="ParaNoNdepar-AltN"/>
        <w:tabs>
          <w:tab w:val="clear" w:pos="1872"/>
        </w:tabs>
        <w:ind w:left="0"/>
        <w:rPr>
          <w:rFonts w:cs="Times New Roman"/>
          <w:lang w:val="en-US"/>
        </w:rPr>
      </w:pPr>
      <w:r w:rsidRPr="006363DB">
        <w:rPr>
          <w:rFonts w:cs="Times New Roman"/>
          <w:lang w:val="en-US"/>
        </w:rPr>
        <w:t xml:space="preserve">The </w:t>
      </w:r>
      <w:r w:rsidRPr="006363DB">
        <w:rPr>
          <w:rFonts w:cs="Times New Roman"/>
          <w:i/>
          <w:lang w:val="en-US"/>
        </w:rPr>
        <w:t xml:space="preserve">EPA </w:t>
      </w:r>
      <w:r w:rsidRPr="006363DB">
        <w:rPr>
          <w:rFonts w:cs="Times New Roman"/>
          <w:lang w:val="en-US"/>
        </w:rPr>
        <w:t>seeks to</w:t>
      </w:r>
      <w:r w:rsidRPr="006363DB">
        <w:rPr>
          <w:rFonts w:cs="Times New Roman"/>
          <w:i/>
          <w:lang w:val="en-US"/>
        </w:rPr>
        <w:t xml:space="preserve"> </w:t>
      </w:r>
      <w:r w:rsidRPr="006363DB">
        <w:rPr>
          <w:rFonts w:cs="Times New Roman"/>
          <w:lang w:val="en-US"/>
        </w:rPr>
        <w:t>achieve its goal of protecting the natural environment and those who use it through a series of regulations, prohibitions and reporting requirements.  It</w:t>
      </w:r>
      <w:r w:rsidRPr="006363DB">
        <w:rPr>
          <w:rFonts w:cs="Times New Roman"/>
          <w:i/>
          <w:lang w:val="en-US"/>
        </w:rPr>
        <w:t xml:space="preserve"> </w:t>
      </w:r>
      <w:r w:rsidRPr="006363DB">
        <w:rPr>
          <w:rFonts w:cs="Times New Roman"/>
          <w:lang w:val="en-US"/>
        </w:rPr>
        <w:t xml:space="preserve">also provides for a wide range of inspection, enforcement, preventative and remedial powers, such as the authority to issue control orders (s. 7), stop orders (s. 8), orders requiring the repair of damage (s. 17), preventative measure orders requiring steps to ensure that a discharge does not occur or recur (s. 18), or contravention orders requiring a discharger to take compliance steps (s. 157).  </w:t>
      </w:r>
    </w:p>
    <w:p w:rsidR="00F036E5" w:rsidRPr="006363DB" w:rsidRDefault="00F036E5" w:rsidP="00F63DDB">
      <w:pPr>
        <w:pStyle w:val="ParaNoNdepar-AltN"/>
        <w:tabs>
          <w:tab w:val="clear" w:pos="1872"/>
        </w:tabs>
        <w:ind w:left="0"/>
        <w:rPr>
          <w:rFonts w:cs="Times New Roman"/>
          <w:lang w:val="en-US"/>
        </w:rPr>
      </w:pPr>
      <w:r w:rsidRPr="006363DB">
        <w:rPr>
          <w:rFonts w:cs="Times New Roman"/>
          <w:lang w:val="en-US"/>
        </w:rPr>
        <w:lastRenderedPageBreak/>
        <w:t xml:space="preserve">One of the </w:t>
      </w:r>
      <w:r w:rsidRPr="00F63DDB">
        <w:t>means</w:t>
      </w:r>
      <w:r w:rsidRPr="006363DB">
        <w:rPr>
          <w:rFonts w:cs="Times New Roman"/>
          <w:lang w:val="en-US"/>
        </w:rPr>
        <w:t xml:space="preserve"> by which the</w:t>
      </w:r>
      <w:r w:rsidRPr="006363DB">
        <w:rPr>
          <w:rFonts w:cs="Times New Roman"/>
          <w:i/>
          <w:lang w:val="en-US"/>
        </w:rPr>
        <w:t xml:space="preserve"> EPA </w:t>
      </w:r>
      <w:r w:rsidRPr="006363DB">
        <w:rPr>
          <w:rFonts w:cs="Times New Roman"/>
          <w:lang w:val="en-US"/>
        </w:rPr>
        <w:t>promotes its protective and preventative purposes is through the prohibition in s. 14(1) against discharging a contaminant into the natural environment where it is likely to have an adverse effect, and the related requirement in s. 15(1) that any such discharge which is out of the normal course of events be reported to the Ministry of the Environment.</w:t>
      </w:r>
    </w:p>
    <w:p w:rsidR="00F036E5" w:rsidRPr="006363DB" w:rsidRDefault="00F036E5" w:rsidP="00F63DDB">
      <w:pPr>
        <w:pStyle w:val="ParaNoNdepar-AltN"/>
        <w:tabs>
          <w:tab w:val="clear" w:pos="1872"/>
        </w:tabs>
        <w:ind w:left="0"/>
        <w:rPr>
          <w:rFonts w:cs="Times New Roman"/>
        </w:rPr>
      </w:pPr>
      <w:r w:rsidRPr="006363DB">
        <w:rPr>
          <w:rFonts w:cs="Times New Roman"/>
        </w:rPr>
        <w:t>The issue in this appeal is the proper interpretation of the reporting requirement in s. 15(1)</w:t>
      </w:r>
      <w:r w:rsidRPr="0040161B">
        <w:rPr>
          <w:rFonts w:cs="Times New Roman"/>
        </w:rPr>
        <w:t xml:space="preserve">. </w:t>
      </w:r>
      <w:r w:rsidRPr="006363DB">
        <w:rPr>
          <w:rFonts w:cs="Times New Roman"/>
        </w:rPr>
        <w:t xml:space="preserve"> This provision states: </w:t>
      </w:r>
    </w:p>
    <w:p w:rsidR="00F036E5" w:rsidRPr="006363DB" w:rsidRDefault="00F036E5" w:rsidP="00F036E5">
      <w:pPr>
        <w:pStyle w:val="Citation-AltC"/>
      </w:pPr>
      <w:r w:rsidRPr="006363DB">
        <w:rPr>
          <w:b/>
        </w:rPr>
        <w:tab/>
        <w:t>15.</w:t>
      </w:r>
      <w:r w:rsidR="0040161B">
        <w:t>—</w:t>
      </w:r>
      <w:r w:rsidRPr="006363DB">
        <w:t>(1) Every person who discharges a contaminant or causes or permits the discharge of a contaminant into the natural environment shall forthwith notify the Ministry if the discharge is out of the normal course of events, the discharge causes or is likely to cause an adverse effect and the person is not otherwise required to notify the Ministry under section 92.</w:t>
      </w:r>
    </w:p>
    <w:p w:rsidR="00F036E5" w:rsidRPr="006363DB" w:rsidRDefault="00F036E5" w:rsidP="00F63DDB">
      <w:pPr>
        <w:pStyle w:val="ParaNoNdepar-AltN"/>
        <w:tabs>
          <w:tab w:val="clear" w:pos="1872"/>
        </w:tabs>
        <w:ind w:left="0"/>
        <w:rPr>
          <w:rFonts w:cs="Times New Roman"/>
        </w:rPr>
      </w:pPr>
      <w:r w:rsidRPr="006363DB">
        <w:rPr>
          <w:rFonts w:cs="Times New Roman"/>
        </w:rPr>
        <w:t>The terms “</w:t>
      </w:r>
      <w:r w:rsidRPr="00F63DDB">
        <w:t>discharge</w:t>
      </w:r>
      <w:r w:rsidRPr="006363DB">
        <w:rPr>
          <w:rFonts w:cs="Times New Roman"/>
        </w:rPr>
        <w:t xml:space="preserve">”, “contaminant”, “natural environment” and “adverse effect” are defined in s. 1(1) of the </w:t>
      </w:r>
      <w:r w:rsidRPr="006363DB">
        <w:rPr>
          <w:rFonts w:cs="Times New Roman"/>
          <w:i/>
        </w:rPr>
        <w:t>EPA</w:t>
      </w:r>
      <w:r w:rsidRPr="006363DB">
        <w:rPr>
          <w:rFonts w:cs="Times New Roman"/>
        </w:rPr>
        <w:t xml:space="preserve">, as follows: </w:t>
      </w:r>
    </w:p>
    <w:p w:rsidR="00F036E5" w:rsidRPr="006363DB" w:rsidRDefault="00EB6E43" w:rsidP="00EB6E43">
      <w:pPr>
        <w:pStyle w:val="SCCNormalDoubleSpacing"/>
        <w:tabs>
          <w:tab w:val="clear" w:pos="1168"/>
          <w:tab w:val="left" w:pos="1170"/>
        </w:tabs>
        <w:spacing w:after="240" w:line="240" w:lineRule="auto"/>
        <w:ind w:left="1620" w:hanging="1620"/>
      </w:pPr>
      <w:r>
        <w:tab/>
      </w:r>
      <w:r w:rsidR="00F036E5" w:rsidRPr="006363DB">
        <w:t>“</w:t>
      </w:r>
      <w:r w:rsidR="00F036E5" w:rsidRPr="006363DB">
        <w:rPr>
          <w:b/>
        </w:rPr>
        <w:t>natural environment</w:t>
      </w:r>
      <w:r w:rsidR="00F036E5" w:rsidRPr="006363DB">
        <w:t>” means the air, land and water, or any combination or part thereof, of the Province of Ontario;</w:t>
      </w:r>
    </w:p>
    <w:p w:rsidR="00F036E5" w:rsidRPr="006363DB" w:rsidRDefault="00EB6E43" w:rsidP="00EB6E43">
      <w:pPr>
        <w:pStyle w:val="SCCNormalDoubleSpacing"/>
        <w:spacing w:after="240" w:line="240" w:lineRule="auto"/>
        <w:ind w:left="1620" w:hanging="1620"/>
      </w:pPr>
      <w:r>
        <w:tab/>
      </w:r>
      <w:r w:rsidR="00F036E5" w:rsidRPr="006363DB">
        <w:t>“</w:t>
      </w:r>
      <w:r w:rsidR="00F036E5" w:rsidRPr="006363DB">
        <w:rPr>
          <w:b/>
        </w:rPr>
        <w:t>discharge</w:t>
      </w:r>
      <w:r w:rsidR="00F036E5" w:rsidRPr="006363DB">
        <w:t>”, when used as a verb, includes add, deposit, leak or emi</w:t>
      </w:r>
      <w:r>
        <w:t xml:space="preserve">t </w:t>
      </w:r>
      <w:r w:rsidR="00F036E5" w:rsidRPr="006363DB">
        <w:t>and, when used as a noun, includes addition, deposit, emission or leak;</w:t>
      </w:r>
    </w:p>
    <w:p w:rsidR="00F036E5" w:rsidRPr="006363DB" w:rsidRDefault="00EB6E43" w:rsidP="00EB6E43">
      <w:pPr>
        <w:pStyle w:val="SCCNormalDoubleSpacing"/>
        <w:spacing w:after="240" w:line="240" w:lineRule="auto"/>
        <w:ind w:left="1620" w:hanging="1620"/>
      </w:pPr>
      <w:r>
        <w:tab/>
      </w:r>
      <w:r w:rsidR="00F036E5" w:rsidRPr="006363DB">
        <w:t>“</w:t>
      </w:r>
      <w:r w:rsidR="00F036E5" w:rsidRPr="006363DB">
        <w:rPr>
          <w:b/>
        </w:rPr>
        <w:t>contaminant</w:t>
      </w:r>
      <w:r w:rsidR="00F036E5" w:rsidRPr="006363DB">
        <w:t>” means any solid, liquid, gas, odour, heat, sound, vibration, radiation or combination of any of them resulting directly or indirectly from human activities that causes or may cause an adverse effect;</w:t>
      </w:r>
    </w:p>
    <w:p w:rsidR="00F036E5" w:rsidRDefault="00EB6E43" w:rsidP="00EB6E43">
      <w:pPr>
        <w:pStyle w:val="SCCNormalDoubleSpacing"/>
        <w:spacing w:after="240" w:line="240" w:lineRule="auto"/>
        <w:ind w:left="1620" w:hanging="1620"/>
      </w:pPr>
      <w:r>
        <w:tab/>
      </w:r>
      <w:r w:rsidR="00F036E5" w:rsidRPr="006363DB">
        <w:t>“</w:t>
      </w:r>
      <w:r w:rsidR="00F036E5" w:rsidRPr="006363DB">
        <w:rPr>
          <w:b/>
        </w:rPr>
        <w:t>adverse</w:t>
      </w:r>
      <w:r w:rsidR="00F036E5" w:rsidRPr="006363DB">
        <w:t xml:space="preserve"> </w:t>
      </w:r>
      <w:r w:rsidR="00F036E5" w:rsidRPr="006363DB">
        <w:rPr>
          <w:b/>
        </w:rPr>
        <w:t>effect</w:t>
      </w:r>
      <w:r w:rsidR="00F036E5" w:rsidRPr="006363DB">
        <w:t>” means one or more of,</w:t>
      </w:r>
    </w:p>
    <w:p w:rsidR="00F036E5" w:rsidRDefault="00A75128" w:rsidP="00A75128">
      <w:pPr>
        <w:pStyle w:val="Citation-AltC"/>
        <w:tabs>
          <w:tab w:val="left" w:pos="1440"/>
        </w:tabs>
        <w:spacing w:after="240"/>
        <w:ind w:left="1890" w:hanging="1710"/>
        <w:contextualSpacing w:val="0"/>
      </w:pPr>
      <w:r>
        <w:lastRenderedPageBreak/>
        <w:tab/>
        <w:t>(a)</w:t>
      </w:r>
      <w:r>
        <w:tab/>
      </w:r>
      <w:r w:rsidR="00F036E5" w:rsidRPr="006363DB">
        <w:t>impairment of the quality of the natural environment for any use that can be made of it,</w:t>
      </w:r>
    </w:p>
    <w:p w:rsidR="00F036E5" w:rsidRDefault="00A75128" w:rsidP="00A75128">
      <w:pPr>
        <w:pStyle w:val="Citation-AltC"/>
        <w:tabs>
          <w:tab w:val="left" w:pos="1440"/>
        </w:tabs>
        <w:spacing w:after="240"/>
        <w:ind w:left="1890" w:hanging="1710"/>
        <w:contextualSpacing w:val="0"/>
      </w:pPr>
      <w:r>
        <w:tab/>
        <w:t>(b)</w:t>
      </w:r>
      <w:r>
        <w:tab/>
      </w:r>
      <w:r w:rsidR="00F036E5" w:rsidRPr="006363DB">
        <w:t>injury or damage to property or to plant or animal life,</w:t>
      </w:r>
    </w:p>
    <w:p w:rsidR="00F036E5" w:rsidRDefault="00F036E5" w:rsidP="00A75128">
      <w:pPr>
        <w:pStyle w:val="Citation-AltC"/>
        <w:tabs>
          <w:tab w:val="left" w:pos="1440"/>
        </w:tabs>
        <w:spacing w:after="240"/>
        <w:ind w:left="1890" w:hanging="1710"/>
        <w:contextualSpacing w:val="0"/>
      </w:pPr>
      <w:r w:rsidRPr="006363DB">
        <w:tab/>
        <w:t>(c)</w:t>
      </w:r>
      <w:r w:rsidR="00A75128">
        <w:tab/>
      </w:r>
      <w:r w:rsidRPr="006363DB">
        <w:t>harm or material discomfort to any person,</w:t>
      </w:r>
    </w:p>
    <w:p w:rsidR="00F036E5" w:rsidRDefault="00A75128" w:rsidP="00A75128">
      <w:pPr>
        <w:pStyle w:val="Citation-AltC"/>
        <w:tabs>
          <w:tab w:val="left" w:pos="1440"/>
        </w:tabs>
        <w:spacing w:after="240"/>
        <w:ind w:left="1890" w:hanging="1710"/>
        <w:contextualSpacing w:val="0"/>
      </w:pPr>
      <w:r>
        <w:tab/>
        <w:t>(d)</w:t>
      </w:r>
      <w:r>
        <w:tab/>
      </w:r>
      <w:r w:rsidR="00F036E5" w:rsidRPr="006363DB">
        <w:t>an adverse effect on the health of any person,</w:t>
      </w:r>
    </w:p>
    <w:p w:rsidR="00F036E5" w:rsidRDefault="00A75128" w:rsidP="00A75128">
      <w:pPr>
        <w:pStyle w:val="Citation-AltC"/>
        <w:tabs>
          <w:tab w:val="left" w:pos="1440"/>
        </w:tabs>
        <w:spacing w:after="240"/>
        <w:ind w:left="1890" w:hanging="1710"/>
        <w:contextualSpacing w:val="0"/>
      </w:pPr>
      <w:r>
        <w:tab/>
        <w:t>(e)</w:t>
      </w:r>
      <w:r>
        <w:tab/>
      </w:r>
      <w:r w:rsidR="00F036E5" w:rsidRPr="006363DB">
        <w:t>impairment of the safety of any person,</w:t>
      </w:r>
    </w:p>
    <w:p w:rsidR="00F036E5" w:rsidRDefault="00A75128" w:rsidP="00A75128">
      <w:pPr>
        <w:pStyle w:val="Citation-AltC"/>
        <w:tabs>
          <w:tab w:val="left" w:pos="1440"/>
        </w:tabs>
        <w:spacing w:after="240"/>
        <w:ind w:left="1890" w:hanging="1710"/>
        <w:contextualSpacing w:val="0"/>
      </w:pPr>
      <w:r>
        <w:tab/>
        <w:t>(f)</w:t>
      </w:r>
      <w:r>
        <w:tab/>
      </w:r>
      <w:r w:rsidR="00F036E5" w:rsidRPr="006363DB">
        <w:t>rendering any property or plant or animal life unfit for human use,</w:t>
      </w:r>
    </w:p>
    <w:p w:rsidR="00F036E5" w:rsidRDefault="00A75128" w:rsidP="00A75128">
      <w:pPr>
        <w:pStyle w:val="Citation-AltC"/>
        <w:tabs>
          <w:tab w:val="left" w:pos="1440"/>
        </w:tabs>
        <w:spacing w:after="240"/>
        <w:ind w:left="1890" w:hanging="1710"/>
        <w:contextualSpacing w:val="0"/>
      </w:pPr>
      <w:r>
        <w:tab/>
        <w:t>(g)</w:t>
      </w:r>
      <w:r>
        <w:tab/>
      </w:r>
      <w:r w:rsidR="00F036E5" w:rsidRPr="006363DB">
        <w:t>loss of enjoyment of normal use of property, and</w:t>
      </w:r>
    </w:p>
    <w:p w:rsidR="00F036E5" w:rsidRPr="006363DB" w:rsidRDefault="00F036E5" w:rsidP="00A75128">
      <w:pPr>
        <w:pStyle w:val="Citation-AltC"/>
        <w:tabs>
          <w:tab w:val="left" w:pos="1440"/>
        </w:tabs>
        <w:ind w:left="1901" w:hanging="1714"/>
        <w:contextualSpacing w:val="0"/>
      </w:pPr>
      <w:r w:rsidRPr="006363DB">
        <w:tab/>
        <w:t>(h)</w:t>
      </w:r>
      <w:r w:rsidR="00A75128">
        <w:tab/>
      </w:r>
      <w:r w:rsidRPr="006363DB">
        <w:t xml:space="preserve">interference with the normal conduct of business; </w:t>
      </w:r>
    </w:p>
    <w:p w:rsidR="00F036E5" w:rsidRPr="006363DB" w:rsidRDefault="00F036E5" w:rsidP="00F63DDB">
      <w:pPr>
        <w:pStyle w:val="ParaNoNdepar-AltN"/>
        <w:tabs>
          <w:tab w:val="clear" w:pos="1872"/>
        </w:tabs>
        <w:ind w:left="0"/>
        <w:rPr>
          <w:rFonts w:cs="Times New Roman"/>
        </w:rPr>
      </w:pPr>
      <w:r w:rsidRPr="006363DB">
        <w:rPr>
          <w:rFonts w:cs="Times New Roman"/>
          <w:lang w:val="en-US"/>
        </w:rPr>
        <w:t xml:space="preserve">Castonguay </w:t>
      </w:r>
      <w:r w:rsidRPr="00F63DDB">
        <w:t>conceded</w:t>
      </w:r>
      <w:r w:rsidRPr="006363DB">
        <w:rPr>
          <w:rFonts w:cs="Times New Roman"/>
        </w:rPr>
        <w:t xml:space="preserve"> that the discharge of fly-rock caused property damage, but argued that injury or damage to private property alone is insufficient to engage the reporting requirement.  Since the discharge did not impair the natural environment  — the air, land or water — Castonguay was not required to report the incident to the Ministry.  </w:t>
      </w:r>
    </w:p>
    <w:p w:rsidR="00F036E5" w:rsidRPr="006363DB" w:rsidRDefault="00F036E5" w:rsidP="00F63DDB">
      <w:pPr>
        <w:pStyle w:val="ParaNoNdepar-AltN"/>
        <w:tabs>
          <w:tab w:val="clear" w:pos="1872"/>
        </w:tabs>
        <w:ind w:left="0"/>
        <w:rPr>
          <w:rFonts w:cs="Times New Roman"/>
        </w:rPr>
      </w:pPr>
      <w:r w:rsidRPr="006363DB">
        <w:rPr>
          <w:rFonts w:cs="Times New Roman"/>
          <w:lang w:val="en-US"/>
        </w:rPr>
        <w:t xml:space="preserve">Castonguay’s </w:t>
      </w:r>
      <w:r w:rsidRPr="00F63DDB">
        <w:t>argument</w:t>
      </w:r>
      <w:r w:rsidRPr="006363DB">
        <w:rPr>
          <w:rFonts w:cs="Times New Roman"/>
          <w:lang w:val="en-US"/>
        </w:rPr>
        <w:t xml:space="preserve"> is, in essence, an argument that while the definition of “adverse effect” has eight components — </w:t>
      </w:r>
      <w:r w:rsidR="00A75128">
        <w:rPr>
          <w:rFonts w:cs="Times New Roman"/>
          <w:lang w:val="en-US"/>
        </w:rPr>
        <w:t xml:space="preserve">paras. </w:t>
      </w:r>
      <w:r w:rsidRPr="006363DB">
        <w:rPr>
          <w:rFonts w:cs="Times New Roman"/>
          <w:lang w:val="en-US"/>
        </w:rPr>
        <w:t>(a) to (h) — para</w:t>
      </w:r>
      <w:r w:rsidR="00A75128">
        <w:rPr>
          <w:rFonts w:cs="Times New Roman"/>
          <w:lang w:val="en-US"/>
        </w:rPr>
        <w:t xml:space="preserve">. </w:t>
      </w:r>
      <w:r w:rsidRPr="006363DB">
        <w:rPr>
          <w:rFonts w:cs="Times New Roman"/>
          <w:lang w:val="en-US"/>
        </w:rPr>
        <w:t xml:space="preserve">(a) is an umbrella clause.  In other words, </w:t>
      </w:r>
      <w:r w:rsidRPr="006363DB">
        <w:rPr>
          <w:rFonts w:cs="Times New Roman"/>
        </w:rPr>
        <w:t xml:space="preserve">there </w:t>
      </w:r>
      <w:r w:rsidRPr="006363DB">
        <w:rPr>
          <w:rFonts w:cs="Times New Roman"/>
          <w:i/>
        </w:rPr>
        <w:t>must</w:t>
      </w:r>
      <w:r w:rsidRPr="006363DB">
        <w:rPr>
          <w:rFonts w:cs="Times New Roman"/>
        </w:rPr>
        <w:t xml:space="preserve"> be, in the language of</w:t>
      </w:r>
      <w:r w:rsidR="00A75128">
        <w:rPr>
          <w:rFonts w:cs="Times New Roman"/>
        </w:rPr>
        <w:t xml:space="preserve"> para.</w:t>
      </w:r>
      <w:r w:rsidRPr="006363DB">
        <w:rPr>
          <w:rFonts w:cs="Times New Roman"/>
        </w:rPr>
        <w:t xml:space="preserve"> (a), “impairment of the quality of the natural environment for any use that can be made of it” before any of the other seven elements come into play.  They are not stand-alone elements and only constitute an “adverse effect” if they are accompanied by the impairment to the quality of the natural environment set out in para</w:t>
      </w:r>
      <w:r w:rsidR="00A75128">
        <w:rPr>
          <w:rFonts w:cs="Times New Roman"/>
        </w:rPr>
        <w:t xml:space="preserve">. </w:t>
      </w:r>
      <w:r w:rsidRPr="006363DB">
        <w:rPr>
          <w:rFonts w:cs="Times New Roman"/>
        </w:rPr>
        <w:t>(a).  An adverse effect as defined in para</w:t>
      </w:r>
      <w:r w:rsidR="00A75128">
        <w:rPr>
          <w:rFonts w:cs="Times New Roman"/>
        </w:rPr>
        <w:t>s.</w:t>
      </w:r>
      <w:r w:rsidRPr="006363DB">
        <w:rPr>
          <w:rFonts w:cs="Times New Roman"/>
        </w:rPr>
        <w:t xml:space="preserve"> (b) through (h) </w:t>
      </w:r>
      <w:r w:rsidRPr="006363DB">
        <w:rPr>
          <w:rFonts w:cs="Times New Roman"/>
          <w:i/>
        </w:rPr>
        <w:t>without</w:t>
      </w:r>
      <w:r w:rsidRPr="006363DB">
        <w:rPr>
          <w:rFonts w:cs="Times New Roman"/>
        </w:rPr>
        <w:t xml:space="preserve"> any accompanying impairment to </w:t>
      </w:r>
      <w:r w:rsidRPr="006363DB">
        <w:rPr>
          <w:rFonts w:cs="Times New Roman"/>
        </w:rPr>
        <w:lastRenderedPageBreak/>
        <w:t>the quality of the natural environment under para</w:t>
      </w:r>
      <w:r w:rsidR="002D71E1">
        <w:rPr>
          <w:rFonts w:cs="Times New Roman"/>
        </w:rPr>
        <w:t>.</w:t>
      </w:r>
      <w:r w:rsidRPr="006363DB">
        <w:rPr>
          <w:rFonts w:cs="Times New Roman"/>
        </w:rPr>
        <w:t xml:space="preserve"> (a) will not be sufficient to trigger s. 15(1).  </w:t>
      </w:r>
    </w:p>
    <w:p w:rsidR="00F036E5" w:rsidRPr="006363DB" w:rsidRDefault="00F036E5" w:rsidP="00F63DDB">
      <w:pPr>
        <w:pStyle w:val="ParaNoNdepar-AltN"/>
        <w:tabs>
          <w:tab w:val="clear" w:pos="1872"/>
        </w:tabs>
        <w:ind w:left="0"/>
        <w:rPr>
          <w:rFonts w:cs="Times New Roman"/>
          <w:u w:val="single"/>
          <w:lang w:val="en-US"/>
        </w:rPr>
      </w:pPr>
      <w:r w:rsidRPr="006363DB">
        <w:rPr>
          <w:rFonts w:cs="Times New Roman"/>
        </w:rPr>
        <w:t xml:space="preserve">The Minister of the Environment, on the other hand, argued that if the discharge caused or was likely to cause </w:t>
      </w:r>
      <w:r w:rsidRPr="006363DB">
        <w:rPr>
          <w:rFonts w:cs="Times New Roman"/>
          <w:i/>
        </w:rPr>
        <w:t>one or more of</w:t>
      </w:r>
      <w:r w:rsidRPr="006363DB">
        <w:rPr>
          <w:rFonts w:cs="Times New Roman"/>
        </w:rPr>
        <w:t xml:space="preserve"> the adverse effects listed in paras</w:t>
      </w:r>
      <w:r w:rsidR="002D71E1">
        <w:rPr>
          <w:rFonts w:cs="Times New Roman"/>
        </w:rPr>
        <w:t>.</w:t>
      </w:r>
      <w:r w:rsidRPr="006363DB">
        <w:rPr>
          <w:rFonts w:cs="Times New Roman"/>
        </w:rPr>
        <w:t xml:space="preserve"> (a) to (h) of the statutory definition, the obligation to report the discharge of a contaminant under s. 15(1) materializes.  Each of the eight listed components is a separate impact that can trigger the requirement to report.  </w:t>
      </w:r>
    </w:p>
    <w:p w:rsidR="00F036E5" w:rsidRPr="006363DB" w:rsidRDefault="00F036E5" w:rsidP="00F63DDB">
      <w:pPr>
        <w:pStyle w:val="ParaNoNdepar-AltN"/>
        <w:tabs>
          <w:tab w:val="clear" w:pos="1872"/>
        </w:tabs>
        <w:ind w:left="0"/>
        <w:rPr>
          <w:rFonts w:cs="Times New Roman"/>
          <w:u w:val="single"/>
          <w:lang w:val="en-US"/>
        </w:rPr>
      </w:pPr>
      <w:r w:rsidRPr="006363DB">
        <w:rPr>
          <w:rFonts w:cs="Times New Roman"/>
        </w:rPr>
        <w:t xml:space="preserve">The Minister’s position is demonstrably supported by the language of s. 15(1) and the relevant definitions in the </w:t>
      </w:r>
      <w:r w:rsidRPr="006363DB">
        <w:rPr>
          <w:rFonts w:cs="Times New Roman"/>
          <w:i/>
        </w:rPr>
        <w:t>EPA</w:t>
      </w:r>
      <w:r w:rsidRPr="008A0903">
        <w:rPr>
          <w:rFonts w:cs="Times New Roman"/>
        </w:rPr>
        <w:t>.</w:t>
      </w:r>
      <w:r w:rsidRPr="006363DB">
        <w:rPr>
          <w:rFonts w:cs="Times New Roman"/>
          <w:i/>
        </w:rPr>
        <w:t xml:space="preserve">  </w:t>
      </w:r>
      <w:r w:rsidRPr="006363DB">
        <w:rPr>
          <w:rFonts w:cs="Times New Roman"/>
        </w:rPr>
        <w:t xml:space="preserve">The purpose of the reporting requirement in s. 15(1) </w:t>
      </w:r>
      <w:r w:rsidRPr="006363DB">
        <w:rPr>
          <w:rFonts w:cs="Times New Roman"/>
          <w:lang w:val="en-US"/>
        </w:rPr>
        <w:t xml:space="preserve">is to ensure that it is the Ministry of the Environment, and not the discharger, who decides what, if any, further steps are required.  When a contaminant is discharged, the discharger may not know the full extent of the damage caused or, in the words of s. 15(1), likely to be caused.  Moreover, many potential harms such as </w:t>
      </w:r>
      <w:r w:rsidRPr="006363DB">
        <w:rPr>
          <w:rFonts w:cs="Times New Roman"/>
        </w:rPr>
        <w:t xml:space="preserve">harm to human health, or injury to plants and animals, and even impairment of the natural environment, may be difficult to detect without the expertise and resources of the Ministry.  As a result, the statute places both the obligation to investigate and the decision about what further steps are necessary with the Ministry and not the discharger.  </w:t>
      </w:r>
    </w:p>
    <w:p w:rsidR="00F036E5" w:rsidRPr="006363DB" w:rsidRDefault="00F036E5" w:rsidP="00F63DDB">
      <w:pPr>
        <w:pStyle w:val="ParaNoNdepar-AltN"/>
        <w:tabs>
          <w:tab w:val="clear" w:pos="1872"/>
        </w:tabs>
        <w:ind w:left="0"/>
        <w:rPr>
          <w:rFonts w:cs="Times New Roman"/>
          <w:lang w:val="en-US"/>
        </w:rPr>
      </w:pPr>
      <w:r w:rsidRPr="00F63DDB">
        <w:t>Notification</w:t>
      </w:r>
      <w:r w:rsidRPr="006363DB">
        <w:rPr>
          <w:rFonts w:cs="Times New Roman"/>
        </w:rPr>
        <w:t xml:space="preserve"> provides the Ministry with the opportunity to conduct an inspection as quickly as possible and to obtain information in order to take any necessary remedial action and to fulfil its statutory mandate.  This enables the </w:t>
      </w:r>
      <w:r w:rsidRPr="006363DB">
        <w:rPr>
          <w:rFonts w:cs="Times New Roman"/>
        </w:rPr>
        <w:lastRenderedPageBreak/>
        <w:t xml:space="preserve">Ministry to respond in a timely way to the discharge of a contaminant into the natural environment and to be involved in determining what, if any, preventative or remedial measures are appropriate.  </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As the </w:t>
      </w:r>
      <w:r w:rsidRPr="00F63DDB">
        <w:t>interveners</w:t>
      </w:r>
      <w:r w:rsidRPr="006363DB">
        <w:rPr>
          <w:rFonts w:cs="Times New Roman"/>
        </w:rPr>
        <w:t xml:space="preserve"> Canadian Environmental Law Association and Lake Ontario Waterkeeper pointed out in their joint factum,</w:t>
      </w:r>
      <w:r w:rsidRPr="006363DB">
        <w:rPr>
          <w:rStyle w:val="FootnoteReference"/>
          <w:rFonts w:cs="Times New Roman"/>
        </w:rPr>
        <w:t xml:space="preserve"> </w:t>
      </w:r>
      <w:r w:rsidRPr="006363DB">
        <w:rPr>
          <w:rFonts w:cs="Times New Roman"/>
        </w:rPr>
        <w:t xml:space="preserve">s. 15(1) is also consistent with the precautionary principle.  This emerging international law principle recognizes that since there are inherent limits in being able to determine and predict environmental impacts with scientific certainty, environmental policies must anticipate and prevent environmental degradation (O. McIntyre and T. Mosedale, “The Precautionary Principle as a Norm of Customary International Law” (1997), 9 </w:t>
      </w:r>
      <w:r w:rsidRPr="006363DB">
        <w:rPr>
          <w:rFonts w:cs="Times New Roman"/>
          <w:i/>
        </w:rPr>
        <w:t>J. Envtl. L.</w:t>
      </w:r>
      <w:r w:rsidRPr="006363DB">
        <w:rPr>
          <w:rFonts w:cs="Times New Roman"/>
        </w:rPr>
        <w:t xml:space="preserve"> 221, at pp. 221-22; </w:t>
      </w:r>
      <w:r w:rsidRPr="006363DB">
        <w:rPr>
          <w:rFonts w:cs="Times New Roman"/>
          <w:i/>
        </w:rPr>
        <w:t>114957</w:t>
      </w:r>
      <w:r w:rsidRPr="006363DB">
        <w:rPr>
          <w:rFonts w:cs="Times New Roman"/>
        </w:rPr>
        <w:t xml:space="preserve"> </w:t>
      </w:r>
      <w:r w:rsidRPr="006363DB">
        <w:rPr>
          <w:rFonts w:cs="Times New Roman"/>
          <w:i/>
        </w:rPr>
        <w:t xml:space="preserve">Canada Ltée (Spraytech, Société d’arrosage) </w:t>
      </w:r>
      <w:r w:rsidRPr="006363DB">
        <w:rPr>
          <w:rFonts w:cs="Times New Roman"/>
          <w:i/>
          <w:iCs/>
        </w:rPr>
        <w:t>v</w:t>
      </w:r>
      <w:r w:rsidRPr="006363DB">
        <w:rPr>
          <w:rFonts w:cs="Times New Roman"/>
          <w:i/>
        </w:rPr>
        <w:t>. Hudson (Town)</w:t>
      </w:r>
      <w:r w:rsidRPr="006363DB">
        <w:rPr>
          <w:rFonts w:cs="Times New Roman"/>
        </w:rPr>
        <w:t xml:space="preserve">, 2001 SCC 40, [2001] 2 S.C.R. 241, at paras. 30-32).  Section 15(1) gives effect to the concerns underlying the precautionary principle by ensuring that the Ministry of the Environment is notified and has the ability to respond once there has been a discharge of a contaminant out of the normal course of events, without waiting for proof that the natural environment has, in fact, been impaired.  </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Parsing </w:t>
      </w:r>
      <w:r w:rsidRPr="00F63DDB">
        <w:t>the</w:t>
      </w:r>
      <w:r w:rsidRPr="006363DB">
        <w:rPr>
          <w:rFonts w:cs="Times New Roman"/>
        </w:rPr>
        <w:t xml:space="preserve"> language of s. 15(1) illuminates its clear preventative and protective purposes.  First, a person must discharge a </w:t>
      </w:r>
      <w:r w:rsidRPr="006363DB">
        <w:rPr>
          <w:rFonts w:cs="Times New Roman"/>
          <w:i/>
        </w:rPr>
        <w:t>contaminant</w:t>
      </w:r>
      <w:r w:rsidRPr="008A0903">
        <w:rPr>
          <w:rFonts w:cs="Times New Roman"/>
        </w:rPr>
        <w:t>.</w:t>
      </w:r>
      <w:r w:rsidRPr="006363DB">
        <w:rPr>
          <w:rFonts w:cs="Times New Roman"/>
          <w:i/>
        </w:rPr>
        <w:t xml:space="preserve">  </w:t>
      </w:r>
      <w:r w:rsidRPr="006363DB">
        <w:rPr>
          <w:rFonts w:cs="Times New Roman"/>
        </w:rPr>
        <w:t xml:space="preserve">Second, the contaminant must be discharged </w:t>
      </w:r>
      <w:r w:rsidRPr="006363DB">
        <w:rPr>
          <w:rFonts w:cs="Times New Roman"/>
          <w:i/>
        </w:rPr>
        <w:t>into the natural environment</w:t>
      </w:r>
      <w:r w:rsidRPr="008A0903">
        <w:rPr>
          <w:rFonts w:cs="Times New Roman"/>
        </w:rPr>
        <w:t>.</w:t>
      </w:r>
      <w:r w:rsidRPr="006363DB">
        <w:rPr>
          <w:rFonts w:cs="Times New Roman"/>
          <w:i/>
        </w:rPr>
        <w:t xml:space="preserve">  </w:t>
      </w:r>
      <w:r w:rsidRPr="006363DB">
        <w:rPr>
          <w:rFonts w:cs="Times New Roman"/>
        </w:rPr>
        <w:t xml:space="preserve">Third, the discharge must be </w:t>
      </w:r>
      <w:r w:rsidRPr="006363DB">
        <w:rPr>
          <w:rFonts w:cs="Times New Roman"/>
          <w:i/>
        </w:rPr>
        <w:t>out of the normal course of events</w:t>
      </w:r>
      <w:r w:rsidRPr="008A0903">
        <w:rPr>
          <w:rFonts w:cs="Times New Roman"/>
        </w:rPr>
        <w:t>.</w:t>
      </w:r>
      <w:r w:rsidRPr="006363DB">
        <w:rPr>
          <w:rFonts w:cs="Times New Roman"/>
          <w:i/>
        </w:rPr>
        <w:t xml:space="preserve">  </w:t>
      </w:r>
      <w:r w:rsidRPr="006363DB">
        <w:rPr>
          <w:rFonts w:cs="Times New Roman"/>
        </w:rPr>
        <w:t xml:space="preserve">Fourth, the discharge must be one that </w:t>
      </w:r>
      <w:r w:rsidRPr="006363DB">
        <w:rPr>
          <w:rFonts w:cs="Times New Roman"/>
          <w:i/>
        </w:rPr>
        <w:t>causes or is likely to cause an adverse effect</w:t>
      </w:r>
      <w:r w:rsidRPr="006363DB">
        <w:rPr>
          <w:rFonts w:cs="Times New Roman"/>
        </w:rPr>
        <w:t xml:space="preserve">.  Finally, the person must not be </w:t>
      </w:r>
      <w:r w:rsidRPr="006363DB">
        <w:rPr>
          <w:rFonts w:cs="Times New Roman"/>
        </w:rPr>
        <w:lastRenderedPageBreak/>
        <w:t>otherwise required to notify the Ministry under s. 92</w:t>
      </w:r>
      <w:r w:rsidRPr="008A0903">
        <w:rPr>
          <w:rFonts w:cs="Times New Roman"/>
        </w:rPr>
        <w:t>,</w:t>
      </w:r>
      <w:r w:rsidRPr="006363DB">
        <w:rPr>
          <w:rFonts w:cs="Times New Roman"/>
          <w:i/>
        </w:rPr>
        <w:t xml:space="preserve"> </w:t>
      </w:r>
      <w:r w:rsidRPr="006363DB">
        <w:rPr>
          <w:rFonts w:cs="Times New Roman"/>
        </w:rPr>
        <w:t xml:space="preserve">which refers to the spill of pollutants from a structure, vehicle or container and is therefore not applicable to the circumstances of this case. </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Taking each </w:t>
      </w:r>
      <w:r w:rsidRPr="00F63DDB">
        <w:t>phrase</w:t>
      </w:r>
      <w:r w:rsidRPr="006363DB">
        <w:rPr>
          <w:rFonts w:cs="Times New Roman"/>
        </w:rPr>
        <w:t xml:space="preserve"> in turn, the full scope of the reporting requirement is revealed.  Section 15(1) applies to the discharge of “contaminant[s]” as defined by the </w:t>
      </w:r>
      <w:r w:rsidRPr="006363DB">
        <w:rPr>
          <w:rFonts w:cs="Times New Roman"/>
          <w:i/>
        </w:rPr>
        <w:t>EPA</w:t>
      </w:r>
      <w:r w:rsidRPr="006363DB">
        <w:rPr>
          <w:rFonts w:cs="Times New Roman"/>
        </w:rPr>
        <w:t xml:space="preserve">.  The definition of contaminant in s. 1(1) of the </w:t>
      </w:r>
      <w:r w:rsidRPr="006363DB">
        <w:rPr>
          <w:rFonts w:cs="Times New Roman"/>
          <w:i/>
        </w:rPr>
        <w:t>EPA</w:t>
      </w:r>
      <w:r w:rsidRPr="006363DB">
        <w:rPr>
          <w:rFonts w:cs="Times New Roman"/>
        </w:rPr>
        <w:t xml:space="preserve"> includes “any solid liquid, gas, odour, heat, sound, vibration, radiation or combination of any of them resulting directly or indirectly from human activities that causes or may cause an adverse effect”.  The reference to human activities in the definition of contaminant, when read in the context of s. 15 and the </w:t>
      </w:r>
      <w:r w:rsidRPr="006363DB">
        <w:rPr>
          <w:rFonts w:cs="Times New Roman"/>
          <w:i/>
        </w:rPr>
        <w:t>EPA</w:t>
      </w:r>
      <w:r w:rsidRPr="006363DB">
        <w:rPr>
          <w:rFonts w:cs="Times New Roman"/>
        </w:rPr>
        <w:t xml:space="preserve"> as a whole, recognizes that the </w:t>
      </w:r>
      <w:r w:rsidRPr="006363DB">
        <w:rPr>
          <w:rFonts w:cs="Times New Roman"/>
          <w:i/>
        </w:rPr>
        <w:t>EPA</w:t>
      </w:r>
      <w:r w:rsidRPr="006363DB">
        <w:rPr>
          <w:rFonts w:cs="Times New Roman"/>
        </w:rPr>
        <w:t xml:space="preserve"> applies only to those activities which engage the natural environment </w:t>
      </w:r>
      <w:r w:rsidR="00E66353">
        <w:rPr>
          <w:rFonts w:cs="Times New Roman"/>
        </w:rPr>
        <w:t>—</w:t>
      </w:r>
      <w:r w:rsidRPr="006363DB">
        <w:rPr>
          <w:rFonts w:cs="Times New Roman"/>
        </w:rPr>
        <w:t xml:space="preserve"> the air, land or water in the province.  This ensures that the definition of contaminant and s. 15 of the </w:t>
      </w:r>
      <w:r w:rsidRPr="006363DB">
        <w:rPr>
          <w:rFonts w:cs="Times New Roman"/>
          <w:i/>
        </w:rPr>
        <w:t xml:space="preserve">EPA </w:t>
      </w:r>
      <w:r w:rsidRPr="006363DB">
        <w:rPr>
          <w:rFonts w:cs="Times New Roman"/>
        </w:rPr>
        <w:t xml:space="preserve">maintain a nexus to the statutory objective of environmental protection.  </w:t>
      </w:r>
    </w:p>
    <w:p w:rsidR="00F036E5" w:rsidRPr="006363DB" w:rsidRDefault="00F036E5" w:rsidP="00F63DDB">
      <w:pPr>
        <w:pStyle w:val="ParaNoNdepar-AltN"/>
        <w:tabs>
          <w:tab w:val="clear" w:pos="1872"/>
        </w:tabs>
        <w:ind w:left="0"/>
        <w:rPr>
          <w:rFonts w:cs="Times New Roman"/>
        </w:rPr>
      </w:pPr>
      <w:r w:rsidRPr="006363DB">
        <w:rPr>
          <w:rFonts w:cs="Times New Roman"/>
        </w:rPr>
        <w:t xml:space="preserve">The </w:t>
      </w:r>
      <w:r w:rsidRPr="00F63DDB">
        <w:t>discharge</w:t>
      </w:r>
      <w:r w:rsidRPr="006363DB">
        <w:rPr>
          <w:rFonts w:cs="Times New Roman"/>
        </w:rPr>
        <w:t xml:space="preserve"> must be </w:t>
      </w:r>
      <w:r w:rsidRPr="006363DB">
        <w:rPr>
          <w:rFonts w:cs="Times New Roman"/>
          <w:i/>
        </w:rPr>
        <w:t>into the natural environment</w:t>
      </w:r>
      <w:r w:rsidRPr="006363DB">
        <w:rPr>
          <w:rFonts w:cs="Times New Roman"/>
        </w:rPr>
        <w:t>,</w:t>
      </w:r>
      <w:r w:rsidRPr="006363DB">
        <w:rPr>
          <w:rFonts w:cs="Times New Roman"/>
          <w:i/>
        </w:rPr>
        <w:t xml:space="preserve"> </w:t>
      </w:r>
      <w:r w:rsidRPr="006363DB">
        <w:rPr>
          <w:rFonts w:cs="Times New Roman"/>
        </w:rPr>
        <w:t xml:space="preserve">defined as the air, land and water of Ontario.  Section 15(1) does not impose any restrictions on the length of time the contaminant remains in the natural environment, nor does it require that the contaminant become part of the natural environment.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Only </w:t>
      </w:r>
      <w:r w:rsidRPr="0073049A">
        <w:t>discharges</w:t>
      </w:r>
      <w:r w:rsidRPr="006363DB">
        <w:rPr>
          <w:rFonts w:cs="Times New Roman"/>
        </w:rPr>
        <w:t xml:space="preserve"> that are</w:t>
      </w:r>
      <w:r w:rsidRPr="006363DB">
        <w:rPr>
          <w:rFonts w:cs="Times New Roman"/>
          <w:i/>
        </w:rPr>
        <w:t xml:space="preserve"> out of the normal course of events</w:t>
      </w:r>
      <w:r w:rsidRPr="006363DB">
        <w:rPr>
          <w:rFonts w:cs="Times New Roman"/>
        </w:rPr>
        <w:t xml:space="preserve"> are required to be reported to the Ministry.  This restricts the application of s. 15(1) by excluding many everyday, routine activities.  Although driving a car, for example, discharges </w:t>
      </w:r>
      <w:r w:rsidRPr="006363DB">
        <w:rPr>
          <w:rFonts w:cs="Times New Roman"/>
        </w:rPr>
        <w:lastRenderedPageBreak/>
        <w:t xml:space="preserve">fumes into the natural environment, the discharge is not out of the normal course of events and no report to the Ministry is required.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The key, in my view, to understanding s. 15(1) is that the discharge of the contaminant caused or was likely to cause an “adverse effect”.  As previously noted, adverse effect is defined as: </w:t>
      </w:r>
    </w:p>
    <w:p w:rsidR="00F036E5" w:rsidRDefault="00F036E5" w:rsidP="00F036E5">
      <w:pPr>
        <w:pStyle w:val="Citation-AltC"/>
      </w:pPr>
      <w:r w:rsidRPr="006363DB">
        <w:t>“</w:t>
      </w:r>
      <w:r w:rsidRPr="006363DB">
        <w:rPr>
          <w:b/>
        </w:rPr>
        <w:t>adverse</w:t>
      </w:r>
      <w:r w:rsidRPr="006363DB">
        <w:t xml:space="preserve"> </w:t>
      </w:r>
      <w:r w:rsidRPr="006363DB">
        <w:rPr>
          <w:b/>
        </w:rPr>
        <w:t>effect</w:t>
      </w:r>
      <w:r w:rsidRPr="006363DB">
        <w:t xml:space="preserve">” </w:t>
      </w:r>
      <w:r w:rsidRPr="006363DB">
        <w:rPr>
          <w:i/>
        </w:rPr>
        <w:t>means</w:t>
      </w:r>
      <w:r w:rsidRPr="006363DB">
        <w:t xml:space="preserve"> </w:t>
      </w:r>
      <w:r w:rsidRPr="006363DB">
        <w:rPr>
          <w:i/>
        </w:rPr>
        <w:t>one or more of</w:t>
      </w:r>
      <w:r w:rsidRPr="006363DB">
        <w:t>,</w:t>
      </w:r>
    </w:p>
    <w:p w:rsidR="00A6348F" w:rsidRPr="006363DB" w:rsidRDefault="00A6348F" w:rsidP="00F036E5">
      <w:pPr>
        <w:pStyle w:val="Citation-AltC"/>
      </w:pPr>
    </w:p>
    <w:p w:rsidR="00F036E5" w:rsidRPr="006363DB" w:rsidRDefault="00F036E5" w:rsidP="008A0903">
      <w:pPr>
        <w:pStyle w:val="Citation-AltC"/>
        <w:tabs>
          <w:tab w:val="left" w:pos="1440"/>
        </w:tabs>
        <w:spacing w:after="240"/>
        <w:ind w:left="1890" w:hanging="1710"/>
        <w:contextualSpacing w:val="0"/>
      </w:pPr>
      <w:r w:rsidRPr="006363DB">
        <w:tab/>
        <w:t>(a)</w:t>
      </w:r>
      <w:r w:rsidR="00A6348F">
        <w:tab/>
      </w:r>
      <w:r w:rsidRPr="006363DB">
        <w:t>impairment of the quality of the na</w:t>
      </w:r>
      <w:r w:rsidR="00A6348F">
        <w:t xml:space="preserve">tural environment for any use </w:t>
      </w:r>
      <w:r w:rsidRPr="006363DB">
        <w:t>that can be made of it,</w:t>
      </w:r>
    </w:p>
    <w:p w:rsidR="00F036E5" w:rsidRPr="006363DB" w:rsidRDefault="00A6348F" w:rsidP="008A0903">
      <w:pPr>
        <w:pStyle w:val="Citation-AltC"/>
        <w:tabs>
          <w:tab w:val="left" w:pos="1440"/>
        </w:tabs>
        <w:spacing w:after="240"/>
        <w:ind w:left="1890" w:hanging="1710"/>
        <w:contextualSpacing w:val="0"/>
      </w:pPr>
      <w:r>
        <w:tab/>
        <w:t>(b)</w:t>
      </w:r>
      <w:r>
        <w:tab/>
      </w:r>
      <w:r w:rsidR="00F036E5" w:rsidRPr="006363DB">
        <w:t>injury or damage to property or to plant or animal life,</w:t>
      </w:r>
    </w:p>
    <w:p w:rsidR="00F036E5" w:rsidRPr="006363DB" w:rsidRDefault="00A6348F" w:rsidP="008A0903">
      <w:pPr>
        <w:pStyle w:val="Citation-AltC"/>
        <w:tabs>
          <w:tab w:val="left" w:pos="1440"/>
        </w:tabs>
        <w:spacing w:after="240"/>
        <w:ind w:left="1890" w:hanging="1710"/>
        <w:contextualSpacing w:val="0"/>
      </w:pPr>
      <w:r>
        <w:tab/>
        <w:t>(c)</w:t>
      </w:r>
      <w:r>
        <w:tab/>
      </w:r>
      <w:r w:rsidR="00F036E5" w:rsidRPr="006363DB">
        <w:t>harm or material discomfort to any person,</w:t>
      </w:r>
    </w:p>
    <w:p w:rsidR="00F036E5" w:rsidRPr="006363DB" w:rsidRDefault="00F036E5" w:rsidP="008A0903">
      <w:pPr>
        <w:pStyle w:val="Citation-AltC"/>
        <w:tabs>
          <w:tab w:val="left" w:pos="1440"/>
        </w:tabs>
        <w:spacing w:after="240"/>
        <w:ind w:left="1890" w:hanging="1710"/>
        <w:contextualSpacing w:val="0"/>
      </w:pPr>
      <w:r w:rsidRPr="006363DB">
        <w:tab/>
        <w:t>(d)</w:t>
      </w:r>
      <w:r w:rsidR="00A6348F">
        <w:tab/>
      </w:r>
      <w:r w:rsidRPr="006363DB">
        <w:t>an adverse effect on the health of any person,</w:t>
      </w:r>
    </w:p>
    <w:p w:rsidR="00F036E5" w:rsidRPr="006363DB" w:rsidRDefault="00A6348F" w:rsidP="008A0903">
      <w:pPr>
        <w:pStyle w:val="Citation-AltC"/>
        <w:tabs>
          <w:tab w:val="left" w:pos="1440"/>
        </w:tabs>
        <w:spacing w:after="240"/>
        <w:ind w:left="1890" w:hanging="1710"/>
        <w:contextualSpacing w:val="0"/>
      </w:pPr>
      <w:r>
        <w:tab/>
        <w:t>(e)</w:t>
      </w:r>
      <w:r>
        <w:tab/>
      </w:r>
      <w:r w:rsidR="00F036E5" w:rsidRPr="006363DB">
        <w:t>impairment of the safety of any person,</w:t>
      </w:r>
    </w:p>
    <w:p w:rsidR="00F036E5" w:rsidRPr="006363DB" w:rsidRDefault="00F036E5" w:rsidP="008A0903">
      <w:pPr>
        <w:pStyle w:val="Citation-AltC"/>
        <w:tabs>
          <w:tab w:val="left" w:pos="1440"/>
        </w:tabs>
        <w:spacing w:after="240"/>
        <w:ind w:left="1890" w:hanging="1710"/>
        <w:contextualSpacing w:val="0"/>
      </w:pPr>
      <w:r w:rsidRPr="006363DB">
        <w:tab/>
        <w:t>(f)</w:t>
      </w:r>
      <w:r w:rsidR="00A6348F">
        <w:tab/>
      </w:r>
      <w:r w:rsidRPr="006363DB">
        <w:t>rendering any property or plant or animal life unfit for human use,</w:t>
      </w:r>
    </w:p>
    <w:p w:rsidR="00F036E5" w:rsidRPr="006363DB" w:rsidRDefault="00F036E5" w:rsidP="008A0903">
      <w:pPr>
        <w:pStyle w:val="Citation-AltC"/>
        <w:tabs>
          <w:tab w:val="left" w:pos="1440"/>
        </w:tabs>
        <w:spacing w:after="240"/>
        <w:ind w:left="1890" w:hanging="1710"/>
        <w:contextualSpacing w:val="0"/>
      </w:pPr>
      <w:r w:rsidRPr="006363DB">
        <w:tab/>
        <w:t>(g)</w:t>
      </w:r>
      <w:r w:rsidR="00A6348F">
        <w:tab/>
      </w:r>
      <w:r w:rsidRPr="006363DB">
        <w:t>loss of enjoyment of normal use of property, and</w:t>
      </w:r>
    </w:p>
    <w:p w:rsidR="00F036E5" w:rsidRPr="006363DB" w:rsidRDefault="00F036E5" w:rsidP="00A6348F">
      <w:pPr>
        <w:pStyle w:val="Citation-AltC"/>
        <w:tabs>
          <w:tab w:val="left" w:pos="1440"/>
        </w:tabs>
        <w:ind w:left="1901" w:hanging="1714"/>
        <w:contextualSpacing w:val="0"/>
      </w:pPr>
      <w:r w:rsidRPr="006363DB">
        <w:tab/>
        <w:t>(h)</w:t>
      </w:r>
      <w:r w:rsidR="00A6348F">
        <w:tab/>
      </w:r>
      <w:r w:rsidRPr="006363DB">
        <w:t xml:space="preserve">interference with the normal conduct of business; </w:t>
      </w:r>
    </w:p>
    <w:p w:rsidR="00F036E5" w:rsidRPr="006363DB" w:rsidRDefault="00F036E5" w:rsidP="00F036E5">
      <w:pPr>
        <w:pStyle w:val="ParaNoNdepar-AltN"/>
        <w:tabs>
          <w:tab w:val="num" w:pos="1332"/>
        </w:tabs>
        <w:ind w:left="180"/>
        <w:rPr>
          <w:rFonts w:cs="Times New Roman"/>
        </w:rPr>
      </w:pPr>
      <w:r w:rsidRPr="006363DB">
        <w:rPr>
          <w:rFonts w:cs="Times New Roman"/>
          <w:lang w:val="en-US"/>
        </w:rPr>
        <w:t xml:space="preserve">There is already a jurisprudential trail from this Court and the Ontario Court of Appeal to guide our interpretation.  </w:t>
      </w:r>
      <w:r w:rsidRPr="006363DB">
        <w:rPr>
          <w:rFonts w:cs="Times New Roman"/>
        </w:rPr>
        <w:t xml:space="preserve">In </w:t>
      </w:r>
      <w:r w:rsidRPr="006363DB">
        <w:rPr>
          <w:rFonts w:cs="Times New Roman"/>
          <w:i/>
        </w:rPr>
        <w:t>Canadian Pacific</w:t>
      </w:r>
      <w:r w:rsidRPr="006363DB">
        <w:rPr>
          <w:rFonts w:cs="Times New Roman"/>
        </w:rPr>
        <w:t xml:space="preserve">, this Court considered an earlier version of the </w:t>
      </w:r>
      <w:r w:rsidRPr="006363DB">
        <w:rPr>
          <w:rFonts w:cs="Times New Roman"/>
          <w:i/>
        </w:rPr>
        <w:t>EPA</w:t>
      </w:r>
      <w:r w:rsidRPr="006363DB">
        <w:rPr>
          <w:rFonts w:cs="Times New Roman"/>
        </w:rPr>
        <w:t>,</w:t>
      </w:r>
      <w:r w:rsidRPr="006363DB">
        <w:rPr>
          <w:rFonts w:cs="Times New Roman"/>
          <w:i/>
        </w:rPr>
        <w:t xml:space="preserve"> </w:t>
      </w:r>
      <w:r w:rsidRPr="006363DB">
        <w:rPr>
          <w:rFonts w:cs="Times New Roman"/>
        </w:rPr>
        <w:t>which did not specifically mention the term “adverse effect”</w:t>
      </w:r>
      <w:r w:rsidRPr="006363DB">
        <w:rPr>
          <w:rFonts w:cs="Times New Roman"/>
          <w:i/>
        </w:rPr>
        <w:t xml:space="preserve">.  </w:t>
      </w:r>
      <w:r w:rsidRPr="006363DB">
        <w:rPr>
          <w:rFonts w:cs="Times New Roman"/>
        </w:rPr>
        <w:t xml:space="preserve">The appeal focused on what was then s. 13(1) of the </w:t>
      </w:r>
      <w:r w:rsidRPr="006363DB">
        <w:rPr>
          <w:rFonts w:cs="Times New Roman"/>
          <w:i/>
        </w:rPr>
        <w:t>EPA</w:t>
      </w:r>
      <w:r w:rsidRPr="006363DB">
        <w:rPr>
          <w:rFonts w:cs="Times New Roman"/>
        </w:rPr>
        <w:t xml:space="preserve">, R.S.O. 1980, c. 141, which stated: </w:t>
      </w:r>
    </w:p>
    <w:p w:rsidR="00F036E5" w:rsidRPr="006363DB" w:rsidRDefault="00A6348F" w:rsidP="00F036E5">
      <w:pPr>
        <w:pStyle w:val="Citation-AltC"/>
      </w:pPr>
      <w:r>
        <w:rPr>
          <w:b/>
        </w:rPr>
        <w:lastRenderedPageBreak/>
        <w:tab/>
        <w:t>13.</w:t>
      </w:r>
      <w:r w:rsidR="00F036E5" w:rsidRPr="006363DB">
        <w:rPr>
          <w:b/>
        </w:rPr>
        <w:t>—</w:t>
      </w:r>
      <w:r w:rsidR="00F036E5" w:rsidRPr="006363DB">
        <w:t>(1) Notwithstanding any other provision of this Act or the regulations</w:t>
      </w:r>
      <w:r>
        <w:t>,</w:t>
      </w:r>
      <w:r w:rsidR="00F036E5" w:rsidRPr="006363DB">
        <w:t xml:space="preserve"> no person shall deposit, add, emit or discharge a contaminant or cause or permit the deposit, addition, emission or discharge of a contaminant into the natural environment that,</w:t>
      </w:r>
    </w:p>
    <w:p w:rsidR="00F036E5" w:rsidRPr="006363DB" w:rsidRDefault="00F036E5" w:rsidP="00F036E5">
      <w:pPr>
        <w:pStyle w:val="Citation-AltC"/>
      </w:pPr>
    </w:p>
    <w:p w:rsidR="00F036E5" w:rsidRPr="006363DB" w:rsidRDefault="009F213F" w:rsidP="009F213F">
      <w:pPr>
        <w:pStyle w:val="Citation-AltC"/>
        <w:tabs>
          <w:tab w:val="left" w:pos="1440"/>
          <w:tab w:val="left" w:pos="1800"/>
        </w:tabs>
        <w:ind w:left="1800" w:hanging="1800"/>
      </w:pPr>
      <w:r>
        <w:tab/>
      </w:r>
      <w:r w:rsidR="00F036E5" w:rsidRPr="006363DB">
        <w:t>(</w:t>
      </w:r>
      <w:r w:rsidR="00F036E5" w:rsidRPr="006363DB">
        <w:rPr>
          <w:i/>
        </w:rPr>
        <w:t>a</w:t>
      </w:r>
      <w:r w:rsidR="00A6348F">
        <w:t>)</w:t>
      </w:r>
      <w:r w:rsidR="00A6348F">
        <w:tab/>
      </w:r>
      <w:r w:rsidR="00F036E5" w:rsidRPr="006363DB">
        <w:t>causes or is likely to cause impairment</w:t>
      </w:r>
      <w:r>
        <w:t xml:space="preserve"> of the quality of the natural </w:t>
      </w:r>
      <w:r w:rsidR="00F036E5" w:rsidRPr="006363DB">
        <w:t>environment for any use that can be made of it;</w:t>
      </w:r>
    </w:p>
    <w:p w:rsidR="00F036E5" w:rsidRPr="006363DB" w:rsidRDefault="00F036E5" w:rsidP="00F036E5">
      <w:pPr>
        <w:pStyle w:val="Citation-AltC"/>
        <w:ind w:left="1440"/>
      </w:pPr>
    </w:p>
    <w:p w:rsidR="00F036E5" w:rsidRPr="006363DB" w:rsidRDefault="00A252C9" w:rsidP="009F213F">
      <w:pPr>
        <w:pStyle w:val="Citation-AltC"/>
        <w:tabs>
          <w:tab w:val="left" w:pos="1440"/>
          <w:tab w:val="left" w:pos="1800"/>
        </w:tabs>
        <w:ind w:left="1800" w:hanging="1800"/>
        <w:rPr>
          <w:spacing w:val="-3"/>
          <w:szCs w:val="24"/>
        </w:rPr>
      </w:pPr>
      <w:r>
        <w:rPr>
          <w:spacing w:val="-3"/>
          <w:szCs w:val="24"/>
        </w:rPr>
        <w:tab/>
      </w:r>
      <w:r w:rsidR="00F036E5" w:rsidRPr="006363DB">
        <w:rPr>
          <w:spacing w:val="-3"/>
          <w:szCs w:val="24"/>
        </w:rPr>
        <w:t>(</w:t>
      </w:r>
      <w:r w:rsidR="00F036E5" w:rsidRPr="006363DB">
        <w:rPr>
          <w:i/>
          <w:iCs/>
          <w:spacing w:val="-3"/>
          <w:szCs w:val="24"/>
        </w:rPr>
        <w:t>b</w:t>
      </w:r>
      <w:r w:rsidR="00F036E5" w:rsidRPr="006363DB">
        <w:rPr>
          <w:spacing w:val="-3"/>
          <w:szCs w:val="24"/>
        </w:rPr>
        <w:t>)</w:t>
      </w:r>
      <w:r>
        <w:rPr>
          <w:spacing w:val="-3"/>
          <w:szCs w:val="24"/>
        </w:rPr>
        <w:tab/>
      </w:r>
      <w:r w:rsidR="00F036E5" w:rsidRPr="006363DB">
        <w:rPr>
          <w:spacing w:val="-3"/>
          <w:szCs w:val="24"/>
        </w:rPr>
        <w:t xml:space="preserve">causes or is </w:t>
      </w:r>
      <w:r w:rsidR="00F036E5" w:rsidRPr="009F213F">
        <w:t>likely</w:t>
      </w:r>
      <w:r w:rsidR="00F036E5" w:rsidRPr="006363DB">
        <w:rPr>
          <w:spacing w:val="-3"/>
          <w:szCs w:val="24"/>
        </w:rPr>
        <w:t xml:space="preserve"> to cause injury or damage to property or to plant or animal life;</w:t>
      </w:r>
    </w:p>
    <w:p w:rsidR="00F036E5" w:rsidRPr="006363DB" w:rsidRDefault="00F036E5" w:rsidP="00F036E5">
      <w:pPr>
        <w:pStyle w:val="Citation-AltC"/>
        <w:ind w:left="1440"/>
        <w:rPr>
          <w:szCs w:val="24"/>
        </w:rPr>
      </w:pPr>
    </w:p>
    <w:p w:rsidR="00F036E5" w:rsidRPr="006363DB" w:rsidRDefault="00A252C9" w:rsidP="009F213F">
      <w:pPr>
        <w:pStyle w:val="Citation-AltC"/>
        <w:tabs>
          <w:tab w:val="left" w:pos="1440"/>
          <w:tab w:val="left" w:pos="1800"/>
        </w:tabs>
        <w:ind w:left="1800" w:hanging="1800"/>
        <w:rPr>
          <w:spacing w:val="-3"/>
          <w:szCs w:val="24"/>
        </w:rPr>
      </w:pPr>
      <w:r>
        <w:rPr>
          <w:spacing w:val="-3"/>
          <w:szCs w:val="24"/>
        </w:rPr>
        <w:tab/>
      </w:r>
      <w:r w:rsidR="00F036E5" w:rsidRPr="006363DB">
        <w:rPr>
          <w:spacing w:val="-3"/>
          <w:szCs w:val="24"/>
        </w:rPr>
        <w:t>(</w:t>
      </w:r>
      <w:r w:rsidR="00F036E5" w:rsidRPr="006363DB">
        <w:rPr>
          <w:i/>
          <w:iCs/>
          <w:spacing w:val="-3"/>
          <w:szCs w:val="24"/>
        </w:rPr>
        <w:t>c</w:t>
      </w:r>
      <w:r w:rsidR="00F036E5" w:rsidRPr="006363DB">
        <w:rPr>
          <w:spacing w:val="-3"/>
          <w:szCs w:val="24"/>
        </w:rPr>
        <w:t>)</w:t>
      </w:r>
      <w:r>
        <w:rPr>
          <w:spacing w:val="-3"/>
          <w:szCs w:val="24"/>
        </w:rPr>
        <w:tab/>
      </w:r>
      <w:r w:rsidR="00F036E5" w:rsidRPr="009F213F">
        <w:t>causes</w:t>
      </w:r>
      <w:r w:rsidR="00F036E5" w:rsidRPr="006363DB">
        <w:rPr>
          <w:spacing w:val="-3"/>
          <w:szCs w:val="24"/>
        </w:rPr>
        <w:t xml:space="preserve"> or is likely to cause harm or material discomfort to any person;</w:t>
      </w:r>
    </w:p>
    <w:p w:rsidR="00F036E5" w:rsidRPr="006363DB" w:rsidRDefault="00F036E5" w:rsidP="00F036E5">
      <w:pPr>
        <w:pStyle w:val="Citation-AltC"/>
        <w:ind w:left="1440"/>
        <w:rPr>
          <w:szCs w:val="24"/>
        </w:rPr>
      </w:pPr>
    </w:p>
    <w:p w:rsidR="00F036E5" w:rsidRPr="006363DB" w:rsidRDefault="00A252C9" w:rsidP="009F213F">
      <w:pPr>
        <w:pStyle w:val="Citation-AltC"/>
        <w:tabs>
          <w:tab w:val="left" w:pos="1440"/>
          <w:tab w:val="left" w:pos="1800"/>
        </w:tabs>
        <w:ind w:left="1800" w:hanging="1800"/>
        <w:rPr>
          <w:spacing w:val="-3"/>
          <w:szCs w:val="24"/>
        </w:rPr>
      </w:pPr>
      <w:r>
        <w:rPr>
          <w:spacing w:val="-3"/>
          <w:szCs w:val="24"/>
        </w:rPr>
        <w:tab/>
      </w:r>
      <w:r w:rsidR="00F036E5" w:rsidRPr="006363DB">
        <w:rPr>
          <w:spacing w:val="-3"/>
          <w:szCs w:val="24"/>
        </w:rPr>
        <w:t>(</w:t>
      </w:r>
      <w:r w:rsidR="00F036E5" w:rsidRPr="006363DB">
        <w:rPr>
          <w:i/>
          <w:iCs/>
          <w:spacing w:val="-3"/>
          <w:szCs w:val="24"/>
        </w:rPr>
        <w:t>d</w:t>
      </w:r>
      <w:r w:rsidR="00F036E5" w:rsidRPr="006363DB">
        <w:rPr>
          <w:spacing w:val="-3"/>
          <w:szCs w:val="24"/>
        </w:rPr>
        <w:t>)</w:t>
      </w:r>
      <w:r>
        <w:rPr>
          <w:spacing w:val="-3"/>
          <w:szCs w:val="24"/>
        </w:rPr>
        <w:tab/>
      </w:r>
      <w:r w:rsidR="00F036E5" w:rsidRPr="006363DB">
        <w:rPr>
          <w:spacing w:val="-3"/>
          <w:szCs w:val="24"/>
        </w:rPr>
        <w:t xml:space="preserve">adversely affects or is likely to adversely affect the health of any </w:t>
      </w:r>
      <w:r w:rsidR="00F036E5" w:rsidRPr="009F213F">
        <w:t>person</w:t>
      </w:r>
      <w:r w:rsidR="00F036E5" w:rsidRPr="006363DB">
        <w:rPr>
          <w:spacing w:val="-3"/>
          <w:szCs w:val="24"/>
        </w:rPr>
        <w:t>;</w:t>
      </w:r>
    </w:p>
    <w:p w:rsidR="00F036E5" w:rsidRPr="006363DB" w:rsidRDefault="00F036E5" w:rsidP="00F036E5">
      <w:pPr>
        <w:pStyle w:val="Citation-AltC"/>
        <w:ind w:left="1440"/>
        <w:rPr>
          <w:szCs w:val="24"/>
        </w:rPr>
      </w:pPr>
    </w:p>
    <w:p w:rsidR="00F036E5" w:rsidRPr="006363DB" w:rsidRDefault="00A252C9" w:rsidP="009F213F">
      <w:pPr>
        <w:pStyle w:val="Citation-AltC"/>
        <w:tabs>
          <w:tab w:val="left" w:pos="1440"/>
          <w:tab w:val="left" w:pos="1800"/>
        </w:tabs>
        <w:ind w:left="1800" w:hanging="1800"/>
        <w:rPr>
          <w:spacing w:val="-3"/>
          <w:szCs w:val="24"/>
        </w:rPr>
      </w:pPr>
      <w:r>
        <w:rPr>
          <w:spacing w:val="-3"/>
          <w:szCs w:val="24"/>
        </w:rPr>
        <w:tab/>
      </w:r>
      <w:r w:rsidR="00F036E5" w:rsidRPr="006363DB">
        <w:rPr>
          <w:spacing w:val="-3"/>
          <w:szCs w:val="24"/>
        </w:rPr>
        <w:t>(</w:t>
      </w:r>
      <w:r w:rsidR="00F036E5" w:rsidRPr="006363DB">
        <w:rPr>
          <w:i/>
          <w:iCs/>
          <w:spacing w:val="-3"/>
          <w:szCs w:val="24"/>
        </w:rPr>
        <w:t>e</w:t>
      </w:r>
      <w:r w:rsidR="00F036E5" w:rsidRPr="006363DB">
        <w:rPr>
          <w:spacing w:val="-3"/>
          <w:szCs w:val="24"/>
        </w:rPr>
        <w:t>)</w:t>
      </w:r>
      <w:r>
        <w:rPr>
          <w:spacing w:val="-3"/>
          <w:szCs w:val="24"/>
        </w:rPr>
        <w:tab/>
      </w:r>
      <w:r w:rsidR="00F036E5" w:rsidRPr="006363DB">
        <w:rPr>
          <w:spacing w:val="-3"/>
          <w:szCs w:val="24"/>
        </w:rPr>
        <w:t>impairs or is likely to impair the safety of any person;</w:t>
      </w:r>
    </w:p>
    <w:p w:rsidR="00F036E5" w:rsidRPr="006363DB" w:rsidRDefault="00F036E5" w:rsidP="009F213F">
      <w:pPr>
        <w:pStyle w:val="Citation-AltC"/>
        <w:tabs>
          <w:tab w:val="left" w:pos="1440"/>
          <w:tab w:val="left" w:pos="1800"/>
        </w:tabs>
        <w:ind w:left="1800" w:hanging="1800"/>
        <w:rPr>
          <w:spacing w:val="-3"/>
          <w:szCs w:val="24"/>
        </w:rPr>
      </w:pPr>
    </w:p>
    <w:p w:rsidR="00F036E5" w:rsidRPr="006363DB" w:rsidRDefault="00A252C9" w:rsidP="009F213F">
      <w:pPr>
        <w:pStyle w:val="Citation-AltC"/>
        <w:tabs>
          <w:tab w:val="left" w:pos="1440"/>
          <w:tab w:val="left" w:pos="1800"/>
        </w:tabs>
        <w:ind w:left="1800" w:hanging="1800"/>
        <w:rPr>
          <w:spacing w:val="-3"/>
          <w:szCs w:val="24"/>
        </w:rPr>
      </w:pPr>
      <w:r>
        <w:rPr>
          <w:spacing w:val="-3"/>
          <w:szCs w:val="24"/>
        </w:rPr>
        <w:tab/>
      </w:r>
      <w:r w:rsidR="00F036E5" w:rsidRPr="006363DB">
        <w:rPr>
          <w:spacing w:val="-3"/>
          <w:szCs w:val="24"/>
        </w:rPr>
        <w:t>(</w:t>
      </w:r>
      <w:r w:rsidR="00F036E5" w:rsidRPr="006363DB">
        <w:rPr>
          <w:i/>
          <w:iCs/>
          <w:spacing w:val="-3"/>
          <w:szCs w:val="24"/>
        </w:rPr>
        <w:t>f</w:t>
      </w:r>
      <w:r w:rsidR="00F036E5" w:rsidRPr="006363DB">
        <w:rPr>
          <w:spacing w:val="-3"/>
          <w:szCs w:val="24"/>
        </w:rPr>
        <w:t>)</w:t>
      </w:r>
      <w:r>
        <w:rPr>
          <w:spacing w:val="-3"/>
          <w:szCs w:val="24"/>
        </w:rPr>
        <w:tab/>
      </w:r>
      <w:r w:rsidR="00F036E5" w:rsidRPr="006363DB">
        <w:rPr>
          <w:spacing w:val="-3"/>
          <w:szCs w:val="24"/>
        </w:rPr>
        <w:t>renders or is likely to render any property</w:t>
      </w:r>
      <w:r>
        <w:rPr>
          <w:spacing w:val="-3"/>
          <w:szCs w:val="24"/>
        </w:rPr>
        <w:t xml:space="preserve"> or plant or animal life unfit </w:t>
      </w:r>
      <w:r w:rsidR="00F036E5" w:rsidRPr="006363DB">
        <w:rPr>
          <w:spacing w:val="-3"/>
          <w:szCs w:val="24"/>
        </w:rPr>
        <w:t>for use by man;</w:t>
      </w:r>
    </w:p>
    <w:p w:rsidR="00F036E5" w:rsidRPr="006363DB" w:rsidRDefault="00F036E5" w:rsidP="00F036E5">
      <w:pPr>
        <w:pStyle w:val="Citation-AltC"/>
        <w:ind w:left="1440"/>
        <w:rPr>
          <w:szCs w:val="24"/>
        </w:rPr>
      </w:pPr>
    </w:p>
    <w:p w:rsidR="00F036E5" w:rsidRPr="006363DB" w:rsidRDefault="00A252C9" w:rsidP="009F213F">
      <w:pPr>
        <w:pStyle w:val="Citation-AltC"/>
        <w:tabs>
          <w:tab w:val="left" w:pos="1440"/>
          <w:tab w:val="left" w:pos="1800"/>
        </w:tabs>
        <w:ind w:left="1800" w:hanging="1800"/>
        <w:rPr>
          <w:spacing w:val="-3"/>
          <w:szCs w:val="24"/>
        </w:rPr>
      </w:pPr>
      <w:r>
        <w:rPr>
          <w:spacing w:val="-3"/>
          <w:szCs w:val="24"/>
        </w:rPr>
        <w:tab/>
      </w:r>
      <w:r w:rsidR="00F036E5" w:rsidRPr="006363DB">
        <w:rPr>
          <w:spacing w:val="-3"/>
          <w:szCs w:val="24"/>
        </w:rPr>
        <w:t>(</w:t>
      </w:r>
      <w:r w:rsidR="00F036E5" w:rsidRPr="006363DB">
        <w:rPr>
          <w:i/>
          <w:iCs/>
          <w:spacing w:val="-3"/>
          <w:szCs w:val="24"/>
        </w:rPr>
        <w:t>g</w:t>
      </w:r>
      <w:r w:rsidR="00F036E5" w:rsidRPr="006363DB">
        <w:rPr>
          <w:spacing w:val="-3"/>
          <w:szCs w:val="24"/>
        </w:rPr>
        <w:t>)</w:t>
      </w:r>
      <w:r>
        <w:rPr>
          <w:spacing w:val="-3"/>
          <w:szCs w:val="24"/>
        </w:rPr>
        <w:tab/>
      </w:r>
      <w:r w:rsidR="00F036E5" w:rsidRPr="006363DB">
        <w:rPr>
          <w:spacing w:val="-3"/>
          <w:szCs w:val="24"/>
        </w:rPr>
        <w:t>causes or is likely to cause loss</w:t>
      </w:r>
      <w:r>
        <w:rPr>
          <w:spacing w:val="-3"/>
          <w:szCs w:val="24"/>
        </w:rPr>
        <w:t xml:space="preserve"> of enjoyment of normal use of </w:t>
      </w:r>
      <w:r w:rsidR="00F036E5" w:rsidRPr="006363DB">
        <w:rPr>
          <w:spacing w:val="-3"/>
          <w:szCs w:val="24"/>
        </w:rPr>
        <w:t xml:space="preserve">property; </w:t>
      </w:r>
      <w:r w:rsidR="00F036E5" w:rsidRPr="009F213F">
        <w:t>or</w:t>
      </w:r>
    </w:p>
    <w:p w:rsidR="00F036E5" w:rsidRPr="006363DB" w:rsidRDefault="00F036E5" w:rsidP="00F036E5">
      <w:pPr>
        <w:pStyle w:val="Citation-AltC"/>
        <w:ind w:left="1440"/>
        <w:rPr>
          <w:szCs w:val="24"/>
        </w:rPr>
      </w:pPr>
    </w:p>
    <w:p w:rsidR="00F036E5" w:rsidRPr="006363DB" w:rsidRDefault="00A252C9" w:rsidP="009F213F">
      <w:pPr>
        <w:pStyle w:val="Citation-AltC"/>
        <w:tabs>
          <w:tab w:val="left" w:pos="1440"/>
          <w:tab w:val="left" w:pos="1800"/>
        </w:tabs>
        <w:ind w:left="1800" w:hanging="1800"/>
        <w:rPr>
          <w:szCs w:val="24"/>
        </w:rPr>
      </w:pPr>
      <w:r>
        <w:rPr>
          <w:spacing w:val="-3"/>
          <w:szCs w:val="24"/>
        </w:rPr>
        <w:tab/>
      </w:r>
      <w:r w:rsidR="00F036E5" w:rsidRPr="006363DB">
        <w:rPr>
          <w:spacing w:val="-3"/>
          <w:szCs w:val="24"/>
        </w:rPr>
        <w:t>(</w:t>
      </w:r>
      <w:r w:rsidR="00F036E5" w:rsidRPr="006363DB">
        <w:rPr>
          <w:i/>
          <w:iCs/>
          <w:spacing w:val="-3"/>
          <w:szCs w:val="24"/>
        </w:rPr>
        <w:t>h</w:t>
      </w:r>
      <w:r w:rsidR="00F036E5" w:rsidRPr="006363DB">
        <w:rPr>
          <w:spacing w:val="-3"/>
          <w:szCs w:val="24"/>
        </w:rPr>
        <w:t>)</w:t>
      </w:r>
      <w:r>
        <w:rPr>
          <w:spacing w:val="-3"/>
          <w:szCs w:val="24"/>
        </w:rPr>
        <w:tab/>
      </w:r>
      <w:r w:rsidR="00F036E5" w:rsidRPr="006363DB">
        <w:rPr>
          <w:spacing w:val="-3"/>
          <w:szCs w:val="24"/>
        </w:rPr>
        <w:t>interferes or is likely to interfere with the normal conduct of business.</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The first </w:t>
      </w:r>
      <w:r w:rsidRPr="0073049A">
        <w:t>part</w:t>
      </w:r>
      <w:r w:rsidRPr="006363DB">
        <w:rPr>
          <w:rFonts w:cs="Times New Roman"/>
        </w:rPr>
        <w:t xml:space="preserve"> of s. 13(1) is now s. 14(1).</w:t>
      </w:r>
      <w:r w:rsidRPr="006363DB">
        <w:rPr>
          <w:rStyle w:val="FootnoteReference"/>
          <w:rFonts w:cs="Times New Roman"/>
          <w:lang w:val="en-US"/>
        </w:rPr>
        <w:footnoteReference w:id="1"/>
      </w:r>
      <w:r w:rsidRPr="006363DB">
        <w:rPr>
          <w:rFonts w:cs="Times New Roman"/>
        </w:rPr>
        <w:t xml:space="preserve">  Paragraphs (a) to (h) now form part of the definition of “adverse effect” found in s. 1(1) of the </w:t>
      </w:r>
      <w:r w:rsidRPr="006363DB">
        <w:rPr>
          <w:rFonts w:cs="Times New Roman"/>
          <w:i/>
        </w:rPr>
        <w:t xml:space="preserve">EPA.  </w:t>
      </w:r>
    </w:p>
    <w:p w:rsidR="00F036E5" w:rsidRPr="006363DB" w:rsidRDefault="00F036E5" w:rsidP="0073049A">
      <w:pPr>
        <w:pStyle w:val="ParaNoNdepar-AltN"/>
        <w:tabs>
          <w:tab w:val="clear" w:pos="1872"/>
        </w:tabs>
        <w:ind w:left="0"/>
        <w:rPr>
          <w:rFonts w:cs="Times New Roman"/>
        </w:rPr>
      </w:pPr>
      <w:r w:rsidRPr="006363DB">
        <w:rPr>
          <w:rFonts w:cs="Times New Roman"/>
        </w:rPr>
        <w:lastRenderedPageBreak/>
        <w:t xml:space="preserve">The </w:t>
      </w:r>
      <w:r w:rsidRPr="0073049A">
        <w:t>issue</w:t>
      </w:r>
      <w:r w:rsidRPr="006363DB">
        <w:rPr>
          <w:rFonts w:cs="Times New Roman"/>
        </w:rPr>
        <w:t xml:space="preserve"> in </w:t>
      </w:r>
      <w:r w:rsidRPr="006363DB">
        <w:rPr>
          <w:rFonts w:cs="Times New Roman"/>
          <w:i/>
        </w:rPr>
        <w:t>Canadian Pacific</w:t>
      </w:r>
      <w:r w:rsidRPr="006363DB">
        <w:rPr>
          <w:rFonts w:cs="Times New Roman"/>
        </w:rPr>
        <w:t xml:space="preserve"> was whether the words “for any use that can be made of it” in para. (</w:t>
      </w:r>
      <w:r w:rsidRPr="006363DB">
        <w:rPr>
          <w:rFonts w:cs="Times New Roman"/>
          <w:i/>
        </w:rPr>
        <w:t>a</w:t>
      </w:r>
      <w:r w:rsidRPr="006363DB">
        <w:rPr>
          <w:rFonts w:cs="Times New Roman"/>
        </w:rPr>
        <w:t>) of s. 13(1) were unconstitutionally vague or overbroad.  Although the Court’s reasoning was focused on the constitutional issues raised in that case, the Court made several statements about the interpretation of s. 13(1)(</w:t>
      </w:r>
      <w:r w:rsidRPr="006363DB">
        <w:rPr>
          <w:rFonts w:cs="Times New Roman"/>
          <w:i/>
        </w:rPr>
        <w:t>a</w:t>
      </w:r>
      <w:r w:rsidRPr="006363DB">
        <w:rPr>
          <w:rFonts w:cs="Times New Roman"/>
        </w:rPr>
        <w:t xml:space="preserve">) of the </w:t>
      </w:r>
      <w:r w:rsidRPr="006363DB">
        <w:rPr>
          <w:rFonts w:cs="Times New Roman"/>
          <w:i/>
        </w:rPr>
        <w:t xml:space="preserve">EPA </w:t>
      </w:r>
      <w:r w:rsidRPr="006363DB">
        <w:rPr>
          <w:rFonts w:cs="Times New Roman"/>
        </w:rPr>
        <w:t xml:space="preserve">which are helpful in resolving the interpretive issue in this appeal. </w:t>
      </w:r>
      <w:r w:rsidRPr="006363DB">
        <w:rPr>
          <w:rFonts w:cs="Times New Roman"/>
          <w:i/>
        </w:rPr>
        <w:t xml:space="preserve"> </w:t>
      </w:r>
      <w:r w:rsidRPr="006363DB">
        <w:rPr>
          <w:rFonts w:cs="Times New Roman"/>
        </w:rPr>
        <w:t>Notably, in finding that the provision was neither vague nor overbroad, Gonthier J., writing for the majority, held that the application of s. 13(1)(</w:t>
      </w:r>
      <w:r w:rsidRPr="006363DB">
        <w:rPr>
          <w:rFonts w:cs="Times New Roman"/>
          <w:i/>
        </w:rPr>
        <w:t>a</w:t>
      </w:r>
      <w:r w:rsidRPr="006363DB">
        <w:rPr>
          <w:rFonts w:cs="Times New Roman"/>
        </w:rPr>
        <w:t xml:space="preserve">) was confined to the discharge of contaminants that cause, or are likely to cause, </w:t>
      </w:r>
      <w:r w:rsidRPr="006363DB">
        <w:rPr>
          <w:rFonts w:cs="Times New Roman"/>
          <w:i/>
        </w:rPr>
        <w:t xml:space="preserve">non-trivial </w:t>
      </w:r>
      <w:r w:rsidRPr="006363DB">
        <w:rPr>
          <w:rFonts w:cs="Times New Roman"/>
        </w:rPr>
        <w:t xml:space="preserve">impairment of the quality of the natural environment for any use that could be made of it.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Lamer C.J., in </w:t>
      </w:r>
      <w:r w:rsidRPr="0073049A">
        <w:t>concurring</w:t>
      </w:r>
      <w:r w:rsidRPr="006363DB">
        <w:rPr>
          <w:rFonts w:cs="Times New Roman"/>
        </w:rPr>
        <w:t xml:space="preserve"> reasons which were not endorsed by the majority, was of the view that para. (</w:t>
      </w:r>
      <w:r w:rsidRPr="006363DB">
        <w:rPr>
          <w:rFonts w:cs="Times New Roman"/>
          <w:i/>
        </w:rPr>
        <w:t>a</w:t>
      </w:r>
      <w:r w:rsidRPr="006363DB">
        <w:rPr>
          <w:rFonts w:cs="Times New Roman"/>
        </w:rPr>
        <w:t>) should be interpreted as an umbrella clause so that harm to the quality of the natural environment was independently required before the rest of the provisions in</w:t>
      </w:r>
      <w:r w:rsidR="00F1052A">
        <w:rPr>
          <w:rFonts w:cs="Times New Roman"/>
        </w:rPr>
        <w:t xml:space="preserve"> paras.</w:t>
      </w:r>
      <w:r w:rsidRPr="006363DB">
        <w:rPr>
          <w:rFonts w:cs="Times New Roman"/>
        </w:rPr>
        <w:t xml:space="preserve"> (</w:t>
      </w:r>
      <w:r w:rsidRPr="006363DB">
        <w:rPr>
          <w:rFonts w:cs="Times New Roman"/>
          <w:i/>
        </w:rPr>
        <w:t>b</w:t>
      </w:r>
      <w:r w:rsidRPr="006363DB">
        <w:rPr>
          <w:rFonts w:cs="Times New Roman"/>
        </w:rPr>
        <w:t>) to (</w:t>
      </w:r>
      <w:r w:rsidRPr="006363DB">
        <w:rPr>
          <w:rFonts w:cs="Times New Roman"/>
          <w:i/>
        </w:rPr>
        <w:t>h</w:t>
      </w:r>
      <w:r w:rsidRPr="006363DB">
        <w:rPr>
          <w:rFonts w:cs="Times New Roman"/>
        </w:rPr>
        <w:t xml:space="preserve">) of s. 13(1) were engaged.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Castonguay advocates </w:t>
      </w:r>
      <w:r w:rsidRPr="0073049A">
        <w:t>that</w:t>
      </w:r>
      <w:r w:rsidRPr="006363DB">
        <w:rPr>
          <w:rFonts w:cs="Times New Roman"/>
        </w:rPr>
        <w:t xml:space="preserve"> we adopt the minority approach of Lamer C.J. in </w:t>
      </w:r>
      <w:r w:rsidRPr="006363DB">
        <w:rPr>
          <w:rFonts w:cs="Times New Roman"/>
          <w:i/>
        </w:rPr>
        <w:t>Canadian Pacific</w:t>
      </w:r>
      <w:r w:rsidRPr="006363DB">
        <w:rPr>
          <w:rFonts w:cs="Times New Roman"/>
        </w:rPr>
        <w:t xml:space="preserve">.  This, with respect, is an argument that cannot survive the amended language in the </w:t>
      </w:r>
      <w:r w:rsidRPr="006363DB">
        <w:rPr>
          <w:rFonts w:cs="Times New Roman"/>
          <w:i/>
        </w:rPr>
        <w:t xml:space="preserve">EPA </w:t>
      </w:r>
      <w:r w:rsidRPr="006363DB">
        <w:rPr>
          <w:rFonts w:cs="Times New Roman"/>
        </w:rPr>
        <w:t xml:space="preserve">after </w:t>
      </w:r>
      <w:r w:rsidRPr="006363DB">
        <w:rPr>
          <w:rFonts w:cs="Times New Roman"/>
          <w:i/>
        </w:rPr>
        <w:t xml:space="preserve">Canadian Pacific </w:t>
      </w:r>
      <w:r w:rsidRPr="006363DB">
        <w:rPr>
          <w:rFonts w:cs="Times New Roman"/>
        </w:rPr>
        <w:t xml:space="preserve">was decided.  The most significant change to the </w:t>
      </w:r>
      <w:r w:rsidRPr="006363DB">
        <w:rPr>
          <w:rFonts w:cs="Times New Roman"/>
          <w:i/>
        </w:rPr>
        <w:t xml:space="preserve">EPA </w:t>
      </w:r>
      <w:r w:rsidRPr="006363DB">
        <w:rPr>
          <w:rFonts w:cs="Times New Roman"/>
        </w:rPr>
        <w:t>was the creation of a separate statutory definition of “adverse effect”.  The definition included the words “</w:t>
      </w:r>
      <w:r w:rsidRPr="006363DB">
        <w:rPr>
          <w:rFonts w:cs="Times New Roman"/>
          <w:i/>
        </w:rPr>
        <w:t>means one or more of</w:t>
      </w:r>
      <w:r w:rsidRPr="006363DB">
        <w:rPr>
          <w:rFonts w:cs="Times New Roman"/>
        </w:rPr>
        <w:t xml:space="preserve">” the eight components set out in </w:t>
      </w:r>
      <w:r w:rsidR="00F1052A">
        <w:rPr>
          <w:rFonts w:cs="Times New Roman"/>
        </w:rPr>
        <w:t xml:space="preserve">paras. </w:t>
      </w:r>
      <w:r w:rsidRPr="006363DB">
        <w:rPr>
          <w:rFonts w:cs="Times New Roman"/>
        </w:rPr>
        <w:t xml:space="preserve">(a) through (h).  None of these components is said to be an overriding requirement, and each is stated to be an adverse effect.  As a result, all eight branches of “adverse effect” provide independent triggers for liability.  </w:t>
      </w:r>
      <w:r w:rsidRPr="006363DB">
        <w:rPr>
          <w:rFonts w:cs="Times New Roman"/>
        </w:rPr>
        <w:lastRenderedPageBreak/>
        <w:t xml:space="preserve">Castonguay’s interpretation reads out these crucial legislative directives that </w:t>
      </w:r>
      <w:r w:rsidRPr="006363DB">
        <w:rPr>
          <w:rFonts w:cs="Times New Roman"/>
          <w:i/>
        </w:rPr>
        <w:t xml:space="preserve">each </w:t>
      </w:r>
      <w:r w:rsidRPr="006363DB">
        <w:rPr>
          <w:rFonts w:cs="Times New Roman"/>
        </w:rPr>
        <w:t>effect is deemed to be adverse.</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To interpret “adverse </w:t>
      </w:r>
      <w:r w:rsidRPr="0073049A">
        <w:t>effect</w:t>
      </w:r>
      <w:r w:rsidRPr="006363DB">
        <w:rPr>
          <w:rFonts w:cs="Times New Roman"/>
        </w:rPr>
        <w:t xml:space="preserve">” restrictively not only reads out the plain and obvious meaning of the definition, it narrows the scope of the reporting requirement, thereby restricting its remedial capacity and the Ministry’s ability to fulfill its statutory mandate. </w:t>
      </w:r>
    </w:p>
    <w:p w:rsidR="00F036E5" w:rsidRPr="006363DB" w:rsidRDefault="00F036E5" w:rsidP="0073049A">
      <w:pPr>
        <w:pStyle w:val="ParaNoNdepar-AltN"/>
        <w:tabs>
          <w:tab w:val="clear" w:pos="1872"/>
        </w:tabs>
        <w:ind w:left="0"/>
        <w:rPr>
          <w:rFonts w:cs="Times New Roman"/>
        </w:rPr>
      </w:pPr>
      <w:r w:rsidRPr="006363DB">
        <w:rPr>
          <w:rFonts w:cs="Times New Roman"/>
          <w:i/>
        </w:rPr>
        <w:t xml:space="preserve">Canadian Pacific </w:t>
      </w:r>
      <w:r w:rsidRPr="006363DB">
        <w:rPr>
          <w:rFonts w:cs="Times New Roman"/>
        </w:rPr>
        <w:t xml:space="preserve">was interpreted and applied by the Ontario Court of Appeal in </w:t>
      </w:r>
      <w:r w:rsidRPr="006363DB">
        <w:rPr>
          <w:rFonts w:cs="Times New Roman"/>
          <w:i/>
        </w:rPr>
        <w:t>Dow Chemical</w:t>
      </w:r>
      <w:r w:rsidRPr="00F1052A">
        <w:rPr>
          <w:rFonts w:cs="Times New Roman"/>
        </w:rPr>
        <w:t>.</w:t>
      </w:r>
      <w:r w:rsidRPr="006363DB">
        <w:rPr>
          <w:rFonts w:cs="Times New Roman"/>
          <w:i/>
        </w:rPr>
        <w:t xml:space="preserve">  </w:t>
      </w:r>
      <w:r w:rsidRPr="006363DB">
        <w:rPr>
          <w:rFonts w:cs="Times New Roman"/>
        </w:rPr>
        <w:t>In that case, Dow Chemical,</w:t>
      </w:r>
      <w:r w:rsidRPr="006363DB">
        <w:rPr>
          <w:rFonts w:cs="Times New Roman"/>
          <w:i/>
        </w:rPr>
        <w:t xml:space="preserve"> </w:t>
      </w:r>
      <w:r w:rsidRPr="006363DB">
        <w:rPr>
          <w:rFonts w:cs="Times New Roman"/>
        </w:rPr>
        <w:t xml:space="preserve">like Castonguay, argued that, in order to establish an adverse effect under the </w:t>
      </w:r>
      <w:r w:rsidRPr="006363DB">
        <w:rPr>
          <w:rFonts w:cs="Times New Roman"/>
          <w:i/>
        </w:rPr>
        <w:t>EPA</w:t>
      </w:r>
      <w:r w:rsidRPr="00F1052A">
        <w:rPr>
          <w:rFonts w:cs="Times New Roman"/>
        </w:rPr>
        <w:t>, “</w:t>
      </w:r>
      <w:r w:rsidRPr="006363DB">
        <w:rPr>
          <w:rFonts w:cs="Times New Roman"/>
        </w:rPr>
        <w:t xml:space="preserve">impairment of the quality of the natural environment” under para. (a) </w:t>
      </w:r>
      <w:r w:rsidRPr="006363DB">
        <w:rPr>
          <w:rFonts w:cs="Times New Roman"/>
          <w:i/>
        </w:rPr>
        <w:t>must</w:t>
      </w:r>
      <w:r w:rsidRPr="006363DB">
        <w:rPr>
          <w:rFonts w:cs="Times New Roman"/>
        </w:rPr>
        <w:t xml:space="preserve"> be made out </w:t>
      </w:r>
      <w:r w:rsidRPr="006363DB">
        <w:rPr>
          <w:rFonts w:cs="Times New Roman"/>
          <w:i/>
        </w:rPr>
        <w:t>in addition</w:t>
      </w:r>
      <w:r w:rsidRPr="006363DB">
        <w:rPr>
          <w:rFonts w:cs="Times New Roman"/>
        </w:rPr>
        <w:t xml:space="preserve"> to any of the other effects set out in</w:t>
      </w:r>
      <w:r w:rsidR="00F1052A">
        <w:rPr>
          <w:rFonts w:cs="Times New Roman"/>
        </w:rPr>
        <w:t xml:space="preserve"> paras.</w:t>
      </w:r>
      <w:r w:rsidRPr="006363DB">
        <w:rPr>
          <w:rFonts w:cs="Times New Roman"/>
        </w:rPr>
        <w:t xml:space="preserve"> (b) through (h).  MacPherson J.A. rejected this ap</w:t>
      </w:r>
      <w:r w:rsidR="0064223E">
        <w:rPr>
          <w:rFonts w:cs="Times New Roman"/>
        </w:rPr>
        <w:t>proach, concluding instead that</w:t>
      </w:r>
    </w:p>
    <w:p w:rsidR="00F036E5" w:rsidRPr="006363DB" w:rsidRDefault="00661E50" w:rsidP="00F036E5">
      <w:pPr>
        <w:pStyle w:val="Citation-AltC"/>
      </w:pPr>
      <w:r>
        <w:tab/>
        <w:t>[p</w:t>
      </w:r>
      <w:r w:rsidR="00F036E5" w:rsidRPr="006363DB">
        <w:t>aragraph] (</w:t>
      </w:r>
      <w:r w:rsidR="00F036E5" w:rsidRPr="006363DB">
        <w:rPr>
          <w:i/>
        </w:rPr>
        <w:t>a</w:t>
      </w:r>
      <w:r w:rsidR="00F036E5" w:rsidRPr="006363DB">
        <w:t xml:space="preserve">) is just one of eight defined adverse effects. It relates to the natural environment, which is defined in the Act as “the air, land and water” (s. 1(1)). The other seven [paragraphs] set out other forms of adverse effect. Some relate to plants and animals </w:t>
      </w:r>
      <w:r w:rsidR="00F1052A">
        <w:t>(</w:t>
      </w:r>
      <w:r w:rsidR="00F036E5" w:rsidRPr="006363DB">
        <w:t>[para</w:t>
      </w:r>
      <w:r w:rsidR="00F1052A">
        <w:t>s</w:t>
      </w:r>
      <w:r w:rsidR="00F036E5" w:rsidRPr="006363DB">
        <w:t>.] (</w:t>
      </w:r>
      <w:r w:rsidR="00F036E5" w:rsidRPr="006363DB">
        <w:rPr>
          <w:i/>
        </w:rPr>
        <w:t>b</w:t>
      </w:r>
      <w:r w:rsidR="00F036E5" w:rsidRPr="006363DB">
        <w:t>) and (</w:t>
      </w:r>
      <w:r w:rsidR="00F036E5" w:rsidRPr="006363DB">
        <w:rPr>
          <w:i/>
        </w:rPr>
        <w:t>f</w:t>
      </w:r>
      <w:r w:rsidR="00F036E5" w:rsidRPr="006363DB">
        <w:t xml:space="preserve">)); some relate to people </w:t>
      </w:r>
      <w:r w:rsidR="00F1052A">
        <w:t>(</w:t>
      </w:r>
      <w:r w:rsidR="00F036E5" w:rsidRPr="006363DB">
        <w:t>[para</w:t>
      </w:r>
      <w:r w:rsidR="00F1052A">
        <w:t>s</w:t>
      </w:r>
      <w:r w:rsidR="00F036E5" w:rsidRPr="006363DB">
        <w:t>.] (</w:t>
      </w:r>
      <w:r w:rsidR="00F036E5" w:rsidRPr="006363DB">
        <w:rPr>
          <w:i/>
        </w:rPr>
        <w:t>c</w:t>
      </w:r>
      <w:r w:rsidR="00F036E5" w:rsidRPr="006363DB">
        <w:t>), (</w:t>
      </w:r>
      <w:r w:rsidR="00F036E5" w:rsidRPr="006363DB">
        <w:rPr>
          <w:i/>
        </w:rPr>
        <w:t>d</w:t>
      </w:r>
      <w:r w:rsidR="00F036E5" w:rsidRPr="006363DB">
        <w:t>) and (</w:t>
      </w:r>
      <w:r w:rsidR="00F036E5" w:rsidRPr="006363DB">
        <w:rPr>
          <w:i/>
        </w:rPr>
        <w:t>f</w:t>
      </w:r>
      <w:r w:rsidR="00F036E5" w:rsidRPr="006363DB">
        <w:t xml:space="preserve">)) and their property </w:t>
      </w:r>
      <w:r w:rsidR="00F1052A">
        <w:t>(</w:t>
      </w:r>
      <w:r w:rsidR="00F036E5" w:rsidRPr="006363DB">
        <w:t>[para.] (</w:t>
      </w:r>
      <w:r w:rsidR="00F036E5" w:rsidRPr="006363DB">
        <w:rPr>
          <w:i/>
        </w:rPr>
        <w:t>g</w:t>
      </w:r>
      <w:r w:rsidR="00F036E5" w:rsidRPr="006363DB">
        <w:t xml:space="preserve">)) and business </w:t>
      </w:r>
      <w:r w:rsidR="00F1052A">
        <w:t>(</w:t>
      </w:r>
      <w:r w:rsidR="00F036E5" w:rsidRPr="006363DB">
        <w:t>[para.] (</w:t>
      </w:r>
      <w:r w:rsidR="00F036E5" w:rsidRPr="006363DB">
        <w:rPr>
          <w:i/>
        </w:rPr>
        <w:t>h</w:t>
      </w:r>
      <w:r w:rsidR="00F036E5" w:rsidRPr="006363DB">
        <w:t>))</w:t>
      </w:r>
      <w:r w:rsidR="00F1052A">
        <w:t>.</w:t>
      </w:r>
      <w:r w:rsidR="00F036E5" w:rsidRPr="006363DB">
        <w:t xml:space="preserve"> [para. 29]</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Applying </w:t>
      </w:r>
      <w:r w:rsidRPr="0073049A">
        <w:t>Gonthier</w:t>
      </w:r>
      <w:r w:rsidRPr="006363DB">
        <w:rPr>
          <w:rFonts w:cs="Times New Roman"/>
        </w:rPr>
        <w:t xml:space="preserve"> J.’s language in </w:t>
      </w:r>
      <w:r w:rsidRPr="006363DB">
        <w:rPr>
          <w:rFonts w:cs="Times New Roman"/>
          <w:i/>
        </w:rPr>
        <w:t>Canadian Pacific</w:t>
      </w:r>
      <w:r w:rsidRPr="006363DB">
        <w:rPr>
          <w:rFonts w:cs="Times New Roman"/>
        </w:rPr>
        <w:t xml:space="preserve">, MacPherson J.A. accepted that each of the eight enumerated adverse effects must be more than trivial but that any of them was sufficient to satisfy the definition (para. 30). </w:t>
      </w:r>
      <w:r w:rsidRPr="006363DB">
        <w:rPr>
          <w:rFonts w:cs="Times New Roman"/>
          <w:i/>
        </w:rPr>
        <w:t xml:space="preserve"> </w:t>
      </w:r>
    </w:p>
    <w:p w:rsidR="00F036E5" w:rsidRPr="006363DB" w:rsidRDefault="00F036E5" w:rsidP="0073049A">
      <w:pPr>
        <w:pStyle w:val="ParaNoNdepar-AltN"/>
        <w:tabs>
          <w:tab w:val="clear" w:pos="1872"/>
        </w:tabs>
        <w:ind w:left="0"/>
        <w:rPr>
          <w:rFonts w:cs="Times New Roman"/>
        </w:rPr>
      </w:pPr>
      <w:r w:rsidRPr="006363DB">
        <w:rPr>
          <w:rFonts w:cs="Times New Roman"/>
        </w:rPr>
        <w:lastRenderedPageBreak/>
        <w:t xml:space="preserve">The effects set </w:t>
      </w:r>
      <w:r w:rsidRPr="0073049A">
        <w:t>out</w:t>
      </w:r>
      <w:r w:rsidRPr="006363DB">
        <w:rPr>
          <w:rFonts w:cs="Times New Roman"/>
        </w:rPr>
        <w:t xml:space="preserve"> in paras</w:t>
      </w:r>
      <w:r w:rsidR="00F1052A">
        <w:rPr>
          <w:rFonts w:cs="Times New Roman"/>
        </w:rPr>
        <w:t>.</w:t>
      </w:r>
      <w:r w:rsidRPr="006363DB">
        <w:rPr>
          <w:rFonts w:cs="Times New Roman"/>
        </w:rPr>
        <w:t xml:space="preserve"> (a) to (h) are designed to capture a broad range of impacts.  Some are limited to impacts on animals, people or property and do not require any impairment of the air, land or water in Ontario.  Since the </w:t>
      </w:r>
      <w:r w:rsidRPr="006363DB">
        <w:rPr>
          <w:rFonts w:cs="Times New Roman"/>
          <w:i/>
        </w:rPr>
        <w:t xml:space="preserve">EPA </w:t>
      </w:r>
      <w:r w:rsidRPr="006363DB">
        <w:rPr>
          <w:rFonts w:cs="Times New Roman"/>
        </w:rPr>
        <w:t xml:space="preserve">protects the natural environment </w:t>
      </w:r>
      <w:r w:rsidRPr="006363DB">
        <w:rPr>
          <w:rFonts w:cs="Times New Roman"/>
          <w:i/>
        </w:rPr>
        <w:t>and those who use it</w:t>
      </w:r>
      <w:r w:rsidRPr="006363DB">
        <w:rPr>
          <w:rFonts w:cs="Times New Roman"/>
        </w:rPr>
        <w:t xml:space="preserve">, this is consistent with the broader protections the </w:t>
      </w:r>
      <w:r w:rsidRPr="006363DB">
        <w:rPr>
          <w:rFonts w:cs="Times New Roman"/>
          <w:i/>
        </w:rPr>
        <w:t xml:space="preserve">EPA </w:t>
      </w:r>
      <w:r w:rsidRPr="006363DB">
        <w:rPr>
          <w:rFonts w:cs="Times New Roman"/>
        </w:rPr>
        <w:t>was intended to provide.  Paragraphs (a) through (h) also reflect a statutory recognition that protecting the natural environment requires, among other strategies, maximizing the circumstances in which the Ministry of the Environment may investigate and remedy environmental harms, including those identified in para</w:t>
      </w:r>
      <w:r w:rsidR="00F1052A">
        <w:rPr>
          <w:rFonts w:cs="Times New Roman"/>
        </w:rPr>
        <w:t>s.</w:t>
      </w:r>
      <w:r w:rsidRPr="006363DB">
        <w:rPr>
          <w:rFonts w:cs="Times New Roman"/>
        </w:rPr>
        <w:t xml:space="preserve"> (a) to (h).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Moreover, it is </w:t>
      </w:r>
      <w:r w:rsidRPr="0073049A">
        <w:t>important</w:t>
      </w:r>
      <w:r w:rsidRPr="006363DB">
        <w:rPr>
          <w:rFonts w:cs="Times New Roman"/>
        </w:rPr>
        <w:t xml:space="preserve"> to note that the words “adverse effect” appear in many provisions of the </w:t>
      </w:r>
      <w:r w:rsidRPr="006363DB">
        <w:rPr>
          <w:rFonts w:cs="Times New Roman"/>
          <w:i/>
        </w:rPr>
        <w:t xml:space="preserve">EPA.  </w:t>
      </w:r>
      <w:r w:rsidRPr="006363DB">
        <w:rPr>
          <w:rFonts w:cs="Times New Roman"/>
        </w:rPr>
        <w:t>Sections</w:t>
      </w:r>
      <w:r w:rsidRPr="006363DB">
        <w:rPr>
          <w:rFonts w:cs="Times New Roman"/>
          <w:i/>
        </w:rPr>
        <w:t xml:space="preserve"> </w:t>
      </w:r>
      <w:r w:rsidRPr="006363DB">
        <w:rPr>
          <w:rFonts w:cs="Times New Roman"/>
        </w:rPr>
        <w:t>6, 14, 18, 91.1, 93, 94, 97, 132, 156, 157.1, and 188.1 deal with a range of environmental concerns such as when an order to take preventative measures may be issued or the development of spill prevention and contingency plans</w:t>
      </w:r>
      <w:r w:rsidRPr="006363DB">
        <w:rPr>
          <w:rFonts w:cs="Times New Roman"/>
          <w:i/>
        </w:rPr>
        <w:t xml:space="preserve">.  </w:t>
      </w:r>
      <w:r w:rsidRPr="006363DB">
        <w:rPr>
          <w:rFonts w:cs="Times New Roman"/>
        </w:rPr>
        <w:t xml:space="preserve">Restricting the definitional scope of “adverse effect” would therefore also limit the scope of the </w:t>
      </w:r>
      <w:r w:rsidRPr="006363DB">
        <w:rPr>
          <w:rFonts w:cs="Times New Roman"/>
          <w:i/>
        </w:rPr>
        <w:t>EPA</w:t>
      </w:r>
      <w:r w:rsidRPr="006363DB">
        <w:rPr>
          <w:rFonts w:cs="Times New Roman"/>
        </w:rPr>
        <w:t xml:space="preserve">’s protective and preventative capacities and, consequently, the Ministry’s ability to respond to the broad purposes of the statute.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In summary, the </w:t>
      </w:r>
      <w:r w:rsidRPr="0073049A">
        <w:t>requirement</w:t>
      </w:r>
      <w:r w:rsidRPr="006363DB">
        <w:rPr>
          <w:rFonts w:cs="Times New Roman"/>
        </w:rPr>
        <w:t xml:space="preserve"> to report “forthwith” in s. 15(1) of the </w:t>
      </w:r>
      <w:r w:rsidRPr="006363DB">
        <w:rPr>
          <w:rFonts w:cs="Times New Roman"/>
          <w:i/>
        </w:rPr>
        <w:t xml:space="preserve">EPA </w:t>
      </w:r>
      <w:r w:rsidRPr="006363DB">
        <w:rPr>
          <w:rFonts w:cs="Times New Roman"/>
        </w:rPr>
        <w:t xml:space="preserve">is engaged where the following elements are established: </w:t>
      </w:r>
    </w:p>
    <w:p w:rsidR="00F036E5" w:rsidRPr="006363DB" w:rsidRDefault="004809BB" w:rsidP="004809BB">
      <w:pPr>
        <w:pStyle w:val="ContinueParaSuitedupar-AltP"/>
        <w:tabs>
          <w:tab w:val="left" w:pos="720"/>
        </w:tabs>
        <w:ind w:left="720" w:hanging="720"/>
        <w:rPr>
          <w:rFonts w:cs="Times New Roman"/>
        </w:rPr>
      </w:pPr>
      <w:r>
        <w:rPr>
          <w:rFonts w:cs="Times New Roman"/>
        </w:rPr>
        <w:t>i.</w:t>
      </w:r>
      <w:r>
        <w:rPr>
          <w:rFonts w:cs="Times New Roman"/>
        </w:rPr>
        <w:tab/>
      </w:r>
      <w:r w:rsidR="00F036E5" w:rsidRPr="006363DB">
        <w:rPr>
          <w:rFonts w:cs="Times New Roman"/>
        </w:rPr>
        <w:t>a “contaminant” is discharged;</w:t>
      </w:r>
    </w:p>
    <w:p w:rsidR="00F036E5" w:rsidRPr="006363DB" w:rsidRDefault="004809BB" w:rsidP="004809BB">
      <w:pPr>
        <w:pStyle w:val="ContinueParaSuitedupar-AltP"/>
        <w:tabs>
          <w:tab w:val="left" w:pos="720"/>
        </w:tabs>
        <w:ind w:left="720" w:hanging="720"/>
        <w:rPr>
          <w:rFonts w:cs="Times New Roman"/>
        </w:rPr>
      </w:pPr>
      <w:r>
        <w:rPr>
          <w:rFonts w:cs="Times New Roman"/>
        </w:rPr>
        <w:lastRenderedPageBreak/>
        <w:t>ii.</w:t>
      </w:r>
      <w:r>
        <w:rPr>
          <w:rFonts w:cs="Times New Roman"/>
        </w:rPr>
        <w:tab/>
      </w:r>
      <w:r w:rsidR="00F036E5" w:rsidRPr="006363DB">
        <w:rPr>
          <w:rFonts w:cs="Times New Roman"/>
        </w:rPr>
        <w:t xml:space="preserve">the contaminant is discharged into the natural environment (the air, land and water or any combination or part thereof, of the Province of Ontario); </w:t>
      </w:r>
    </w:p>
    <w:p w:rsidR="00F036E5" w:rsidRPr="006363DB" w:rsidRDefault="004809BB" w:rsidP="004809BB">
      <w:pPr>
        <w:pStyle w:val="ContinueParaSuitedupar-AltP"/>
        <w:tabs>
          <w:tab w:val="left" w:pos="720"/>
        </w:tabs>
        <w:ind w:left="720" w:hanging="720"/>
        <w:rPr>
          <w:rFonts w:cs="Times New Roman"/>
        </w:rPr>
      </w:pPr>
      <w:r>
        <w:rPr>
          <w:rFonts w:cs="Times New Roman"/>
        </w:rPr>
        <w:t>iii.</w:t>
      </w:r>
      <w:r>
        <w:rPr>
          <w:rFonts w:cs="Times New Roman"/>
        </w:rPr>
        <w:tab/>
      </w:r>
      <w:r w:rsidR="00F036E5" w:rsidRPr="006363DB">
        <w:rPr>
          <w:rFonts w:cs="Times New Roman"/>
        </w:rPr>
        <w:t>the discharge is out of the normal course of events;</w:t>
      </w:r>
    </w:p>
    <w:p w:rsidR="00F036E5" w:rsidRPr="006363DB" w:rsidRDefault="004809BB" w:rsidP="004809BB">
      <w:pPr>
        <w:pStyle w:val="ContinueParaSuitedupar-AltP"/>
        <w:tabs>
          <w:tab w:val="left" w:pos="720"/>
        </w:tabs>
        <w:ind w:left="720" w:hanging="720"/>
        <w:rPr>
          <w:rFonts w:cs="Times New Roman"/>
        </w:rPr>
      </w:pPr>
      <w:r>
        <w:rPr>
          <w:rFonts w:cs="Times New Roman"/>
        </w:rPr>
        <w:t>iv.</w:t>
      </w:r>
      <w:r>
        <w:rPr>
          <w:rFonts w:cs="Times New Roman"/>
        </w:rPr>
        <w:tab/>
      </w:r>
      <w:r w:rsidR="00F036E5" w:rsidRPr="006363DB">
        <w:rPr>
          <w:rFonts w:cs="Times New Roman"/>
        </w:rPr>
        <w:t xml:space="preserve">the discharge causes, </w:t>
      </w:r>
      <w:r w:rsidR="00F036E5" w:rsidRPr="006363DB">
        <w:rPr>
          <w:rFonts w:cs="Times New Roman"/>
          <w:i/>
        </w:rPr>
        <w:t>or is likely to cause</w:t>
      </w:r>
      <w:r w:rsidR="00F036E5" w:rsidRPr="006363DB">
        <w:rPr>
          <w:rFonts w:cs="Times New Roman"/>
        </w:rPr>
        <w:t xml:space="preserve">, an adverse effect, namely one or more </w:t>
      </w:r>
      <w:r w:rsidR="00B830D8">
        <w:rPr>
          <w:rFonts w:cs="Times New Roman"/>
        </w:rPr>
        <w:t>of the effects listed in para</w:t>
      </w:r>
      <w:r w:rsidR="00F036E5" w:rsidRPr="006363DB">
        <w:rPr>
          <w:rFonts w:cs="Times New Roman"/>
        </w:rPr>
        <w:t>s</w:t>
      </w:r>
      <w:r w:rsidR="00B830D8">
        <w:rPr>
          <w:rFonts w:cs="Times New Roman"/>
        </w:rPr>
        <w:t>.</w:t>
      </w:r>
      <w:r w:rsidR="00F036E5" w:rsidRPr="006363DB">
        <w:rPr>
          <w:rFonts w:cs="Times New Roman"/>
        </w:rPr>
        <w:t xml:space="preserve"> (a) to (h) of the definition; </w:t>
      </w:r>
    </w:p>
    <w:p w:rsidR="00F036E5" w:rsidRPr="006363DB" w:rsidRDefault="004809BB" w:rsidP="004809BB">
      <w:pPr>
        <w:pStyle w:val="ContinueParaSuitedupar-AltP"/>
        <w:tabs>
          <w:tab w:val="left" w:pos="720"/>
        </w:tabs>
        <w:ind w:left="720" w:hanging="720"/>
        <w:rPr>
          <w:rFonts w:cs="Times New Roman"/>
        </w:rPr>
      </w:pPr>
      <w:r>
        <w:rPr>
          <w:rFonts w:cs="Times New Roman"/>
        </w:rPr>
        <w:t>v.</w:t>
      </w:r>
      <w:r>
        <w:rPr>
          <w:rFonts w:cs="Times New Roman"/>
        </w:rPr>
        <w:tab/>
      </w:r>
      <w:r w:rsidR="00F036E5" w:rsidRPr="006363DB">
        <w:rPr>
          <w:rFonts w:cs="Times New Roman"/>
        </w:rPr>
        <w:t>the adverse effect or effects are not trivial or minimal; and</w:t>
      </w:r>
    </w:p>
    <w:p w:rsidR="00F036E5" w:rsidRPr="006363DB" w:rsidRDefault="004809BB" w:rsidP="004809BB">
      <w:pPr>
        <w:pStyle w:val="ContinueParaSuitedupar-AltP"/>
        <w:tabs>
          <w:tab w:val="left" w:pos="720"/>
        </w:tabs>
        <w:ind w:left="720" w:hanging="720"/>
        <w:rPr>
          <w:rFonts w:cs="Times New Roman"/>
        </w:rPr>
      </w:pPr>
      <w:r>
        <w:rPr>
          <w:rFonts w:cs="Times New Roman"/>
        </w:rPr>
        <w:t>vi.</w:t>
      </w:r>
      <w:r>
        <w:rPr>
          <w:rFonts w:cs="Times New Roman"/>
        </w:rPr>
        <w:tab/>
      </w:r>
      <w:r w:rsidR="00F036E5" w:rsidRPr="006363DB">
        <w:rPr>
          <w:rFonts w:cs="Times New Roman"/>
        </w:rPr>
        <w:t>the person is not otherwise required to notify the Ministry under s. 92, which addre</w:t>
      </w:r>
      <w:r w:rsidR="0030260F">
        <w:rPr>
          <w:rFonts w:cs="Times New Roman"/>
        </w:rPr>
        <w:t xml:space="preserve">sses the spill of pollutants.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Applying these elements to this case, s. 15(1) was clearly engaged.  Castonguay “discharged” fly-rock, large pieces of rock created by the force of a blast, into the “natural environment”.  There is also no doubt that fly-rock meets the definition of “contaminant”.  The discharge in this case was “out of the normal course of events” — it was an accidental consequence of Castonguay’s blasting operation.  Had the blast been conducted routinely, the fly-rock would not have been thrust into the air.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Finally, the </w:t>
      </w:r>
      <w:r w:rsidRPr="0073049A">
        <w:t>discharge</w:t>
      </w:r>
      <w:r w:rsidRPr="006363DB">
        <w:rPr>
          <w:rFonts w:cs="Times New Roman"/>
        </w:rPr>
        <w:t xml:space="preserve"> of fly-rock caused an</w:t>
      </w:r>
      <w:r w:rsidRPr="006363DB">
        <w:rPr>
          <w:rFonts w:cs="Times New Roman"/>
          <w:b/>
        </w:rPr>
        <w:t xml:space="preserve"> </w:t>
      </w:r>
      <w:r w:rsidRPr="006363DB">
        <w:rPr>
          <w:rFonts w:cs="Times New Roman"/>
        </w:rPr>
        <w:t xml:space="preserve">“adverse effect” under paras. (b) and (g) of the definition, namely, it caused injury or damage to property and loss of enjoyment of the normal use of the property.  Because the reporting requirement is </w:t>
      </w:r>
      <w:r w:rsidRPr="006363DB">
        <w:rPr>
          <w:rFonts w:cs="Times New Roman"/>
        </w:rPr>
        <w:lastRenderedPageBreak/>
        <w:t xml:space="preserve">also engaged when the discharge is “likely to cause an adverse effect”, para. (e) is also applicable since the potential existed for “impairment of the safety of any person”.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The adverse effects </w:t>
      </w:r>
      <w:r w:rsidRPr="0073049A">
        <w:t>were</w:t>
      </w:r>
      <w:r w:rsidRPr="006363DB">
        <w:rPr>
          <w:rFonts w:cs="Times New Roman"/>
        </w:rPr>
        <w:t xml:space="preserve"> not trivial.  The force of the blast, and the rocks it produced, were so powerful they caused extensive and significant property damage, penetrating the roof of a residence and landing in the kitchen.  A vehicle was also seriously damaged.  The fly-rock could easily have seriously injured or killed someone.  </w:t>
      </w:r>
    </w:p>
    <w:p w:rsidR="00F036E5" w:rsidRPr="006363DB" w:rsidRDefault="00F036E5" w:rsidP="0073049A">
      <w:pPr>
        <w:pStyle w:val="ParaNoNdepar-AltN"/>
        <w:tabs>
          <w:tab w:val="clear" w:pos="1872"/>
        </w:tabs>
        <w:ind w:left="0"/>
        <w:rPr>
          <w:rFonts w:cs="Times New Roman"/>
        </w:rPr>
      </w:pPr>
      <w:r w:rsidRPr="006363DB">
        <w:rPr>
          <w:rFonts w:cs="Times New Roman"/>
        </w:rPr>
        <w:t xml:space="preserve">Accordingly, s. 15(1) of </w:t>
      </w:r>
      <w:r w:rsidRPr="0073049A">
        <w:t>the</w:t>
      </w:r>
      <w:r w:rsidRPr="006363DB">
        <w:rPr>
          <w:rFonts w:cs="Times New Roman"/>
        </w:rPr>
        <w:t xml:space="preserve"> </w:t>
      </w:r>
      <w:r w:rsidRPr="006363DB">
        <w:rPr>
          <w:rFonts w:cs="Times New Roman"/>
          <w:i/>
        </w:rPr>
        <w:t xml:space="preserve">EPA </w:t>
      </w:r>
      <w:r w:rsidRPr="006363DB">
        <w:rPr>
          <w:rFonts w:cs="Times New Roman"/>
        </w:rPr>
        <w:t xml:space="preserve">applied and Castonguay was required to report the discharge of fly-rock forthwith to the Ministry of the Environment.  </w:t>
      </w:r>
    </w:p>
    <w:p w:rsidR="00F036E5" w:rsidRDefault="00F036E5" w:rsidP="0073049A">
      <w:pPr>
        <w:pStyle w:val="ParaNoNdepar-AltN"/>
        <w:tabs>
          <w:tab w:val="clear" w:pos="1872"/>
        </w:tabs>
        <w:ind w:left="0"/>
      </w:pPr>
      <w:r w:rsidRPr="006363DB">
        <w:t xml:space="preserve">I would therefore dismiss the appeal.  In accordance with the </w:t>
      </w:r>
      <w:r w:rsidRPr="0073049A">
        <w:rPr>
          <w:rFonts w:cs="Times New Roman"/>
        </w:rPr>
        <w:t>Minister</w:t>
      </w:r>
      <w:r w:rsidRPr="006363DB">
        <w:t xml:space="preserve"> of the Environment’s request, there will be no order as to co</w:t>
      </w:r>
    </w:p>
    <w:p w:rsidR="00F036E5" w:rsidRPr="006574C8" w:rsidRDefault="00F036E5" w:rsidP="00F036E5">
      <w:pPr>
        <w:pStyle w:val="SCCNormalDoubleSpacing"/>
        <w:spacing w:after="480"/>
      </w:pPr>
      <w:r w:rsidRPr="006574C8">
        <w:tab/>
      </w:r>
      <w:r w:rsidRPr="006574C8">
        <w:rPr>
          <w:i/>
        </w:rPr>
        <w:t>Appeal dismissed.</w:t>
      </w:r>
    </w:p>
    <w:p w:rsidR="00F036E5" w:rsidRPr="006574C8" w:rsidRDefault="00F036E5" w:rsidP="00F036E5">
      <w:pPr>
        <w:pStyle w:val="SCCLawFirm"/>
        <w:spacing w:after="480"/>
      </w:pPr>
      <w:r w:rsidRPr="006574C8">
        <w:tab/>
        <w:t>Solicitors for the appellant:  Miller Thomson, Markham; Supreme Advocacy, Ottawa.</w:t>
      </w:r>
    </w:p>
    <w:p w:rsidR="00F036E5" w:rsidRPr="006574C8" w:rsidRDefault="00F036E5" w:rsidP="00F036E5">
      <w:pPr>
        <w:pStyle w:val="SCCLawFirm"/>
        <w:spacing w:after="480"/>
      </w:pPr>
      <w:r w:rsidRPr="006574C8">
        <w:tab/>
        <w:t>Solicitor for the respondent:  Attorney General of Ontario, Toronto.</w:t>
      </w:r>
    </w:p>
    <w:p w:rsidR="00F036E5" w:rsidRPr="00F036E5" w:rsidRDefault="00F036E5" w:rsidP="00F036E5">
      <w:pPr>
        <w:pStyle w:val="SCCLawFirm"/>
        <w:rPr>
          <w:lang w:val="en-US"/>
        </w:rPr>
      </w:pPr>
      <w:r w:rsidRPr="006574C8">
        <w:lastRenderedPageBreak/>
        <w:tab/>
        <w:t>Solicitor for the interveners:  Canadian Environmental Law Association, Toronto.</w:t>
      </w:r>
      <w:r w:rsidRPr="00F036E5">
        <w:rPr>
          <w:lang w:val="en-US"/>
        </w:rPr>
        <w:t xml:space="preserve"> </w:t>
      </w:r>
    </w:p>
    <w:p w:rsidR="00E005E9" w:rsidRPr="00F036E5" w:rsidRDefault="00E005E9">
      <w:pPr>
        <w:rPr>
          <w:lang w:val="en-US"/>
        </w:rPr>
      </w:pPr>
    </w:p>
    <w:sectPr w:rsidR="00E005E9" w:rsidRPr="00F036E5" w:rsidSect="003B33C1">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9A" w:rsidRDefault="0073049A" w:rsidP="00F036E5">
      <w:r>
        <w:separator/>
      </w:r>
    </w:p>
  </w:endnote>
  <w:endnote w:type="continuationSeparator" w:id="0">
    <w:p w:rsidR="0073049A" w:rsidRDefault="0073049A" w:rsidP="00F03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9A" w:rsidRDefault="0073049A" w:rsidP="00F036E5">
      <w:r>
        <w:separator/>
      </w:r>
    </w:p>
  </w:footnote>
  <w:footnote w:type="continuationSeparator" w:id="0">
    <w:p w:rsidR="0073049A" w:rsidRDefault="0073049A" w:rsidP="00F036E5">
      <w:r>
        <w:continuationSeparator/>
      </w:r>
    </w:p>
  </w:footnote>
  <w:footnote w:id="1">
    <w:p w:rsidR="0073049A" w:rsidRPr="00694CB8" w:rsidRDefault="0073049A" w:rsidP="00F1052A">
      <w:pPr>
        <w:pStyle w:val="ParaNoNdepar-AltN"/>
        <w:numPr>
          <w:ilvl w:val="0"/>
          <w:numId w:val="0"/>
        </w:numPr>
        <w:spacing w:before="0" w:after="240" w:line="240" w:lineRule="auto"/>
        <w:rPr>
          <w:sz w:val="20"/>
          <w:szCs w:val="20"/>
          <w:lang w:val="en-US"/>
        </w:rPr>
      </w:pPr>
      <w:r w:rsidRPr="00734558">
        <w:rPr>
          <w:rStyle w:val="FootnoteReference"/>
          <w:sz w:val="20"/>
          <w:szCs w:val="20"/>
        </w:rPr>
        <w:footnoteRef/>
      </w:r>
      <w:r w:rsidRPr="00734558">
        <w:rPr>
          <w:sz w:val="20"/>
          <w:szCs w:val="20"/>
        </w:rPr>
        <w:t xml:space="preserve">  </w:t>
      </w:r>
      <w:r w:rsidRPr="00734558">
        <w:rPr>
          <w:sz w:val="20"/>
          <w:szCs w:val="20"/>
          <w:lang w:val="en-US"/>
        </w:rPr>
        <w:t xml:space="preserve">Section 14(1) of the </w:t>
      </w:r>
      <w:r w:rsidRPr="00734558">
        <w:rPr>
          <w:i/>
          <w:sz w:val="20"/>
          <w:szCs w:val="20"/>
          <w:lang w:val="en-US"/>
        </w:rPr>
        <w:t xml:space="preserve">EPA </w:t>
      </w:r>
      <w:r w:rsidRPr="00734558">
        <w:rPr>
          <w:sz w:val="20"/>
          <w:szCs w:val="20"/>
          <w:lang w:val="en-US"/>
        </w:rPr>
        <w:t>states:</w:t>
      </w:r>
      <w:bookmarkStart w:id="1" w:name="P796_33752"/>
      <w:bookmarkStart w:id="2" w:name="s14s1"/>
      <w:bookmarkStart w:id="3" w:name="BK16"/>
      <w:bookmarkEnd w:id="1"/>
      <w:bookmarkEnd w:id="2"/>
      <w:bookmarkEnd w:id="3"/>
    </w:p>
    <w:p w:rsidR="0073049A" w:rsidRPr="00694CB8" w:rsidRDefault="0073049A" w:rsidP="00F1052A">
      <w:pPr>
        <w:pStyle w:val="Citation-AltC"/>
        <w:tabs>
          <w:tab w:val="left" w:pos="900"/>
        </w:tabs>
        <w:ind w:left="540" w:hanging="540"/>
        <w:rPr>
          <w:sz w:val="20"/>
          <w:lang w:val="en-US"/>
        </w:rPr>
      </w:pPr>
      <w:r>
        <w:rPr>
          <w:b/>
          <w:bCs/>
          <w:sz w:val="20"/>
        </w:rPr>
        <w:tab/>
      </w:r>
      <w:r>
        <w:rPr>
          <w:b/>
          <w:bCs/>
          <w:sz w:val="20"/>
        </w:rPr>
        <w:tab/>
      </w:r>
      <w:r w:rsidRPr="00734558">
        <w:rPr>
          <w:b/>
          <w:bCs/>
          <w:sz w:val="20"/>
        </w:rPr>
        <w:t>14.</w:t>
      </w:r>
      <w:r w:rsidRPr="00734558">
        <w:rPr>
          <w:sz w:val="20"/>
        </w:rPr>
        <w:t xml:space="preserve"> (1) Subject to subsection (2) but despite any other provision of this Act or the regulations, a person shall not discharge a contaminant or cause or permit the discharge of a contaminant into the natural environment, if the discharge causes or may cause an adverse effect.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21332"/>
      <w:docPartObj>
        <w:docPartGallery w:val="Page Numbers (Top of Page)"/>
        <w:docPartUnique/>
      </w:docPartObj>
    </w:sdtPr>
    <w:sdtContent>
      <w:p w:rsidR="0073049A" w:rsidRDefault="0073049A">
        <w:pPr>
          <w:pStyle w:val="Header"/>
          <w:jc w:val="center"/>
        </w:pPr>
        <w:r>
          <w:t xml:space="preserve">- </w:t>
        </w:r>
        <w:fldSimple w:instr=" PAGE   \* MERGEFORMAT ">
          <w:r w:rsidR="00D43379">
            <w:rPr>
              <w:noProof/>
            </w:rPr>
            <w:t>2</w:t>
          </w:r>
        </w:fldSimple>
        <w:r>
          <w:t xml:space="preserve"> -</w:t>
        </w:r>
      </w:p>
    </w:sdtContent>
  </w:sdt>
  <w:p w:rsidR="0073049A" w:rsidRPr="002B6751" w:rsidRDefault="0073049A" w:rsidP="00A75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7EA"/>
    <w:multiLevelType w:val="hybridMultilevel"/>
    <w:tmpl w:val="B716462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54283EE8"/>
    <w:multiLevelType w:val="multilevel"/>
    <w:tmpl w:val="34B20CE4"/>
    <w:lvl w:ilvl="0">
      <w:start w:val="1"/>
      <w:numFmt w:val="decimal"/>
      <w:pStyle w:val="ParaNoNdepar-AltN"/>
      <w:lvlText w:val="[%1]"/>
      <w:lvlJc w:val="left"/>
      <w:pPr>
        <w:tabs>
          <w:tab w:val="num" w:pos="1872"/>
        </w:tabs>
        <w:ind w:left="72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036E5"/>
    <w:rsid w:val="0006519A"/>
    <w:rsid w:val="000B0C7E"/>
    <w:rsid w:val="0013481D"/>
    <w:rsid w:val="00145655"/>
    <w:rsid w:val="00150E8F"/>
    <w:rsid w:val="00160E84"/>
    <w:rsid w:val="00193028"/>
    <w:rsid w:val="001F06E5"/>
    <w:rsid w:val="00217496"/>
    <w:rsid w:val="00242E70"/>
    <w:rsid w:val="00293A64"/>
    <w:rsid w:val="00295F78"/>
    <w:rsid w:val="002A0198"/>
    <w:rsid w:val="002A5CD2"/>
    <w:rsid w:val="002D71E1"/>
    <w:rsid w:val="0030260F"/>
    <w:rsid w:val="0030585A"/>
    <w:rsid w:val="003B33C1"/>
    <w:rsid w:val="0040161B"/>
    <w:rsid w:val="00406986"/>
    <w:rsid w:val="00410CA1"/>
    <w:rsid w:val="00454B53"/>
    <w:rsid w:val="004809BB"/>
    <w:rsid w:val="00550AEF"/>
    <w:rsid w:val="0055276C"/>
    <w:rsid w:val="005618EB"/>
    <w:rsid w:val="005C73DF"/>
    <w:rsid w:val="005E5420"/>
    <w:rsid w:val="005F2173"/>
    <w:rsid w:val="00615833"/>
    <w:rsid w:val="0064223E"/>
    <w:rsid w:val="00661E50"/>
    <w:rsid w:val="00682E6A"/>
    <w:rsid w:val="00697D41"/>
    <w:rsid w:val="006B20A1"/>
    <w:rsid w:val="00711618"/>
    <w:rsid w:val="0073049A"/>
    <w:rsid w:val="007C56EF"/>
    <w:rsid w:val="00825940"/>
    <w:rsid w:val="008A0903"/>
    <w:rsid w:val="008A660E"/>
    <w:rsid w:val="008E6D14"/>
    <w:rsid w:val="00931B55"/>
    <w:rsid w:val="009F213F"/>
    <w:rsid w:val="00A252C9"/>
    <w:rsid w:val="00A51AE0"/>
    <w:rsid w:val="00A6348F"/>
    <w:rsid w:val="00A643D4"/>
    <w:rsid w:val="00A75128"/>
    <w:rsid w:val="00A939C6"/>
    <w:rsid w:val="00B60F6B"/>
    <w:rsid w:val="00B71B15"/>
    <w:rsid w:val="00B830D8"/>
    <w:rsid w:val="00B85B8A"/>
    <w:rsid w:val="00C078BF"/>
    <w:rsid w:val="00C334D8"/>
    <w:rsid w:val="00CB54FB"/>
    <w:rsid w:val="00D43379"/>
    <w:rsid w:val="00E005E9"/>
    <w:rsid w:val="00E23DE9"/>
    <w:rsid w:val="00E24525"/>
    <w:rsid w:val="00E66353"/>
    <w:rsid w:val="00E90347"/>
    <w:rsid w:val="00EB6E43"/>
    <w:rsid w:val="00EE3FC6"/>
    <w:rsid w:val="00EE6F79"/>
    <w:rsid w:val="00F036E5"/>
    <w:rsid w:val="00F0532D"/>
    <w:rsid w:val="00F1052A"/>
    <w:rsid w:val="00F1312C"/>
    <w:rsid w:val="00F63DDB"/>
    <w:rsid w:val="00F63E92"/>
    <w:rsid w:val="00F81A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E5"/>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036E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F036E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F036E5"/>
    <w:rPr>
      <w:sz w:val="24"/>
    </w:rPr>
  </w:style>
  <w:style w:type="paragraph" w:styleId="Header">
    <w:name w:val="header"/>
    <w:basedOn w:val="Normal"/>
    <w:link w:val="HeaderChar"/>
    <w:uiPriority w:val="99"/>
    <w:unhideWhenUsed/>
    <w:rsid w:val="00F036E5"/>
    <w:pPr>
      <w:tabs>
        <w:tab w:val="center" w:pos="4680"/>
        <w:tab w:val="right" w:pos="9360"/>
      </w:tabs>
    </w:pPr>
  </w:style>
  <w:style w:type="character" w:customStyle="1" w:styleId="HeaderChar">
    <w:name w:val="Header Char"/>
    <w:basedOn w:val="DefaultParagraphFont"/>
    <w:link w:val="Header"/>
    <w:uiPriority w:val="99"/>
    <w:rsid w:val="00F036E5"/>
    <w:rPr>
      <w:sz w:val="24"/>
    </w:rPr>
  </w:style>
  <w:style w:type="paragraph" w:customStyle="1" w:styleId="SCCLsocVersus">
    <w:name w:val="SCC.Lsoc.Versus"/>
    <w:basedOn w:val="Normal"/>
    <w:next w:val="Normal"/>
    <w:link w:val="SCCLsocVersusChar"/>
    <w:rsid w:val="00F036E5"/>
    <w:pPr>
      <w:spacing w:after="720"/>
    </w:pPr>
    <w:rPr>
      <w:i/>
    </w:rPr>
  </w:style>
  <w:style w:type="character" w:customStyle="1" w:styleId="SCCLsocVersusChar">
    <w:name w:val="SCC.Lsoc.Versus Char"/>
    <w:basedOn w:val="DefaultParagraphFont"/>
    <w:link w:val="SCCLsocVersus"/>
    <w:rsid w:val="00F036E5"/>
    <w:rPr>
      <w:i/>
      <w:sz w:val="24"/>
    </w:rPr>
  </w:style>
  <w:style w:type="character" w:customStyle="1" w:styleId="SCCLsocPartyRole">
    <w:name w:val="SCC.Lsoc.PartyRole"/>
    <w:basedOn w:val="SCCLsocLastPartyInRoleChar"/>
    <w:uiPriority w:val="1"/>
    <w:rsid w:val="00F036E5"/>
    <w:rPr>
      <w:i/>
    </w:rPr>
  </w:style>
  <w:style w:type="paragraph" w:customStyle="1" w:styleId="SCCLsocOtherPartySeparator">
    <w:name w:val="SCC.Lsoc.OtherPartySeparator"/>
    <w:basedOn w:val="Normal"/>
    <w:next w:val="Normal"/>
    <w:link w:val="SCCLsocOtherPartySeparatorChar"/>
    <w:rsid w:val="00F036E5"/>
    <w:pPr>
      <w:spacing w:after="720"/>
    </w:pPr>
  </w:style>
  <w:style w:type="character" w:customStyle="1" w:styleId="SCCLsocOtherPartySeparatorChar">
    <w:name w:val="SCC.Lsoc.OtherPartySeparator Char"/>
    <w:basedOn w:val="DefaultParagraphFont"/>
    <w:link w:val="SCCLsocOtherPartySeparator"/>
    <w:rsid w:val="00F036E5"/>
    <w:rPr>
      <w:sz w:val="24"/>
    </w:rPr>
  </w:style>
  <w:style w:type="paragraph" w:customStyle="1" w:styleId="SCCSystemYear">
    <w:name w:val="SCC.SystemYear"/>
    <w:basedOn w:val="Normal"/>
    <w:next w:val="Normal"/>
    <w:link w:val="SCCSystemYearChar"/>
    <w:rsid w:val="00F036E5"/>
    <w:rPr>
      <w:b/>
    </w:rPr>
  </w:style>
  <w:style w:type="character" w:customStyle="1" w:styleId="SCCSystemYearChar">
    <w:name w:val="SCC.SystemYear Char"/>
    <w:basedOn w:val="DefaultParagraphFont"/>
    <w:link w:val="SCCSystemYear"/>
    <w:rsid w:val="00F036E5"/>
    <w:rPr>
      <w:b/>
      <w:sz w:val="24"/>
    </w:rPr>
  </w:style>
  <w:style w:type="paragraph" w:customStyle="1" w:styleId="SCCLowerCourtNameLowercase">
    <w:name w:val="SCC.LowerCourtNameLowercase"/>
    <w:basedOn w:val="SCCNormalDoubleSpacing"/>
    <w:next w:val="SCCNormalDoubleSpacing"/>
    <w:rsid w:val="00F036E5"/>
    <w:rPr>
      <w:smallCaps/>
    </w:rPr>
  </w:style>
  <w:style w:type="paragraph" w:customStyle="1" w:styleId="SCCLawFirm">
    <w:name w:val="SCC.LawFirm"/>
    <w:basedOn w:val="SCCNormalDoubleSpacing"/>
    <w:next w:val="SCCNormalDoubleSpacing"/>
    <w:link w:val="SCCLawFirmChar"/>
    <w:rsid w:val="00F036E5"/>
    <w:rPr>
      <w:i/>
    </w:rPr>
  </w:style>
  <w:style w:type="character" w:customStyle="1" w:styleId="SCCLawFirmChar">
    <w:name w:val="SCC.LawFirm Char"/>
    <w:basedOn w:val="SCCNormalDoubleSpacingChar"/>
    <w:link w:val="SCCLawFirm"/>
    <w:rsid w:val="00F036E5"/>
    <w:rPr>
      <w:i/>
    </w:rPr>
  </w:style>
  <w:style w:type="paragraph" w:customStyle="1" w:styleId="SCCLsocLastPartyInRole">
    <w:name w:val="SCC.Lsoc.LastPartyInRole"/>
    <w:basedOn w:val="Normal"/>
    <w:next w:val="Normal"/>
    <w:link w:val="SCCLsocLastPartyInRoleChar"/>
    <w:qFormat/>
    <w:rsid w:val="00F036E5"/>
    <w:pPr>
      <w:tabs>
        <w:tab w:val="right" w:pos="8222"/>
      </w:tabs>
      <w:spacing w:after="720"/>
    </w:pPr>
    <w:rPr>
      <w:b/>
    </w:rPr>
  </w:style>
  <w:style w:type="character" w:customStyle="1" w:styleId="SCCLsocLastPartyInRoleChar">
    <w:name w:val="SCC.Lsoc.LastPartyInRole Char"/>
    <w:basedOn w:val="DefaultParagraphFont"/>
    <w:link w:val="SCCLsocLastPartyInRole"/>
    <w:rsid w:val="00F036E5"/>
    <w:rPr>
      <w:b/>
      <w:sz w:val="24"/>
    </w:rPr>
  </w:style>
  <w:style w:type="character" w:customStyle="1" w:styleId="Heading2Char">
    <w:name w:val="Heading 2 Char"/>
    <w:basedOn w:val="DefaultParagraphFont"/>
    <w:link w:val="Heading2"/>
    <w:uiPriority w:val="9"/>
    <w:semiHidden/>
    <w:rsid w:val="00F036E5"/>
    <w:rPr>
      <w:rFonts w:asciiTheme="majorHAnsi" w:eastAsiaTheme="majorEastAsia" w:hAnsiTheme="majorHAnsi" w:cstheme="majorBidi"/>
      <w:b/>
      <w:bCs/>
      <w:color w:val="4F81BD" w:themeColor="accent1"/>
      <w:sz w:val="26"/>
      <w:szCs w:val="26"/>
    </w:rPr>
  </w:style>
  <w:style w:type="paragraph" w:customStyle="1" w:styleId="Citation-AltC">
    <w:name w:val="Citation - Alt C"/>
    <w:uiPriority w:val="2"/>
    <w:qFormat/>
    <w:rsid w:val="00F036E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036E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036E5"/>
    <w:pPr>
      <w:tabs>
        <w:tab w:val="left" w:pos="1166"/>
      </w:tabs>
      <w:spacing w:after="480" w:line="480" w:lineRule="auto"/>
    </w:pPr>
    <w:rPr>
      <w:smallCaps/>
      <w:sz w:val="24"/>
    </w:rPr>
  </w:style>
  <w:style w:type="paragraph" w:customStyle="1" w:styleId="ParaNoNdepar-AltN">
    <w:name w:val="Para. No. / Nº de par. - Alt N"/>
    <w:qFormat/>
    <w:rsid w:val="00F036E5"/>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F036E5"/>
    <w:pPr>
      <w:tabs>
        <w:tab w:val="left" w:pos="360"/>
      </w:tabs>
      <w:spacing w:before="480" w:after="720"/>
      <w:ind w:left="360" w:hanging="360"/>
      <w:jc w:val="both"/>
    </w:pPr>
    <w:rPr>
      <w:rFonts w:eastAsiaTheme="minorHAnsi" w:cstheme="minorBidi"/>
      <w:sz w:val="24"/>
      <w:szCs w:val="22"/>
      <w:lang w:eastAsia="en-US"/>
    </w:rPr>
  </w:style>
  <w:style w:type="character" w:styleId="FootnoteReference">
    <w:name w:val="footnote reference"/>
    <w:basedOn w:val="DefaultParagraphFont"/>
    <w:uiPriority w:val="99"/>
    <w:unhideWhenUsed/>
    <w:rsid w:val="00F036E5"/>
    <w:rPr>
      <w:vertAlign w:val="superscript"/>
    </w:rPr>
  </w:style>
  <w:style w:type="paragraph" w:styleId="Footer">
    <w:name w:val="footer"/>
    <w:basedOn w:val="Normal"/>
    <w:link w:val="FooterChar"/>
    <w:uiPriority w:val="99"/>
    <w:semiHidden/>
    <w:unhideWhenUsed/>
    <w:rsid w:val="003B33C1"/>
    <w:pPr>
      <w:tabs>
        <w:tab w:val="center" w:pos="4680"/>
        <w:tab w:val="right" w:pos="9360"/>
      </w:tabs>
    </w:pPr>
  </w:style>
  <w:style w:type="character" w:customStyle="1" w:styleId="FooterChar">
    <w:name w:val="Footer Char"/>
    <w:basedOn w:val="DefaultParagraphFont"/>
    <w:link w:val="Footer"/>
    <w:uiPriority w:val="99"/>
    <w:semiHidden/>
    <w:rsid w:val="003B33C1"/>
    <w:rPr>
      <w:sz w:val="24"/>
    </w:rPr>
  </w:style>
  <w:style w:type="table" w:styleId="TableGrid">
    <w:name w:val="Table Grid"/>
    <w:basedOn w:val="TableNormal"/>
    <w:uiPriority w:val="59"/>
    <w:rsid w:val="00D4337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E01A8-9200-4227-AE94-7DB8E969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4714</Words>
  <Characters>26875</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Nancy McCaughan</cp:lastModifiedBy>
  <cp:revision>2</cp:revision>
  <cp:lastPrinted>2013-10-23T19:57:00Z</cp:lastPrinted>
  <dcterms:created xsi:type="dcterms:W3CDTF">2014-04-03T15:33:00Z</dcterms:created>
  <dcterms:modified xsi:type="dcterms:W3CDTF">2014-04-03T15:33:00Z</dcterms:modified>
</cp:coreProperties>
</file>