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BF" w:rsidRDefault="002F4ABF" w:rsidP="002F4ABF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408796304" r:id="rId8"/>
        </w:object>
      </w:r>
      <w:r>
        <w:t xml:space="preserve"> </w:t>
      </w:r>
      <w:r>
        <w:ptab w:relativeTo="margin" w:alignment="right" w:leader="none"/>
      </w:r>
    </w:p>
    <w:p w:rsidR="002F4ABF" w:rsidRDefault="002F4ABF" w:rsidP="002F4ABF">
      <w:pPr>
        <w:pStyle w:val="Header"/>
      </w:pPr>
    </w:p>
    <w:p w:rsidR="002F4ABF" w:rsidRPr="006B210C" w:rsidRDefault="002F4ABF" w:rsidP="002F4ABF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2F4ABF" w:rsidRDefault="002F4ABF" w:rsidP="002F4ABF">
      <w:pPr>
        <w:pStyle w:val="Header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2F4ABF" w:rsidRPr="006B210C" w:rsidTr="00563911">
        <w:trPr>
          <w:cantSplit/>
        </w:trPr>
        <w:tc>
          <w:tcPr>
            <w:tcW w:w="6768" w:type="dxa"/>
          </w:tcPr>
          <w:p w:rsidR="002F4ABF" w:rsidRPr="002F4ABF" w:rsidRDefault="002F4ABF" w:rsidP="00563911">
            <w:pPr>
              <w:rPr>
                <w:rStyle w:val="SCCRespondentForIndexChar"/>
                <w:rFonts w:eastAsiaTheme="minorHAnsi"/>
                <w:b w:val="0"/>
              </w:rPr>
            </w:pPr>
            <w:r w:rsidRPr="002F4ABF">
              <w:rPr>
                <w:b/>
                <w:smallCaps/>
              </w:rPr>
              <w:t xml:space="preserve">Citation </w:t>
            </w:r>
            <w:r w:rsidRPr="002F4ABF">
              <w:rPr>
                <w:b/>
              </w:rPr>
              <w:t>:</w:t>
            </w:r>
            <w:r w:rsidRPr="002F4ABF">
              <w:t xml:space="preserve"> Toronto-Dominion Bank </w:t>
            </w:r>
            <w:r w:rsidRPr="002F4ABF">
              <w:rPr>
                <w:i/>
              </w:rPr>
              <w:t>v</w:t>
            </w:r>
            <w:r w:rsidRPr="002F4ABF">
              <w:t>. Canada</w:t>
            </w:r>
            <w:r w:rsidRPr="002F4ABF">
              <w:rPr>
                <w:rStyle w:val="SCCRespondentForIndexChar"/>
                <w:rFonts w:eastAsiaTheme="minorHAnsi"/>
              </w:rPr>
              <w:t>,</w:t>
            </w:r>
          </w:p>
          <w:p w:rsidR="002F4ABF" w:rsidRPr="002F4ABF" w:rsidRDefault="002F4ABF" w:rsidP="00563911">
            <w:pPr>
              <w:rPr>
                <w:b/>
                <w:lang w:val="en-US"/>
              </w:rPr>
            </w:pPr>
            <w:r w:rsidRPr="002F4ABF">
              <w:rPr>
                <w:rStyle w:val="SCCRespondentForIndexChar"/>
                <w:rFonts w:eastAsiaTheme="minorHAnsi"/>
                <w:b w:val="0"/>
                <w:lang w:val="en-US"/>
              </w:rPr>
              <w:t>2012 SCC 1, [2012] 1 S.C.R. 3</w:t>
            </w:r>
          </w:p>
        </w:tc>
        <w:tc>
          <w:tcPr>
            <w:tcW w:w="2808" w:type="dxa"/>
          </w:tcPr>
          <w:p w:rsidR="002F4ABF" w:rsidRPr="006B210C" w:rsidRDefault="002F4ABF" w:rsidP="00563911">
            <w:r w:rsidRPr="006B210C">
              <w:rPr>
                <w:b/>
                <w:smallCaps/>
              </w:rPr>
              <w:t xml:space="preserve">Date </w:t>
            </w:r>
            <w:r w:rsidRPr="006B210C">
              <w:t xml:space="preserve">: </w:t>
            </w:r>
            <w:r>
              <w:t>20120112</w:t>
            </w:r>
          </w:p>
          <w:p w:rsidR="002F4ABF" w:rsidRPr="006B210C" w:rsidRDefault="002F4ABF" w:rsidP="00563911">
            <w:r w:rsidRPr="006B210C">
              <w:rPr>
                <w:b/>
                <w:smallCaps/>
              </w:rPr>
              <w:t xml:space="preserve">Docket </w:t>
            </w:r>
            <w:r w:rsidRPr="006B210C">
              <w:t xml:space="preserve">: </w:t>
            </w:r>
            <w:r>
              <w:t>33878</w:t>
            </w:r>
          </w:p>
        </w:tc>
      </w:tr>
    </w:tbl>
    <w:p w:rsidR="002F4ABF" w:rsidRPr="006B210C" w:rsidRDefault="002F4ABF" w:rsidP="002F4ABF"/>
    <w:p w:rsidR="002F4ABF" w:rsidRDefault="002F4ABF" w:rsidP="002F4ABF">
      <w:pPr>
        <w:pStyle w:val="SCCLsocPrefix"/>
      </w:pPr>
      <w:r>
        <w:t>Between:</w:t>
      </w:r>
    </w:p>
    <w:p w:rsidR="002F4ABF" w:rsidRDefault="002F4ABF" w:rsidP="002F4ABF">
      <w:pPr>
        <w:pStyle w:val="SCCLsocParty"/>
        <w:tabs>
          <w:tab w:val="right" w:pos="8280"/>
        </w:tabs>
        <w:jc w:val="center"/>
      </w:pPr>
      <w:r>
        <w:rPr>
          <w:lang w:val="fr-CA"/>
        </w:rPr>
        <w:t>Toronto-Dominion Bank</w:t>
      </w:r>
    </w:p>
    <w:p w:rsidR="002F4ABF" w:rsidRDefault="002F4ABF" w:rsidP="002F4ABF">
      <w:pPr>
        <w:pStyle w:val="SCCLsocPartyRole"/>
      </w:pPr>
      <w:r>
        <w:t>Appellant</w:t>
      </w:r>
    </w:p>
    <w:p w:rsidR="002F4ABF" w:rsidRDefault="002F4ABF" w:rsidP="002F4ABF">
      <w:pPr>
        <w:pStyle w:val="SCCLsocVersus"/>
        <w:jc w:val="center"/>
      </w:pPr>
      <w:proofErr w:type="gramStart"/>
      <w:r>
        <w:t>and</w:t>
      </w:r>
      <w:proofErr w:type="gramEnd"/>
    </w:p>
    <w:p w:rsidR="002F4ABF" w:rsidRDefault="002F4ABF" w:rsidP="002F4ABF">
      <w:pPr>
        <w:pStyle w:val="SCCLsocParty"/>
        <w:jc w:val="center"/>
      </w:pPr>
      <w:proofErr w:type="spellStart"/>
      <w:r>
        <w:rPr>
          <w:lang w:val="fr-CA"/>
        </w:rPr>
        <w:t>Her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Majesty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Queen</w:t>
      </w:r>
      <w:proofErr w:type="spellEnd"/>
    </w:p>
    <w:p w:rsidR="002F4ABF" w:rsidRDefault="002F4ABF" w:rsidP="002F4ABF">
      <w:pPr>
        <w:pStyle w:val="SCCLsocPartyRole"/>
      </w:pPr>
      <w:r>
        <w:t>Respondent</w:t>
      </w:r>
    </w:p>
    <w:p w:rsidR="002F4ABF" w:rsidRDefault="002F4ABF" w:rsidP="002F4ABF"/>
    <w:p w:rsidR="002F4ABF" w:rsidRPr="00705721" w:rsidRDefault="002F4ABF" w:rsidP="002F4ABF">
      <w:pPr>
        <w:jc w:val="center"/>
        <w:rPr>
          <w:b/>
          <w:smallCaps/>
        </w:rPr>
      </w:pPr>
      <w:r>
        <w:rPr>
          <w:b/>
          <w:smallCaps/>
        </w:rPr>
        <w:t>Official English T</w:t>
      </w:r>
      <w:r w:rsidRPr="00705721">
        <w:rPr>
          <w:b/>
          <w:smallCaps/>
        </w:rPr>
        <w:t>ranslation</w:t>
      </w:r>
    </w:p>
    <w:p w:rsidR="002F4ABF" w:rsidRPr="006B210C" w:rsidRDefault="002F4ABF" w:rsidP="002F4ABF"/>
    <w:p w:rsidR="002F4ABF" w:rsidRPr="006B210C" w:rsidRDefault="002F4ABF" w:rsidP="002F4ABF">
      <w:proofErr w:type="gramStart"/>
      <w:r w:rsidRPr="006B210C">
        <w:rPr>
          <w:b/>
          <w:smallCaps/>
        </w:rPr>
        <w:t xml:space="preserve">Coram </w:t>
      </w:r>
      <w:r w:rsidRPr="006B210C">
        <w:t>:</w:t>
      </w:r>
      <w:proofErr w:type="gramEnd"/>
      <w:r w:rsidRPr="006B210C">
        <w:t xml:space="preserve"> </w:t>
      </w:r>
      <w:proofErr w:type="spellStart"/>
      <w:r>
        <w:t>LeBel</w:t>
      </w:r>
      <w:proofErr w:type="spellEnd"/>
      <w:r>
        <w:t xml:space="preserve">, </w:t>
      </w:r>
      <w:proofErr w:type="spellStart"/>
      <w:r>
        <w:t>Deschamps</w:t>
      </w:r>
      <w:proofErr w:type="spellEnd"/>
      <w:r>
        <w:t xml:space="preserve">, </w:t>
      </w:r>
      <w:proofErr w:type="spellStart"/>
      <w:r>
        <w:t>Abella</w:t>
      </w:r>
      <w:proofErr w:type="spellEnd"/>
      <w:r>
        <w:t xml:space="preserve">, Rothstein, Cromwell, </w:t>
      </w:r>
      <w:proofErr w:type="spellStart"/>
      <w:r>
        <w:t>Moldaver</w:t>
      </w:r>
      <w:proofErr w:type="spellEnd"/>
      <w:r>
        <w:t xml:space="preserve"> and </w:t>
      </w:r>
      <w:proofErr w:type="spellStart"/>
      <w:r>
        <w:t>Karakatsanis</w:t>
      </w:r>
      <w:proofErr w:type="spellEnd"/>
      <w:r>
        <w:t xml:space="preserve"> JJ.</w:t>
      </w:r>
    </w:p>
    <w:p w:rsidR="002F4ABF" w:rsidRPr="006B210C" w:rsidRDefault="002F4ABF" w:rsidP="002F4A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2F4ABF" w:rsidRPr="006B210C" w:rsidTr="00563911">
        <w:trPr>
          <w:cantSplit/>
        </w:trPr>
        <w:tc>
          <w:tcPr>
            <w:tcW w:w="3618" w:type="dxa"/>
          </w:tcPr>
          <w:p w:rsidR="002F4ABF" w:rsidRDefault="002F4ABF" w:rsidP="00563911">
            <w:r w:rsidRPr="006B210C">
              <w:rPr>
                <w:b/>
                <w:smallCaps/>
              </w:rPr>
              <w:t>Reasons for Judgment</w:t>
            </w:r>
            <w:r w:rsidRPr="006B210C">
              <w:t xml:space="preserve"> :</w:t>
            </w:r>
          </w:p>
          <w:p w:rsidR="002F4ABF" w:rsidRPr="006B210C" w:rsidRDefault="002F4ABF" w:rsidP="00563911">
            <w:r>
              <w:t>(</w:t>
            </w:r>
            <w:proofErr w:type="spellStart"/>
            <w:r>
              <w:t>para</w:t>
            </w:r>
            <w:proofErr w:type="spellEnd"/>
            <w:r>
              <w:t>. 1)</w:t>
            </w:r>
          </w:p>
        </w:tc>
        <w:tc>
          <w:tcPr>
            <w:tcW w:w="5958" w:type="dxa"/>
          </w:tcPr>
          <w:p w:rsidR="002F4ABF" w:rsidRPr="006B210C" w:rsidRDefault="002F4ABF" w:rsidP="00563911">
            <w:proofErr w:type="spellStart"/>
            <w:r>
              <w:t>LeBel</w:t>
            </w:r>
            <w:proofErr w:type="spellEnd"/>
            <w:r>
              <w:t xml:space="preserve"> J. (</w:t>
            </w:r>
            <w:proofErr w:type="spellStart"/>
            <w:r>
              <w:t>Deschamps</w:t>
            </w:r>
            <w:proofErr w:type="spellEnd"/>
            <w:r>
              <w:t xml:space="preserve">, </w:t>
            </w:r>
            <w:proofErr w:type="spellStart"/>
            <w:r>
              <w:t>Abella</w:t>
            </w:r>
            <w:proofErr w:type="spellEnd"/>
            <w:r>
              <w:t xml:space="preserve">, Rothstein, Cromwell,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Karakatsanis</w:t>
            </w:r>
            <w:proofErr w:type="spellEnd"/>
            <w:r>
              <w:t xml:space="preserve"> JJ. concurring)</w:t>
            </w:r>
          </w:p>
        </w:tc>
      </w:tr>
    </w:tbl>
    <w:p w:rsidR="002F4ABF" w:rsidRPr="006B210C" w:rsidRDefault="002F4ABF" w:rsidP="002F4ABF">
      <w:r w:rsidRPr="00A61816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2F4ABF" w:rsidRDefault="002F4ABF">
      <w:pPr>
        <w:spacing w:after="200" w:line="276" w:lineRule="auto"/>
      </w:pPr>
      <w:r>
        <w:br w:type="page"/>
      </w:r>
    </w:p>
    <w:p w:rsidR="00A668E4" w:rsidRPr="00A668E4" w:rsidRDefault="00A668E4" w:rsidP="00B1425F">
      <w:pPr>
        <w:spacing w:line="480" w:lineRule="auto"/>
        <w:jc w:val="both"/>
        <w:rPr>
          <w:rStyle w:val="SCCRespondentForRunningHeadChar"/>
          <w:lang w:val="en-US"/>
        </w:rPr>
      </w:pPr>
      <w:r w:rsidRPr="00A668E4">
        <w:lastRenderedPageBreak/>
        <w:t>Toronto-Dominion Bank</w:t>
      </w:r>
      <w:r w:rsidRPr="00A668E4">
        <w:rPr>
          <w:i/>
        </w:rPr>
        <w:t xml:space="preserve"> v</w:t>
      </w:r>
      <w:r w:rsidRPr="00A668E4">
        <w:t>. Canada</w:t>
      </w:r>
      <w:r>
        <w:t>, 2012 SCC 1, [2012] 1 S.C.R. 3</w:t>
      </w:r>
    </w:p>
    <w:p w:rsidR="00B1425F" w:rsidRPr="0011759A" w:rsidRDefault="00B1425F" w:rsidP="00B1425F">
      <w:pPr>
        <w:spacing w:line="480" w:lineRule="auto"/>
        <w:jc w:val="both"/>
        <w:rPr>
          <w:rStyle w:val="SCCRespondentForRunningHeadChar"/>
          <w:lang w:val="en-US"/>
        </w:rPr>
      </w:pPr>
    </w:p>
    <w:p w:rsidR="00B1425F" w:rsidRPr="0011759A" w:rsidRDefault="006265F5" w:rsidP="00B1425F">
      <w:pPr>
        <w:pStyle w:val="SCCLsocParty"/>
        <w:tabs>
          <w:tab w:val="right" w:pos="8280"/>
        </w:tabs>
        <w:spacing w:line="480" w:lineRule="auto"/>
        <w:rPr>
          <w:lang w:val="en-US"/>
        </w:rPr>
      </w:pPr>
      <w:r w:rsidRPr="0011759A">
        <w:rPr>
          <w:lang w:val="en-US"/>
        </w:rPr>
        <w:t>Toronto-Dominion Bank</w:t>
      </w:r>
      <w:r w:rsidR="00B1425F" w:rsidRPr="0011759A">
        <w:rPr>
          <w:lang w:val="en-US"/>
        </w:rPr>
        <w:tab/>
      </w:r>
      <w:r w:rsidR="00B1425F" w:rsidRPr="0011759A">
        <w:rPr>
          <w:b w:val="0"/>
          <w:i/>
        </w:rPr>
        <w:t>Appellant</w:t>
      </w:r>
    </w:p>
    <w:p w:rsidR="00B1425F" w:rsidRPr="0011759A" w:rsidRDefault="00B1425F" w:rsidP="00B1425F">
      <w:pPr>
        <w:pStyle w:val="SCCLsocParty"/>
        <w:tabs>
          <w:tab w:val="right" w:pos="8280"/>
        </w:tabs>
        <w:spacing w:line="480" w:lineRule="auto"/>
        <w:rPr>
          <w:lang w:val="en-US"/>
        </w:rPr>
      </w:pPr>
    </w:p>
    <w:p w:rsidR="00B1425F" w:rsidRPr="0011759A" w:rsidRDefault="00B1425F" w:rsidP="00B1425F">
      <w:pPr>
        <w:pStyle w:val="SCCLsocVersus"/>
        <w:spacing w:line="480" w:lineRule="auto"/>
      </w:pPr>
      <w:proofErr w:type="gramStart"/>
      <w:r w:rsidRPr="0011759A">
        <w:t>v</w:t>
      </w:r>
      <w:proofErr w:type="gramEnd"/>
      <w:r w:rsidRPr="0011759A">
        <w:t>.</w:t>
      </w:r>
    </w:p>
    <w:p w:rsidR="00B1425F" w:rsidRPr="0011759A" w:rsidRDefault="00B1425F" w:rsidP="00B1425F">
      <w:pPr>
        <w:pStyle w:val="SCCLsocVersus"/>
        <w:spacing w:line="480" w:lineRule="auto"/>
      </w:pPr>
    </w:p>
    <w:p w:rsidR="00B1425F" w:rsidRPr="0011759A" w:rsidRDefault="006265F5" w:rsidP="00B1425F">
      <w:pPr>
        <w:pStyle w:val="SCCLsocParty"/>
        <w:tabs>
          <w:tab w:val="right" w:pos="8280"/>
        </w:tabs>
        <w:spacing w:line="480" w:lineRule="auto"/>
      </w:pPr>
      <w:r w:rsidRPr="0011759A">
        <w:t xml:space="preserve">Her Majesty </w:t>
      </w:r>
      <w:proofErr w:type="gramStart"/>
      <w:r w:rsidRPr="0011759A">
        <w:t>The</w:t>
      </w:r>
      <w:proofErr w:type="gramEnd"/>
      <w:r w:rsidRPr="0011759A">
        <w:t xml:space="preserve"> Queen</w:t>
      </w:r>
      <w:r w:rsidR="00B1425F" w:rsidRPr="0011759A">
        <w:rPr>
          <w:i/>
        </w:rPr>
        <w:tab/>
      </w:r>
      <w:r w:rsidR="00B1425F" w:rsidRPr="0011759A">
        <w:rPr>
          <w:b w:val="0"/>
          <w:i/>
        </w:rPr>
        <w:t>Respondent</w:t>
      </w:r>
    </w:p>
    <w:p w:rsidR="00B1425F" w:rsidRPr="0011759A" w:rsidRDefault="00B1425F" w:rsidP="00B1425F">
      <w:pPr>
        <w:spacing w:line="480" w:lineRule="auto"/>
        <w:jc w:val="both"/>
      </w:pPr>
    </w:p>
    <w:p w:rsidR="00B1425F" w:rsidRPr="0011759A" w:rsidRDefault="00B1425F" w:rsidP="00B1425F">
      <w:pPr>
        <w:spacing w:line="480" w:lineRule="auto"/>
        <w:jc w:val="both"/>
        <w:rPr>
          <w:b/>
        </w:rPr>
      </w:pPr>
      <w:r w:rsidRPr="0011759A">
        <w:rPr>
          <w:b/>
        </w:rPr>
        <w:t>Indexed as:  </w:t>
      </w:r>
      <w:r w:rsidR="006265F5" w:rsidRPr="0011759A">
        <w:rPr>
          <w:b/>
        </w:rPr>
        <w:t>Toronto-Dominion Bank</w:t>
      </w:r>
      <w:r w:rsidR="00E01E7B" w:rsidRPr="0011759A">
        <w:rPr>
          <w:b/>
          <w:i/>
        </w:rPr>
        <w:t xml:space="preserve"> </w:t>
      </w:r>
      <w:r w:rsidR="00406E3D" w:rsidRPr="0011759A">
        <w:rPr>
          <w:b/>
          <w:i/>
        </w:rPr>
        <w:t>v</w:t>
      </w:r>
      <w:r w:rsidR="00406E3D" w:rsidRPr="0011759A">
        <w:rPr>
          <w:b/>
        </w:rPr>
        <w:t xml:space="preserve">. </w:t>
      </w:r>
      <w:r w:rsidR="00E01E7B" w:rsidRPr="0011759A">
        <w:rPr>
          <w:b/>
        </w:rPr>
        <w:t>Canada</w:t>
      </w:r>
    </w:p>
    <w:p w:rsidR="00B1425F" w:rsidRPr="0011759A" w:rsidRDefault="00B1425F" w:rsidP="00B1425F">
      <w:pPr>
        <w:spacing w:line="480" w:lineRule="auto"/>
        <w:jc w:val="both"/>
      </w:pPr>
    </w:p>
    <w:p w:rsidR="00B1425F" w:rsidRPr="0011759A" w:rsidRDefault="00B1425F" w:rsidP="00B1425F">
      <w:pPr>
        <w:pStyle w:val="SCCSystemYear"/>
        <w:spacing w:line="480" w:lineRule="auto"/>
        <w:jc w:val="both"/>
      </w:pPr>
      <w:r w:rsidRPr="0011759A">
        <w:t>201</w:t>
      </w:r>
      <w:r w:rsidR="006265F5" w:rsidRPr="0011759A">
        <w:t>2</w:t>
      </w:r>
      <w:r w:rsidRPr="0011759A">
        <w:t xml:space="preserve"> SCC </w:t>
      </w:r>
      <w:r w:rsidR="006265F5" w:rsidRPr="0011759A">
        <w:t>1</w:t>
      </w:r>
    </w:p>
    <w:p w:rsidR="00B1425F" w:rsidRPr="0011759A" w:rsidRDefault="00B1425F" w:rsidP="00B1425F">
      <w:pPr>
        <w:spacing w:line="480" w:lineRule="auto"/>
        <w:jc w:val="both"/>
      </w:pPr>
    </w:p>
    <w:p w:rsidR="00B1425F" w:rsidRPr="0011759A" w:rsidRDefault="00B1425F" w:rsidP="00B1425F">
      <w:pPr>
        <w:spacing w:line="480" w:lineRule="auto"/>
        <w:jc w:val="both"/>
      </w:pPr>
      <w:r w:rsidRPr="0011759A">
        <w:t>File No.:  </w:t>
      </w:r>
      <w:r w:rsidR="00406E3D" w:rsidRPr="0011759A">
        <w:t>33</w:t>
      </w:r>
      <w:r w:rsidR="006265F5" w:rsidRPr="0011759A">
        <w:t>878.</w:t>
      </w:r>
    </w:p>
    <w:p w:rsidR="00B1425F" w:rsidRPr="0011759A" w:rsidRDefault="00B1425F" w:rsidP="00B1425F">
      <w:pPr>
        <w:spacing w:line="480" w:lineRule="auto"/>
        <w:jc w:val="both"/>
      </w:pPr>
    </w:p>
    <w:p w:rsidR="00B1425F" w:rsidRPr="0011759A" w:rsidRDefault="00B1425F" w:rsidP="00B1425F">
      <w:pPr>
        <w:spacing w:line="480" w:lineRule="auto"/>
        <w:jc w:val="both"/>
      </w:pPr>
      <w:r w:rsidRPr="0011759A">
        <w:t>201</w:t>
      </w:r>
      <w:r w:rsidR="006265F5" w:rsidRPr="0011759A">
        <w:t>2</w:t>
      </w:r>
      <w:r w:rsidRPr="0011759A">
        <w:t>:  </w:t>
      </w:r>
      <w:r w:rsidR="006265F5" w:rsidRPr="0011759A">
        <w:t>January</w:t>
      </w:r>
      <w:r w:rsidR="00E01E7B" w:rsidRPr="0011759A">
        <w:t xml:space="preserve"> 1</w:t>
      </w:r>
      <w:r w:rsidR="006265F5" w:rsidRPr="0011759A">
        <w:t>2</w:t>
      </w:r>
      <w:r w:rsidRPr="0011759A">
        <w:t>.</w:t>
      </w:r>
    </w:p>
    <w:p w:rsidR="00B1425F" w:rsidRPr="0011759A" w:rsidRDefault="00B1425F" w:rsidP="00B1425F">
      <w:pPr>
        <w:spacing w:line="480" w:lineRule="auto"/>
        <w:jc w:val="both"/>
      </w:pPr>
    </w:p>
    <w:p w:rsidR="00B1425F" w:rsidRPr="0011759A" w:rsidRDefault="00B1425F" w:rsidP="00E01E7B">
      <w:pPr>
        <w:jc w:val="both"/>
      </w:pPr>
      <w:r w:rsidRPr="0011759A">
        <w:t>Present:  </w:t>
      </w:r>
      <w:r w:rsidR="00E01E7B" w:rsidRPr="0011759A">
        <w:t xml:space="preserve">LeBel, Deschamps, </w:t>
      </w:r>
      <w:proofErr w:type="spellStart"/>
      <w:r w:rsidR="00E01E7B" w:rsidRPr="0011759A">
        <w:t>Abella</w:t>
      </w:r>
      <w:proofErr w:type="spellEnd"/>
      <w:r w:rsidR="00E01E7B" w:rsidRPr="0011759A">
        <w:t xml:space="preserve">, Rothstein, Cromwell, </w:t>
      </w:r>
      <w:proofErr w:type="spellStart"/>
      <w:r w:rsidR="00E01E7B" w:rsidRPr="0011759A">
        <w:t>Moldaver</w:t>
      </w:r>
      <w:proofErr w:type="spellEnd"/>
      <w:r w:rsidR="00E01E7B" w:rsidRPr="0011759A">
        <w:t xml:space="preserve"> and </w:t>
      </w:r>
      <w:proofErr w:type="spellStart"/>
      <w:r w:rsidR="00E01E7B" w:rsidRPr="0011759A">
        <w:t>Karakatsanis</w:t>
      </w:r>
      <w:proofErr w:type="spellEnd"/>
      <w:r w:rsidR="00E01E7B" w:rsidRPr="0011759A">
        <w:t xml:space="preserve"> JJ.</w:t>
      </w:r>
    </w:p>
    <w:p w:rsidR="00B1425F" w:rsidRPr="0011759A" w:rsidRDefault="00B1425F" w:rsidP="00B1425F">
      <w:pPr>
        <w:spacing w:line="480" w:lineRule="auto"/>
        <w:jc w:val="both"/>
        <w:rPr>
          <w:szCs w:val="24"/>
        </w:rPr>
      </w:pPr>
    </w:p>
    <w:p w:rsidR="00B1425F" w:rsidRPr="0011759A" w:rsidRDefault="008056A4" w:rsidP="00B1425F">
      <w:pPr>
        <w:spacing w:line="480" w:lineRule="auto"/>
        <w:jc w:val="both"/>
        <w:rPr>
          <w:smallCaps/>
          <w:szCs w:val="24"/>
        </w:rPr>
      </w:pPr>
      <w:r w:rsidRPr="0011759A">
        <w:rPr>
          <w:smallCaps/>
          <w:szCs w:val="24"/>
        </w:rPr>
        <w:t>o</w:t>
      </w:r>
      <w:r w:rsidR="0055063C" w:rsidRPr="0011759A">
        <w:rPr>
          <w:smallCaps/>
          <w:szCs w:val="24"/>
        </w:rPr>
        <w:t xml:space="preserve">n appeal from the </w:t>
      </w:r>
      <w:r w:rsidR="00E01E7B" w:rsidRPr="0011759A">
        <w:rPr>
          <w:smallCaps/>
          <w:szCs w:val="24"/>
        </w:rPr>
        <w:t xml:space="preserve">federal </w:t>
      </w:r>
      <w:r w:rsidRPr="0011759A">
        <w:rPr>
          <w:smallCaps/>
          <w:szCs w:val="24"/>
        </w:rPr>
        <w:t>court of appeal</w:t>
      </w:r>
    </w:p>
    <w:p w:rsidR="00B1425F" w:rsidRPr="0011759A" w:rsidRDefault="00B1425F" w:rsidP="00B1425F">
      <w:pPr>
        <w:pStyle w:val="SCCNormalDoubleSpacing"/>
        <w:rPr>
          <w:szCs w:val="24"/>
        </w:rPr>
      </w:pPr>
    </w:p>
    <w:p w:rsidR="00074266" w:rsidRPr="0011759A" w:rsidRDefault="00074266" w:rsidP="00074266">
      <w:pPr>
        <w:pStyle w:val="SCCNormalDoubleSpacing"/>
        <w:tabs>
          <w:tab w:val="left" w:pos="1170"/>
        </w:tabs>
        <w:rPr>
          <w:i/>
          <w:szCs w:val="24"/>
        </w:rPr>
      </w:pPr>
      <w:r w:rsidRPr="0011759A">
        <w:rPr>
          <w:szCs w:val="24"/>
        </w:rPr>
        <w:tab/>
      </w:r>
      <w:r w:rsidR="00240BCD" w:rsidRPr="0011759A">
        <w:rPr>
          <w:i/>
          <w:szCs w:val="24"/>
        </w:rPr>
        <w:t xml:space="preserve">Taxation </w:t>
      </w:r>
      <w:r w:rsidR="00192BF6" w:rsidRPr="0011759A">
        <w:rPr>
          <w:i/>
          <w:szCs w:val="24"/>
        </w:rPr>
        <w:t>—</w:t>
      </w:r>
      <w:r w:rsidR="00240BCD" w:rsidRPr="0011759A">
        <w:rPr>
          <w:i/>
          <w:szCs w:val="24"/>
        </w:rPr>
        <w:t xml:space="preserve"> Administration and enforcement </w:t>
      </w:r>
      <w:r w:rsidR="00933371" w:rsidRPr="0011759A">
        <w:rPr>
          <w:i/>
          <w:szCs w:val="24"/>
        </w:rPr>
        <w:t>—</w:t>
      </w:r>
      <w:r w:rsidR="00240BCD" w:rsidRPr="0011759A">
        <w:rPr>
          <w:i/>
          <w:szCs w:val="24"/>
        </w:rPr>
        <w:t xml:space="preserve"> Bankruptcy and </w:t>
      </w:r>
      <w:r w:rsidR="001D12BF" w:rsidRPr="0011759A">
        <w:rPr>
          <w:i/>
          <w:szCs w:val="24"/>
        </w:rPr>
        <w:t>I</w:t>
      </w:r>
      <w:r w:rsidR="00240BCD" w:rsidRPr="0011759A">
        <w:rPr>
          <w:i/>
          <w:szCs w:val="24"/>
        </w:rPr>
        <w:t xml:space="preserve">nsolvency </w:t>
      </w:r>
      <w:r w:rsidR="00933371" w:rsidRPr="0011759A">
        <w:rPr>
          <w:i/>
          <w:szCs w:val="24"/>
        </w:rPr>
        <w:t>—</w:t>
      </w:r>
      <w:r w:rsidR="00240BCD" w:rsidRPr="0011759A">
        <w:rPr>
          <w:i/>
          <w:szCs w:val="24"/>
        </w:rPr>
        <w:t xml:space="preserve"> Immunity from seizure </w:t>
      </w:r>
      <w:r w:rsidR="00933371" w:rsidRPr="0011759A">
        <w:rPr>
          <w:i/>
          <w:szCs w:val="24"/>
        </w:rPr>
        <w:t>—</w:t>
      </w:r>
      <w:r w:rsidR="00240BCD" w:rsidRPr="0011759A">
        <w:rPr>
          <w:i/>
          <w:szCs w:val="24"/>
        </w:rPr>
        <w:t xml:space="preserve"> </w:t>
      </w:r>
      <w:r w:rsidR="00AD3B1D" w:rsidRPr="0011759A">
        <w:rPr>
          <w:i/>
          <w:szCs w:val="24"/>
        </w:rPr>
        <w:t>R</w:t>
      </w:r>
      <w:r w:rsidR="00240BCD" w:rsidRPr="0011759A">
        <w:rPr>
          <w:i/>
          <w:szCs w:val="24"/>
        </w:rPr>
        <w:t xml:space="preserve">equirement to pay </w:t>
      </w:r>
      <w:r w:rsidR="00AD3B1D" w:rsidRPr="0011759A">
        <w:rPr>
          <w:i/>
          <w:szCs w:val="24"/>
        </w:rPr>
        <w:t xml:space="preserve">sent </w:t>
      </w:r>
      <w:r w:rsidR="00240BCD" w:rsidRPr="0011759A">
        <w:rPr>
          <w:i/>
          <w:szCs w:val="24"/>
        </w:rPr>
        <w:t xml:space="preserve">by Minister of </w:t>
      </w:r>
      <w:r w:rsidR="00240BCD" w:rsidRPr="0011759A">
        <w:rPr>
          <w:i/>
          <w:szCs w:val="24"/>
        </w:rPr>
        <w:lastRenderedPageBreak/>
        <w:t xml:space="preserve">Revenue </w:t>
      </w:r>
      <w:r w:rsidR="00AD3B1D" w:rsidRPr="0011759A">
        <w:rPr>
          <w:i/>
          <w:szCs w:val="24"/>
        </w:rPr>
        <w:t>to</w:t>
      </w:r>
      <w:r w:rsidR="00240BCD" w:rsidRPr="0011759A">
        <w:rPr>
          <w:i/>
          <w:szCs w:val="24"/>
        </w:rPr>
        <w:t xml:space="preserve"> bank where tax debtor held account </w:t>
      </w:r>
      <w:r w:rsidR="00933371" w:rsidRPr="0011759A">
        <w:rPr>
          <w:i/>
          <w:szCs w:val="24"/>
        </w:rPr>
        <w:t>—</w:t>
      </w:r>
      <w:r w:rsidR="00240BCD" w:rsidRPr="0011759A">
        <w:rPr>
          <w:i/>
          <w:szCs w:val="24"/>
        </w:rPr>
        <w:t xml:space="preserve"> Tax debtor subsequently filing notice of proposal under Bankruptcy and Insolvency Act </w:t>
      </w:r>
      <w:r w:rsidR="00933371" w:rsidRPr="0011759A">
        <w:rPr>
          <w:i/>
          <w:szCs w:val="24"/>
        </w:rPr>
        <w:t>—</w:t>
      </w:r>
      <w:r w:rsidR="00240BCD" w:rsidRPr="0011759A">
        <w:rPr>
          <w:i/>
          <w:szCs w:val="24"/>
        </w:rPr>
        <w:t xml:space="preserve"> </w:t>
      </w:r>
      <w:r w:rsidR="00EF5DA6" w:rsidRPr="0011759A">
        <w:rPr>
          <w:i/>
          <w:szCs w:val="24"/>
        </w:rPr>
        <w:t>Subsequent n</w:t>
      </w:r>
      <w:r w:rsidR="00240BCD" w:rsidRPr="0011759A">
        <w:rPr>
          <w:i/>
          <w:szCs w:val="24"/>
        </w:rPr>
        <w:t xml:space="preserve">otice of proposal not having precedence over requirement to pay </w:t>
      </w:r>
      <w:r w:rsidR="00933371" w:rsidRPr="0011759A">
        <w:rPr>
          <w:i/>
          <w:szCs w:val="24"/>
        </w:rPr>
        <w:t>—</w:t>
      </w:r>
      <w:r w:rsidR="00240BCD" w:rsidRPr="0011759A">
        <w:rPr>
          <w:i/>
          <w:szCs w:val="24"/>
        </w:rPr>
        <w:t xml:space="preserve"> Excise Tax Act, R.S.C. 1985, c. E-15, s. 317(3)</w:t>
      </w:r>
      <w:r w:rsidR="00933371" w:rsidRPr="0011759A">
        <w:rPr>
          <w:i/>
          <w:szCs w:val="24"/>
        </w:rPr>
        <w:t xml:space="preserve"> —</w:t>
      </w:r>
      <w:r w:rsidR="00240BCD" w:rsidRPr="0011759A">
        <w:rPr>
          <w:i/>
          <w:szCs w:val="24"/>
        </w:rPr>
        <w:t xml:space="preserve"> Bankruptcy and Insolvency Act, R.S.C. 1985, c. </w:t>
      </w:r>
      <w:r w:rsidR="00787874" w:rsidRPr="0011759A">
        <w:rPr>
          <w:i/>
          <w:szCs w:val="24"/>
        </w:rPr>
        <w:t>B-3, ss. 69, 70.</w:t>
      </w:r>
    </w:p>
    <w:p w:rsidR="00074266" w:rsidRPr="0011759A" w:rsidRDefault="00074266" w:rsidP="00B1425F">
      <w:pPr>
        <w:pStyle w:val="SCCNormalDoubleSpacing"/>
        <w:rPr>
          <w:szCs w:val="24"/>
        </w:rPr>
      </w:pPr>
    </w:p>
    <w:p w:rsidR="00B1425F" w:rsidRPr="0011759A" w:rsidRDefault="002544E5" w:rsidP="007379F4">
      <w:pPr>
        <w:pStyle w:val="SCCNormalDoubleSpacing"/>
        <w:tabs>
          <w:tab w:val="left" w:pos="1170"/>
        </w:tabs>
        <w:spacing w:after="480"/>
      </w:pPr>
      <w:r w:rsidRPr="0011759A">
        <w:tab/>
      </w:r>
      <w:r w:rsidR="00865241" w:rsidRPr="0011759A">
        <w:t>APPEAL</w:t>
      </w:r>
      <w:r w:rsidR="00B1425F" w:rsidRPr="0011759A">
        <w:t xml:space="preserve"> </w:t>
      </w:r>
      <w:r w:rsidR="00865241" w:rsidRPr="0011759A">
        <w:t xml:space="preserve">from a judgment of the </w:t>
      </w:r>
      <w:r w:rsidR="00E01E7B" w:rsidRPr="0011759A">
        <w:t>Federal</w:t>
      </w:r>
      <w:r w:rsidR="00865241" w:rsidRPr="0011759A">
        <w:t xml:space="preserve"> Court of Appeal (</w:t>
      </w:r>
      <w:r w:rsidR="00074266" w:rsidRPr="0011759A">
        <w:t>Blais</w:t>
      </w:r>
      <w:r w:rsidR="00AD1C51" w:rsidRPr="0011759A">
        <w:t xml:space="preserve">, </w:t>
      </w:r>
      <w:r w:rsidR="00074266" w:rsidRPr="0011759A">
        <w:t>Noël</w:t>
      </w:r>
      <w:r w:rsidR="00865241" w:rsidRPr="0011759A">
        <w:t xml:space="preserve"> and </w:t>
      </w:r>
      <w:proofErr w:type="spellStart"/>
      <w:r w:rsidR="00074266" w:rsidRPr="0011759A">
        <w:t>Trudel</w:t>
      </w:r>
      <w:proofErr w:type="spellEnd"/>
      <w:r w:rsidR="00865241" w:rsidRPr="0011759A">
        <w:t xml:space="preserve"> JJ.A.)</w:t>
      </w:r>
      <w:r w:rsidR="00713495" w:rsidRPr="0011759A">
        <w:t xml:space="preserve">, </w:t>
      </w:r>
      <w:r w:rsidR="00AD1C51" w:rsidRPr="0011759A">
        <w:t xml:space="preserve">2010 FCA </w:t>
      </w:r>
      <w:r w:rsidR="00074266" w:rsidRPr="0011759A">
        <w:t>174</w:t>
      </w:r>
      <w:r w:rsidR="00691CBB" w:rsidRPr="0011759A">
        <w:t xml:space="preserve">, </w:t>
      </w:r>
      <w:r w:rsidR="00394730" w:rsidRPr="0011759A">
        <w:t>405 N.R. 282, 325 D.L.R. (4th) 174,</w:t>
      </w:r>
      <w:r w:rsidR="00933371" w:rsidRPr="0011759A">
        <w:t xml:space="preserve"> 69 C.B.R. (5th) 190,</w:t>
      </w:r>
      <w:r w:rsidR="00394730" w:rsidRPr="0011759A">
        <w:t xml:space="preserve"> </w:t>
      </w:r>
      <w:r w:rsidR="00933371" w:rsidRPr="0011759A">
        <w:t xml:space="preserve">2010 GTC 1057 (p. 1844), </w:t>
      </w:r>
      <w:r w:rsidR="00394730" w:rsidRPr="0011759A">
        <w:t xml:space="preserve">[2010] G.S.T.C. 99, </w:t>
      </w:r>
      <w:r w:rsidR="008007AD" w:rsidRPr="0011759A">
        <w:t xml:space="preserve">[2010] F.C.J. No. 878 (QL), 2010 </w:t>
      </w:r>
      <w:proofErr w:type="spellStart"/>
      <w:r w:rsidR="008007AD" w:rsidRPr="0011759A">
        <w:t>CarswellNat</w:t>
      </w:r>
      <w:proofErr w:type="spellEnd"/>
      <w:r w:rsidR="008007AD" w:rsidRPr="0011759A">
        <w:t xml:space="preserve"> 2936, </w:t>
      </w:r>
      <w:r w:rsidR="002E1621" w:rsidRPr="0011759A">
        <w:t xml:space="preserve">affirming </w:t>
      </w:r>
      <w:r w:rsidR="005B4F9B" w:rsidRPr="0011759A">
        <w:t>a</w:t>
      </w:r>
      <w:r w:rsidR="00AD1C51" w:rsidRPr="0011759A">
        <w:t xml:space="preserve"> decision of </w:t>
      </w:r>
      <w:r w:rsidR="00074266" w:rsidRPr="0011759A">
        <w:t>Angers</w:t>
      </w:r>
      <w:r w:rsidR="00F44AD6" w:rsidRPr="0011759A">
        <w:t xml:space="preserve"> J., </w:t>
      </w:r>
      <w:r w:rsidR="00AD1C51" w:rsidRPr="0011759A">
        <w:t>200</w:t>
      </w:r>
      <w:r w:rsidR="00074266" w:rsidRPr="0011759A">
        <w:t>9</w:t>
      </w:r>
      <w:r w:rsidR="00AD1C51" w:rsidRPr="0011759A">
        <w:t xml:space="preserve"> </w:t>
      </w:r>
      <w:r w:rsidR="00074266" w:rsidRPr="0011759A">
        <w:t>TC</w:t>
      </w:r>
      <w:r w:rsidR="00AD1C51" w:rsidRPr="0011759A">
        <w:t xml:space="preserve">C </w:t>
      </w:r>
      <w:r w:rsidR="00074266" w:rsidRPr="0011759A">
        <w:t>522</w:t>
      </w:r>
      <w:r w:rsidR="00B37827" w:rsidRPr="0011759A">
        <w:t xml:space="preserve">, [2010] G.S.T.C. 16, </w:t>
      </w:r>
      <w:r w:rsidR="00D57258" w:rsidRPr="0011759A">
        <w:t>2010 G.T.C. 28</w:t>
      </w:r>
      <w:r w:rsidR="00933371" w:rsidRPr="0011759A">
        <w:t xml:space="preserve"> (p. 167)</w:t>
      </w:r>
      <w:r w:rsidR="00D57258" w:rsidRPr="0011759A">
        <w:t xml:space="preserve">, </w:t>
      </w:r>
      <w:r w:rsidR="00B37827" w:rsidRPr="0011759A">
        <w:t xml:space="preserve">[2009] T.C.J. No. 465 (QL), 2009 </w:t>
      </w:r>
      <w:proofErr w:type="spellStart"/>
      <w:r w:rsidR="00B37827" w:rsidRPr="0011759A">
        <w:t>CarswellNat</w:t>
      </w:r>
      <w:proofErr w:type="spellEnd"/>
      <w:r w:rsidR="00B37827" w:rsidRPr="0011759A">
        <w:t xml:space="preserve"> 4941</w:t>
      </w:r>
      <w:r w:rsidR="00CA60AA" w:rsidRPr="0011759A">
        <w:t xml:space="preserve">. </w:t>
      </w:r>
      <w:r w:rsidR="00865241" w:rsidRPr="0011759A">
        <w:t xml:space="preserve">Appeal </w:t>
      </w:r>
      <w:r w:rsidR="00E41DA5" w:rsidRPr="0011759A">
        <w:t>dismissed</w:t>
      </w:r>
      <w:r w:rsidR="00B1425F" w:rsidRPr="0011759A">
        <w:t>.</w:t>
      </w:r>
    </w:p>
    <w:p w:rsidR="00B1425F" w:rsidRPr="0011759A" w:rsidRDefault="00B1425F" w:rsidP="00E63E36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 w:rsidRPr="0011759A">
        <w:rPr>
          <w:rStyle w:val="SCCCounselNameChar"/>
        </w:rPr>
        <w:tab/>
      </w:r>
      <w:proofErr w:type="spellStart"/>
      <w:proofErr w:type="gramStart"/>
      <w:r w:rsidR="009878C3" w:rsidRPr="0011759A">
        <w:rPr>
          <w:rStyle w:val="SCCCounselNameChar"/>
        </w:rPr>
        <w:t>Éric</w:t>
      </w:r>
      <w:proofErr w:type="spellEnd"/>
      <w:r w:rsidR="009878C3" w:rsidRPr="0011759A">
        <w:rPr>
          <w:rStyle w:val="SCCCounselNameChar"/>
        </w:rPr>
        <w:t xml:space="preserve"> </w:t>
      </w:r>
      <w:proofErr w:type="spellStart"/>
      <w:r w:rsidR="009878C3" w:rsidRPr="0011759A">
        <w:rPr>
          <w:rStyle w:val="SCCCounselNameChar"/>
        </w:rPr>
        <w:t>Potvin</w:t>
      </w:r>
      <w:proofErr w:type="spellEnd"/>
      <w:r w:rsidR="00CF4502" w:rsidRPr="0011759A">
        <w:rPr>
          <w:rStyle w:val="SCCCounselNameChar"/>
          <w:i w:val="0"/>
        </w:rPr>
        <w:t xml:space="preserve"> and </w:t>
      </w:r>
      <w:r w:rsidR="00CF4502" w:rsidRPr="0011759A">
        <w:rPr>
          <w:rStyle w:val="SCCCounselNameChar"/>
        </w:rPr>
        <w:t>Andr</w:t>
      </w:r>
      <w:r w:rsidR="009878C3" w:rsidRPr="0011759A">
        <w:rPr>
          <w:rStyle w:val="SCCCounselNameChar"/>
        </w:rPr>
        <w:t>é Rousseau</w:t>
      </w:r>
      <w:r w:rsidRPr="0011759A">
        <w:rPr>
          <w:rStyle w:val="SCCCounselPartyRoleChar"/>
        </w:rPr>
        <w:t xml:space="preserve">, for the </w:t>
      </w:r>
      <w:r w:rsidR="00C41DDD" w:rsidRPr="0011759A">
        <w:rPr>
          <w:rStyle w:val="SCCCounselPartyRoleChar"/>
        </w:rPr>
        <w:t>appellant</w:t>
      </w:r>
      <w:r w:rsidRPr="0011759A">
        <w:rPr>
          <w:rStyle w:val="SCCCounselPartyRoleChar"/>
        </w:rPr>
        <w:t>.</w:t>
      </w:r>
      <w:proofErr w:type="gramEnd"/>
    </w:p>
    <w:p w:rsidR="00CF4502" w:rsidRPr="0011759A" w:rsidRDefault="00CF4502" w:rsidP="00E63E36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 w:rsidRPr="0011759A">
        <w:rPr>
          <w:rStyle w:val="SCCCounselPartyRoleChar"/>
        </w:rPr>
        <w:tab/>
      </w:r>
      <w:proofErr w:type="gramStart"/>
      <w:r w:rsidR="009878C3" w:rsidRPr="0011759A">
        <w:rPr>
          <w:rStyle w:val="SCCCounselPartyRoleChar"/>
          <w:i/>
        </w:rPr>
        <w:t xml:space="preserve">Christian </w:t>
      </w:r>
      <w:proofErr w:type="spellStart"/>
      <w:r w:rsidR="009878C3" w:rsidRPr="0011759A">
        <w:rPr>
          <w:rStyle w:val="SCCCounselPartyRoleChar"/>
          <w:i/>
        </w:rPr>
        <w:t>Boutin</w:t>
      </w:r>
      <w:proofErr w:type="spellEnd"/>
      <w:r w:rsidRPr="0011759A">
        <w:rPr>
          <w:rStyle w:val="SCCCounselPartyRoleChar"/>
        </w:rPr>
        <w:t xml:space="preserve"> and </w:t>
      </w:r>
      <w:r w:rsidR="009878C3" w:rsidRPr="0011759A">
        <w:rPr>
          <w:rStyle w:val="SCCCounselPartyRoleChar"/>
          <w:i/>
        </w:rPr>
        <w:t xml:space="preserve">Pier-Olivier </w:t>
      </w:r>
      <w:proofErr w:type="spellStart"/>
      <w:r w:rsidR="009878C3" w:rsidRPr="0011759A">
        <w:rPr>
          <w:rStyle w:val="SCCCounselPartyRoleChar"/>
          <w:i/>
        </w:rPr>
        <w:t>Julien</w:t>
      </w:r>
      <w:proofErr w:type="spellEnd"/>
      <w:r w:rsidRPr="0011759A">
        <w:rPr>
          <w:rStyle w:val="SCCCounselPartyRoleChar"/>
        </w:rPr>
        <w:t>, for the respondent.</w:t>
      </w:r>
      <w:proofErr w:type="gramEnd"/>
    </w:p>
    <w:p w:rsidR="00B1425F" w:rsidRPr="0011759A" w:rsidRDefault="00B1425F" w:rsidP="00B1425F">
      <w:pPr>
        <w:pStyle w:val="SCCNormalDoubleSpacing"/>
        <w:tabs>
          <w:tab w:val="left" w:pos="1170"/>
        </w:tabs>
        <w:spacing w:after="480"/>
        <w:rPr>
          <w:szCs w:val="24"/>
        </w:rPr>
      </w:pPr>
      <w:r w:rsidRPr="0011759A">
        <w:rPr>
          <w:szCs w:val="24"/>
        </w:rPr>
        <w:tab/>
      </w:r>
      <w:r w:rsidR="000702AE" w:rsidRPr="0011759A">
        <w:rPr>
          <w:szCs w:val="24"/>
        </w:rPr>
        <w:t>English version of the judgment of the Court delivered orally by</w:t>
      </w:r>
    </w:p>
    <w:p w:rsidR="00E01E7B" w:rsidRPr="0011759A" w:rsidRDefault="00B1425F" w:rsidP="00E63E36">
      <w:pPr>
        <w:pStyle w:val="SCCNormalDoubleSpacing"/>
        <w:tabs>
          <w:tab w:val="left" w:pos="1170"/>
        </w:tabs>
        <w:spacing w:after="480"/>
      </w:pPr>
      <w:r w:rsidRPr="0011759A">
        <w:t>[1]</w:t>
      </w:r>
      <w:r w:rsidRPr="0011759A">
        <w:tab/>
      </w:r>
      <w:r w:rsidR="00074266" w:rsidRPr="0011759A">
        <w:rPr>
          <w:smallCaps/>
        </w:rPr>
        <w:t>LeBel J.</w:t>
      </w:r>
      <w:r w:rsidRPr="0011759A">
        <w:t xml:space="preserve"> ―</w:t>
      </w:r>
      <w:r w:rsidR="000702AE" w:rsidRPr="0011759A">
        <w:t xml:space="preserve"> </w:t>
      </w:r>
      <w:proofErr w:type="gramStart"/>
      <w:r w:rsidR="000702AE" w:rsidRPr="0011759A">
        <w:t>We</w:t>
      </w:r>
      <w:proofErr w:type="gramEnd"/>
      <w:r w:rsidR="000702AE" w:rsidRPr="0011759A">
        <w:t xml:space="preserve"> agree with the reasons of Noël J.A. of the Federal Court of Appeal (2010 FCA 174</w:t>
      </w:r>
      <w:r w:rsidR="00131D2F" w:rsidRPr="0011759A">
        <w:t>, 405 N.R. 282</w:t>
      </w:r>
      <w:r w:rsidR="000702AE" w:rsidRPr="0011759A">
        <w:t>).  The appeal is accordingly dismissed without costs.</w:t>
      </w:r>
    </w:p>
    <w:p w:rsidR="00B1425F" w:rsidRPr="0011759A" w:rsidRDefault="00E63E36" w:rsidP="00E63E36">
      <w:pPr>
        <w:pStyle w:val="SCCNormalDoubleSpacing"/>
        <w:tabs>
          <w:tab w:val="left" w:pos="1170"/>
        </w:tabs>
        <w:spacing w:after="480"/>
        <w:rPr>
          <w:rStyle w:val="SCCCounselPartyRoleChar"/>
          <w:i/>
        </w:rPr>
      </w:pPr>
      <w:r w:rsidRPr="0011759A">
        <w:rPr>
          <w:i/>
        </w:rPr>
        <w:lastRenderedPageBreak/>
        <w:tab/>
      </w:r>
      <w:proofErr w:type="gramStart"/>
      <w:r w:rsidR="009E623D" w:rsidRPr="0011759A">
        <w:rPr>
          <w:i/>
        </w:rPr>
        <w:t>Judgment acco</w:t>
      </w:r>
      <w:r w:rsidR="00AB7EBD" w:rsidRPr="0011759A">
        <w:rPr>
          <w:i/>
        </w:rPr>
        <w:t>r</w:t>
      </w:r>
      <w:r w:rsidR="009E623D" w:rsidRPr="0011759A">
        <w:rPr>
          <w:i/>
        </w:rPr>
        <w:t>dingly</w:t>
      </w:r>
      <w:r w:rsidR="00B1425F" w:rsidRPr="0011759A">
        <w:rPr>
          <w:i/>
        </w:rPr>
        <w:t>.</w:t>
      </w:r>
      <w:proofErr w:type="gramEnd"/>
    </w:p>
    <w:p w:rsidR="00B1425F" w:rsidRPr="0011759A" w:rsidRDefault="00E63E36" w:rsidP="00E63E36">
      <w:pPr>
        <w:pStyle w:val="SCCNormalDoubleSpacing"/>
        <w:tabs>
          <w:tab w:val="left" w:pos="1170"/>
        </w:tabs>
        <w:spacing w:after="480"/>
        <w:rPr>
          <w:i/>
        </w:rPr>
      </w:pPr>
      <w:r w:rsidRPr="0011759A">
        <w:tab/>
      </w:r>
      <w:r w:rsidR="00B1425F" w:rsidRPr="0011759A">
        <w:rPr>
          <w:i/>
        </w:rPr>
        <w:t>Solicitors for the app</w:t>
      </w:r>
      <w:r w:rsidR="00490CBE" w:rsidRPr="0011759A">
        <w:rPr>
          <w:i/>
        </w:rPr>
        <w:t>ellant</w:t>
      </w:r>
      <w:r w:rsidR="00B1425F" w:rsidRPr="0011759A">
        <w:rPr>
          <w:i/>
        </w:rPr>
        <w:t>:  </w:t>
      </w:r>
      <w:proofErr w:type="spellStart"/>
      <w:r w:rsidR="00550723" w:rsidRPr="0011759A">
        <w:rPr>
          <w:i/>
        </w:rPr>
        <w:t>Lapointe</w:t>
      </w:r>
      <w:proofErr w:type="spellEnd"/>
      <w:r w:rsidR="00550723" w:rsidRPr="0011759A">
        <w:rPr>
          <w:i/>
        </w:rPr>
        <w:t xml:space="preserve"> Rosenstein </w:t>
      </w:r>
      <w:proofErr w:type="spellStart"/>
      <w:r w:rsidR="00550723" w:rsidRPr="0011759A">
        <w:rPr>
          <w:i/>
        </w:rPr>
        <w:t>Marchand</w:t>
      </w:r>
      <w:proofErr w:type="spellEnd"/>
      <w:r w:rsidR="00550723" w:rsidRPr="0011759A">
        <w:rPr>
          <w:i/>
        </w:rPr>
        <w:t xml:space="preserve"> </w:t>
      </w:r>
      <w:proofErr w:type="spellStart"/>
      <w:r w:rsidR="00550723" w:rsidRPr="0011759A">
        <w:rPr>
          <w:i/>
        </w:rPr>
        <w:t>Melançon</w:t>
      </w:r>
      <w:proofErr w:type="spellEnd"/>
      <w:r w:rsidR="00691CBB" w:rsidRPr="0011759A">
        <w:rPr>
          <w:i/>
        </w:rPr>
        <w:t xml:space="preserve">, </w:t>
      </w:r>
      <w:r w:rsidR="00550723" w:rsidRPr="0011759A">
        <w:rPr>
          <w:i/>
        </w:rPr>
        <w:t>Montréal</w:t>
      </w:r>
      <w:r w:rsidR="00691CBB" w:rsidRPr="0011759A">
        <w:rPr>
          <w:i/>
        </w:rPr>
        <w:t>.</w:t>
      </w:r>
    </w:p>
    <w:p w:rsidR="00865241" w:rsidRPr="0011759A" w:rsidRDefault="00E63E36" w:rsidP="00E63E36">
      <w:pPr>
        <w:pStyle w:val="SCCNormalDoubleSpacing"/>
        <w:tabs>
          <w:tab w:val="left" w:pos="1170"/>
        </w:tabs>
        <w:spacing w:after="480"/>
        <w:rPr>
          <w:i/>
          <w:lang w:val="fr-CA"/>
        </w:rPr>
      </w:pPr>
      <w:r w:rsidRPr="0011759A">
        <w:tab/>
      </w:r>
      <w:r w:rsidR="00B1425F" w:rsidRPr="0011759A">
        <w:rPr>
          <w:i/>
          <w:lang w:val="fr-CA"/>
        </w:rPr>
        <w:t>Solicitor</w:t>
      </w:r>
      <w:r w:rsidR="00691CBB" w:rsidRPr="0011759A">
        <w:rPr>
          <w:i/>
          <w:lang w:val="fr-CA"/>
        </w:rPr>
        <w:t>s</w:t>
      </w:r>
      <w:r w:rsidR="00B1425F" w:rsidRPr="0011759A">
        <w:rPr>
          <w:i/>
          <w:lang w:val="fr-CA"/>
        </w:rPr>
        <w:t xml:space="preserve"> for the </w:t>
      </w:r>
      <w:proofErr w:type="spellStart"/>
      <w:r w:rsidR="00B1425F" w:rsidRPr="0011759A">
        <w:rPr>
          <w:i/>
          <w:lang w:val="fr-CA"/>
        </w:rPr>
        <w:t>respondent</w:t>
      </w:r>
      <w:proofErr w:type="spellEnd"/>
      <w:r w:rsidR="00B1425F" w:rsidRPr="0011759A">
        <w:rPr>
          <w:i/>
          <w:lang w:val="fr-CA"/>
        </w:rPr>
        <w:t>:</w:t>
      </w:r>
      <w:proofErr w:type="gramStart"/>
      <w:r w:rsidR="00B1425F" w:rsidRPr="0011759A">
        <w:rPr>
          <w:i/>
          <w:lang w:val="fr-CA"/>
        </w:rPr>
        <w:t>  </w:t>
      </w:r>
      <w:proofErr w:type="spellStart"/>
      <w:r w:rsidR="00886A7E" w:rsidRPr="0011759A">
        <w:rPr>
          <w:i/>
          <w:lang w:val="fr-CA"/>
        </w:rPr>
        <w:t>Larivière</w:t>
      </w:r>
      <w:proofErr w:type="spellEnd"/>
      <w:proofErr w:type="gramEnd"/>
      <w:r w:rsidR="00886A7E" w:rsidRPr="0011759A">
        <w:rPr>
          <w:i/>
          <w:lang w:val="fr-CA"/>
        </w:rPr>
        <w:t xml:space="preserve"> Meunier</w:t>
      </w:r>
      <w:r w:rsidR="00691CBB" w:rsidRPr="0011759A">
        <w:rPr>
          <w:i/>
          <w:lang w:val="fr-CA"/>
        </w:rPr>
        <w:t xml:space="preserve">, </w:t>
      </w:r>
      <w:r w:rsidR="00886A7E" w:rsidRPr="0011759A">
        <w:rPr>
          <w:i/>
          <w:lang w:val="fr-CA"/>
        </w:rPr>
        <w:t>Québec</w:t>
      </w:r>
      <w:r w:rsidR="00691CBB" w:rsidRPr="0011759A">
        <w:rPr>
          <w:i/>
          <w:lang w:val="fr-CA"/>
        </w:rPr>
        <w:t>.</w:t>
      </w:r>
    </w:p>
    <w:sectPr w:rsidR="00865241" w:rsidRPr="0011759A" w:rsidSect="00CB1FCC">
      <w:headerReference w:type="default" r:id="rId9"/>
      <w:pgSz w:w="12240" w:h="15840"/>
      <w:pgMar w:top="1267" w:right="2160" w:bottom="1267" w:left="1800" w:header="180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74" w:rsidRDefault="00787874" w:rsidP="005D1447">
      <w:r>
        <w:separator/>
      </w:r>
    </w:p>
  </w:endnote>
  <w:endnote w:type="continuationSeparator" w:id="0">
    <w:p w:rsidR="00787874" w:rsidRDefault="00787874" w:rsidP="005D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74" w:rsidRDefault="00787874" w:rsidP="005D1447">
      <w:r>
        <w:separator/>
      </w:r>
    </w:p>
  </w:footnote>
  <w:footnote w:type="continuationSeparator" w:id="0">
    <w:p w:rsidR="00787874" w:rsidRDefault="00787874" w:rsidP="005D1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7745"/>
      <w:docPartObj>
        <w:docPartGallery w:val="Page Numbers (Top of Page)"/>
        <w:docPartUnique/>
      </w:docPartObj>
    </w:sdtPr>
    <w:sdtContent>
      <w:p w:rsidR="00CB1FCC" w:rsidRDefault="00CB1FCC">
        <w:pPr>
          <w:pStyle w:val="Header"/>
          <w:jc w:val="center"/>
        </w:pPr>
        <w:r>
          <w:t xml:space="preserve">- </w:t>
        </w:r>
        <w:fldSimple w:instr=" PAGE   \* MERGEFORMAT ">
          <w:r w:rsidR="002F4ABF">
            <w:rPr>
              <w:noProof/>
            </w:rPr>
            <w:t>2</w:t>
          </w:r>
        </w:fldSimple>
        <w:r>
          <w:t xml:space="preserve"> -</w:t>
        </w:r>
      </w:p>
    </w:sdtContent>
  </w:sdt>
  <w:p w:rsidR="00CB1FCC" w:rsidRDefault="00CB1F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425F"/>
    <w:rsid w:val="00045F86"/>
    <w:rsid w:val="00055EFA"/>
    <w:rsid w:val="000702AE"/>
    <w:rsid w:val="00074266"/>
    <w:rsid w:val="00090CD8"/>
    <w:rsid w:val="000A5279"/>
    <w:rsid w:val="000A674F"/>
    <w:rsid w:val="000E1AF2"/>
    <w:rsid w:val="0011759A"/>
    <w:rsid w:val="00131D2F"/>
    <w:rsid w:val="00192BF6"/>
    <w:rsid w:val="001D12BF"/>
    <w:rsid w:val="001F2A4D"/>
    <w:rsid w:val="002035BC"/>
    <w:rsid w:val="00212CA1"/>
    <w:rsid w:val="00240BCD"/>
    <w:rsid w:val="002544E5"/>
    <w:rsid w:val="00262DCD"/>
    <w:rsid w:val="002805FB"/>
    <w:rsid w:val="00291EE5"/>
    <w:rsid w:val="002A1C62"/>
    <w:rsid w:val="002A466D"/>
    <w:rsid w:val="002B6171"/>
    <w:rsid w:val="002E1621"/>
    <w:rsid w:val="002F4ABF"/>
    <w:rsid w:val="002F7F0D"/>
    <w:rsid w:val="003100C1"/>
    <w:rsid w:val="003265B8"/>
    <w:rsid w:val="00351D11"/>
    <w:rsid w:val="0039184C"/>
    <w:rsid w:val="00394730"/>
    <w:rsid w:val="003E0806"/>
    <w:rsid w:val="003F7B8B"/>
    <w:rsid w:val="00406382"/>
    <w:rsid w:val="00406E3D"/>
    <w:rsid w:val="00424DBB"/>
    <w:rsid w:val="00441D5E"/>
    <w:rsid w:val="0046079E"/>
    <w:rsid w:val="00490CBE"/>
    <w:rsid w:val="0049752C"/>
    <w:rsid w:val="00510E08"/>
    <w:rsid w:val="005111D9"/>
    <w:rsid w:val="005146B9"/>
    <w:rsid w:val="00525144"/>
    <w:rsid w:val="0055063C"/>
    <w:rsid w:val="00550723"/>
    <w:rsid w:val="00570FF1"/>
    <w:rsid w:val="00594E36"/>
    <w:rsid w:val="005B4F9B"/>
    <w:rsid w:val="005D1447"/>
    <w:rsid w:val="006000F7"/>
    <w:rsid w:val="006265F5"/>
    <w:rsid w:val="00626FCA"/>
    <w:rsid w:val="00637BAA"/>
    <w:rsid w:val="00640CE5"/>
    <w:rsid w:val="0064307F"/>
    <w:rsid w:val="00691CBB"/>
    <w:rsid w:val="006A57AE"/>
    <w:rsid w:val="006A77DF"/>
    <w:rsid w:val="006F55EE"/>
    <w:rsid w:val="00710838"/>
    <w:rsid w:val="00710F87"/>
    <w:rsid w:val="00713495"/>
    <w:rsid w:val="00724A2A"/>
    <w:rsid w:val="007379F4"/>
    <w:rsid w:val="00787874"/>
    <w:rsid w:val="007C5605"/>
    <w:rsid w:val="007D67BF"/>
    <w:rsid w:val="008007AD"/>
    <w:rsid w:val="008056A4"/>
    <w:rsid w:val="00826834"/>
    <w:rsid w:val="008531C8"/>
    <w:rsid w:val="00865241"/>
    <w:rsid w:val="00872BB8"/>
    <w:rsid w:val="00873B78"/>
    <w:rsid w:val="00886A76"/>
    <w:rsid w:val="00886A7E"/>
    <w:rsid w:val="008A36D9"/>
    <w:rsid w:val="008A79B0"/>
    <w:rsid w:val="009027BF"/>
    <w:rsid w:val="009304D5"/>
    <w:rsid w:val="00933371"/>
    <w:rsid w:val="00953998"/>
    <w:rsid w:val="00972C01"/>
    <w:rsid w:val="009878C3"/>
    <w:rsid w:val="009A2184"/>
    <w:rsid w:val="009B228B"/>
    <w:rsid w:val="009E15E9"/>
    <w:rsid w:val="009E6031"/>
    <w:rsid w:val="009E623D"/>
    <w:rsid w:val="00A02DDF"/>
    <w:rsid w:val="00A24FC6"/>
    <w:rsid w:val="00A369E2"/>
    <w:rsid w:val="00A668E4"/>
    <w:rsid w:val="00AB2D64"/>
    <w:rsid w:val="00AB7EBD"/>
    <w:rsid w:val="00AD1C51"/>
    <w:rsid w:val="00AD3B1D"/>
    <w:rsid w:val="00B138DB"/>
    <w:rsid w:val="00B1425F"/>
    <w:rsid w:val="00B22612"/>
    <w:rsid w:val="00B25DA6"/>
    <w:rsid w:val="00B33394"/>
    <w:rsid w:val="00B37827"/>
    <w:rsid w:val="00B54ACC"/>
    <w:rsid w:val="00B63AA5"/>
    <w:rsid w:val="00BA624B"/>
    <w:rsid w:val="00BC2A54"/>
    <w:rsid w:val="00BC6CAE"/>
    <w:rsid w:val="00C16861"/>
    <w:rsid w:val="00C41DDD"/>
    <w:rsid w:val="00CA23A7"/>
    <w:rsid w:val="00CA60AA"/>
    <w:rsid w:val="00CB1FCC"/>
    <w:rsid w:val="00CD1376"/>
    <w:rsid w:val="00CE3AAB"/>
    <w:rsid w:val="00CF4502"/>
    <w:rsid w:val="00D0237F"/>
    <w:rsid w:val="00D07476"/>
    <w:rsid w:val="00D57258"/>
    <w:rsid w:val="00D96A24"/>
    <w:rsid w:val="00DA78E9"/>
    <w:rsid w:val="00DF0821"/>
    <w:rsid w:val="00E01D7F"/>
    <w:rsid w:val="00E01E7B"/>
    <w:rsid w:val="00E203CC"/>
    <w:rsid w:val="00E22821"/>
    <w:rsid w:val="00E35347"/>
    <w:rsid w:val="00E41DA5"/>
    <w:rsid w:val="00E63E36"/>
    <w:rsid w:val="00EA0456"/>
    <w:rsid w:val="00EA2522"/>
    <w:rsid w:val="00ED10BC"/>
    <w:rsid w:val="00EF5DA6"/>
    <w:rsid w:val="00F44AD6"/>
    <w:rsid w:val="00F45DCC"/>
    <w:rsid w:val="00F651E7"/>
    <w:rsid w:val="00F8278E"/>
    <w:rsid w:val="00F87C3F"/>
    <w:rsid w:val="00FB1CFF"/>
    <w:rsid w:val="00FB3F1C"/>
    <w:rsid w:val="00FD35B0"/>
    <w:rsid w:val="00F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NormalDoubleSpacing">
    <w:name w:val="SCC.Normal.DoubleSpacing"/>
    <w:basedOn w:val="Normal"/>
    <w:link w:val="SCCNormalDoubleSpacingChar"/>
    <w:rsid w:val="00B1425F"/>
    <w:pPr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B1425F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B142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425F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B14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5F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SCCLsocParty">
    <w:name w:val="SCC.Lsoc.Party"/>
    <w:basedOn w:val="Normal"/>
    <w:next w:val="Normal"/>
    <w:link w:val="SCCLsocPartyChar"/>
    <w:rsid w:val="00B1425F"/>
    <w:pPr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B1425F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B1425F"/>
    <w:rPr>
      <w:i/>
    </w:rPr>
  </w:style>
  <w:style w:type="character" w:customStyle="1" w:styleId="SCCLsocVersusChar">
    <w:name w:val="SCC.Lsoc.Versus Char"/>
    <w:basedOn w:val="DefaultParagraphFont"/>
    <w:link w:val="SCCLsocVersus"/>
    <w:rsid w:val="00B1425F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B1425F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B1425F"/>
    <w:rPr>
      <w:rFonts w:ascii="Times New Roman" w:eastAsia="Times New Roman" w:hAnsi="Times New Roman" w:cs="Times New Roman"/>
      <w:smallCaps/>
      <w:sz w:val="24"/>
      <w:szCs w:val="20"/>
      <w:lang w:val="en-CA" w:eastAsia="en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B1425F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B1425F"/>
    <w:rPr>
      <w:rFonts w:ascii="Times New Roman" w:eastAsia="Times New Roman" w:hAnsi="Times New Roman" w:cs="Times New Roman"/>
      <w:smallCaps/>
      <w:sz w:val="24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B1425F"/>
    <w:rPr>
      <w:b/>
    </w:rPr>
  </w:style>
  <w:style w:type="character" w:customStyle="1" w:styleId="SCCSystemYearChar">
    <w:name w:val="SCC.SystemYear Char"/>
    <w:basedOn w:val="DefaultParagraphFont"/>
    <w:link w:val="SCCSystemYear"/>
    <w:rsid w:val="00B1425F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B1425F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B1425F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B1425F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B1425F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B1425F"/>
    <w:rPr>
      <w:i/>
    </w:rPr>
  </w:style>
  <w:style w:type="character" w:customStyle="1" w:styleId="SCCLawFirmChar">
    <w:name w:val="SCC.LawFirm Char"/>
    <w:basedOn w:val="SCCNormalDoubleSpacingChar"/>
    <w:link w:val="SCCLawFirm"/>
    <w:rsid w:val="00B1425F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B1425F"/>
  </w:style>
  <w:style w:type="character" w:customStyle="1" w:styleId="SCCCounselPartyRoleChar">
    <w:name w:val="SCC.CounselPartyRole Char"/>
    <w:basedOn w:val="SCCNormalDoubleSpacingChar"/>
    <w:link w:val="SCCCounselPartyRole"/>
    <w:rsid w:val="00B1425F"/>
  </w:style>
  <w:style w:type="paragraph" w:styleId="Footer">
    <w:name w:val="footer"/>
    <w:basedOn w:val="Normal"/>
    <w:link w:val="FooterChar"/>
    <w:uiPriority w:val="99"/>
    <w:semiHidden/>
    <w:unhideWhenUsed/>
    <w:rsid w:val="0031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0C1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table" w:styleId="TableGrid">
    <w:name w:val="Table Grid"/>
    <w:basedOn w:val="TableNormal"/>
    <w:uiPriority w:val="59"/>
    <w:rsid w:val="002F4ABF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Role">
    <w:name w:val="SCC.Lsoc.PartyRole"/>
    <w:basedOn w:val="Normal"/>
    <w:next w:val="Normal"/>
    <w:link w:val="SCCLsocPartyRoleChar"/>
    <w:rsid w:val="002F4ABF"/>
    <w:pPr>
      <w:jc w:val="center"/>
    </w:pPr>
    <w:rPr>
      <w:rFonts w:eastAsiaTheme="minorHAnsi" w:cstheme="minorBidi"/>
      <w:szCs w:val="24"/>
      <w:lang w:eastAsia="en-US"/>
    </w:rPr>
  </w:style>
  <w:style w:type="character" w:customStyle="1" w:styleId="SCCLsocPartyRoleChar">
    <w:name w:val="SCC.Lsoc.PartyRole Char"/>
    <w:basedOn w:val="DefaultParagraphFont"/>
    <w:link w:val="SCCLsocPartyRole"/>
    <w:rsid w:val="002F4ABF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2F4ABF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2F4ABF"/>
    <w:rPr>
      <w:rFonts w:ascii="Times New Roman" w:hAnsi="Times New Roman"/>
      <w:b/>
      <w:smallCaps/>
      <w:sz w:val="24"/>
      <w:szCs w:val="24"/>
      <w:lang w:val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2F4ABF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2F4ABF"/>
    <w:rPr>
      <w:rFonts w:ascii="Times New Roman" w:eastAsia="Times New Roman" w:hAnsi="Times New Roman" w:cs="Times New Roman"/>
      <w:b/>
      <w:sz w:val="24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E005-D2A7-4E8F-9413-2E3F20CA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2012-02-14T18:25:00Z</dcterms:created>
  <dcterms:modified xsi:type="dcterms:W3CDTF">2012-09-10T19:32:00Z</dcterms:modified>
</cp:coreProperties>
</file>