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8C" w:rsidRPr="009E5B57" w:rsidRDefault="0007588C" w:rsidP="0007588C">
      <w:pPr>
        <w:tabs>
          <w:tab w:val="center" w:pos="4680"/>
          <w:tab w:val="right" w:pos="9360"/>
        </w:tabs>
        <w:jc w:val="center"/>
        <w:rPr>
          <w:rFonts w:eastAsiaTheme="minorHAnsi" w:cstheme="minorBidi"/>
          <w:szCs w:val="24"/>
          <w:lang w:val="fr-CA" w:eastAsia="en-US"/>
        </w:rPr>
      </w:pPr>
      <w:r w:rsidRPr="009E5B57">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30687" r:id="rId9"/>
        </w:object>
      </w:r>
    </w:p>
    <w:p w:rsidR="0007588C" w:rsidRPr="009E5B57" w:rsidRDefault="0007588C" w:rsidP="0007588C">
      <w:pPr>
        <w:tabs>
          <w:tab w:val="center" w:pos="4680"/>
          <w:tab w:val="right" w:pos="9360"/>
        </w:tabs>
        <w:rPr>
          <w:rFonts w:eastAsiaTheme="minorHAnsi" w:cstheme="minorBidi"/>
          <w:szCs w:val="24"/>
          <w:lang w:val="fr-CA" w:eastAsia="en-US"/>
        </w:rPr>
      </w:pPr>
    </w:p>
    <w:p w:rsidR="0007588C" w:rsidRPr="009E5B57" w:rsidRDefault="0007588C" w:rsidP="0007588C">
      <w:pPr>
        <w:jc w:val="center"/>
        <w:rPr>
          <w:rFonts w:eastAsiaTheme="minorHAnsi" w:cstheme="minorBidi"/>
          <w:b/>
          <w:szCs w:val="24"/>
          <w:lang w:val="fr-CA" w:eastAsia="en-US"/>
        </w:rPr>
      </w:pPr>
      <w:r w:rsidRPr="009E5B57">
        <w:rPr>
          <w:rFonts w:eastAsiaTheme="minorHAnsi" w:cstheme="minorBidi"/>
          <w:b/>
          <w:szCs w:val="24"/>
          <w:lang w:val="fr-CA" w:eastAsia="en-US"/>
        </w:rPr>
        <w:t>COUR SUPRÊME DU CANADA</w:t>
      </w:r>
    </w:p>
    <w:p w:rsidR="0007588C" w:rsidRPr="009E5B57" w:rsidRDefault="0007588C" w:rsidP="0007588C">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7588C" w:rsidRPr="009E5B57" w:rsidTr="00A91E19">
        <w:trPr>
          <w:cantSplit/>
        </w:trPr>
        <w:tc>
          <w:tcPr>
            <w:tcW w:w="6768" w:type="dxa"/>
          </w:tcPr>
          <w:p w:rsidR="0007588C" w:rsidRPr="009E5B57" w:rsidRDefault="0007588C" w:rsidP="00A91E19">
            <w:pPr>
              <w:rPr>
                <w:lang w:val="fr-CA"/>
              </w:rPr>
            </w:pPr>
            <w:r w:rsidRPr="009E5B57">
              <w:rPr>
                <w:b/>
                <w:smallCaps/>
                <w:lang w:val="fr-CA"/>
              </w:rPr>
              <w:t>Référence :</w:t>
            </w:r>
            <w:r w:rsidRPr="009E5B57">
              <w:rPr>
                <w:lang w:val="fr-CA"/>
              </w:rPr>
              <w:t xml:space="preserve"> R. </w:t>
            </w:r>
            <w:r w:rsidRPr="009E5B57">
              <w:rPr>
                <w:i/>
                <w:lang w:val="fr-CA"/>
              </w:rPr>
              <w:t>c.</w:t>
            </w:r>
            <w:r w:rsidRPr="009E5B57">
              <w:rPr>
                <w:lang w:val="fr-CA"/>
              </w:rPr>
              <w:t xml:space="preserve"> Pappas, 2013 CSC 56</w:t>
            </w:r>
            <w:r>
              <w:rPr>
                <w:lang w:val="fr-CA"/>
              </w:rPr>
              <w:t>, [2013] 3 R.C.S. 452</w:t>
            </w:r>
          </w:p>
        </w:tc>
        <w:tc>
          <w:tcPr>
            <w:tcW w:w="2808" w:type="dxa"/>
          </w:tcPr>
          <w:p w:rsidR="0007588C" w:rsidRPr="009E5B57" w:rsidRDefault="0007588C" w:rsidP="00A91E19">
            <w:pPr>
              <w:rPr>
                <w:lang w:val="fr-CA"/>
              </w:rPr>
            </w:pPr>
            <w:r w:rsidRPr="009E5B57">
              <w:rPr>
                <w:b/>
                <w:smallCaps/>
                <w:lang w:val="fr-CA"/>
              </w:rPr>
              <w:t>Date :</w:t>
            </w:r>
            <w:r w:rsidRPr="009E5B57">
              <w:rPr>
                <w:lang w:val="fr-CA"/>
              </w:rPr>
              <w:t xml:space="preserve"> 20131025</w:t>
            </w:r>
          </w:p>
          <w:p w:rsidR="0007588C" w:rsidRPr="009E5B57" w:rsidRDefault="0007588C" w:rsidP="00A91E19">
            <w:pPr>
              <w:rPr>
                <w:lang w:val="fr-CA"/>
              </w:rPr>
            </w:pPr>
            <w:r w:rsidRPr="009E5B57">
              <w:rPr>
                <w:b/>
                <w:smallCaps/>
                <w:lang w:val="fr-CA"/>
              </w:rPr>
              <w:t>Dossier :</w:t>
            </w:r>
            <w:r w:rsidRPr="009E5B57">
              <w:rPr>
                <w:lang w:val="fr-CA"/>
              </w:rPr>
              <w:t xml:space="preserve"> 34951</w:t>
            </w:r>
          </w:p>
        </w:tc>
      </w:tr>
    </w:tbl>
    <w:p w:rsidR="0007588C" w:rsidRPr="009E5B57" w:rsidRDefault="0007588C" w:rsidP="0007588C">
      <w:pPr>
        <w:rPr>
          <w:rFonts w:eastAsiaTheme="minorHAnsi" w:cstheme="minorBidi"/>
          <w:szCs w:val="24"/>
          <w:lang w:val="fr-CA" w:eastAsia="en-US"/>
        </w:rPr>
      </w:pPr>
    </w:p>
    <w:p w:rsidR="0007588C" w:rsidRPr="009E5B57" w:rsidRDefault="0007588C" w:rsidP="0007588C">
      <w:pPr>
        <w:rPr>
          <w:rFonts w:eastAsiaTheme="minorHAnsi" w:cstheme="minorBidi"/>
          <w:b/>
          <w:smallCaps/>
          <w:szCs w:val="24"/>
          <w:lang w:val="fr-CA" w:eastAsia="en-US"/>
        </w:rPr>
      </w:pPr>
      <w:r w:rsidRPr="009E5B57">
        <w:rPr>
          <w:rFonts w:eastAsiaTheme="minorHAnsi" w:cstheme="minorBidi"/>
          <w:b/>
          <w:smallCaps/>
          <w:szCs w:val="24"/>
          <w:lang w:val="fr-CA" w:eastAsia="en-US"/>
        </w:rPr>
        <w:t>Entre :</w:t>
      </w:r>
    </w:p>
    <w:p w:rsidR="0007588C" w:rsidRPr="009E5B57" w:rsidRDefault="0007588C" w:rsidP="0007588C">
      <w:pPr>
        <w:jc w:val="center"/>
        <w:rPr>
          <w:rFonts w:eastAsiaTheme="minorHAnsi" w:cstheme="minorBidi"/>
          <w:b/>
          <w:szCs w:val="24"/>
          <w:lang w:val="fr-CA" w:eastAsia="en-US"/>
        </w:rPr>
      </w:pPr>
      <w:r w:rsidRPr="009E5B57">
        <w:rPr>
          <w:rFonts w:eastAsiaTheme="minorHAnsi" w:cstheme="minorBidi"/>
          <w:b/>
          <w:szCs w:val="24"/>
          <w:lang w:val="fr-CA" w:eastAsia="en-US"/>
        </w:rPr>
        <w:t>Bill James Pappas</w:t>
      </w:r>
    </w:p>
    <w:p w:rsidR="0007588C" w:rsidRPr="009E5B57" w:rsidRDefault="0007588C" w:rsidP="0007588C">
      <w:pPr>
        <w:jc w:val="center"/>
        <w:rPr>
          <w:rFonts w:eastAsiaTheme="minorHAnsi" w:cstheme="minorBidi"/>
          <w:szCs w:val="24"/>
          <w:lang w:val="fr-CA" w:eastAsia="en-US"/>
        </w:rPr>
      </w:pPr>
      <w:r w:rsidRPr="009E5B57">
        <w:rPr>
          <w:rFonts w:eastAsiaTheme="minorHAnsi" w:cstheme="minorBidi"/>
          <w:szCs w:val="24"/>
          <w:lang w:val="fr-CA" w:eastAsia="en-US"/>
        </w:rPr>
        <w:t>Appelant</w:t>
      </w:r>
    </w:p>
    <w:p w:rsidR="0007588C" w:rsidRPr="009E5B57" w:rsidRDefault="0007588C" w:rsidP="0007588C">
      <w:pPr>
        <w:jc w:val="center"/>
        <w:rPr>
          <w:rFonts w:eastAsiaTheme="minorHAnsi" w:cstheme="minorBidi"/>
          <w:szCs w:val="24"/>
          <w:lang w:val="fr-CA" w:eastAsia="en-US"/>
        </w:rPr>
      </w:pPr>
      <w:r w:rsidRPr="009E5B57">
        <w:rPr>
          <w:rFonts w:eastAsiaTheme="minorHAnsi" w:cstheme="minorBidi"/>
          <w:szCs w:val="24"/>
          <w:lang w:val="fr-CA" w:eastAsia="en-US"/>
        </w:rPr>
        <w:t>et</w:t>
      </w:r>
    </w:p>
    <w:p w:rsidR="0007588C" w:rsidRPr="009E5B57" w:rsidRDefault="0007588C" w:rsidP="0007588C">
      <w:pPr>
        <w:jc w:val="center"/>
        <w:rPr>
          <w:rFonts w:eastAsiaTheme="minorHAnsi" w:cstheme="minorBidi"/>
          <w:b/>
          <w:szCs w:val="24"/>
          <w:lang w:val="fr-CA" w:eastAsia="en-US"/>
        </w:rPr>
      </w:pPr>
      <w:r w:rsidRPr="009E5B57">
        <w:rPr>
          <w:rFonts w:eastAsiaTheme="minorHAnsi" w:cstheme="minorBidi"/>
          <w:b/>
          <w:szCs w:val="24"/>
          <w:lang w:val="fr-CA" w:eastAsia="en-US"/>
        </w:rPr>
        <w:t>Sa Majesté la Reine</w:t>
      </w:r>
    </w:p>
    <w:p w:rsidR="0007588C" w:rsidRPr="009E5B57" w:rsidRDefault="0007588C" w:rsidP="0007588C">
      <w:pPr>
        <w:jc w:val="center"/>
        <w:rPr>
          <w:rFonts w:eastAsiaTheme="minorHAnsi" w:cstheme="minorBidi"/>
          <w:szCs w:val="24"/>
          <w:lang w:val="fr-CA" w:eastAsia="en-US"/>
        </w:rPr>
      </w:pPr>
      <w:r w:rsidRPr="009E5B57">
        <w:rPr>
          <w:rFonts w:eastAsiaTheme="minorHAnsi" w:cstheme="minorBidi"/>
          <w:szCs w:val="24"/>
          <w:lang w:val="fr-CA" w:eastAsia="en-US"/>
        </w:rPr>
        <w:t>Intimée</w:t>
      </w:r>
    </w:p>
    <w:p w:rsidR="0007588C" w:rsidRPr="009E5B57" w:rsidRDefault="0007588C" w:rsidP="0007588C">
      <w:pPr>
        <w:rPr>
          <w:rFonts w:eastAsiaTheme="minorHAnsi" w:cstheme="minorBidi"/>
          <w:szCs w:val="24"/>
          <w:lang w:val="fr-CA" w:eastAsia="en-US"/>
        </w:rPr>
      </w:pPr>
    </w:p>
    <w:p w:rsidR="0007588C" w:rsidRPr="009E5B57" w:rsidRDefault="0007588C" w:rsidP="0007588C">
      <w:pPr>
        <w:rPr>
          <w:rFonts w:eastAsiaTheme="minorHAnsi" w:cstheme="minorBidi"/>
          <w:szCs w:val="24"/>
          <w:lang w:val="fr-CA" w:eastAsia="en-US"/>
        </w:rPr>
      </w:pPr>
    </w:p>
    <w:p w:rsidR="0007588C" w:rsidRPr="009E5B57" w:rsidRDefault="0007588C" w:rsidP="0007588C">
      <w:pPr>
        <w:jc w:val="center"/>
        <w:rPr>
          <w:rFonts w:eastAsiaTheme="minorHAnsi" w:cstheme="minorBidi"/>
          <w:b/>
          <w:smallCaps/>
          <w:szCs w:val="24"/>
          <w:lang w:val="fr-CA" w:eastAsia="en-US"/>
        </w:rPr>
      </w:pPr>
      <w:r w:rsidRPr="009E5B57">
        <w:rPr>
          <w:rFonts w:eastAsiaTheme="minorHAnsi" w:cstheme="minorBidi"/>
          <w:b/>
          <w:smallCaps/>
          <w:szCs w:val="24"/>
          <w:lang w:val="fr-CA" w:eastAsia="en-US"/>
        </w:rPr>
        <w:t>Traduction française officielle</w:t>
      </w:r>
    </w:p>
    <w:p w:rsidR="0007588C" w:rsidRPr="009E5B57" w:rsidRDefault="0007588C" w:rsidP="0007588C">
      <w:pPr>
        <w:rPr>
          <w:rFonts w:eastAsiaTheme="minorHAnsi" w:cstheme="minorBidi"/>
          <w:szCs w:val="24"/>
          <w:lang w:val="fr-CA" w:eastAsia="en-US"/>
        </w:rPr>
      </w:pPr>
    </w:p>
    <w:p w:rsidR="0007588C" w:rsidRPr="009E5B57" w:rsidRDefault="0007588C" w:rsidP="0007588C">
      <w:pPr>
        <w:rPr>
          <w:rFonts w:eastAsiaTheme="minorHAnsi" w:cstheme="minorBidi"/>
          <w:szCs w:val="24"/>
          <w:lang w:val="fr-CA" w:eastAsia="en-US"/>
        </w:rPr>
      </w:pPr>
      <w:r w:rsidRPr="009E5B57">
        <w:rPr>
          <w:rFonts w:eastAsiaTheme="minorHAnsi" w:cstheme="minorBidi"/>
          <w:b/>
          <w:smallCaps/>
          <w:szCs w:val="24"/>
          <w:lang w:val="fr-CA" w:eastAsia="en-US"/>
        </w:rPr>
        <w:t>Coram :</w:t>
      </w:r>
      <w:r w:rsidRPr="009E5B57">
        <w:rPr>
          <w:rFonts w:eastAsiaTheme="minorHAnsi" w:cstheme="minorBidi"/>
          <w:szCs w:val="24"/>
          <w:lang w:val="fr-CA" w:eastAsia="en-US"/>
        </w:rPr>
        <w:t xml:space="preserve"> La juge en chef McLachlin et les juges Fish, Abella, Rothstein, Cromwell, Moldaver et Wagner</w:t>
      </w:r>
    </w:p>
    <w:p w:rsidR="0007588C" w:rsidRPr="009E5B57" w:rsidRDefault="0007588C" w:rsidP="0007588C">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7588C" w:rsidRPr="009E5B57" w:rsidTr="00A91E19">
        <w:trPr>
          <w:cantSplit/>
        </w:trPr>
        <w:tc>
          <w:tcPr>
            <w:tcW w:w="3618" w:type="dxa"/>
          </w:tcPr>
          <w:p w:rsidR="0007588C" w:rsidRPr="009E5B57" w:rsidRDefault="0007588C" w:rsidP="00A91E19">
            <w:pPr>
              <w:rPr>
                <w:b/>
                <w:smallCaps/>
                <w:lang w:val="fr-CA"/>
              </w:rPr>
            </w:pPr>
            <w:r w:rsidRPr="009E5B57">
              <w:rPr>
                <w:b/>
                <w:smallCaps/>
                <w:lang w:val="fr-CA"/>
              </w:rPr>
              <w:t>Motifs de jugement :</w:t>
            </w:r>
          </w:p>
          <w:p w:rsidR="0007588C" w:rsidRPr="009E5B57" w:rsidRDefault="0007588C" w:rsidP="00A91E19">
            <w:pPr>
              <w:rPr>
                <w:lang w:val="fr-CA"/>
              </w:rPr>
            </w:pPr>
            <w:r w:rsidRPr="009E5B57">
              <w:rPr>
                <w:lang w:val="fr-CA"/>
              </w:rPr>
              <w:t>(par. 1 à 43)</w:t>
            </w:r>
          </w:p>
          <w:p w:rsidR="0007588C" w:rsidRPr="009E5B57" w:rsidRDefault="0007588C" w:rsidP="00A91E19">
            <w:pPr>
              <w:rPr>
                <w:lang w:val="fr-CA"/>
              </w:rPr>
            </w:pPr>
          </w:p>
          <w:p w:rsidR="0007588C" w:rsidRPr="009E5B57" w:rsidRDefault="0007588C" w:rsidP="00A91E19">
            <w:pPr>
              <w:rPr>
                <w:b/>
                <w:smallCaps/>
                <w:lang w:val="fr-CA"/>
              </w:rPr>
            </w:pPr>
            <w:r w:rsidRPr="009E5B57">
              <w:rPr>
                <w:b/>
                <w:smallCaps/>
                <w:lang w:val="fr-CA"/>
              </w:rPr>
              <w:t>Motifs concordants quant au résultat :</w:t>
            </w:r>
          </w:p>
          <w:p w:rsidR="0007588C" w:rsidRPr="009E5B57" w:rsidRDefault="0007588C" w:rsidP="00A91E19">
            <w:pPr>
              <w:rPr>
                <w:lang w:val="fr-CA"/>
              </w:rPr>
            </w:pPr>
            <w:r w:rsidRPr="009E5B57">
              <w:rPr>
                <w:lang w:val="fr-CA"/>
              </w:rPr>
              <w:t>(par. 44 à 79)</w:t>
            </w:r>
          </w:p>
        </w:tc>
        <w:tc>
          <w:tcPr>
            <w:tcW w:w="5958" w:type="dxa"/>
          </w:tcPr>
          <w:p w:rsidR="0007588C" w:rsidRPr="009E5B57" w:rsidRDefault="0007588C" w:rsidP="00A91E19">
            <w:pPr>
              <w:rPr>
                <w:lang w:val="fr-CA"/>
              </w:rPr>
            </w:pPr>
            <w:r w:rsidRPr="009E5B57">
              <w:rPr>
                <w:lang w:val="fr-CA"/>
              </w:rPr>
              <w:t>La juge en chef McLachlin (avec l’accord des juges Abella, Rothstein, Cromwell, Moldaver et Wagner)</w:t>
            </w:r>
          </w:p>
          <w:p w:rsidR="0007588C" w:rsidRPr="009E5B57" w:rsidRDefault="0007588C" w:rsidP="00A91E19">
            <w:pPr>
              <w:rPr>
                <w:lang w:val="fr-CA"/>
              </w:rPr>
            </w:pPr>
          </w:p>
          <w:p w:rsidR="0007588C" w:rsidRPr="009E5B57" w:rsidRDefault="0007588C" w:rsidP="00A91E19">
            <w:pPr>
              <w:rPr>
                <w:lang w:val="fr-CA"/>
              </w:rPr>
            </w:pPr>
            <w:r w:rsidRPr="009E5B57">
              <w:rPr>
                <w:lang w:val="fr-CA"/>
              </w:rPr>
              <w:t>Le juge Fish</w:t>
            </w:r>
          </w:p>
        </w:tc>
      </w:tr>
    </w:tbl>
    <w:p w:rsidR="0007588C" w:rsidRPr="009E5B57" w:rsidRDefault="0007588C" w:rsidP="0007588C">
      <w:pPr>
        <w:rPr>
          <w:rFonts w:eastAsiaTheme="minorHAnsi" w:cstheme="minorBidi"/>
          <w:szCs w:val="24"/>
          <w:lang w:val="fr-CA" w:eastAsia="en-US"/>
        </w:rPr>
      </w:pPr>
      <w:r w:rsidRPr="003F2EBE">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07588C" w:rsidRDefault="0007588C" w:rsidP="0007588C">
      <w:pPr>
        <w:rPr>
          <w:smallCaps/>
          <w:lang w:val="fr-CA"/>
        </w:rPr>
      </w:pPr>
      <w:r>
        <w:rPr>
          <w:smallCaps/>
          <w:lang w:val="fr-CA"/>
        </w:rPr>
        <w:br w:type="page"/>
      </w:r>
    </w:p>
    <w:p w:rsidR="00151D9B" w:rsidRPr="00944D9B" w:rsidRDefault="00151D9B" w:rsidP="00151D9B">
      <w:pPr>
        <w:spacing w:after="720"/>
        <w:jc w:val="both"/>
        <w:outlineLvl w:val="0"/>
        <w:rPr>
          <w:lang w:val="fr-CA"/>
        </w:rPr>
      </w:pPr>
      <w:r>
        <w:rPr>
          <w:lang w:val="fr-CA"/>
        </w:rPr>
        <w:lastRenderedPageBreak/>
        <w:t>R</w:t>
      </w:r>
      <w:r w:rsidRPr="00944D9B">
        <w:rPr>
          <w:lang w:val="fr-CA"/>
        </w:rPr>
        <w:t xml:space="preserve">. </w:t>
      </w:r>
      <w:r>
        <w:rPr>
          <w:i/>
          <w:lang w:val="fr-CA"/>
        </w:rPr>
        <w:t>c</w:t>
      </w:r>
      <w:r w:rsidRPr="00944D9B">
        <w:rPr>
          <w:i/>
          <w:lang w:val="fr-CA"/>
        </w:rPr>
        <w:t>.</w:t>
      </w:r>
      <w:r w:rsidRPr="00944D9B">
        <w:rPr>
          <w:lang w:val="fr-CA"/>
        </w:rPr>
        <w:t xml:space="preserve"> </w:t>
      </w:r>
      <w:r>
        <w:rPr>
          <w:lang w:val="fr-CA"/>
        </w:rPr>
        <w:t>P</w:t>
      </w:r>
      <w:r w:rsidRPr="00944D9B">
        <w:rPr>
          <w:lang w:val="fr-CA"/>
        </w:rPr>
        <w:t>appas</w:t>
      </w:r>
      <w:r>
        <w:rPr>
          <w:lang w:val="fr-CA"/>
        </w:rPr>
        <w:t>, 2013 CSC 56, [2013] 3 R.C.S. 452</w:t>
      </w:r>
    </w:p>
    <w:p w:rsidR="00CB62EC" w:rsidRPr="006E55EC" w:rsidRDefault="003210F2" w:rsidP="007A3E23">
      <w:pPr>
        <w:pStyle w:val="SCCLsocLastPartyInRole"/>
        <w:rPr>
          <w:lang w:val="fr-CA"/>
        </w:rPr>
      </w:pPr>
      <w:r w:rsidRPr="006E55EC">
        <w:rPr>
          <w:lang w:val="fr-CA"/>
        </w:rPr>
        <w:t>Bill James Pappas</w:t>
      </w:r>
      <w:r w:rsidRPr="006E55EC">
        <w:rPr>
          <w:rStyle w:val="SCCLsocPartyRole"/>
          <w:lang w:val="fr-CA"/>
        </w:rPr>
        <w:tab/>
        <w:t>Appelant</w:t>
      </w:r>
    </w:p>
    <w:p w:rsidR="00CB62EC" w:rsidRPr="006E55EC" w:rsidRDefault="003210F2" w:rsidP="007A3E23">
      <w:pPr>
        <w:pStyle w:val="SCCLsocVersus"/>
        <w:rPr>
          <w:lang w:val="fr-CA"/>
        </w:rPr>
      </w:pPr>
      <w:r w:rsidRPr="006E55EC">
        <w:rPr>
          <w:lang w:val="fr-CA"/>
        </w:rPr>
        <w:t>c.</w:t>
      </w:r>
    </w:p>
    <w:p w:rsidR="00CB62EC" w:rsidRPr="006E55EC" w:rsidRDefault="00C67F37" w:rsidP="007A3E23">
      <w:pPr>
        <w:pStyle w:val="SCCLsocLastPartyInRole"/>
        <w:rPr>
          <w:lang w:val="fr-CA"/>
        </w:rPr>
      </w:pPr>
      <w:r w:rsidRPr="006E55EC">
        <w:rPr>
          <w:lang w:val="fr-CA"/>
        </w:rPr>
        <w:t xml:space="preserve">Sa Majesté </w:t>
      </w:r>
      <w:r w:rsidR="0043624B" w:rsidRPr="006E55EC">
        <w:rPr>
          <w:lang w:val="fr-CA"/>
        </w:rPr>
        <w:t>l</w:t>
      </w:r>
      <w:r w:rsidR="003210F2" w:rsidRPr="006E55EC">
        <w:rPr>
          <w:lang w:val="fr-CA"/>
        </w:rPr>
        <w:t>a Reine</w:t>
      </w:r>
      <w:r w:rsidR="000E574C" w:rsidRPr="006E55EC">
        <w:rPr>
          <w:rStyle w:val="SCCLsocPartyRole"/>
          <w:lang w:val="fr-CA"/>
        </w:rPr>
        <w:tab/>
        <w:t>Intimée</w:t>
      </w:r>
    </w:p>
    <w:p w:rsidR="004D7D95" w:rsidRPr="006E55EC" w:rsidRDefault="004D7D95" w:rsidP="00A2040A">
      <w:pPr>
        <w:spacing w:after="720"/>
        <w:jc w:val="both"/>
        <w:outlineLvl w:val="0"/>
        <w:rPr>
          <w:b/>
          <w:lang w:val="fr-CA"/>
        </w:rPr>
      </w:pPr>
      <w:r w:rsidRPr="006E55EC">
        <w:rPr>
          <w:b/>
          <w:lang w:val="fr-CA"/>
        </w:rPr>
        <w:t>Répertorié</w:t>
      </w:r>
      <w:r w:rsidR="005606FC" w:rsidRPr="006E55EC">
        <w:rPr>
          <w:b/>
          <w:lang w:val="fr-CA"/>
        </w:rPr>
        <w:t> :</w:t>
      </w:r>
      <w:r w:rsidRPr="006E55EC">
        <w:rPr>
          <w:b/>
          <w:lang w:val="fr-CA"/>
        </w:rPr>
        <w:t> </w:t>
      </w:r>
      <w:r w:rsidR="00EB69EF" w:rsidRPr="006E55EC">
        <w:rPr>
          <w:b/>
          <w:lang w:val="fr-CA"/>
        </w:rPr>
        <w:t xml:space="preserve">R. </w:t>
      </w:r>
      <w:r w:rsidR="00EB69EF" w:rsidRPr="006E55EC">
        <w:rPr>
          <w:b/>
          <w:i/>
          <w:lang w:val="fr-CA"/>
        </w:rPr>
        <w:t xml:space="preserve">c. </w:t>
      </w:r>
      <w:r w:rsidR="00EB69EF" w:rsidRPr="006E55EC">
        <w:rPr>
          <w:b/>
          <w:lang w:val="fr-CA"/>
        </w:rPr>
        <w:t>Pappas</w:t>
      </w:r>
    </w:p>
    <w:p w:rsidR="004D7D95" w:rsidRPr="006E55EC" w:rsidRDefault="00F62639" w:rsidP="00A2040A">
      <w:pPr>
        <w:pStyle w:val="SCCSystemYear"/>
        <w:spacing w:after="720"/>
        <w:jc w:val="both"/>
        <w:outlineLvl w:val="0"/>
        <w:rPr>
          <w:lang w:val="fr-CA"/>
        </w:rPr>
      </w:pPr>
      <w:r w:rsidRPr="006E55EC">
        <w:rPr>
          <w:lang w:val="fr-CA"/>
        </w:rPr>
        <w:t>2013</w:t>
      </w:r>
      <w:r w:rsidR="004D7D95" w:rsidRPr="006E55EC">
        <w:rPr>
          <w:lang w:val="fr-CA"/>
        </w:rPr>
        <w:t xml:space="preserve"> CSC </w:t>
      </w:r>
      <w:r w:rsidR="008D1F15" w:rsidRPr="006E55EC">
        <w:rPr>
          <w:lang w:val="fr-CA"/>
        </w:rPr>
        <w:t>56</w:t>
      </w:r>
    </w:p>
    <w:p w:rsidR="004D7D95" w:rsidRPr="006E55EC" w:rsidRDefault="004D7D95" w:rsidP="007A3E23">
      <w:pPr>
        <w:spacing w:after="720"/>
        <w:jc w:val="both"/>
        <w:rPr>
          <w:lang w:val="fr-CA"/>
        </w:rPr>
      </w:pPr>
      <w:r w:rsidRPr="006E55EC">
        <w:rPr>
          <w:lang w:val="fr-CA"/>
        </w:rPr>
        <w:t>N</w:t>
      </w:r>
      <w:r w:rsidRPr="006E55EC">
        <w:rPr>
          <w:vertAlign w:val="superscript"/>
          <w:lang w:val="fr-CA"/>
        </w:rPr>
        <w:t>o</w:t>
      </w:r>
      <w:r w:rsidRPr="006E55EC">
        <w:rPr>
          <w:lang w:val="fr-CA"/>
        </w:rPr>
        <w:t xml:space="preserve"> du greffe</w:t>
      </w:r>
      <w:r w:rsidR="005606FC" w:rsidRPr="006E55EC">
        <w:rPr>
          <w:lang w:val="fr-CA"/>
        </w:rPr>
        <w:t> :</w:t>
      </w:r>
      <w:r w:rsidRPr="006E55EC">
        <w:rPr>
          <w:lang w:val="fr-CA"/>
        </w:rPr>
        <w:t> 34951.</w:t>
      </w:r>
    </w:p>
    <w:p w:rsidR="004D7D95" w:rsidRPr="006E55EC" w:rsidRDefault="00F62639" w:rsidP="007A3E23">
      <w:pPr>
        <w:spacing w:after="720"/>
        <w:jc w:val="both"/>
        <w:rPr>
          <w:lang w:val="fr-CA"/>
        </w:rPr>
      </w:pPr>
      <w:r w:rsidRPr="006E55EC">
        <w:rPr>
          <w:lang w:val="fr-CA"/>
        </w:rPr>
        <w:t>2013</w:t>
      </w:r>
      <w:r w:rsidR="005606FC" w:rsidRPr="006E55EC">
        <w:rPr>
          <w:lang w:val="fr-CA"/>
        </w:rPr>
        <w:t> :</w:t>
      </w:r>
      <w:r w:rsidR="0043624B" w:rsidRPr="006E55EC">
        <w:rPr>
          <w:lang w:val="fr-CA"/>
        </w:rPr>
        <w:t> </w:t>
      </w:r>
      <w:r w:rsidRPr="006E55EC">
        <w:rPr>
          <w:lang w:val="fr-CA"/>
        </w:rPr>
        <w:t>26</w:t>
      </w:r>
      <w:r w:rsidR="00395D1C" w:rsidRPr="006E55EC">
        <w:rPr>
          <w:lang w:val="fr-CA"/>
        </w:rPr>
        <w:t> </w:t>
      </w:r>
      <w:r w:rsidRPr="006E55EC">
        <w:rPr>
          <w:lang w:val="fr-CA"/>
        </w:rPr>
        <w:t>avril</w:t>
      </w:r>
      <w:r w:rsidR="004D7D95" w:rsidRPr="006E55EC">
        <w:rPr>
          <w:lang w:val="fr-CA"/>
        </w:rPr>
        <w:t xml:space="preserve">; </w:t>
      </w:r>
      <w:r w:rsidR="00D12DEB" w:rsidRPr="006E55EC">
        <w:rPr>
          <w:lang w:val="fr-CA"/>
        </w:rPr>
        <w:t>2013</w:t>
      </w:r>
      <w:r w:rsidR="005606FC" w:rsidRPr="006E55EC">
        <w:rPr>
          <w:lang w:val="fr-CA"/>
        </w:rPr>
        <w:t> :</w:t>
      </w:r>
      <w:r w:rsidR="00395D1C" w:rsidRPr="006E55EC">
        <w:rPr>
          <w:lang w:val="fr-CA"/>
        </w:rPr>
        <w:t> </w:t>
      </w:r>
      <w:r w:rsidR="00D12DEB" w:rsidRPr="006E55EC">
        <w:rPr>
          <w:lang w:val="fr-CA"/>
        </w:rPr>
        <w:t>25</w:t>
      </w:r>
      <w:r w:rsidR="00395D1C" w:rsidRPr="006E55EC">
        <w:rPr>
          <w:lang w:val="fr-CA"/>
        </w:rPr>
        <w:t> </w:t>
      </w:r>
      <w:r w:rsidR="00D12DEB" w:rsidRPr="006E55EC">
        <w:rPr>
          <w:lang w:val="fr-CA"/>
        </w:rPr>
        <w:t>octobre</w:t>
      </w:r>
      <w:r w:rsidR="004D7D95" w:rsidRPr="006E55EC">
        <w:rPr>
          <w:lang w:val="fr-CA"/>
        </w:rPr>
        <w:t>.</w:t>
      </w:r>
    </w:p>
    <w:p w:rsidR="004D7D95" w:rsidRPr="006E55EC" w:rsidRDefault="004D7D95" w:rsidP="007A3E23">
      <w:pPr>
        <w:spacing w:after="720"/>
        <w:jc w:val="both"/>
        <w:rPr>
          <w:lang w:val="fr-CA"/>
        </w:rPr>
      </w:pPr>
      <w:r w:rsidRPr="006E55EC">
        <w:rPr>
          <w:lang w:val="fr-CA"/>
        </w:rPr>
        <w:t>Présents</w:t>
      </w:r>
      <w:r w:rsidR="005606FC" w:rsidRPr="006E55EC">
        <w:rPr>
          <w:lang w:val="fr-CA"/>
        </w:rPr>
        <w:t> :</w:t>
      </w:r>
      <w:r w:rsidRPr="006E55EC">
        <w:rPr>
          <w:lang w:val="fr-CA"/>
        </w:rPr>
        <w:t> La juge en chef McLachlin et les juges Fish, Abella, Rothstein, Cromwell, Moldaver et Wagner.</w:t>
      </w:r>
    </w:p>
    <w:p w:rsidR="004D7D95" w:rsidRPr="006E55EC" w:rsidRDefault="004D7D95" w:rsidP="00A2040A">
      <w:pPr>
        <w:spacing w:after="720"/>
        <w:jc w:val="both"/>
        <w:outlineLvl w:val="0"/>
        <w:rPr>
          <w:smallCaps/>
          <w:lang w:val="fr-CA"/>
        </w:rPr>
      </w:pPr>
      <w:r w:rsidRPr="006E55EC">
        <w:rPr>
          <w:smallCaps/>
          <w:lang w:val="fr-CA"/>
        </w:rPr>
        <w:t>en appel de la cou</w:t>
      </w:r>
      <w:r w:rsidR="000A242E" w:rsidRPr="006E55EC">
        <w:rPr>
          <w:smallCaps/>
          <w:lang w:val="fr-CA"/>
        </w:rPr>
        <w:t>r d</w:t>
      </w:r>
      <w:r w:rsidR="00521696" w:rsidRPr="006E55EC">
        <w:rPr>
          <w:smallCaps/>
          <w:lang w:val="fr-CA"/>
        </w:rPr>
        <w:t>’</w:t>
      </w:r>
      <w:r w:rsidR="000A242E" w:rsidRPr="006E55EC">
        <w:rPr>
          <w:smallCaps/>
          <w:lang w:val="fr-CA"/>
        </w:rPr>
        <w:t>appel de l</w:t>
      </w:r>
      <w:r w:rsidR="00521696" w:rsidRPr="006E55EC">
        <w:rPr>
          <w:smallCaps/>
          <w:lang w:val="fr-CA"/>
        </w:rPr>
        <w:t>’</w:t>
      </w:r>
      <w:r w:rsidR="000A242E" w:rsidRPr="006E55EC">
        <w:rPr>
          <w:smallCaps/>
          <w:lang w:val="fr-CA"/>
        </w:rPr>
        <w:t xml:space="preserve">alberta </w:t>
      </w:r>
    </w:p>
    <w:p w:rsidR="00D153E8" w:rsidRPr="006E55EC" w:rsidRDefault="004D7D95" w:rsidP="00D153E8">
      <w:pPr>
        <w:pStyle w:val="SCCNormalDoubleSpacing"/>
        <w:spacing w:after="480"/>
        <w:rPr>
          <w:lang w:val="fr-FR"/>
        </w:rPr>
      </w:pPr>
      <w:r w:rsidRPr="006E55EC">
        <w:rPr>
          <w:lang w:val="fr-CA"/>
        </w:rPr>
        <w:tab/>
      </w:r>
      <w:r w:rsidR="002662CB" w:rsidRPr="006E55EC">
        <w:rPr>
          <w:i/>
          <w:lang w:val="fr-CA"/>
        </w:rPr>
        <w:t>Droit</w:t>
      </w:r>
      <w:r w:rsidR="002662CB" w:rsidRPr="006E55EC">
        <w:rPr>
          <w:lang w:val="fr-CA"/>
        </w:rPr>
        <w:t xml:space="preserve"> </w:t>
      </w:r>
      <w:r w:rsidR="002662CB" w:rsidRPr="006E55EC">
        <w:rPr>
          <w:i/>
          <w:lang w:val="fr-CA"/>
        </w:rPr>
        <w:t>c</w:t>
      </w:r>
      <w:r w:rsidR="00D153E8" w:rsidRPr="006E55EC">
        <w:rPr>
          <w:i/>
          <w:lang w:val="fr-CA"/>
        </w:rPr>
        <w:t>rimin</w:t>
      </w:r>
      <w:r w:rsidR="002662CB" w:rsidRPr="006E55EC">
        <w:rPr>
          <w:i/>
          <w:lang w:val="fr-CA"/>
        </w:rPr>
        <w:t>e</w:t>
      </w:r>
      <w:r w:rsidR="00D153E8" w:rsidRPr="006E55EC">
        <w:rPr>
          <w:i/>
          <w:lang w:val="fr-CA"/>
        </w:rPr>
        <w:t xml:space="preserve">l — </w:t>
      </w:r>
      <w:r w:rsidR="002662CB" w:rsidRPr="006E55EC">
        <w:rPr>
          <w:i/>
          <w:lang w:val="fr-CA"/>
        </w:rPr>
        <w:t>Moyens de défense</w:t>
      </w:r>
      <w:r w:rsidR="00D153E8" w:rsidRPr="006E55EC">
        <w:rPr>
          <w:i/>
          <w:lang w:val="fr-CA"/>
        </w:rPr>
        <w:t xml:space="preserve"> — Provocation — </w:t>
      </w:r>
      <w:r w:rsidR="002662CB" w:rsidRPr="006E55EC">
        <w:rPr>
          <w:i/>
          <w:lang w:val="fr-CA"/>
        </w:rPr>
        <w:t xml:space="preserve">Les éléments objectif et subjectif de la </w:t>
      </w:r>
      <w:r w:rsidR="00D153E8" w:rsidRPr="006E55EC">
        <w:rPr>
          <w:i/>
          <w:lang w:val="fr-CA"/>
        </w:rPr>
        <w:t>provocation</w:t>
      </w:r>
      <w:r w:rsidR="002662CB" w:rsidRPr="006E55EC">
        <w:rPr>
          <w:i/>
          <w:lang w:val="fr-CA"/>
        </w:rPr>
        <w:t xml:space="preserve"> </w:t>
      </w:r>
      <w:r w:rsidR="00907E52">
        <w:rPr>
          <w:i/>
          <w:lang w:val="fr-CA"/>
        </w:rPr>
        <w:t>étaien</w:t>
      </w:r>
      <w:r w:rsidR="002662CB" w:rsidRPr="006E55EC">
        <w:rPr>
          <w:i/>
          <w:lang w:val="fr-CA"/>
        </w:rPr>
        <w:t>t</w:t>
      </w:r>
      <w:r w:rsidR="005606FC" w:rsidRPr="006E55EC">
        <w:rPr>
          <w:i/>
          <w:lang w:val="fr-CA"/>
        </w:rPr>
        <w:noBreakHyphen/>
      </w:r>
      <w:r w:rsidR="002662CB" w:rsidRPr="006E55EC">
        <w:rPr>
          <w:i/>
          <w:lang w:val="fr-CA"/>
        </w:rPr>
        <w:t xml:space="preserve">ils établis </w:t>
      </w:r>
      <w:r w:rsidR="00907E52">
        <w:rPr>
          <w:i/>
          <w:lang w:val="fr-CA"/>
        </w:rPr>
        <w:t>et</w:t>
      </w:r>
      <w:r w:rsidR="00E93308" w:rsidRPr="006E55EC">
        <w:rPr>
          <w:i/>
          <w:lang w:val="fr-CA"/>
        </w:rPr>
        <w:t xml:space="preserve"> rend</w:t>
      </w:r>
      <w:r w:rsidR="00907E52">
        <w:rPr>
          <w:i/>
          <w:lang w:val="fr-CA"/>
        </w:rPr>
        <w:t>aient-ils</w:t>
      </w:r>
      <w:r w:rsidR="00E93308" w:rsidRPr="006E55EC">
        <w:rPr>
          <w:i/>
          <w:lang w:val="fr-CA"/>
        </w:rPr>
        <w:t xml:space="preserve"> </w:t>
      </w:r>
      <w:r w:rsidR="006924AD" w:rsidRPr="006E55EC">
        <w:rPr>
          <w:i/>
          <w:lang w:val="fr-CA"/>
        </w:rPr>
        <w:t>l</w:t>
      </w:r>
      <w:r w:rsidR="00E93308" w:rsidRPr="006E55EC">
        <w:rPr>
          <w:i/>
          <w:lang w:val="fr-CA"/>
        </w:rPr>
        <w:t xml:space="preserve">e moyen de défense </w:t>
      </w:r>
      <w:r w:rsidR="002662CB" w:rsidRPr="006E55EC">
        <w:rPr>
          <w:i/>
          <w:lang w:val="fr-CA"/>
        </w:rPr>
        <w:t>vraisembla</w:t>
      </w:r>
      <w:r w:rsidR="00E93308" w:rsidRPr="006E55EC">
        <w:rPr>
          <w:i/>
          <w:lang w:val="fr-CA"/>
        </w:rPr>
        <w:t>ble</w:t>
      </w:r>
      <w:r w:rsidR="002662CB" w:rsidRPr="006E55EC">
        <w:rPr>
          <w:i/>
          <w:lang w:val="fr-CA"/>
        </w:rPr>
        <w:t>?</w:t>
      </w:r>
      <w:r w:rsidR="00D153E8" w:rsidRPr="006E55EC">
        <w:rPr>
          <w:i/>
          <w:lang w:val="fr-CA"/>
        </w:rPr>
        <w:t xml:space="preserve"> — </w:t>
      </w:r>
      <w:r w:rsidR="00D54FF1" w:rsidRPr="006E55EC">
        <w:rPr>
          <w:i/>
          <w:lang w:val="fr-CA"/>
        </w:rPr>
        <w:t xml:space="preserve">Les remarques provocatrices de la victime </w:t>
      </w:r>
      <w:r w:rsidR="00E93308" w:rsidRPr="006E55EC">
        <w:rPr>
          <w:i/>
          <w:lang w:val="fr-CA"/>
        </w:rPr>
        <w:t>ont</w:t>
      </w:r>
      <w:r w:rsidR="005606FC" w:rsidRPr="006E55EC">
        <w:rPr>
          <w:i/>
          <w:lang w:val="fr-CA"/>
        </w:rPr>
        <w:noBreakHyphen/>
      </w:r>
      <w:r w:rsidR="00D54FF1" w:rsidRPr="006E55EC">
        <w:rPr>
          <w:i/>
          <w:lang w:val="fr-CA"/>
        </w:rPr>
        <w:t xml:space="preserve">elles </w:t>
      </w:r>
      <w:r w:rsidR="00E93308" w:rsidRPr="006E55EC">
        <w:rPr>
          <w:i/>
          <w:lang w:val="fr-CA"/>
        </w:rPr>
        <w:t>été soudaines au</w:t>
      </w:r>
      <w:r w:rsidR="00D54FF1" w:rsidRPr="006E55EC">
        <w:rPr>
          <w:i/>
          <w:lang w:val="fr-CA"/>
        </w:rPr>
        <w:t xml:space="preserve"> sens </w:t>
      </w:r>
      <w:r w:rsidR="00E93308" w:rsidRPr="006E55EC">
        <w:rPr>
          <w:i/>
          <w:lang w:val="fr-CA"/>
        </w:rPr>
        <w:t xml:space="preserve">où </w:t>
      </w:r>
      <w:r w:rsidR="00D54FF1" w:rsidRPr="006E55EC">
        <w:rPr>
          <w:i/>
          <w:lang w:val="fr-CA"/>
        </w:rPr>
        <w:t xml:space="preserve">elles </w:t>
      </w:r>
      <w:r w:rsidR="00907E52">
        <w:rPr>
          <w:i/>
          <w:lang w:val="fr-CA"/>
        </w:rPr>
        <w:t>étaie</w:t>
      </w:r>
      <w:r w:rsidR="00E93308" w:rsidRPr="006E55EC">
        <w:rPr>
          <w:i/>
          <w:lang w:val="fr-CA"/>
        </w:rPr>
        <w:t xml:space="preserve">nt inattendues et </w:t>
      </w:r>
      <w:r w:rsidR="00D54FF1" w:rsidRPr="006E55EC">
        <w:rPr>
          <w:i/>
          <w:lang w:val="fr-CA"/>
        </w:rPr>
        <w:t>ont pris l</w:t>
      </w:r>
      <w:r w:rsidR="00521696" w:rsidRPr="006E55EC">
        <w:rPr>
          <w:i/>
          <w:lang w:val="fr-CA"/>
        </w:rPr>
        <w:t>’</w:t>
      </w:r>
      <w:r w:rsidR="00D54FF1" w:rsidRPr="006E55EC">
        <w:rPr>
          <w:i/>
          <w:lang w:val="fr-CA"/>
        </w:rPr>
        <w:t>accusé par surprise? —</w:t>
      </w:r>
      <w:r w:rsidR="0065756E">
        <w:rPr>
          <w:i/>
          <w:lang w:val="fr-CA"/>
        </w:rPr>
        <w:t xml:space="preserve"> </w:t>
      </w:r>
      <w:r w:rsidR="00D54FF1" w:rsidRPr="006E55EC">
        <w:rPr>
          <w:i/>
          <w:lang w:val="fr-CA"/>
        </w:rPr>
        <w:t xml:space="preserve">La défense de </w:t>
      </w:r>
      <w:r w:rsidR="00D153E8" w:rsidRPr="006E55EC">
        <w:rPr>
          <w:i/>
          <w:lang w:val="fr-CA"/>
        </w:rPr>
        <w:t>provocation</w:t>
      </w:r>
      <w:r w:rsidR="00D54FF1" w:rsidRPr="006E55EC">
        <w:rPr>
          <w:i/>
          <w:lang w:val="fr-CA"/>
        </w:rPr>
        <w:t xml:space="preserve"> aurait</w:t>
      </w:r>
      <w:r w:rsidR="005606FC" w:rsidRPr="006E55EC">
        <w:rPr>
          <w:i/>
          <w:lang w:val="fr-CA"/>
        </w:rPr>
        <w:noBreakHyphen/>
      </w:r>
      <w:r w:rsidR="00D54FF1" w:rsidRPr="006E55EC">
        <w:rPr>
          <w:i/>
          <w:lang w:val="fr-CA"/>
        </w:rPr>
        <w:t xml:space="preserve">elle dû être soumise au </w:t>
      </w:r>
      <w:r w:rsidR="00D153E8" w:rsidRPr="006E55EC">
        <w:rPr>
          <w:i/>
          <w:lang w:val="fr-CA"/>
        </w:rPr>
        <w:t>jury</w:t>
      </w:r>
      <w:r w:rsidR="00D54FF1" w:rsidRPr="006E55EC">
        <w:rPr>
          <w:i/>
          <w:lang w:val="fr-CA"/>
        </w:rPr>
        <w:t>?</w:t>
      </w:r>
      <w:r w:rsidR="00D153E8" w:rsidRPr="006E55EC">
        <w:rPr>
          <w:i/>
          <w:lang w:val="fr-CA"/>
        </w:rPr>
        <w:t xml:space="preserve"> — Code</w:t>
      </w:r>
      <w:r w:rsidR="0087231A" w:rsidRPr="006E55EC">
        <w:rPr>
          <w:i/>
          <w:lang w:val="fr-CA"/>
        </w:rPr>
        <w:t xml:space="preserve"> criminel</w:t>
      </w:r>
      <w:r w:rsidR="00D153E8" w:rsidRPr="006E55EC">
        <w:rPr>
          <w:i/>
          <w:lang w:val="fr-CA"/>
        </w:rPr>
        <w:t xml:space="preserve">, </w:t>
      </w:r>
      <w:r w:rsidR="0087231A" w:rsidRPr="006E55EC">
        <w:rPr>
          <w:i/>
          <w:lang w:val="fr-CA"/>
        </w:rPr>
        <w:t xml:space="preserve">L.R.C. </w:t>
      </w:r>
      <w:r w:rsidR="00D153E8" w:rsidRPr="006E55EC">
        <w:rPr>
          <w:i/>
          <w:lang w:val="fr-CA"/>
        </w:rPr>
        <w:t xml:space="preserve">1985, </w:t>
      </w:r>
      <w:r w:rsidR="005606FC" w:rsidRPr="006E55EC">
        <w:rPr>
          <w:i/>
          <w:lang w:val="fr-CA"/>
        </w:rPr>
        <w:t>ch. </w:t>
      </w:r>
      <w:r w:rsidR="0087231A" w:rsidRPr="006E55EC">
        <w:rPr>
          <w:i/>
          <w:lang w:val="fr-FR"/>
        </w:rPr>
        <w:t>C</w:t>
      </w:r>
      <w:r w:rsidR="005606FC" w:rsidRPr="006E55EC">
        <w:rPr>
          <w:i/>
          <w:lang w:val="fr-FR"/>
        </w:rPr>
        <w:noBreakHyphen/>
      </w:r>
      <w:r w:rsidR="00D153E8" w:rsidRPr="006E55EC">
        <w:rPr>
          <w:i/>
          <w:lang w:val="fr-FR"/>
        </w:rPr>
        <w:t xml:space="preserve">46, </w:t>
      </w:r>
      <w:r w:rsidR="005606FC" w:rsidRPr="006E55EC">
        <w:rPr>
          <w:i/>
          <w:lang w:val="fr-FR"/>
        </w:rPr>
        <w:t>art. </w:t>
      </w:r>
      <w:r w:rsidR="00D153E8" w:rsidRPr="006E55EC">
        <w:rPr>
          <w:i/>
          <w:lang w:val="fr-FR"/>
        </w:rPr>
        <w:t>232.</w:t>
      </w:r>
      <w:r w:rsidR="00D153E8" w:rsidRPr="006E55EC">
        <w:rPr>
          <w:lang w:val="fr-FR"/>
        </w:rPr>
        <w:t xml:space="preserve"> </w:t>
      </w:r>
    </w:p>
    <w:p w:rsidR="00D153E8" w:rsidRPr="006E55EC" w:rsidRDefault="00D153E8" w:rsidP="005606FC">
      <w:pPr>
        <w:pStyle w:val="SCCNormalDoubleSpacing"/>
        <w:spacing w:after="480"/>
        <w:rPr>
          <w:lang w:val="fr-CA"/>
        </w:rPr>
      </w:pPr>
      <w:r w:rsidRPr="006E55EC">
        <w:rPr>
          <w:lang w:val="fr-FR"/>
        </w:rPr>
        <w:lastRenderedPageBreak/>
        <w:tab/>
      </w:r>
      <w:r w:rsidR="00E93308" w:rsidRPr="006E55EC">
        <w:rPr>
          <w:lang w:val="fr-FR"/>
        </w:rPr>
        <w:t>E</w:t>
      </w:r>
      <w:r w:rsidR="00D54FF1" w:rsidRPr="006E55EC">
        <w:rPr>
          <w:lang w:val="fr-CA"/>
        </w:rPr>
        <w:t xml:space="preserve">n </w:t>
      </w:r>
      <w:r w:rsidRPr="006E55EC">
        <w:rPr>
          <w:lang w:val="fr-CA"/>
        </w:rPr>
        <w:t>2006</w:t>
      </w:r>
      <w:r w:rsidR="00E93308" w:rsidRPr="006E55EC">
        <w:rPr>
          <w:lang w:val="fr-CA"/>
        </w:rPr>
        <w:t>, le corps sans vie de K a été découvert</w:t>
      </w:r>
      <w:r w:rsidRPr="006E55EC">
        <w:rPr>
          <w:lang w:val="fr-CA"/>
        </w:rPr>
        <w:t xml:space="preserve">.  </w:t>
      </w:r>
      <w:r w:rsidR="00D54FF1" w:rsidRPr="006E55EC">
        <w:rPr>
          <w:lang w:val="fr-CA"/>
        </w:rPr>
        <w:t xml:space="preserve">Il avait été abattu de deux </w:t>
      </w:r>
      <w:r w:rsidR="00E93308" w:rsidRPr="006E55EC">
        <w:rPr>
          <w:lang w:val="fr-CA"/>
        </w:rPr>
        <w:t>coups de feu</w:t>
      </w:r>
      <w:r w:rsidR="00D54FF1" w:rsidRPr="006E55EC">
        <w:rPr>
          <w:lang w:val="fr-CA"/>
        </w:rPr>
        <w:t xml:space="preserve">.  </w:t>
      </w:r>
      <w:r w:rsidR="00BA1C40" w:rsidRPr="006E55EC">
        <w:rPr>
          <w:lang w:val="fr-CA"/>
        </w:rPr>
        <w:t xml:space="preserve">Quelques jours plus tard, </w:t>
      </w:r>
      <w:r w:rsidR="00D54FF1" w:rsidRPr="006E55EC">
        <w:rPr>
          <w:lang w:val="fr-CA"/>
        </w:rPr>
        <w:t xml:space="preserve">P </w:t>
      </w:r>
      <w:r w:rsidR="00907E52">
        <w:rPr>
          <w:lang w:val="fr-CA"/>
        </w:rPr>
        <w:t>a été</w:t>
      </w:r>
      <w:r w:rsidR="00D54FF1" w:rsidRPr="006E55EC">
        <w:rPr>
          <w:lang w:val="fr-CA"/>
        </w:rPr>
        <w:t xml:space="preserve"> arrêté</w:t>
      </w:r>
      <w:r w:rsidR="00907E52">
        <w:rPr>
          <w:lang w:val="fr-CA"/>
        </w:rPr>
        <w:t xml:space="preserve"> et</w:t>
      </w:r>
      <w:r w:rsidR="00281B87" w:rsidRPr="006E55EC">
        <w:rPr>
          <w:lang w:val="fr-CA"/>
        </w:rPr>
        <w:t xml:space="preserve"> a avoué avoir tué </w:t>
      </w:r>
      <w:r w:rsidRPr="006E55EC">
        <w:rPr>
          <w:lang w:val="fr-CA"/>
        </w:rPr>
        <w:t xml:space="preserve">K.  </w:t>
      </w:r>
      <w:r w:rsidR="00E93308" w:rsidRPr="006E55EC">
        <w:rPr>
          <w:lang w:val="fr-CA"/>
        </w:rPr>
        <w:t>Il a déclaré que</w:t>
      </w:r>
      <w:r w:rsidRPr="006E55EC">
        <w:rPr>
          <w:lang w:val="fr-CA"/>
        </w:rPr>
        <w:t xml:space="preserve"> K </w:t>
      </w:r>
      <w:r w:rsidR="00281B87" w:rsidRPr="006E55EC">
        <w:rPr>
          <w:lang w:val="fr-CA"/>
        </w:rPr>
        <w:t>lui avait extorqué de l</w:t>
      </w:r>
      <w:r w:rsidR="00521696" w:rsidRPr="006E55EC">
        <w:rPr>
          <w:lang w:val="fr-CA"/>
        </w:rPr>
        <w:t>’</w:t>
      </w:r>
      <w:r w:rsidR="00281B87" w:rsidRPr="006E55EC">
        <w:rPr>
          <w:lang w:val="fr-CA"/>
        </w:rPr>
        <w:t xml:space="preserve">argent pendant </w:t>
      </w:r>
      <w:r w:rsidR="00BA47F1">
        <w:rPr>
          <w:lang w:val="fr-CA"/>
        </w:rPr>
        <w:t>18</w:t>
      </w:r>
      <w:r w:rsidR="00281B87" w:rsidRPr="006E55EC">
        <w:rPr>
          <w:lang w:val="fr-CA"/>
        </w:rPr>
        <w:t xml:space="preserve"> mois sous la menace de révéler à l</w:t>
      </w:r>
      <w:r w:rsidR="00521696" w:rsidRPr="006E55EC">
        <w:rPr>
          <w:lang w:val="fr-CA"/>
        </w:rPr>
        <w:t>’</w:t>
      </w:r>
      <w:r w:rsidR="00281B87" w:rsidRPr="006E55EC">
        <w:rPr>
          <w:lang w:val="fr-CA"/>
        </w:rPr>
        <w:t>Agence du revenu du Canada ses placements à l</w:t>
      </w:r>
      <w:r w:rsidR="00521696" w:rsidRPr="006E55EC">
        <w:rPr>
          <w:lang w:val="fr-CA"/>
        </w:rPr>
        <w:t>’</w:t>
      </w:r>
      <w:r w:rsidR="00281B87" w:rsidRPr="006E55EC">
        <w:rPr>
          <w:lang w:val="fr-CA"/>
        </w:rPr>
        <w:t>étranger et de s</w:t>
      </w:r>
      <w:r w:rsidR="00521696" w:rsidRPr="006E55EC">
        <w:rPr>
          <w:lang w:val="fr-CA"/>
        </w:rPr>
        <w:t>’</w:t>
      </w:r>
      <w:r w:rsidR="00281B87" w:rsidRPr="006E55EC">
        <w:rPr>
          <w:lang w:val="fr-CA"/>
        </w:rPr>
        <w:t>en prendre à sa mère s</w:t>
      </w:r>
      <w:r w:rsidR="00521696" w:rsidRPr="006E55EC">
        <w:rPr>
          <w:lang w:val="fr-CA"/>
        </w:rPr>
        <w:t>’</w:t>
      </w:r>
      <w:r w:rsidR="00281B87" w:rsidRPr="006E55EC">
        <w:rPr>
          <w:lang w:val="fr-CA"/>
        </w:rPr>
        <w:t>il cessait de payer ou s</w:t>
      </w:r>
      <w:r w:rsidR="00521696" w:rsidRPr="006E55EC">
        <w:rPr>
          <w:lang w:val="fr-CA"/>
        </w:rPr>
        <w:t>’</w:t>
      </w:r>
      <w:r w:rsidR="00281B87" w:rsidRPr="006E55EC">
        <w:rPr>
          <w:lang w:val="fr-CA"/>
        </w:rPr>
        <w:t>il s</w:t>
      </w:r>
      <w:r w:rsidR="00521696" w:rsidRPr="006E55EC">
        <w:rPr>
          <w:lang w:val="fr-CA"/>
        </w:rPr>
        <w:t>’</w:t>
      </w:r>
      <w:r w:rsidR="00281B87" w:rsidRPr="006E55EC">
        <w:rPr>
          <w:lang w:val="fr-CA"/>
        </w:rPr>
        <w:t xml:space="preserve">adressait à la police.  </w:t>
      </w:r>
      <w:r w:rsidR="00E93308" w:rsidRPr="006E55EC">
        <w:rPr>
          <w:lang w:val="fr-CA"/>
        </w:rPr>
        <w:t>Il</w:t>
      </w:r>
      <w:r w:rsidRPr="006E55EC">
        <w:rPr>
          <w:lang w:val="fr-FR"/>
        </w:rPr>
        <w:t xml:space="preserve"> </w:t>
      </w:r>
      <w:r w:rsidR="00281B87" w:rsidRPr="006E55EC">
        <w:rPr>
          <w:lang w:val="fr-FR"/>
        </w:rPr>
        <w:t>en a</w:t>
      </w:r>
      <w:r w:rsidR="00E93308" w:rsidRPr="006E55EC">
        <w:rPr>
          <w:lang w:val="fr-FR"/>
        </w:rPr>
        <w:t>vait</w:t>
      </w:r>
      <w:r w:rsidR="00281B87" w:rsidRPr="006E55EC">
        <w:rPr>
          <w:lang w:val="fr-FR"/>
        </w:rPr>
        <w:t xml:space="preserve"> eu assez</w:t>
      </w:r>
      <w:r w:rsidR="00E93308" w:rsidRPr="006E55EC">
        <w:rPr>
          <w:lang w:val="fr-FR"/>
        </w:rPr>
        <w:t xml:space="preserve"> et </w:t>
      </w:r>
      <w:r w:rsidR="0038334B" w:rsidRPr="006E55EC">
        <w:rPr>
          <w:lang w:val="fr-FR"/>
        </w:rPr>
        <w:t>s</w:t>
      </w:r>
      <w:r w:rsidR="00521696" w:rsidRPr="006E55EC">
        <w:rPr>
          <w:lang w:val="fr-FR"/>
        </w:rPr>
        <w:t>’</w:t>
      </w:r>
      <w:r w:rsidR="00E93308" w:rsidRPr="006E55EC">
        <w:rPr>
          <w:lang w:val="fr-FR"/>
        </w:rPr>
        <w:t>était</w:t>
      </w:r>
      <w:r w:rsidR="00281B87" w:rsidRPr="006E55EC">
        <w:rPr>
          <w:lang w:val="fr-CA"/>
        </w:rPr>
        <w:t xml:space="preserve"> rendu chez K pour </w:t>
      </w:r>
      <w:r w:rsidR="0038334B" w:rsidRPr="006E55EC">
        <w:rPr>
          <w:lang w:val="fr-CA"/>
        </w:rPr>
        <w:t xml:space="preserve">faire cesser </w:t>
      </w:r>
      <w:r w:rsidR="00281B87" w:rsidRPr="006E55EC">
        <w:rPr>
          <w:lang w:val="fr-CA"/>
        </w:rPr>
        <w:t>l</w:t>
      </w:r>
      <w:r w:rsidR="00521696" w:rsidRPr="006E55EC">
        <w:rPr>
          <w:lang w:val="fr-CA"/>
        </w:rPr>
        <w:t>’</w:t>
      </w:r>
      <w:r w:rsidR="00281B87" w:rsidRPr="006E55EC">
        <w:rPr>
          <w:lang w:val="fr-CA"/>
        </w:rPr>
        <w:t xml:space="preserve">extorsion et </w:t>
      </w:r>
      <w:r w:rsidR="0038334B" w:rsidRPr="006E55EC">
        <w:rPr>
          <w:lang w:val="fr-CA"/>
        </w:rPr>
        <w:t>les</w:t>
      </w:r>
      <w:r w:rsidR="00281B87" w:rsidRPr="006E55EC">
        <w:rPr>
          <w:lang w:val="fr-CA"/>
        </w:rPr>
        <w:t xml:space="preserve"> menaces.  </w:t>
      </w:r>
      <w:r w:rsidR="00EB0493" w:rsidRPr="006E55EC">
        <w:rPr>
          <w:lang w:val="fr-CA"/>
        </w:rPr>
        <w:t>Il a</w:t>
      </w:r>
      <w:r w:rsidR="00E93308" w:rsidRPr="006E55EC">
        <w:rPr>
          <w:lang w:val="fr-CA"/>
        </w:rPr>
        <w:t>vait</w:t>
      </w:r>
      <w:r w:rsidR="00EB0493" w:rsidRPr="006E55EC">
        <w:rPr>
          <w:lang w:val="fr-CA"/>
        </w:rPr>
        <w:t xml:space="preserve"> emporté un pistolet chargé pour </w:t>
      </w:r>
      <w:r w:rsidRPr="006E55EC">
        <w:rPr>
          <w:lang w:val="fr-CA"/>
        </w:rPr>
        <w:t>intimid</w:t>
      </w:r>
      <w:r w:rsidR="00EB0493" w:rsidRPr="006E55EC">
        <w:rPr>
          <w:lang w:val="fr-CA"/>
        </w:rPr>
        <w:t xml:space="preserve">er </w:t>
      </w:r>
      <w:r w:rsidRPr="006E55EC">
        <w:rPr>
          <w:lang w:val="fr-CA"/>
        </w:rPr>
        <w:t>K</w:t>
      </w:r>
      <w:r w:rsidR="00EB0493" w:rsidRPr="006E55EC">
        <w:rPr>
          <w:lang w:val="fr-CA"/>
        </w:rPr>
        <w:t>, mais il ne l</w:t>
      </w:r>
      <w:r w:rsidR="00521696" w:rsidRPr="006E55EC">
        <w:rPr>
          <w:lang w:val="fr-CA"/>
        </w:rPr>
        <w:t>’</w:t>
      </w:r>
      <w:r w:rsidR="00EB0493" w:rsidRPr="006E55EC">
        <w:rPr>
          <w:lang w:val="fr-CA"/>
        </w:rPr>
        <w:t>a</w:t>
      </w:r>
      <w:r w:rsidR="00E93308" w:rsidRPr="006E55EC">
        <w:rPr>
          <w:lang w:val="fr-CA"/>
        </w:rPr>
        <w:t>vait</w:t>
      </w:r>
      <w:r w:rsidR="00EB0493" w:rsidRPr="006E55EC">
        <w:rPr>
          <w:lang w:val="fr-CA"/>
        </w:rPr>
        <w:t xml:space="preserve"> pas</w:t>
      </w:r>
      <w:r w:rsidRPr="006E55EC">
        <w:rPr>
          <w:lang w:val="fr-CA"/>
        </w:rPr>
        <w:t xml:space="preserve"> </w:t>
      </w:r>
      <w:r w:rsidR="00EB0493" w:rsidRPr="006E55EC">
        <w:rPr>
          <w:lang w:val="fr-CA"/>
        </w:rPr>
        <w:t>sorti immédiatement une fois chez ce dernier.  Il a</w:t>
      </w:r>
      <w:r w:rsidR="00E93308" w:rsidRPr="006E55EC">
        <w:rPr>
          <w:lang w:val="fr-CA"/>
        </w:rPr>
        <w:t>vait</w:t>
      </w:r>
      <w:r w:rsidR="00EB0493" w:rsidRPr="006E55EC">
        <w:rPr>
          <w:lang w:val="fr-CA"/>
        </w:rPr>
        <w:t xml:space="preserve"> plutôt tenté de </w:t>
      </w:r>
      <w:r w:rsidR="00907E52">
        <w:rPr>
          <w:lang w:val="fr-CA"/>
        </w:rPr>
        <w:t xml:space="preserve">le </w:t>
      </w:r>
      <w:r w:rsidR="00EB0493" w:rsidRPr="006E55EC">
        <w:rPr>
          <w:lang w:val="fr-CA"/>
        </w:rPr>
        <w:t>convaincre de mettre un terme à l</w:t>
      </w:r>
      <w:r w:rsidR="00521696" w:rsidRPr="006E55EC">
        <w:rPr>
          <w:lang w:val="fr-CA"/>
        </w:rPr>
        <w:t>’</w:t>
      </w:r>
      <w:r w:rsidR="001E0335" w:rsidRPr="006E55EC">
        <w:rPr>
          <w:lang w:val="fr-CA"/>
        </w:rPr>
        <w:t>extorsion</w:t>
      </w:r>
      <w:r w:rsidRPr="006E55EC">
        <w:rPr>
          <w:lang w:val="fr-CA"/>
        </w:rPr>
        <w:t xml:space="preserve">.  K </w:t>
      </w:r>
      <w:r w:rsidR="00EB0493" w:rsidRPr="006E55EC">
        <w:rPr>
          <w:lang w:val="fr-CA"/>
        </w:rPr>
        <w:t>a</w:t>
      </w:r>
      <w:r w:rsidR="00E93308" w:rsidRPr="006E55EC">
        <w:rPr>
          <w:lang w:val="fr-CA"/>
        </w:rPr>
        <w:t>vait</w:t>
      </w:r>
      <w:r w:rsidR="00EB0493" w:rsidRPr="006E55EC">
        <w:rPr>
          <w:lang w:val="fr-CA"/>
        </w:rPr>
        <w:t xml:space="preserve"> répondu qu</w:t>
      </w:r>
      <w:r w:rsidR="00521696" w:rsidRPr="006E55EC">
        <w:rPr>
          <w:lang w:val="fr-CA"/>
        </w:rPr>
        <w:t>’</w:t>
      </w:r>
      <w:r w:rsidR="00EB0493" w:rsidRPr="006E55EC">
        <w:rPr>
          <w:lang w:val="fr-CA"/>
        </w:rPr>
        <w:t>il continuerait de l</w:t>
      </w:r>
      <w:r w:rsidR="00907E52">
        <w:rPr>
          <w:lang w:val="fr-CA"/>
        </w:rPr>
        <w:t xml:space="preserve">ui </w:t>
      </w:r>
      <w:r w:rsidR="00EB0493" w:rsidRPr="006E55EC">
        <w:rPr>
          <w:lang w:val="fr-CA"/>
        </w:rPr>
        <w:t>e</w:t>
      </w:r>
      <w:r w:rsidR="005606FC" w:rsidRPr="006E55EC">
        <w:rPr>
          <w:lang w:val="fr-CA"/>
        </w:rPr>
        <w:t xml:space="preserve">xtorquer </w:t>
      </w:r>
      <w:r w:rsidR="00907E52">
        <w:rPr>
          <w:lang w:val="fr-CA"/>
        </w:rPr>
        <w:t xml:space="preserve">de l’argent </w:t>
      </w:r>
      <w:r w:rsidR="005606FC" w:rsidRPr="006E55EC">
        <w:rPr>
          <w:lang w:val="fr-CA"/>
        </w:rPr>
        <w:t>et qu</w:t>
      </w:r>
      <w:r w:rsidR="00521696" w:rsidRPr="006E55EC">
        <w:rPr>
          <w:lang w:val="fr-CA"/>
        </w:rPr>
        <w:t>’</w:t>
      </w:r>
      <w:r w:rsidR="005606FC" w:rsidRPr="006E55EC">
        <w:rPr>
          <w:lang w:val="fr-CA"/>
        </w:rPr>
        <w:t>il disposait d</w:t>
      </w:r>
      <w:r w:rsidR="00521696" w:rsidRPr="006E55EC">
        <w:rPr>
          <w:lang w:val="fr-CA"/>
        </w:rPr>
        <w:t>’</w:t>
      </w:r>
      <w:r w:rsidR="005606FC" w:rsidRPr="006E55EC">
        <w:rPr>
          <w:lang w:val="fr-CA"/>
        </w:rPr>
        <w:t>« une super garantie </w:t>
      </w:r>
      <w:r w:rsidR="00EB0493" w:rsidRPr="006E55EC">
        <w:rPr>
          <w:lang w:val="fr-CA"/>
        </w:rPr>
        <w:t>», un</w:t>
      </w:r>
      <w:r w:rsidR="00E93308" w:rsidRPr="006E55EC">
        <w:rPr>
          <w:lang w:val="fr-CA"/>
        </w:rPr>
        <w:t>e mention dans la</w:t>
      </w:r>
      <w:r w:rsidR="00EB0493" w:rsidRPr="006E55EC">
        <w:rPr>
          <w:lang w:val="fr-CA"/>
        </w:rPr>
        <w:t>quel</w:t>
      </w:r>
      <w:r w:rsidR="00E93308" w:rsidRPr="006E55EC">
        <w:rPr>
          <w:lang w:val="fr-CA"/>
        </w:rPr>
        <w:t>le</w:t>
      </w:r>
      <w:r w:rsidR="00EB0493" w:rsidRPr="006E55EC">
        <w:rPr>
          <w:lang w:val="fr-CA"/>
        </w:rPr>
        <w:t xml:space="preserve"> P a</w:t>
      </w:r>
      <w:r w:rsidR="00E93308" w:rsidRPr="006E55EC">
        <w:rPr>
          <w:lang w:val="fr-CA"/>
        </w:rPr>
        <w:t>vait</w:t>
      </w:r>
      <w:r w:rsidR="00EB0493" w:rsidRPr="006E55EC">
        <w:rPr>
          <w:lang w:val="fr-CA"/>
        </w:rPr>
        <w:t xml:space="preserve"> vu une menace </w:t>
      </w:r>
      <w:r w:rsidR="009B5DB1" w:rsidRPr="006E55EC">
        <w:rPr>
          <w:lang w:val="fr-CA"/>
        </w:rPr>
        <w:t xml:space="preserve">proférée </w:t>
      </w:r>
      <w:r w:rsidR="00EB0493" w:rsidRPr="006E55EC">
        <w:rPr>
          <w:lang w:val="fr-CA"/>
        </w:rPr>
        <w:t>implicite</w:t>
      </w:r>
      <w:r w:rsidR="009B5DB1" w:rsidRPr="006E55EC">
        <w:rPr>
          <w:lang w:val="fr-CA"/>
        </w:rPr>
        <w:t>ment</w:t>
      </w:r>
      <w:r w:rsidR="00EB0493" w:rsidRPr="006E55EC">
        <w:rPr>
          <w:lang w:val="fr-CA"/>
        </w:rPr>
        <w:t xml:space="preserve"> contre sa mère.  </w:t>
      </w:r>
      <w:r w:rsidR="005606FC" w:rsidRPr="006E55EC">
        <w:rPr>
          <w:lang w:val="fr-FR"/>
        </w:rPr>
        <w:t xml:space="preserve">P </w:t>
      </w:r>
      <w:r w:rsidR="00907E52">
        <w:rPr>
          <w:lang w:val="fr-FR"/>
        </w:rPr>
        <w:t>aurait</w:t>
      </w:r>
      <w:r w:rsidR="005606FC" w:rsidRPr="006E55EC">
        <w:rPr>
          <w:lang w:val="fr-FR"/>
        </w:rPr>
        <w:t xml:space="preserve"> alors « </w:t>
      </w:r>
      <w:r w:rsidR="00EB0493" w:rsidRPr="006E55EC">
        <w:rPr>
          <w:lang w:val="fr-FR"/>
        </w:rPr>
        <w:t>disjoncté</w:t>
      </w:r>
      <w:r w:rsidR="005606FC" w:rsidRPr="006E55EC">
        <w:rPr>
          <w:lang w:val="fr-FR"/>
        </w:rPr>
        <w:t> </w:t>
      </w:r>
      <w:r w:rsidR="00EB0493" w:rsidRPr="006E55EC">
        <w:rPr>
          <w:lang w:val="fr-FR"/>
        </w:rPr>
        <w:t>»</w:t>
      </w:r>
      <w:r w:rsidRPr="006E55EC">
        <w:rPr>
          <w:lang w:val="fr-FR"/>
        </w:rPr>
        <w:t xml:space="preserve">.  </w:t>
      </w:r>
      <w:r w:rsidR="0031162A" w:rsidRPr="006E55EC">
        <w:rPr>
          <w:lang w:val="fr-CA"/>
        </w:rPr>
        <w:t>Il a</w:t>
      </w:r>
      <w:r w:rsidR="00E93308" w:rsidRPr="006E55EC">
        <w:rPr>
          <w:lang w:val="fr-CA"/>
        </w:rPr>
        <w:t>vait</w:t>
      </w:r>
      <w:r w:rsidR="0031162A" w:rsidRPr="006E55EC">
        <w:rPr>
          <w:lang w:val="fr-CA"/>
        </w:rPr>
        <w:t xml:space="preserve"> sorti son pistolet et tiré sur K</w:t>
      </w:r>
      <w:r w:rsidR="00E93308" w:rsidRPr="006E55EC">
        <w:rPr>
          <w:lang w:val="fr-CA"/>
        </w:rPr>
        <w:t>, l</w:t>
      </w:r>
      <w:r w:rsidR="00521696" w:rsidRPr="006E55EC">
        <w:rPr>
          <w:lang w:val="fr-CA"/>
        </w:rPr>
        <w:t>’</w:t>
      </w:r>
      <w:r w:rsidR="00E93308" w:rsidRPr="006E55EC">
        <w:rPr>
          <w:lang w:val="fr-CA"/>
        </w:rPr>
        <w:t>atteignant au</w:t>
      </w:r>
      <w:r w:rsidR="0031162A" w:rsidRPr="006E55EC">
        <w:rPr>
          <w:lang w:val="fr-CA"/>
        </w:rPr>
        <w:t xml:space="preserve"> dos, puis à la tête</w:t>
      </w:r>
      <w:r w:rsidRPr="006E55EC">
        <w:rPr>
          <w:lang w:val="fr-CA"/>
        </w:rPr>
        <w:t>.</w:t>
      </w:r>
    </w:p>
    <w:p w:rsidR="00D153E8" w:rsidRPr="006E55EC" w:rsidRDefault="00395D1C" w:rsidP="00D153E8">
      <w:pPr>
        <w:pStyle w:val="SCCNormalDoubleSpacing"/>
        <w:spacing w:after="480"/>
        <w:rPr>
          <w:lang w:val="fr-CA"/>
        </w:rPr>
      </w:pPr>
      <w:r w:rsidRPr="006E55EC">
        <w:rPr>
          <w:lang w:val="fr-CA"/>
        </w:rPr>
        <w:tab/>
      </w:r>
      <w:r w:rsidR="00D153E8" w:rsidRPr="006E55EC">
        <w:rPr>
          <w:lang w:val="fr-CA"/>
        </w:rPr>
        <w:t xml:space="preserve">P </w:t>
      </w:r>
      <w:r w:rsidR="0031162A" w:rsidRPr="006E55EC">
        <w:rPr>
          <w:lang w:val="fr-CA"/>
        </w:rPr>
        <w:t>a été accusé de meurtre au deuxième degré</w:t>
      </w:r>
      <w:r w:rsidR="00D153E8" w:rsidRPr="006E55EC">
        <w:rPr>
          <w:lang w:val="fr-CA"/>
        </w:rPr>
        <w:t xml:space="preserve">.  </w:t>
      </w:r>
      <w:r w:rsidR="00907E52">
        <w:rPr>
          <w:lang w:val="fr-CA"/>
        </w:rPr>
        <w:t>Lors de son</w:t>
      </w:r>
      <w:r w:rsidR="0031162A" w:rsidRPr="006E55EC">
        <w:rPr>
          <w:lang w:val="fr-CA"/>
        </w:rPr>
        <w:t xml:space="preserve"> procès devant jury, </w:t>
      </w:r>
      <w:r w:rsidR="00E93308" w:rsidRPr="006E55EC">
        <w:rPr>
          <w:lang w:val="fr-CA"/>
        </w:rPr>
        <w:t>il</w:t>
      </w:r>
      <w:r w:rsidR="00D153E8" w:rsidRPr="006E55EC">
        <w:rPr>
          <w:lang w:val="fr-CA"/>
        </w:rPr>
        <w:t xml:space="preserve"> </w:t>
      </w:r>
      <w:r w:rsidR="0031162A" w:rsidRPr="006E55EC">
        <w:rPr>
          <w:lang w:val="fr-CA"/>
        </w:rPr>
        <w:t>a avoué avoir tué K, mais il a fait valoir que la défense de provocation s</w:t>
      </w:r>
      <w:r w:rsidR="00521696" w:rsidRPr="006E55EC">
        <w:rPr>
          <w:lang w:val="fr-CA"/>
        </w:rPr>
        <w:t>’</w:t>
      </w:r>
      <w:r w:rsidR="0031162A" w:rsidRPr="006E55EC">
        <w:rPr>
          <w:lang w:val="fr-CA"/>
        </w:rPr>
        <w:t>appliquait.  Concluant à l</w:t>
      </w:r>
      <w:r w:rsidR="00521696" w:rsidRPr="006E55EC">
        <w:rPr>
          <w:lang w:val="fr-CA"/>
        </w:rPr>
        <w:t>’</w:t>
      </w:r>
      <w:r w:rsidR="0031162A" w:rsidRPr="006E55EC">
        <w:rPr>
          <w:lang w:val="fr-CA"/>
        </w:rPr>
        <w:t>existence d</w:t>
      </w:r>
      <w:r w:rsidR="00521696" w:rsidRPr="006E55EC">
        <w:rPr>
          <w:lang w:val="fr-CA"/>
        </w:rPr>
        <w:t>’</w:t>
      </w:r>
      <w:r w:rsidR="0031162A" w:rsidRPr="006E55EC">
        <w:rPr>
          <w:lang w:val="fr-CA"/>
        </w:rPr>
        <w:t xml:space="preserve">une </w:t>
      </w:r>
      <w:r w:rsidR="001E0335" w:rsidRPr="006E55EC">
        <w:rPr>
          <w:lang w:val="fr-CA"/>
        </w:rPr>
        <w:t>certaine</w:t>
      </w:r>
      <w:r w:rsidR="0031162A" w:rsidRPr="006E55EC">
        <w:rPr>
          <w:lang w:val="fr-CA"/>
        </w:rPr>
        <w:t xml:space="preserve"> preuve des éléments objectif et subjectif de la</w:t>
      </w:r>
      <w:r w:rsidR="00E93308" w:rsidRPr="006E55EC">
        <w:rPr>
          <w:lang w:val="fr-CA"/>
        </w:rPr>
        <w:t xml:space="preserve"> défense</w:t>
      </w:r>
      <w:r w:rsidR="0031162A" w:rsidRPr="006E55EC">
        <w:rPr>
          <w:lang w:val="fr-CA"/>
        </w:rPr>
        <w:t xml:space="preserve">, la juge du procès </w:t>
      </w:r>
      <w:r w:rsidR="00E93308" w:rsidRPr="006E55EC">
        <w:rPr>
          <w:lang w:val="fr-CA"/>
        </w:rPr>
        <w:t>l</w:t>
      </w:r>
      <w:r w:rsidR="00521696" w:rsidRPr="006E55EC">
        <w:rPr>
          <w:lang w:val="fr-CA"/>
        </w:rPr>
        <w:t>’</w:t>
      </w:r>
      <w:r w:rsidR="0031162A" w:rsidRPr="006E55EC">
        <w:rPr>
          <w:lang w:val="fr-CA"/>
        </w:rPr>
        <w:t xml:space="preserve">a </w:t>
      </w:r>
      <w:r w:rsidR="00E93308" w:rsidRPr="006E55EC">
        <w:rPr>
          <w:lang w:val="fr-CA"/>
        </w:rPr>
        <w:t>soumise au</w:t>
      </w:r>
      <w:r w:rsidR="0031162A" w:rsidRPr="006E55EC">
        <w:rPr>
          <w:lang w:val="fr-CA"/>
        </w:rPr>
        <w:t xml:space="preserve"> jury</w:t>
      </w:r>
      <w:r w:rsidR="00E93308" w:rsidRPr="006E55EC">
        <w:rPr>
          <w:lang w:val="fr-CA"/>
        </w:rPr>
        <w:t>, qui l</w:t>
      </w:r>
      <w:r w:rsidR="00521696" w:rsidRPr="006E55EC">
        <w:rPr>
          <w:lang w:val="fr-CA"/>
        </w:rPr>
        <w:t>’</w:t>
      </w:r>
      <w:r w:rsidR="0031162A" w:rsidRPr="006E55EC">
        <w:rPr>
          <w:lang w:val="fr-CA"/>
        </w:rPr>
        <w:t>a rejeté</w:t>
      </w:r>
      <w:r w:rsidR="00E93308" w:rsidRPr="006E55EC">
        <w:rPr>
          <w:lang w:val="fr-CA"/>
        </w:rPr>
        <w:t>e</w:t>
      </w:r>
      <w:r w:rsidR="0031162A" w:rsidRPr="006E55EC">
        <w:rPr>
          <w:lang w:val="fr-CA"/>
        </w:rPr>
        <w:t xml:space="preserve"> et </w:t>
      </w:r>
      <w:r w:rsidR="00E93308" w:rsidRPr="006E55EC">
        <w:rPr>
          <w:lang w:val="fr-CA"/>
        </w:rPr>
        <w:t xml:space="preserve">a </w:t>
      </w:r>
      <w:r w:rsidR="0031162A" w:rsidRPr="006E55EC">
        <w:rPr>
          <w:lang w:val="fr-CA"/>
        </w:rPr>
        <w:t xml:space="preserve">déclaré </w:t>
      </w:r>
      <w:r w:rsidR="00D153E8" w:rsidRPr="006E55EC">
        <w:rPr>
          <w:lang w:val="fr-CA"/>
        </w:rPr>
        <w:t xml:space="preserve">P </w:t>
      </w:r>
      <w:r w:rsidR="0031162A" w:rsidRPr="006E55EC">
        <w:rPr>
          <w:lang w:val="fr-CA"/>
        </w:rPr>
        <w:t>coupable de meurtre au deuxième degré.  P a interjeté appel d</w:t>
      </w:r>
      <w:r w:rsidR="00E93308" w:rsidRPr="006E55EC">
        <w:rPr>
          <w:lang w:val="fr-CA"/>
        </w:rPr>
        <w:t>u verdict</w:t>
      </w:r>
      <w:r w:rsidR="0031162A" w:rsidRPr="006E55EC">
        <w:rPr>
          <w:lang w:val="fr-CA"/>
        </w:rPr>
        <w:t xml:space="preserve"> de culpabilité </w:t>
      </w:r>
      <w:r w:rsidR="00E93308" w:rsidRPr="006E55EC">
        <w:rPr>
          <w:lang w:val="fr-CA"/>
        </w:rPr>
        <w:t xml:space="preserve">au </w:t>
      </w:r>
      <w:r w:rsidR="0031162A" w:rsidRPr="006E55EC">
        <w:rPr>
          <w:lang w:val="fr-CA"/>
        </w:rPr>
        <w:t>motif</w:t>
      </w:r>
      <w:r w:rsidR="009B5DB1" w:rsidRPr="006E55EC">
        <w:rPr>
          <w:lang w:val="fr-CA"/>
        </w:rPr>
        <w:t>,</w:t>
      </w:r>
      <w:r w:rsidR="00E93308" w:rsidRPr="006E55EC">
        <w:rPr>
          <w:lang w:val="fr-CA"/>
        </w:rPr>
        <w:t xml:space="preserve"> entre autres</w:t>
      </w:r>
      <w:r w:rsidR="009B5DB1" w:rsidRPr="006E55EC">
        <w:rPr>
          <w:lang w:val="fr-CA"/>
        </w:rPr>
        <w:t>,</w:t>
      </w:r>
      <w:r w:rsidR="0031162A" w:rsidRPr="006E55EC">
        <w:rPr>
          <w:lang w:val="fr-CA"/>
        </w:rPr>
        <w:t xml:space="preserve"> que </w:t>
      </w:r>
      <w:r w:rsidR="00E93308" w:rsidRPr="006E55EC">
        <w:rPr>
          <w:lang w:val="fr-CA"/>
        </w:rPr>
        <w:t xml:space="preserve">les directives </w:t>
      </w:r>
      <w:r w:rsidR="0038334B" w:rsidRPr="006E55EC">
        <w:rPr>
          <w:lang w:val="fr-CA"/>
        </w:rPr>
        <w:t xml:space="preserve">données </w:t>
      </w:r>
      <w:r w:rsidR="009B5DB1" w:rsidRPr="006E55EC">
        <w:rPr>
          <w:lang w:val="fr-CA"/>
        </w:rPr>
        <w:t>au jury</w:t>
      </w:r>
      <w:r w:rsidR="00E051A7" w:rsidRPr="006E55EC">
        <w:rPr>
          <w:lang w:val="fr-CA"/>
        </w:rPr>
        <w:t xml:space="preserve"> </w:t>
      </w:r>
      <w:r w:rsidR="006573A1" w:rsidRPr="006E55EC">
        <w:rPr>
          <w:lang w:val="fr-CA"/>
        </w:rPr>
        <w:t xml:space="preserve">sur </w:t>
      </w:r>
      <w:r w:rsidR="0038334B" w:rsidRPr="006E55EC">
        <w:rPr>
          <w:lang w:val="fr-CA"/>
        </w:rPr>
        <w:t xml:space="preserve">la </w:t>
      </w:r>
      <w:r w:rsidR="009B5DB1" w:rsidRPr="006E55EC">
        <w:rPr>
          <w:lang w:val="fr-CA"/>
        </w:rPr>
        <w:t xml:space="preserve">défense de </w:t>
      </w:r>
      <w:r w:rsidR="006573A1" w:rsidRPr="006E55EC">
        <w:rPr>
          <w:lang w:val="fr-CA"/>
        </w:rPr>
        <w:t>provocation</w:t>
      </w:r>
      <w:r w:rsidR="00E93308" w:rsidRPr="006E55EC">
        <w:rPr>
          <w:lang w:val="fr-CA"/>
        </w:rPr>
        <w:t xml:space="preserve"> étaient erronées</w:t>
      </w:r>
      <w:r w:rsidR="00D153E8" w:rsidRPr="006E55EC">
        <w:rPr>
          <w:lang w:val="fr-CA"/>
        </w:rPr>
        <w:t xml:space="preserve">.  </w:t>
      </w:r>
      <w:r w:rsidR="00E051A7" w:rsidRPr="006E55EC">
        <w:rPr>
          <w:lang w:val="fr-CA"/>
        </w:rPr>
        <w:t>Les juges majoritaires de la Cour d</w:t>
      </w:r>
      <w:r w:rsidR="00521696" w:rsidRPr="006E55EC">
        <w:rPr>
          <w:lang w:val="fr-CA"/>
        </w:rPr>
        <w:t>’</w:t>
      </w:r>
      <w:r w:rsidR="00E051A7" w:rsidRPr="006E55EC">
        <w:rPr>
          <w:lang w:val="fr-CA"/>
        </w:rPr>
        <w:t xml:space="preserve">appel </w:t>
      </w:r>
      <w:r w:rsidR="00E93308" w:rsidRPr="006E55EC">
        <w:rPr>
          <w:lang w:val="fr-CA"/>
        </w:rPr>
        <w:t>ont rejeté</w:t>
      </w:r>
      <w:r w:rsidR="00E051A7" w:rsidRPr="006E55EC">
        <w:rPr>
          <w:lang w:val="fr-CA"/>
        </w:rPr>
        <w:t xml:space="preserve"> l</w:t>
      </w:r>
      <w:r w:rsidR="00521696" w:rsidRPr="006E55EC">
        <w:rPr>
          <w:lang w:val="fr-CA"/>
        </w:rPr>
        <w:t>’</w:t>
      </w:r>
      <w:r w:rsidR="00E051A7" w:rsidRPr="006E55EC">
        <w:rPr>
          <w:lang w:val="fr-CA"/>
        </w:rPr>
        <w:t>appel</w:t>
      </w:r>
      <w:r w:rsidR="00E93308" w:rsidRPr="006E55EC">
        <w:rPr>
          <w:lang w:val="fr-CA"/>
        </w:rPr>
        <w:t xml:space="preserve"> et</w:t>
      </w:r>
      <w:r w:rsidR="00E051A7" w:rsidRPr="006E55EC">
        <w:rPr>
          <w:lang w:val="fr-CA"/>
        </w:rPr>
        <w:t xml:space="preserve"> conclu que la défense de provocation a</w:t>
      </w:r>
      <w:r w:rsidR="00E93308" w:rsidRPr="006E55EC">
        <w:rPr>
          <w:lang w:val="fr-CA"/>
        </w:rPr>
        <w:t>vait</w:t>
      </w:r>
      <w:r w:rsidR="00E051A7" w:rsidRPr="006E55EC">
        <w:rPr>
          <w:lang w:val="fr-CA"/>
        </w:rPr>
        <w:t xml:space="preserve"> été soumise à juste titre </w:t>
      </w:r>
      <w:r w:rsidR="00E93308" w:rsidRPr="006E55EC">
        <w:rPr>
          <w:lang w:val="fr-CA"/>
        </w:rPr>
        <w:t xml:space="preserve">au </w:t>
      </w:r>
      <w:r w:rsidR="00E051A7" w:rsidRPr="006E55EC">
        <w:rPr>
          <w:lang w:val="fr-CA"/>
        </w:rPr>
        <w:t xml:space="preserve">jury et que les directives </w:t>
      </w:r>
      <w:r w:rsidR="00E93308" w:rsidRPr="006E55EC">
        <w:rPr>
          <w:lang w:val="fr-CA"/>
        </w:rPr>
        <w:t xml:space="preserve">de la juge du procès </w:t>
      </w:r>
      <w:r w:rsidR="00E051A7" w:rsidRPr="006E55EC">
        <w:rPr>
          <w:lang w:val="fr-CA"/>
        </w:rPr>
        <w:t>n</w:t>
      </w:r>
      <w:r w:rsidR="00521696" w:rsidRPr="006E55EC">
        <w:rPr>
          <w:lang w:val="fr-CA"/>
        </w:rPr>
        <w:t>’</w:t>
      </w:r>
      <w:r w:rsidR="00E051A7" w:rsidRPr="006E55EC">
        <w:rPr>
          <w:lang w:val="fr-CA"/>
        </w:rPr>
        <w:t>étaient entachées d</w:t>
      </w:r>
      <w:r w:rsidR="00521696" w:rsidRPr="006E55EC">
        <w:rPr>
          <w:lang w:val="fr-CA"/>
        </w:rPr>
        <w:t>’</w:t>
      </w:r>
      <w:r w:rsidR="00E051A7" w:rsidRPr="006E55EC">
        <w:rPr>
          <w:lang w:val="fr-CA"/>
        </w:rPr>
        <w:t>aucune erreur</w:t>
      </w:r>
      <w:r w:rsidR="00D153E8" w:rsidRPr="006E55EC">
        <w:rPr>
          <w:lang w:val="fr-CA"/>
        </w:rPr>
        <w:t xml:space="preserve">. </w:t>
      </w:r>
    </w:p>
    <w:p w:rsidR="004D7D95" w:rsidRPr="006E55EC" w:rsidRDefault="00D153E8" w:rsidP="007A3E23">
      <w:pPr>
        <w:pStyle w:val="SCCNormalDoubleSpacing"/>
        <w:spacing w:after="480"/>
        <w:rPr>
          <w:lang w:val="fr-CA"/>
        </w:rPr>
      </w:pPr>
      <w:r w:rsidRPr="006E55EC">
        <w:rPr>
          <w:lang w:val="fr-CA"/>
        </w:rPr>
        <w:tab/>
      </w:r>
      <w:r w:rsidR="004D7D95" w:rsidRPr="006E55EC">
        <w:rPr>
          <w:i/>
          <w:lang w:val="fr-CA"/>
        </w:rPr>
        <w:t>Arrêt</w:t>
      </w:r>
      <w:r w:rsidR="005606FC" w:rsidRPr="006E55EC">
        <w:rPr>
          <w:lang w:val="fr-CA"/>
        </w:rPr>
        <w:t> :</w:t>
      </w:r>
      <w:r w:rsidR="004D7D95" w:rsidRPr="006E55EC">
        <w:rPr>
          <w:lang w:val="fr-CA"/>
        </w:rPr>
        <w:t xml:space="preserve"> Le pourvoi est</w:t>
      </w:r>
      <w:r w:rsidR="00D12DEB" w:rsidRPr="006E55EC">
        <w:rPr>
          <w:lang w:val="fr-CA"/>
        </w:rPr>
        <w:t xml:space="preserve"> rejeté</w:t>
      </w:r>
      <w:r w:rsidRPr="006E55EC">
        <w:rPr>
          <w:lang w:val="fr-CA"/>
        </w:rPr>
        <w:t>.</w:t>
      </w:r>
    </w:p>
    <w:p w:rsidR="00E93308" w:rsidRPr="006E55EC" w:rsidRDefault="004D7D95" w:rsidP="005606FC">
      <w:pPr>
        <w:pStyle w:val="SCCNormalDoubleSpacing"/>
        <w:spacing w:after="480"/>
        <w:rPr>
          <w:lang w:val="fr-FR"/>
        </w:rPr>
      </w:pPr>
      <w:r w:rsidRPr="006E55EC">
        <w:rPr>
          <w:lang w:val="fr-CA"/>
        </w:rPr>
        <w:lastRenderedPageBreak/>
        <w:tab/>
      </w:r>
      <w:r w:rsidR="00655650" w:rsidRPr="006E55EC">
        <w:rPr>
          <w:i/>
          <w:lang w:val="fr-CA"/>
        </w:rPr>
        <w:t>La</w:t>
      </w:r>
      <w:r w:rsidR="00655650" w:rsidRPr="006E55EC">
        <w:rPr>
          <w:lang w:val="fr-CA"/>
        </w:rPr>
        <w:t xml:space="preserve"> juge en chef</w:t>
      </w:r>
      <w:r w:rsidR="00655650" w:rsidRPr="00BA47F1">
        <w:rPr>
          <w:lang w:val="fr-CA"/>
        </w:rPr>
        <w:t xml:space="preserve"> McLachlin</w:t>
      </w:r>
      <w:r w:rsidR="00655650" w:rsidRPr="006E55EC">
        <w:rPr>
          <w:lang w:val="fr-CA"/>
        </w:rPr>
        <w:t xml:space="preserve"> et les juges Abella, Rothstein, Cromwell, Moldaver et Wagner</w:t>
      </w:r>
      <w:r w:rsidR="005606FC" w:rsidRPr="006E55EC">
        <w:rPr>
          <w:lang w:val="fr-CA"/>
        </w:rPr>
        <w:t> :</w:t>
      </w:r>
      <w:r w:rsidR="00655650" w:rsidRPr="006E55EC">
        <w:rPr>
          <w:lang w:val="fr-CA"/>
        </w:rPr>
        <w:t xml:space="preserve"> </w:t>
      </w:r>
      <w:r w:rsidR="001753A0" w:rsidRPr="006E55EC">
        <w:rPr>
          <w:lang w:val="fr-CA"/>
        </w:rPr>
        <w:t>Au vu des éléments de preuve au dossier, la défense de provocation était dépourvue de vraisemblance et n</w:t>
      </w:r>
      <w:r w:rsidR="00521696" w:rsidRPr="006E55EC">
        <w:rPr>
          <w:lang w:val="fr-CA"/>
        </w:rPr>
        <w:t>’</w:t>
      </w:r>
      <w:r w:rsidR="001753A0" w:rsidRPr="006E55EC">
        <w:rPr>
          <w:lang w:val="fr-CA"/>
        </w:rPr>
        <w:t>aurait pas dû être soumise à l</w:t>
      </w:r>
      <w:r w:rsidR="00521696" w:rsidRPr="006E55EC">
        <w:rPr>
          <w:lang w:val="fr-CA"/>
        </w:rPr>
        <w:t>’</w:t>
      </w:r>
      <w:r w:rsidR="001753A0" w:rsidRPr="006E55EC">
        <w:rPr>
          <w:lang w:val="fr-CA"/>
        </w:rPr>
        <w:t>appréciation du jury.</w:t>
      </w:r>
      <w:r w:rsidR="005606FC" w:rsidRPr="006E55EC">
        <w:rPr>
          <w:lang w:val="fr-CA"/>
        </w:rPr>
        <w:t xml:space="preserve"> </w:t>
      </w:r>
      <w:r w:rsidR="001753A0" w:rsidRPr="006E55EC">
        <w:rPr>
          <w:lang w:val="fr-CA"/>
        </w:rPr>
        <w:t xml:space="preserve"> </w:t>
      </w:r>
      <w:r w:rsidR="001753A0" w:rsidRPr="006E55EC">
        <w:rPr>
          <w:lang w:val="fr-FR"/>
        </w:rPr>
        <w:t>L</w:t>
      </w:r>
      <w:r w:rsidR="00E93308" w:rsidRPr="006E55EC">
        <w:rPr>
          <w:lang w:val="fr-FR"/>
        </w:rPr>
        <w:t>e verdict</w:t>
      </w:r>
      <w:r w:rsidR="001753A0" w:rsidRPr="006E55EC">
        <w:rPr>
          <w:lang w:val="fr-FR"/>
        </w:rPr>
        <w:t xml:space="preserve"> de culpabilité </w:t>
      </w:r>
      <w:r w:rsidR="008E6715">
        <w:rPr>
          <w:lang w:val="fr-FR"/>
        </w:rPr>
        <w:t xml:space="preserve">pour </w:t>
      </w:r>
      <w:r w:rsidR="001753A0" w:rsidRPr="006E55EC">
        <w:rPr>
          <w:lang w:val="fr-FR"/>
        </w:rPr>
        <w:t xml:space="preserve">meurtre </w:t>
      </w:r>
      <w:r w:rsidR="008E6715">
        <w:rPr>
          <w:lang w:val="fr-FR"/>
        </w:rPr>
        <w:t xml:space="preserve">au deuxième degré </w:t>
      </w:r>
      <w:r w:rsidR="001753A0" w:rsidRPr="006E55EC">
        <w:rPr>
          <w:lang w:val="fr-FR"/>
        </w:rPr>
        <w:t xml:space="preserve">est </w:t>
      </w:r>
      <w:r w:rsidR="00E93308" w:rsidRPr="006E55EC">
        <w:rPr>
          <w:lang w:val="fr-FR"/>
        </w:rPr>
        <w:t>toutefois</w:t>
      </w:r>
      <w:r w:rsidR="001753A0" w:rsidRPr="006E55EC">
        <w:rPr>
          <w:lang w:val="fr-FR"/>
        </w:rPr>
        <w:t xml:space="preserve"> confirmé.</w:t>
      </w:r>
    </w:p>
    <w:p w:rsidR="001753A0" w:rsidRPr="006E55EC" w:rsidRDefault="00E93308" w:rsidP="005606FC">
      <w:pPr>
        <w:pStyle w:val="SCCNormalDoubleSpacing"/>
        <w:spacing w:after="480"/>
        <w:rPr>
          <w:lang w:val="fr-CA"/>
        </w:rPr>
      </w:pPr>
      <w:r w:rsidRPr="006E55EC">
        <w:rPr>
          <w:lang w:val="fr-FR"/>
        </w:rPr>
        <w:tab/>
      </w:r>
      <w:r w:rsidR="001753A0" w:rsidRPr="006E55EC">
        <w:rPr>
          <w:lang w:val="fr-CA"/>
        </w:rPr>
        <w:t xml:space="preserve">Lorsque la preuve exige </w:t>
      </w:r>
      <w:r w:rsidRPr="006E55EC">
        <w:rPr>
          <w:lang w:val="fr-CA"/>
        </w:rPr>
        <w:t xml:space="preserve">que </w:t>
      </w:r>
      <w:r w:rsidR="001753A0" w:rsidRPr="006E55EC">
        <w:rPr>
          <w:lang w:val="fr-CA"/>
        </w:rPr>
        <w:t xml:space="preserve">des inférences </w:t>
      </w:r>
      <w:r w:rsidRPr="006E55EC">
        <w:rPr>
          <w:lang w:val="fr-CA"/>
        </w:rPr>
        <w:t xml:space="preserve">soient tirées </w:t>
      </w:r>
      <w:r w:rsidR="001753A0" w:rsidRPr="006E55EC">
        <w:rPr>
          <w:lang w:val="fr-CA"/>
        </w:rPr>
        <w:t xml:space="preserve">pour établir les éléments objectif et subjectif de la </w:t>
      </w:r>
      <w:r w:rsidRPr="006E55EC">
        <w:rPr>
          <w:lang w:val="fr-CA"/>
        </w:rPr>
        <w:t xml:space="preserve">défense de </w:t>
      </w:r>
      <w:r w:rsidR="001753A0" w:rsidRPr="006E55EC">
        <w:rPr>
          <w:lang w:val="fr-CA"/>
        </w:rPr>
        <w:t xml:space="preserve">provocation, le juge du procès peut se livrer à une évaluation limitée </w:t>
      </w:r>
      <w:r w:rsidRPr="006E55EC">
        <w:rPr>
          <w:lang w:val="fr-CA"/>
        </w:rPr>
        <w:t xml:space="preserve">afin </w:t>
      </w:r>
      <w:r w:rsidR="001753A0" w:rsidRPr="006E55EC">
        <w:rPr>
          <w:lang w:val="fr-CA"/>
        </w:rPr>
        <w:t>de déterminer si ces éléments peuvent raisonnablement être inférés de la preuve.  Aux fins de l</w:t>
      </w:r>
      <w:r w:rsidR="00521696" w:rsidRPr="006E55EC">
        <w:rPr>
          <w:lang w:val="fr-CA"/>
        </w:rPr>
        <w:t>’</w:t>
      </w:r>
      <w:r w:rsidR="001753A0" w:rsidRPr="006E55EC">
        <w:rPr>
          <w:lang w:val="fr-CA"/>
        </w:rPr>
        <w:t>application du critère de</w:t>
      </w:r>
      <w:r w:rsidRPr="006E55EC">
        <w:rPr>
          <w:lang w:val="fr-CA"/>
        </w:rPr>
        <w:t xml:space="preserve"> la</w:t>
      </w:r>
      <w:r w:rsidR="001753A0" w:rsidRPr="006E55EC">
        <w:rPr>
          <w:lang w:val="fr-CA"/>
        </w:rPr>
        <w:t xml:space="preserve"> vraisemblance, nous devons tenir pour véridique la version des faits qui figure </w:t>
      </w:r>
      <w:r w:rsidR="00A50454" w:rsidRPr="006E55EC">
        <w:rPr>
          <w:lang w:val="fr-CA"/>
        </w:rPr>
        <w:t>dans les aveux de l</w:t>
      </w:r>
      <w:r w:rsidR="00521696" w:rsidRPr="006E55EC">
        <w:rPr>
          <w:lang w:val="fr-CA"/>
        </w:rPr>
        <w:t>’</w:t>
      </w:r>
      <w:r w:rsidR="00A50454" w:rsidRPr="006E55EC">
        <w:rPr>
          <w:lang w:val="fr-CA"/>
        </w:rPr>
        <w:t>accusé.  Cela dit, la vraisemblance ne peut découler de ce qui n</w:t>
      </w:r>
      <w:r w:rsidR="00521696" w:rsidRPr="006E55EC">
        <w:rPr>
          <w:lang w:val="fr-CA"/>
        </w:rPr>
        <w:t>’</w:t>
      </w:r>
      <w:r w:rsidR="00A50454" w:rsidRPr="006E55EC">
        <w:rPr>
          <w:lang w:val="fr-CA"/>
        </w:rPr>
        <w:t>est qu</w:t>
      </w:r>
      <w:r w:rsidR="00521696" w:rsidRPr="006E55EC">
        <w:rPr>
          <w:lang w:val="fr-CA"/>
        </w:rPr>
        <w:t>’</w:t>
      </w:r>
      <w:r w:rsidR="00A50454" w:rsidRPr="006E55EC">
        <w:rPr>
          <w:lang w:val="fr-CA"/>
        </w:rPr>
        <w:t xml:space="preserve">une assertion non étayée de </w:t>
      </w:r>
      <w:r w:rsidR="00907E52">
        <w:rPr>
          <w:lang w:val="fr-CA"/>
        </w:rPr>
        <w:t xml:space="preserve">la part de </w:t>
      </w:r>
      <w:r w:rsidR="00A50454" w:rsidRPr="006E55EC">
        <w:rPr>
          <w:lang w:val="fr-CA"/>
        </w:rPr>
        <w:t>l</w:t>
      </w:r>
      <w:r w:rsidR="00521696" w:rsidRPr="006E55EC">
        <w:rPr>
          <w:lang w:val="fr-CA"/>
        </w:rPr>
        <w:t>’</w:t>
      </w:r>
      <w:r w:rsidR="00A50454" w:rsidRPr="006E55EC">
        <w:rPr>
          <w:lang w:val="fr-CA"/>
        </w:rPr>
        <w:t xml:space="preserve">accusé.  Le moyen de défense fondé sur de simples affirmations qui ne peuvent </w:t>
      </w:r>
      <w:r w:rsidRPr="006E55EC">
        <w:rPr>
          <w:lang w:val="fr-CA"/>
        </w:rPr>
        <w:t xml:space="preserve">pas </w:t>
      </w:r>
      <w:r w:rsidR="00A50454" w:rsidRPr="006E55EC">
        <w:rPr>
          <w:lang w:val="fr-CA"/>
        </w:rPr>
        <w:t xml:space="preserve">raisonnablement </w:t>
      </w:r>
      <w:r w:rsidRPr="006E55EC">
        <w:rPr>
          <w:lang w:val="fr-CA"/>
        </w:rPr>
        <w:t xml:space="preserve">être </w:t>
      </w:r>
      <w:r w:rsidR="00A50454" w:rsidRPr="006E55EC">
        <w:rPr>
          <w:lang w:val="fr-CA"/>
        </w:rPr>
        <w:t>étayées par la preuve</w:t>
      </w:r>
      <w:r w:rsidRPr="006E55EC">
        <w:rPr>
          <w:lang w:val="fr-CA"/>
        </w:rPr>
        <w:t xml:space="preserve"> considérée</w:t>
      </w:r>
      <w:r w:rsidR="00A50454" w:rsidRPr="006E55EC">
        <w:rPr>
          <w:lang w:val="fr-CA"/>
        </w:rPr>
        <w:t xml:space="preserve"> dans son ensemble ne doit pas être soumis à l</w:t>
      </w:r>
      <w:r w:rsidR="00521696" w:rsidRPr="006E55EC">
        <w:rPr>
          <w:lang w:val="fr-CA"/>
        </w:rPr>
        <w:t>’</w:t>
      </w:r>
      <w:r w:rsidR="00A50454" w:rsidRPr="006E55EC">
        <w:rPr>
          <w:lang w:val="fr-CA"/>
        </w:rPr>
        <w:t>appréciation du jury</w:t>
      </w:r>
      <w:r w:rsidR="001753A0" w:rsidRPr="006E55EC">
        <w:rPr>
          <w:lang w:val="fr-CA"/>
        </w:rPr>
        <w:t xml:space="preserve">.  </w:t>
      </w:r>
    </w:p>
    <w:p w:rsidR="001753A0" w:rsidRPr="006E55EC" w:rsidRDefault="00395D1C" w:rsidP="005606FC">
      <w:pPr>
        <w:pStyle w:val="SCCNormalDoubleSpacing"/>
        <w:spacing w:after="480"/>
        <w:rPr>
          <w:lang w:val="fr-CA"/>
        </w:rPr>
      </w:pPr>
      <w:r w:rsidRPr="006E55EC">
        <w:rPr>
          <w:lang w:val="fr-CA"/>
        </w:rPr>
        <w:tab/>
      </w:r>
      <w:r w:rsidR="00CC6E81" w:rsidRPr="006E55EC">
        <w:rPr>
          <w:lang w:val="fr-CA"/>
        </w:rPr>
        <w:t>La menace contre la sécurité de la mère de P et</w:t>
      </w:r>
      <w:r w:rsidR="00E408DA" w:rsidRPr="006E55EC">
        <w:rPr>
          <w:lang w:val="fr-CA"/>
        </w:rPr>
        <w:t xml:space="preserve"> l</w:t>
      </w:r>
      <w:r w:rsidR="00521696" w:rsidRPr="006E55EC">
        <w:rPr>
          <w:lang w:val="fr-CA"/>
        </w:rPr>
        <w:t>’</w:t>
      </w:r>
      <w:r w:rsidR="00E408DA" w:rsidRPr="006E55EC">
        <w:rPr>
          <w:lang w:val="fr-CA"/>
        </w:rPr>
        <w:t xml:space="preserve">historique des relations entre </w:t>
      </w:r>
      <w:r w:rsidR="00E93308" w:rsidRPr="006E55EC">
        <w:rPr>
          <w:lang w:val="fr-CA"/>
        </w:rPr>
        <w:t xml:space="preserve">K et </w:t>
      </w:r>
      <w:r w:rsidR="00E408DA" w:rsidRPr="006E55EC">
        <w:rPr>
          <w:lang w:val="fr-CA"/>
        </w:rPr>
        <w:t>lui apportent un fondement probant minimal à l</w:t>
      </w:r>
      <w:r w:rsidR="00521696" w:rsidRPr="006E55EC">
        <w:rPr>
          <w:lang w:val="fr-CA"/>
        </w:rPr>
        <w:t>’</w:t>
      </w:r>
      <w:r w:rsidR="00E408DA" w:rsidRPr="006E55EC">
        <w:rPr>
          <w:lang w:val="fr-CA"/>
        </w:rPr>
        <w:t xml:space="preserve">élément objectif du moyen de défense. </w:t>
      </w:r>
      <w:r w:rsidR="001753A0" w:rsidRPr="006E55EC">
        <w:rPr>
          <w:lang w:val="fr-CA"/>
        </w:rPr>
        <w:t xml:space="preserve"> </w:t>
      </w:r>
      <w:r w:rsidR="008C22EF" w:rsidRPr="006E55EC">
        <w:rPr>
          <w:lang w:val="fr-CA"/>
        </w:rPr>
        <w:t xml:space="preserve">Toutefois, </w:t>
      </w:r>
      <w:r w:rsidR="00E93308" w:rsidRPr="006E55EC">
        <w:rPr>
          <w:lang w:val="fr-CA"/>
        </w:rPr>
        <w:t>le volet</w:t>
      </w:r>
      <w:r w:rsidR="008C22EF" w:rsidRPr="006E55EC">
        <w:rPr>
          <w:lang w:val="fr-CA"/>
        </w:rPr>
        <w:t xml:space="preserve"> subjectif de la défense de provocation est dépourvu de vraisemblance</w:t>
      </w:r>
      <w:r w:rsidR="00E93308" w:rsidRPr="006E55EC">
        <w:rPr>
          <w:lang w:val="fr-CA"/>
        </w:rPr>
        <w:t>, car son existence exige la</w:t>
      </w:r>
      <w:r w:rsidR="005606FC" w:rsidRPr="006E55EC">
        <w:rPr>
          <w:lang w:val="fr-CA"/>
        </w:rPr>
        <w:t xml:space="preserve"> « </w:t>
      </w:r>
      <w:r w:rsidR="008C22EF" w:rsidRPr="006E55EC">
        <w:rPr>
          <w:lang w:val="fr-CA"/>
        </w:rPr>
        <w:t>soudaineté</w:t>
      </w:r>
      <w:r w:rsidR="005606FC" w:rsidRPr="006E55EC">
        <w:rPr>
          <w:lang w:val="fr-CA"/>
        </w:rPr>
        <w:t> </w:t>
      </w:r>
      <w:r w:rsidR="008C22EF" w:rsidRPr="006E55EC">
        <w:rPr>
          <w:lang w:val="fr-CA"/>
        </w:rPr>
        <w:t xml:space="preserve">» </w:t>
      </w:r>
      <w:r w:rsidR="00E93308" w:rsidRPr="006E55EC">
        <w:rPr>
          <w:lang w:val="fr-CA"/>
        </w:rPr>
        <w:t>tant de</w:t>
      </w:r>
      <w:r w:rsidR="008C22EF" w:rsidRPr="006E55EC">
        <w:rPr>
          <w:lang w:val="fr-CA"/>
        </w:rPr>
        <w:t xml:space="preserve"> la provocation </w:t>
      </w:r>
      <w:r w:rsidR="00E93308" w:rsidRPr="006E55EC">
        <w:rPr>
          <w:lang w:val="fr-CA"/>
        </w:rPr>
        <w:t xml:space="preserve">que de </w:t>
      </w:r>
      <w:r w:rsidR="008C22EF" w:rsidRPr="006E55EC">
        <w:rPr>
          <w:lang w:val="fr-CA"/>
        </w:rPr>
        <w:t>la réaction de l</w:t>
      </w:r>
      <w:r w:rsidR="00521696" w:rsidRPr="006E55EC">
        <w:rPr>
          <w:lang w:val="fr-CA"/>
        </w:rPr>
        <w:t>’</w:t>
      </w:r>
      <w:r w:rsidR="008C22EF" w:rsidRPr="006E55EC">
        <w:rPr>
          <w:lang w:val="fr-CA"/>
        </w:rPr>
        <w:t xml:space="preserve">accusé à </w:t>
      </w:r>
      <w:r w:rsidR="00E93308" w:rsidRPr="006E55EC">
        <w:rPr>
          <w:lang w:val="fr-CA"/>
        </w:rPr>
        <w:t>celle</w:t>
      </w:r>
      <w:r w:rsidR="00E93308" w:rsidRPr="006E55EC">
        <w:rPr>
          <w:lang w:val="fr-CA"/>
        </w:rPr>
        <w:noBreakHyphen/>
        <w:t>ci</w:t>
      </w:r>
      <w:r w:rsidR="008C22EF" w:rsidRPr="006E55EC">
        <w:rPr>
          <w:lang w:val="fr-CA"/>
        </w:rPr>
        <w:t xml:space="preserve">.  </w:t>
      </w:r>
      <w:r w:rsidR="00C063F9" w:rsidRPr="006E55EC">
        <w:rPr>
          <w:lang w:val="fr-CA"/>
        </w:rPr>
        <w:t xml:space="preserve">La juge du procès </w:t>
      </w:r>
      <w:r w:rsidR="00773328" w:rsidRPr="006E55EC">
        <w:rPr>
          <w:lang w:val="fr-CA"/>
        </w:rPr>
        <w:t>a commis</w:t>
      </w:r>
      <w:r w:rsidR="00C063F9" w:rsidRPr="006E55EC">
        <w:rPr>
          <w:lang w:val="fr-CA"/>
        </w:rPr>
        <w:t xml:space="preserve"> une erreur de droit en se demandant seulement si une preuve étay</w:t>
      </w:r>
      <w:r w:rsidR="00773328" w:rsidRPr="006E55EC">
        <w:rPr>
          <w:lang w:val="fr-CA"/>
        </w:rPr>
        <w:t>ait</w:t>
      </w:r>
      <w:r w:rsidR="00C063F9" w:rsidRPr="006E55EC">
        <w:rPr>
          <w:lang w:val="fr-CA"/>
        </w:rPr>
        <w:t xml:space="preserve"> la prétention </w:t>
      </w:r>
      <w:r w:rsidR="00773328" w:rsidRPr="006E55EC">
        <w:rPr>
          <w:lang w:val="fr-CA"/>
        </w:rPr>
        <w:t xml:space="preserve">de P </w:t>
      </w:r>
      <w:r w:rsidR="004004F6" w:rsidRPr="006E55EC">
        <w:rPr>
          <w:lang w:val="fr-CA"/>
        </w:rPr>
        <w:t xml:space="preserve">selon laquelle </w:t>
      </w:r>
      <w:r w:rsidR="00773328" w:rsidRPr="006E55EC">
        <w:rPr>
          <w:lang w:val="fr-CA"/>
        </w:rPr>
        <w:t>il avait</w:t>
      </w:r>
      <w:r w:rsidR="004004F6" w:rsidRPr="006E55EC">
        <w:rPr>
          <w:lang w:val="fr-CA"/>
        </w:rPr>
        <w:t xml:space="preserve"> tué </w:t>
      </w:r>
      <w:r w:rsidR="001753A0" w:rsidRPr="006E55EC">
        <w:rPr>
          <w:lang w:val="fr-CA"/>
        </w:rPr>
        <w:t>K</w:t>
      </w:r>
      <w:r w:rsidR="004004F6" w:rsidRPr="006E55EC">
        <w:rPr>
          <w:lang w:val="fr-CA"/>
        </w:rPr>
        <w:t xml:space="preserve"> avant d</w:t>
      </w:r>
      <w:r w:rsidR="00521696" w:rsidRPr="006E55EC">
        <w:rPr>
          <w:lang w:val="fr-CA"/>
        </w:rPr>
        <w:t>’</w:t>
      </w:r>
      <w:r w:rsidR="004004F6" w:rsidRPr="006E55EC">
        <w:rPr>
          <w:lang w:val="fr-CA"/>
        </w:rPr>
        <w:t>avoir eu le temps de reprendre son sang</w:t>
      </w:r>
      <w:r w:rsidR="005606FC" w:rsidRPr="006E55EC">
        <w:rPr>
          <w:lang w:val="fr-CA"/>
        </w:rPr>
        <w:noBreakHyphen/>
      </w:r>
      <w:r w:rsidR="004004F6" w:rsidRPr="006E55EC">
        <w:rPr>
          <w:lang w:val="fr-CA"/>
        </w:rPr>
        <w:t>froid.  Elle ne s</w:t>
      </w:r>
      <w:r w:rsidR="00521696" w:rsidRPr="006E55EC">
        <w:rPr>
          <w:lang w:val="fr-CA"/>
        </w:rPr>
        <w:t>’</w:t>
      </w:r>
      <w:r w:rsidR="004004F6" w:rsidRPr="006E55EC">
        <w:rPr>
          <w:lang w:val="fr-CA"/>
        </w:rPr>
        <w:t>e</w:t>
      </w:r>
      <w:r w:rsidR="00773328" w:rsidRPr="006E55EC">
        <w:rPr>
          <w:lang w:val="fr-CA"/>
        </w:rPr>
        <w:t>st pas</w:t>
      </w:r>
      <w:r w:rsidR="004004F6" w:rsidRPr="006E55EC">
        <w:rPr>
          <w:lang w:val="fr-CA"/>
        </w:rPr>
        <w:t xml:space="preserve"> demand</w:t>
      </w:r>
      <w:r w:rsidR="00773328" w:rsidRPr="006E55EC">
        <w:rPr>
          <w:lang w:val="fr-CA"/>
        </w:rPr>
        <w:t>é</w:t>
      </w:r>
      <w:r w:rsidR="004004F6" w:rsidRPr="006E55EC">
        <w:rPr>
          <w:lang w:val="fr-CA"/>
        </w:rPr>
        <w:t xml:space="preserve"> si le dossier permet</w:t>
      </w:r>
      <w:r w:rsidR="00773328" w:rsidRPr="006E55EC">
        <w:rPr>
          <w:lang w:val="fr-CA"/>
        </w:rPr>
        <w:t>tait</w:t>
      </w:r>
      <w:r w:rsidR="004004F6" w:rsidRPr="006E55EC">
        <w:rPr>
          <w:lang w:val="fr-CA"/>
        </w:rPr>
        <w:t xml:space="preserve"> de conclure que les remarques provocatrices de K </w:t>
      </w:r>
      <w:r w:rsidR="00773328" w:rsidRPr="006E55EC">
        <w:rPr>
          <w:lang w:val="fr-CA"/>
        </w:rPr>
        <w:t>avaie</w:t>
      </w:r>
      <w:r w:rsidR="004004F6" w:rsidRPr="006E55EC">
        <w:rPr>
          <w:lang w:val="fr-CA"/>
        </w:rPr>
        <w:t>nt été soudaines, c</w:t>
      </w:r>
      <w:r w:rsidR="00521696" w:rsidRPr="006E55EC">
        <w:rPr>
          <w:lang w:val="fr-CA"/>
        </w:rPr>
        <w:t>’</w:t>
      </w:r>
      <w:r w:rsidR="004004F6" w:rsidRPr="006E55EC">
        <w:rPr>
          <w:lang w:val="fr-CA"/>
        </w:rPr>
        <w:t>est</w:t>
      </w:r>
      <w:r w:rsidR="005606FC" w:rsidRPr="006E55EC">
        <w:rPr>
          <w:lang w:val="fr-CA"/>
        </w:rPr>
        <w:noBreakHyphen/>
      </w:r>
      <w:r w:rsidR="004004F6" w:rsidRPr="006E55EC">
        <w:rPr>
          <w:lang w:val="fr-CA"/>
        </w:rPr>
        <w:t>à</w:t>
      </w:r>
      <w:r w:rsidR="005606FC" w:rsidRPr="006E55EC">
        <w:rPr>
          <w:lang w:val="fr-CA"/>
        </w:rPr>
        <w:noBreakHyphen/>
      </w:r>
      <w:r w:rsidR="004004F6" w:rsidRPr="006E55EC">
        <w:rPr>
          <w:lang w:val="fr-CA"/>
        </w:rPr>
        <w:t xml:space="preserve">dire si elles </w:t>
      </w:r>
      <w:r w:rsidR="00773328" w:rsidRPr="006E55EC">
        <w:rPr>
          <w:lang w:val="fr-CA"/>
        </w:rPr>
        <w:t>avaie</w:t>
      </w:r>
      <w:r w:rsidR="004004F6" w:rsidRPr="006E55EC">
        <w:rPr>
          <w:lang w:val="fr-CA"/>
        </w:rPr>
        <w:t>nt subjectivement</w:t>
      </w:r>
      <w:r w:rsidR="001753A0" w:rsidRPr="006E55EC">
        <w:rPr>
          <w:lang w:val="fr-CA"/>
        </w:rPr>
        <w:t xml:space="preserve"> </w:t>
      </w:r>
      <w:r w:rsidR="005606FC" w:rsidRPr="006E55EC">
        <w:rPr>
          <w:lang w:val="fr-CA"/>
        </w:rPr>
        <w:t>pris P par surprise.</w:t>
      </w:r>
    </w:p>
    <w:p w:rsidR="001753A0" w:rsidRPr="006E55EC" w:rsidRDefault="00395D1C" w:rsidP="001753A0">
      <w:pPr>
        <w:pStyle w:val="SCCNormalDoubleSpacing"/>
        <w:spacing w:after="480"/>
        <w:rPr>
          <w:lang w:val="fr-CA"/>
        </w:rPr>
      </w:pPr>
      <w:r w:rsidRPr="006E55EC">
        <w:rPr>
          <w:lang w:val="fr-CA"/>
        </w:rPr>
        <w:lastRenderedPageBreak/>
        <w:tab/>
      </w:r>
      <w:r w:rsidR="004004F6" w:rsidRPr="006E55EC">
        <w:rPr>
          <w:lang w:val="fr-CA"/>
        </w:rPr>
        <w:t xml:space="preserve">Le dossier ne </w:t>
      </w:r>
      <w:r w:rsidR="00773328" w:rsidRPr="006E55EC">
        <w:rPr>
          <w:lang w:val="fr-CA"/>
        </w:rPr>
        <w:t>peut</w:t>
      </w:r>
      <w:r w:rsidR="004004F6" w:rsidRPr="006E55EC">
        <w:rPr>
          <w:lang w:val="fr-CA"/>
        </w:rPr>
        <w:t xml:space="preserve"> raisonnablement étayer la conclusion selon laquelle les propos de K ont pris P par surprise</w:t>
      </w:r>
      <w:r w:rsidR="00773328" w:rsidRPr="006E55EC">
        <w:rPr>
          <w:lang w:val="fr-CA"/>
        </w:rPr>
        <w:t xml:space="preserve"> étant donné</w:t>
      </w:r>
      <w:r w:rsidR="004004F6" w:rsidRPr="006E55EC">
        <w:rPr>
          <w:lang w:val="fr-CA"/>
        </w:rPr>
        <w:t xml:space="preserve"> que K s</w:t>
      </w:r>
      <w:r w:rsidR="00521696" w:rsidRPr="006E55EC">
        <w:rPr>
          <w:lang w:val="fr-CA"/>
        </w:rPr>
        <w:t>’</w:t>
      </w:r>
      <w:r w:rsidR="004004F6" w:rsidRPr="006E55EC">
        <w:rPr>
          <w:lang w:val="fr-CA"/>
        </w:rPr>
        <w:t xml:space="preserve">était exprimé dans le même sens maintes fois dans le passé.  </w:t>
      </w:r>
      <w:r w:rsidR="00793595" w:rsidRPr="006E55EC">
        <w:rPr>
          <w:lang w:val="fr-CA"/>
        </w:rPr>
        <w:t>Considérée dans son ensemble, la preuve donne à penser qu</w:t>
      </w:r>
      <w:r w:rsidR="00521696" w:rsidRPr="006E55EC">
        <w:rPr>
          <w:lang w:val="fr-CA"/>
        </w:rPr>
        <w:t>’</w:t>
      </w:r>
      <w:r w:rsidR="00793595" w:rsidRPr="006E55EC">
        <w:rPr>
          <w:lang w:val="fr-CA"/>
        </w:rPr>
        <w:t xml:space="preserve">avant de se rendre chez K, P avait envisagé la possibilité que </w:t>
      </w:r>
      <w:r w:rsidR="001753A0" w:rsidRPr="006E55EC">
        <w:rPr>
          <w:lang w:val="fr-CA"/>
        </w:rPr>
        <w:t>K</w:t>
      </w:r>
      <w:r w:rsidR="00793595" w:rsidRPr="006E55EC">
        <w:rPr>
          <w:lang w:val="fr-CA"/>
        </w:rPr>
        <w:t xml:space="preserve"> continue de l</w:t>
      </w:r>
      <w:r w:rsidR="00907E52">
        <w:rPr>
          <w:lang w:val="fr-CA"/>
        </w:rPr>
        <w:t xml:space="preserve">ui </w:t>
      </w:r>
      <w:r w:rsidR="00793595" w:rsidRPr="006E55EC">
        <w:rPr>
          <w:lang w:val="fr-CA"/>
        </w:rPr>
        <w:t xml:space="preserve">extorquer </w:t>
      </w:r>
      <w:r w:rsidR="00907E52">
        <w:rPr>
          <w:lang w:val="fr-CA"/>
        </w:rPr>
        <w:t xml:space="preserve">de l’argent </w:t>
      </w:r>
      <w:r w:rsidR="00793595" w:rsidRPr="006E55EC">
        <w:rPr>
          <w:lang w:val="fr-CA"/>
        </w:rPr>
        <w:t>et de le menacer et qu</w:t>
      </w:r>
      <w:r w:rsidR="00521696" w:rsidRPr="006E55EC">
        <w:rPr>
          <w:lang w:val="fr-CA"/>
        </w:rPr>
        <w:t>’</w:t>
      </w:r>
      <w:r w:rsidR="00793595" w:rsidRPr="006E55EC">
        <w:rPr>
          <w:lang w:val="fr-CA"/>
        </w:rPr>
        <w:t xml:space="preserve">il </w:t>
      </w:r>
      <w:r w:rsidR="00773328" w:rsidRPr="006E55EC">
        <w:rPr>
          <w:lang w:val="fr-CA"/>
        </w:rPr>
        <w:t>lui faudrait</w:t>
      </w:r>
      <w:r w:rsidR="00793595" w:rsidRPr="006E55EC">
        <w:rPr>
          <w:lang w:val="fr-CA"/>
        </w:rPr>
        <w:t xml:space="preserve"> alors le supprimer pour mettre fin au chantage.  La prétention </w:t>
      </w:r>
      <w:r w:rsidR="00773328" w:rsidRPr="006E55EC">
        <w:rPr>
          <w:lang w:val="fr-CA"/>
        </w:rPr>
        <w:t xml:space="preserve">voulant </w:t>
      </w:r>
      <w:r w:rsidR="00793595" w:rsidRPr="006E55EC">
        <w:rPr>
          <w:lang w:val="fr-CA"/>
        </w:rPr>
        <w:t xml:space="preserve">que </w:t>
      </w:r>
      <w:r w:rsidR="001753A0" w:rsidRPr="006E55EC">
        <w:rPr>
          <w:lang w:val="fr-CA"/>
        </w:rPr>
        <w:t>P</w:t>
      </w:r>
      <w:r w:rsidR="00793595" w:rsidRPr="006E55EC">
        <w:rPr>
          <w:lang w:val="fr-CA"/>
        </w:rPr>
        <w:t xml:space="preserve"> ait été surpris ne fait pas partie des conclusions raisonnables qu</w:t>
      </w:r>
      <w:r w:rsidR="00521696" w:rsidRPr="006E55EC">
        <w:rPr>
          <w:lang w:val="fr-CA"/>
        </w:rPr>
        <w:t>’</w:t>
      </w:r>
      <w:r w:rsidR="00793595" w:rsidRPr="006E55EC">
        <w:rPr>
          <w:lang w:val="fr-CA"/>
        </w:rPr>
        <w:t xml:space="preserve">il est possible de tirer de la preuve.  Elle ne prend appui que sur les affirmations de P </w:t>
      </w:r>
      <w:r w:rsidR="005606FC" w:rsidRPr="006E55EC">
        <w:rPr>
          <w:lang w:val="fr-CA"/>
        </w:rPr>
        <w:t>selon lesquelles il a</w:t>
      </w:r>
      <w:r w:rsidR="00773328" w:rsidRPr="006E55EC">
        <w:rPr>
          <w:lang w:val="fr-CA"/>
        </w:rPr>
        <w:t>vait</w:t>
      </w:r>
      <w:r w:rsidR="005606FC" w:rsidRPr="006E55EC">
        <w:rPr>
          <w:lang w:val="fr-CA"/>
        </w:rPr>
        <w:t xml:space="preserve"> « </w:t>
      </w:r>
      <w:r w:rsidR="00793595" w:rsidRPr="006E55EC">
        <w:rPr>
          <w:lang w:val="fr-CA"/>
        </w:rPr>
        <w:t>disjoncté</w:t>
      </w:r>
      <w:r w:rsidR="005606FC" w:rsidRPr="006E55EC">
        <w:rPr>
          <w:lang w:val="fr-CA"/>
        </w:rPr>
        <w:t> », « </w:t>
      </w:r>
      <w:r w:rsidR="00793595" w:rsidRPr="006E55EC">
        <w:rPr>
          <w:lang w:val="fr-CA"/>
        </w:rPr>
        <w:t>tout se dérou</w:t>
      </w:r>
      <w:r w:rsidR="005606FC" w:rsidRPr="006E55EC">
        <w:rPr>
          <w:lang w:val="fr-CA"/>
        </w:rPr>
        <w:t>lant ensuite automatiquement ».</w:t>
      </w:r>
    </w:p>
    <w:p w:rsidR="00793595" w:rsidRPr="006E55EC" w:rsidRDefault="00655650" w:rsidP="005606FC">
      <w:pPr>
        <w:pStyle w:val="SCCNormalDoubleSpacing"/>
        <w:spacing w:after="480"/>
        <w:rPr>
          <w:lang w:val="fr-CA"/>
        </w:rPr>
      </w:pPr>
      <w:r w:rsidRPr="006E55EC">
        <w:rPr>
          <w:i/>
          <w:lang w:val="fr-CA"/>
        </w:rPr>
        <w:tab/>
      </w:r>
      <w:r w:rsidR="00314C01" w:rsidRPr="006E55EC">
        <w:rPr>
          <w:i/>
          <w:lang w:val="fr-CA"/>
        </w:rPr>
        <w:t>Le</w:t>
      </w:r>
      <w:r w:rsidR="00314C01" w:rsidRPr="006E55EC">
        <w:rPr>
          <w:lang w:val="fr-CA"/>
        </w:rPr>
        <w:t xml:space="preserve"> juge</w:t>
      </w:r>
      <w:r w:rsidR="00314C01" w:rsidRPr="00BA47F1">
        <w:rPr>
          <w:lang w:val="fr-CA"/>
        </w:rPr>
        <w:t xml:space="preserve"> Fish</w:t>
      </w:r>
      <w:r w:rsidR="005606FC" w:rsidRPr="00BA47F1">
        <w:rPr>
          <w:lang w:val="fr-CA"/>
        </w:rPr>
        <w:t> </w:t>
      </w:r>
      <w:r w:rsidR="005606FC" w:rsidRPr="006E55EC">
        <w:rPr>
          <w:lang w:val="fr-CA"/>
        </w:rPr>
        <w:t>:</w:t>
      </w:r>
      <w:r w:rsidR="00793595" w:rsidRPr="006E55EC">
        <w:rPr>
          <w:lang w:val="fr-CA"/>
        </w:rPr>
        <w:t xml:space="preserve"> La juge du procès n</w:t>
      </w:r>
      <w:r w:rsidR="00521696" w:rsidRPr="006E55EC">
        <w:rPr>
          <w:lang w:val="fr-CA"/>
        </w:rPr>
        <w:t>’</w:t>
      </w:r>
      <w:r w:rsidR="00793595" w:rsidRPr="006E55EC">
        <w:rPr>
          <w:lang w:val="fr-CA"/>
        </w:rPr>
        <w:t>a pas eu tort de soumettre au jury la défense de provocation</w:t>
      </w:r>
      <w:r w:rsidR="008F4865" w:rsidRPr="006E55EC">
        <w:rPr>
          <w:lang w:val="fr-CA"/>
        </w:rPr>
        <w:t>, et ses directives au jury ne sont pas non plus entachées d</w:t>
      </w:r>
      <w:r w:rsidR="00521696" w:rsidRPr="006E55EC">
        <w:rPr>
          <w:lang w:val="fr-CA"/>
        </w:rPr>
        <w:t>’</w:t>
      </w:r>
      <w:r w:rsidR="008F4865" w:rsidRPr="006E55EC">
        <w:rPr>
          <w:lang w:val="fr-CA"/>
        </w:rPr>
        <w:t xml:space="preserve">une erreur susceptible de contrôle. </w:t>
      </w:r>
    </w:p>
    <w:p w:rsidR="00314C01" w:rsidRPr="006E55EC" w:rsidRDefault="00395D1C" w:rsidP="00793595">
      <w:pPr>
        <w:pStyle w:val="SCCNormalDoubleSpacing"/>
        <w:spacing w:after="480"/>
        <w:rPr>
          <w:lang w:val="fr-CA"/>
        </w:rPr>
      </w:pPr>
      <w:r w:rsidRPr="006E55EC">
        <w:rPr>
          <w:lang w:val="fr-CA"/>
        </w:rPr>
        <w:tab/>
      </w:r>
      <w:r w:rsidR="008F4865" w:rsidRPr="006E55EC">
        <w:rPr>
          <w:lang w:val="fr-CA"/>
        </w:rPr>
        <w:t>Dans le cas où il y a preuve directe pour chacun des éléments d</w:t>
      </w:r>
      <w:r w:rsidR="00521696" w:rsidRPr="006E55EC">
        <w:rPr>
          <w:lang w:val="fr-CA"/>
        </w:rPr>
        <w:t>’</w:t>
      </w:r>
      <w:r w:rsidR="008F4865" w:rsidRPr="006E55EC">
        <w:rPr>
          <w:lang w:val="fr-CA"/>
        </w:rPr>
        <w:t>un moyen de défense, le juge du procès doit soumettre celui</w:t>
      </w:r>
      <w:r w:rsidR="005606FC" w:rsidRPr="006E55EC">
        <w:rPr>
          <w:lang w:val="fr-CA"/>
        </w:rPr>
        <w:noBreakHyphen/>
      </w:r>
      <w:r w:rsidR="008F4865" w:rsidRPr="006E55EC">
        <w:rPr>
          <w:lang w:val="fr-CA"/>
        </w:rPr>
        <w:t>ci à l</w:t>
      </w:r>
      <w:r w:rsidR="00521696" w:rsidRPr="006E55EC">
        <w:rPr>
          <w:lang w:val="fr-CA"/>
        </w:rPr>
        <w:t>’</w:t>
      </w:r>
      <w:r w:rsidR="008F4865" w:rsidRPr="006E55EC">
        <w:rPr>
          <w:lang w:val="fr-CA"/>
        </w:rPr>
        <w:t>appréciation du jury</w:t>
      </w:r>
      <w:r w:rsidR="00793595" w:rsidRPr="006E55EC">
        <w:rPr>
          <w:lang w:val="fr-CA"/>
        </w:rPr>
        <w:t xml:space="preserve">.  </w:t>
      </w:r>
      <w:r w:rsidR="008F4865" w:rsidRPr="006E55EC">
        <w:rPr>
          <w:lang w:val="fr-CA"/>
        </w:rPr>
        <w:t>Quant à savoir si la preuve est véridique ou si elle soulève au moins un doute raisonnable en ce qui a trait à la culpabilité de l</w:t>
      </w:r>
      <w:r w:rsidR="00521696" w:rsidRPr="006E55EC">
        <w:rPr>
          <w:lang w:val="fr-CA"/>
        </w:rPr>
        <w:t>’</w:t>
      </w:r>
      <w:r w:rsidR="008F4865" w:rsidRPr="006E55EC">
        <w:rPr>
          <w:lang w:val="fr-CA"/>
        </w:rPr>
        <w:t>accusé, il appartient ultimement au jury d</w:t>
      </w:r>
      <w:r w:rsidR="00521696" w:rsidRPr="006E55EC">
        <w:rPr>
          <w:lang w:val="fr-CA"/>
        </w:rPr>
        <w:t>’</w:t>
      </w:r>
      <w:r w:rsidR="008F4865" w:rsidRPr="006E55EC">
        <w:rPr>
          <w:lang w:val="fr-CA"/>
        </w:rPr>
        <w:t xml:space="preserve">en décider.  </w:t>
      </w:r>
      <w:r w:rsidR="00B406DA" w:rsidRPr="006E55EC">
        <w:rPr>
          <w:lang w:val="fr-CA"/>
        </w:rPr>
        <w:t>En l</w:t>
      </w:r>
      <w:r w:rsidR="00521696" w:rsidRPr="006E55EC">
        <w:rPr>
          <w:lang w:val="fr-CA"/>
        </w:rPr>
        <w:t>’</w:t>
      </w:r>
      <w:r w:rsidR="00B406DA" w:rsidRPr="006E55EC">
        <w:rPr>
          <w:lang w:val="fr-CA"/>
        </w:rPr>
        <w:t>espèce, la preuve présentée au procès par l</w:t>
      </w:r>
      <w:r w:rsidR="00521696" w:rsidRPr="006E55EC">
        <w:rPr>
          <w:lang w:val="fr-CA"/>
        </w:rPr>
        <w:t>’</w:t>
      </w:r>
      <w:r w:rsidR="00B406DA" w:rsidRPr="006E55EC">
        <w:rPr>
          <w:lang w:val="fr-CA"/>
        </w:rPr>
        <w:t>appelant est directe et se rapporte aux faits sur lesquels s</w:t>
      </w:r>
      <w:r w:rsidR="00521696" w:rsidRPr="006E55EC">
        <w:rPr>
          <w:lang w:val="fr-CA"/>
        </w:rPr>
        <w:t>’</w:t>
      </w:r>
      <w:r w:rsidR="00B406DA" w:rsidRPr="006E55EC">
        <w:rPr>
          <w:lang w:val="fr-CA"/>
        </w:rPr>
        <w:t>appuie sa défense de provocation.  Par conséquent, l</w:t>
      </w:r>
      <w:r w:rsidR="00521696" w:rsidRPr="006E55EC">
        <w:rPr>
          <w:lang w:val="fr-CA"/>
        </w:rPr>
        <w:t>’</w:t>
      </w:r>
      <w:r w:rsidR="00B406DA" w:rsidRPr="006E55EC">
        <w:rPr>
          <w:lang w:val="fr-CA"/>
        </w:rPr>
        <w:t>appelant s</w:t>
      </w:r>
      <w:r w:rsidR="00521696" w:rsidRPr="006E55EC">
        <w:rPr>
          <w:lang w:val="fr-CA"/>
        </w:rPr>
        <w:t>’</w:t>
      </w:r>
      <w:r w:rsidR="00B406DA" w:rsidRPr="006E55EC">
        <w:rPr>
          <w:lang w:val="fr-CA"/>
        </w:rPr>
        <w:t>est acquitté de sa charge de présentation en ce qui concerne les éléments objectif et subjectif d</w:t>
      </w:r>
      <w:r w:rsidR="00907E52">
        <w:rPr>
          <w:lang w:val="fr-CA"/>
        </w:rPr>
        <w:t>u moyen de</w:t>
      </w:r>
      <w:r w:rsidR="00B406DA" w:rsidRPr="006E55EC">
        <w:rPr>
          <w:lang w:val="fr-CA"/>
        </w:rPr>
        <w:t xml:space="preserve"> défense.  </w:t>
      </w:r>
      <w:r w:rsidR="00FD42E4" w:rsidRPr="006E55EC">
        <w:rPr>
          <w:lang w:val="fr-CA"/>
        </w:rPr>
        <w:t>Le seul fait que le défunt a proféré des menaces semblables dans le passé ne permet pas de tenir pour acquis que l</w:t>
      </w:r>
      <w:r w:rsidR="00521696" w:rsidRPr="006E55EC">
        <w:rPr>
          <w:lang w:val="fr-CA"/>
        </w:rPr>
        <w:t>’</w:t>
      </w:r>
      <w:r w:rsidR="00FD42E4" w:rsidRPr="006E55EC">
        <w:rPr>
          <w:lang w:val="fr-CA"/>
        </w:rPr>
        <w:t>accusé a prévu les mêmes menaces formulées subséquemment ou qu</w:t>
      </w:r>
      <w:r w:rsidR="00521696" w:rsidRPr="006E55EC">
        <w:rPr>
          <w:lang w:val="fr-CA"/>
        </w:rPr>
        <w:t>’</w:t>
      </w:r>
      <w:r w:rsidR="00FD42E4" w:rsidRPr="006E55EC">
        <w:rPr>
          <w:lang w:val="fr-CA"/>
        </w:rPr>
        <w:t>il y était préparé.  Lorsqu</w:t>
      </w:r>
      <w:r w:rsidR="00521696" w:rsidRPr="006E55EC">
        <w:rPr>
          <w:lang w:val="fr-CA"/>
        </w:rPr>
        <w:t>’</w:t>
      </w:r>
      <w:r w:rsidR="00FD42E4" w:rsidRPr="006E55EC">
        <w:rPr>
          <w:lang w:val="fr-CA"/>
        </w:rPr>
        <w:t xml:space="preserve">elle est répétée, une menace ou une insulte peut faire « disjoncter » une personne </w:t>
      </w:r>
      <w:r w:rsidR="00907E52">
        <w:rPr>
          <w:lang w:val="fr-CA"/>
        </w:rPr>
        <w:t xml:space="preserve">alors </w:t>
      </w:r>
      <w:r w:rsidR="00FD42E4" w:rsidRPr="006E55EC">
        <w:rPr>
          <w:lang w:val="fr-CA"/>
        </w:rPr>
        <w:lastRenderedPageBreak/>
        <w:t>qu</w:t>
      </w:r>
      <w:r w:rsidR="00521696" w:rsidRPr="006E55EC">
        <w:rPr>
          <w:lang w:val="fr-CA"/>
        </w:rPr>
        <w:t>’</w:t>
      </w:r>
      <w:r w:rsidR="00FD42E4" w:rsidRPr="006E55EC">
        <w:rPr>
          <w:lang w:val="fr-CA"/>
        </w:rPr>
        <w:t>elle n</w:t>
      </w:r>
      <w:r w:rsidR="00907E52">
        <w:rPr>
          <w:lang w:val="fr-CA"/>
        </w:rPr>
        <w:t>e l</w:t>
      </w:r>
      <w:r w:rsidR="00521696" w:rsidRPr="006E55EC">
        <w:rPr>
          <w:lang w:val="fr-CA"/>
        </w:rPr>
        <w:t>’</w:t>
      </w:r>
      <w:r w:rsidR="00FD42E4" w:rsidRPr="006E55EC">
        <w:rPr>
          <w:lang w:val="fr-CA"/>
        </w:rPr>
        <w:t>avait pas provoquée auparavant.  En l</w:t>
      </w:r>
      <w:r w:rsidR="00521696" w:rsidRPr="006E55EC">
        <w:rPr>
          <w:lang w:val="fr-CA"/>
        </w:rPr>
        <w:t>’</w:t>
      </w:r>
      <w:r w:rsidR="00FD42E4" w:rsidRPr="006E55EC">
        <w:rPr>
          <w:lang w:val="fr-CA"/>
        </w:rPr>
        <w:t>espèce</w:t>
      </w:r>
      <w:r w:rsidR="00793595" w:rsidRPr="006E55EC">
        <w:rPr>
          <w:lang w:val="fr-CA"/>
        </w:rPr>
        <w:t xml:space="preserve">, </w:t>
      </w:r>
      <w:r w:rsidR="00FD42E4" w:rsidRPr="006E55EC">
        <w:rPr>
          <w:lang w:val="fr-CA"/>
        </w:rPr>
        <w:t>l</w:t>
      </w:r>
      <w:r w:rsidR="00521696" w:rsidRPr="006E55EC">
        <w:rPr>
          <w:lang w:val="fr-CA"/>
        </w:rPr>
        <w:t>’</w:t>
      </w:r>
      <w:r w:rsidR="00FD42E4" w:rsidRPr="006E55EC">
        <w:rPr>
          <w:lang w:val="fr-CA"/>
        </w:rPr>
        <w:t>acte provocateur allégué n</w:t>
      </w:r>
      <w:r w:rsidR="00521696" w:rsidRPr="006E55EC">
        <w:rPr>
          <w:lang w:val="fr-CA"/>
        </w:rPr>
        <w:t>’</w:t>
      </w:r>
      <w:r w:rsidR="00FD42E4" w:rsidRPr="006E55EC">
        <w:rPr>
          <w:lang w:val="fr-CA"/>
        </w:rPr>
        <w:t>était pas l</w:t>
      </w:r>
      <w:r w:rsidR="00521696" w:rsidRPr="006E55EC">
        <w:rPr>
          <w:lang w:val="fr-CA"/>
        </w:rPr>
        <w:t>’</w:t>
      </w:r>
      <w:r w:rsidR="00FD42E4" w:rsidRPr="006E55EC">
        <w:rPr>
          <w:lang w:val="fr-CA"/>
        </w:rPr>
        <w:t>omission du défunt de mettre fin à l</w:t>
      </w:r>
      <w:r w:rsidR="00521696" w:rsidRPr="006E55EC">
        <w:rPr>
          <w:lang w:val="fr-CA"/>
        </w:rPr>
        <w:t>’</w:t>
      </w:r>
      <w:r w:rsidR="00FD42E4" w:rsidRPr="006E55EC">
        <w:rPr>
          <w:lang w:val="fr-CA"/>
        </w:rPr>
        <w:t>extorsion, mais son affirmation soudaine — « j</w:t>
      </w:r>
      <w:r w:rsidR="00521696" w:rsidRPr="006E55EC">
        <w:rPr>
          <w:lang w:val="fr-CA"/>
        </w:rPr>
        <w:t>’</w:t>
      </w:r>
      <w:r w:rsidR="00FD42E4" w:rsidRPr="006E55EC">
        <w:rPr>
          <w:lang w:val="fr-CA"/>
        </w:rPr>
        <w:t>ai une super garantie » — que M. Pappas a interprétée comme une menace d</w:t>
      </w:r>
      <w:r w:rsidR="00521696" w:rsidRPr="006E55EC">
        <w:rPr>
          <w:lang w:val="fr-CA"/>
        </w:rPr>
        <w:t>’</w:t>
      </w:r>
      <w:r w:rsidR="00FD42E4" w:rsidRPr="006E55EC">
        <w:rPr>
          <w:lang w:val="fr-CA"/>
        </w:rPr>
        <w:t>attenter à la vie de sa mère</w:t>
      </w:r>
      <w:r w:rsidR="00793595" w:rsidRPr="006E55EC">
        <w:rPr>
          <w:lang w:val="fr-CA"/>
        </w:rPr>
        <w:t xml:space="preserve">.  </w:t>
      </w:r>
      <w:r w:rsidR="00FD42E4" w:rsidRPr="006E55EC">
        <w:rPr>
          <w:lang w:val="fr-CA"/>
        </w:rPr>
        <w:t>On ne saurait voir dans le témoignage détaillé de P sur les circonstances de la provocation alléguée une « simple affirmation » qu</w:t>
      </w:r>
      <w:r w:rsidR="00521696" w:rsidRPr="006E55EC">
        <w:rPr>
          <w:lang w:val="fr-CA"/>
        </w:rPr>
        <w:t>’</w:t>
      </w:r>
      <w:r w:rsidR="00FD42E4" w:rsidRPr="006E55EC">
        <w:rPr>
          <w:lang w:val="fr-CA"/>
        </w:rPr>
        <w:t>il a été provoqué</w:t>
      </w:r>
      <w:r w:rsidR="00793595" w:rsidRPr="006E55EC">
        <w:rPr>
          <w:lang w:val="fr-CA"/>
        </w:rPr>
        <w:t xml:space="preserve">.  </w:t>
      </w:r>
      <w:r w:rsidR="00FD42E4" w:rsidRPr="006E55EC">
        <w:rPr>
          <w:lang w:val="fr-CA"/>
        </w:rPr>
        <w:t>Les extraits de</w:t>
      </w:r>
      <w:r w:rsidR="00773328" w:rsidRPr="006E55EC">
        <w:rPr>
          <w:lang w:val="fr-CA"/>
        </w:rPr>
        <w:t xml:space="preserve"> </w:t>
      </w:r>
      <w:r w:rsidR="00FD42E4" w:rsidRPr="006E55EC">
        <w:rPr>
          <w:lang w:val="fr-CA"/>
        </w:rPr>
        <w:t>s</w:t>
      </w:r>
      <w:r w:rsidR="00773328" w:rsidRPr="006E55EC">
        <w:rPr>
          <w:lang w:val="fr-CA"/>
        </w:rPr>
        <w:t>es</w:t>
      </w:r>
      <w:r w:rsidR="00FD42E4" w:rsidRPr="006E55EC">
        <w:rPr>
          <w:lang w:val="fr-CA"/>
        </w:rPr>
        <w:t xml:space="preserve"> aveux qui, selon la Juge en chef, étayent la perte de maîtrise de soi </w:t>
      </w:r>
      <w:r w:rsidR="00833280" w:rsidRPr="006E55EC">
        <w:rPr>
          <w:lang w:val="fr-CA"/>
        </w:rPr>
        <w:t xml:space="preserve">constituent une preuve directe du caractère soudain de la provocation et </w:t>
      </w:r>
      <w:r w:rsidR="00773328" w:rsidRPr="006E55EC">
        <w:rPr>
          <w:lang w:val="fr-CA"/>
        </w:rPr>
        <w:t>il</w:t>
      </w:r>
      <w:r w:rsidR="00833280" w:rsidRPr="006E55EC">
        <w:rPr>
          <w:lang w:val="fr-CA"/>
        </w:rPr>
        <w:t xml:space="preserve">s </w:t>
      </w:r>
      <w:r w:rsidR="00773328" w:rsidRPr="006E55EC">
        <w:rPr>
          <w:lang w:val="fr-CA"/>
        </w:rPr>
        <w:t>doivent être tenus pour avéré</w:t>
      </w:r>
      <w:r w:rsidR="00833280" w:rsidRPr="006E55EC">
        <w:rPr>
          <w:lang w:val="fr-CA"/>
        </w:rPr>
        <w:t>s</w:t>
      </w:r>
      <w:r w:rsidR="00793595" w:rsidRPr="006E55EC">
        <w:rPr>
          <w:lang w:val="fr-CA"/>
        </w:rPr>
        <w:t xml:space="preserve">.  </w:t>
      </w:r>
      <w:r w:rsidR="00C15A2E" w:rsidRPr="006E55EC">
        <w:rPr>
          <w:lang w:val="fr-CA"/>
        </w:rPr>
        <w:t xml:space="preserve">Or, déterminer si ces extraits sont conciliables </w:t>
      </w:r>
      <w:r w:rsidR="00907E52">
        <w:rPr>
          <w:lang w:val="fr-CA"/>
        </w:rPr>
        <w:t xml:space="preserve">ou non </w:t>
      </w:r>
      <w:r w:rsidR="00C15A2E" w:rsidRPr="006E55EC">
        <w:rPr>
          <w:lang w:val="fr-CA"/>
        </w:rPr>
        <w:t>avec d</w:t>
      </w:r>
      <w:r w:rsidR="00521696" w:rsidRPr="006E55EC">
        <w:rPr>
          <w:lang w:val="fr-CA"/>
        </w:rPr>
        <w:t>’</w:t>
      </w:r>
      <w:r w:rsidR="00C15A2E" w:rsidRPr="006E55EC">
        <w:rPr>
          <w:lang w:val="fr-CA"/>
        </w:rPr>
        <w:t>autres éléments de preuve est une tâche qui incombe bel et bien au jury.  Le pourvoi d</w:t>
      </w:r>
      <w:r w:rsidR="00907E52">
        <w:rPr>
          <w:lang w:val="fr-CA"/>
        </w:rPr>
        <w:t>evrai</w:t>
      </w:r>
      <w:r w:rsidR="00C15A2E" w:rsidRPr="006E55EC">
        <w:rPr>
          <w:lang w:val="fr-CA"/>
        </w:rPr>
        <w:t>t donc être rejeté pour les motifs sur lesquels se fondent les juges majoritaires de la Cour d</w:t>
      </w:r>
      <w:r w:rsidR="00521696" w:rsidRPr="006E55EC">
        <w:rPr>
          <w:lang w:val="fr-CA"/>
        </w:rPr>
        <w:t>’</w:t>
      </w:r>
      <w:r w:rsidR="00C15A2E" w:rsidRPr="006E55EC">
        <w:rPr>
          <w:lang w:val="fr-CA"/>
        </w:rPr>
        <w:t>appel</w:t>
      </w:r>
      <w:r w:rsidR="00793595" w:rsidRPr="006E55EC">
        <w:rPr>
          <w:lang w:val="fr-CA"/>
        </w:rPr>
        <w:t>.</w:t>
      </w:r>
    </w:p>
    <w:p w:rsidR="004D7D95" w:rsidRPr="006E55EC" w:rsidRDefault="004D7D95" w:rsidP="00A2040A">
      <w:pPr>
        <w:pStyle w:val="SCCNormalDoubleSpacing"/>
        <w:keepNext/>
        <w:spacing w:after="720" w:line="240" w:lineRule="auto"/>
        <w:outlineLvl w:val="0"/>
        <w:rPr>
          <w:b/>
          <w:lang w:val="fr-CA"/>
        </w:rPr>
      </w:pPr>
      <w:r w:rsidRPr="006E55EC">
        <w:rPr>
          <w:b/>
          <w:lang w:val="fr-CA"/>
        </w:rPr>
        <w:t>Jurisprudence</w:t>
      </w:r>
    </w:p>
    <w:p w:rsidR="004C532F" w:rsidRPr="006E55EC" w:rsidRDefault="004C532F" w:rsidP="00A2040A">
      <w:pPr>
        <w:pStyle w:val="SCCNormalDoubleSpacing"/>
        <w:keepNext/>
        <w:spacing w:after="480"/>
        <w:outlineLvl w:val="0"/>
        <w:rPr>
          <w:lang w:val="fr-CA"/>
        </w:rPr>
      </w:pPr>
      <w:r w:rsidRPr="006E55EC">
        <w:rPr>
          <w:lang w:val="fr-CA"/>
        </w:rPr>
        <w:t>Citée par la juge en chef McLachlin</w:t>
      </w:r>
    </w:p>
    <w:p w:rsidR="004D7D95" w:rsidRPr="006E55EC" w:rsidRDefault="004D7D95" w:rsidP="007A3E23">
      <w:pPr>
        <w:pStyle w:val="SCCNormalDoubleSpacing"/>
        <w:spacing w:after="480"/>
        <w:rPr>
          <w:szCs w:val="24"/>
          <w:lang w:val="fr-CA" w:bidi="en-US"/>
        </w:rPr>
      </w:pPr>
      <w:r w:rsidRPr="006E55EC">
        <w:rPr>
          <w:lang w:val="fr-CA"/>
        </w:rPr>
        <w:tab/>
      </w:r>
      <w:r w:rsidRPr="006E55EC">
        <w:rPr>
          <w:b/>
          <w:lang w:val="fr-CA"/>
        </w:rPr>
        <w:t>Arrêts mentionnés</w:t>
      </w:r>
      <w:r w:rsidR="005606FC" w:rsidRPr="006E55EC">
        <w:rPr>
          <w:b/>
          <w:lang w:val="fr-CA"/>
        </w:rPr>
        <w:t> :</w:t>
      </w:r>
      <w:r w:rsidRPr="006E55EC">
        <w:rPr>
          <w:lang w:val="fr-CA"/>
        </w:rPr>
        <w:t xml:space="preserve"> </w:t>
      </w:r>
      <w:r w:rsidR="00576FD4" w:rsidRPr="006E55EC">
        <w:rPr>
          <w:i/>
          <w:szCs w:val="24"/>
          <w:lang w:val="fr-CA"/>
        </w:rPr>
        <w:t>R. c. Cairney</w:t>
      </w:r>
      <w:r w:rsidR="00576FD4" w:rsidRPr="006E55EC">
        <w:rPr>
          <w:szCs w:val="24"/>
          <w:lang w:val="fr-CA"/>
        </w:rPr>
        <w:t xml:space="preserve">, 2013 CSC </w:t>
      </w:r>
      <w:r w:rsidR="00395D1C" w:rsidRPr="006E55EC">
        <w:rPr>
          <w:szCs w:val="24"/>
          <w:lang w:val="fr-CA"/>
        </w:rPr>
        <w:t>55</w:t>
      </w:r>
      <w:r w:rsidR="00BA47F1">
        <w:rPr>
          <w:szCs w:val="24"/>
          <w:lang w:val="fr-CA"/>
        </w:rPr>
        <w:t xml:space="preserve">, </w:t>
      </w:r>
      <w:r w:rsidR="00BA47F1" w:rsidRPr="006C42B0">
        <w:rPr>
          <w:lang w:val="fr-CA"/>
        </w:rPr>
        <w:t xml:space="preserve">[2013] </w:t>
      </w:r>
      <w:r w:rsidR="005D1A0B">
        <w:rPr>
          <w:lang w:val="fr-CA"/>
        </w:rPr>
        <w:t>3</w:t>
      </w:r>
      <w:r w:rsidR="00BA47F1" w:rsidRPr="006C42B0">
        <w:rPr>
          <w:lang w:val="fr-CA"/>
        </w:rPr>
        <w:t xml:space="preserve"> </w:t>
      </w:r>
      <w:r w:rsidR="00146F1D">
        <w:rPr>
          <w:lang w:val="fr-CA"/>
        </w:rPr>
        <w:t>R.C.S.</w:t>
      </w:r>
      <w:r w:rsidR="00BA47F1" w:rsidRPr="006C42B0">
        <w:rPr>
          <w:lang w:val="fr-CA"/>
        </w:rPr>
        <w:t xml:space="preserve"> </w:t>
      </w:r>
      <w:r w:rsidR="00BF4909">
        <w:rPr>
          <w:lang w:val="fr-CA"/>
        </w:rPr>
        <w:t>420</w:t>
      </w:r>
      <w:r w:rsidR="00576FD4" w:rsidRPr="006E55EC">
        <w:rPr>
          <w:bCs/>
          <w:szCs w:val="24"/>
          <w:lang w:val="fr-CA"/>
        </w:rPr>
        <w:t xml:space="preserve">; </w:t>
      </w:r>
      <w:r w:rsidR="00634266" w:rsidRPr="006E55EC">
        <w:rPr>
          <w:bCs/>
          <w:i/>
          <w:szCs w:val="24"/>
          <w:lang w:val="fr-CA"/>
        </w:rPr>
        <w:t>R. c. Mayuran</w:t>
      </w:r>
      <w:r w:rsidR="00634266" w:rsidRPr="006E55EC">
        <w:rPr>
          <w:bCs/>
          <w:szCs w:val="24"/>
          <w:lang w:val="fr-CA"/>
        </w:rPr>
        <w:t xml:space="preserve">, 2012 CSC 31, [2012] 2 R.C.S. 162; </w:t>
      </w:r>
      <w:r w:rsidR="00576FD4" w:rsidRPr="006E55EC">
        <w:rPr>
          <w:i/>
          <w:szCs w:val="24"/>
          <w:lang w:val="fr-CA"/>
        </w:rPr>
        <w:t>R. c. Cinous</w:t>
      </w:r>
      <w:r w:rsidR="00576FD4" w:rsidRPr="006E55EC">
        <w:rPr>
          <w:szCs w:val="24"/>
          <w:lang w:val="fr-CA"/>
        </w:rPr>
        <w:t xml:space="preserve">, 2002 CSC 29, [2002] 2 R.C.S. 3; </w:t>
      </w:r>
      <w:r w:rsidR="00576FD4" w:rsidRPr="006E55EC">
        <w:rPr>
          <w:i/>
          <w:szCs w:val="24"/>
          <w:lang w:val="fr-CA"/>
        </w:rPr>
        <w:t>R. c. Fontaine</w:t>
      </w:r>
      <w:r w:rsidR="00576FD4" w:rsidRPr="006E55EC">
        <w:rPr>
          <w:szCs w:val="24"/>
          <w:lang w:val="fr-CA"/>
        </w:rPr>
        <w:t>, 2004 CSC 27, [2004] 1 R.C.S. 702</w:t>
      </w:r>
      <w:r w:rsidR="00576FD4" w:rsidRPr="006E55EC">
        <w:rPr>
          <w:bCs/>
          <w:szCs w:val="24"/>
          <w:lang w:val="fr-CA"/>
        </w:rPr>
        <w:t xml:space="preserve">; </w:t>
      </w:r>
      <w:r w:rsidR="00576FD4" w:rsidRPr="006E55EC">
        <w:rPr>
          <w:i/>
          <w:szCs w:val="24"/>
          <w:lang w:val="fr-CA"/>
        </w:rPr>
        <w:t>R. c. Arcuri</w:t>
      </w:r>
      <w:r w:rsidR="00576FD4" w:rsidRPr="006E55EC">
        <w:rPr>
          <w:szCs w:val="24"/>
          <w:lang w:val="fr-CA"/>
        </w:rPr>
        <w:t xml:space="preserve">, 2001 CSC 54, [2001] 2 R.C.S. 828; </w:t>
      </w:r>
      <w:r w:rsidR="00576FD4" w:rsidRPr="006E55EC">
        <w:rPr>
          <w:i/>
          <w:szCs w:val="24"/>
          <w:lang w:val="fr-CA"/>
        </w:rPr>
        <w:t>R. c. Park</w:t>
      </w:r>
      <w:r w:rsidR="00576FD4" w:rsidRPr="006E55EC">
        <w:rPr>
          <w:szCs w:val="24"/>
          <w:lang w:val="fr-CA"/>
        </w:rPr>
        <w:t xml:space="preserve">, [1995] 2 R.C.S. 836; </w:t>
      </w:r>
      <w:r w:rsidR="00576FD4" w:rsidRPr="006E55EC">
        <w:rPr>
          <w:i/>
          <w:szCs w:val="24"/>
          <w:lang w:val="fr-CA"/>
        </w:rPr>
        <w:t>R. c. Gauthier</w:t>
      </w:r>
      <w:r w:rsidR="00576FD4" w:rsidRPr="006E55EC">
        <w:rPr>
          <w:szCs w:val="24"/>
          <w:lang w:val="fr-CA"/>
        </w:rPr>
        <w:t>, 2013 CSC 32</w:t>
      </w:r>
      <w:r w:rsidR="006C42B0">
        <w:rPr>
          <w:szCs w:val="24"/>
          <w:lang w:val="fr-CA"/>
        </w:rPr>
        <w:t xml:space="preserve">, </w:t>
      </w:r>
      <w:r w:rsidR="006C42B0" w:rsidRPr="006C42B0">
        <w:rPr>
          <w:lang w:val="fr-CA"/>
        </w:rPr>
        <w:t xml:space="preserve">[2013] </w:t>
      </w:r>
      <w:r w:rsidR="001C2F68">
        <w:rPr>
          <w:lang w:val="fr-CA"/>
        </w:rPr>
        <w:t>2</w:t>
      </w:r>
      <w:r w:rsidR="006C42B0" w:rsidRPr="006C42B0">
        <w:rPr>
          <w:lang w:val="fr-CA"/>
        </w:rPr>
        <w:t xml:space="preserve"> </w:t>
      </w:r>
      <w:r w:rsidR="00146F1D">
        <w:rPr>
          <w:lang w:val="fr-CA"/>
        </w:rPr>
        <w:t>R.C.S.</w:t>
      </w:r>
      <w:r w:rsidR="006C42B0" w:rsidRPr="006C42B0">
        <w:rPr>
          <w:lang w:val="fr-CA"/>
        </w:rPr>
        <w:t xml:space="preserve"> </w:t>
      </w:r>
      <w:r w:rsidR="001C2F68">
        <w:rPr>
          <w:lang w:val="fr-CA"/>
        </w:rPr>
        <w:t>403</w:t>
      </w:r>
      <w:r w:rsidR="00576FD4" w:rsidRPr="006E55EC">
        <w:rPr>
          <w:szCs w:val="24"/>
          <w:lang w:val="fr-CA"/>
        </w:rPr>
        <w:t xml:space="preserve">; </w:t>
      </w:r>
      <w:r w:rsidR="00C604B3" w:rsidRPr="006E55EC">
        <w:rPr>
          <w:i/>
          <w:szCs w:val="24"/>
          <w:lang w:val="fr-CA"/>
        </w:rPr>
        <w:t>R.</w:t>
      </w:r>
      <w:r w:rsidR="00576FD4" w:rsidRPr="006E55EC">
        <w:rPr>
          <w:i/>
          <w:szCs w:val="24"/>
          <w:lang w:val="fr-CA"/>
        </w:rPr>
        <w:t xml:space="preserve"> c</w:t>
      </w:r>
      <w:r w:rsidR="00C604B3" w:rsidRPr="006E55EC">
        <w:rPr>
          <w:i/>
          <w:szCs w:val="24"/>
          <w:lang w:val="fr-CA"/>
        </w:rPr>
        <w:t>. Tran</w:t>
      </w:r>
      <w:r w:rsidR="00576FD4" w:rsidRPr="006E55EC">
        <w:rPr>
          <w:szCs w:val="24"/>
          <w:lang w:val="fr-CA"/>
        </w:rPr>
        <w:t>,</w:t>
      </w:r>
      <w:r w:rsidR="00576FD4" w:rsidRPr="006E55EC">
        <w:rPr>
          <w:i/>
          <w:szCs w:val="24"/>
          <w:lang w:val="fr-CA"/>
        </w:rPr>
        <w:t xml:space="preserve"> </w:t>
      </w:r>
      <w:r w:rsidR="00576FD4" w:rsidRPr="006E55EC">
        <w:rPr>
          <w:szCs w:val="24"/>
          <w:lang w:val="fr-CA"/>
        </w:rPr>
        <w:t xml:space="preserve">2010 CSC 58, [2010] 3 R.C.S. 350; </w:t>
      </w:r>
      <w:r w:rsidR="00576FD4" w:rsidRPr="006E55EC">
        <w:rPr>
          <w:i/>
          <w:szCs w:val="24"/>
          <w:lang w:val="fr-CA"/>
        </w:rPr>
        <w:t>R. c. Parent</w:t>
      </w:r>
      <w:r w:rsidR="00576FD4" w:rsidRPr="006E55EC">
        <w:rPr>
          <w:szCs w:val="24"/>
          <w:lang w:val="fr-CA"/>
        </w:rPr>
        <w:t>, 2001 CSC 30, [2001] 1 R.C.S. 761;</w:t>
      </w:r>
      <w:r w:rsidR="00576FD4" w:rsidRPr="006E55EC">
        <w:rPr>
          <w:szCs w:val="24"/>
          <w:lang w:val="fr-CA" w:bidi="en-US"/>
        </w:rPr>
        <w:t xml:space="preserve"> </w:t>
      </w:r>
      <w:r w:rsidR="00576FD4" w:rsidRPr="006E55EC">
        <w:rPr>
          <w:i/>
          <w:szCs w:val="24"/>
          <w:lang w:val="fr-CA" w:bidi="en-US"/>
        </w:rPr>
        <w:t>R. c. Tripodi</w:t>
      </w:r>
      <w:r w:rsidR="00576FD4" w:rsidRPr="006E55EC">
        <w:rPr>
          <w:szCs w:val="24"/>
          <w:lang w:val="fr-CA" w:bidi="en-US"/>
        </w:rPr>
        <w:t>, [1955] R.C.S. 438.</w:t>
      </w:r>
    </w:p>
    <w:p w:rsidR="004C532F" w:rsidRPr="006E55EC" w:rsidRDefault="004C532F" w:rsidP="00A2040A">
      <w:pPr>
        <w:pStyle w:val="SCCNormalDoubleSpacing"/>
        <w:keepNext/>
        <w:spacing w:after="480"/>
        <w:outlineLvl w:val="0"/>
        <w:rPr>
          <w:szCs w:val="24"/>
          <w:lang w:val="fr-CA" w:bidi="en-US"/>
        </w:rPr>
      </w:pPr>
      <w:r w:rsidRPr="006E55EC">
        <w:rPr>
          <w:szCs w:val="24"/>
          <w:lang w:val="fr-CA" w:bidi="en-US"/>
        </w:rPr>
        <w:lastRenderedPageBreak/>
        <w:t>Citée par le juge Fish</w:t>
      </w:r>
    </w:p>
    <w:p w:rsidR="00763039" w:rsidRPr="006E55EC" w:rsidRDefault="00763039" w:rsidP="007A3E23">
      <w:pPr>
        <w:pStyle w:val="SCCNormalDoubleSpacing"/>
        <w:spacing w:after="480"/>
        <w:rPr>
          <w:sz w:val="22"/>
          <w:szCs w:val="22"/>
          <w:lang w:val="fr-CA" w:bidi="en-US"/>
        </w:rPr>
      </w:pPr>
      <w:r w:rsidRPr="006E55EC">
        <w:rPr>
          <w:szCs w:val="24"/>
          <w:lang w:val="fr-CA" w:bidi="en-US"/>
        </w:rPr>
        <w:tab/>
      </w:r>
      <w:r w:rsidR="000726A4" w:rsidRPr="006E55EC">
        <w:rPr>
          <w:b/>
          <w:lang w:val="fr-CA"/>
        </w:rPr>
        <w:t>Arrêts mentionnés</w:t>
      </w:r>
      <w:r w:rsidR="005606FC" w:rsidRPr="006E55EC">
        <w:rPr>
          <w:b/>
          <w:lang w:val="fr-CA"/>
        </w:rPr>
        <w:t> :</w:t>
      </w:r>
      <w:r w:rsidR="000726A4" w:rsidRPr="006E55EC">
        <w:rPr>
          <w:b/>
          <w:lang w:val="fr-CA"/>
        </w:rPr>
        <w:t xml:space="preserve"> </w:t>
      </w:r>
      <w:r w:rsidR="000726A4" w:rsidRPr="006E55EC">
        <w:rPr>
          <w:i/>
          <w:lang w:val="fr-CA"/>
        </w:rPr>
        <w:t xml:space="preserve">Henderson </w:t>
      </w:r>
      <w:r w:rsidR="009463C4" w:rsidRPr="006E55EC">
        <w:rPr>
          <w:i/>
          <w:lang w:val="fr-CA"/>
        </w:rPr>
        <w:t>c</w:t>
      </w:r>
      <w:r w:rsidR="000726A4" w:rsidRPr="006E55EC">
        <w:rPr>
          <w:i/>
          <w:lang w:val="fr-CA"/>
        </w:rPr>
        <w:t>. The King</w:t>
      </w:r>
      <w:r w:rsidR="000726A4" w:rsidRPr="006E55EC">
        <w:rPr>
          <w:lang w:val="fr-CA"/>
        </w:rPr>
        <w:t xml:space="preserve">, [1948] </w:t>
      </w:r>
      <w:r w:rsidR="009463C4" w:rsidRPr="006E55EC">
        <w:rPr>
          <w:lang w:val="fr-CA"/>
        </w:rPr>
        <w:t>R.C.</w:t>
      </w:r>
      <w:r w:rsidR="000726A4" w:rsidRPr="006E55EC">
        <w:rPr>
          <w:lang w:val="fr-CA"/>
        </w:rPr>
        <w:t xml:space="preserve">S. 226; </w:t>
      </w:r>
      <w:r w:rsidR="000726A4" w:rsidRPr="006E55EC">
        <w:rPr>
          <w:i/>
          <w:lang w:val="fr-CA"/>
        </w:rPr>
        <w:t xml:space="preserve">R. </w:t>
      </w:r>
      <w:r w:rsidR="009463C4" w:rsidRPr="006E55EC">
        <w:rPr>
          <w:i/>
          <w:lang w:val="fr-CA"/>
        </w:rPr>
        <w:t>c</w:t>
      </w:r>
      <w:r w:rsidR="000726A4" w:rsidRPr="006E55EC">
        <w:rPr>
          <w:i/>
          <w:lang w:val="fr-CA"/>
        </w:rPr>
        <w:t>. Buzizi</w:t>
      </w:r>
      <w:r w:rsidR="000726A4" w:rsidRPr="006E55EC">
        <w:rPr>
          <w:lang w:val="fr-CA"/>
        </w:rPr>
        <w:t xml:space="preserve">, 2013 </w:t>
      </w:r>
      <w:r w:rsidR="009463C4" w:rsidRPr="006E55EC">
        <w:rPr>
          <w:lang w:val="fr-CA"/>
        </w:rPr>
        <w:t>C</w:t>
      </w:r>
      <w:r w:rsidR="000726A4" w:rsidRPr="006E55EC">
        <w:rPr>
          <w:lang w:val="fr-CA"/>
        </w:rPr>
        <w:t>SC 27</w:t>
      </w:r>
      <w:r w:rsidR="006C42B0">
        <w:rPr>
          <w:lang w:val="fr-CA"/>
        </w:rPr>
        <w:t xml:space="preserve">, </w:t>
      </w:r>
      <w:r w:rsidR="005252F2">
        <w:rPr>
          <w:lang w:val="fr-CA"/>
        </w:rPr>
        <w:t>[2013] 2</w:t>
      </w:r>
      <w:r w:rsidR="006C42B0" w:rsidRPr="006C42B0">
        <w:rPr>
          <w:lang w:val="fr-CA"/>
        </w:rPr>
        <w:t xml:space="preserve"> </w:t>
      </w:r>
      <w:r w:rsidR="00146F1D">
        <w:rPr>
          <w:lang w:val="fr-CA"/>
        </w:rPr>
        <w:t>R.C.S.</w:t>
      </w:r>
      <w:r w:rsidR="006C42B0" w:rsidRPr="006C42B0">
        <w:rPr>
          <w:lang w:val="fr-CA"/>
        </w:rPr>
        <w:t xml:space="preserve"> </w:t>
      </w:r>
      <w:r w:rsidR="005252F2">
        <w:rPr>
          <w:lang w:val="fr-CA"/>
        </w:rPr>
        <w:t>248</w:t>
      </w:r>
      <w:r w:rsidR="000726A4" w:rsidRPr="006E55EC">
        <w:rPr>
          <w:lang w:val="fr-CA"/>
        </w:rPr>
        <w:t xml:space="preserve">; </w:t>
      </w:r>
      <w:r w:rsidR="000726A4" w:rsidRPr="006E55EC">
        <w:rPr>
          <w:i/>
          <w:szCs w:val="24"/>
          <w:lang w:val="fr-CA"/>
        </w:rPr>
        <w:t xml:space="preserve">R. </w:t>
      </w:r>
      <w:r w:rsidR="009463C4" w:rsidRPr="006E55EC">
        <w:rPr>
          <w:i/>
          <w:szCs w:val="24"/>
          <w:lang w:val="fr-CA"/>
        </w:rPr>
        <w:t>c</w:t>
      </w:r>
      <w:r w:rsidR="000726A4" w:rsidRPr="006E55EC">
        <w:rPr>
          <w:i/>
          <w:szCs w:val="24"/>
          <w:lang w:val="fr-CA"/>
        </w:rPr>
        <w:t>. Cinous</w:t>
      </w:r>
      <w:r w:rsidR="000726A4" w:rsidRPr="006E55EC">
        <w:rPr>
          <w:szCs w:val="24"/>
          <w:lang w:val="fr-CA"/>
        </w:rPr>
        <w:t xml:space="preserve">, 2002 </w:t>
      </w:r>
      <w:r w:rsidR="009463C4" w:rsidRPr="006E55EC">
        <w:rPr>
          <w:szCs w:val="24"/>
          <w:lang w:val="fr-CA"/>
        </w:rPr>
        <w:t>C</w:t>
      </w:r>
      <w:r w:rsidR="000726A4" w:rsidRPr="006E55EC">
        <w:rPr>
          <w:szCs w:val="24"/>
          <w:lang w:val="fr-CA"/>
        </w:rPr>
        <w:t xml:space="preserve">SC 29, [2002] 2 </w:t>
      </w:r>
      <w:r w:rsidR="009463C4" w:rsidRPr="006E55EC">
        <w:rPr>
          <w:lang w:val="fr-CA"/>
        </w:rPr>
        <w:t>R.C.S.</w:t>
      </w:r>
      <w:r w:rsidR="000726A4" w:rsidRPr="006E55EC">
        <w:rPr>
          <w:szCs w:val="24"/>
          <w:lang w:val="fr-CA"/>
        </w:rPr>
        <w:t xml:space="preserve"> 3; </w:t>
      </w:r>
      <w:r w:rsidR="000726A4" w:rsidRPr="006E55EC">
        <w:rPr>
          <w:i/>
          <w:szCs w:val="24"/>
          <w:lang w:val="fr-CA"/>
        </w:rPr>
        <w:t xml:space="preserve">R. </w:t>
      </w:r>
      <w:r w:rsidR="009463C4" w:rsidRPr="006E55EC">
        <w:rPr>
          <w:i/>
          <w:szCs w:val="24"/>
          <w:lang w:val="fr-CA"/>
        </w:rPr>
        <w:t>c</w:t>
      </w:r>
      <w:r w:rsidR="000726A4" w:rsidRPr="006E55EC">
        <w:rPr>
          <w:i/>
          <w:szCs w:val="24"/>
          <w:lang w:val="fr-CA"/>
        </w:rPr>
        <w:t>. Fontaine</w:t>
      </w:r>
      <w:r w:rsidR="000726A4" w:rsidRPr="006E55EC">
        <w:rPr>
          <w:szCs w:val="24"/>
          <w:lang w:val="fr-CA"/>
        </w:rPr>
        <w:t xml:space="preserve">, 2004 </w:t>
      </w:r>
      <w:r w:rsidR="009463C4" w:rsidRPr="006E55EC">
        <w:rPr>
          <w:szCs w:val="24"/>
          <w:lang w:val="fr-CA"/>
        </w:rPr>
        <w:t>C</w:t>
      </w:r>
      <w:r w:rsidR="000726A4" w:rsidRPr="006E55EC">
        <w:rPr>
          <w:szCs w:val="24"/>
          <w:lang w:val="fr-CA"/>
        </w:rPr>
        <w:t xml:space="preserve">SC 27, [2004] 1 </w:t>
      </w:r>
      <w:r w:rsidR="009463C4" w:rsidRPr="006E55EC">
        <w:rPr>
          <w:lang w:val="fr-CA"/>
        </w:rPr>
        <w:t>R.C.S.</w:t>
      </w:r>
      <w:r w:rsidR="000726A4" w:rsidRPr="006E55EC">
        <w:rPr>
          <w:szCs w:val="24"/>
          <w:lang w:val="fr-CA"/>
        </w:rPr>
        <w:t xml:space="preserve"> 702</w:t>
      </w:r>
      <w:r w:rsidR="000726A4" w:rsidRPr="006E55EC">
        <w:rPr>
          <w:bCs/>
          <w:szCs w:val="24"/>
          <w:lang w:val="fr-CA"/>
        </w:rPr>
        <w:t xml:space="preserve">; </w:t>
      </w:r>
      <w:r w:rsidR="000726A4" w:rsidRPr="006E55EC">
        <w:rPr>
          <w:i/>
          <w:szCs w:val="24"/>
          <w:lang w:val="fr-CA"/>
        </w:rPr>
        <w:t xml:space="preserve">R. </w:t>
      </w:r>
      <w:r w:rsidR="009463C4" w:rsidRPr="006E55EC">
        <w:rPr>
          <w:i/>
          <w:szCs w:val="24"/>
          <w:lang w:val="fr-CA"/>
        </w:rPr>
        <w:t>c</w:t>
      </w:r>
      <w:r w:rsidR="000726A4" w:rsidRPr="006E55EC">
        <w:rPr>
          <w:i/>
          <w:szCs w:val="24"/>
          <w:lang w:val="fr-CA"/>
        </w:rPr>
        <w:t>. Gauthier</w:t>
      </w:r>
      <w:r w:rsidR="000726A4" w:rsidRPr="006E55EC">
        <w:rPr>
          <w:szCs w:val="24"/>
          <w:lang w:val="fr-CA"/>
        </w:rPr>
        <w:t xml:space="preserve">, 2013 </w:t>
      </w:r>
      <w:r w:rsidR="009463C4" w:rsidRPr="006E55EC">
        <w:rPr>
          <w:szCs w:val="24"/>
          <w:lang w:val="fr-CA"/>
        </w:rPr>
        <w:t>C</w:t>
      </w:r>
      <w:r w:rsidR="000726A4" w:rsidRPr="006E55EC">
        <w:rPr>
          <w:szCs w:val="24"/>
          <w:lang w:val="fr-CA"/>
        </w:rPr>
        <w:t>SC 32</w:t>
      </w:r>
      <w:r w:rsidR="006C42B0">
        <w:rPr>
          <w:szCs w:val="24"/>
          <w:lang w:val="fr-CA"/>
        </w:rPr>
        <w:t xml:space="preserve">, </w:t>
      </w:r>
      <w:r w:rsidR="005252F2">
        <w:rPr>
          <w:lang w:val="fr-CA"/>
        </w:rPr>
        <w:t>[2013] 2</w:t>
      </w:r>
      <w:r w:rsidR="006C42B0" w:rsidRPr="006C42B0">
        <w:rPr>
          <w:lang w:val="fr-CA"/>
        </w:rPr>
        <w:t xml:space="preserve"> </w:t>
      </w:r>
      <w:r w:rsidR="00146F1D">
        <w:rPr>
          <w:lang w:val="fr-CA"/>
        </w:rPr>
        <w:t>R.C.S.</w:t>
      </w:r>
      <w:r w:rsidR="006C42B0" w:rsidRPr="006C42B0">
        <w:rPr>
          <w:lang w:val="fr-CA"/>
        </w:rPr>
        <w:t xml:space="preserve"> </w:t>
      </w:r>
      <w:r w:rsidR="005252F2">
        <w:rPr>
          <w:lang w:val="fr-CA"/>
        </w:rPr>
        <w:t>403</w:t>
      </w:r>
      <w:r w:rsidR="000726A4" w:rsidRPr="006E55EC">
        <w:rPr>
          <w:szCs w:val="24"/>
          <w:lang w:val="fr-CA"/>
        </w:rPr>
        <w:t xml:space="preserve">; </w:t>
      </w:r>
      <w:r w:rsidR="000726A4" w:rsidRPr="006E55EC">
        <w:rPr>
          <w:i/>
          <w:szCs w:val="24"/>
          <w:lang w:val="fr-CA"/>
        </w:rPr>
        <w:t xml:space="preserve">R. </w:t>
      </w:r>
      <w:r w:rsidR="009463C4" w:rsidRPr="006E55EC">
        <w:rPr>
          <w:i/>
          <w:szCs w:val="24"/>
          <w:lang w:val="fr-CA"/>
        </w:rPr>
        <w:t>c</w:t>
      </w:r>
      <w:r w:rsidR="000726A4" w:rsidRPr="006E55EC">
        <w:rPr>
          <w:i/>
          <w:szCs w:val="24"/>
          <w:lang w:val="fr-CA"/>
        </w:rPr>
        <w:t>. Osolin</w:t>
      </w:r>
      <w:r w:rsidR="000726A4" w:rsidRPr="006E55EC">
        <w:rPr>
          <w:szCs w:val="24"/>
          <w:lang w:val="fr-CA"/>
        </w:rPr>
        <w:t xml:space="preserve">, [1993] 4 </w:t>
      </w:r>
      <w:r w:rsidR="009463C4" w:rsidRPr="006E55EC">
        <w:rPr>
          <w:lang w:val="fr-CA"/>
        </w:rPr>
        <w:t>R.C.S.</w:t>
      </w:r>
      <w:r w:rsidR="000726A4" w:rsidRPr="006E55EC">
        <w:rPr>
          <w:szCs w:val="24"/>
          <w:lang w:val="fr-CA"/>
        </w:rPr>
        <w:t xml:space="preserve"> 595; </w:t>
      </w:r>
      <w:r w:rsidR="000726A4" w:rsidRPr="006E55EC">
        <w:rPr>
          <w:i/>
          <w:szCs w:val="24"/>
          <w:lang w:val="fr-CA"/>
        </w:rPr>
        <w:t xml:space="preserve">R. </w:t>
      </w:r>
      <w:r w:rsidR="009463C4" w:rsidRPr="006E55EC">
        <w:rPr>
          <w:i/>
          <w:szCs w:val="24"/>
          <w:lang w:val="fr-CA"/>
        </w:rPr>
        <w:t>c</w:t>
      </w:r>
      <w:r w:rsidR="000726A4" w:rsidRPr="006E55EC">
        <w:rPr>
          <w:i/>
          <w:szCs w:val="24"/>
          <w:lang w:val="fr-CA"/>
        </w:rPr>
        <w:t>. Faid</w:t>
      </w:r>
      <w:r w:rsidR="000726A4" w:rsidRPr="006E55EC">
        <w:rPr>
          <w:szCs w:val="24"/>
          <w:lang w:val="fr-CA"/>
        </w:rPr>
        <w:t xml:space="preserve">, [1983] 1 </w:t>
      </w:r>
      <w:r w:rsidR="009463C4" w:rsidRPr="006E55EC">
        <w:rPr>
          <w:lang w:val="fr-CA"/>
        </w:rPr>
        <w:t>R.C.S.</w:t>
      </w:r>
      <w:r w:rsidR="000726A4" w:rsidRPr="006E55EC">
        <w:rPr>
          <w:szCs w:val="24"/>
          <w:lang w:val="fr-CA"/>
        </w:rPr>
        <w:t xml:space="preserve"> 265; </w:t>
      </w:r>
      <w:r w:rsidR="000726A4" w:rsidRPr="006E55EC">
        <w:rPr>
          <w:i/>
          <w:szCs w:val="24"/>
          <w:lang w:val="fr-CA"/>
        </w:rPr>
        <w:t xml:space="preserve">R. </w:t>
      </w:r>
      <w:r w:rsidR="009463C4" w:rsidRPr="006E55EC">
        <w:rPr>
          <w:i/>
          <w:szCs w:val="24"/>
          <w:lang w:val="fr-CA"/>
        </w:rPr>
        <w:t>c</w:t>
      </w:r>
      <w:r w:rsidR="000726A4" w:rsidRPr="006E55EC">
        <w:rPr>
          <w:i/>
          <w:szCs w:val="24"/>
          <w:lang w:val="fr-CA"/>
        </w:rPr>
        <w:t>. Mayuran</w:t>
      </w:r>
      <w:r w:rsidR="000726A4" w:rsidRPr="006E55EC">
        <w:rPr>
          <w:szCs w:val="24"/>
          <w:lang w:val="fr-CA"/>
        </w:rPr>
        <w:t xml:space="preserve">, </w:t>
      </w:r>
      <w:r w:rsidR="00786FA1" w:rsidRPr="006E55EC">
        <w:rPr>
          <w:szCs w:val="24"/>
          <w:lang w:val="fr-CA"/>
        </w:rPr>
        <w:t xml:space="preserve">2012 CSC 31, </w:t>
      </w:r>
      <w:r w:rsidR="000726A4" w:rsidRPr="006E55EC">
        <w:rPr>
          <w:szCs w:val="24"/>
          <w:lang w:val="fr-CA"/>
        </w:rPr>
        <w:t xml:space="preserve">[2012] 2 </w:t>
      </w:r>
      <w:r w:rsidR="009463C4" w:rsidRPr="006E55EC">
        <w:rPr>
          <w:lang w:val="fr-CA"/>
        </w:rPr>
        <w:t>R.C.S.</w:t>
      </w:r>
      <w:r w:rsidR="000726A4" w:rsidRPr="006E55EC">
        <w:rPr>
          <w:szCs w:val="24"/>
          <w:lang w:val="fr-CA"/>
        </w:rPr>
        <w:t xml:space="preserve"> 162; </w:t>
      </w:r>
      <w:r w:rsidR="000726A4" w:rsidRPr="006E55EC">
        <w:rPr>
          <w:i/>
          <w:szCs w:val="24"/>
          <w:lang w:val="fr-CA"/>
        </w:rPr>
        <w:t xml:space="preserve">R. </w:t>
      </w:r>
      <w:r w:rsidR="009463C4" w:rsidRPr="006E55EC">
        <w:rPr>
          <w:i/>
          <w:szCs w:val="24"/>
          <w:lang w:val="fr-CA"/>
        </w:rPr>
        <w:t>c</w:t>
      </w:r>
      <w:r w:rsidR="000726A4" w:rsidRPr="006E55EC">
        <w:rPr>
          <w:i/>
          <w:szCs w:val="24"/>
          <w:lang w:val="fr-CA"/>
        </w:rPr>
        <w:t>. Thibert</w:t>
      </w:r>
      <w:r w:rsidR="000726A4" w:rsidRPr="006E55EC">
        <w:rPr>
          <w:szCs w:val="24"/>
          <w:lang w:val="fr-CA"/>
        </w:rPr>
        <w:t xml:space="preserve">, [1996] 1 </w:t>
      </w:r>
      <w:r w:rsidR="009463C4" w:rsidRPr="006E55EC">
        <w:rPr>
          <w:lang w:val="fr-CA"/>
        </w:rPr>
        <w:t>R.C.S.</w:t>
      </w:r>
      <w:r w:rsidR="000726A4" w:rsidRPr="006E55EC">
        <w:rPr>
          <w:szCs w:val="24"/>
          <w:lang w:val="fr-CA"/>
        </w:rPr>
        <w:t xml:space="preserve"> 37; </w:t>
      </w:r>
      <w:r w:rsidR="000726A4" w:rsidRPr="006E55EC">
        <w:rPr>
          <w:i/>
          <w:szCs w:val="24"/>
          <w:lang w:val="fr-CA"/>
        </w:rPr>
        <w:t>Parnerkar</w:t>
      </w:r>
      <w:r w:rsidR="00786FA1" w:rsidRPr="006E55EC">
        <w:rPr>
          <w:i/>
          <w:szCs w:val="24"/>
          <w:lang w:val="fr-CA"/>
        </w:rPr>
        <w:t xml:space="preserve"> c. La Reine</w:t>
      </w:r>
      <w:r w:rsidR="000726A4" w:rsidRPr="006E55EC">
        <w:rPr>
          <w:szCs w:val="24"/>
          <w:lang w:val="fr-CA"/>
        </w:rPr>
        <w:t xml:space="preserve">, [1974] </w:t>
      </w:r>
      <w:r w:rsidR="009463C4" w:rsidRPr="006E55EC">
        <w:rPr>
          <w:lang w:val="fr-CA"/>
        </w:rPr>
        <w:t>R.C.S.</w:t>
      </w:r>
      <w:r w:rsidR="000726A4" w:rsidRPr="006E55EC">
        <w:rPr>
          <w:szCs w:val="24"/>
          <w:lang w:val="fr-CA"/>
        </w:rPr>
        <w:t xml:space="preserve"> 449; </w:t>
      </w:r>
      <w:r w:rsidR="000726A4" w:rsidRPr="006E55EC">
        <w:rPr>
          <w:i/>
          <w:szCs w:val="24"/>
          <w:lang w:val="fr-CA"/>
        </w:rPr>
        <w:t xml:space="preserve">R. </w:t>
      </w:r>
      <w:r w:rsidR="009463C4" w:rsidRPr="006E55EC">
        <w:rPr>
          <w:i/>
          <w:szCs w:val="24"/>
          <w:lang w:val="fr-CA"/>
        </w:rPr>
        <w:t>c</w:t>
      </w:r>
      <w:r w:rsidR="000726A4" w:rsidRPr="006E55EC">
        <w:rPr>
          <w:i/>
          <w:szCs w:val="24"/>
          <w:lang w:val="fr-CA"/>
        </w:rPr>
        <w:t>. Tran</w:t>
      </w:r>
      <w:r w:rsidR="000726A4" w:rsidRPr="006E55EC">
        <w:rPr>
          <w:szCs w:val="24"/>
          <w:lang w:val="fr-CA"/>
        </w:rPr>
        <w:t xml:space="preserve">, 2010 </w:t>
      </w:r>
      <w:r w:rsidR="009463C4" w:rsidRPr="006E55EC">
        <w:rPr>
          <w:szCs w:val="24"/>
          <w:lang w:val="fr-CA"/>
        </w:rPr>
        <w:t>C</w:t>
      </w:r>
      <w:r w:rsidR="000726A4" w:rsidRPr="006E55EC">
        <w:rPr>
          <w:szCs w:val="24"/>
          <w:lang w:val="fr-CA"/>
        </w:rPr>
        <w:t xml:space="preserve">SC 58, [2010] 3 </w:t>
      </w:r>
      <w:r w:rsidR="009463C4" w:rsidRPr="006E55EC">
        <w:rPr>
          <w:lang w:val="fr-CA"/>
        </w:rPr>
        <w:t>R.C.S.</w:t>
      </w:r>
      <w:r w:rsidR="000726A4" w:rsidRPr="006E55EC">
        <w:rPr>
          <w:szCs w:val="24"/>
          <w:lang w:val="fr-CA"/>
        </w:rPr>
        <w:t xml:space="preserve"> 350; </w:t>
      </w:r>
      <w:r w:rsidR="000726A4" w:rsidRPr="006E55EC">
        <w:rPr>
          <w:i/>
          <w:szCs w:val="24"/>
          <w:lang w:val="fr-CA"/>
        </w:rPr>
        <w:t xml:space="preserve">R. </w:t>
      </w:r>
      <w:r w:rsidR="009463C4" w:rsidRPr="006E55EC">
        <w:rPr>
          <w:i/>
          <w:szCs w:val="24"/>
          <w:lang w:val="fr-CA"/>
        </w:rPr>
        <w:t>c</w:t>
      </w:r>
      <w:r w:rsidR="000726A4" w:rsidRPr="006E55EC">
        <w:rPr>
          <w:i/>
          <w:szCs w:val="24"/>
          <w:lang w:val="fr-CA"/>
        </w:rPr>
        <w:t>. Cairney</w:t>
      </w:r>
      <w:r w:rsidR="000726A4" w:rsidRPr="006E55EC">
        <w:rPr>
          <w:szCs w:val="24"/>
          <w:lang w:val="fr-CA"/>
        </w:rPr>
        <w:t xml:space="preserve">, 2013 </w:t>
      </w:r>
      <w:r w:rsidR="009463C4" w:rsidRPr="006E55EC">
        <w:rPr>
          <w:szCs w:val="24"/>
          <w:lang w:val="fr-CA"/>
        </w:rPr>
        <w:t>C</w:t>
      </w:r>
      <w:r w:rsidR="000726A4" w:rsidRPr="006E55EC">
        <w:rPr>
          <w:szCs w:val="24"/>
          <w:lang w:val="fr-CA"/>
        </w:rPr>
        <w:t xml:space="preserve">SC </w:t>
      </w:r>
      <w:r w:rsidR="00395D1C" w:rsidRPr="006E55EC">
        <w:rPr>
          <w:szCs w:val="24"/>
          <w:lang w:val="fr-CA"/>
        </w:rPr>
        <w:t>55</w:t>
      </w:r>
      <w:r w:rsidR="0029387E">
        <w:rPr>
          <w:szCs w:val="24"/>
          <w:lang w:val="fr-CA"/>
        </w:rPr>
        <w:t xml:space="preserve">, </w:t>
      </w:r>
      <w:r w:rsidR="0029387E">
        <w:rPr>
          <w:lang w:val="fr-CA"/>
        </w:rPr>
        <w:t xml:space="preserve">[2013] </w:t>
      </w:r>
      <w:r w:rsidR="00BE2913">
        <w:rPr>
          <w:lang w:val="fr-CA"/>
        </w:rPr>
        <w:t>3</w:t>
      </w:r>
      <w:r w:rsidR="0029387E">
        <w:rPr>
          <w:lang w:val="fr-CA"/>
        </w:rPr>
        <w:t xml:space="preserve"> </w:t>
      </w:r>
      <w:r w:rsidR="0029387E" w:rsidRPr="0029387E">
        <w:rPr>
          <w:lang w:val="fr-CA"/>
        </w:rPr>
        <w:t>R.</w:t>
      </w:r>
      <w:r w:rsidR="0029387E">
        <w:rPr>
          <w:lang w:val="fr-CA"/>
        </w:rPr>
        <w:t>C.S.</w:t>
      </w:r>
      <w:r w:rsidR="0029387E" w:rsidRPr="0029387E">
        <w:rPr>
          <w:lang w:val="fr-CA"/>
        </w:rPr>
        <w:t xml:space="preserve"> </w:t>
      </w:r>
      <w:r w:rsidR="00BD0BAC">
        <w:rPr>
          <w:lang w:val="fr-CA"/>
        </w:rPr>
        <w:t>420</w:t>
      </w:r>
      <w:r w:rsidR="000726A4" w:rsidRPr="006E55EC">
        <w:rPr>
          <w:bCs/>
          <w:szCs w:val="24"/>
          <w:lang w:val="fr-CA"/>
        </w:rPr>
        <w:t>.</w:t>
      </w:r>
    </w:p>
    <w:p w:rsidR="004D7D95" w:rsidRPr="006E55EC" w:rsidRDefault="004D7D95" w:rsidP="00A2040A">
      <w:pPr>
        <w:pStyle w:val="SCCNormalDoubleSpacing"/>
        <w:keepNext/>
        <w:spacing w:after="720" w:line="240" w:lineRule="auto"/>
        <w:outlineLvl w:val="0"/>
        <w:rPr>
          <w:b/>
          <w:lang w:val="fr-CA"/>
        </w:rPr>
      </w:pPr>
      <w:r w:rsidRPr="006E55EC">
        <w:rPr>
          <w:b/>
          <w:lang w:val="fr-CA"/>
        </w:rPr>
        <w:t>Lois et règlements cités</w:t>
      </w:r>
    </w:p>
    <w:p w:rsidR="000726A4" w:rsidRPr="006E55EC" w:rsidRDefault="000726A4" w:rsidP="000726A4">
      <w:pPr>
        <w:pStyle w:val="SCCNormalDoubleSpacing"/>
        <w:spacing w:after="240" w:line="240" w:lineRule="auto"/>
        <w:ind w:left="547" w:hanging="547"/>
        <w:rPr>
          <w:szCs w:val="24"/>
          <w:lang w:val="fr-CA"/>
        </w:rPr>
      </w:pPr>
      <w:r w:rsidRPr="006E55EC">
        <w:rPr>
          <w:i/>
          <w:szCs w:val="24"/>
          <w:lang w:val="fr-CA"/>
        </w:rPr>
        <w:t>Charte canadienne des droits et libertés</w:t>
      </w:r>
      <w:r w:rsidR="00F548D5" w:rsidRPr="006E55EC">
        <w:rPr>
          <w:szCs w:val="24"/>
          <w:lang w:val="fr-CA"/>
        </w:rPr>
        <w:t>,</w:t>
      </w:r>
      <w:r w:rsidRPr="006E55EC">
        <w:rPr>
          <w:szCs w:val="24"/>
          <w:lang w:val="fr-CA"/>
        </w:rPr>
        <w:t xml:space="preserve"> </w:t>
      </w:r>
      <w:r w:rsidR="005606FC" w:rsidRPr="006E55EC">
        <w:rPr>
          <w:szCs w:val="24"/>
          <w:lang w:val="fr-CA"/>
        </w:rPr>
        <w:t>art. </w:t>
      </w:r>
      <w:r w:rsidRPr="006E55EC">
        <w:rPr>
          <w:szCs w:val="24"/>
          <w:lang w:val="fr-CA"/>
        </w:rPr>
        <w:t>11</w:t>
      </w:r>
      <w:r w:rsidRPr="006E55EC">
        <w:rPr>
          <w:i/>
          <w:szCs w:val="24"/>
          <w:lang w:val="fr-CA"/>
        </w:rPr>
        <w:t>d</w:t>
      </w:r>
      <w:r w:rsidRPr="006E55EC">
        <w:rPr>
          <w:szCs w:val="24"/>
          <w:lang w:val="fr-CA"/>
        </w:rPr>
        <w:t xml:space="preserve">), </w:t>
      </w:r>
      <w:r w:rsidRPr="006E55EC">
        <w:rPr>
          <w:i/>
          <w:szCs w:val="24"/>
          <w:lang w:val="fr-CA"/>
        </w:rPr>
        <w:t>f</w:t>
      </w:r>
      <w:r w:rsidRPr="006E55EC">
        <w:rPr>
          <w:szCs w:val="24"/>
          <w:lang w:val="fr-CA"/>
        </w:rPr>
        <w:t>).</w:t>
      </w:r>
    </w:p>
    <w:p w:rsidR="004D7D95" w:rsidRPr="006E55EC" w:rsidRDefault="007D299A" w:rsidP="00763039">
      <w:pPr>
        <w:pStyle w:val="SCCNormalDoubleSpacing"/>
        <w:spacing w:after="720" w:line="240" w:lineRule="auto"/>
        <w:ind w:left="547" w:hanging="547"/>
        <w:rPr>
          <w:szCs w:val="24"/>
          <w:lang w:val="fr-CA"/>
        </w:rPr>
      </w:pPr>
      <w:r w:rsidRPr="006E55EC">
        <w:rPr>
          <w:i/>
          <w:szCs w:val="24"/>
          <w:lang w:val="fr-CA"/>
        </w:rPr>
        <w:t>Code criminel</w:t>
      </w:r>
      <w:r w:rsidR="00D566F0" w:rsidRPr="006E55EC">
        <w:rPr>
          <w:szCs w:val="24"/>
          <w:lang w:val="fr-CA"/>
        </w:rPr>
        <w:t>, L.R</w:t>
      </w:r>
      <w:r w:rsidRPr="006E55EC">
        <w:rPr>
          <w:szCs w:val="24"/>
          <w:lang w:val="fr-CA"/>
        </w:rPr>
        <w:t xml:space="preserve">.C. 1985, </w:t>
      </w:r>
      <w:r w:rsidR="005606FC" w:rsidRPr="006E55EC">
        <w:rPr>
          <w:szCs w:val="24"/>
          <w:lang w:val="fr-CA"/>
        </w:rPr>
        <w:t>ch. </w:t>
      </w:r>
      <w:r w:rsidRPr="006E55EC">
        <w:rPr>
          <w:szCs w:val="24"/>
          <w:lang w:val="fr-CA"/>
        </w:rPr>
        <w:t>C</w:t>
      </w:r>
      <w:r w:rsidR="005606FC" w:rsidRPr="006E55EC">
        <w:rPr>
          <w:szCs w:val="24"/>
          <w:lang w:val="fr-CA"/>
        </w:rPr>
        <w:noBreakHyphen/>
      </w:r>
      <w:r w:rsidRPr="006E55EC">
        <w:rPr>
          <w:szCs w:val="24"/>
          <w:lang w:val="fr-CA"/>
        </w:rPr>
        <w:t xml:space="preserve">46, </w:t>
      </w:r>
      <w:r w:rsidR="005606FC" w:rsidRPr="006E55EC">
        <w:rPr>
          <w:szCs w:val="24"/>
          <w:lang w:val="fr-CA"/>
        </w:rPr>
        <w:t>art. </w:t>
      </w:r>
      <w:r w:rsidRPr="006E55EC">
        <w:rPr>
          <w:szCs w:val="24"/>
          <w:lang w:val="fr-CA"/>
        </w:rPr>
        <w:t>232</w:t>
      </w:r>
      <w:r w:rsidR="0043624B" w:rsidRPr="006E55EC">
        <w:rPr>
          <w:szCs w:val="24"/>
          <w:lang w:val="fr-CA"/>
        </w:rPr>
        <w:t>.</w:t>
      </w:r>
    </w:p>
    <w:p w:rsidR="004D7D95" w:rsidRPr="006E55EC" w:rsidRDefault="00585325" w:rsidP="00454DD2">
      <w:pPr>
        <w:pStyle w:val="SCCNormalDoubleSpacing"/>
        <w:spacing w:after="480"/>
        <w:rPr>
          <w:lang w:val="fr-CA"/>
        </w:rPr>
      </w:pPr>
      <w:r w:rsidRPr="00907E52">
        <w:rPr>
          <w:lang w:val="fr-CA"/>
        </w:rPr>
        <w:tab/>
      </w:r>
      <w:r w:rsidR="004D7D95" w:rsidRPr="006E55EC">
        <w:rPr>
          <w:lang w:val="fr-CA"/>
        </w:rPr>
        <w:t>POURVOI contre un arrêt de la Cou</w:t>
      </w:r>
      <w:r w:rsidRPr="006E55EC">
        <w:rPr>
          <w:lang w:val="fr-CA"/>
        </w:rPr>
        <w:t>r d</w:t>
      </w:r>
      <w:r w:rsidR="00521696" w:rsidRPr="006E55EC">
        <w:rPr>
          <w:lang w:val="fr-CA"/>
        </w:rPr>
        <w:t>’</w:t>
      </w:r>
      <w:r w:rsidRPr="006E55EC">
        <w:rPr>
          <w:lang w:val="fr-CA"/>
        </w:rPr>
        <w:t>appel de l</w:t>
      </w:r>
      <w:r w:rsidR="00521696" w:rsidRPr="006E55EC">
        <w:rPr>
          <w:lang w:val="fr-CA"/>
        </w:rPr>
        <w:t>’</w:t>
      </w:r>
      <w:r w:rsidRPr="006E55EC">
        <w:rPr>
          <w:lang w:val="fr-CA"/>
        </w:rPr>
        <w:t>Alberta (</w:t>
      </w:r>
      <w:r w:rsidR="0043624B" w:rsidRPr="006E55EC">
        <w:rPr>
          <w:lang w:val="fr-CA"/>
        </w:rPr>
        <w:t xml:space="preserve">les juges </w:t>
      </w:r>
      <w:r w:rsidRPr="006E55EC">
        <w:rPr>
          <w:lang w:val="fr-CA"/>
        </w:rPr>
        <w:t>Berger, O</w:t>
      </w:r>
      <w:r w:rsidR="00521696" w:rsidRPr="006E55EC">
        <w:rPr>
          <w:lang w:val="fr-CA"/>
        </w:rPr>
        <w:t>’</w:t>
      </w:r>
      <w:r w:rsidRPr="006E55EC">
        <w:rPr>
          <w:lang w:val="fr-CA"/>
        </w:rPr>
        <w:t xml:space="preserve">Brien et Rowbotham), 2012 ABCA 221, </w:t>
      </w:r>
      <w:r w:rsidR="0043624B" w:rsidRPr="006E55EC">
        <w:rPr>
          <w:lang w:val="fr-CA"/>
        </w:rPr>
        <w:t xml:space="preserve">533 A.R. 294, </w:t>
      </w:r>
      <w:r w:rsidR="007D5957" w:rsidRPr="006E55EC">
        <w:rPr>
          <w:lang w:val="fr-CA"/>
        </w:rPr>
        <w:t xml:space="preserve">65 Alta. L.R. (5th) 359, 288 C.C.C. (3d) 323, </w:t>
      </w:r>
      <w:r w:rsidRPr="006E55EC">
        <w:rPr>
          <w:lang w:val="fr-CA"/>
        </w:rPr>
        <w:t xml:space="preserve">264 C.R.R. (2d) 211, 557 W.A.C. 294, [2012] A.J. </w:t>
      </w:r>
      <w:r w:rsidR="005606FC" w:rsidRPr="006E55EC">
        <w:rPr>
          <w:lang w:val="fr-CA"/>
        </w:rPr>
        <w:t>No. </w:t>
      </w:r>
      <w:r w:rsidRPr="006E55EC">
        <w:rPr>
          <w:lang w:val="fr-CA"/>
        </w:rPr>
        <w:t>716 (QL), 2012 CarswellAlta 1191</w:t>
      </w:r>
      <w:r w:rsidR="0043624B" w:rsidRPr="006E55EC">
        <w:rPr>
          <w:lang w:val="fr-CA"/>
        </w:rPr>
        <w:t>,</w:t>
      </w:r>
      <w:r w:rsidRPr="006E55EC">
        <w:rPr>
          <w:lang w:val="fr-CA"/>
        </w:rPr>
        <w:t xml:space="preserve"> </w:t>
      </w:r>
      <w:r w:rsidR="0043624B" w:rsidRPr="006E55EC">
        <w:rPr>
          <w:lang w:val="fr-CA"/>
        </w:rPr>
        <w:t>qui a confirmé la déclaration de culpabilité de meurtre au deuxième degré prononcée contre l</w:t>
      </w:r>
      <w:r w:rsidR="00521696" w:rsidRPr="006E55EC">
        <w:rPr>
          <w:lang w:val="fr-CA"/>
        </w:rPr>
        <w:t>’</w:t>
      </w:r>
      <w:r w:rsidR="0043624B" w:rsidRPr="006E55EC">
        <w:rPr>
          <w:lang w:val="fr-CA"/>
        </w:rPr>
        <w:t xml:space="preserve">accusé. </w:t>
      </w:r>
      <w:r w:rsidR="005604A8" w:rsidRPr="006E55EC">
        <w:rPr>
          <w:lang w:val="fr-CA"/>
        </w:rPr>
        <w:t xml:space="preserve"> </w:t>
      </w:r>
      <w:r w:rsidR="0043624B" w:rsidRPr="006E55EC">
        <w:rPr>
          <w:lang w:val="fr-CA"/>
        </w:rPr>
        <w:t>Pourvoi</w:t>
      </w:r>
      <w:r w:rsidRPr="006E55EC">
        <w:rPr>
          <w:lang w:val="fr-CA"/>
        </w:rPr>
        <w:t xml:space="preserve"> </w:t>
      </w:r>
      <w:r w:rsidR="00037960" w:rsidRPr="006E55EC">
        <w:rPr>
          <w:lang w:val="fr-CA"/>
        </w:rPr>
        <w:t>rejeté</w:t>
      </w:r>
      <w:r w:rsidRPr="006E55EC">
        <w:rPr>
          <w:lang w:val="fr-CA"/>
        </w:rPr>
        <w:t>.</w:t>
      </w:r>
    </w:p>
    <w:p w:rsidR="00CB62EC" w:rsidRPr="006E55EC" w:rsidRDefault="003210F2" w:rsidP="00454DD2">
      <w:pPr>
        <w:pStyle w:val="SCCNormalDoubleSpacing"/>
        <w:spacing w:after="480"/>
        <w:rPr>
          <w:lang w:val="fr-CA"/>
        </w:rPr>
      </w:pPr>
      <w:r w:rsidRPr="006E55EC">
        <w:rPr>
          <w:i/>
          <w:lang w:val="fr-CA"/>
        </w:rPr>
        <w:tab/>
        <w:t>Michael Bates</w:t>
      </w:r>
      <w:r w:rsidRPr="006E55EC">
        <w:rPr>
          <w:lang w:val="fr-CA"/>
        </w:rPr>
        <w:t>,</w:t>
      </w:r>
      <w:r w:rsidR="00585325" w:rsidRPr="006E55EC">
        <w:rPr>
          <w:lang w:val="fr-CA"/>
        </w:rPr>
        <w:t xml:space="preserve"> </w:t>
      </w:r>
      <w:r w:rsidR="00585325" w:rsidRPr="006E55EC">
        <w:rPr>
          <w:i/>
          <w:lang w:val="fr-CA"/>
        </w:rPr>
        <w:t xml:space="preserve">Jennifer Ruttan </w:t>
      </w:r>
      <w:r w:rsidR="00585325" w:rsidRPr="006E55EC">
        <w:rPr>
          <w:lang w:val="fr-CA"/>
        </w:rPr>
        <w:t>et</w:t>
      </w:r>
      <w:r w:rsidR="00585325" w:rsidRPr="006E55EC">
        <w:rPr>
          <w:i/>
          <w:lang w:val="fr-CA"/>
        </w:rPr>
        <w:t xml:space="preserve"> Geoff Ellwand</w:t>
      </w:r>
      <w:r w:rsidR="003D3272">
        <w:rPr>
          <w:lang w:val="fr-CA"/>
        </w:rPr>
        <w:t>,</w:t>
      </w:r>
      <w:r w:rsidR="00585325" w:rsidRPr="006E55EC">
        <w:rPr>
          <w:lang w:val="fr-CA"/>
        </w:rPr>
        <w:t xml:space="preserve"> pour l</w:t>
      </w:r>
      <w:r w:rsidR="00521696" w:rsidRPr="006E55EC">
        <w:rPr>
          <w:lang w:val="fr-CA"/>
        </w:rPr>
        <w:t>’</w:t>
      </w:r>
      <w:r w:rsidR="00585325" w:rsidRPr="006E55EC">
        <w:rPr>
          <w:lang w:val="fr-CA"/>
        </w:rPr>
        <w:t>appelant</w:t>
      </w:r>
      <w:r w:rsidRPr="006E55EC">
        <w:rPr>
          <w:lang w:val="fr-CA"/>
        </w:rPr>
        <w:t>.</w:t>
      </w:r>
    </w:p>
    <w:p w:rsidR="00CB62EC" w:rsidRPr="006E55EC" w:rsidRDefault="003210F2" w:rsidP="00454DD2">
      <w:pPr>
        <w:pStyle w:val="SCCNormalDoubleSpacing"/>
        <w:spacing w:after="480"/>
        <w:rPr>
          <w:lang w:val="fr-CA"/>
        </w:rPr>
      </w:pPr>
      <w:r w:rsidRPr="006E55EC">
        <w:rPr>
          <w:i/>
          <w:lang w:val="fr-CA"/>
        </w:rPr>
        <w:tab/>
        <w:t>Jolaine Antonio</w:t>
      </w:r>
      <w:r w:rsidR="00585325" w:rsidRPr="006E55EC">
        <w:rPr>
          <w:lang w:val="fr-CA"/>
        </w:rPr>
        <w:t>, pour l</w:t>
      </w:r>
      <w:r w:rsidR="00521696" w:rsidRPr="006E55EC">
        <w:rPr>
          <w:lang w:val="fr-CA"/>
        </w:rPr>
        <w:t>’</w:t>
      </w:r>
      <w:r w:rsidR="00585325" w:rsidRPr="006E55EC">
        <w:rPr>
          <w:lang w:val="fr-CA"/>
        </w:rPr>
        <w:t>intimée</w:t>
      </w:r>
      <w:r w:rsidRPr="006E55EC">
        <w:rPr>
          <w:lang w:val="fr-CA"/>
        </w:rPr>
        <w:t>.</w:t>
      </w:r>
    </w:p>
    <w:p w:rsidR="00FB0825" w:rsidRPr="006C42B0" w:rsidRDefault="00444E65" w:rsidP="00FB0825">
      <w:pPr>
        <w:pStyle w:val="JudgeJuge"/>
        <w:spacing w:before="480"/>
        <w:rPr>
          <w:smallCaps w:val="0"/>
          <w:lang w:val="fr-CA"/>
        </w:rPr>
      </w:pPr>
      <w:r>
        <w:rPr>
          <w:smallCaps w:val="0"/>
          <w:lang w:val="fr-CA"/>
        </w:rPr>
        <w:lastRenderedPageBreak/>
        <w:tab/>
      </w:r>
      <w:r w:rsidR="006C42B0" w:rsidRPr="006C42B0">
        <w:rPr>
          <w:smallCaps w:val="0"/>
          <w:lang w:val="fr-CA"/>
        </w:rPr>
        <w:t>Version française du jugement de la juge en chef McLachlin et des juges Abella, Rothstein, Cromwell, Moldaver et Wagner rendu par</w:t>
      </w:r>
    </w:p>
    <w:p w:rsidR="00FB0825" w:rsidRPr="00783D5D" w:rsidRDefault="00FB0825" w:rsidP="00A2040A">
      <w:pPr>
        <w:pStyle w:val="JudgeJuge"/>
        <w:spacing w:before="480"/>
        <w:outlineLvl w:val="0"/>
        <w:rPr>
          <w:lang w:val="fr-CA"/>
        </w:rPr>
      </w:pPr>
      <w:r w:rsidRPr="00783D5D">
        <w:rPr>
          <w:lang w:val="fr-CA"/>
        </w:rPr>
        <w:tab/>
        <w:t xml:space="preserve">La Juge en chef — </w:t>
      </w:r>
    </w:p>
    <w:p w:rsidR="00FB0825" w:rsidRPr="00783D5D" w:rsidRDefault="00FB0825" w:rsidP="00FB0825">
      <w:pPr>
        <w:pStyle w:val="TitleTitre-AltT"/>
        <w:numPr>
          <w:ilvl w:val="0"/>
          <w:numId w:val="9"/>
        </w:numPr>
        <w:tabs>
          <w:tab w:val="clear" w:pos="360"/>
          <w:tab w:val="left" w:pos="426"/>
        </w:tabs>
        <w:ind w:left="426" w:hanging="426"/>
        <w:rPr>
          <w:rFonts w:cs="Times New Roman"/>
          <w:lang w:val="fr-CA"/>
        </w:rPr>
      </w:pPr>
      <w:r w:rsidRPr="00783D5D">
        <w:rPr>
          <w:rFonts w:cs="Times New Roman"/>
          <w:u w:val="single"/>
          <w:lang w:val="fr-CA"/>
        </w:rPr>
        <w:t>Contexte</w:t>
      </w:r>
    </w:p>
    <w:p w:rsidR="00FB0825" w:rsidRPr="00783D5D" w:rsidRDefault="00FB0825" w:rsidP="00FB0825">
      <w:pPr>
        <w:pStyle w:val="ParaNoNdepar-AltN"/>
        <w:rPr>
          <w:rFonts w:cs="Times New Roman"/>
          <w:lang w:val="fr-CA"/>
        </w:rPr>
      </w:pPr>
      <w:r w:rsidRPr="00783D5D">
        <w:rPr>
          <w:rFonts w:cs="Times New Roman"/>
          <w:lang w:val="fr-CA"/>
        </w:rPr>
        <w:t>Le 10 novembre 2006, le corps de Brian Kullman a été découvert dans la région de Elbow Falls, au sud</w:t>
      </w:r>
      <w:r w:rsidRPr="00783D5D">
        <w:rPr>
          <w:rFonts w:cs="Times New Roman"/>
          <w:lang w:val="fr-CA"/>
        </w:rPr>
        <w:noBreakHyphen/>
        <w:t xml:space="preserve">ouest de Calgary, en Alberta.  La victime avait été abattue de deux balles, l’une au dos, l’autre à la tête. </w:t>
      </w:r>
    </w:p>
    <w:p w:rsidR="00FB0825" w:rsidRPr="00783D5D" w:rsidRDefault="00FB0825" w:rsidP="00FB0825">
      <w:pPr>
        <w:pStyle w:val="ParaNoNdepar-AltN"/>
        <w:rPr>
          <w:rFonts w:cs="Times New Roman"/>
          <w:lang w:val="fr-CA"/>
        </w:rPr>
      </w:pPr>
      <w:r w:rsidRPr="00783D5D">
        <w:rPr>
          <w:rFonts w:cs="Times New Roman"/>
          <w:lang w:val="fr-CA"/>
        </w:rPr>
        <w:t xml:space="preserve">Cinq jours plus tard, l’appelant, Bill Pappas était arrêté au moment où il s’apprêtait à s’envoler pour Londres, en Angleterre.  Lors de son interrogatoire, il a avoué aux policiers avoir tué M. Kullman.  </w:t>
      </w:r>
    </w:p>
    <w:p w:rsidR="00FB0825" w:rsidRPr="00783D5D" w:rsidRDefault="00FB0825" w:rsidP="00FB0825">
      <w:pPr>
        <w:pStyle w:val="ParaNoNdepar-AltN"/>
        <w:rPr>
          <w:rFonts w:cs="Times New Roman"/>
          <w:lang w:val="fr-CA"/>
        </w:rPr>
      </w:pPr>
      <w:r w:rsidRPr="00783D5D">
        <w:rPr>
          <w:rFonts w:cs="Times New Roman"/>
          <w:lang w:val="fr-CA"/>
        </w:rPr>
        <w:t>M. Pappas a donné aux policiers sa version des événements qui avaient mené au décès de M. Kullman.  Il a soutenu que, pendant environ 18 mois, ce dernier lui avait extorqué de l’argent sous la menace de révéler à l’Agence du revenu du Canada ses placements à l’étranger et de s’en prendre à sa mère s’il cessait de payer ou s’il s’adressait à la police.  Toujours selon M. Pappas, deux associés de M. Kullman avaient d’ailleurs rendu visite à sa mère en guise d’avertissement et lui avaient ensuite dit : [</w:t>
      </w:r>
      <w:r w:rsidRPr="00783D5D">
        <w:rPr>
          <w:rFonts w:cs="Times New Roman"/>
          <w:smallCaps/>
          <w:lang w:val="fr-CA"/>
        </w:rPr>
        <w:t>traduction</w:t>
      </w:r>
      <w:r w:rsidR="00BB0EAF">
        <w:rPr>
          <w:rFonts w:cs="Times New Roman"/>
          <w:lang w:val="fr-CA"/>
        </w:rPr>
        <w:t xml:space="preserve">] « Tu dis non à Brian </w:t>
      </w:r>
      <w:r w:rsidR="00D61933">
        <w:rPr>
          <w:rFonts w:cs="Times New Roman"/>
          <w:lang w:val="fr-CA"/>
        </w:rPr>
        <w:t>—</w:t>
      </w:r>
      <w:r w:rsidRPr="00783D5D">
        <w:rPr>
          <w:rFonts w:cs="Times New Roman"/>
          <w:lang w:val="fr-CA"/>
        </w:rPr>
        <w:t xml:space="preserve"> tu dis non à Brian et la prochaine fois, ça ne sera p</w:t>
      </w:r>
      <w:r w:rsidR="00BB0EAF">
        <w:rPr>
          <w:rFonts w:cs="Times New Roman"/>
          <w:lang w:val="fr-CA"/>
        </w:rPr>
        <w:t>as une visite de courtoisie » (d.a</w:t>
      </w:r>
      <w:r w:rsidRPr="00783D5D">
        <w:rPr>
          <w:rFonts w:cs="Times New Roman"/>
          <w:lang w:val="fr-CA"/>
        </w:rPr>
        <w:t>., vol. II, p. 239).</w:t>
      </w:r>
    </w:p>
    <w:p w:rsidR="00FB0825" w:rsidRPr="00783D5D" w:rsidRDefault="00FB0825" w:rsidP="00FB0825">
      <w:pPr>
        <w:pStyle w:val="ParaNoNdepar-AltN"/>
        <w:rPr>
          <w:rFonts w:cs="Times New Roman"/>
          <w:lang w:val="fr-CA"/>
        </w:rPr>
      </w:pPr>
      <w:r w:rsidRPr="00783D5D">
        <w:rPr>
          <w:rFonts w:cs="Times New Roman"/>
          <w:lang w:val="fr-CA"/>
        </w:rPr>
        <w:t xml:space="preserve">M. Pappas en aurait eu assez.  Il a chargé son pistolet 9 millimètres de quatre balles à pointe creuse et s’est rendu chez M. Kullman.  Le prétexte de la visite </w:t>
      </w:r>
      <w:r w:rsidRPr="00783D5D">
        <w:rPr>
          <w:rFonts w:cs="Times New Roman"/>
          <w:lang w:val="fr-CA"/>
        </w:rPr>
        <w:lastRenderedPageBreak/>
        <w:t>était d’y entreposer un vélo au sous</w:t>
      </w:r>
      <w:r w:rsidRPr="00783D5D">
        <w:rPr>
          <w:rFonts w:cs="Times New Roman"/>
          <w:lang w:val="fr-CA"/>
        </w:rPr>
        <w:noBreakHyphen/>
        <w:t xml:space="preserve">sol, mais le but réel était de mettre fin à l’extorsion et aux menaces.  M. Pappas a prétendu avoir emporté le pistolet seulement pour intimider M. Kullman.  Cependant, il a ajouté avoir choisi les balles en question parce qu’elles étaient particulièrement mortelles.  </w:t>
      </w:r>
    </w:p>
    <w:p w:rsidR="00FB0825" w:rsidRPr="00783D5D" w:rsidRDefault="00FB0825" w:rsidP="00FB0825">
      <w:pPr>
        <w:pStyle w:val="ParaNoNdepar-AltN"/>
        <w:rPr>
          <w:rFonts w:cs="Times New Roman"/>
          <w:lang w:val="fr-CA"/>
        </w:rPr>
      </w:pPr>
      <w:r w:rsidRPr="00783D5D">
        <w:rPr>
          <w:rFonts w:cs="Times New Roman"/>
          <w:lang w:val="fr-CA"/>
        </w:rPr>
        <w:t>Une fois chez M. Kullman, M. Pappas a abordé le sujet de l’extorsion plusieurs fois et tenté de le convaincre d’y mettre un terme.  Il n’a pas sorti immédiatement l’arme dissimulée contre sa hanche.  Pendant que les deux hommes se rendaient au sous</w:t>
      </w:r>
      <w:r w:rsidRPr="00783D5D">
        <w:rPr>
          <w:rFonts w:cs="Times New Roman"/>
          <w:lang w:val="fr-CA"/>
        </w:rPr>
        <w:noBreakHyphen/>
        <w:t>sol, où le vélo devait être entreposé, M. Pappas a imploré M. Kullman une dernière fois : [</w:t>
      </w:r>
      <w:r w:rsidRPr="00783D5D">
        <w:rPr>
          <w:rFonts w:cs="Times New Roman"/>
          <w:smallCaps/>
          <w:lang w:val="fr-CA"/>
        </w:rPr>
        <w:t>traduction</w:t>
      </w:r>
      <w:r w:rsidRPr="00783D5D">
        <w:rPr>
          <w:rFonts w:cs="Times New Roman"/>
          <w:lang w:val="fr-CA"/>
        </w:rPr>
        <w:t>] « Brian, je t’en prie, il faut arrêter </w:t>
      </w:r>
      <w:r w:rsidR="00144E3B">
        <w:rPr>
          <w:rFonts w:cs="Times New Roman"/>
          <w:lang w:val="fr-CA"/>
        </w:rPr>
        <w:t>».  Ce dernier lui a répondu :</w:t>
      </w:r>
      <w:r w:rsidRPr="00783D5D">
        <w:rPr>
          <w:rFonts w:cs="Times New Roman"/>
          <w:lang w:val="fr-CA"/>
        </w:rPr>
        <w:t xml:space="preserve"> « Mon vieux, pour quelle raison est</w:t>
      </w:r>
      <w:r w:rsidRPr="00783D5D">
        <w:rPr>
          <w:rFonts w:cs="Times New Roman"/>
          <w:lang w:val="fr-CA"/>
        </w:rPr>
        <w:noBreakHyphen/>
        <w:t>ce que je le ferais?  C’est toi qui me rapportes le plus, et j’ai un</w:t>
      </w:r>
      <w:r w:rsidR="00144E3B">
        <w:rPr>
          <w:rFonts w:cs="Times New Roman"/>
          <w:lang w:val="fr-CA"/>
        </w:rPr>
        <w:t>e super garantie » (d.a</w:t>
      </w:r>
      <w:r w:rsidRPr="00783D5D">
        <w:rPr>
          <w:rFonts w:cs="Times New Roman"/>
          <w:lang w:val="fr-CA"/>
        </w:rPr>
        <w:t xml:space="preserve">., vol. II, p. 241). </w:t>
      </w:r>
    </w:p>
    <w:p w:rsidR="00FB0825" w:rsidRPr="00783D5D" w:rsidRDefault="00FB0825" w:rsidP="00FB0825">
      <w:pPr>
        <w:pStyle w:val="ParaNoNdepar-AltN"/>
        <w:rPr>
          <w:rFonts w:cs="Times New Roman"/>
          <w:lang w:val="fr-CA"/>
        </w:rPr>
      </w:pPr>
      <w:r w:rsidRPr="00783D5D">
        <w:rPr>
          <w:rFonts w:cs="Times New Roman"/>
          <w:lang w:val="fr-CA"/>
        </w:rPr>
        <w:t>M. Pappas a vu dans la mention de cette « garantie » une menace implicite contre sa mère.  Il a dit avoir alors juste [</w:t>
      </w:r>
      <w:r w:rsidRPr="00783D5D">
        <w:rPr>
          <w:rFonts w:cs="Times New Roman"/>
          <w:smallCaps/>
          <w:lang w:val="fr-CA"/>
        </w:rPr>
        <w:t>traduction</w:t>
      </w:r>
      <w:r w:rsidRPr="00783D5D">
        <w:rPr>
          <w:rFonts w:cs="Times New Roman"/>
          <w:lang w:val="fr-CA"/>
        </w:rPr>
        <w:t>] « disjoncté », puis « perdu la raison, tout se déroulant ensuite automatiquement</w:t>
      </w:r>
      <w:r w:rsidR="00144E3B">
        <w:rPr>
          <w:rFonts w:cs="Times New Roman"/>
          <w:lang w:val="fr-CA"/>
        </w:rPr>
        <w:t> » (d.a., vol. III, p. 64 et</w:t>
      </w:r>
      <w:r w:rsidRPr="00783D5D">
        <w:rPr>
          <w:rFonts w:cs="Times New Roman"/>
          <w:lang w:val="fr-CA"/>
        </w:rPr>
        <w:t xml:space="preserve"> vol. II, p. 304).  Il a sorti son pistolet, armé le chien et tiré sur M. Kullman à bout portant dans le dos.  Ce dernier a crié et, alors qu’il allait s’écrouler, M. Pappas a tiré à nouveau.  Enfin, tandis que la victime gisait impuissante au sol, M. Pappas a approché l’arme à 7 ou 8 pouces du côté gauche de sa tête et a tiré. </w:t>
      </w:r>
    </w:p>
    <w:p w:rsidR="00FB0825" w:rsidRPr="00783D5D" w:rsidRDefault="00FB0825" w:rsidP="00FB0825">
      <w:pPr>
        <w:pStyle w:val="ParaNoNdepar-AltN"/>
        <w:rPr>
          <w:rFonts w:cs="Times New Roman"/>
          <w:lang w:val="fr-CA"/>
        </w:rPr>
      </w:pPr>
      <w:r w:rsidRPr="00783D5D">
        <w:rPr>
          <w:rFonts w:cs="Times New Roman"/>
          <w:lang w:val="fr-CA"/>
        </w:rPr>
        <w:t>M. Pappas a hissé le corps de M. Kullman au haut de l’escalier et l’a mis dans la voiture de la victime.  Après être retourné au sous</w:t>
      </w:r>
      <w:r w:rsidRPr="00783D5D">
        <w:rPr>
          <w:rFonts w:cs="Times New Roman"/>
          <w:lang w:val="fr-CA"/>
        </w:rPr>
        <w:noBreakHyphen/>
        <w:t xml:space="preserve">sol et y avoir mis le feu pour brouiller les pistes, il a pris le volant de la voiture pour se rendre à Elbow Falls, où il a fait rouler le corps le long d’un talus.  Quelques jours plus tard, il a jeté la carte </w:t>
      </w:r>
      <w:r w:rsidRPr="00783D5D">
        <w:rPr>
          <w:rFonts w:cs="Times New Roman"/>
          <w:lang w:val="fr-CA"/>
        </w:rPr>
        <w:lastRenderedPageBreak/>
        <w:t>de crédit de la victime dans une poubelle derrière un dépanneur et des vêtements tachés de sang derrière une station</w:t>
      </w:r>
      <w:r w:rsidRPr="00783D5D">
        <w:rPr>
          <w:rFonts w:cs="Times New Roman"/>
          <w:lang w:val="fr-CA"/>
        </w:rPr>
        <w:noBreakHyphen/>
        <w:t>service.</w:t>
      </w:r>
    </w:p>
    <w:p w:rsidR="00FB0825" w:rsidRPr="00783D5D" w:rsidRDefault="00FB0825" w:rsidP="00FB0825">
      <w:pPr>
        <w:pStyle w:val="ParaNoNdepar-AltN"/>
        <w:rPr>
          <w:rFonts w:cs="Times New Roman"/>
          <w:lang w:val="fr-CA"/>
        </w:rPr>
      </w:pPr>
      <w:r w:rsidRPr="00783D5D">
        <w:rPr>
          <w:rFonts w:cs="Times New Roman"/>
          <w:lang w:val="fr-CA"/>
        </w:rPr>
        <w:t>Dans ses aveux, M. Pappas a reconnu avoir libellé à son nom un chèque de M. Kullman au montant de 2 500 $, avoir déposé la somme dans son compte bancaire et avoir utilisé la carte de crédit de la victime.</w:t>
      </w:r>
    </w:p>
    <w:p w:rsidR="00FB0825" w:rsidRPr="00783D5D" w:rsidRDefault="00FB0825" w:rsidP="00FB0825">
      <w:pPr>
        <w:pStyle w:val="ParaNoNdepar-AltN"/>
        <w:rPr>
          <w:rFonts w:cs="Times New Roman"/>
          <w:lang w:val="fr-CA"/>
        </w:rPr>
      </w:pPr>
      <w:r w:rsidRPr="00783D5D">
        <w:rPr>
          <w:rFonts w:cs="Times New Roman"/>
          <w:lang w:val="fr-CA"/>
        </w:rPr>
        <w:t xml:space="preserve">Il a toujours soutenu avoir tué M. Kullman pour protéger sa mère. </w:t>
      </w:r>
    </w:p>
    <w:p w:rsidR="00FB0825" w:rsidRPr="00783D5D" w:rsidRDefault="00FB0825" w:rsidP="00FB0825">
      <w:pPr>
        <w:pStyle w:val="ParaNoNdepar-AltN"/>
        <w:rPr>
          <w:rFonts w:cs="Times New Roman"/>
          <w:lang w:val="fr-CA"/>
        </w:rPr>
      </w:pPr>
      <w:r w:rsidRPr="00783D5D">
        <w:rPr>
          <w:rFonts w:cs="Times New Roman"/>
          <w:lang w:val="fr-CA"/>
        </w:rPr>
        <w:t>M. Pappas a été accusé du meurtre au deuxième degré de M. Kullman.</w:t>
      </w:r>
    </w:p>
    <w:p w:rsidR="00FB0825" w:rsidRPr="00783D5D" w:rsidRDefault="00FB0825" w:rsidP="00FB0825">
      <w:pPr>
        <w:pStyle w:val="TitleTitre-AltT"/>
        <w:numPr>
          <w:ilvl w:val="0"/>
          <w:numId w:val="9"/>
        </w:numPr>
        <w:tabs>
          <w:tab w:val="clear" w:pos="360"/>
          <w:tab w:val="left" w:pos="426"/>
        </w:tabs>
        <w:ind w:left="426" w:hanging="426"/>
        <w:rPr>
          <w:rFonts w:cs="Times New Roman"/>
          <w:u w:val="single"/>
          <w:lang w:val="fr-CA"/>
        </w:rPr>
      </w:pPr>
      <w:r w:rsidRPr="00783D5D">
        <w:rPr>
          <w:rFonts w:cs="Times New Roman"/>
          <w:u w:val="single"/>
          <w:lang w:val="fr-CA"/>
        </w:rPr>
        <w:t xml:space="preserve">Jugements de première instance et d’appel </w:t>
      </w:r>
    </w:p>
    <w:p w:rsidR="00FB0825" w:rsidRPr="00783D5D" w:rsidRDefault="00FB0825" w:rsidP="00FB0825">
      <w:pPr>
        <w:pStyle w:val="ParaNoNdepar-AltN"/>
        <w:rPr>
          <w:rFonts w:cs="Times New Roman"/>
          <w:lang w:val="fr-CA"/>
        </w:rPr>
      </w:pPr>
      <w:r w:rsidRPr="00783D5D">
        <w:rPr>
          <w:rFonts w:cs="Times New Roman"/>
          <w:lang w:val="fr-CA"/>
        </w:rPr>
        <w:t>Au procès devant jury, le ministère public a produit en preuve les aveux de M. Pappas, lequel n’a pas témoigné et s’en est remis à ses aveux pour étayer la défense de provocation.  Comme il soutenait avoir « disjoncté » puis tué M. Kullman après que celui</w:t>
      </w:r>
      <w:r w:rsidRPr="00783D5D">
        <w:rPr>
          <w:rFonts w:cs="Times New Roman"/>
          <w:lang w:val="fr-CA"/>
        </w:rPr>
        <w:noBreakHyphen/>
        <w:t>ci l’eut implicitement menacé de s’en prendre à sa mère, il a fait valoir que la défense de provocation s’appliquait de manière à réduire l’accusation de meurtre à celle d’homicide involontaire coupable.</w:t>
      </w:r>
    </w:p>
    <w:p w:rsidR="00FB0825" w:rsidRPr="00783D5D" w:rsidRDefault="00FB0825" w:rsidP="00FB0825">
      <w:pPr>
        <w:pStyle w:val="ParaNoNdepar-AltN"/>
        <w:rPr>
          <w:rFonts w:cs="Times New Roman"/>
          <w:lang w:val="fr-CA"/>
        </w:rPr>
      </w:pPr>
      <w:r w:rsidRPr="00783D5D">
        <w:rPr>
          <w:rFonts w:cs="Times New Roman"/>
          <w:lang w:val="fr-CA"/>
        </w:rPr>
        <w:t xml:space="preserve">La juge du procès a d’abord estimé que la provocation était dépourvue de vraisemblance, mais après avoir entendu la thèse de la défense s’y rapportant, elle a conclu ce qui suit : </w:t>
      </w:r>
    </w:p>
    <w:p w:rsidR="00FB0825" w:rsidRPr="00783D5D" w:rsidRDefault="00FB0825" w:rsidP="00FB0825">
      <w:pPr>
        <w:pStyle w:val="Citation-AltC"/>
        <w:ind w:hanging="1166"/>
        <w:rPr>
          <w:lang w:val="fr-CA"/>
        </w:rPr>
      </w:pPr>
      <w:r w:rsidRPr="00783D5D">
        <w:rPr>
          <w:lang w:val="fr-CA"/>
        </w:rPr>
        <w:tab/>
        <w:t>[</w:t>
      </w:r>
      <w:r w:rsidRPr="00783D5D">
        <w:rPr>
          <w:smallCaps/>
          <w:lang w:val="fr-CA"/>
        </w:rPr>
        <w:t>traduction</w:t>
      </w:r>
      <w:r w:rsidRPr="00783D5D">
        <w:rPr>
          <w:lang w:val="fr-CA"/>
        </w:rPr>
        <w:t xml:space="preserve">]  Je suis convaincue que, si le jury ajoutait foi au témoignage de M. Pappas concernant la provocation, certains éléments de preuve permettraient à un jury raisonnable ayant reçu des directives appropriées de conclure à la provocation.  Je reconnais que la preuve des </w:t>
      </w:r>
      <w:r w:rsidRPr="00783D5D">
        <w:rPr>
          <w:lang w:val="fr-CA"/>
        </w:rPr>
        <w:lastRenderedPageBreak/>
        <w:t>volets objectif et subjectif de la provocation es</w:t>
      </w:r>
      <w:r w:rsidR="00C076F3">
        <w:rPr>
          <w:lang w:val="fr-CA"/>
        </w:rPr>
        <w:t>t ténue, mais elle existe.  [d.a</w:t>
      </w:r>
      <w:r w:rsidRPr="00783D5D">
        <w:rPr>
          <w:lang w:val="fr-CA"/>
        </w:rPr>
        <w:t>., vol. I, p. 5]</w:t>
      </w:r>
    </w:p>
    <w:p w:rsidR="00FB0825" w:rsidRPr="00783D5D" w:rsidRDefault="00FB0825" w:rsidP="00FB0825">
      <w:pPr>
        <w:pStyle w:val="ParaNoNdepar-AltN"/>
        <w:rPr>
          <w:rFonts w:cs="Times New Roman"/>
          <w:lang w:val="fr-CA"/>
        </w:rPr>
      </w:pPr>
      <w:r w:rsidRPr="00783D5D">
        <w:rPr>
          <w:rFonts w:cs="Times New Roman"/>
          <w:lang w:val="fr-CA"/>
        </w:rPr>
        <w:t>Le jury a rejeté la défense de provocation et déclaré M. Pappas coupable de meurtre au deuxième degré.</w:t>
      </w:r>
    </w:p>
    <w:p w:rsidR="00FB0825" w:rsidRPr="00783D5D" w:rsidRDefault="00FB0825" w:rsidP="00FB0825">
      <w:pPr>
        <w:pStyle w:val="ParaNoNdepar-AltN"/>
        <w:rPr>
          <w:rFonts w:cs="Times New Roman"/>
          <w:lang w:val="fr-CA"/>
        </w:rPr>
      </w:pPr>
      <w:r w:rsidRPr="00783D5D">
        <w:rPr>
          <w:rFonts w:cs="Times New Roman"/>
          <w:lang w:val="fr-CA"/>
        </w:rPr>
        <w:t>M. Pappas a interjeté appel de la déclaration de culpabilité, notamment au motif que les directives de la juge du procès sur la provocation comportaient plusieurs erreurs.  Le ministère public a plaidé que les directives étaient exemptes d’erreurs, que la provocation alléguée était dépourvue de vraisemblance et qu’elle n’aurait jamais dû être soumise à l’appréciation du jury.</w:t>
      </w:r>
    </w:p>
    <w:p w:rsidR="00FB0825" w:rsidRPr="00783D5D" w:rsidRDefault="00FB0825" w:rsidP="00FB0825">
      <w:pPr>
        <w:pStyle w:val="ParaNoNdepar-AltN"/>
        <w:rPr>
          <w:rFonts w:cs="Times New Roman"/>
          <w:lang w:val="fr-CA"/>
        </w:rPr>
      </w:pPr>
      <w:r w:rsidRPr="00783D5D">
        <w:rPr>
          <w:rFonts w:cs="Times New Roman"/>
          <w:lang w:val="fr-CA"/>
        </w:rPr>
        <w:t>Sous la plume des juges O’Brien et Rowbotham, les juges majoritaires de la Cour d’appel rejettent l’appel.  Ils concluent que la défense de provocation a été soumise à juste titre à l’appréciation du jury et que les directives au jury n’étaient entachées d’aucune erreur (2012 ABCA 221, 533 A.R. 294).</w:t>
      </w:r>
    </w:p>
    <w:p w:rsidR="00FB0825" w:rsidRPr="00783D5D" w:rsidRDefault="00FB0825" w:rsidP="00FB0825">
      <w:pPr>
        <w:pStyle w:val="ParaNoNdepar-AltN"/>
        <w:rPr>
          <w:rFonts w:cs="Times New Roman"/>
          <w:lang w:val="fr-CA"/>
        </w:rPr>
      </w:pPr>
      <w:r w:rsidRPr="00783D5D">
        <w:rPr>
          <w:rFonts w:cs="Times New Roman"/>
          <w:lang w:val="fr-CA"/>
        </w:rPr>
        <w:t>Dissident, le juge Berger convient avec les juges majoritaires que la défense a été soumise à juste titre au jury, mais il relève plusieurs erreurs dans les directives.</w:t>
      </w:r>
    </w:p>
    <w:p w:rsidR="00FB0825" w:rsidRPr="00783D5D" w:rsidRDefault="00FB0825" w:rsidP="00FB0825">
      <w:pPr>
        <w:pStyle w:val="ParaNoNdepar-AltN"/>
        <w:rPr>
          <w:rFonts w:cs="Times New Roman"/>
          <w:lang w:val="fr-CA"/>
        </w:rPr>
      </w:pPr>
      <w:r w:rsidRPr="00783D5D">
        <w:rPr>
          <w:rFonts w:cs="Times New Roman"/>
          <w:lang w:val="fr-CA"/>
        </w:rPr>
        <w:t>M. Pappas se pourvoit aujourd’hui devant notre Cour.  L’appel soulève les quatre questions suivantes :</w:t>
      </w:r>
    </w:p>
    <w:p w:rsidR="00FB0825" w:rsidRDefault="00494A0F" w:rsidP="00494A0F">
      <w:pPr>
        <w:pStyle w:val="Citation-AltC"/>
        <w:spacing w:line="480" w:lineRule="auto"/>
        <w:ind w:left="0"/>
        <w:rPr>
          <w:lang w:val="fr-CA"/>
        </w:rPr>
      </w:pPr>
      <w:r>
        <w:rPr>
          <w:lang w:val="fr-CA"/>
        </w:rPr>
        <w:lastRenderedPageBreak/>
        <w:t xml:space="preserve">(1)  </w:t>
      </w:r>
      <w:r w:rsidR="00FB0825" w:rsidRPr="00783D5D">
        <w:rPr>
          <w:lang w:val="fr-CA"/>
        </w:rPr>
        <w:t>Convenait</w:t>
      </w:r>
      <w:r w:rsidR="00FB0825" w:rsidRPr="00783D5D">
        <w:rPr>
          <w:lang w:val="fr-CA"/>
        </w:rPr>
        <w:noBreakHyphen/>
        <w:t>il de soumettre au jury le moyen de défense de la provocation? (Le ministère public soutient que ce n’était pas le cas et qu’il est dès lors inutile que notre Cour détermine si les directives sur le moyen de défense étaient erronées.)</w:t>
      </w:r>
    </w:p>
    <w:p w:rsidR="00BE2913" w:rsidRPr="00783D5D" w:rsidRDefault="00BE2913" w:rsidP="00494A0F">
      <w:pPr>
        <w:pStyle w:val="Citation-AltC"/>
        <w:spacing w:line="480" w:lineRule="auto"/>
        <w:ind w:left="0"/>
        <w:rPr>
          <w:lang w:val="fr-CA"/>
        </w:rPr>
      </w:pPr>
    </w:p>
    <w:p w:rsidR="00FB0825" w:rsidRDefault="00494A0F" w:rsidP="00494A0F">
      <w:pPr>
        <w:pStyle w:val="Citation-AltC"/>
        <w:spacing w:line="480" w:lineRule="auto"/>
        <w:ind w:left="0"/>
        <w:rPr>
          <w:lang w:val="fr-CA"/>
        </w:rPr>
      </w:pPr>
      <w:r>
        <w:rPr>
          <w:lang w:val="fr-CA"/>
        </w:rPr>
        <w:t xml:space="preserve">(2)  </w:t>
      </w:r>
      <w:r w:rsidR="00FB0825" w:rsidRPr="00783D5D">
        <w:rPr>
          <w:lang w:val="fr-CA"/>
        </w:rPr>
        <w:t>La juge du procès a</w:t>
      </w:r>
      <w:r w:rsidR="00FB0825" w:rsidRPr="00783D5D">
        <w:rPr>
          <w:lang w:val="fr-CA"/>
        </w:rPr>
        <w:noBreakHyphen/>
        <w:t>t</w:t>
      </w:r>
      <w:r w:rsidR="00FB0825" w:rsidRPr="00783D5D">
        <w:rPr>
          <w:lang w:val="fr-CA"/>
        </w:rPr>
        <w:noBreakHyphen/>
        <w:t>elle bien indiqué au jury que les actes postérieurs à l’infraction n’avaient pas d’incidence sur l’existence ou l’inexistence de la provocation?</w:t>
      </w:r>
    </w:p>
    <w:p w:rsidR="00BE2913" w:rsidRPr="00783D5D" w:rsidRDefault="00BE2913" w:rsidP="00494A0F">
      <w:pPr>
        <w:pStyle w:val="Citation-AltC"/>
        <w:spacing w:line="480" w:lineRule="auto"/>
        <w:ind w:left="0"/>
        <w:rPr>
          <w:lang w:val="fr-CA"/>
        </w:rPr>
      </w:pPr>
    </w:p>
    <w:p w:rsidR="00FB0825" w:rsidRDefault="00494A0F" w:rsidP="00494A0F">
      <w:pPr>
        <w:pStyle w:val="Citation-AltC"/>
        <w:spacing w:line="480" w:lineRule="auto"/>
        <w:ind w:left="0"/>
        <w:rPr>
          <w:lang w:val="fr-CA"/>
        </w:rPr>
      </w:pPr>
      <w:r>
        <w:rPr>
          <w:lang w:val="fr-CA"/>
        </w:rPr>
        <w:t xml:space="preserve">(3)  </w:t>
      </w:r>
      <w:r w:rsidR="00FB0825" w:rsidRPr="00783D5D">
        <w:rPr>
          <w:lang w:val="fr-CA"/>
        </w:rPr>
        <w:t>A</w:t>
      </w:r>
      <w:r w:rsidR="00FB0825" w:rsidRPr="00783D5D">
        <w:rPr>
          <w:lang w:val="fr-CA"/>
        </w:rPr>
        <w:noBreakHyphen/>
        <w:t>t</w:t>
      </w:r>
      <w:r w:rsidR="00FB0825" w:rsidRPr="00783D5D">
        <w:rPr>
          <w:lang w:val="fr-CA"/>
        </w:rPr>
        <w:noBreakHyphen/>
        <w:t>elle correctement exposé le mobile de l’accusé?</w:t>
      </w:r>
    </w:p>
    <w:p w:rsidR="00BE2913" w:rsidRPr="00783D5D" w:rsidRDefault="00BE2913" w:rsidP="00494A0F">
      <w:pPr>
        <w:pStyle w:val="Citation-AltC"/>
        <w:spacing w:line="480" w:lineRule="auto"/>
        <w:ind w:left="0"/>
        <w:rPr>
          <w:lang w:val="fr-CA"/>
        </w:rPr>
      </w:pPr>
    </w:p>
    <w:p w:rsidR="00FB0825" w:rsidRPr="00783D5D" w:rsidRDefault="00494A0F" w:rsidP="00494A0F">
      <w:pPr>
        <w:pStyle w:val="Citation-AltC"/>
        <w:spacing w:line="480" w:lineRule="auto"/>
        <w:ind w:left="0"/>
        <w:rPr>
          <w:lang w:val="fr-CA"/>
        </w:rPr>
      </w:pPr>
      <w:r>
        <w:rPr>
          <w:lang w:val="fr-CA"/>
        </w:rPr>
        <w:t xml:space="preserve">(4)  </w:t>
      </w:r>
      <w:r w:rsidR="00FB0825" w:rsidRPr="00783D5D">
        <w:rPr>
          <w:lang w:val="fr-CA"/>
        </w:rPr>
        <w:t>A</w:t>
      </w:r>
      <w:r w:rsidR="00FB0825" w:rsidRPr="00783D5D">
        <w:rPr>
          <w:lang w:val="fr-CA"/>
        </w:rPr>
        <w:noBreakHyphen/>
        <w:t>t</w:t>
      </w:r>
      <w:r w:rsidR="00FB0825" w:rsidRPr="00783D5D">
        <w:rPr>
          <w:lang w:val="fr-CA"/>
        </w:rPr>
        <w:noBreakHyphen/>
        <w:t>elle eu tort de formuler de manière disjonctive sa directive sur la soudaineté et de contraindre ainsi le jury à rejeter le moyen de défense si l’extorsion ou la menace n’avait pas été soudaine?</w:t>
      </w:r>
    </w:p>
    <w:p w:rsidR="00FB0825" w:rsidRPr="00783D5D" w:rsidRDefault="00FB0825" w:rsidP="00FB0825">
      <w:pPr>
        <w:pStyle w:val="ParaNoNdepar-AltN"/>
        <w:rPr>
          <w:rFonts w:cs="Times New Roman"/>
          <w:lang w:val="fr-CA"/>
        </w:rPr>
      </w:pPr>
      <w:r w:rsidRPr="00783D5D">
        <w:rPr>
          <w:rFonts w:cs="Times New Roman"/>
          <w:lang w:val="fr-CA"/>
        </w:rPr>
        <w:t>Pour les motifs qui suivent, je suis d’avis de faire droit à la thèse du ministère public selon laquelle la défense de provocation était dépourvue de vraisemblance.  Il n’est donc pas nécessaire d’examiner les autres questions.</w:t>
      </w:r>
    </w:p>
    <w:p w:rsidR="00FB0825" w:rsidRPr="00783D5D" w:rsidRDefault="00FB0825" w:rsidP="00FB0825">
      <w:pPr>
        <w:pStyle w:val="TitleTitre-AltT"/>
        <w:numPr>
          <w:ilvl w:val="0"/>
          <w:numId w:val="9"/>
        </w:numPr>
        <w:tabs>
          <w:tab w:val="clear" w:pos="360"/>
          <w:tab w:val="left" w:pos="426"/>
        </w:tabs>
        <w:ind w:left="426" w:hanging="426"/>
        <w:rPr>
          <w:rFonts w:cs="Times New Roman"/>
          <w:u w:val="single"/>
          <w:lang w:val="fr-CA"/>
        </w:rPr>
      </w:pPr>
      <w:r w:rsidRPr="00783D5D">
        <w:rPr>
          <w:rFonts w:cs="Times New Roman"/>
          <w:u w:val="single"/>
          <w:lang w:val="fr-CA"/>
        </w:rPr>
        <w:t>Analyse</w:t>
      </w:r>
    </w:p>
    <w:p w:rsidR="00FB0825" w:rsidRPr="00783D5D" w:rsidRDefault="00FB0825" w:rsidP="00FB0825">
      <w:pPr>
        <w:pStyle w:val="ParaNoNdepar-AltN"/>
        <w:rPr>
          <w:rFonts w:cs="Times New Roman"/>
          <w:lang w:val="fr-CA"/>
        </w:rPr>
      </w:pPr>
      <w:r w:rsidRPr="00783D5D">
        <w:rPr>
          <w:rFonts w:cs="Times New Roman"/>
          <w:lang w:val="fr-CA"/>
        </w:rPr>
        <w:t xml:space="preserve">Pour faciliter sa consultation, je reproduis le texte de l’art. 232 du </w:t>
      </w:r>
      <w:r w:rsidRPr="00783D5D">
        <w:rPr>
          <w:rFonts w:cs="Times New Roman"/>
          <w:i/>
          <w:lang w:val="fr-CA"/>
        </w:rPr>
        <w:t>Code criminel</w:t>
      </w:r>
      <w:r w:rsidRPr="00783D5D">
        <w:rPr>
          <w:rFonts w:cs="Times New Roman"/>
          <w:lang w:val="fr-CA"/>
        </w:rPr>
        <w:t xml:space="preserve">, L.R.C. 1985, ch. C-46 :  </w:t>
      </w:r>
    </w:p>
    <w:p w:rsidR="00FB0825" w:rsidRPr="00783D5D" w:rsidRDefault="00FB0825" w:rsidP="00FB0825">
      <w:pPr>
        <w:pStyle w:val="Citation-AltC"/>
        <w:tabs>
          <w:tab w:val="left" w:pos="1620"/>
        </w:tabs>
        <w:spacing w:after="240"/>
        <w:ind w:hanging="1166"/>
        <w:contextualSpacing w:val="0"/>
        <w:rPr>
          <w:lang w:val="fr-CA"/>
        </w:rPr>
      </w:pPr>
      <w:r w:rsidRPr="00783D5D">
        <w:rPr>
          <w:b/>
          <w:lang w:val="fr-CA"/>
        </w:rPr>
        <w:tab/>
      </w:r>
      <w:r w:rsidR="00C076F3">
        <w:rPr>
          <w:b/>
          <w:lang w:val="fr-CA"/>
        </w:rPr>
        <w:tab/>
      </w:r>
      <w:r w:rsidRPr="00783D5D">
        <w:rPr>
          <w:b/>
          <w:lang w:val="fr-CA"/>
        </w:rPr>
        <w:t>232.</w:t>
      </w:r>
      <w:r w:rsidRPr="00783D5D">
        <w:rPr>
          <w:lang w:val="fr-CA"/>
        </w:rPr>
        <w:t>  (1) Un homicide coupable qui autrement serait un meurtre peut être réduit à un homicide involontaire coupable si la personne qui l’a commis a ainsi agi dans un accès de colère causé par une provocation soudaine.</w:t>
      </w:r>
    </w:p>
    <w:p w:rsidR="00FB0825" w:rsidRPr="00783D5D" w:rsidRDefault="00FB0825" w:rsidP="00FB0825">
      <w:pPr>
        <w:pStyle w:val="Citation-AltC"/>
        <w:tabs>
          <w:tab w:val="left" w:pos="1620"/>
        </w:tabs>
        <w:spacing w:after="240"/>
        <w:ind w:hanging="1166"/>
        <w:contextualSpacing w:val="0"/>
        <w:rPr>
          <w:lang w:val="fr-CA"/>
        </w:rPr>
      </w:pPr>
      <w:r w:rsidRPr="00783D5D">
        <w:rPr>
          <w:lang w:val="fr-CA"/>
        </w:rPr>
        <w:lastRenderedPageBreak/>
        <w:tab/>
      </w:r>
      <w:r w:rsidR="00C076F3">
        <w:rPr>
          <w:lang w:val="fr-CA"/>
        </w:rPr>
        <w:tab/>
      </w:r>
      <w:r w:rsidRPr="00783D5D">
        <w:rPr>
          <w:lang w:val="fr-CA"/>
        </w:rPr>
        <w:t>(2)</w:t>
      </w:r>
      <w:r w:rsidRPr="00783D5D">
        <w:rPr>
          <w:lang w:val="fr-CA"/>
        </w:rPr>
        <w:tab/>
        <w:t xml:space="preserve">Une action injuste ou une insulte de telle nature qu’elle suffise à priver une personne ordinaire du pouvoir de se </w:t>
      </w:r>
      <w:r w:rsidR="001315BA">
        <w:rPr>
          <w:lang w:val="fr-CA"/>
        </w:rPr>
        <w:t>maîtriser,</w:t>
      </w:r>
      <w:r w:rsidRPr="00783D5D">
        <w:rPr>
          <w:lang w:val="fr-CA"/>
        </w:rPr>
        <w:t xml:space="preserve"> est une provocation pour l’application du présent article, si l’accusé a agi sous l’impulsion du moment et avant d’avoir eu le temps de reprendre son sang</w:t>
      </w:r>
      <w:r w:rsidRPr="00783D5D">
        <w:rPr>
          <w:lang w:val="fr-CA"/>
        </w:rPr>
        <w:noBreakHyphen/>
        <w:t>froid.</w:t>
      </w:r>
    </w:p>
    <w:p w:rsidR="00FB0825" w:rsidRPr="00783D5D" w:rsidRDefault="00FB0825" w:rsidP="00FB0825">
      <w:pPr>
        <w:pStyle w:val="Citation-AltC"/>
        <w:tabs>
          <w:tab w:val="left" w:pos="1620"/>
        </w:tabs>
        <w:spacing w:after="240"/>
        <w:ind w:hanging="1166"/>
        <w:contextualSpacing w:val="0"/>
        <w:rPr>
          <w:lang w:val="fr-CA"/>
        </w:rPr>
      </w:pPr>
      <w:r w:rsidRPr="00783D5D">
        <w:rPr>
          <w:lang w:val="fr-CA"/>
        </w:rPr>
        <w:tab/>
      </w:r>
      <w:r w:rsidR="00C076F3">
        <w:rPr>
          <w:lang w:val="fr-CA"/>
        </w:rPr>
        <w:tab/>
      </w:r>
      <w:r w:rsidRPr="00783D5D">
        <w:rPr>
          <w:lang w:val="fr-CA"/>
        </w:rPr>
        <w:t>(3)</w:t>
      </w:r>
      <w:r w:rsidRPr="00783D5D">
        <w:rPr>
          <w:lang w:val="fr-CA"/>
        </w:rPr>
        <w:tab/>
        <w:t xml:space="preserve">Pour l’application du présent article, les questions de savoir : </w:t>
      </w:r>
    </w:p>
    <w:p w:rsidR="00FB0825" w:rsidRPr="00783D5D" w:rsidRDefault="00FB0825" w:rsidP="00FB0825">
      <w:pPr>
        <w:pStyle w:val="Citation-AltC"/>
        <w:tabs>
          <w:tab w:val="left" w:pos="1920"/>
        </w:tabs>
        <w:spacing w:after="240"/>
        <w:ind w:left="1560" w:hanging="1046"/>
        <w:contextualSpacing w:val="0"/>
        <w:rPr>
          <w:lang w:val="fr-CA"/>
        </w:rPr>
      </w:pPr>
      <w:r w:rsidRPr="00783D5D">
        <w:rPr>
          <w:i/>
          <w:lang w:val="fr-CA"/>
        </w:rPr>
        <w:tab/>
        <w:t>a</w:t>
      </w:r>
      <w:r w:rsidRPr="00783D5D">
        <w:rPr>
          <w:lang w:val="fr-CA"/>
        </w:rPr>
        <w:t>)</w:t>
      </w:r>
      <w:r w:rsidRPr="00783D5D">
        <w:rPr>
          <w:lang w:val="fr-CA"/>
        </w:rPr>
        <w:tab/>
        <w:t xml:space="preserve">si une action injuste ou une insulte déterminée équivalait à une provocation; </w:t>
      </w:r>
    </w:p>
    <w:p w:rsidR="00BE2913" w:rsidRDefault="00FB0825" w:rsidP="000720CE">
      <w:pPr>
        <w:pStyle w:val="Citation-AltC"/>
        <w:tabs>
          <w:tab w:val="left" w:pos="1920"/>
        </w:tabs>
        <w:spacing w:after="240"/>
        <w:ind w:left="1560" w:hanging="1046"/>
        <w:contextualSpacing w:val="0"/>
        <w:rPr>
          <w:lang w:val="fr-CA"/>
        </w:rPr>
      </w:pPr>
      <w:r w:rsidRPr="00783D5D">
        <w:rPr>
          <w:i/>
          <w:lang w:val="fr-CA"/>
        </w:rPr>
        <w:tab/>
        <w:t>b</w:t>
      </w:r>
      <w:r w:rsidRPr="00783D5D">
        <w:rPr>
          <w:lang w:val="fr-CA"/>
        </w:rPr>
        <w:t>)</w:t>
      </w:r>
      <w:r w:rsidRPr="00783D5D">
        <w:rPr>
          <w:lang w:val="fr-CA"/>
        </w:rPr>
        <w:tab/>
        <w:t xml:space="preserve">si l’accusé a été privé du pouvoir de se maîtriser par la provocation qu’il allègue avoir </w:t>
      </w:r>
      <w:r w:rsidR="001315BA">
        <w:rPr>
          <w:lang w:val="fr-CA"/>
        </w:rPr>
        <w:t>reçue,</w:t>
      </w:r>
      <w:r w:rsidRPr="00783D5D">
        <w:rPr>
          <w:lang w:val="fr-CA"/>
        </w:rPr>
        <w:t xml:space="preserve"> </w:t>
      </w:r>
    </w:p>
    <w:p w:rsidR="00FB0825" w:rsidRPr="00783D5D" w:rsidRDefault="00BE2913" w:rsidP="00FB0825">
      <w:pPr>
        <w:pStyle w:val="Citation-AltC"/>
        <w:tabs>
          <w:tab w:val="left" w:pos="1620"/>
        </w:tabs>
        <w:spacing w:after="240"/>
        <w:ind w:hanging="1166"/>
        <w:contextualSpacing w:val="0"/>
        <w:rPr>
          <w:lang w:val="fr-CA"/>
        </w:rPr>
      </w:pPr>
      <w:r>
        <w:rPr>
          <w:lang w:val="fr-CA"/>
        </w:rPr>
        <w:tab/>
      </w:r>
      <w:r w:rsidR="00FB0825" w:rsidRPr="00783D5D">
        <w:rPr>
          <w:lang w:val="fr-CA"/>
        </w:rPr>
        <w:t>sont des questions de fait, mais nul n’est censé avoir provoqué un autre individu en faisant quelque chose qu’il avait un droit légal de faire, ou en faisant une chose que l’accusé l’a incité à faire afin de fournir à l’accusé une excuse pour causer la mort ou des lésions corporelles à un être humain.</w:t>
      </w:r>
    </w:p>
    <w:p w:rsidR="00FB0825" w:rsidRPr="00783D5D" w:rsidRDefault="00FB0825" w:rsidP="00FB0825">
      <w:pPr>
        <w:pStyle w:val="Citation-AltC"/>
        <w:ind w:hanging="1166"/>
        <w:rPr>
          <w:lang w:val="fr-CA"/>
        </w:rPr>
      </w:pPr>
      <w:r w:rsidRPr="00783D5D">
        <w:rPr>
          <w:lang w:val="fr-CA"/>
        </w:rPr>
        <w:tab/>
      </w:r>
      <w:r w:rsidR="00C076F3">
        <w:rPr>
          <w:lang w:val="fr-CA"/>
        </w:rPr>
        <w:tab/>
      </w:r>
      <w:r w:rsidRPr="00783D5D">
        <w:rPr>
          <w:lang w:val="fr-CA"/>
        </w:rPr>
        <w:t>(4)  Un homicide coupable qui autrement serait un meurtre n’est pas nécessairement un homicide involontaire coupable du seul fait qu’il a été commis par une personne alors qu’elle était illégalement mise en état d’arrestation; le fait que l’illégalité de l’arrestation était connue de l’accusé peut cependant constituer une preuve de provocation pour l’application du présent article.</w:t>
      </w:r>
    </w:p>
    <w:p w:rsidR="00FB0825" w:rsidRPr="00783D5D" w:rsidRDefault="00FB0825" w:rsidP="00FB0825">
      <w:pPr>
        <w:pStyle w:val="TitleTitre-AltT"/>
        <w:rPr>
          <w:rFonts w:cs="Times New Roman"/>
          <w:lang w:val="fr-CA"/>
        </w:rPr>
      </w:pPr>
      <w:r w:rsidRPr="00783D5D">
        <w:rPr>
          <w:rFonts w:cs="Times New Roman"/>
          <w:i/>
          <w:lang w:val="fr-CA"/>
        </w:rPr>
        <w:t>Convenait</w:t>
      </w:r>
      <w:r w:rsidRPr="00783D5D">
        <w:rPr>
          <w:rFonts w:cs="Times New Roman"/>
          <w:i/>
          <w:lang w:val="fr-CA"/>
        </w:rPr>
        <w:noBreakHyphen/>
        <w:t>il de soumettre au jury la défense de provocation</w:t>
      </w:r>
      <w:r w:rsidRPr="00783D5D">
        <w:rPr>
          <w:rFonts w:cs="Times New Roman"/>
          <w:lang w:val="fr-CA"/>
        </w:rPr>
        <w:t>?</w:t>
      </w:r>
    </w:p>
    <w:p w:rsidR="00FB0825" w:rsidRPr="00783D5D" w:rsidRDefault="00FB0825" w:rsidP="00FB0825">
      <w:pPr>
        <w:pStyle w:val="ParaNoNdepar-AltN"/>
        <w:rPr>
          <w:rFonts w:cs="Times New Roman"/>
          <w:lang w:val="fr-CA"/>
        </w:rPr>
      </w:pPr>
      <w:r w:rsidRPr="00783D5D">
        <w:rPr>
          <w:rFonts w:cs="Times New Roman"/>
          <w:lang w:val="fr-CA"/>
        </w:rPr>
        <w:t xml:space="preserve">Le ministère public soutient que, au vu des éléments de preuve au dossier, la provocation alléguée était dépourvue de vraisemblance.  J’en conviens.  Je me pencherai d’abord sur le critère de la vraisemblance, puis sur les volets objectif et subjectif de la défense de provocation.  </w:t>
      </w:r>
    </w:p>
    <w:p w:rsidR="00FB0825" w:rsidRPr="00783D5D" w:rsidRDefault="00FB0825" w:rsidP="00FB0825">
      <w:pPr>
        <w:pStyle w:val="TitleTitre-AltT"/>
        <w:tabs>
          <w:tab w:val="clear" w:pos="360"/>
        </w:tabs>
        <w:ind w:left="709" w:firstLine="709"/>
        <w:rPr>
          <w:rFonts w:cs="Times New Roman"/>
          <w:lang w:val="fr-CA"/>
        </w:rPr>
      </w:pPr>
      <w:r w:rsidRPr="00783D5D">
        <w:rPr>
          <w:rFonts w:cs="Times New Roman"/>
          <w:lang w:val="fr-CA"/>
        </w:rPr>
        <w:t>(1)</w:t>
      </w:r>
      <w:r w:rsidRPr="00783D5D">
        <w:rPr>
          <w:rFonts w:cs="Times New Roman"/>
          <w:lang w:val="fr-CA"/>
        </w:rPr>
        <w:tab/>
      </w:r>
      <w:r w:rsidRPr="00783D5D">
        <w:rPr>
          <w:rFonts w:cs="Times New Roman"/>
          <w:u w:val="single"/>
          <w:lang w:val="fr-CA"/>
        </w:rPr>
        <w:t>Le critère de la vraisemblance</w:t>
      </w:r>
    </w:p>
    <w:p w:rsidR="00FB0825" w:rsidRPr="00783D5D" w:rsidRDefault="00FB0825" w:rsidP="00FB0825">
      <w:pPr>
        <w:pStyle w:val="ParaNoNdepar-AltN"/>
        <w:rPr>
          <w:rFonts w:cs="Times New Roman"/>
          <w:lang w:val="fr-CA"/>
        </w:rPr>
      </w:pPr>
      <w:r w:rsidRPr="00783D5D">
        <w:rPr>
          <w:rFonts w:cs="Times New Roman"/>
          <w:lang w:val="fr-CA"/>
        </w:rPr>
        <w:t xml:space="preserve">Comme je l’explique dans le pourvoi connexe </w:t>
      </w:r>
      <w:r w:rsidRPr="00783D5D">
        <w:rPr>
          <w:rFonts w:cs="Times New Roman"/>
          <w:i/>
          <w:lang w:val="fr-CA"/>
        </w:rPr>
        <w:t>R. c. Cairney</w:t>
      </w:r>
      <w:r w:rsidRPr="00783D5D">
        <w:rPr>
          <w:rFonts w:cs="Times New Roman"/>
          <w:lang w:val="fr-CA"/>
        </w:rPr>
        <w:t>,</w:t>
      </w:r>
      <w:r w:rsidRPr="00783D5D">
        <w:rPr>
          <w:rFonts w:cs="Times New Roman"/>
          <w:i/>
          <w:lang w:val="fr-CA"/>
        </w:rPr>
        <w:t xml:space="preserve"> </w:t>
      </w:r>
      <w:r w:rsidRPr="00783D5D">
        <w:rPr>
          <w:rFonts w:cs="Times New Roman"/>
          <w:lang w:val="fr-CA"/>
        </w:rPr>
        <w:t>2013 CSC 55</w:t>
      </w:r>
      <w:r w:rsidR="00C924FD">
        <w:rPr>
          <w:rFonts w:cs="Times New Roman"/>
          <w:lang w:val="fr-CA"/>
        </w:rPr>
        <w:t xml:space="preserve">, </w:t>
      </w:r>
      <w:r w:rsidR="00C924FD" w:rsidRPr="00C924FD">
        <w:rPr>
          <w:lang w:val="fr-CA"/>
        </w:rPr>
        <w:t xml:space="preserve">[2013] </w:t>
      </w:r>
      <w:r w:rsidR="00395B98">
        <w:rPr>
          <w:lang w:val="fr-CA"/>
        </w:rPr>
        <w:t>3</w:t>
      </w:r>
      <w:r w:rsidR="00C924FD" w:rsidRPr="00C924FD">
        <w:rPr>
          <w:lang w:val="fr-CA"/>
        </w:rPr>
        <w:t xml:space="preserve"> </w:t>
      </w:r>
      <w:r w:rsidR="00146F1D">
        <w:rPr>
          <w:lang w:val="fr-CA"/>
        </w:rPr>
        <w:t>R.C.S.</w:t>
      </w:r>
      <w:r w:rsidR="00C924FD" w:rsidRPr="00C924FD">
        <w:rPr>
          <w:lang w:val="fr-CA"/>
        </w:rPr>
        <w:t xml:space="preserve"> </w:t>
      </w:r>
      <w:r w:rsidR="00395B98">
        <w:rPr>
          <w:lang w:val="fr-CA"/>
        </w:rPr>
        <w:t>420</w:t>
      </w:r>
      <w:r w:rsidRPr="00783D5D">
        <w:rPr>
          <w:rFonts w:cs="Times New Roman"/>
          <w:lang w:val="fr-CA"/>
        </w:rPr>
        <w:t xml:space="preserve">, avant de soumettre le moyen de défense à l’appréciation du jury, le juge du procès doit conclure que la défense de provocation est vraisemblable </w:t>
      </w:r>
      <w:r w:rsidRPr="00783D5D">
        <w:rPr>
          <w:rFonts w:cs="Times New Roman"/>
          <w:lang w:val="fr-CA"/>
        </w:rPr>
        <w:lastRenderedPageBreak/>
        <w:t xml:space="preserve">eu égard à ses éléments objectif et subjectif.  Il s’agit de déterminer si un jury agissant raisonnablement pourrait avoir un doute raisonnable, fondé sur la défense de provocation, quant à savoir si l’accusé est coupable de meurtre.  Tant l’élément objectif que l’élément subjectif, dont l’existence constitue une question de fait suivant le par. 232(3) du </w:t>
      </w:r>
      <w:r w:rsidRPr="00783D5D">
        <w:rPr>
          <w:rFonts w:cs="Times New Roman"/>
          <w:i/>
          <w:lang w:val="fr-CA"/>
        </w:rPr>
        <w:t>Code criminel</w:t>
      </w:r>
      <w:r w:rsidRPr="00783D5D">
        <w:rPr>
          <w:rFonts w:cs="Times New Roman"/>
          <w:lang w:val="fr-CA"/>
        </w:rPr>
        <w:t>, doivent être étayés par la preuve.</w:t>
      </w:r>
    </w:p>
    <w:p w:rsidR="00FB0825" w:rsidRPr="00783D5D" w:rsidRDefault="00FB0825" w:rsidP="00FB0825">
      <w:pPr>
        <w:pStyle w:val="ParaNoNdepar-AltN"/>
        <w:rPr>
          <w:rFonts w:cs="Times New Roman"/>
          <w:lang w:val="fr-CA"/>
        </w:rPr>
      </w:pPr>
      <w:r w:rsidRPr="00783D5D">
        <w:rPr>
          <w:rFonts w:cs="Times New Roman"/>
          <w:lang w:val="fr-CA"/>
        </w:rPr>
        <w:t>Le critère de la vraisemblance oblige le tribunal à établir une distinction subtile en ce qu’il exige davantage qu’« une » ou « quelque » preuve des éléments requis sans permettre pour autant l’examen au fond de l’app</w:t>
      </w:r>
      <w:r w:rsidR="008925CC">
        <w:rPr>
          <w:rFonts w:cs="Times New Roman"/>
          <w:lang w:val="fr-CA"/>
        </w:rPr>
        <w:t xml:space="preserve">licabilité du moyen de défense : </w:t>
      </w:r>
      <w:r w:rsidRPr="00783D5D">
        <w:rPr>
          <w:rFonts w:cs="Times New Roman"/>
          <w:i/>
          <w:lang w:val="fr-CA"/>
        </w:rPr>
        <w:t>R. c. Mayuran</w:t>
      </w:r>
      <w:r w:rsidRPr="00783D5D">
        <w:rPr>
          <w:rFonts w:cs="Times New Roman"/>
          <w:lang w:val="fr-CA"/>
        </w:rPr>
        <w:t>, 2012 CSC 31, [2012] 2 R.C.S. 162, par. 21.  Le juge du procès qui applique ce critère ne peut se prononcer sur la crédibilité et la fiabilité, apprécier la valeur probante de la preuve sur le fond, tirer des conclusions de fait ou se livrer à des inférences de fait précises (</w:t>
      </w:r>
      <w:r w:rsidRPr="00783D5D">
        <w:rPr>
          <w:rFonts w:cs="Times New Roman"/>
          <w:i/>
          <w:lang w:val="fr-CA"/>
        </w:rPr>
        <w:t>R. c. Cinous</w:t>
      </w:r>
      <w:r w:rsidRPr="00783D5D">
        <w:rPr>
          <w:rFonts w:cs="Times New Roman"/>
          <w:lang w:val="fr-CA"/>
        </w:rPr>
        <w:t xml:space="preserve">, 2002 CSC 29, [2002] 2 R.C.S. 3, par. 87; </w:t>
      </w:r>
      <w:r w:rsidRPr="00783D5D">
        <w:rPr>
          <w:rFonts w:cs="Times New Roman"/>
          <w:i/>
          <w:lang w:val="fr-CA"/>
        </w:rPr>
        <w:t>R. c. Fontaine</w:t>
      </w:r>
      <w:r w:rsidRPr="00783D5D">
        <w:rPr>
          <w:rFonts w:cs="Times New Roman"/>
          <w:lang w:val="fr-CA"/>
        </w:rPr>
        <w:t>, 2004 CSC 27, [2004] 1 R.C.S. 702, par. 12).  Cependant, le juge qui l’estime opportun peut se livrer à une « évaluation limitée » de la preuve de la nature de celle qui a lieu à l’enquête préliminaire pour décider s’il y a lieu d’ordonner le renvoi à procès (</w:t>
      </w:r>
      <w:r w:rsidR="00C924FD">
        <w:rPr>
          <w:rFonts w:cs="Times New Roman"/>
          <w:lang w:val="fr-CA"/>
        </w:rPr>
        <w:t xml:space="preserve">voir </w:t>
      </w:r>
      <w:r w:rsidRPr="00783D5D">
        <w:rPr>
          <w:rFonts w:cs="Times New Roman"/>
          <w:i/>
          <w:lang w:val="fr-CA"/>
        </w:rPr>
        <w:t>R. c. Arcuri</w:t>
      </w:r>
      <w:r w:rsidRPr="00783D5D">
        <w:rPr>
          <w:rFonts w:cs="Times New Roman"/>
          <w:lang w:val="fr-CA"/>
        </w:rPr>
        <w:t xml:space="preserve">, 2001 CSC 54, [2001] 2 R.C.S. 828, cité par la juge en chef McLachlin et le juge Bastarache dans </w:t>
      </w:r>
      <w:r w:rsidRPr="00783D5D">
        <w:rPr>
          <w:rFonts w:cs="Times New Roman"/>
          <w:i/>
          <w:lang w:val="fr-CA"/>
        </w:rPr>
        <w:t>Cinous</w:t>
      </w:r>
      <w:r w:rsidR="00C924FD">
        <w:rPr>
          <w:rFonts w:cs="Times New Roman"/>
          <w:lang w:val="fr-CA"/>
        </w:rPr>
        <w:t xml:space="preserve">, </w:t>
      </w:r>
      <w:r w:rsidRPr="00783D5D">
        <w:rPr>
          <w:rFonts w:cs="Times New Roman"/>
          <w:lang w:val="fr-CA"/>
        </w:rPr>
        <w:t xml:space="preserve">par. 91). </w:t>
      </w:r>
    </w:p>
    <w:p w:rsidR="00FB0825" w:rsidRPr="00783D5D" w:rsidRDefault="00FB0825" w:rsidP="00FB0825">
      <w:pPr>
        <w:pStyle w:val="ParaNoNdepar-AltN"/>
        <w:rPr>
          <w:rFonts w:cs="Times New Roman"/>
          <w:lang w:val="fr-CA"/>
        </w:rPr>
      </w:pPr>
      <w:r w:rsidRPr="00783D5D">
        <w:rPr>
          <w:rFonts w:cs="Times New Roman"/>
          <w:lang w:val="fr-CA"/>
        </w:rPr>
        <w:t>Cette faculté de se livrer à une « évaluation limitée » dépend du type de preuve au dossier.  « S’il existe une preuve directe concernant chacun des éléments du moyen de défense, peu importe qu’elle ait été produite ou non par l’accusé, le juge du procès doit soumettre le moyen de défense au jury » (</w:t>
      </w:r>
      <w:r w:rsidRPr="00783D5D">
        <w:rPr>
          <w:rFonts w:cs="Times New Roman"/>
          <w:i/>
          <w:lang w:val="fr-CA"/>
        </w:rPr>
        <w:t>Cinous</w:t>
      </w:r>
      <w:r w:rsidRPr="00783D5D">
        <w:rPr>
          <w:rFonts w:cs="Times New Roman"/>
          <w:lang w:val="fr-CA"/>
        </w:rPr>
        <w:t xml:space="preserve">, par. 88).  Il ne peut </w:t>
      </w:r>
      <w:r w:rsidRPr="00783D5D">
        <w:rPr>
          <w:rFonts w:cs="Times New Roman"/>
          <w:lang w:val="fr-CA"/>
        </w:rPr>
        <w:lastRenderedPageBreak/>
        <w:t xml:space="preserve">se livrer à une évaluation de la preuve directe car il devrait alors se pencher sur la fiabilité intrinsèque de la preuve. </w:t>
      </w:r>
    </w:p>
    <w:p w:rsidR="00FB0825" w:rsidRPr="00783D5D" w:rsidRDefault="00F74B01" w:rsidP="00FB0825">
      <w:pPr>
        <w:pStyle w:val="ParaNoNdepar-AltN"/>
        <w:rPr>
          <w:rFonts w:cs="Times New Roman"/>
          <w:lang w:val="fr-CA"/>
        </w:rPr>
      </w:pPr>
      <w:r>
        <w:rPr>
          <w:rFonts w:cs="Times New Roman"/>
          <w:lang w:val="fr-CA"/>
        </w:rPr>
        <w:t>[</w:t>
      </w:r>
      <w:r w:rsidRPr="00F74B01">
        <w:rPr>
          <w:rFonts w:cs="Times New Roman"/>
          <w:smallCaps/>
          <w:lang w:val="fr-CA"/>
        </w:rPr>
        <w:t>traduction</w:t>
      </w:r>
      <w:r>
        <w:rPr>
          <w:rFonts w:cs="Times New Roman"/>
          <w:lang w:val="fr-CA"/>
        </w:rPr>
        <w:t xml:space="preserve">] </w:t>
      </w:r>
      <w:r w:rsidR="00FB0825" w:rsidRPr="00783D5D">
        <w:rPr>
          <w:rFonts w:cs="Times New Roman"/>
          <w:lang w:val="fr-CA"/>
        </w:rPr>
        <w:t>« Une preuve directe est une preuve qui, si l’on y ajoute foi, règle la question en litige » (</w:t>
      </w:r>
      <w:r w:rsidR="00FB0825" w:rsidRPr="00783D5D">
        <w:rPr>
          <w:rFonts w:cs="Times New Roman"/>
          <w:i/>
          <w:lang w:val="fr-CA"/>
        </w:rPr>
        <w:t>Cinous</w:t>
      </w:r>
      <w:r w:rsidR="00FB0825" w:rsidRPr="00783D5D">
        <w:rPr>
          <w:rFonts w:cs="Times New Roman"/>
          <w:lang w:val="fr-CA"/>
        </w:rPr>
        <w:t xml:space="preserve">, par. 88, citant D. Watt, </w:t>
      </w:r>
      <w:r w:rsidR="00FB0825" w:rsidRPr="00783D5D">
        <w:rPr>
          <w:rFonts w:cs="Times New Roman"/>
          <w:i/>
          <w:lang w:val="fr-CA"/>
        </w:rPr>
        <w:t xml:space="preserve">Watt’s Manual of Criminal Evidence </w:t>
      </w:r>
      <w:r w:rsidR="00FB0825" w:rsidRPr="00783D5D">
        <w:rPr>
          <w:rFonts w:cs="Times New Roman"/>
          <w:lang w:val="fr-CA"/>
        </w:rPr>
        <w:t xml:space="preserve">(2001), § 8.0).  Cependant, « la simple affirmation que les éléments d’un moyen de défense existent ne constitue pas une preuve directe et n’est pas suffisante pour que le moyen de </w:t>
      </w:r>
      <w:r w:rsidR="00782EB1">
        <w:rPr>
          <w:rFonts w:cs="Times New Roman"/>
          <w:lang w:val="fr-CA"/>
        </w:rPr>
        <w:t>défense soit soumis au jury » (</w:t>
      </w:r>
      <w:r w:rsidR="00FB0825" w:rsidRPr="00783D5D">
        <w:rPr>
          <w:rFonts w:cs="Times New Roman"/>
          <w:i/>
          <w:lang w:val="fr-CA"/>
        </w:rPr>
        <w:t>Cinous</w:t>
      </w:r>
      <w:r w:rsidR="00FB0825" w:rsidRPr="00783D5D">
        <w:rPr>
          <w:rFonts w:cs="Times New Roman"/>
          <w:lang w:val="fr-CA"/>
        </w:rPr>
        <w:t>, par. 88).  La vraisemblance « ne peut découler de ce qui n’est qu’une simple assertion non étayée de l’accusé », lorsque celle-ci est par ailleurs inconciliable avec l’ensemble de la preuve offerte par l’accusé (</w:t>
      </w:r>
      <w:r w:rsidR="00FB0825" w:rsidRPr="00783D5D">
        <w:rPr>
          <w:rFonts w:cs="Times New Roman"/>
          <w:i/>
          <w:lang w:val="fr-CA"/>
        </w:rPr>
        <w:t>R. c. Park</w:t>
      </w:r>
      <w:r w:rsidR="00FB0825" w:rsidRPr="00783D5D">
        <w:rPr>
          <w:rFonts w:cs="Times New Roman"/>
          <w:lang w:val="fr-CA"/>
        </w:rPr>
        <w:t>, [1995] 2 R.C.S. 836, par. 35, la juge</w:t>
      </w:r>
      <w:r w:rsidR="00FB0825" w:rsidRPr="00783D5D">
        <w:rPr>
          <w:rFonts w:cs="Times New Roman"/>
          <w:i/>
          <w:lang w:val="fr-CA"/>
        </w:rPr>
        <w:t xml:space="preserve"> </w:t>
      </w:r>
      <w:r w:rsidR="00FB0825" w:rsidRPr="00783D5D">
        <w:rPr>
          <w:rFonts w:cs="Times New Roman"/>
          <w:lang w:val="fr-CA"/>
        </w:rPr>
        <w:t>L’Heureux</w:t>
      </w:r>
      <w:r w:rsidR="00FB0825" w:rsidRPr="00783D5D">
        <w:rPr>
          <w:rFonts w:cs="Times New Roman"/>
          <w:lang w:val="fr-CA"/>
        </w:rPr>
        <w:noBreakHyphen/>
        <w:t xml:space="preserve">Dubé).  Par exemple, dans </w:t>
      </w:r>
      <w:r w:rsidR="00FB0825" w:rsidRPr="00783D5D">
        <w:rPr>
          <w:rFonts w:cs="Times New Roman"/>
          <w:i/>
          <w:lang w:val="fr-CA"/>
        </w:rPr>
        <w:t>R. c. Gauthier</w:t>
      </w:r>
      <w:r w:rsidR="00FB0825" w:rsidRPr="00783D5D">
        <w:rPr>
          <w:rFonts w:cs="Times New Roman"/>
          <w:lang w:val="fr-CA"/>
        </w:rPr>
        <w:t>, 2013 CSC 32</w:t>
      </w:r>
      <w:r w:rsidR="00AE15D9">
        <w:rPr>
          <w:rFonts w:cs="Times New Roman"/>
          <w:lang w:val="fr-CA"/>
        </w:rPr>
        <w:t xml:space="preserve">, </w:t>
      </w:r>
      <w:r w:rsidR="00AE15D9" w:rsidRPr="00AE15D9">
        <w:rPr>
          <w:lang w:val="fr-CA"/>
        </w:rPr>
        <w:t xml:space="preserve">[2013] </w:t>
      </w:r>
      <w:r>
        <w:rPr>
          <w:lang w:val="fr-CA"/>
        </w:rPr>
        <w:t>2</w:t>
      </w:r>
      <w:r w:rsidR="00AE15D9" w:rsidRPr="00AE15D9">
        <w:rPr>
          <w:lang w:val="fr-CA"/>
        </w:rPr>
        <w:t xml:space="preserve"> </w:t>
      </w:r>
      <w:r w:rsidR="00146F1D">
        <w:rPr>
          <w:lang w:val="fr-CA"/>
        </w:rPr>
        <w:t>R.C.S.</w:t>
      </w:r>
      <w:r w:rsidR="00AE15D9" w:rsidRPr="00AE15D9">
        <w:rPr>
          <w:lang w:val="fr-CA"/>
        </w:rPr>
        <w:t xml:space="preserve"> </w:t>
      </w:r>
      <w:r>
        <w:rPr>
          <w:lang w:val="fr-CA"/>
        </w:rPr>
        <w:t>403</w:t>
      </w:r>
      <w:r w:rsidR="00FB0825" w:rsidRPr="00783D5D">
        <w:rPr>
          <w:rFonts w:cs="Times New Roman"/>
          <w:lang w:val="fr-CA"/>
        </w:rPr>
        <w:t>, les juges majoritaires de la Cour (sous la plume du juge</w:t>
      </w:r>
      <w:r w:rsidR="00FB0825" w:rsidRPr="00783D5D">
        <w:rPr>
          <w:rFonts w:cs="Times New Roman"/>
          <w:i/>
          <w:lang w:val="fr-CA"/>
        </w:rPr>
        <w:t xml:space="preserve"> </w:t>
      </w:r>
      <w:r w:rsidR="00FB0825" w:rsidRPr="00783D5D">
        <w:rPr>
          <w:rFonts w:cs="Times New Roman"/>
          <w:lang w:val="fr-CA"/>
        </w:rPr>
        <w:t>Wagner) laissent entendre qu’une seule mention de l’accusé par ailleurs inconciliable avec son « récit principal » ne suffit pas à rendre vraisemblable l’application d’un moyen de défense (par. </w:t>
      </w:r>
      <w:r w:rsidR="00AE15D9">
        <w:rPr>
          <w:rFonts w:cs="Times New Roman"/>
          <w:lang w:val="fr-CA"/>
        </w:rPr>
        <w:t>60-</w:t>
      </w:r>
      <w:r w:rsidR="00FB0825" w:rsidRPr="00783D5D">
        <w:rPr>
          <w:rFonts w:cs="Times New Roman"/>
          <w:lang w:val="fr-CA"/>
        </w:rPr>
        <w:t>61).</w:t>
      </w:r>
    </w:p>
    <w:p w:rsidR="00FB0825" w:rsidRPr="00783D5D" w:rsidRDefault="00FB0825" w:rsidP="00FB0825">
      <w:pPr>
        <w:pStyle w:val="ParaNoNdepar-AltN"/>
        <w:rPr>
          <w:rFonts w:cs="Times New Roman"/>
          <w:lang w:val="fr-CA"/>
        </w:rPr>
      </w:pPr>
      <w:r w:rsidRPr="00783D5D">
        <w:rPr>
          <w:rFonts w:cs="Times New Roman"/>
          <w:lang w:val="fr-CA"/>
        </w:rPr>
        <w:t>Lorsque la preuve exige plutôt que soient tirées des inférences pour établir les éléments d’un moyen de défense, le juge du procès peut se livrer à une évaluation limitée dans le but de déterminer si ces éléments peuvent raisonnablement être inférés de la preuve.  « Le juge ne fait pas d’inférences de fait précises, mais il arrive plutôt à une conclusion concernant les inférences de fait qui pourraient raisonnablement être faites au vu de la preuve » (</w:t>
      </w:r>
      <w:r w:rsidRPr="00783D5D">
        <w:rPr>
          <w:rFonts w:cs="Times New Roman"/>
          <w:i/>
          <w:lang w:val="fr-CA"/>
        </w:rPr>
        <w:t>Cinous</w:t>
      </w:r>
      <w:r w:rsidRPr="00783D5D">
        <w:rPr>
          <w:rFonts w:cs="Times New Roman"/>
          <w:lang w:val="fr-CA"/>
        </w:rPr>
        <w:t>, par. 91).  Dans cette évaluation limitée, le juge du procès doit examiner la preuve en entier (</w:t>
      </w:r>
      <w:r w:rsidRPr="00783D5D">
        <w:rPr>
          <w:rFonts w:cs="Times New Roman"/>
          <w:i/>
          <w:lang w:val="fr-CA"/>
        </w:rPr>
        <w:t>Cinous</w:t>
      </w:r>
      <w:r w:rsidRPr="00783D5D">
        <w:rPr>
          <w:rFonts w:cs="Times New Roman"/>
          <w:lang w:val="fr-CA"/>
        </w:rPr>
        <w:t xml:space="preserve">, par. 53; </w:t>
      </w:r>
      <w:r w:rsidRPr="00783D5D">
        <w:rPr>
          <w:rFonts w:cs="Times New Roman"/>
          <w:i/>
          <w:lang w:val="fr-CA"/>
        </w:rPr>
        <w:t>Park</w:t>
      </w:r>
      <w:r w:rsidRPr="00783D5D">
        <w:rPr>
          <w:rFonts w:cs="Times New Roman"/>
          <w:lang w:val="fr-CA"/>
        </w:rPr>
        <w:t xml:space="preserve">, par. 13, la juge L’Heureux-Dubé). </w:t>
      </w:r>
    </w:p>
    <w:p w:rsidR="00FB0825" w:rsidRPr="00783D5D" w:rsidRDefault="00FB0825" w:rsidP="00FB0825">
      <w:pPr>
        <w:pStyle w:val="ParaNoNdepar-AltN"/>
        <w:rPr>
          <w:rFonts w:cs="Times New Roman"/>
          <w:lang w:val="fr-CA"/>
        </w:rPr>
      </w:pPr>
      <w:r w:rsidRPr="00783D5D">
        <w:rPr>
          <w:rFonts w:cs="Times New Roman"/>
          <w:lang w:val="fr-CA"/>
        </w:rPr>
        <w:lastRenderedPageBreak/>
        <w:t xml:space="preserve">Comme il est dit dans l’arrêt </w:t>
      </w:r>
      <w:r w:rsidRPr="00783D5D">
        <w:rPr>
          <w:rFonts w:cs="Times New Roman"/>
          <w:i/>
          <w:lang w:val="fr-CA"/>
        </w:rPr>
        <w:t>Cairney</w:t>
      </w:r>
      <w:r w:rsidRPr="00783D5D">
        <w:rPr>
          <w:rFonts w:cs="Times New Roman"/>
          <w:lang w:val="fr-CA"/>
        </w:rPr>
        <w:t xml:space="preserve">, lorsque le respect du critère de la vraisemblance suscite un doute véritable, la défense de provocation doit être soumise à l’appréciation du jury.  Cependant, le juge du procès n’est pas pour autant libéré de son obligation de soumettre la preuve à une évaluation limitée dans les cas qui s’y prêtent.  Il s’acquitte de son rôle de gardien de la loi lorsqu’il soustrait à l’appréciation du jury un moyen de défense dénué de fondement probant.  Le moyen de défense fondé sur de simples affirmations qui ne peuvent être raisonnablement étayées par la preuve considérée dans son ensemble ne doit pas être soumis à l’appréciation du jury.  </w:t>
      </w:r>
    </w:p>
    <w:p w:rsidR="00FB0825" w:rsidRPr="00783D5D" w:rsidRDefault="00FB0825" w:rsidP="00FB0825">
      <w:pPr>
        <w:pStyle w:val="ParaNoNdepar-AltN"/>
        <w:rPr>
          <w:rFonts w:cs="Times New Roman"/>
          <w:lang w:val="fr-CA"/>
        </w:rPr>
      </w:pPr>
      <w:r w:rsidRPr="00783D5D">
        <w:rPr>
          <w:rFonts w:cs="Times New Roman"/>
          <w:lang w:val="fr-CA"/>
        </w:rPr>
        <w:t>Dans le présent pourvoi, M. Pappas soutient que ses aveux fondent la défense de provocation.  Aux fins de l’application du critère de la vraisemblable, nous devons tenir pour véridique la version des faits qui y figure (</w:t>
      </w:r>
      <w:r w:rsidRPr="00783D5D">
        <w:rPr>
          <w:rFonts w:cs="Times New Roman"/>
          <w:i/>
          <w:lang w:val="fr-CA"/>
        </w:rPr>
        <w:t>Cinous</w:t>
      </w:r>
      <w:r w:rsidRPr="00783D5D">
        <w:rPr>
          <w:rFonts w:cs="Times New Roman"/>
          <w:lang w:val="fr-CA"/>
        </w:rPr>
        <w:t>, par. 53 et 119).  Ainsi, la question est celle de savoir si un jury agissant de manière raisonnable et ayant reçu des directives appropriées pourrait avoir un doute raisonnable quant à l’existence de chacun des éléments de la défense de provocation.  Les éléments objectif et subjectif du moyen de défense doivent être étayés par la preuve.  J’examine maintenant chacun de ces éléments.</w:t>
      </w:r>
    </w:p>
    <w:p w:rsidR="00FB0825" w:rsidRPr="00783D5D" w:rsidRDefault="00FB0825" w:rsidP="00FB0825">
      <w:pPr>
        <w:pStyle w:val="TitleTitre-AltT"/>
        <w:tabs>
          <w:tab w:val="clear" w:pos="360"/>
        </w:tabs>
        <w:ind w:left="709" w:firstLine="709"/>
        <w:rPr>
          <w:rFonts w:cs="Times New Roman"/>
          <w:u w:val="single"/>
          <w:lang w:val="fr-CA"/>
        </w:rPr>
      </w:pPr>
      <w:r w:rsidRPr="00783D5D">
        <w:rPr>
          <w:rFonts w:cs="Times New Roman"/>
          <w:lang w:val="fr-CA"/>
        </w:rPr>
        <w:t>(2)</w:t>
      </w:r>
      <w:r w:rsidRPr="00783D5D">
        <w:rPr>
          <w:rFonts w:cs="Times New Roman"/>
          <w:lang w:val="fr-CA"/>
        </w:rPr>
        <w:tab/>
      </w:r>
      <w:r w:rsidRPr="00783D5D">
        <w:rPr>
          <w:rFonts w:cs="Times New Roman"/>
          <w:u w:val="single"/>
          <w:lang w:val="fr-CA"/>
        </w:rPr>
        <w:t>L’élément objectif</w:t>
      </w:r>
    </w:p>
    <w:p w:rsidR="00FB0825" w:rsidRPr="00783D5D" w:rsidRDefault="00FB0825" w:rsidP="00FB0825">
      <w:pPr>
        <w:pStyle w:val="ParaNoNdepar-AltN"/>
        <w:rPr>
          <w:rFonts w:cs="Times New Roman"/>
          <w:lang w:val="fr-CA"/>
        </w:rPr>
      </w:pPr>
      <w:r w:rsidRPr="00783D5D">
        <w:rPr>
          <w:rFonts w:cs="Times New Roman"/>
          <w:lang w:val="fr-CA"/>
        </w:rPr>
        <w:t xml:space="preserve">L’élément objectif s’entend, de la part du défunt, d’une action injuste ou d’une insulte qui soit suffisante pour priver une personne ordinaire du pouvoir de se maîtriser.  M. Pappas soutient que ses aveux établissent l’existence d’une action injuste ou d’une insulte en ce que M. Kullman lui aurait dit qu’il disposait d’« une super garantie ».  Ses aveux font état d’une suite d’événements au cours desquels on </w:t>
      </w:r>
      <w:r w:rsidRPr="00783D5D">
        <w:rPr>
          <w:rFonts w:cs="Times New Roman"/>
          <w:lang w:val="fr-CA"/>
        </w:rPr>
        <w:lastRenderedPageBreak/>
        <w:t xml:space="preserve">l’a inlassablement fait chanter pendant 18 mois et on a menacé de s’en prendre à sa mère.  Il prétend que c’est la mention de la « garantie » par M. Kullman qui l’a finalement fait disjoncter. </w:t>
      </w:r>
    </w:p>
    <w:p w:rsidR="00FB0825" w:rsidRPr="00783D5D" w:rsidRDefault="00FB0825" w:rsidP="00FB0825">
      <w:pPr>
        <w:pStyle w:val="ParaNoNdepar-AltN"/>
        <w:rPr>
          <w:rFonts w:cs="Times New Roman"/>
          <w:lang w:val="fr-CA"/>
        </w:rPr>
      </w:pPr>
      <w:r w:rsidRPr="00783D5D">
        <w:rPr>
          <w:rFonts w:cs="Times New Roman"/>
          <w:lang w:val="fr-CA"/>
        </w:rPr>
        <w:t xml:space="preserve">Contrairement au dossier connexe </w:t>
      </w:r>
      <w:r w:rsidRPr="00783D5D">
        <w:rPr>
          <w:rFonts w:cs="Times New Roman"/>
          <w:i/>
          <w:lang w:val="fr-CA"/>
        </w:rPr>
        <w:t>Cairney</w:t>
      </w:r>
      <w:r w:rsidRPr="00783D5D">
        <w:rPr>
          <w:rFonts w:cs="Times New Roman"/>
          <w:lang w:val="fr-CA"/>
        </w:rPr>
        <w:t>, le présent pourvoi n’a pas pour objet une provocation que l’accusé aurait lui</w:t>
      </w:r>
      <w:r w:rsidRPr="00783D5D">
        <w:rPr>
          <w:rFonts w:cs="Times New Roman"/>
          <w:lang w:val="fr-CA"/>
        </w:rPr>
        <w:noBreakHyphen/>
        <w:t>même induite.  M. Pappas n’est pas à l’origine d’un affrontement violent.  Il n’a pas menacé M. Kullman de son arme; celle</w:t>
      </w:r>
      <w:r w:rsidRPr="00783D5D">
        <w:rPr>
          <w:rFonts w:cs="Times New Roman"/>
          <w:lang w:val="fr-CA"/>
        </w:rPr>
        <w:noBreakHyphen/>
        <w:t>ci est restée dissimulée jusqu’au moment où il prétend avoir été provoqué.  Il n’a pas non plus abordé M. Kullman d’une manière par ailleurs agressive dont on aurait pu prévoir qu’elle déclenche un comportement menaçant.  M. Pappas affirme au contraire avoir tenté de raisonner M. Kullman en lui demandant de mettre fin à l’extorsion.</w:t>
      </w:r>
    </w:p>
    <w:p w:rsidR="00FB0825" w:rsidRPr="00783D5D" w:rsidRDefault="00FB0825" w:rsidP="00FB0825">
      <w:pPr>
        <w:pStyle w:val="ParaNoNdepar-AltN"/>
        <w:rPr>
          <w:rFonts w:cs="Times New Roman"/>
          <w:lang w:val="fr-CA"/>
        </w:rPr>
      </w:pPr>
      <w:r w:rsidRPr="00783D5D">
        <w:rPr>
          <w:rFonts w:cs="Times New Roman"/>
          <w:lang w:val="fr-CA"/>
        </w:rPr>
        <w:t>Il faut donc se demander si, dans la même situation, une personne ordinaire aurait perdu la maîtrise de soi en entendant son interlocuteur lui dire [</w:t>
      </w:r>
      <w:r w:rsidRPr="00783D5D">
        <w:rPr>
          <w:rFonts w:cs="Times New Roman"/>
          <w:smallCaps/>
          <w:lang w:val="fr-CA"/>
        </w:rPr>
        <w:t>traduction</w:t>
      </w:r>
      <w:r w:rsidRPr="00783D5D">
        <w:rPr>
          <w:rFonts w:cs="Times New Roman"/>
          <w:lang w:val="fr-CA"/>
        </w:rPr>
        <w:t xml:space="preserve">] « C’est toi qui me rapportes le plus, et j’ai une super garantie ».  </w:t>
      </w:r>
    </w:p>
    <w:p w:rsidR="00FB0825" w:rsidRPr="00783D5D" w:rsidRDefault="00FB0825" w:rsidP="00FB0825">
      <w:pPr>
        <w:pStyle w:val="ParaNoNdepar-AltN"/>
        <w:rPr>
          <w:rFonts w:cs="Times New Roman"/>
          <w:lang w:val="fr-CA"/>
        </w:rPr>
      </w:pPr>
      <w:r w:rsidRPr="00783D5D">
        <w:rPr>
          <w:rFonts w:cs="Times New Roman"/>
          <w:lang w:val="fr-CA"/>
        </w:rPr>
        <w:t>D’une part, la norme de la personne ordinaire doit être adaptée au contexte que constituaient les relations antérieures entre MM. Pappas et Kullman.  Le premier avait été victime d’extorsion, et la sécurité de sa mère avait maintes fois été menacée.</w:t>
      </w:r>
    </w:p>
    <w:p w:rsidR="00FB0825" w:rsidRPr="00783D5D" w:rsidRDefault="00FB0825" w:rsidP="00FB0825">
      <w:pPr>
        <w:pStyle w:val="ParaNoNdepar-AltN"/>
        <w:rPr>
          <w:rFonts w:cs="Times New Roman"/>
          <w:lang w:val="fr-CA"/>
        </w:rPr>
      </w:pPr>
      <w:r w:rsidRPr="00783D5D">
        <w:rPr>
          <w:rFonts w:cs="Times New Roman"/>
          <w:lang w:val="fr-CA"/>
        </w:rPr>
        <w:t>D’autre part, la raison d’être de la norme de la personne ordinaire est de faire en sorte que seule « la personne dont le comportement respecte les normes et les valeurs de la société actuelle bénéficie de la compassion du droit » (</w:t>
      </w:r>
      <w:r w:rsidRPr="00783D5D">
        <w:rPr>
          <w:rFonts w:cs="Times New Roman"/>
          <w:i/>
          <w:lang w:val="fr-CA"/>
        </w:rPr>
        <w:t>R. c.</w:t>
      </w:r>
      <w:r w:rsidRPr="00783D5D">
        <w:rPr>
          <w:rFonts w:cs="Times New Roman"/>
          <w:lang w:val="fr-CA"/>
        </w:rPr>
        <w:t xml:space="preserve"> </w:t>
      </w:r>
      <w:r w:rsidRPr="00783D5D">
        <w:rPr>
          <w:rFonts w:cs="Times New Roman"/>
          <w:i/>
          <w:lang w:val="fr-CA"/>
        </w:rPr>
        <w:t>Tran</w:t>
      </w:r>
      <w:r w:rsidRPr="00783D5D">
        <w:rPr>
          <w:rFonts w:cs="Times New Roman"/>
          <w:lang w:val="fr-CA"/>
        </w:rPr>
        <w:t xml:space="preserve">, 2010 CSC 58, [2010] 3 R.C.S. 350, par. 30).  La situation particulière de l’accusé </w:t>
      </w:r>
      <w:r w:rsidRPr="00783D5D">
        <w:rPr>
          <w:rFonts w:cs="Times New Roman"/>
          <w:lang w:val="fr-CA"/>
        </w:rPr>
        <w:lastRenderedPageBreak/>
        <w:t>importe pour déterminer la norme de comportement humain au regard de laquelle il convient de juger sa conduite (</w:t>
      </w:r>
      <w:r w:rsidRPr="00783D5D">
        <w:rPr>
          <w:rFonts w:cs="Times New Roman"/>
          <w:i/>
          <w:lang w:val="fr-CA"/>
        </w:rPr>
        <w:t>Tran</w:t>
      </w:r>
      <w:r w:rsidRPr="00783D5D">
        <w:rPr>
          <w:rFonts w:cs="Times New Roman"/>
          <w:lang w:val="fr-CA"/>
        </w:rPr>
        <w:t>, par. 34).  M. Pappas avait commis une fraude fiscale que M. Kullman menaçait de dénoncer à l’Agence du revenu du Canada.  Au lieu de s’adresser à la police pour faire mettre fin à l’extorsion ou aux menaces, il s’est muni d’une arme et a tenté de convaincre M. Kullman de cesser son chantage.  Un tel comportement pourrait être tenu pour non conforme à la norme de la personne ordinaire.</w:t>
      </w:r>
    </w:p>
    <w:p w:rsidR="00FB0825" w:rsidRPr="00783D5D" w:rsidRDefault="00FB0825" w:rsidP="00FB0825">
      <w:pPr>
        <w:pStyle w:val="ParaNoNdepar-AltN"/>
        <w:rPr>
          <w:rFonts w:cs="Times New Roman"/>
          <w:lang w:val="fr-CA"/>
        </w:rPr>
      </w:pPr>
      <w:r w:rsidRPr="00783D5D">
        <w:rPr>
          <w:rFonts w:cs="Times New Roman"/>
          <w:lang w:val="fr-CA"/>
        </w:rPr>
        <w:t xml:space="preserve">Néanmoins, comme il est expliqué dans le pourvoi connexe </w:t>
      </w:r>
      <w:r w:rsidRPr="00783D5D">
        <w:rPr>
          <w:rFonts w:cs="Times New Roman"/>
          <w:i/>
          <w:lang w:val="fr-CA"/>
        </w:rPr>
        <w:t>Cairney</w:t>
      </w:r>
      <w:r w:rsidRPr="00783D5D">
        <w:rPr>
          <w:rFonts w:cs="Times New Roman"/>
          <w:lang w:val="fr-CA"/>
        </w:rPr>
        <w:t>, ce qui suffit à faire perdre la maîtrise de soi à une personne ordinaire est affaire de degré, et le jury est bien placé pour en juger; en cas de doute, le point doit être soumis à l’appréciation des jurés.  La nature des propos de M. Kullman, perçus comme une menace contre la sécurité de la mère de M. Pappas, et l’historique des relations entre les deux hommes apportent un fondement probant minimal à l’élément objectif du moyen de défense.</w:t>
      </w:r>
    </w:p>
    <w:p w:rsidR="00FB0825" w:rsidRPr="00783D5D" w:rsidRDefault="00FB0825" w:rsidP="00FB0825">
      <w:pPr>
        <w:pStyle w:val="TitleTitre-AltT"/>
        <w:tabs>
          <w:tab w:val="clear" w:pos="360"/>
        </w:tabs>
        <w:ind w:left="709" w:firstLine="709"/>
        <w:rPr>
          <w:rFonts w:cs="Times New Roman"/>
          <w:u w:val="single"/>
          <w:lang w:val="fr-CA"/>
        </w:rPr>
      </w:pPr>
      <w:r w:rsidRPr="00783D5D">
        <w:rPr>
          <w:rFonts w:cs="Times New Roman"/>
          <w:lang w:val="fr-CA"/>
        </w:rPr>
        <w:t>(3)</w:t>
      </w:r>
      <w:r w:rsidRPr="00783D5D">
        <w:rPr>
          <w:rFonts w:cs="Times New Roman"/>
          <w:lang w:val="fr-CA"/>
        </w:rPr>
        <w:tab/>
      </w:r>
      <w:r w:rsidRPr="00783D5D">
        <w:rPr>
          <w:rFonts w:cs="Times New Roman"/>
          <w:u w:val="single"/>
          <w:lang w:val="fr-CA"/>
        </w:rPr>
        <w:t>L’élément subjectif</w:t>
      </w:r>
    </w:p>
    <w:p w:rsidR="00FB0825" w:rsidRPr="00783D5D" w:rsidRDefault="00FB0825" w:rsidP="00FB0825">
      <w:pPr>
        <w:pStyle w:val="ParaNoNdepar-AltN"/>
        <w:rPr>
          <w:rFonts w:cs="Times New Roman"/>
          <w:lang w:val="fr-CA"/>
        </w:rPr>
      </w:pPr>
      <w:r w:rsidRPr="00783D5D">
        <w:rPr>
          <w:rFonts w:cs="Times New Roman"/>
          <w:lang w:val="fr-CA"/>
        </w:rPr>
        <w:t>À mon avis, l’élément subjectif de la défense de provocation est dépourvu de vraisemblance.  Cet élément existe à deux conditions : « </w:t>
      </w:r>
      <w:r w:rsidR="00AE15D9">
        <w:rPr>
          <w:rFonts w:cs="Times New Roman"/>
          <w:lang w:val="fr-CA"/>
        </w:rPr>
        <w:t>. . . </w:t>
      </w:r>
      <w:r w:rsidRPr="00783D5D">
        <w:rPr>
          <w:rFonts w:cs="Times New Roman"/>
          <w:lang w:val="fr-CA" w:bidi="en-US"/>
        </w:rPr>
        <w:t>(1) l’accusé a agi en réaction à la provocation et (2) sous l’impulsion du moment, avant d’avoir eu le temps de reprendre son sang</w:t>
      </w:r>
      <w:r w:rsidRPr="00783D5D">
        <w:rPr>
          <w:rFonts w:cs="Times New Roman"/>
          <w:lang w:val="fr-CA" w:bidi="en-US"/>
        </w:rPr>
        <w:noBreakHyphen/>
        <w:t>froid » (</w:t>
      </w:r>
      <w:r w:rsidRPr="00783D5D">
        <w:rPr>
          <w:rFonts w:cs="Times New Roman"/>
          <w:i/>
          <w:lang w:val="fr-CA" w:bidi="en-US"/>
        </w:rPr>
        <w:t>Tran</w:t>
      </w:r>
      <w:r w:rsidRPr="00783D5D">
        <w:rPr>
          <w:rFonts w:cs="Times New Roman"/>
          <w:lang w:val="fr-CA" w:bidi="en-US"/>
        </w:rPr>
        <w:t>, par. 36).</w:t>
      </w:r>
      <w:r w:rsidRPr="00783D5D">
        <w:rPr>
          <w:rFonts w:cs="Times New Roman"/>
          <w:lang w:val="fr-CA"/>
        </w:rPr>
        <w:t xml:space="preserve">  </w:t>
      </w:r>
    </w:p>
    <w:p w:rsidR="00FB0825" w:rsidRPr="00783D5D" w:rsidRDefault="00FB0825" w:rsidP="00FB0825">
      <w:pPr>
        <w:pStyle w:val="ParaNoNdepar-AltN"/>
        <w:rPr>
          <w:rFonts w:cs="Times New Roman"/>
          <w:lang w:val="fr-CA"/>
        </w:rPr>
      </w:pPr>
      <w:r w:rsidRPr="00783D5D">
        <w:rPr>
          <w:rFonts w:cs="Times New Roman"/>
          <w:lang w:val="fr-CA"/>
        </w:rPr>
        <w:t>L’exigence de la soudaineté importe particulièrement en l’espèce.  La défense de provocation ne s’applique pas au meurtre que commet une personne seulement par vengeance ou parce qu’elle est en colère, sans perdre sa maîtrise d’elle-</w:t>
      </w:r>
      <w:r w:rsidRPr="00783D5D">
        <w:rPr>
          <w:rFonts w:cs="Times New Roman"/>
          <w:lang w:val="fr-CA"/>
        </w:rPr>
        <w:lastRenderedPageBreak/>
        <w:t>même (</w:t>
      </w:r>
      <w:r w:rsidRPr="00783D5D">
        <w:rPr>
          <w:rFonts w:cs="Times New Roman"/>
          <w:i/>
          <w:lang w:val="fr-CA"/>
        </w:rPr>
        <w:t>Tran</w:t>
      </w:r>
      <w:r w:rsidRPr="00783D5D">
        <w:rPr>
          <w:rFonts w:cs="Times New Roman"/>
          <w:lang w:val="fr-CA"/>
        </w:rPr>
        <w:t xml:space="preserve">, par. 38; </w:t>
      </w:r>
      <w:r w:rsidRPr="00783D5D">
        <w:rPr>
          <w:rFonts w:cs="Times New Roman"/>
          <w:i/>
          <w:lang w:val="fr-CA"/>
        </w:rPr>
        <w:t>R. c. Parent</w:t>
      </w:r>
      <w:r w:rsidRPr="00783D5D">
        <w:rPr>
          <w:rFonts w:cs="Times New Roman"/>
          <w:lang w:val="fr-CA"/>
        </w:rPr>
        <w:t>, 2001 CSC 30, [2001] 1 R.C.S. 761, par. 10).  La common law établit depuis longtemps que, pour déterminer s’il y a eu perte de la maîtrise de soi, il faut se demander si l’accusé a agi « sous l’impulsion du moment ».  Cette exigence de soudaineté comporte deux volets : (i) l’action injuste ou l’insulte doit être soudaine, c’est</w:t>
      </w:r>
      <w:r w:rsidRPr="00783D5D">
        <w:rPr>
          <w:rFonts w:cs="Times New Roman"/>
          <w:lang w:val="fr-CA"/>
        </w:rPr>
        <w:noBreakHyphen/>
        <w:t>à</w:t>
      </w:r>
      <w:r w:rsidRPr="00783D5D">
        <w:rPr>
          <w:rFonts w:cs="Times New Roman"/>
          <w:lang w:val="fr-CA"/>
        </w:rPr>
        <w:noBreakHyphen/>
        <w:t>dire avoir un effet imprévu qui surprend, et (ii) l’accusé doit commettre l’homicide involontaire « sous l’impulsion du moment », avant qu’il n’ait eu le temps de reprendre son sang</w:t>
      </w:r>
      <w:r w:rsidRPr="00783D5D">
        <w:rPr>
          <w:rFonts w:cs="Times New Roman"/>
          <w:lang w:val="fr-CA"/>
        </w:rPr>
        <w:noBreakHyphen/>
        <w:t>froid</w:t>
      </w:r>
      <w:r w:rsidRPr="00783D5D">
        <w:rPr>
          <w:rFonts w:cs="Times New Roman"/>
          <w:lang w:val="fr-CA" w:bidi="en-US"/>
        </w:rPr>
        <w:t xml:space="preserve"> (</w:t>
      </w:r>
      <w:r w:rsidRPr="00783D5D">
        <w:rPr>
          <w:rFonts w:cs="Times New Roman"/>
          <w:i/>
          <w:lang w:val="fr-CA" w:bidi="en-US"/>
        </w:rPr>
        <w:t>Tran</w:t>
      </w:r>
      <w:r w:rsidRPr="00783D5D">
        <w:rPr>
          <w:rFonts w:cs="Times New Roman"/>
          <w:lang w:val="fr-CA" w:bidi="en-US"/>
        </w:rPr>
        <w:t xml:space="preserve">, par. 38; </w:t>
      </w:r>
      <w:r w:rsidRPr="00783D5D">
        <w:rPr>
          <w:rFonts w:cs="Times New Roman"/>
          <w:i/>
          <w:lang w:val="fr-CA" w:bidi="en-US"/>
        </w:rPr>
        <w:t>R. c. Tripodi</w:t>
      </w:r>
      <w:r w:rsidRPr="00783D5D">
        <w:rPr>
          <w:rFonts w:cs="Times New Roman"/>
          <w:lang w:val="fr-CA" w:bidi="en-US"/>
        </w:rPr>
        <w:t>, [1955] R.C.S. 438, p. 443).</w:t>
      </w:r>
    </w:p>
    <w:p w:rsidR="00FB0825" w:rsidRPr="00783D5D" w:rsidRDefault="00FB0825" w:rsidP="00FB0825">
      <w:pPr>
        <w:pStyle w:val="ParaNoNdepar-AltN"/>
        <w:rPr>
          <w:rFonts w:cs="Times New Roman"/>
          <w:lang w:val="fr-CA"/>
        </w:rPr>
      </w:pPr>
      <w:r w:rsidRPr="00783D5D">
        <w:rPr>
          <w:rFonts w:cs="Times New Roman"/>
          <w:lang w:val="fr-CA" w:bidi="en-US"/>
        </w:rPr>
        <w:t>J’estime que la juge du procès commet une erreur de droit en ne tenant compte que de l’un des deux volets.  Elle se demande si une preuve étaye la prétention de M. Pappas selon laquelle il a tué M. Kullman sous l’impulsion du moment, avant d’avoir eu le temps de reprendre son sang</w:t>
      </w:r>
      <w:r w:rsidRPr="00783D5D">
        <w:rPr>
          <w:rFonts w:cs="Times New Roman"/>
          <w:lang w:val="fr-CA" w:bidi="en-US"/>
        </w:rPr>
        <w:noBreakHyphen/>
        <w:t>froid.  Elle conclut en effet que l’élément subjectif est vraisemblable pour les motifs suivants :</w:t>
      </w:r>
    </w:p>
    <w:p w:rsidR="00FB0825" w:rsidRPr="00783D5D" w:rsidRDefault="00FB0825" w:rsidP="00FB0825">
      <w:pPr>
        <w:pStyle w:val="Citation-AltC"/>
        <w:ind w:hanging="1166"/>
        <w:rPr>
          <w:lang w:val="fr-CA"/>
        </w:rPr>
      </w:pPr>
      <w:r w:rsidRPr="00783D5D">
        <w:rPr>
          <w:smallCaps/>
          <w:lang w:val="fr-CA"/>
        </w:rPr>
        <w:tab/>
        <w:t xml:space="preserve">[traduction] </w:t>
      </w:r>
      <w:r w:rsidRPr="00783D5D">
        <w:rPr>
          <w:lang w:val="fr-CA"/>
        </w:rPr>
        <w:t xml:space="preserve"> </w:t>
      </w:r>
      <w:r w:rsidRPr="00783D5D">
        <w:rPr>
          <w:u w:val="single"/>
          <w:lang w:val="fr-CA"/>
        </w:rPr>
        <w:t>M. Pappas a dit que c’est le mot « garantie » qui a tout déclenché et qu’il y a immédiatement réagi.</w:t>
      </w:r>
      <w:r w:rsidRPr="00783D5D">
        <w:rPr>
          <w:lang w:val="fr-CA"/>
        </w:rPr>
        <w:t xml:space="preserve">  Ce n’est pas à moi de déterminer si la preuve est suffisante.  Je suis convaincue de la vraisemblance du moyen invoqué en défense. </w:t>
      </w:r>
      <w:r w:rsidR="003421D9">
        <w:rPr>
          <w:lang w:val="fr-CA"/>
        </w:rPr>
        <w:t>[Je souligne; d.a</w:t>
      </w:r>
      <w:r w:rsidRPr="00783D5D">
        <w:rPr>
          <w:lang w:val="fr-CA"/>
        </w:rPr>
        <w:t>, vol. I, p. 5.]</w:t>
      </w:r>
    </w:p>
    <w:p w:rsidR="00FB0825" w:rsidRPr="00783D5D" w:rsidRDefault="00FB0825" w:rsidP="00FB0825">
      <w:pPr>
        <w:pStyle w:val="ContinueParaSuitedupar-AltP"/>
        <w:rPr>
          <w:rFonts w:cs="Times New Roman"/>
          <w:lang w:val="fr-CA"/>
        </w:rPr>
      </w:pPr>
      <w:r w:rsidRPr="00783D5D">
        <w:rPr>
          <w:rFonts w:cs="Times New Roman"/>
          <w:lang w:val="fr-CA" w:bidi="en-US"/>
        </w:rPr>
        <w:t>Elle ne se demande toutefois pas si le dossier permet de conclure que les remarques provocatrices de M. Kullman ont été soudaines, c’est-à-dire si elles ont subjectivement pris M. Pappas par surprise.  Il s’agit d’une erreur de droit car « [la soudaineté] s’applique [. . .] tant à l’acte de provocation qu’à la réaction de l’accusé » (</w:t>
      </w:r>
      <w:r w:rsidRPr="00783D5D">
        <w:rPr>
          <w:rFonts w:cs="Times New Roman"/>
          <w:i/>
          <w:lang w:val="fr-CA" w:bidi="en-US"/>
        </w:rPr>
        <w:t>Tran</w:t>
      </w:r>
      <w:r w:rsidRPr="00783D5D">
        <w:rPr>
          <w:rFonts w:cs="Times New Roman"/>
          <w:lang w:val="fr-CA" w:bidi="en-US"/>
        </w:rPr>
        <w:t xml:space="preserve">, par. 38). </w:t>
      </w:r>
    </w:p>
    <w:p w:rsidR="00FB0825" w:rsidRPr="00783D5D" w:rsidRDefault="00FB0825" w:rsidP="00FB0825">
      <w:pPr>
        <w:pStyle w:val="ParaNoNdepar-AltN"/>
        <w:rPr>
          <w:rFonts w:cs="Times New Roman"/>
          <w:lang w:val="fr-CA"/>
        </w:rPr>
      </w:pPr>
      <w:r w:rsidRPr="00783D5D">
        <w:rPr>
          <w:rFonts w:cs="Times New Roman"/>
          <w:lang w:val="fr-CA" w:bidi="en-US"/>
        </w:rPr>
        <w:lastRenderedPageBreak/>
        <w:t>Le dossier ne saurait raisonnablement étayer la conclusion selon laquelle les propos de M. Kullman, à savoir qu’il continuerait de lui extorquer de l’argent et qu’il disposait d’« une super garantie », ont pris M. Pappas par surprise.  M. Kullman s’était exprimé dans le même sens maintes fois dans le passé.  Considérée dans son ensemble, la preuve donne à penser qu’avant de se rendre chez M. Kullman, M. Pappas avait envisagé la possibilité que M. Kullman continue de lui extorquer de l’argent et de le menacer et qu’il devrait alors le supprimer pour mettre fin au chantage.</w:t>
      </w:r>
    </w:p>
    <w:p w:rsidR="00FB0825" w:rsidRPr="00783D5D" w:rsidRDefault="00FB0825" w:rsidP="00FB0825">
      <w:pPr>
        <w:pStyle w:val="ParaNoNdepar-AltN"/>
        <w:rPr>
          <w:rFonts w:cs="Times New Roman"/>
          <w:lang w:val="fr-CA"/>
        </w:rPr>
      </w:pPr>
      <w:r w:rsidRPr="00783D5D">
        <w:rPr>
          <w:rFonts w:cs="Times New Roman"/>
          <w:lang w:val="fr-CA" w:bidi="en-US"/>
        </w:rPr>
        <w:t>Selon le récit principal que renferment ses aveux, M. Pappas avait décidé de mettre fin par tous les moyens nécessaires à l’extorsion et aux menaces qui pesaient sur sa mère.  Il s’est présenté chez M. Kullman armé d’un pistolet chargé de balles à pointe creuse.  Interrogé sur le choix de ces balles, il a répondu :</w:t>
      </w:r>
    </w:p>
    <w:p w:rsidR="00FB0825" w:rsidRPr="00783D5D" w:rsidRDefault="00FB0825" w:rsidP="00FB0825">
      <w:pPr>
        <w:pStyle w:val="Citation-AltC"/>
        <w:ind w:hanging="1166"/>
        <w:rPr>
          <w:lang w:val="fr-CA"/>
        </w:rPr>
      </w:pPr>
      <w:r w:rsidRPr="00783D5D">
        <w:rPr>
          <w:lang w:val="fr-CA"/>
        </w:rPr>
        <w:tab/>
        <w:t>[</w:t>
      </w:r>
      <w:r w:rsidRPr="00783D5D">
        <w:rPr>
          <w:smallCaps/>
          <w:lang w:val="fr-CA"/>
        </w:rPr>
        <w:t>traduction</w:t>
      </w:r>
      <w:r w:rsidRPr="00783D5D">
        <w:rPr>
          <w:lang w:val="fr-CA"/>
        </w:rPr>
        <w:t>]  Lorsqu’on veut neutraliser quelqu’un, on utilise des balles à pointe creuse.  Il ne faut pas utiliser des balles standards à bout rond car elles traversent le corps.  Elles ne causent pas vraiment de dommages</w:t>
      </w:r>
      <w:r w:rsidR="003421D9">
        <w:rPr>
          <w:lang w:val="fr-CA"/>
        </w:rPr>
        <w:t>.</w:t>
      </w:r>
      <w:r w:rsidRPr="00783D5D">
        <w:rPr>
          <w:lang w:val="fr-CA"/>
        </w:rPr>
        <w:t xml:space="preserve"> [. . .]  Ça ne devait pas arriver, mais la situation a continué de se dégrader.</w:t>
      </w:r>
      <w:r w:rsidR="003421D9">
        <w:rPr>
          <w:lang w:val="fr-CA"/>
        </w:rPr>
        <w:t xml:space="preserve">  Alors, je les ai achetées.  [d.a</w:t>
      </w:r>
      <w:r w:rsidRPr="00783D5D">
        <w:rPr>
          <w:lang w:val="fr-CA"/>
        </w:rPr>
        <w:t>., vol</w:t>
      </w:r>
      <w:r w:rsidR="005A2FC6">
        <w:rPr>
          <w:lang w:val="fr-CA"/>
        </w:rPr>
        <w:t>.</w:t>
      </w:r>
      <w:r w:rsidRPr="00783D5D">
        <w:rPr>
          <w:lang w:val="fr-CA"/>
        </w:rPr>
        <w:t> II, p. 262]</w:t>
      </w:r>
    </w:p>
    <w:p w:rsidR="00FB0825" w:rsidRPr="00783D5D" w:rsidRDefault="00FB0825" w:rsidP="00FB0825">
      <w:pPr>
        <w:pStyle w:val="ParaNoNdepar-AltN"/>
        <w:rPr>
          <w:rFonts w:cs="Times New Roman"/>
          <w:lang w:val="fr-CA"/>
        </w:rPr>
      </w:pPr>
      <w:r w:rsidRPr="00783D5D">
        <w:rPr>
          <w:rFonts w:cs="Times New Roman"/>
          <w:lang w:val="fr-CA" w:bidi="en-US"/>
        </w:rPr>
        <w:t xml:space="preserve">Dans ses aveux, M. Pappas fait plusieurs fois mention de sa décision de faire le nécessaire pour mettre fin à l’extorsion et aux menaces dirigées contre sa mère.  Il dit avoir eu le sentiment que les menaces ne lui laissaient d’autre choix que d’affronter M. Kullman :  </w:t>
      </w:r>
    </w:p>
    <w:p w:rsidR="00FB0825" w:rsidRPr="00783D5D" w:rsidRDefault="00FB0825" w:rsidP="00FB0825">
      <w:pPr>
        <w:pStyle w:val="Citation-AltC"/>
        <w:ind w:hanging="1166"/>
        <w:rPr>
          <w:lang w:val="fr-CA"/>
        </w:rPr>
      </w:pPr>
      <w:r w:rsidRPr="00783D5D">
        <w:rPr>
          <w:lang w:val="fr-CA"/>
        </w:rPr>
        <w:tab/>
        <w:t>[</w:t>
      </w:r>
      <w:r w:rsidRPr="00783D5D">
        <w:rPr>
          <w:smallCaps/>
          <w:lang w:val="fr-CA"/>
        </w:rPr>
        <w:t>traduction</w:t>
      </w:r>
      <w:r w:rsidRPr="00783D5D">
        <w:rPr>
          <w:lang w:val="fr-CA"/>
        </w:rPr>
        <w:t>]  Vous ne pouvez imaginer ce que l’on ressent lorsque l’on est acculé au pied du mur et qu’il faut choisir.  Je ne voulais pas lui faire de mal.  Je ne m’en faisais pas pour moi, mais pour ma mère.  Qu’est</w:t>
      </w:r>
      <w:r w:rsidRPr="00783D5D">
        <w:rPr>
          <w:lang w:val="fr-CA"/>
        </w:rPr>
        <w:noBreakHyphen/>
        <w:t>ce que je devais faire?  Je n’avais plus le choix quand il a</w:t>
      </w:r>
      <w:r w:rsidR="003421D9">
        <w:rPr>
          <w:lang w:val="fr-CA"/>
        </w:rPr>
        <w:t xml:space="preserve"> envoyé ses amis </w:t>
      </w:r>
      <w:r w:rsidR="00D61933">
        <w:rPr>
          <w:lang w:val="fr-CA"/>
        </w:rPr>
        <w:t>—</w:t>
      </w:r>
      <w:r w:rsidRPr="00783D5D">
        <w:rPr>
          <w:lang w:val="fr-CA"/>
        </w:rPr>
        <w:t xml:space="preserve"> quand il a envoyé ses amis chez ma mère.  Il ne m’a pas donné le </w:t>
      </w:r>
      <w:r w:rsidRPr="00783D5D">
        <w:rPr>
          <w:lang w:val="fr-CA"/>
        </w:rPr>
        <w:lastRenderedPageBreak/>
        <w:t>choix après</w:t>
      </w:r>
      <w:r w:rsidR="008C41B7">
        <w:rPr>
          <w:lang w:val="fr-CA"/>
        </w:rPr>
        <w:t xml:space="preserve"> cet événement.  J’ai commencé </w:t>
      </w:r>
      <w:r w:rsidR="00D61933">
        <w:rPr>
          <w:lang w:val="fr-CA"/>
        </w:rPr>
        <w:t>—</w:t>
      </w:r>
      <w:r w:rsidR="008C41B7">
        <w:rPr>
          <w:lang w:val="fr-CA"/>
        </w:rPr>
        <w:t xml:space="preserve"> j’ai pris </w:t>
      </w:r>
      <w:r w:rsidR="00D61933">
        <w:rPr>
          <w:lang w:val="fr-CA"/>
        </w:rPr>
        <w:t>—</w:t>
      </w:r>
      <w:r w:rsidR="008C41B7">
        <w:rPr>
          <w:lang w:val="fr-CA"/>
        </w:rPr>
        <w:t xml:space="preserve"> j’ai pris ma décision.  [d.a</w:t>
      </w:r>
      <w:r w:rsidRPr="00783D5D">
        <w:rPr>
          <w:lang w:val="fr-CA"/>
        </w:rPr>
        <w:t>., vol. II, p. 255]</w:t>
      </w:r>
    </w:p>
    <w:p w:rsidR="00FB0825" w:rsidRPr="00783D5D" w:rsidRDefault="00FB0825" w:rsidP="00FB0825">
      <w:pPr>
        <w:pStyle w:val="ContinueParaSuitedupar-AltP"/>
        <w:rPr>
          <w:rFonts w:cs="Times New Roman"/>
          <w:lang w:val="fr-CA"/>
        </w:rPr>
      </w:pPr>
      <w:r w:rsidRPr="00783D5D">
        <w:rPr>
          <w:rFonts w:cs="Times New Roman"/>
          <w:lang w:val="fr-CA" w:bidi="en-US"/>
        </w:rPr>
        <w:t>Il explique en quoi l’extorsion incessante et les menaces l’ont poussé à faire ce « choix » et en quoi celui-ci [</w:t>
      </w:r>
      <w:r w:rsidRPr="00783D5D">
        <w:rPr>
          <w:rFonts w:cs="Times New Roman"/>
          <w:smallCaps/>
          <w:lang w:val="fr-CA" w:bidi="en-US"/>
        </w:rPr>
        <w:t>traduction</w:t>
      </w:r>
      <w:r w:rsidRPr="00783D5D">
        <w:rPr>
          <w:rFonts w:cs="Times New Roman"/>
          <w:lang w:val="fr-CA" w:bidi="en-US"/>
        </w:rPr>
        <w:t>] « s’est imposé de lui</w:t>
      </w:r>
      <w:r w:rsidRPr="00783D5D">
        <w:rPr>
          <w:rFonts w:cs="Times New Roman"/>
          <w:lang w:val="fr-CA" w:bidi="en-US"/>
        </w:rPr>
        <w:noBreakHyphen/>
        <w:t xml:space="preserve">même après 18 mois [d’extorsion] » </w:t>
      </w:r>
      <w:r w:rsidRPr="00783D5D">
        <w:rPr>
          <w:rFonts w:cs="Times New Roman"/>
          <w:lang w:val="fr-CA"/>
        </w:rPr>
        <w:t>—</w:t>
      </w:r>
      <w:r w:rsidRPr="00783D5D">
        <w:rPr>
          <w:rFonts w:cs="Times New Roman"/>
          <w:lang w:val="fr-CA" w:bidi="en-US"/>
        </w:rPr>
        <w:t xml:space="preserve"> « c’ét</w:t>
      </w:r>
      <w:r w:rsidR="008C41B7">
        <w:rPr>
          <w:rFonts w:cs="Times New Roman"/>
          <w:lang w:val="fr-CA" w:bidi="en-US"/>
        </w:rPr>
        <w:t>ait [M. Kullman] ou ma mère » (d.a., vol. II, p. 259-</w:t>
      </w:r>
      <w:r w:rsidRPr="00783D5D">
        <w:rPr>
          <w:rFonts w:cs="Times New Roman"/>
          <w:lang w:val="fr-CA" w:bidi="en-US"/>
        </w:rPr>
        <w:t>261).  Il ajoute qu’une fois chez M. Kullman, sur le pas de la porte, il s’est souvenu du jour où les acolytes de M. Kullman av</w:t>
      </w:r>
      <w:r w:rsidR="00D07D30">
        <w:rPr>
          <w:rFonts w:cs="Times New Roman"/>
          <w:lang w:val="fr-CA" w:bidi="en-US"/>
        </w:rPr>
        <w:t>aient rendu visite à sa mère :</w:t>
      </w:r>
      <w:r w:rsidRPr="00783D5D">
        <w:rPr>
          <w:rFonts w:cs="Times New Roman"/>
          <w:lang w:val="fr-CA" w:bidi="en-US"/>
        </w:rPr>
        <w:t xml:space="preserve"> « Alors, dès que cette image m’est apparue, c’était décidé, “je gardais le pistolet”.  [. . .] [M. Kullman] avait fait son choix</w:t>
      </w:r>
      <w:r w:rsidR="008C41B7">
        <w:rPr>
          <w:rFonts w:cs="Times New Roman"/>
          <w:lang w:val="fr-CA" w:bidi="en-US"/>
        </w:rPr>
        <w:t xml:space="preserve"> et j’ai alors fait le mien » (d.a</w:t>
      </w:r>
      <w:r w:rsidRPr="00783D5D">
        <w:rPr>
          <w:rFonts w:cs="Times New Roman"/>
          <w:lang w:val="fr-CA" w:bidi="en-US"/>
        </w:rPr>
        <w:t xml:space="preserve">., vol. II, p. 294).  Il précise comment les refus répétés de M. Kullman de mettre fin à l’extorsion l’ont graduellement amené à se résoudre à utiliser le pistolet qu’il avait sur lui :  </w:t>
      </w:r>
    </w:p>
    <w:p w:rsidR="00FB0825" w:rsidRPr="00783D5D" w:rsidRDefault="00FB0825" w:rsidP="00671B09">
      <w:pPr>
        <w:pStyle w:val="Citation-AltC"/>
        <w:ind w:hanging="1166"/>
        <w:rPr>
          <w:lang w:val="fr-CA" w:bidi="en-US"/>
        </w:rPr>
      </w:pPr>
      <w:r w:rsidRPr="00783D5D">
        <w:rPr>
          <w:lang w:val="fr-CA" w:bidi="en-US"/>
        </w:rPr>
        <w:tab/>
        <w:t>[</w:t>
      </w:r>
      <w:r w:rsidRPr="00783D5D">
        <w:rPr>
          <w:smallCaps/>
          <w:lang w:val="fr-CA" w:bidi="en-US"/>
        </w:rPr>
        <w:t>traduction</w:t>
      </w:r>
      <w:r w:rsidRPr="00783D5D">
        <w:rPr>
          <w:lang w:val="fr-CA" w:bidi="en-US"/>
        </w:rPr>
        <w:t>]  Nous venions de commencer à discuter et j’essayais de</w:t>
      </w:r>
      <w:r w:rsidR="008C41B7">
        <w:rPr>
          <w:lang w:val="fr-CA" w:bidi="en-US"/>
        </w:rPr>
        <w:t xml:space="preserve"> lui dire </w:t>
      </w:r>
      <w:r w:rsidR="00D61933">
        <w:rPr>
          <w:lang w:val="fr-CA" w:bidi="en-US"/>
        </w:rPr>
        <w:t>—</w:t>
      </w:r>
      <w:r w:rsidRPr="00783D5D">
        <w:rPr>
          <w:lang w:val="fr-CA" w:bidi="en-US"/>
        </w:rPr>
        <w:t xml:space="preserve"> j’essayais de me montrer ferme, de faire en sorte que ça n’aille pas plus loin.  [. . .]</w:t>
      </w:r>
      <w:r w:rsidR="008C41B7">
        <w:rPr>
          <w:lang w:val="fr-CA" w:bidi="en-US"/>
        </w:rPr>
        <w:t xml:space="preserve"> </w:t>
      </w:r>
      <w:r w:rsidRPr="00783D5D">
        <w:rPr>
          <w:lang w:val="fr-CA" w:bidi="en-US"/>
        </w:rPr>
        <w:t xml:space="preserve">Et, il a dit : « Eh bien, comme je l’ai dit, tu sais, je veux dire que j’ai une super garantie », vous savez? Et, il a ajouté : « Et, ce sera bientôt jour de paie », vous savez?  [. . .] ou quelque chose du genre, comme quoi il disposait d’une bonne garantie.  Et, vous savez, j’essayais juste de le dissuader, j’essayais de le convaincre : « Ne fais pas ça Brian.  Allez, vieux.  Ne fais pas ça », parce qu’un objet appuyait sur ma hanche [. . .] et je fais tout ce </w:t>
      </w:r>
      <w:r w:rsidR="002F3914">
        <w:rPr>
          <w:lang w:val="fr-CA" w:bidi="en-US"/>
        </w:rPr>
        <w:t>que je peux pour le raisonner . . .</w:t>
      </w:r>
    </w:p>
    <w:p w:rsidR="00FB0825" w:rsidRPr="00783D5D" w:rsidRDefault="002F3914" w:rsidP="00FB0825">
      <w:pPr>
        <w:pStyle w:val="Citation-AltC"/>
        <w:spacing w:after="240"/>
        <w:ind w:left="1168" w:hanging="1168"/>
        <w:contextualSpacing w:val="0"/>
        <w:jc w:val="center"/>
        <w:rPr>
          <w:lang w:val="fr-CA" w:bidi="en-US"/>
        </w:rPr>
      </w:pPr>
      <w:r>
        <w:rPr>
          <w:lang w:val="fr-CA" w:bidi="en-US"/>
        </w:rPr>
        <w:t>. . .</w:t>
      </w:r>
    </w:p>
    <w:p w:rsidR="00FB0825" w:rsidRPr="00783D5D" w:rsidRDefault="00FB0825" w:rsidP="00C55B21">
      <w:pPr>
        <w:pStyle w:val="Citation-AltC"/>
        <w:spacing w:after="0"/>
        <w:ind w:hanging="1166"/>
        <w:contextualSpacing w:val="0"/>
        <w:rPr>
          <w:lang w:val="fr-CA" w:bidi="en-US"/>
        </w:rPr>
      </w:pPr>
      <w:r w:rsidRPr="00783D5D">
        <w:rPr>
          <w:lang w:val="fr-CA" w:bidi="en-US"/>
        </w:rPr>
        <w:tab/>
      </w:r>
      <w:r w:rsidRPr="00783D5D">
        <w:rPr>
          <w:u w:val="single"/>
          <w:lang w:val="fr-CA" w:bidi="en-US"/>
        </w:rPr>
        <w:t>Je veux dire que chaque fois qu’il ouvrait sa satanée gueule, il me poussait à faire ce que je devais faire, alors que je m’y refusais.</w:t>
      </w:r>
      <w:r w:rsidR="00C55B21" w:rsidRPr="00C55B21">
        <w:rPr>
          <w:lang w:val="fr-CA" w:bidi="en-US"/>
        </w:rPr>
        <w:t xml:space="preserve"> </w:t>
      </w:r>
      <w:r w:rsidR="00C55B21">
        <w:rPr>
          <w:lang w:val="fr-CA" w:bidi="en-US"/>
        </w:rPr>
        <w:t>[Je souligne; d.a</w:t>
      </w:r>
      <w:r w:rsidRPr="00783D5D">
        <w:rPr>
          <w:lang w:val="fr-CA" w:bidi="en-US"/>
        </w:rPr>
        <w:t>., vol. II, p. 299 et 302.]</w:t>
      </w:r>
    </w:p>
    <w:p w:rsidR="00FB0825" w:rsidRPr="00783D5D" w:rsidRDefault="00FB0825" w:rsidP="00FB0825">
      <w:pPr>
        <w:pStyle w:val="ParaNoNdepar-AltN"/>
        <w:rPr>
          <w:rFonts w:cs="Times New Roman"/>
          <w:lang w:val="fr-CA"/>
        </w:rPr>
      </w:pPr>
      <w:r w:rsidRPr="00783D5D">
        <w:rPr>
          <w:rFonts w:cs="Times New Roman"/>
          <w:lang w:val="fr-CA"/>
        </w:rPr>
        <w:t xml:space="preserve">Les seuls extraits des aveux de M. Pappas qui étayent la perte de maîtrise de soi sont ceux qui font état de sa réaction lorsque M. Kullman a répété qu’il disposait d’une « garantie » : </w:t>
      </w:r>
    </w:p>
    <w:p w:rsidR="00FB0825" w:rsidRPr="00783D5D" w:rsidRDefault="00FB0825" w:rsidP="00FB0825">
      <w:pPr>
        <w:pStyle w:val="Citation-AltC"/>
        <w:ind w:hanging="1166"/>
        <w:rPr>
          <w:lang w:val="fr-CA"/>
        </w:rPr>
      </w:pPr>
      <w:r w:rsidRPr="00783D5D">
        <w:rPr>
          <w:lang w:val="fr-CA"/>
        </w:rPr>
        <w:tab/>
        <w:t>[</w:t>
      </w:r>
      <w:r w:rsidRPr="00783D5D">
        <w:rPr>
          <w:smallCaps/>
          <w:lang w:val="fr-CA"/>
        </w:rPr>
        <w:t>traduction</w:t>
      </w:r>
      <w:r w:rsidR="00C55B21">
        <w:rPr>
          <w:lang w:val="fr-CA"/>
        </w:rPr>
        <w:t xml:space="preserve">]  C’est </w:t>
      </w:r>
      <w:r w:rsidR="00D61933">
        <w:rPr>
          <w:lang w:val="fr-CA"/>
        </w:rPr>
        <w:t>—</w:t>
      </w:r>
      <w:r w:rsidRPr="00783D5D">
        <w:rPr>
          <w:lang w:val="fr-CA"/>
        </w:rPr>
        <w:t xml:space="preserve"> c’est juste la façon dont il l’a dit.  Seulement la manière dont il a prononcé le mot « garantie ».  Je savais c</w:t>
      </w:r>
      <w:r w:rsidR="00260A4B">
        <w:rPr>
          <w:lang w:val="fr-CA"/>
        </w:rPr>
        <w:t xml:space="preserve">e qu’il voulait </w:t>
      </w:r>
      <w:r w:rsidR="00260A4B">
        <w:rPr>
          <w:lang w:val="fr-CA"/>
        </w:rPr>
        <w:lastRenderedPageBreak/>
        <w:t>dire.  [. . .] [A]</w:t>
      </w:r>
      <w:r w:rsidRPr="00783D5D">
        <w:rPr>
          <w:lang w:val="fr-CA"/>
        </w:rPr>
        <w:t>près, c’est comme si j’avais perdu la raison, tout se déroulant ensuite automatiquement.  J’ai sorti mon pistolet, j’ai armé le chie</w:t>
      </w:r>
      <w:r w:rsidR="00C55B21">
        <w:rPr>
          <w:lang w:val="fr-CA"/>
        </w:rPr>
        <w:t>n, j’ai tiré.  [d.a</w:t>
      </w:r>
      <w:r w:rsidRPr="00783D5D">
        <w:rPr>
          <w:lang w:val="fr-CA"/>
        </w:rPr>
        <w:t>., vol. II, p. 303]</w:t>
      </w:r>
    </w:p>
    <w:p w:rsidR="00FB0825" w:rsidRPr="00783D5D" w:rsidRDefault="00FB0825" w:rsidP="00FB0825">
      <w:pPr>
        <w:pStyle w:val="ContinueParaSuitedupar-AltP"/>
        <w:rPr>
          <w:rFonts w:cs="Times New Roman"/>
          <w:lang w:val="fr-CA"/>
        </w:rPr>
      </w:pPr>
      <w:r w:rsidRPr="00783D5D">
        <w:rPr>
          <w:rFonts w:cs="Times New Roman"/>
          <w:lang w:val="fr-CA"/>
        </w:rPr>
        <w:t>C’est alors que M. Pappas aurait [</w:t>
      </w:r>
      <w:r w:rsidRPr="00783D5D">
        <w:rPr>
          <w:rFonts w:cs="Times New Roman"/>
          <w:smallCaps/>
          <w:lang w:val="fr-CA"/>
        </w:rPr>
        <w:t>traduction</w:t>
      </w:r>
      <w:r w:rsidRPr="00783D5D">
        <w:rPr>
          <w:rFonts w:cs="Times New Roman"/>
          <w:lang w:val="fr-CA"/>
        </w:rPr>
        <w:t xml:space="preserve">] « disjoncté ».  </w:t>
      </w:r>
    </w:p>
    <w:p w:rsidR="00FB0825" w:rsidRPr="00783D5D" w:rsidRDefault="00FB0825" w:rsidP="00FB0825">
      <w:pPr>
        <w:pStyle w:val="ParaNoNdepar-AltN"/>
        <w:rPr>
          <w:rFonts w:cs="Times New Roman"/>
          <w:lang w:val="fr-CA"/>
        </w:rPr>
      </w:pPr>
      <w:r w:rsidRPr="00783D5D">
        <w:rPr>
          <w:rFonts w:cs="Times New Roman"/>
          <w:lang w:val="fr-CA" w:bidi="en-US"/>
        </w:rPr>
        <w:t xml:space="preserve">La prétention voulant que M. Pappas ait été surpris par les propos de M. Kullman ne fait pas partie des conclusions raisonnables qu’il est possible de tirer de la preuve.  Elle ne prend appui que sur les affirmations de M. Pappas selon lesquelles il a « disjoncté », « tout se déroulant ensuite automatiquement ». </w:t>
      </w:r>
      <w:r w:rsidRPr="00783D5D">
        <w:rPr>
          <w:rFonts w:cs="Times New Roman"/>
          <w:lang w:val="fr-CA"/>
        </w:rPr>
        <w:t xml:space="preserve"> Il appert de la preuve considérée dans son ensemble que M. Pappas envisageait la possibilité que M. Kullman refuse de mettre fin à l’extorsion, qu’il « [le] pouss[e] à faire ce qu’[il] devait faire ».  Globalement, le récit fait état de la naissance progressive de la décision de tuer M. Kullman.  À supposer que M. Pappas ait véritablement « disjoncté », ce n’est pas en réaction à une insulte soudaine qui l’a surpris.  C’était l’étape finale du processus dans lequel il s’était engagé, à savoir tuer M. Kullman au besoin pour mettre fin à l’extorsion et aux menaces.</w:t>
      </w:r>
    </w:p>
    <w:p w:rsidR="00FB0825" w:rsidRPr="00783D5D" w:rsidRDefault="00FB0825" w:rsidP="00FB0825">
      <w:pPr>
        <w:pStyle w:val="ParaNoNdepar-AltN"/>
        <w:rPr>
          <w:rFonts w:cs="Times New Roman"/>
          <w:lang w:val="fr-CA"/>
        </w:rPr>
      </w:pPr>
      <w:r w:rsidRPr="00783D5D">
        <w:rPr>
          <w:rFonts w:cs="Times New Roman"/>
          <w:lang w:val="fr-CA"/>
        </w:rPr>
        <w:t>Pour ces motifs, j’estime que l’élément subjectif de la défense de provocation était dépourvu de vraisemblance au vu de la preuve.  Le moyen de défense n’aurait pas dû être soumis à l’appréciation du jury.  Le caractère erroné ou non des directives de la juge du procès au jury sur la défense de provocation importe donc peu, de sorte qu’il n’est pas nécessaire d’examiner les autres motifs d’appel de l’appelant.</w:t>
      </w:r>
    </w:p>
    <w:p w:rsidR="00FB0825" w:rsidRPr="00783D5D" w:rsidRDefault="00FB0825" w:rsidP="00FB0825">
      <w:pPr>
        <w:pStyle w:val="TitleTitre-AltT"/>
        <w:numPr>
          <w:ilvl w:val="0"/>
          <w:numId w:val="9"/>
        </w:numPr>
        <w:tabs>
          <w:tab w:val="clear" w:pos="360"/>
          <w:tab w:val="left" w:pos="426"/>
        </w:tabs>
        <w:ind w:left="426" w:hanging="426"/>
        <w:rPr>
          <w:rFonts w:cs="Times New Roman"/>
          <w:lang w:val="fr-CA"/>
        </w:rPr>
      </w:pPr>
      <w:r w:rsidRPr="00783D5D">
        <w:rPr>
          <w:rFonts w:cs="Times New Roman"/>
          <w:u w:val="single"/>
          <w:lang w:val="fr-CA"/>
        </w:rPr>
        <w:lastRenderedPageBreak/>
        <w:t>Conclusion</w:t>
      </w:r>
    </w:p>
    <w:p w:rsidR="00FB0825" w:rsidRPr="00783D5D" w:rsidRDefault="00FB0825" w:rsidP="00FB0825">
      <w:pPr>
        <w:pStyle w:val="ParaNoNdepar-AltN"/>
        <w:rPr>
          <w:rFonts w:cs="Times New Roman"/>
          <w:lang w:val="fr-CA"/>
        </w:rPr>
      </w:pPr>
      <w:r w:rsidRPr="00783D5D">
        <w:rPr>
          <w:rFonts w:cs="Times New Roman"/>
          <w:lang w:val="fr-CA"/>
        </w:rPr>
        <w:t>Je suis d’avis de rejeter l’appel et de confirmer la déclaration de culpabilité pour meurtre au deuxième degré.</w:t>
      </w:r>
    </w:p>
    <w:p w:rsidR="00FB0825" w:rsidRPr="00BA6E96" w:rsidRDefault="00BA6E96" w:rsidP="00FB0825">
      <w:pPr>
        <w:pStyle w:val="JudgeJuge"/>
        <w:spacing w:before="480"/>
        <w:rPr>
          <w:smallCaps w:val="0"/>
          <w:lang w:val="fr-CA"/>
        </w:rPr>
      </w:pPr>
      <w:r>
        <w:rPr>
          <w:lang w:val="fr-CA"/>
        </w:rPr>
        <w:tab/>
      </w:r>
      <w:r w:rsidRPr="00BA6E96">
        <w:rPr>
          <w:smallCaps w:val="0"/>
          <w:lang w:val="fr-CA"/>
        </w:rPr>
        <w:t>Version française des motifs rendus par</w:t>
      </w:r>
    </w:p>
    <w:p w:rsidR="00FB0825" w:rsidRPr="0092056E" w:rsidRDefault="00FB0825" w:rsidP="00FB0825">
      <w:pPr>
        <w:pStyle w:val="JudgeJuge"/>
        <w:spacing w:before="480"/>
      </w:pPr>
      <w:r w:rsidRPr="0092056E">
        <w:rPr>
          <w:lang w:val="fr-CA"/>
        </w:rPr>
        <w:tab/>
      </w:r>
      <w:r w:rsidRPr="0092056E">
        <w:t xml:space="preserve">Le juge Fish — </w:t>
      </w:r>
    </w:p>
    <w:p w:rsidR="00FB0825" w:rsidRPr="0092056E" w:rsidRDefault="00FB0825" w:rsidP="00A2040A">
      <w:pPr>
        <w:pStyle w:val="TitleTitre-AltT"/>
        <w:jc w:val="center"/>
        <w:outlineLvl w:val="0"/>
        <w:rPr>
          <w:rFonts w:cs="Times New Roman"/>
        </w:rPr>
      </w:pPr>
      <w:r w:rsidRPr="0092056E">
        <w:rPr>
          <w:rFonts w:cs="Times New Roman"/>
        </w:rPr>
        <w:t>I</w:t>
      </w:r>
    </w:p>
    <w:p w:rsidR="00FB0825" w:rsidRPr="0092056E" w:rsidRDefault="00FB0825" w:rsidP="00FB0825">
      <w:pPr>
        <w:pStyle w:val="ParaNoNdepar-AltN"/>
        <w:rPr>
          <w:rFonts w:cs="Times New Roman"/>
          <w:lang w:val="fr-CA"/>
        </w:rPr>
      </w:pPr>
      <w:r w:rsidRPr="0092056E">
        <w:rPr>
          <w:rFonts w:cs="Times New Roman"/>
          <w:lang w:val="fr-CA"/>
        </w:rPr>
        <w:t xml:space="preserve">À l’instar de la Juge en chef, mais pour des motifs différents, je suis d’avis de rejeter le pourvoi et de confirmer le verdict de culpabilité de l’appelant. </w:t>
      </w:r>
    </w:p>
    <w:p w:rsidR="00FB0825" w:rsidRPr="0092056E" w:rsidRDefault="00FB0825" w:rsidP="00FB0825">
      <w:pPr>
        <w:pStyle w:val="ParaNoNdepar-AltN"/>
        <w:rPr>
          <w:rFonts w:cs="Times New Roman"/>
          <w:lang w:val="fr-CA"/>
        </w:rPr>
      </w:pPr>
      <w:r w:rsidRPr="0092056E">
        <w:rPr>
          <w:rFonts w:cs="Times New Roman"/>
          <w:lang w:val="fr-CA"/>
        </w:rPr>
        <w:t xml:space="preserve">Toutefois, contrairement à la Juge en chef, mais avec égards, je souscris à l’opinion unanime de la Cour d’appel selon laquelle la juge du procès n’a pas eu tort de soumettre au jury la défense de provocation invoquée par l’appelant (2012 ABCA 221, 533 A.R. 294).  </w:t>
      </w:r>
    </w:p>
    <w:p w:rsidR="00FB0825" w:rsidRPr="0092056E" w:rsidRDefault="00FB0825" w:rsidP="00FB0825">
      <w:pPr>
        <w:pStyle w:val="ParaNoNdepar-AltN"/>
        <w:tabs>
          <w:tab w:val="clear" w:pos="1152"/>
          <w:tab w:val="left" w:pos="1166"/>
        </w:tabs>
        <w:rPr>
          <w:rFonts w:cs="Times New Roman"/>
          <w:lang w:val="fr-CA"/>
        </w:rPr>
      </w:pPr>
      <w:r w:rsidRPr="0092056E">
        <w:rPr>
          <w:rFonts w:cs="Times New Roman"/>
          <w:lang w:val="fr-CA"/>
        </w:rPr>
        <w:t>Seul le caractère approprié des directives au jury suscite un désaccord chez les juges de la Cour d’appel.  Sur ce point, je conviens avec les juges majoritaires que les directives de la juge du procès ne sont entachées d’aucune erreur susceptible de contrôle.</w:t>
      </w:r>
    </w:p>
    <w:p w:rsidR="00FB0825" w:rsidRPr="0092056E" w:rsidRDefault="00FB0825" w:rsidP="00FB0825">
      <w:pPr>
        <w:pStyle w:val="ParaNoNdepar-AltN"/>
        <w:rPr>
          <w:rFonts w:cs="Times New Roman"/>
          <w:lang w:val="fr-CA"/>
        </w:rPr>
      </w:pPr>
      <w:r w:rsidRPr="0092056E">
        <w:rPr>
          <w:rFonts w:cs="Times New Roman"/>
          <w:lang w:val="fr-CA"/>
        </w:rPr>
        <w:t>Le pourvoi doit donc être rejeté.</w:t>
      </w:r>
    </w:p>
    <w:p w:rsidR="00FB0825" w:rsidRPr="0092056E" w:rsidRDefault="00FB0825" w:rsidP="00A2040A">
      <w:pPr>
        <w:pStyle w:val="TitleTitre-AltT"/>
        <w:jc w:val="center"/>
        <w:outlineLvl w:val="0"/>
        <w:rPr>
          <w:rFonts w:cs="Times New Roman"/>
        </w:rPr>
      </w:pPr>
      <w:r w:rsidRPr="0092056E">
        <w:rPr>
          <w:rFonts w:cs="Times New Roman"/>
        </w:rPr>
        <w:lastRenderedPageBreak/>
        <w:t>II</w:t>
      </w:r>
    </w:p>
    <w:p w:rsidR="00FB0825" w:rsidRPr="0092056E" w:rsidRDefault="00FB0825" w:rsidP="00FB0825">
      <w:pPr>
        <w:pStyle w:val="ParaNoNdepar-AltN"/>
        <w:tabs>
          <w:tab w:val="clear" w:pos="1152"/>
          <w:tab w:val="left" w:pos="1166"/>
        </w:tabs>
        <w:rPr>
          <w:rFonts w:cs="Times New Roman"/>
          <w:lang w:val="fr-CA"/>
        </w:rPr>
      </w:pPr>
      <w:r w:rsidRPr="0092056E">
        <w:rPr>
          <w:rFonts w:cs="Times New Roman"/>
          <w:lang w:val="fr-CA"/>
        </w:rPr>
        <w:t>Il est bien établi que le juge du procès</w:t>
      </w:r>
      <w:r>
        <w:rPr>
          <w:rFonts w:cs="Times New Roman"/>
          <w:lang w:val="fr-CA"/>
        </w:rPr>
        <w:t xml:space="preserve"> </w:t>
      </w:r>
      <w:r w:rsidRPr="0092056E">
        <w:rPr>
          <w:rFonts w:cs="Times New Roman"/>
          <w:lang w:val="fr-CA"/>
        </w:rPr>
        <w:t xml:space="preserve">doit permettre au jury d’examiner tout moyen de défense étayé par le dossier, sous réserve seulement de circonstances exceptionnelles inapplicables en l’espèce.  S’il ne le fait pas, il usurpe la fonction du jury et prive l’accusé d’un droit consacré dans notre système de justice.  </w:t>
      </w:r>
    </w:p>
    <w:p w:rsidR="00FB0825" w:rsidRPr="0092056E" w:rsidRDefault="00FB0825" w:rsidP="00FB0825">
      <w:pPr>
        <w:pStyle w:val="ParaNoNdepar-AltN"/>
        <w:tabs>
          <w:tab w:val="clear" w:pos="1152"/>
          <w:tab w:val="left" w:pos="1166"/>
        </w:tabs>
        <w:rPr>
          <w:rFonts w:cs="Times New Roman"/>
          <w:lang w:val="fr-CA"/>
        </w:rPr>
      </w:pPr>
      <w:r w:rsidRPr="0092056E">
        <w:rPr>
          <w:rFonts w:cs="Times New Roman"/>
          <w:lang w:val="fr-CA"/>
        </w:rPr>
        <w:t xml:space="preserve">Il ne s’agit pas d’une règle de droit nouvelle.  Dans l’arrêt </w:t>
      </w:r>
      <w:r w:rsidRPr="0092056E">
        <w:rPr>
          <w:rFonts w:cs="Times New Roman"/>
          <w:i/>
          <w:lang w:val="fr-CA"/>
        </w:rPr>
        <w:t>Henderson c. The King</w:t>
      </w:r>
      <w:r w:rsidRPr="0092056E">
        <w:rPr>
          <w:rFonts w:cs="Times New Roman"/>
          <w:lang w:val="fr-CA"/>
        </w:rPr>
        <w:t>, [1948] R.C.S. 226, par exemple, le juge Kellock reconnaissait qu’un [</w:t>
      </w:r>
      <w:r w:rsidRPr="0092056E">
        <w:rPr>
          <w:rFonts w:cs="Times New Roman"/>
          <w:smallCaps/>
          <w:lang w:val="fr-CA"/>
        </w:rPr>
        <w:t>traduction</w:t>
      </w:r>
      <w:r w:rsidRPr="0092056E">
        <w:rPr>
          <w:rFonts w:cs="Times New Roman"/>
          <w:lang w:val="fr-CA"/>
        </w:rPr>
        <w:t>] « principe de droit primordial veut que le moyen de défense invoqué par un accusé, aussi faible puisse</w:t>
      </w:r>
      <w:r w:rsidRPr="0092056E">
        <w:rPr>
          <w:rFonts w:cs="Times New Roman"/>
          <w:lang w:val="fr-CA"/>
        </w:rPr>
        <w:noBreakHyphen/>
        <w:t>t</w:t>
      </w:r>
      <w:r w:rsidRPr="0092056E">
        <w:rPr>
          <w:rFonts w:cs="Times New Roman"/>
          <w:lang w:val="fr-CA"/>
        </w:rPr>
        <w:noBreakHyphen/>
        <w:t xml:space="preserve">il être, soit soumis en toute justice au jury » (p. 241; voir également p. 237, le juge Taschereau).   </w:t>
      </w:r>
    </w:p>
    <w:p w:rsidR="00FB0825" w:rsidRPr="0092056E" w:rsidRDefault="00FB0825" w:rsidP="00FB0825">
      <w:pPr>
        <w:pStyle w:val="ParaNoNdepar-AltN"/>
        <w:tabs>
          <w:tab w:val="clear" w:pos="1152"/>
          <w:tab w:val="left" w:pos="1166"/>
        </w:tabs>
        <w:rPr>
          <w:rFonts w:cs="Times New Roman"/>
          <w:lang w:val="fr-CA"/>
        </w:rPr>
      </w:pPr>
      <w:r w:rsidRPr="0092056E">
        <w:rPr>
          <w:rFonts w:cs="Times New Roman"/>
          <w:lang w:val="fr-CA"/>
        </w:rPr>
        <w:t>Dans le cas de certaines infractions, l’accusé peut opter pour un procès devant jury; dans d’autres, comme en l’espèce, il y a obligatoirement procès devant jury.  Dans l’un ou l’autre cas, sauf verdict dirigé d’acquittement, décider de la culpabilité ou de l’innocence ressortit strictement au jury.  Il y a atteinte à ce principe fondamental dès lors qu’un juge soustrait à l’examen du jury un moyen de défense que celui</w:t>
      </w:r>
      <w:r w:rsidRPr="0092056E">
        <w:rPr>
          <w:rFonts w:cs="Times New Roman"/>
          <w:lang w:val="fr-CA"/>
        </w:rPr>
        <w:noBreakHyphen/>
        <w:t xml:space="preserve">ci peut — et qu’il doit légalement, en fait — considérer. </w:t>
      </w:r>
    </w:p>
    <w:p w:rsidR="00FB0825" w:rsidRPr="0092056E" w:rsidRDefault="00FB0825" w:rsidP="00FB0825">
      <w:pPr>
        <w:pStyle w:val="ParaNoNdepar-AltN"/>
        <w:tabs>
          <w:tab w:val="clear" w:pos="1152"/>
          <w:tab w:val="left" w:pos="1166"/>
        </w:tabs>
        <w:rPr>
          <w:rFonts w:cs="Times New Roman"/>
          <w:lang w:val="fr-CA"/>
        </w:rPr>
      </w:pPr>
      <w:r w:rsidRPr="0092056E">
        <w:rPr>
          <w:rFonts w:cs="Times New Roman"/>
          <w:lang w:val="fr-CA"/>
        </w:rPr>
        <w:t xml:space="preserve">La présente affaire n’est pas vraiment de nature à susciter des craintes concernant la soumission de moyens de défense plus ou moins valables au jury.  Elle montre au contraire que notre système de justice a raison de compter sur le jury auquel un juge a donné des directives appropriées pour rejeter la défense qui ne soulève pas chez lui un doute raisonnable quant à la culpabilité de l’accusé.  C’est ce qui s’est produit en l’espèce.  La juge du procès s’est estimée tenue de soumettre au </w:t>
      </w:r>
      <w:r w:rsidRPr="0092056E">
        <w:rPr>
          <w:rFonts w:cs="Times New Roman"/>
          <w:lang w:val="fr-CA"/>
        </w:rPr>
        <w:lastRenderedPageBreak/>
        <w:t xml:space="preserve">jury la défense de provocation même si elle considérait — et on peut la comprendre — que la preuve présentée à l’appui par l’appelant était « mince ».  Ayant reçu des directives appropriées et agissant de manière raisonnable, le jury a rejeté le moyen de défense. </w:t>
      </w:r>
    </w:p>
    <w:p w:rsidR="00FB0825" w:rsidRPr="0092056E" w:rsidRDefault="00FB0825" w:rsidP="00FB0825">
      <w:pPr>
        <w:pStyle w:val="ParaNoNdepar-AltN"/>
        <w:tabs>
          <w:tab w:val="clear" w:pos="1152"/>
          <w:tab w:val="left" w:pos="1166"/>
        </w:tabs>
        <w:rPr>
          <w:rFonts w:cs="Times New Roman"/>
          <w:lang w:val="fr-CA"/>
        </w:rPr>
      </w:pPr>
      <w:r w:rsidRPr="0092056E">
        <w:rPr>
          <w:rFonts w:cs="Times New Roman"/>
          <w:lang w:val="fr-CA"/>
        </w:rPr>
        <w:t xml:space="preserve">Lorsqu’il est appelé à décider de soumettre ou non un moyen de défense au jury, le juge du procès doit se garder d’accorder à ce qu’on appelle le critère de la </w:t>
      </w:r>
      <w:r w:rsidR="00BA6E96">
        <w:rPr>
          <w:rFonts w:cs="Times New Roman"/>
          <w:lang w:val="fr-CA"/>
        </w:rPr>
        <w:t>« </w:t>
      </w:r>
      <w:r w:rsidRPr="0092056E">
        <w:rPr>
          <w:rFonts w:cs="Times New Roman"/>
          <w:lang w:val="fr-CA"/>
        </w:rPr>
        <w:t>vraisemblance</w:t>
      </w:r>
      <w:r w:rsidR="00BA6E96">
        <w:rPr>
          <w:rFonts w:cs="Times New Roman"/>
          <w:lang w:val="fr-CA"/>
        </w:rPr>
        <w:t> »</w:t>
      </w:r>
      <w:r w:rsidRPr="0092056E">
        <w:rPr>
          <w:rFonts w:cs="Times New Roman"/>
          <w:lang w:val="fr-CA"/>
        </w:rPr>
        <w:t xml:space="preserve"> plus d’importance qu’à la norme qui vaut depuis des siècles.  Bien que la formulation de la norme ait parfois varié, sa teneur est demeurée inchangée : un moyen de défense doit être soumis au jury s’il existe une preuve à partir de laquelle un jury ayant reçu des directives appropriées et agissant de manière raisonnable pourrait raisonnablement douter de la culpabilité de l’accusé.  </w:t>
      </w:r>
    </w:p>
    <w:p w:rsidR="00FB0825" w:rsidRPr="0092056E" w:rsidRDefault="00FB0825" w:rsidP="00FB0825">
      <w:pPr>
        <w:pStyle w:val="ParaNoNdepar-AltN"/>
        <w:rPr>
          <w:rFonts w:cs="Times New Roman"/>
          <w:lang w:val="fr-CA"/>
        </w:rPr>
      </w:pPr>
      <w:r w:rsidRPr="0092056E">
        <w:rPr>
          <w:rFonts w:cs="Times New Roman"/>
          <w:lang w:val="fr-CA"/>
        </w:rPr>
        <w:t>La « vraisemblance » ne s’entend ni du caractère plausible, ni de la probabilité.  Le « critère de la vraisemblance ne vise pas [. . .] à déterminer s’il est probable, improbable, quelque peu probable ou fort probable que le moyen de défense invoqué sera retenu en fin de compte » (</w:t>
      </w:r>
      <w:r w:rsidRPr="0092056E">
        <w:rPr>
          <w:rFonts w:cs="Times New Roman"/>
          <w:i/>
          <w:lang w:val="fr-CA"/>
        </w:rPr>
        <w:t>R. c. Buzizi</w:t>
      </w:r>
      <w:r w:rsidRPr="0092056E">
        <w:rPr>
          <w:rFonts w:cs="Times New Roman"/>
          <w:lang w:val="fr-CA"/>
        </w:rPr>
        <w:t>, 2013 CSC 27</w:t>
      </w:r>
      <w:r w:rsidR="00C8691F">
        <w:rPr>
          <w:rFonts w:cs="Times New Roman"/>
          <w:lang w:val="fr-CA"/>
        </w:rPr>
        <w:t xml:space="preserve">, </w:t>
      </w:r>
      <w:r w:rsidR="005A2FC6">
        <w:rPr>
          <w:lang w:val="fr-CA"/>
        </w:rPr>
        <w:t>[2013] 2</w:t>
      </w:r>
      <w:r w:rsidR="00C8691F" w:rsidRPr="00C8691F">
        <w:rPr>
          <w:lang w:val="fr-CA"/>
        </w:rPr>
        <w:t xml:space="preserve"> </w:t>
      </w:r>
      <w:r w:rsidR="00146F1D">
        <w:rPr>
          <w:lang w:val="fr-CA"/>
        </w:rPr>
        <w:t>R.C.S.</w:t>
      </w:r>
      <w:r w:rsidR="00C8691F" w:rsidRPr="00C8691F">
        <w:rPr>
          <w:lang w:val="fr-CA"/>
        </w:rPr>
        <w:t xml:space="preserve"> </w:t>
      </w:r>
      <w:r w:rsidR="005A2FC6">
        <w:rPr>
          <w:lang w:val="fr-CA"/>
        </w:rPr>
        <w:t>248</w:t>
      </w:r>
      <w:r w:rsidRPr="0092056E">
        <w:rPr>
          <w:rFonts w:cs="Times New Roman"/>
          <w:lang w:val="fr-CA"/>
        </w:rPr>
        <w:t xml:space="preserve">, par. 16, citant </w:t>
      </w:r>
      <w:r w:rsidRPr="0092056E">
        <w:rPr>
          <w:rFonts w:cs="Times New Roman"/>
          <w:i/>
          <w:lang w:val="fr-CA"/>
        </w:rPr>
        <w:t>R. c. Cinous</w:t>
      </w:r>
      <w:r w:rsidRPr="0092056E">
        <w:rPr>
          <w:rFonts w:cs="Times New Roman"/>
          <w:lang w:val="fr-CA"/>
        </w:rPr>
        <w:t>, 2002 CSC 29, [2002] 2 R.C.S. 3, par. 54).  Qui plus est, le juge qui décide s’il y a lieu ou non de soumettre une défense à l’appréciation du jury tient pour avérée la preuve que l’accusé invoque à l’appui (</w:t>
      </w:r>
      <w:r w:rsidRPr="0092056E">
        <w:rPr>
          <w:rFonts w:cs="Times New Roman"/>
          <w:i/>
          <w:lang w:val="fr-CA"/>
        </w:rPr>
        <w:t>R. c. Fontaine</w:t>
      </w:r>
      <w:r w:rsidRPr="0092056E">
        <w:rPr>
          <w:rFonts w:cs="Times New Roman"/>
          <w:lang w:val="fr-CA"/>
        </w:rPr>
        <w:t>, 2004 CSC 27, [2004] 1 R.C.S. 702, par. 72;</w:t>
      </w:r>
      <w:r w:rsidRPr="0092056E">
        <w:rPr>
          <w:rFonts w:cs="Times New Roman"/>
          <w:i/>
          <w:lang w:val="fr-CA"/>
        </w:rPr>
        <w:t xml:space="preserve"> Cinous</w:t>
      </w:r>
      <w:r w:rsidRPr="0092056E">
        <w:rPr>
          <w:rFonts w:cs="Times New Roman"/>
          <w:lang w:val="fr-CA"/>
        </w:rPr>
        <w:t xml:space="preserve">, par. 53).  </w:t>
      </w:r>
    </w:p>
    <w:p w:rsidR="00FB0825" w:rsidRPr="0092056E" w:rsidRDefault="00FB0825" w:rsidP="00FB0825">
      <w:pPr>
        <w:pStyle w:val="ParaNoNdepar-AltN"/>
        <w:rPr>
          <w:rFonts w:cs="Times New Roman"/>
          <w:lang w:val="fr-CA"/>
        </w:rPr>
      </w:pPr>
      <w:r w:rsidRPr="0092056E">
        <w:rPr>
          <w:rFonts w:cs="Times New Roman"/>
          <w:lang w:val="fr-CA"/>
        </w:rPr>
        <w:t>Le juge du procès n’est pas admis à se prononcer sur la crédibilité des témoins, à apprécier le caractère probant de la preuve, à tirer des conclusions de fait ou à faire des inférences de fait (</w:t>
      </w:r>
      <w:r w:rsidRPr="0092056E">
        <w:rPr>
          <w:rFonts w:cs="Times New Roman"/>
          <w:i/>
          <w:lang w:val="fr-CA"/>
        </w:rPr>
        <w:t xml:space="preserve">R. c. Gauthier, </w:t>
      </w:r>
      <w:r w:rsidRPr="0092056E">
        <w:rPr>
          <w:rFonts w:cs="Times New Roman"/>
          <w:lang w:val="fr-CA"/>
        </w:rPr>
        <w:t>2013 SCC 32</w:t>
      </w:r>
      <w:r w:rsidR="00C8691F">
        <w:rPr>
          <w:rFonts w:cs="Times New Roman"/>
          <w:lang w:val="fr-CA"/>
        </w:rPr>
        <w:t xml:space="preserve">, </w:t>
      </w:r>
      <w:r w:rsidR="00C8691F" w:rsidRPr="00C8691F">
        <w:rPr>
          <w:lang w:val="fr-CA"/>
        </w:rPr>
        <w:t xml:space="preserve">[2013] </w:t>
      </w:r>
      <w:r w:rsidR="005A2FC6">
        <w:rPr>
          <w:lang w:val="fr-CA"/>
        </w:rPr>
        <w:t>2</w:t>
      </w:r>
      <w:r w:rsidR="00C8691F" w:rsidRPr="00C8691F">
        <w:rPr>
          <w:lang w:val="fr-CA"/>
        </w:rPr>
        <w:t xml:space="preserve"> </w:t>
      </w:r>
      <w:r w:rsidR="00146F1D">
        <w:rPr>
          <w:lang w:val="fr-CA"/>
        </w:rPr>
        <w:t>R.C.S.</w:t>
      </w:r>
      <w:r w:rsidR="00C8691F" w:rsidRPr="00C8691F">
        <w:rPr>
          <w:lang w:val="fr-CA"/>
        </w:rPr>
        <w:t xml:space="preserve"> </w:t>
      </w:r>
      <w:r w:rsidR="005A2FC6">
        <w:rPr>
          <w:lang w:val="fr-CA"/>
        </w:rPr>
        <w:t>403</w:t>
      </w:r>
      <w:r w:rsidRPr="0092056E">
        <w:rPr>
          <w:rFonts w:cs="Times New Roman"/>
          <w:lang w:val="fr-CA"/>
        </w:rPr>
        <w:t xml:space="preserve">, </w:t>
      </w:r>
      <w:r w:rsidRPr="0092056E">
        <w:rPr>
          <w:rFonts w:cs="Times New Roman"/>
          <w:lang w:val="fr-CA"/>
        </w:rPr>
        <w:lastRenderedPageBreak/>
        <w:t xml:space="preserve">par. 25; </w:t>
      </w:r>
      <w:r w:rsidRPr="0092056E">
        <w:rPr>
          <w:rFonts w:cs="Times New Roman"/>
          <w:i/>
          <w:lang w:val="fr-CA"/>
        </w:rPr>
        <w:t>Fontaine</w:t>
      </w:r>
      <w:r w:rsidRPr="0092056E">
        <w:rPr>
          <w:rFonts w:cs="Times New Roman"/>
          <w:lang w:val="fr-CA"/>
        </w:rPr>
        <w:t xml:space="preserve">, par. 72; </w:t>
      </w:r>
      <w:r w:rsidRPr="0092056E">
        <w:rPr>
          <w:rFonts w:cs="Times New Roman"/>
          <w:i/>
          <w:lang w:val="fr-CA"/>
        </w:rPr>
        <w:t>Cinous</w:t>
      </w:r>
      <w:r w:rsidRPr="0092056E">
        <w:rPr>
          <w:rFonts w:cs="Times New Roman"/>
          <w:lang w:val="fr-CA"/>
        </w:rPr>
        <w:t xml:space="preserve">, par. 54).  Notre Cour a en effet jugé « raisonnable » et « valide » le critère de la </w:t>
      </w:r>
      <w:r w:rsidR="00C8691F">
        <w:rPr>
          <w:rFonts w:cs="Times New Roman"/>
          <w:lang w:val="fr-CA"/>
        </w:rPr>
        <w:t>« </w:t>
      </w:r>
      <w:r w:rsidRPr="0092056E">
        <w:rPr>
          <w:rFonts w:cs="Times New Roman"/>
          <w:lang w:val="fr-CA"/>
        </w:rPr>
        <w:t>vraisemblance</w:t>
      </w:r>
      <w:r w:rsidR="00C8691F">
        <w:rPr>
          <w:rFonts w:cs="Times New Roman"/>
          <w:lang w:val="fr-CA"/>
        </w:rPr>
        <w:t> »</w:t>
      </w:r>
      <w:r w:rsidRPr="0092056E">
        <w:rPr>
          <w:rFonts w:cs="Times New Roman"/>
          <w:lang w:val="fr-CA"/>
        </w:rPr>
        <w:t xml:space="preserve"> </w:t>
      </w:r>
      <w:r w:rsidRPr="0092056E">
        <w:rPr>
          <w:rFonts w:cs="Times New Roman"/>
          <w:i/>
          <w:lang w:val="fr-CA"/>
        </w:rPr>
        <w:t>précisément parce que le juge du procès</w:t>
      </w:r>
      <w:r w:rsidRPr="0092056E">
        <w:rPr>
          <w:rFonts w:cs="Times New Roman"/>
          <w:lang w:val="fr-CA"/>
        </w:rPr>
        <w:t xml:space="preserve"> </w:t>
      </w:r>
      <w:r w:rsidRPr="0092056E">
        <w:rPr>
          <w:rFonts w:cs="Times New Roman"/>
          <w:i/>
          <w:lang w:val="fr-CA"/>
        </w:rPr>
        <w:t>ne se penche pas sur le caractère probant de la preuve</w:t>
      </w:r>
      <w:r w:rsidRPr="0092056E">
        <w:rPr>
          <w:rFonts w:cs="Times New Roman"/>
          <w:lang w:val="fr-CA"/>
        </w:rPr>
        <w:t>, de sorte qu’« on ne peut accuser le juge du procès d’usurper le rôle du jury ni de violer les droits de l’accusé » (</w:t>
      </w:r>
      <w:r w:rsidRPr="0092056E">
        <w:rPr>
          <w:rFonts w:cs="Times New Roman"/>
          <w:i/>
          <w:lang w:val="fr-CA"/>
        </w:rPr>
        <w:t>R. c. Osolin</w:t>
      </w:r>
      <w:r w:rsidRPr="0092056E">
        <w:rPr>
          <w:rFonts w:cs="Times New Roman"/>
          <w:lang w:val="fr-CA"/>
        </w:rPr>
        <w:t xml:space="preserve">, </w:t>
      </w:r>
      <w:r w:rsidRPr="0092056E">
        <w:rPr>
          <w:rFonts w:cs="Times New Roman"/>
          <w:spacing w:val="-3"/>
          <w:lang w:val="fr-CA"/>
        </w:rPr>
        <w:t>[1993] 4 R.C.S. 595, p. 691).</w:t>
      </w:r>
    </w:p>
    <w:p w:rsidR="00FB0825" w:rsidRPr="0092056E" w:rsidRDefault="00FB0825" w:rsidP="00FB0825">
      <w:pPr>
        <w:pStyle w:val="ParaNoNdepar-AltN"/>
        <w:rPr>
          <w:rFonts w:cs="Times New Roman"/>
          <w:lang w:val="fr-CA"/>
        </w:rPr>
      </w:pPr>
      <w:r w:rsidRPr="0092056E">
        <w:rPr>
          <w:rFonts w:cs="Times New Roman"/>
          <w:spacing w:val="-3"/>
          <w:lang w:val="fr-CA"/>
        </w:rPr>
        <w:t xml:space="preserve">Dans le présent contexte, les motifs concordants du juge Sopinka dans </w:t>
      </w:r>
      <w:r w:rsidRPr="0092056E">
        <w:rPr>
          <w:rFonts w:cs="Times New Roman"/>
          <w:i/>
          <w:spacing w:val="-3"/>
          <w:lang w:val="fr-CA"/>
        </w:rPr>
        <w:t>Osolin</w:t>
      </w:r>
      <w:r w:rsidRPr="0092056E">
        <w:rPr>
          <w:rFonts w:cs="Times New Roman"/>
          <w:spacing w:val="-3"/>
          <w:lang w:val="fr-CA"/>
        </w:rPr>
        <w:t xml:space="preserve"> me paraissent p</w:t>
      </w:r>
      <w:r w:rsidR="00C8691F">
        <w:rPr>
          <w:rFonts w:cs="Times New Roman"/>
          <w:spacing w:val="-3"/>
          <w:lang w:val="fr-CA"/>
        </w:rPr>
        <w:t>articulièrement à-propos (</w:t>
      </w:r>
      <w:r w:rsidRPr="0092056E">
        <w:rPr>
          <w:rFonts w:cs="Times New Roman"/>
          <w:spacing w:val="-3"/>
          <w:lang w:val="fr-CA"/>
        </w:rPr>
        <w:t>p. 653</w:t>
      </w:r>
      <w:r w:rsidRPr="0092056E">
        <w:rPr>
          <w:rFonts w:cs="Times New Roman"/>
          <w:spacing w:val="-3"/>
          <w:lang w:val="fr-CA"/>
        </w:rPr>
        <w:noBreakHyphen/>
        <w:t>654):</w:t>
      </w:r>
      <w:r w:rsidRPr="0092056E">
        <w:rPr>
          <w:rFonts w:cs="Times New Roman"/>
          <w:lang w:val="fr-CA"/>
        </w:rPr>
        <w:t xml:space="preserve">  </w:t>
      </w:r>
    </w:p>
    <w:p w:rsidR="00FB0825" w:rsidRPr="0092056E" w:rsidRDefault="00FB0825" w:rsidP="00FB0825">
      <w:pPr>
        <w:pStyle w:val="Citation-AltC"/>
        <w:ind w:hanging="1166"/>
        <w:rPr>
          <w:lang w:val="fr-CA"/>
        </w:rPr>
      </w:pPr>
      <w:r w:rsidRPr="0092056E">
        <w:rPr>
          <w:lang w:val="fr-CA"/>
        </w:rPr>
        <w:tab/>
      </w:r>
      <w:r w:rsidRPr="0092056E">
        <w:rPr>
          <w:lang w:val="fr-CA"/>
        </w:rPr>
        <w:tab/>
        <w:t xml:space="preserve">Pour ce qui est de la défense de croyance erronée, je suis d’accord avec le juge Cory que le par. 265(4) « établit simplement les critères fondamentaux qui sont applicables à tous les moyens de défense » (p. 676) et qu’il n’exige rien de plus de l’accusé qu’il satisfasse à la charge de la preuve de présenter ou de signaler des éléments de preuve à partir desquels un jury raisonnable ayant reçu des directives appropriées pourrait prononcer l’acquittement.  Je crois que nous sommes tous du même avis sur ce point.  En réalité, c’est là le fondement de la décision que nous avons prise que le paragraphe est constitutionnel.  L’expression « charge de présentation » et la définition que j’en ai donnée sont bien connues des juges de première instance et bien acceptées.  Je ne puis voir comment l’addition du mot « vraisemblance » facilite la compréhension des obligations du juge du procès en ce qui a trait à ce moyen de défense.  Je m’inquiète qu’en essayant d’ajouter quelque chose à la définition d’un concept fondamental de droit criminel, on ne fasse qu’embrouiller la question. </w:t>
      </w:r>
    </w:p>
    <w:p w:rsidR="00FB0825" w:rsidRPr="0092056E" w:rsidRDefault="00FB0825" w:rsidP="00FB0825">
      <w:pPr>
        <w:pStyle w:val="ParaNoNdepar-AltN"/>
        <w:tabs>
          <w:tab w:val="clear" w:pos="1152"/>
          <w:tab w:val="left" w:pos="1166"/>
        </w:tabs>
        <w:rPr>
          <w:rFonts w:cs="Times New Roman"/>
          <w:b/>
          <w:lang w:val="fr-CA"/>
        </w:rPr>
      </w:pPr>
      <w:r w:rsidRPr="0092056E">
        <w:rPr>
          <w:rFonts w:cs="Times New Roman"/>
          <w:lang w:val="fr-CA"/>
        </w:rPr>
        <w:t xml:space="preserve">Bien que notre Cour reconnaisse la possibilité d’une « évaluation limitée » de la preuve, à titre exceptionnel, lorsque la preuve offerte par l’accusé est circonstancielle, nulle appréciation de la preuve directe ne peut intervenir.  Comme l’explique la Juge en chef, « [le juge du procès] ne peut se livrer à une évaluation de la preuve directe car il devrait alors se pencher sur la fiabilité intrinsèque de la preuve » (par. 23).  </w:t>
      </w:r>
    </w:p>
    <w:p w:rsidR="00FB0825" w:rsidRPr="0092056E" w:rsidRDefault="00FB0825" w:rsidP="00FB0825">
      <w:pPr>
        <w:pStyle w:val="ParaNoNdepar-AltN"/>
        <w:tabs>
          <w:tab w:val="clear" w:pos="1152"/>
          <w:tab w:val="left" w:pos="1166"/>
        </w:tabs>
        <w:rPr>
          <w:rFonts w:cs="Times New Roman"/>
          <w:b/>
          <w:lang w:val="fr-CA"/>
        </w:rPr>
      </w:pPr>
      <w:r w:rsidRPr="0092056E">
        <w:rPr>
          <w:rFonts w:cs="Times New Roman"/>
          <w:lang w:val="fr-CA"/>
        </w:rPr>
        <w:lastRenderedPageBreak/>
        <w:t>Par conséquent, dans le cas où il y a preuve directe pour chacun des éléments d’un moyen de défense, le juge du procès doit soumettre celui</w:t>
      </w:r>
      <w:r w:rsidRPr="0092056E">
        <w:rPr>
          <w:rFonts w:cs="Times New Roman"/>
          <w:lang w:val="fr-CA"/>
        </w:rPr>
        <w:noBreakHyphen/>
        <w:t>ci à l’appréciation du jury puisque, « [p]ar définition, la seule question qui se pose, le cas échéant, est de savoir si la preuve est véridique » (</w:t>
      </w:r>
      <w:r w:rsidRPr="0092056E">
        <w:rPr>
          <w:rFonts w:cs="Times New Roman"/>
          <w:i/>
          <w:lang w:val="fr-CA"/>
        </w:rPr>
        <w:t>Cinous</w:t>
      </w:r>
      <w:r w:rsidRPr="0092056E">
        <w:rPr>
          <w:rFonts w:cs="Times New Roman"/>
          <w:lang w:val="fr-CA"/>
        </w:rPr>
        <w:t xml:space="preserve">, par. 88).  Et quant à savoir si la preuve est véridique ou si elle soulève au moins un doute raisonnable en ce qui a trait à la culpabilité de l’accusé, il appartient ultimement au jury d’en décider.  </w:t>
      </w:r>
    </w:p>
    <w:p w:rsidR="00FB0825" w:rsidRPr="0092056E" w:rsidRDefault="00FB0825" w:rsidP="00FB0825">
      <w:pPr>
        <w:pStyle w:val="ParaNoNdepar-AltN"/>
        <w:tabs>
          <w:tab w:val="clear" w:pos="1152"/>
          <w:tab w:val="left" w:pos="1166"/>
        </w:tabs>
        <w:rPr>
          <w:rFonts w:cs="Times New Roman"/>
          <w:b/>
          <w:lang w:val="fr-CA"/>
        </w:rPr>
      </w:pPr>
      <w:r w:rsidRPr="0092056E">
        <w:rPr>
          <w:rFonts w:cs="Times New Roman"/>
          <w:lang w:val="fr-CA"/>
        </w:rPr>
        <w:t>En l’espèce, la preuve présentée au procès par l’appelant est directe et se rapporte aux faits sur lesquels s’appuie sa défense de provocation.  Lorsque l’accusé offre un élément de preuve à l’appui de chacun des volets du moyen de défense, comme le fait l’appelant en l’espèce, le juge est tenu de laisser au jury le soin d’apprécier ces éléments de preuve (</w:t>
      </w:r>
      <w:r w:rsidRPr="0092056E">
        <w:rPr>
          <w:rFonts w:cs="Times New Roman"/>
          <w:i/>
          <w:lang w:val="fr-CA"/>
        </w:rPr>
        <w:t xml:space="preserve">R. </w:t>
      </w:r>
      <w:r w:rsidR="00C8691F">
        <w:rPr>
          <w:rFonts w:cs="Times New Roman"/>
          <w:i/>
          <w:lang w:val="fr-CA"/>
        </w:rPr>
        <w:t>c</w:t>
      </w:r>
      <w:r w:rsidRPr="0092056E">
        <w:rPr>
          <w:rFonts w:cs="Times New Roman"/>
          <w:i/>
          <w:lang w:val="fr-CA"/>
        </w:rPr>
        <w:t>. Faid</w:t>
      </w:r>
      <w:r w:rsidRPr="0092056E">
        <w:rPr>
          <w:rFonts w:cs="Times New Roman"/>
          <w:lang w:val="fr-CA"/>
        </w:rPr>
        <w:t>, [1983] 1 R.C.S. 265, p. 276).</w:t>
      </w:r>
    </w:p>
    <w:p w:rsidR="00FB0825" w:rsidRPr="0092056E" w:rsidRDefault="00FB0825" w:rsidP="00FB0825">
      <w:pPr>
        <w:pStyle w:val="ParaNoNdepar-AltN"/>
        <w:rPr>
          <w:rFonts w:cs="Times New Roman"/>
          <w:lang w:val="fr-CA"/>
        </w:rPr>
      </w:pPr>
      <w:r w:rsidRPr="0092056E">
        <w:rPr>
          <w:rFonts w:cs="Times New Roman"/>
          <w:lang w:val="fr-CA"/>
        </w:rPr>
        <w:t xml:space="preserve">Selon la Juge en chef, « [l]e critère de la vraisemblance [. . .] exige </w:t>
      </w:r>
      <w:r w:rsidRPr="0092056E">
        <w:rPr>
          <w:rFonts w:cs="Times New Roman"/>
          <w:i/>
          <w:lang w:val="fr-CA"/>
        </w:rPr>
        <w:t>davantage</w:t>
      </w:r>
      <w:r w:rsidRPr="0092056E">
        <w:rPr>
          <w:rFonts w:cs="Times New Roman"/>
          <w:lang w:val="fr-CA"/>
        </w:rPr>
        <w:t xml:space="preserve"> qu’“une” ou “quelque” preuve des éléments requis »</w:t>
      </w:r>
      <w:r w:rsidR="00EF150A">
        <w:rPr>
          <w:rFonts w:cs="Times New Roman"/>
          <w:szCs w:val="24"/>
          <w:lang w:val="fr-CA"/>
        </w:rPr>
        <w:t xml:space="preserve"> (par. 22</w:t>
      </w:r>
      <w:r w:rsidRPr="0092056E">
        <w:rPr>
          <w:rFonts w:cs="Times New Roman"/>
          <w:szCs w:val="24"/>
          <w:lang w:val="fr-CA"/>
        </w:rPr>
        <w:t xml:space="preserve"> (italiques ajoutés)</w:t>
      </w:r>
      <w:r w:rsidR="00EF150A">
        <w:rPr>
          <w:rFonts w:cs="Times New Roman"/>
          <w:szCs w:val="24"/>
          <w:lang w:val="fr-CA"/>
        </w:rPr>
        <w:t>)</w:t>
      </w:r>
      <w:r w:rsidRPr="0092056E">
        <w:rPr>
          <w:rFonts w:cs="Times New Roman"/>
          <w:szCs w:val="24"/>
          <w:lang w:val="fr-CA"/>
        </w:rPr>
        <w:t xml:space="preserve">.  Avec égards, on ne doit pas attribuer à cet énoncé une portée que son auteure n’a pu vouloir lui conférer.  </w:t>
      </w:r>
    </w:p>
    <w:p w:rsidR="00FB0825" w:rsidRPr="0092056E" w:rsidRDefault="00FB0825" w:rsidP="00FB0825">
      <w:pPr>
        <w:pStyle w:val="ParaNoNdepar-AltN"/>
        <w:rPr>
          <w:rFonts w:cs="Times New Roman"/>
          <w:lang w:val="fr-CA"/>
        </w:rPr>
      </w:pPr>
      <w:r w:rsidRPr="0092056E">
        <w:rPr>
          <w:rFonts w:cs="Times New Roman"/>
          <w:szCs w:val="24"/>
          <w:lang w:val="fr-CA"/>
        </w:rPr>
        <w:t xml:space="preserve">Notre Cour établit clairement ce qui suit dans </w:t>
      </w:r>
      <w:r w:rsidRPr="0092056E">
        <w:rPr>
          <w:rFonts w:cs="Times New Roman"/>
          <w:i/>
          <w:szCs w:val="24"/>
          <w:lang w:val="fr-CA"/>
        </w:rPr>
        <w:t>Cinous</w:t>
      </w:r>
      <w:r w:rsidRPr="0092056E">
        <w:rPr>
          <w:rFonts w:cs="Times New Roman"/>
          <w:szCs w:val="24"/>
          <w:lang w:val="fr-CA"/>
        </w:rPr>
        <w:t>:</w:t>
      </w:r>
    </w:p>
    <w:p w:rsidR="00FB0825" w:rsidRPr="0092056E" w:rsidRDefault="00FB0825" w:rsidP="00FB0825">
      <w:pPr>
        <w:pStyle w:val="Citation-AltC"/>
        <w:ind w:hanging="1166"/>
        <w:rPr>
          <w:lang w:val="fr-CA"/>
        </w:rPr>
      </w:pPr>
      <w:r w:rsidRPr="0092056E">
        <w:rPr>
          <w:lang w:val="fr-CA"/>
        </w:rPr>
        <w:tab/>
        <w:t xml:space="preserve">[L]a question intégrale [. . .] est de savoir s’il existe </w:t>
      </w:r>
      <w:r w:rsidRPr="0092056E">
        <w:rPr>
          <w:u w:val="single"/>
          <w:lang w:val="fr-CA"/>
        </w:rPr>
        <w:t>une preuve</w:t>
      </w:r>
      <w:r w:rsidRPr="0092056E">
        <w:rPr>
          <w:lang w:val="fr-CA"/>
        </w:rPr>
        <w:t xml:space="preserve"> ou </w:t>
      </w:r>
      <w:r w:rsidRPr="0092056E">
        <w:rPr>
          <w:u w:val="single"/>
          <w:lang w:val="fr-CA"/>
        </w:rPr>
        <w:t>quelque élément de preuve</w:t>
      </w:r>
      <w:r w:rsidRPr="0092056E">
        <w:rPr>
          <w:lang w:val="fr-CA"/>
        </w:rPr>
        <w:t xml:space="preserve"> qui permettrait à un jury ayant reçu des directives appropriées et agissant judiciairement de prononcer l’acquittement.  Dans l’affirmative, le critère de la vraisemblance est respecté.  Dans la négative, il ne l’est pas.  [S</w:t>
      </w:r>
      <w:r w:rsidRPr="0092056E">
        <w:rPr>
          <w:szCs w:val="24"/>
          <w:lang w:val="fr-CA"/>
        </w:rPr>
        <w:t>ouligné dans l’</w:t>
      </w:r>
      <w:r w:rsidRPr="0092056E">
        <w:rPr>
          <w:lang w:val="fr-CA"/>
        </w:rPr>
        <w:t>original;</w:t>
      </w:r>
      <w:r w:rsidRPr="0092056E">
        <w:rPr>
          <w:szCs w:val="24"/>
          <w:lang w:val="fr-CA"/>
        </w:rPr>
        <w:t xml:space="preserve"> par. 62.]</w:t>
      </w:r>
    </w:p>
    <w:p w:rsidR="00FB0825" w:rsidRPr="0092056E" w:rsidRDefault="00FB0825" w:rsidP="00FB0825">
      <w:pPr>
        <w:pStyle w:val="ContinueParaSuitedupar-AltP"/>
        <w:rPr>
          <w:rFonts w:cs="Times New Roman"/>
          <w:lang w:val="fr-CA"/>
        </w:rPr>
      </w:pPr>
      <w:r w:rsidRPr="0092056E">
        <w:rPr>
          <w:rFonts w:cs="Times New Roman"/>
          <w:lang w:val="fr-CA"/>
        </w:rPr>
        <w:lastRenderedPageBreak/>
        <w:t xml:space="preserve">Puis, levant tout doute à ce sujet, la Cour rappelle plus loin que « la question intégrale, [est celle de] savoir s’il existe </w:t>
      </w:r>
      <w:r w:rsidRPr="0092056E">
        <w:rPr>
          <w:rFonts w:cs="Times New Roman"/>
          <w:i/>
          <w:lang w:val="fr-CA"/>
        </w:rPr>
        <w:t>une</w:t>
      </w:r>
      <w:r w:rsidRPr="0092056E">
        <w:rPr>
          <w:rFonts w:cs="Times New Roman"/>
          <w:lang w:val="fr-CA"/>
        </w:rPr>
        <w:t xml:space="preserve"> </w:t>
      </w:r>
      <w:r w:rsidRPr="0092056E">
        <w:rPr>
          <w:rFonts w:cs="Times New Roman"/>
          <w:i/>
          <w:lang w:val="fr-CA"/>
        </w:rPr>
        <w:t>preuve</w:t>
      </w:r>
      <w:r w:rsidRPr="0092056E">
        <w:rPr>
          <w:rFonts w:cs="Times New Roman"/>
          <w:lang w:val="fr-CA"/>
        </w:rPr>
        <w:t xml:space="preserve"> ou </w:t>
      </w:r>
      <w:r w:rsidRPr="0092056E">
        <w:rPr>
          <w:rFonts w:cs="Times New Roman"/>
          <w:i/>
          <w:lang w:val="fr-CA"/>
        </w:rPr>
        <w:t>quelque</w:t>
      </w:r>
      <w:r w:rsidRPr="0092056E">
        <w:rPr>
          <w:rFonts w:cs="Times New Roman"/>
          <w:lang w:val="fr-CA"/>
        </w:rPr>
        <w:t xml:space="preserve"> </w:t>
      </w:r>
      <w:r w:rsidRPr="0092056E">
        <w:rPr>
          <w:rFonts w:cs="Times New Roman"/>
          <w:i/>
          <w:lang w:val="fr-CA"/>
        </w:rPr>
        <w:t>élément de preuve</w:t>
      </w:r>
      <w:r w:rsidRPr="0092056E">
        <w:rPr>
          <w:rFonts w:cs="Times New Roman"/>
          <w:lang w:val="fr-CA"/>
        </w:rPr>
        <w:t xml:space="preserve"> qui permettrait à un jury ayant reçu des directives appropriées et agissant raisonnablement de prononcer l’acquittement,</w:t>
      </w:r>
      <w:r w:rsidR="00EF150A">
        <w:rPr>
          <w:rFonts w:cs="Times New Roman"/>
          <w:lang w:val="fr-CA"/>
        </w:rPr>
        <w:t xml:space="preserve"> s’il y ajoutait foi » (par. 83</w:t>
      </w:r>
      <w:r w:rsidRPr="0092056E">
        <w:rPr>
          <w:rFonts w:cs="Times New Roman"/>
          <w:lang w:val="fr-CA"/>
        </w:rPr>
        <w:t xml:space="preserve"> </w:t>
      </w:r>
      <w:r w:rsidR="00EF150A">
        <w:rPr>
          <w:rFonts w:cs="Times New Roman"/>
          <w:lang w:val="fr-CA"/>
        </w:rPr>
        <w:t>(</w:t>
      </w:r>
      <w:r w:rsidRPr="0092056E">
        <w:rPr>
          <w:rFonts w:cs="Times New Roman"/>
          <w:lang w:val="fr-CA"/>
        </w:rPr>
        <w:t>italiques ajoutés)</w:t>
      </w:r>
      <w:r w:rsidR="00EF150A">
        <w:rPr>
          <w:rFonts w:cs="Times New Roman"/>
          <w:lang w:val="fr-CA"/>
        </w:rPr>
        <w:t>)</w:t>
      </w:r>
      <w:r w:rsidRPr="0092056E">
        <w:rPr>
          <w:rFonts w:cs="Times New Roman"/>
          <w:lang w:val="fr-CA"/>
        </w:rPr>
        <w:t>.</w:t>
      </w:r>
    </w:p>
    <w:p w:rsidR="00FB0825" w:rsidRPr="0092056E" w:rsidRDefault="00FB0825" w:rsidP="00FB0825">
      <w:pPr>
        <w:pStyle w:val="ParaNoNdepar-AltN"/>
        <w:rPr>
          <w:rFonts w:cs="Times New Roman"/>
          <w:szCs w:val="24"/>
          <w:lang w:val="fr-CA"/>
        </w:rPr>
      </w:pPr>
      <w:r w:rsidRPr="0092056E">
        <w:rPr>
          <w:rFonts w:cs="Times New Roman"/>
          <w:lang w:val="fr-CA"/>
        </w:rPr>
        <w:t xml:space="preserve">Je reconnais que, dans </w:t>
      </w:r>
      <w:r w:rsidRPr="0092056E">
        <w:rPr>
          <w:rFonts w:cs="Times New Roman"/>
          <w:i/>
          <w:lang w:val="fr-CA"/>
        </w:rPr>
        <w:t>R. c. Mayuran</w:t>
      </w:r>
      <w:r w:rsidRPr="0092056E">
        <w:rPr>
          <w:rFonts w:cs="Times New Roman"/>
          <w:lang w:val="fr-CA"/>
        </w:rPr>
        <w:t>, 2012 CSC 31, [2012] 2 R.C.S. 162, notre Cour dit au par. 21 qu’« [i]l ne suffit pas qu’il existe “une preuve” étayant le moyen de défense (</w:t>
      </w:r>
      <w:r w:rsidRPr="0092056E">
        <w:rPr>
          <w:rFonts w:cs="Times New Roman"/>
          <w:i/>
          <w:lang w:val="fr-CA"/>
        </w:rPr>
        <w:t>Cinous</w:t>
      </w:r>
      <w:r w:rsidRPr="0092056E">
        <w:rPr>
          <w:rFonts w:cs="Times New Roman"/>
          <w:lang w:val="fr-CA"/>
        </w:rPr>
        <w:t xml:space="preserve">, par. 83). »  Cette assertion doit être interprétée eu égard à la jurisprudence établie, y compris le paragraphe de l’arrêt </w:t>
      </w:r>
      <w:r w:rsidRPr="0092056E">
        <w:rPr>
          <w:rFonts w:cs="Times New Roman"/>
          <w:i/>
          <w:lang w:val="fr-CA"/>
        </w:rPr>
        <w:t xml:space="preserve">Cinous </w:t>
      </w:r>
      <w:r w:rsidRPr="0092056E">
        <w:rPr>
          <w:rFonts w:cs="Times New Roman"/>
          <w:lang w:val="fr-CA"/>
        </w:rPr>
        <w:t xml:space="preserve">auquel elle renvoie.  Il ressort de ce paragraphe même que la Cour a toujours considéré que </w:t>
      </w:r>
      <w:r w:rsidRPr="0092056E">
        <w:rPr>
          <w:rFonts w:cs="Times New Roman"/>
          <w:i/>
          <w:lang w:val="fr-CA"/>
        </w:rPr>
        <w:t>l’élément décisif était l’existence ou l’inexistence d’une preuve qui permettrait à un</w:t>
      </w:r>
      <w:r w:rsidRPr="0092056E">
        <w:rPr>
          <w:rFonts w:cs="Times New Roman"/>
          <w:lang w:val="fr-CA"/>
        </w:rPr>
        <w:t xml:space="preserve"> </w:t>
      </w:r>
      <w:r w:rsidRPr="0092056E">
        <w:rPr>
          <w:rFonts w:cs="Times New Roman"/>
          <w:i/>
          <w:lang w:val="fr-CA"/>
        </w:rPr>
        <w:t xml:space="preserve">jury ayant reçu des directives appropriées et agissant raisonnablement de prononcer l’acquittement </w:t>
      </w:r>
      <w:r w:rsidRPr="0092056E">
        <w:rPr>
          <w:rFonts w:cs="Times New Roman"/>
          <w:lang w:val="fr-CA"/>
        </w:rPr>
        <w:t>(</w:t>
      </w:r>
      <w:r w:rsidRPr="0092056E">
        <w:rPr>
          <w:rFonts w:cs="Times New Roman"/>
          <w:i/>
          <w:lang w:val="fr-CA"/>
        </w:rPr>
        <w:t>Fontaine</w:t>
      </w:r>
      <w:r w:rsidRPr="0092056E">
        <w:rPr>
          <w:rFonts w:cs="Times New Roman"/>
          <w:lang w:val="fr-CA"/>
        </w:rPr>
        <w:t xml:space="preserve">, par. 71; </w:t>
      </w:r>
      <w:r w:rsidRPr="0092056E">
        <w:rPr>
          <w:rFonts w:cs="Times New Roman"/>
          <w:i/>
          <w:lang w:val="fr-CA"/>
        </w:rPr>
        <w:t>Cinous</w:t>
      </w:r>
      <w:r w:rsidRPr="0092056E">
        <w:rPr>
          <w:rFonts w:cs="Times New Roman"/>
          <w:lang w:val="fr-CA"/>
        </w:rPr>
        <w:t xml:space="preserve">, par. 83; </w:t>
      </w:r>
      <w:r w:rsidRPr="0092056E">
        <w:rPr>
          <w:rFonts w:cs="Times New Roman"/>
          <w:i/>
          <w:lang w:val="fr-CA"/>
        </w:rPr>
        <w:t>R. c. Thibert</w:t>
      </w:r>
      <w:r w:rsidRPr="0092056E">
        <w:rPr>
          <w:rFonts w:cs="Times New Roman"/>
          <w:lang w:val="fr-CA"/>
        </w:rPr>
        <w:t xml:space="preserve">, [1996] 1 R.C.S. 37, par. 7; </w:t>
      </w:r>
      <w:r w:rsidRPr="0092056E">
        <w:rPr>
          <w:rFonts w:cs="Times New Roman"/>
          <w:i/>
          <w:iCs/>
          <w:spacing w:val="-3"/>
          <w:lang w:val="fr-CA"/>
        </w:rPr>
        <w:t>Faid</w:t>
      </w:r>
      <w:r w:rsidRPr="0092056E">
        <w:rPr>
          <w:rFonts w:cs="Times New Roman"/>
          <w:spacing w:val="-3"/>
          <w:lang w:val="fr-CA"/>
        </w:rPr>
        <w:t xml:space="preserve">, p. 276; </w:t>
      </w:r>
      <w:r w:rsidRPr="0092056E">
        <w:rPr>
          <w:rFonts w:cs="Times New Roman"/>
          <w:i/>
          <w:lang w:val="fr-CA" w:bidi="en-US"/>
        </w:rPr>
        <w:t xml:space="preserve"> Parnerkar c. </w:t>
      </w:r>
      <w:r w:rsidR="00EF150A">
        <w:rPr>
          <w:rFonts w:cs="Times New Roman"/>
          <w:i/>
          <w:lang w:val="fr-CA" w:bidi="en-US"/>
        </w:rPr>
        <w:t>La Reine</w:t>
      </w:r>
      <w:r w:rsidRPr="0092056E">
        <w:rPr>
          <w:rFonts w:cs="Times New Roman"/>
          <w:bCs/>
          <w:szCs w:val="24"/>
          <w:lang w:val="fr-CA"/>
        </w:rPr>
        <w:t xml:space="preserve">, [1974] R.C.S. 449, p. 454). </w:t>
      </w:r>
    </w:p>
    <w:p w:rsidR="00FB0825" w:rsidRPr="0092056E" w:rsidRDefault="00FB0825" w:rsidP="00FB0825">
      <w:pPr>
        <w:pStyle w:val="ParaNoNdepar-AltN"/>
        <w:rPr>
          <w:rFonts w:cs="Times New Roman"/>
          <w:b/>
          <w:lang w:val="fr-CA"/>
        </w:rPr>
      </w:pPr>
      <w:r w:rsidRPr="0092056E">
        <w:rPr>
          <w:rFonts w:cs="Times New Roman"/>
          <w:lang w:val="fr-CA"/>
        </w:rPr>
        <w:t>Ces principes sont bien établis.  Ils s’inscrivent dans la confiance que notre système de justice pénale manifeste à l’endroit du bon sens collectif du jury.  Ils donnent vie au droit constitutionnel à la présomption d’innocence (al. 11</w:t>
      </w:r>
      <w:r w:rsidRPr="0092056E">
        <w:rPr>
          <w:rFonts w:cs="Times New Roman"/>
          <w:i/>
          <w:lang w:val="fr-CA"/>
        </w:rPr>
        <w:t>d</w:t>
      </w:r>
      <w:r w:rsidRPr="00305E99">
        <w:rPr>
          <w:rFonts w:cs="Times New Roman"/>
          <w:lang w:val="fr-CA"/>
        </w:rPr>
        <w:t>)</w:t>
      </w:r>
      <w:r w:rsidRPr="0092056E">
        <w:rPr>
          <w:rFonts w:cs="Times New Roman"/>
          <w:lang w:val="fr-CA"/>
        </w:rPr>
        <w:t>) et au droit de subir un procès devant jury lorsque la peine maximale que l’accusé encourt est d’au moins cinq ans d’emprisonnement (al. 11</w:t>
      </w:r>
      <w:r w:rsidRPr="0092056E">
        <w:rPr>
          <w:rFonts w:cs="Times New Roman"/>
          <w:i/>
          <w:lang w:val="fr-CA"/>
        </w:rPr>
        <w:t>f</w:t>
      </w:r>
      <w:r w:rsidRPr="00305E99">
        <w:rPr>
          <w:rFonts w:cs="Times New Roman"/>
          <w:lang w:val="fr-CA"/>
        </w:rPr>
        <w:t>)</w:t>
      </w:r>
      <w:r w:rsidRPr="0092056E">
        <w:rPr>
          <w:rFonts w:cs="Times New Roman"/>
          <w:lang w:val="fr-CA"/>
        </w:rPr>
        <w:t>).</w:t>
      </w:r>
    </w:p>
    <w:p w:rsidR="00FB0825" w:rsidRPr="0092056E" w:rsidRDefault="00FB0825" w:rsidP="00A2040A">
      <w:pPr>
        <w:pStyle w:val="TitleTitre-AltT"/>
        <w:jc w:val="center"/>
        <w:outlineLvl w:val="0"/>
        <w:rPr>
          <w:rFonts w:cs="Times New Roman"/>
        </w:rPr>
      </w:pPr>
      <w:r w:rsidRPr="0092056E">
        <w:rPr>
          <w:rFonts w:cs="Times New Roman"/>
        </w:rPr>
        <w:t>III</w:t>
      </w:r>
    </w:p>
    <w:p w:rsidR="00FB0825" w:rsidRPr="0092056E" w:rsidRDefault="00FB0825" w:rsidP="00FB0825">
      <w:pPr>
        <w:pStyle w:val="ParaNoNdepar-AltN"/>
        <w:rPr>
          <w:rFonts w:cs="Times New Roman"/>
          <w:lang w:val="fr-CA"/>
        </w:rPr>
      </w:pPr>
      <w:r w:rsidRPr="0092056E">
        <w:rPr>
          <w:rFonts w:cs="Times New Roman"/>
          <w:lang w:val="fr-CA"/>
        </w:rPr>
        <w:t>Je passe maintenant à l’application de ces principes aux faits de l’espèce.</w:t>
      </w:r>
    </w:p>
    <w:p w:rsidR="00FB0825" w:rsidRPr="0092056E" w:rsidRDefault="00FB0825" w:rsidP="00FB0825">
      <w:pPr>
        <w:pStyle w:val="ParaNoNdepar-AltN"/>
        <w:rPr>
          <w:rFonts w:cs="Times New Roman"/>
          <w:lang w:val="fr-CA"/>
        </w:rPr>
      </w:pPr>
      <w:r w:rsidRPr="0092056E">
        <w:rPr>
          <w:rFonts w:cs="Times New Roman"/>
          <w:lang w:val="fr-CA"/>
        </w:rPr>
        <w:lastRenderedPageBreak/>
        <w:t xml:space="preserve">Je conviens avec la Juge en chef que l’appelant s’est acquitté de sa charge de présentation en ce qui concerne l’élément </w:t>
      </w:r>
      <w:r w:rsidRPr="0092056E">
        <w:rPr>
          <w:rFonts w:cs="Times New Roman"/>
          <w:i/>
          <w:lang w:val="fr-CA"/>
        </w:rPr>
        <w:t>objectif</w:t>
      </w:r>
      <w:r w:rsidRPr="0092056E">
        <w:rPr>
          <w:rFonts w:cs="Times New Roman"/>
          <w:lang w:val="fr-CA"/>
        </w:rPr>
        <w:t xml:space="preserve"> de la défense de provocation.  Avec égards, il en va de même pour le volet </w:t>
      </w:r>
      <w:r w:rsidRPr="0092056E">
        <w:rPr>
          <w:rFonts w:cs="Times New Roman"/>
          <w:i/>
          <w:lang w:val="fr-CA"/>
        </w:rPr>
        <w:t>subjectif</w:t>
      </w:r>
      <w:r w:rsidRPr="0092056E">
        <w:rPr>
          <w:rFonts w:cs="Times New Roman"/>
          <w:lang w:val="fr-CA"/>
        </w:rPr>
        <w:t xml:space="preserve">.  </w:t>
      </w:r>
    </w:p>
    <w:p w:rsidR="00FB0825" w:rsidRPr="0092056E" w:rsidRDefault="00FB0825" w:rsidP="00FB0825">
      <w:pPr>
        <w:pStyle w:val="ParaNoNdepar-AltN"/>
        <w:rPr>
          <w:rFonts w:cs="Times New Roman"/>
          <w:lang w:val="fr-CA"/>
        </w:rPr>
      </w:pPr>
      <w:r w:rsidRPr="0092056E">
        <w:rPr>
          <w:rFonts w:cs="Times New Roman"/>
          <w:lang w:val="fr-CA"/>
        </w:rPr>
        <w:t>Le volet ou l’élément subjectif de la défense de provocation exige que l’</w:t>
      </w:r>
      <w:r w:rsidRPr="0092056E">
        <w:rPr>
          <w:rFonts w:cs="Times New Roman"/>
          <w:lang w:val="fr-CA" w:bidi="en-US"/>
        </w:rPr>
        <w:t>accusé ait agi (1) en réaction à l’acte ou au comportement de provocation et (2) sous l’impulsion du moment avant d’avoir eu le temps de reprendre son sang</w:t>
      </w:r>
      <w:r w:rsidRPr="0092056E">
        <w:rPr>
          <w:rFonts w:cs="Times New Roman"/>
          <w:lang w:val="fr-CA" w:bidi="en-US"/>
        </w:rPr>
        <w:noBreakHyphen/>
        <w:t>froid</w:t>
      </w:r>
      <w:r w:rsidRPr="0092056E">
        <w:rPr>
          <w:rFonts w:cs="Times New Roman"/>
          <w:lang w:val="fr-CA"/>
        </w:rPr>
        <w:t xml:space="preserve"> </w:t>
      </w:r>
      <w:r w:rsidRPr="0092056E">
        <w:rPr>
          <w:rFonts w:cs="Times New Roman"/>
          <w:i/>
          <w:lang w:val="fr-CA"/>
        </w:rPr>
        <w:t xml:space="preserve"> </w:t>
      </w:r>
      <w:r w:rsidRPr="0092056E">
        <w:rPr>
          <w:rFonts w:cs="Times New Roman"/>
          <w:lang w:val="fr-CA"/>
        </w:rPr>
        <w:t>(</w:t>
      </w:r>
      <w:r w:rsidRPr="0092056E">
        <w:rPr>
          <w:rFonts w:cs="Times New Roman"/>
          <w:i/>
          <w:lang w:val="fr-CA"/>
        </w:rPr>
        <w:t>Code criminel</w:t>
      </w:r>
      <w:r w:rsidRPr="0092056E">
        <w:rPr>
          <w:rFonts w:cs="Times New Roman"/>
          <w:lang w:val="fr-CA"/>
        </w:rPr>
        <w:t>, L.R.C. 1985, ch. C</w:t>
      </w:r>
      <w:r w:rsidRPr="0092056E">
        <w:rPr>
          <w:rFonts w:cs="Times New Roman"/>
          <w:lang w:val="fr-CA"/>
        </w:rPr>
        <w:noBreakHyphen/>
        <w:t xml:space="preserve">46, par. 232; voir également </w:t>
      </w:r>
      <w:r w:rsidRPr="0092056E">
        <w:rPr>
          <w:rFonts w:cs="Times New Roman"/>
          <w:i/>
          <w:lang w:val="fr-CA"/>
        </w:rPr>
        <w:t>R. c. Tran</w:t>
      </w:r>
      <w:r w:rsidRPr="0092056E">
        <w:rPr>
          <w:rFonts w:cs="Times New Roman"/>
          <w:lang w:val="fr-CA"/>
        </w:rPr>
        <w:t xml:space="preserve">, 2010 CSC 58, </w:t>
      </w:r>
      <w:r w:rsidRPr="0092056E">
        <w:rPr>
          <w:rStyle w:val="sccrespondentforrunningheadchar1"/>
          <w:lang w:val="fr-CA"/>
        </w:rPr>
        <w:t>[2010] 3 R.C.S. 350,</w:t>
      </w:r>
      <w:r w:rsidRPr="0092056E">
        <w:rPr>
          <w:rFonts w:cs="Times New Roman"/>
          <w:lang w:val="fr-CA"/>
        </w:rPr>
        <w:t xml:space="preserve"> par. 36).  La Juge en chef souligne que la seconde exigence, celle de la « soudaineté », vaut tant pour la provocation elle</w:t>
      </w:r>
      <w:r w:rsidRPr="0092056E">
        <w:rPr>
          <w:rFonts w:cs="Times New Roman"/>
          <w:lang w:val="fr-CA"/>
        </w:rPr>
        <w:noBreakHyphen/>
        <w:t>même que pour la réaction de l’accusé (par. 36).  À son avis, la preuve ne permet pas à un jury agissant de manière raisonnable de conclure que l’acte fautif de provocation a été soudain au sens où M. Pappas ne s’y attendait pas, qu’il n’y était pas mentalement préparé.</w:t>
      </w:r>
    </w:p>
    <w:p w:rsidR="00FB0825" w:rsidRPr="0092056E" w:rsidRDefault="00FB0825" w:rsidP="00FB0825">
      <w:pPr>
        <w:pStyle w:val="ParaNoNdepar-AltN"/>
        <w:rPr>
          <w:rFonts w:cs="Times New Roman"/>
          <w:lang w:val="fr-CA"/>
        </w:rPr>
      </w:pPr>
      <w:r w:rsidRPr="0092056E">
        <w:rPr>
          <w:rFonts w:cs="Times New Roman"/>
          <w:lang w:val="fr-CA"/>
        </w:rPr>
        <w:t xml:space="preserve">L’appelant a déclaré que le défunt lui avait extorqué </w:t>
      </w:r>
      <w:r w:rsidR="00305E99">
        <w:rPr>
          <w:rFonts w:cs="Times New Roman"/>
          <w:lang w:val="fr-CA"/>
        </w:rPr>
        <w:t>de l’argent pendant les 18</w:t>
      </w:r>
      <w:r w:rsidRPr="0092056E">
        <w:rPr>
          <w:rFonts w:cs="Times New Roman"/>
          <w:lang w:val="fr-CA"/>
        </w:rPr>
        <w:t xml:space="preserve"> moi</w:t>
      </w:r>
      <w:r w:rsidR="00305E99">
        <w:rPr>
          <w:rFonts w:cs="Times New Roman"/>
          <w:lang w:val="fr-CA"/>
        </w:rPr>
        <w:t>s qui avaient précédé sa mort (d.a</w:t>
      </w:r>
      <w:r w:rsidRPr="0092056E">
        <w:rPr>
          <w:rFonts w:cs="Times New Roman"/>
          <w:lang w:val="fr-CA"/>
        </w:rPr>
        <w:t>., vol. II, p. 238).  Lorsque M. Pappas s’était rebiffé, le défunt avait laissé entendre qu’il était disposé à faire assassiner sa mère (p. 239).  Le soir en question, l’appelant dissimulait effectivement une arme sur lui.  Il a toutefois déclaré qu’il ne comptait pas s’en servir (p. 242, 245 et 292</w:t>
      </w:r>
      <w:r w:rsidRPr="0092056E">
        <w:rPr>
          <w:rFonts w:cs="Times New Roman"/>
          <w:lang w:val="fr-CA"/>
        </w:rPr>
        <w:noBreakHyphen/>
        <w:t>293).  Le défunt maître</w:t>
      </w:r>
      <w:r w:rsidRPr="0092056E">
        <w:rPr>
          <w:rFonts w:cs="Times New Roman"/>
          <w:lang w:val="fr-CA"/>
        </w:rPr>
        <w:noBreakHyphen/>
        <w:t>chanteur a réagi aux exhortations de M. Pappas en le menaçant encore une fois implicitement de tuer sa mère (p. 303).  Alors, selon les dires de M. Pappas : [</w:t>
      </w:r>
      <w:r w:rsidRPr="0092056E">
        <w:rPr>
          <w:rFonts w:cs="Times New Roman"/>
          <w:smallCaps/>
          <w:lang w:val="fr-CA"/>
        </w:rPr>
        <w:t>traduction</w:t>
      </w:r>
      <w:r w:rsidRPr="0092056E">
        <w:rPr>
          <w:rFonts w:cs="Times New Roman"/>
          <w:lang w:val="fr-CA"/>
        </w:rPr>
        <w:t>] « J’ai perdu la raison, tout se déroulant ensuite automatiquement.  J’ai sorti mon pistolet, armé le chien et tiré » (p. 304).</w:t>
      </w:r>
    </w:p>
    <w:p w:rsidR="00FB0825" w:rsidRPr="0092056E" w:rsidRDefault="00FB0825" w:rsidP="00FB0825">
      <w:pPr>
        <w:pStyle w:val="ParaNoNdepar-AltN"/>
        <w:rPr>
          <w:rFonts w:cs="Times New Roman"/>
          <w:lang w:val="fr-CA"/>
        </w:rPr>
      </w:pPr>
      <w:r w:rsidRPr="0092056E">
        <w:rPr>
          <w:rFonts w:cs="Times New Roman"/>
          <w:lang w:val="fr-CA"/>
        </w:rPr>
        <w:lastRenderedPageBreak/>
        <w:t>Le caractère soudain et inattendu de l’acte provocateur du défunt ressort du fil des événements le soir du meurtre.  Voici comment M. Pappas a décrit l’offre du défunt de lui remettre une somme pour l’achat d’un billet d’avion, puis la menace voilée subséquente de tuer sa mère</w:t>
      </w:r>
      <w:r w:rsidR="003F7885">
        <w:rPr>
          <w:rFonts w:cs="Times New Roman"/>
          <w:lang w:val="fr-CA"/>
        </w:rPr>
        <w:t> </w:t>
      </w:r>
      <w:r w:rsidRPr="0092056E">
        <w:rPr>
          <w:rFonts w:cs="Times New Roman"/>
          <w:lang w:val="fr-CA"/>
        </w:rPr>
        <w:t>:</w:t>
      </w:r>
    </w:p>
    <w:p w:rsidR="00FB0825" w:rsidRPr="0092056E" w:rsidRDefault="00FB0825" w:rsidP="00FB0825">
      <w:pPr>
        <w:pStyle w:val="Citation-AltC"/>
        <w:ind w:hanging="1166"/>
        <w:rPr>
          <w:lang w:val="fr-CA"/>
        </w:rPr>
      </w:pPr>
      <w:r w:rsidRPr="0092056E">
        <w:rPr>
          <w:lang w:val="fr-CA"/>
        </w:rPr>
        <w:tab/>
        <w:t>[</w:t>
      </w:r>
      <w:r w:rsidRPr="0092056E">
        <w:rPr>
          <w:smallCaps/>
          <w:lang w:val="fr-CA"/>
        </w:rPr>
        <w:t>traduction</w:t>
      </w:r>
      <w:r w:rsidRPr="0092056E">
        <w:rPr>
          <w:lang w:val="fr-CA"/>
        </w:rPr>
        <w:t xml:space="preserve">]  À un moment, il me fait selon lui une faveur </w:t>
      </w:r>
      <w:r w:rsidR="00CA1BA2">
        <w:rPr>
          <w:lang w:val="fr-CA"/>
        </w:rPr>
        <w:t>[</w:t>
      </w:r>
      <w:r w:rsidRPr="0092056E">
        <w:rPr>
          <w:lang w:val="fr-CA"/>
        </w:rPr>
        <w:t>. . .</w:t>
      </w:r>
      <w:r w:rsidR="00CA1BA2">
        <w:rPr>
          <w:lang w:val="fr-CA"/>
        </w:rPr>
        <w:t>]</w:t>
      </w:r>
      <w:r w:rsidRPr="0092056E">
        <w:rPr>
          <w:lang w:val="fr-CA"/>
        </w:rPr>
        <w:t xml:space="preserve"> puis la minute d’après il me dit simplement ce qui va arriver </w:t>
      </w:r>
      <w:r w:rsidR="00CA1BA2">
        <w:rPr>
          <w:lang w:val="fr-CA"/>
        </w:rPr>
        <w:t>[</w:t>
      </w:r>
      <w:r w:rsidRPr="0092056E">
        <w:rPr>
          <w:lang w:val="fr-CA"/>
        </w:rPr>
        <w:t>. . .</w:t>
      </w:r>
      <w:r w:rsidR="00CA1BA2">
        <w:rPr>
          <w:lang w:val="fr-CA"/>
        </w:rPr>
        <w:t>]</w:t>
      </w:r>
      <w:r w:rsidRPr="0092056E">
        <w:rPr>
          <w:lang w:val="fr-CA"/>
        </w:rPr>
        <w:t xml:space="preserve"> si je ne me ramène pas et [</w:t>
      </w:r>
      <w:r w:rsidR="003F6105" w:rsidRPr="003F6105">
        <w:rPr>
          <w:smallCaps/>
          <w:lang w:val="fr-CA"/>
        </w:rPr>
        <w:t>inaudible</w:t>
      </w:r>
      <w:r w:rsidRPr="0092056E">
        <w:rPr>
          <w:lang w:val="fr-CA"/>
        </w:rPr>
        <w:t>] ses maudits jouets coûteux</w:t>
      </w:r>
      <w:r w:rsidR="00CA1BA2">
        <w:rPr>
          <w:lang w:val="fr-CA"/>
        </w:rPr>
        <w:t>. [d.a., vol. II, p. 244]</w:t>
      </w:r>
    </w:p>
    <w:p w:rsidR="00FB0825" w:rsidRPr="0092056E" w:rsidRDefault="00FB0825" w:rsidP="00FB0825">
      <w:pPr>
        <w:pStyle w:val="ParaNoNdepar-AltN"/>
        <w:rPr>
          <w:rFonts w:cs="Times New Roman"/>
          <w:lang w:val="fr-CA"/>
        </w:rPr>
      </w:pPr>
      <w:r w:rsidRPr="0092056E">
        <w:rPr>
          <w:rFonts w:cs="Times New Roman"/>
          <w:lang w:val="fr-CA"/>
        </w:rPr>
        <w:t>À supposer que ces propos soient véridiques, M. Pappas a clairement agi « sous l’impulsion du moment » — il « n’a pas réfléchi » (</w:t>
      </w:r>
      <w:r w:rsidR="00664FC5">
        <w:rPr>
          <w:rFonts w:cs="Times New Roman"/>
          <w:lang w:val="fr-CA"/>
        </w:rPr>
        <w:t>d.a</w:t>
      </w:r>
      <w:r w:rsidRPr="0092056E">
        <w:rPr>
          <w:rFonts w:cs="Times New Roman"/>
          <w:lang w:val="fr-CA"/>
        </w:rPr>
        <w:t>., vol. II, p. 241), mais a réagi sans délai à la provocation du défunt avant d’avoir eu le temps de reprendre son sang</w:t>
      </w:r>
      <w:r w:rsidRPr="0092056E">
        <w:rPr>
          <w:rFonts w:cs="Times New Roman"/>
          <w:lang w:val="fr-CA"/>
        </w:rPr>
        <w:noBreakHyphen/>
        <w:t>froid.  La Juge en chef reconnaît en effet que cela satisfait à un volet de l’exigence subjective de la « soudaineté ».</w:t>
      </w:r>
    </w:p>
    <w:p w:rsidR="00FB0825" w:rsidRPr="0092056E" w:rsidRDefault="00FB0825" w:rsidP="00FB0825">
      <w:pPr>
        <w:pStyle w:val="ParaNoNdepar-AltN"/>
        <w:rPr>
          <w:rFonts w:cs="Times New Roman"/>
          <w:lang w:val="fr-CA"/>
        </w:rPr>
      </w:pPr>
      <w:r w:rsidRPr="0092056E">
        <w:rPr>
          <w:rFonts w:cs="Times New Roman"/>
          <w:lang w:val="fr-CA"/>
        </w:rPr>
        <w:t xml:space="preserve">Or, selon elle, le dossier ne permet pas de conclure que la </w:t>
      </w:r>
      <w:r w:rsidRPr="0092056E">
        <w:rPr>
          <w:rFonts w:cs="Times New Roman"/>
          <w:i/>
          <w:lang w:val="fr-CA"/>
        </w:rPr>
        <w:t>provocation elle</w:t>
      </w:r>
      <w:r w:rsidRPr="0092056E">
        <w:rPr>
          <w:rFonts w:cs="Times New Roman"/>
          <w:i/>
          <w:lang w:val="fr-CA"/>
        </w:rPr>
        <w:noBreakHyphen/>
        <w:t>même</w:t>
      </w:r>
      <w:r w:rsidRPr="0092056E">
        <w:rPr>
          <w:rFonts w:cs="Times New Roman"/>
          <w:lang w:val="fr-CA"/>
        </w:rPr>
        <w:t xml:space="preserve"> a été soudaine, car le défunt « </w:t>
      </w:r>
      <w:r w:rsidRPr="0092056E">
        <w:rPr>
          <w:rFonts w:cs="Times New Roman"/>
          <w:lang w:val="fr-CA" w:bidi="en-US"/>
        </w:rPr>
        <w:t>s’était exprimé dans le même sens maintes fois dans le passé »</w:t>
      </w:r>
      <w:r w:rsidRPr="0092056E">
        <w:rPr>
          <w:rFonts w:cs="Times New Roman"/>
          <w:lang w:val="fr-CA"/>
        </w:rPr>
        <w:t xml:space="preserve"> (par. 37).</w:t>
      </w:r>
    </w:p>
    <w:p w:rsidR="00FB0825" w:rsidRPr="0092056E" w:rsidRDefault="00FB0825" w:rsidP="00FB0825">
      <w:pPr>
        <w:pStyle w:val="ParaNoNdepar-AltN"/>
        <w:rPr>
          <w:rFonts w:cs="Times New Roman"/>
          <w:lang w:val="fr-CA"/>
        </w:rPr>
      </w:pPr>
      <w:r w:rsidRPr="0092056E">
        <w:rPr>
          <w:rFonts w:cs="Times New Roman"/>
          <w:lang w:val="fr-CA"/>
        </w:rPr>
        <w:t xml:space="preserve">Dans </w:t>
      </w:r>
      <w:r w:rsidRPr="0092056E">
        <w:rPr>
          <w:rFonts w:cs="Times New Roman"/>
          <w:i/>
          <w:lang w:val="fr-CA"/>
        </w:rPr>
        <w:t>R. c. Cairney</w:t>
      </w:r>
      <w:r w:rsidRPr="0092056E">
        <w:rPr>
          <w:rFonts w:cs="Times New Roman"/>
          <w:lang w:val="fr-CA"/>
        </w:rPr>
        <w:t>, 2013 CSC 55</w:t>
      </w:r>
      <w:r w:rsidR="00664FC5">
        <w:rPr>
          <w:rFonts w:cs="Times New Roman"/>
          <w:lang w:val="fr-CA"/>
        </w:rPr>
        <w:t xml:space="preserve">, </w:t>
      </w:r>
      <w:r w:rsidR="003F7885">
        <w:rPr>
          <w:lang w:val="fr-CA"/>
        </w:rPr>
        <w:t>[2013] 3</w:t>
      </w:r>
      <w:r w:rsidR="00664FC5" w:rsidRPr="00664FC5">
        <w:rPr>
          <w:lang w:val="fr-CA"/>
        </w:rPr>
        <w:t xml:space="preserve"> </w:t>
      </w:r>
      <w:r w:rsidR="00146F1D">
        <w:rPr>
          <w:lang w:val="fr-CA"/>
        </w:rPr>
        <w:t>R.C.S.</w:t>
      </w:r>
      <w:r w:rsidR="00664FC5" w:rsidRPr="00664FC5">
        <w:rPr>
          <w:lang w:val="fr-CA"/>
        </w:rPr>
        <w:t xml:space="preserve"> </w:t>
      </w:r>
      <w:r w:rsidR="00395B98">
        <w:rPr>
          <w:lang w:val="fr-CA"/>
        </w:rPr>
        <w:t>420</w:t>
      </w:r>
      <w:r w:rsidRPr="0092056E">
        <w:rPr>
          <w:rFonts w:cs="Times New Roman"/>
          <w:lang w:val="fr-CA"/>
        </w:rPr>
        <w:t>,</w:t>
      </w:r>
      <w:r w:rsidRPr="0092056E">
        <w:rPr>
          <w:rFonts w:cs="Times New Roman"/>
          <w:i/>
          <w:lang w:val="fr-CA"/>
        </w:rPr>
        <w:t xml:space="preserve"> </w:t>
      </w:r>
      <w:r w:rsidRPr="0092056E">
        <w:rPr>
          <w:rFonts w:cs="Times New Roman"/>
          <w:lang w:val="fr-CA"/>
        </w:rPr>
        <w:t xml:space="preserve">la juge Abella fait état des difficultés évidentes que présente l’approche fondée sur la « prévisibilité des conséquences » en ce qui concerne l’élément objectif de la provocation.  Les mêmes réserves valent pour l’élément subjectif — le seul fait que le défunt a proféré des menaces semblables dans le passé ne permet pas de tenir pour acquis que l’accusé a prévu les mêmes menaces formulées subséquemment ou qu’il y était préparé.  En </w:t>
      </w:r>
      <w:r w:rsidRPr="0092056E">
        <w:rPr>
          <w:rFonts w:cs="Times New Roman"/>
          <w:lang w:val="fr-CA"/>
        </w:rPr>
        <w:lastRenderedPageBreak/>
        <w:t>clair, lorsqu’elle est répétée, une menace ou une insulte peut faire « disjoncter » une personne qu’elle n’avait pas provoquée auparavant.</w:t>
      </w:r>
    </w:p>
    <w:p w:rsidR="00FB0825" w:rsidRPr="0092056E" w:rsidRDefault="00FB0825" w:rsidP="00FB0825">
      <w:pPr>
        <w:pStyle w:val="ParaNoNdepar-AltN"/>
        <w:rPr>
          <w:rFonts w:cs="Times New Roman"/>
          <w:lang w:val="fr-CA"/>
        </w:rPr>
      </w:pPr>
      <w:r w:rsidRPr="0092056E">
        <w:rPr>
          <w:rFonts w:cs="Times New Roman"/>
          <w:lang w:val="fr-CA"/>
        </w:rPr>
        <w:t>Notre Cour se penche expressé</w:t>
      </w:r>
      <w:r w:rsidR="00664FC5">
        <w:rPr>
          <w:rFonts w:cs="Times New Roman"/>
          <w:lang w:val="fr-CA"/>
        </w:rPr>
        <w:t xml:space="preserve">ment sur cette possibilité dans </w:t>
      </w:r>
      <w:r w:rsidRPr="0092056E">
        <w:rPr>
          <w:rFonts w:cs="Times New Roman"/>
          <w:i/>
          <w:lang w:val="fr-CA"/>
        </w:rPr>
        <w:t>Thibert</w:t>
      </w:r>
      <w:r w:rsidRPr="0092056E">
        <w:rPr>
          <w:rFonts w:cs="Times New Roman"/>
          <w:lang w:val="fr-CA"/>
        </w:rPr>
        <w:t>.  Appelée à déterminer si une provocation avait été « soudaine » au sens où elle avait été inattendue, elle conclut :</w:t>
      </w:r>
    </w:p>
    <w:p w:rsidR="00FB0825" w:rsidRPr="00BF4909" w:rsidRDefault="00FB0825" w:rsidP="00FB0825">
      <w:pPr>
        <w:pStyle w:val="Citation-AltC"/>
        <w:spacing w:after="240"/>
        <w:ind w:left="1168" w:hanging="1168"/>
        <w:contextualSpacing w:val="0"/>
        <w:rPr>
          <w:lang w:val="en-US"/>
        </w:rPr>
      </w:pPr>
      <w:r w:rsidRPr="0092056E">
        <w:rPr>
          <w:lang w:val="fr-CA"/>
        </w:rPr>
        <w:tab/>
        <w:t xml:space="preserve">. . . le contexte et l’historique des relations entre l’accusé et la victime [s’ajoutent] aux facteurs dont il faut tenir compte.  Cela est d’autant plus approprié si l’examen de ce facteur révèle l’existence d’une longue histoire d’insultes proférées par la victime à l’endroit de l’accusé.  [. . .] </w:t>
      </w:r>
      <w:r w:rsidR="003F7885">
        <w:rPr>
          <w:lang w:val="fr-CA"/>
        </w:rPr>
        <w:t>[</w:t>
      </w:r>
      <w:r w:rsidR="003F7885" w:rsidRPr="003F7885">
        <w:rPr>
          <w:smallCaps/>
          <w:lang w:val="fr-CA"/>
        </w:rPr>
        <w:t>traduction</w:t>
      </w:r>
      <w:r w:rsidR="003F7885">
        <w:rPr>
          <w:lang w:val="fr-CA"/>
        </w:rPr>
        <w:t xml:space="preserve">] </w:t>
      </w:r>
      <w:r w:rsidRPr="0092056E">
        <w:rPr>
          <w:lang w:val="fr-CA"/>
        </w:rPr>
        <w:t xml:space="preserve">« l’insulte ultime peut être comparativement insignifiante, n’être que de la goutte qui fait déborder le vase en quelque sorte ».  </w:t>
      </w:r>
      <w:r w:rsidRPr="00BF4909">
        <w:rPr>
          <w:lang w:val="en-US"/>
        </w:rPr>
        <w:t>[par. 20]</w:t>
      </w:r>
    </w:p>
    <w:p w:rsidR="00FB0825" w:rsidRPr="0092056E" w:rsidRDefault="00053820" w:rsidP="00981F33">
      <w:pPr>
        <w:pStyle w:val="Citation-AltC"/>
        <w:spacing w:line="480" w:lineRule="auto"/>
        <w:ind w:left="0"/>
        <w:contextualSpacing w:val="0"/>
      </w:pPr>
      <w:r>
        <w:t>(</w:t>
      </w:r>
      <w:r w:rsidR="00FB0825" w:rsidRPr="0092056E">
        <w:t xml:space="preserve">Citant G. Williams, </w:t>
      </w:r>
      <w:r w:rsidR="00FB0825" w:rsidRPr="0092056E">
        <w:rPr>
          <w:i/>
        </w:rPr>
        <w:t>Textbook of Criminal Law</w:t>
      </w:r>
      <w:r w:rsidR="00FB0825" w:rsidRPr="0092056E">
        <w:t xml:space="preserve"> (2e éd. 1983)</w:t>
      </w:r>
      <w:r>
        <w:t>.)</w:t>
      </w:r>
      <w:r w:rsidR="00FB0825" w:rsidRPr="0092056E">
        <w:t xml:space="preserve"> </w:t>
      </w:r>
    </w:p>
    <w:p w:rsidR="00FB0825" w:rsidRPr="0092056E" w:rsidRDefault="00FB0825" w:rsidP="00FB0825">
      <w:pPr>
        <w:pStyle w:val="ParaNoNdepar-AltN"/>
        <w:rPr>
          <w:rFonts w:cs="Times New Roman"/>
          <w:lang w:val="fr-CA"/>
        </w:rPr>
      </w:pPr>
      <w:r w:rsidRPr="0092056E">
        <w:rPr>
          <w:rFonts w:cs="Times New Roman"/>
          <w:lang w:val="fr-CA"/>
        </w:rPr>
        <w:t xml:space="preserve">Sur ce point, la Juge en chef s’attache à la question de savoir si M. Pappas « envisageait la possibilité que M. Kullman refuse de mettre fin à l’extorsion » (par. 41).  Cependant, soit dit en tout respect, l’acte provocateur allégué </w:t>
      </w:r>
      <w:r w:rsidRPr="0092056E">
        <w:rPr>
          <w:rFonts w:cs="Times New Roman"/>
          <w:i/>
          <w:lang w:val="fr-CA"/>
        </w:rPr>
        <w:t>n’</w:t>
      </w:r>
      <w:r w:rsidRPr="00053820">
        <w:rPr>
          <w:rFonts w:cs="Times New Roman"/>
          <w:lang w:val="fr-CA"/>
        </w:rPr>
        <w:t xml:space="preserve">était </w:t>
      </w:r>
      <w:r w:rsidRPr="0092056E">
        <w:rPr>
          <w:rFonts w:cs="Times New Roman"/>
          <w:i/>
          <w:lang w:val="fr-CA"/>
        </w:rPr>
        <w:t>pas</w:t>
      </w:r>
      <w:r w:rsidRPr="0092056E">
        <w:rPr>
          <w:rFonts w:cs="Times New Roman"/>
          <w:lang w:val="fr-CA"/>
        </w:rPr>
        <w:t xml:space="preserve"> l’omission du défunt de mettre fin à l’extorsion, mais son affirmation soudaine — [</w:t>
      </w:r>
      <w:r w:rsidRPr="0092056E">
        <w:rPr>
          <w:rFonts w:cs="Times New Roman"/>
          <w:smallCaps/>
          <w:lang w:val="fr-CA"/>
        </w:rPr>
        <w:t>traduction</w:t>
      </w:r>
      <w:r w:rsidRPr="0092056E">
        <w:rPr>
          <w:rFonts w:cs="Times New Roman"/>
          <w:lang w:val="fr-CA"/>
        </w:rPr>
        <w:t>] « j’ai une super garantie » — que M. Pappas a interprétée comme une menace d</w:t>
      </w:r>
      <w:r w:rsidR="00DC37EC">
        <w:rPr>
          <w:rFonts w:cs="Times New Roman"/>
          <w:lang w:val="fr-CA"/>
        </w:rPr>
        <w:t>’attenter à la vie de sa mère (d.a</w:t>
      </w:r>
      <w:r w:rsidRPr="0092056E">
        <w:rPr>
          <w:rFonts w:cs="Times New Roman"/>
          <w:lang w:val="fr-CA"/>
        </w:rPr>
        <w:t>., vol</w:t>
      </w:r>
      <w:r w:rsidR="003F7885">
        <w:rPr>
          <w:rFonts w:cs="Times New Roman"/>
          <w:lang w:val="fr-CA"/>
        </w:rPr>
        <w:t>.</w:t>
      </w:r>
      <w:r w:rsidRPr="0092056E">
        <w:rPr>
          <w:rFonts w:cs="Times New Roman"/>
          <w:lang w:val="fr-CA"/>
        </w:rPr>
        <w:t xml:space="preserve"> II, p. 241).  La déposition de M. Pappas selon laquelle il a abattu la victime pour protéger sa mère éta</w:t>
      </w:r>
      <w:r w:rsidR="00DC37EC">
        <w:rPr>
          <w:rFonts w:cs="Times New Roman"/>
          <w:lang w:val="fr-CA"/>
        </w:rPr>
        <w:t>ye amplement cette conclusion (d.a</w:t>
      </w:r>
      <w:r w:rsidRPr="0092056E">
        <w:rPr>
          <w:rFonts w:cs="Times New Roman"/>
          <w:lang w:val="fr-CA"/>
        </w:rPr>
        <w:t>., vol. II, p. 240</w:t>
      </w:r>
      <w:r w:rsidRPr="0092056E">
        <w:rPr>
          <w:rFonts w:cs="Times New Roman"/>
          <w:lang w:val="fr-CA"/>
        </w:rPr>
        <w:noBreakHyphen/>
        <w:t>242, 247 et 254</w:t>
      </w:r>
      <w:r w:rsidRPr="0092056E">
        <w:rPr>
          <w:rFonts w:cs="Times New Roman"/>
          <w:lang w:val="fr-CA"/>
        </w:rPr>
        <w:noBreakHyphen/>
        <w:t>255).</w:t>
      </w:r>
    </w:p>
    <w:p w:rsidR="00FB0825" w:rsidRPr="0092056E" w:rsidRDefault="00FB0825" w:rsidP="00FB0825">
      <w:pPr>
        <w:pStyle w:val="ParaNoNdepar-AltN"/>
        <w:rPr>
          <w:rFonts w:cs="Times New Roman"/>
          <w:lang w:val="fr-CA"/>
        </w:rPr>
      </w:pPr>
      <w:r w:rsidRPr="0092056E">
        <w:rPr>
          <w:rFonts w:cs="Times New Roman"/>
          <w:lang w:val="fr-CA" w:bidi="en-US"/>
        </w:rPr>
        <w:t xml:space="preserve">Je ne peux non plus convenir avec la Juge en chef que la preuve voulant que la provocation alléguée ait pris l’appelant de court « ne prend appui que sur les affirmations de M. Pappas » </w:t>
      </w:r>
      <w:r w:rsidRPr="0092056E">
        <w:rPr>
          <w:rFonts w:cs="Times New Roman"/>
          <w:lang w:val="fr-CA"/>
        </w:rPr>
        <w:t>(par. 41).</w:t>
      </w:r>
    </w:p>
    <w:p w:rsidR="00FB0825" w:rsidRPr="0092056E" w:rsidRDefault="00FB0825" w:rsidP="00FB0825">
      <w:pPr>
        <w:pStyle w:val="ParaNoNdepar-AltN"/>
        <w:rPr>
          <w:rFonts w:cs="Times New Roman"/>
          <w:lang w:val="fr-CA"/>
        </w:rPr>
      </w:pPr>
      <w:r w:rsidRPr="0092056E">
        <w:rPr>
          <w:rFonts w:cs="Times New Roman"/>
          <w:lang w:val="fr-CA"/>
        </w:rPr>
        <w:lastRenderedPageBreak/>
        <w:t xml:space="preserve">Dans </w:t>
      </w:r>
      <w:r w:rsidRPr="0092056E">
        <w:rPr>
          <w:rFonts w:cs="Times New Roman"/>
          <w:i/>
          <w:lang w:val="fr-CA"/>
        </w:rPr>
        <w:t>Osolin</w:t>
      </w:r>
      <w:r w:rsidRPr="0092056E">
        <w:rPr>
          <w:rFonts w:cs="Times New Roman"/>
          <w:lang w:val="fr-CA"/>
        </w:rPr>
        <w:t>, notre Cour affirme que pour qu’un moyen de défense soit présenté au jury, il faut « une preuve qui va plus loin que la seule affirmation » des éléments de la défense (p. 686</w:t>
      </w:r>
      <w:r w:rsidRPr="0092056E">
        <w:rPr>
          <w:rFonts w:cs="Times New Roman"/>
          <w:lang w:val="fr-CA"/>
        </w:rPr>
        <w:noBreakHyphen/>
        <w:t xml:space="preserve">687).  Prenant la défense de provocation à titre d’exemple, elle conclut que même s’il ne suffit pas que l’accusé prononce les mots « j’ai été provoqué », la « preuve nécessaire peut provenir du </w:t>
      </w:r>
      <w:r w:rsidRPr="0092056E">
        <w:rPr>
          <w:rFonts w:cs="Times New Roman"/>
          <w:i/>
          <w:lang w:val="fr-CA"/>
        </w:rPr>
        <w:t>seul témoignage détaillé de l’accusé</w:t>
      </w:r>
      <w:r w:rsidR="00DC37EC">
        <w:rPr>
          <w:rFonts w:cs="Times New Roman"/>
          <w:lang w:val="fr-CA"/>
        </w:rPr>
        <w:t xml:space="preserve"> » (p. 687</w:t>
      </w:r>
      <w:r w:rsidRPr="0092056E">
        <w:rPr>
          <w:rFonts w:cs="Times New Roman"/>
          <w:lang w:val="fr-CA"/>
        </w:rPr>
        <w:t xml:space="preserve"> </w:t>
      </w:r>
      <w:r w:rsidR="00DC37EC">
        <w:rPr>
          <w:rFonts w:cs="Times New Roman"/>
          <w:lang w:val="fr-CA"/>
        </w:rPr>
        <w:t>(italiques ajoutés)</w:t>
      </w:r>
      <w:r w:rsidRPr="0092056E">
        <w:rPr>
          <w:rFonts w:cs="Times New Roman"/>
          <w:lang w:val="fr-CA"/>
        </w:rPr>
        <w:t>).</w:t>
      </w:r>
    </w:p>
    <w:p w:rsidR="00FB0825" w:rsidRPr="0092056E" w:rsidRDefault="00FB0825" w:rsidP="00FB0825">
      <w:pPr>
        <w:pStyle w:val="ParaNoNdepar-AltN"/>
        <w:rPr>
          <w:rFonts w:cs="Times New Roman"/>
          <w:lang w:val="fr-CA"/>
        </w:rPr>
      </w:pPr>
      <w:r w:rsidRPr="0092056E">
        <w:rPr>
          <w:rFonts w:cs="Times New Roman"/>
          <w:lang w:val="fr-CA"/>
        </w:rPr>
        <w:t xml:space="preserve">Sous cet éclairage, on ne saurait voir dans le témoignage détaillé de M. Pappas sur les circonstances de la provocation alléguée, ce qui englobe ses perceptions et l’explication de ses gestes, une « simple affirmation » qu’il a été provoqué. </w:t>
      </w:r>
    </w:p>
    <w:p w:rsidR="00FB0825" w:rsidRPr="0092056E" w:rsidRDefault="00FB0825" w:rsidP="00FB0825">
      <w:pPr>
        <w:pStyle w:val="ParaNoNdepar-AltN"/>
        <w:rPr>
          <w:rFonts w:cs="Times New Roman"/>
          <w:lang w:val="fr-CA"/>
        </w:rPr>
      </w:pPr>
      <w:r w:rsidRPr="0092056E">
        <w:rPr>
          <w:rFonts w:cs="Times New Roman"/>
          <w:lang w:val="fr-CA"/>
        </w:rPr>
        <w:t>Sa description de l’acte provocateur ne peut non plus être assimilée à une seule mention qui est inconciliable avec son « récit principal » (</w:t>
      </w:r>
      <w:r w:rsidRPr="0092056E">
        <w:rPr>
          <w:rFonts w:cs="Times New Roman"/>
          <w:i/>
          <w:lang w:val="fr-CA"/>
        </w:rPr>
        <w:t>Gauthier</w:t>
      </w:r>
      <w:r w:rsidRPr="0092056E">
        <w:rPr>
          <w:rFonts w:cs="Times New Roman"/>
          <w:lang w:val="fr-CA"/>
        </w:rPr>
        <w:t>, par. 61, cité par la Juge en chef</w:t>
      </w:r>
      <w:r w:rsidR="00DC37EC">
        <w:rPr>
          <w:rFonts w:cs="Times New Roman"/>
          <w:lang w:val="fr-CA"/>
        </w:rPr>
        <w:t>, par. 24</w:t>
      </w:r>
      <w:r w:rsidRPr="0092056E">
        <w:rPr>
          <w:rFonts w:cs="Times New Roman"/>
          <w:lang w:val="fr-CA"/>
        </w:rPr>
        <w:t xml:space="preserve">).  </w:t>
      </w:r>
    </w:p>
    <w:p w:rsidR="00FB0825" w:rsidRPr="0092056E" w:rsidRDefault="00FB0825" w:rsidP="00FB0825">
      <w:pPr>
        <w:pStyle w:val="ParaNoNdepar-AltN"/>
        <w:rPr>
          <w:rFonts w:cs="Times New Roman"/>
          <w:lang w:val="fr-CA"/>
        </w:rPr>
      </w:pPr>
      <w:r w:rsidRPr="0092056E">
        <w:rPr>
          <w:rFonts w:cs="Times New Roman"/>
          <w:lang w:val="fr-CA"/>
        </w:rPr>
        <w:t>Je partage l’avis de ma collègue que les « seuls extraits des aveux de M. Pappas qui étayent la perte de maîtrise de soi sont ceux qui font état de sa réaction lorsque M. Kullman a répété qu’il disposait d’une “garantie” » (par. 40).  Ces précisions sur sa réaction constituent une preuve directe du caractère soudain de la provocation et elles doivent être tenues pour avérées.  Elles établissent donc que l’appelant s’est acquitté de sa charge de présentation pour ce qui est de l’élément de la défense qui réside dans l’existence d’une « provocation soudaine ».</w:t>
      </w:r>
    </w:p>
    <w:p w:rsidR="00FB0825" w:rsidRPr="0092056E" w:rsidRDefault="00FB0825" w:rsidP="00FB0825">
      <w:pPr>
        <w:pStyle w:val="ParaNoNdepar-AltN"/>
        <w:rPr>
          <w:rFonts w:cs="Times New Roman"/>
          <w:lang w:val="fr-CA"/>
        </w:rPr>
      </w:pPr>
      <w:r w:rsidRPr="0092056E">
        <w:rPr>
          <w:rFonts w:cs="Times New Roman"/>
          <w:lang w:val="fr-CA"/>
        </w:rPr>
        <w:t xml:space="preserve">Or, déterminer si ces extraits sont « inconciliables » avec d’autres éléments de preuve exige nécessairement d’apprécier le caractère probant et la </w:t>
      </w:r>
      <w:r w:rsidRPr="0092056E">
        <w:rPr>
          <w:rFonts w:cs="Times New Roman"/>
          <w:lang w:val="fr-CA"/>
        </w:rPr>
        <w:lastRenderedPageBreak/>
        <w:t>fiabilité de la preuve, ce qui incombe bel et bien au jury.  Et quoi qu’il en soit, la décision du juge du procès de soumettre la défense au jury doit s’appuyer sur « l’interprétation de la preuve qui est la plus favorable à l’accusé » (</w:t>
      </w:r>
      <w:r w:rsidRPr="0092056E">
        <w:rPr>
          <w:rFonts w:cs="Times New Roman"/>
          <w:i/>
          <w:lang w:val="fr-CA"/>
        </w:rPr>
        <w:t>Cinous</w:t>
      </w:r>
      <w:r w:rsidRPr="0092056E">
        <w:rPr>
          <w:rFonts w:cs="Times New Roman"/>
          <w:lang w:val="fr-CA"/>
        </w:rPr>
        <w:t>, par. 98).  En l’espèce, la juge n’a donc pas eu tort de conclure que la preuve offerte par M. Pappas — si on y ajoutait foi en totalité ou en partie — pouvait étayer l’inférence que les propos du défunt constituaient un acte de provocation à la fois soudain et inattendu.</w:t>
      </w:r>
    </w:p>
    <w:p w:rsidR="00FB0825" w:rsidRPr="0092056E" w:rsidRDefault="00FB0825" w:rsidP="00A2040A">
      <w:pPr>
        <w:pStyle w:val="TitleTitre-AltT"/>
        <w:jc w:val="center"/>
        <w:outlineLvl w:val="0"/>
        <w:rPr>
          <w:rFonts w:cs="Times New Roman"/>
          <w:lang w:val="fr-CA"/>
        </w:rPr>
      </w:pPr>
      <w:r w:rsidRPr="0092056E">
        <w:rPr>
          <w:rFonts w:cs="Times New Roman"/>
          <w:lang w:val="fr-CA"/>
        </w:rPr>
        <w:t>IV</w:t>
      </w:r>
    </w:p>
    <w:p w:rsidR="00FB0825" w:rsidRPr="0092056E" w:rsidRDefault="00FB0825" w:rsidP="00FB0825">
      <w:pPr>
        <w:pStyle w:val="ParaNoNdepar-AltN"/>
        <w:rPr>
          <w:rFonts w:cs="Times New Roman"/>
          <w:lang w:val="fr-CA"/>
        </w:rPr>
      </w:pPr>
      <w:r w:rsidRPr="0092056E">
        <w:rPr>
          <w:rFonts w:cs="Times New Roman"/>
          <w:lang w:val="fr-CA"/>
        </w:rPr>
        <w:t>Pour les motifs qui précèdent, je ne peux souscrire à l’avis de la Juge en chef selon lequel la juge du procès a commis une erreur susceptible de contrôle en soumettant au jury la défense de provocation invoquée par l’appelant.  Comme je l’indique au début des présents motifs, j’estime néanmoins qu’il y a lieu de rejeter le pourvoi pour les motifs sur lesquels se fondent les juges majoritaires de la Cour d’appel.</w:t>
      </w:r>
    </w:p>
    <w:p w:rsidR="004D7D95" w:rsidRPr="006E55EC" w:rsidRDefault="004D7D95" w:rsidP="00454DD2">
      <w:pPr>
        <w:pStyle w:val="SCCNormalDoubleSpacing"/>
        <w:spacing w:after="480"/>
        <w:rPr>
          <w:lang w:val="fr-CA"/>
        </w:rPr>
      </w:pPr>
      <w:r w:rsidRPr="006E55EC">
        <w:rPr>
          <w:lang w:val="fr-CA"/>
        </w:rPr>
        <w:tab/>
      </w:r>
      <w:r w:rsidR="0043624B" w:rsidRPr="006E55EC">
        <w:rPr>
          <w:i/>
          <w:lang w:val="fr-CA"/>
        </w:rPr>
        <w:t>Pourvoi</w:t>
      </w:r>
      <w:r w:rsidR="000A242E" w:rsidRPr="006E55EC">
        <w:rPr>
          <w:i/>
          <w:lang w:val="fr-CA"/>
        </w:rPr>
        <w:t xml:space="preserve"> </w:t>
      </w:r>
      <w:r w:rsidR="00037960" w:rsidRPr="006E55EC">
        <w:rPr>
          <w:i/>
          <w:lang w:val="fr-CA"/>
        </w:rPr>
        <w:t>rejeté.</w:t>
      </w:r>
    </w:p>
    <w:p w:rsidR="00CB62EC" w:rsidRPr="006E55EC" w:rsidRDefault="003210F2" w:rsidP="00454DD2">
      <w:pPr>
        <w:pStyle w:val="SCCLawFirm"/>
        <w:spacing w:after="480"/>
        <w:rPr>
          <w:lang w:val="fr-CA"/>
        </w:rPr>
      </w:pPr>
      <w:r w:rsidRPr="006E55EC">
        <w:rPr>
          <w:lang w:val="fr-CA"/>
        </w:rPr>
        <w:tab/>
      </w:r>
      <w:r w:rsidR="00641A83" w:rsidRPr="006E55EC">
        <w:rPr>
          <w:lang w:val="fr-CA"/>
        </w:rPr>
        <w:t>Procureurs</w:t>
      </w:r>
      <w:r w:rsidRPr="006E55EC">
        <w:rPr>
          <w:lang w:val="fr-CA"/>
        </w:rPr>
        <w:t xml:space="preserve"> de </w:t>
      </w:r>
      <w:r w:rsidR="00585325" w:rsidRPr="006E55EC">
        <w:rPr>
          <w:lang w:val="fr-CA"/>
        </w:rPr>
        <w:t>l</w:t>
      </w:r>
      <w:r w:rsidR="00521696" w:rsidRPr="006E55EC">
        <w:rPr>
          <w:lang w:val="fr-CA"/>
        </w:rPr>
        <w:t>’</w:t>
      </w:r>
      <w:r w:rsidR="00585325" w:rsidRPr="006E55EC">
        <w:rPr>
          <w:lang w:val="fr-CA"/>
        </w:rPr>
        <w:t>appelant</w:t>
      </w:r>
      <w:r w:rsidR="005606FC" w:rsidRPr="006E55EC">
        <w:rPr>
          <w:lang w:val="fr-CA"/>
        </w:rPr>
        <w:t> :</w:t>
      </w:r>
      <w:r w:rsidR="00454DD2" w:rsidRPr="006E55EC">
        <w:rPr>
          <w:lang w:val="fr-CA"/>
        </w:rPr>
        <w:t> </w:t>
      </w:r>
      <w:r w:rsidRPr="006E55EC">
        <w:rPr>
          <w:lang w:val="fr-CA"/>
        </w:rPr>
        <w:t>Ruttan Bates, Calgary.</w:t>
      </w:r>
    </w:p>
    <w:p w:rsidR="009B57B3" w:rsidRDefault="003210F2" w:rsidP="00FB0825">
      <w:pPr>
        <w:pStyle w:val="SCCLawFirm"/>
        <w:rPr>
          <w:b/>
          <w:i w:val="0"/>
          <w:lang w:val="fr-CA"/>
        </w:rPr>
      </w:pPr>
      <w:r w:rsidRPr="006E55EC">
        <w:rPr>
          <w:lang w:val="fr-CA"/>
        </w:rPr>
        <w:tab/>
      </w:r>
      <w:r w:rsidR="00585325" w:rsidRPr="006E55EC">
        <w:rPr>
          <w:lang w:val="fr-CA"/>
        </w:rPr>
        <w:t>Procureur de l</w:t>
      </w:r>
      <w:r w:rsidR="00521696" w:rsidRPr="006E55EC">
        <w:rPr>
          <w:lang w:val="fr-CA"/>
        </w:rPr>
        <w:t>’</w:t>
      </w:r>
      <w:r w:rsidR="00585325" w:rsidRPr="006E55EC">
        <w:rPr>
          <w:lang w:val="fr-CA"/>
        </w:rPr>
        <w:t>intimée</w:t>
      </w:r>
      <w:r w:rsidR="005606FC" w:rsidRPr="006E55EC">
        <w:rPr>
          <w:lang w:val="fr-CA"/>
        </w:rPr>
        <w:t> :</w:t>
      </w:r>
      <w:r w:rsidR="00454DD2" w:rsidRPr="006E55EC">
        <w:rPr>
          <w:lang w:val="fr-CA"/>
        </w:rPr>
        <w:t> </w:t>
      </w:r>
      <w:r w:rsidR="00585325" w:rsidRPr="006E55EC">
        <w:rPr>
          <w:lang w:val="fr-CA"/>
        </w:rPr>
        <w:t>Procureur général de l</w:t>
      </w:r>
      <w:r w:rsidR="00521696" w:rsidRPr="006E55EC">
        <w:rPr>
          <w:lang w:val="fr-CA"/>
        </w:rPr>
        <w:t>’</w:t>
      </w:r>
      <w:r w:rsidR="00585325" w:rsidRPr="006E55EC">
        <w:rPr>
          <w:lang w:val="fr-CA"/>
        </w:rPr>
        <w:t>Alberta</w:t>
      </w:r>
      <w:r w:rsidRPr="006E55EC">
        <w:rPr>
          <w:lang w:val="fr-CA"/>
        </w:rPr>
        <w:t>, Calgary.</w:t>
      </w:r>
    </w:p>
    <w:p w:rsidR="00FB0825" w:rsidRPr="00FB0825" w:rsidRDefault="00FB0825" w:rsidP="00FB0825">
      <w:pPr>
        <w:pStyle w:val="SCCNormalDoubleSpacing"/>
        <w:rPr>
          <w:lang w:val="fr-CA"/>
        </w:rPr>
      </w:pPr>
    </w:p>
    <w:sectPr w:rsidR="00FB0825" w:rsidRPr="00FB0825"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F7" w:rsidRDefault="00896BF7">
      <w:r>
        <w:separator/>
      </w:r>
    </w:p>
  </w:endnote>
  <w:endnote w:type="continuationSeparator" w:id="0">
    <w:p w:rsidR="00896BF7" w:rsidRDefault="00896B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F7" w:rsidRDefault="00896BF7">
      <w:r>
        <w:separator/>
      </w:r>
    </w:p>
  </w:footnote>
  <w:footnote w:type="continuationSeparator" w:id="0">
    <w:p w:rsidR="00896BF7" w:rsidRDefault="00896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94"/>
    <w:multiLevelType w:val="hybridMultilevel"/>
    <w:tmpl w:val="CB5E61B0"/>
    <w:lvl w:ilvl="0" w:tplc="EA929418">
      <w:start w:val="2"/>
      <w:numFmt w:val="bullet"/>
      <w:lvlText w:val=""/>
      <w:lvlJc w:val="left"/>
      <w:pPr>
        <w:ind w:left="1526" w:hanging="360"/>
      </w:pPr>
      <w:rPr>
        <w:rFonts w:ascii="Wingdings" w:eastAsia="Times New Roman" w:hAnsi="Wingdings" w:cs="Times New Roman" w:hint="default"/>
        <w:color w:val="FF0000"/>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7A294D"/>
    <w:multiLevelType w:val="hybridMultilevel"/>
    <w:tmpl w:val="5F2EC5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10404"/>
    <w:multiLevelType w:val="hybridMultilevel"/>
    <w:tmpl w:val="92CC469A"/>
    <w:lvl w:ilvl="0" w:tplc="7846976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26EE002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C090363"/>
    <w:multiLevelType w:val="hybridMultilevel"/>
    <w:tmpl w:val="E77C0B04"/>
    <w:lvl w:ilvl="0" w:tplc="029C6A10">
      <w:start w:val="1"/>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2992F76"/>
    <w:multiLevelType w:val="hybridMultilevel"/>
    <w:tmpl w:val="F8DA793A"/>
    <w:lvl w:ilvl="0" w:tplc="E34447AC">
      <w:start w:val="2"/>
      <w:numFmt w:val="bullet"/>
      <w:lvlText w:val=""/>
      <w:lvlJc w:val="left"/>
      <w:pPr>
        <w:ind w:left="1526" w:hanging="360"/>
      </w:pPr>
      <w:rPr>
        <w:rFonts w:ascii="Wingdings" w:eastAsia="Times New Roman" w:hAnsi="Wingdings" w:cs="Times New Roman" w:hint="default"/>
        <w:color w:val="FF0000"/>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6"/>
  </w:num>
  <w:num w:numId="6">
    <w:abstractNumId w:val="7"/>
  </w:num>
  <w:num w:numId="7">
    <w:abstractNumId w:val="10"/>
  </w:num>
  <w:num w:numId="8">
    <w:abstractNumId w:val="0"/>
  </w:num>
  <w:num w:numId="9">
    <w:abstractNumId w:val="8"/>
  </w:num>
  <w:num w:numId="10">
    <w:abstractNumId w:val="2"/>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rsids>
    <w:rsidRoot w:val="0031414C"/>
    <w:rsid w:val="00000ED4"/>
    <w:rsid w:val="00015E0F"/>
    <w:rsid w:val="00023FC7"/>
    <w:rsid w:val="00025198"/>
    <w:rsid w:val="00037960"/>
    <w:rsid w:val="00037A8E"/>
    <w:rsid w:val="00053820"/>
    <w:rsid w:val="000555AA"/>
    <w:rsid w:val="000578A3"/>
    <w:rsid w:val="000579E4"/>
    <w:rsid w:val="000648CC"/>
    <w:rsid w:val="000667E9"/>
    <w:rsid w:val="000720CE"/>
    <w:rsid w:val="000726A4"/>
    <w:rsid w:val="0007588C"/>
    <w:rsid w:val="00087C71"/>
    <w:rsid w:val="000A242E"/>
    <w:rsid w:val="000B7656"/>
    <w:rsid w:val="000C59B8"/>
    <w:rsid w:val="000C6AF0"/>
    <w:rsid w:val="000D0A77"/>
    <w:rsid w:val="000E574C"/>
    <w:rsid w:val="000E5916"/>
    <w:rsid w:val="000F7993"/>
    <w:rsid w:val="00104F33"/>
    <w:rsid w:val="00111DE2"/>
    <w:rsid w:val="00116B38"/>
    <w:rsid w:val="001315BA"/>
    <w:rsid w:val="00135406"/>
    <w:rsid w:val="00135972"/>
    <w:rsid w:val="001426A9"/>
    <w:rsid w:val="00143966"/>
    <w:rsid w:val="00144E3B"/>
    <w:rsid w:val="00146F1D"/>
    <w:rsid w:val="00151D9B"/>
    <w:rsid w:val="00154D7C"/>
    <w:rsid w:val="001570B0"/>
    <w:rsid w:val="0015752C"/>
    <w:rsid w:val="00157737"/>
    <w:rsid w:val="00165277"/>
    <w:rsid w:val="001674A8"/>
    <w:rsid w:val="00170592"/>
    <w:rsid w:val="001720F7"/>
    <w:rsid w:val="001753A0"/>
    <w:rsid w:val="00195D83"/>
    <w:rsid w:val="001A00C1"/>
    <w:rsid w:val="001B33E0"/>
    <w:rsid w:val="001B4573"/>
    <w:rsid w:val="001C2F68"/>
    <w:rsid w:val="001C779F"/>
    <w:rsid w:val="001D2AC1"/>
    <w:rsid w:val="001D4E88"/>
    <w:rsid w:val="001E0335"/>
    <w:rsid w:val="00220FC2"/>
    <w:rsid w:val="002222F4"/>
    <w:rsid w:val="00224FC0"/>
    <w:rsid w:val="00225EA4"/>
    <w:rsid w:val="00226EAF"/>
    <w:rsid w:val="00231F3A"/>
    <w:rsid w:val="00236A4B"/>
    <w:rsid w:val="002406EE"/>
    <w:rsid w:val="00243EA8"/>
    <w:rsid w:val="00243EC8"/>
    <w:rsid w:val="00250B89"/>
    <w:rsid w:val="00257811"/>
    <w:rsid w:val="00260A4B"/>
    <w:rsid w:val="002662CB"/>
    <w:rsid w:val="00270D93"/>
    <w:rsid w:val="002745CC"/>
    <w:rsid w:val="00281B87"/>
    <w:rsid w:val="0029387E"/>
    <w:rsid w:val="00296841"/>
    <w:rsid w:val="002A13C6"/>
    <w:rsid w:val="002B2D81"/>
    <w:rsid w:val="002B6FBE"/>
    <w:rsid w:val="002B7924"/>
    <w:rsid w:val="002C10A6"/>
    <w:rsid w:val="002D28C3"/>
    <w:rsid w:val="002D39A4"/>
    <w:rsid w:val="002E6705"/>
    <w:rsid w:val="002F3914"/>
    <w:rsid w:val="0030329A"/>
    <w:rsid w:val="00305E99"/>
    <w:rsid w:val="0031086F"/>
    <w:rsid w:val="0031162A"/>
    <w:rsid w:val="0031414C"/>
    <w:rsid w:val="00314C01"/>
    <w:rsid w:val="00314E01"/>
    <w:rsid w:val="0032089D"/>
    <w:rsid w:val="003210F2"/>
    <w:rsid w:val="003310DE"/>
    <w:rsid w:val="003323B0"/>
    <w:rsid w:val="00340A49"/>
    <w:rsid w:val="003421D9"/>
    <w:rsid w:val="0035169A"/>
    <w:rsid w:val="0035259D"/>
    <w:rsid w:val="00364B18"/>
    <w:rsid w:val="00374EBA"/>
    <w:rsid w:val="003764DA"/>
    <w:rsid w:val="0038334B"/>
    <w:rsid w:val="00395B98"/>
    <w:rsid w:val="00395D1C"/>
    <w:rsid w:val="003A125D"/>
    <w:rsid w:val="003A1A3E"/>
    <w:rsid w:val="003A4C70"/>
    <w:rsid w:val="003B215F"/>
    <w:rsid w:val="003B26EA"/>
    <w:rsid w:val="003C799C"/>
    <w:rsid w:val="003D0399"/>
    <w:rsid w:val="003D3272"/>
    <w:rsid w:val="003E1C71"/>
    <w:rsid w:val="003E4E2B"/>
    <w:rsid w:val="003F327B"/>
    <w:rsid w:val="003F6105"/>
    <w:rsid w:val="003F7885"/>
    <w:rsid w:val="004004F6"/>
    <w:rsid w:val="00406166"/>
    <w:rsid w:val="0040704B"/>
    <w:rsid w:val="00410A55"/>
    <w:rsid w:val="00411300"/>
    <w:rsid w:val="00413F17"/>
    <w:rsid w:val="00415417"/>
    <w:rsid w:val="00426659"/>
    <w:rsid w:val="00435086"/>
    <w:rsid w:val="0043624B"/>
    <w:rsid w:val="00444E65"/>
    <w:rsid w:val="00450352"/>
    <w:rsid w:val="00454BDB"/>
    <w:rsid w:val="00454DD2"/>
    <w:rsid w:val="00465132"/>
    <w:rsid w:val="00480C90"/>
    <w:rsid w:val="0048396F"/>
    <w:rsid w:val="004855D5"/>
    <w:rsid w:val="00493C18"/>
    <w:rsid w:val="00494A0F"/>
    <w:rsid w:val="004A600C"/>
    <w:rsid w:val="004A6118"/>
    <w:rsid w:val="004C478D"/>
    <w:rsid w:val="004C532F"/>
    <w:rsid w:val="004D7D95"/>
    <w:rsid w:val="004E2C26"/>
    <w:rsid w:val="005125A8"/>
    <w:rsid w:val="00517549"/>
    <w:rsid w:val="00520ABC"/>
    <w:rsid w:val="00521696"/>
    <w:rsid w:val="00521AE8"/>
    <w:rsid w:val="0052516C"/>
    <w:rsid w:val="005252F2"/>
    <w:rsid w:val="00526949"/>
    <w:rsid w:val="00527180"/>
    <w:rsid w:val="00535FEA"/>
    <w:rsid w:val="00555291"/>
    <w:rsid w:val="005604A8"/>
    <w:rsid w:val="005606FC"/>
    <w:rsid w:val="00566AD1"/>
    <w:rsid w:val="00576FD4"/>
    <w:rsid w:val="00583EDE"/>
    <w:rsid w:val="00585325"/>
    <w:rsid w:val="00595847"/>
    <w:rsid w:val="005A2FC6"/>
    <w:rsid w:val="005A6079"/>
    <w:rsid w:val="005D0FD0"/>
    <w:rsid w:val="005D1A0B"/>
    <w:rsid w:val="005E4698"/>
    <w:rsid w:val="00603924"/>
    <w:rsid w:val="00610539"/>
    <w:rsid w:val="00612C83"/>
    <w:rsid w:val="00613969"/>
    <w:rsid w:val="00625C35"/>
    <w:rsid w:val="00634266"/>
    <w:rsid w:val="00641A83"/>
    <w:rsid w:val="00647E49"/>
    <w:rsid w:val="00655650"/>
    <w:rsid w:val="00656313"/>
    <w:rsid w:val="006565F4"/>
    <w:rsid w:val="006573A1"/>
    <w:rsid w:val="0065756E"/>
    <w:rsid w:val="00664FC5"/>
    <w:rsid w:val="00671B09"/>
    <w:rsid w:val="00684EEA"/>
    <w:rsid w:val="006924AD"/>
    <w:rsid w:val="0069689B"/>
    <w:rsid w:val="006B5FF5"/>
    <w:rsid w:val="006C42B0"/>
    <w:rsid w:val="006E55EC"/>
    <w:rsid w:val="006F30AF"/>
    <w:rsid w:val="00701759"/>
    <w:rsid w:val="00705C15"/>
    <w:rsid w:val="007110F6"/>
    <w:rsid w:val="007208D1"/>
    <w:rsid w:val="00744518"/>
    <w:rsid w:val="00747288"/>
    <w:rsid w:val="00747DD3"/>
    <w:rsid w:val="00753309"/>
    <w:rsid w:val="007549C8"/>
    <w:rsid w:val="00763039"/>
    <w:rsid w:val="00766D14"/>
    <w:rsid w:val="00767A0F"/>
    <w:rsid w:val="00773328"/>
    <w:rsid w:val="00776D7D"/>
    <w:rsid w:val="00782EB1"/>
    <w:rsid w:val="00786FA1"/>
    <w:rsid w:val="00791272"/>
    <w:rsid w:val="00793595"/>
    <w:rsid w:val="007A05F6"/>
    <w:rsid w:val="007A3E23"/>
    <w:rsid w:val="007A77A2"/>
    <w:rsid w:val="007B6F4A"/>
    <w:rsid w:val="007D299A"/>
    <w:rsid w:val="007D5957"/>
    <w:rsid w:val="007E1C47"/>
    <w:rsid w:val="007E337A"/>
    <w:rsid w:val="007E5C70"/>
    <w:rsid w:val="007F2FF5"/>
    <w:rsid w:val="007F3F08"/>
    <w:rsid w:val="00804CC6"/>
    <w:rsid w:val="00815EF1"/>
    <w:rsid w:val="00817190"/>
    <w:rsid w:val="008260E2"/>
    <w:rsid w:val="008322BD"/>
    <w:rsid w:val="00833280"/>
    <w:rsid w:val="00834F73"/>
    <w:rsid w:val="00845A70"/>
    <w:rsid w:val="00864C8A"/>
    <w:rsid w:val="00864CF8"/>
    <w:rsid w:val="0087231A"/>
    <w:rsid w:val="00874914"/>
    <w:rsid w:val="008854F7"/>
    <w:rsid w:val="00891422"/>
    <w:rsid w:val="008925CC"/>
    <w:rsid w:val="00892E1A"/>
    <w:rsid w:val="00896BF7"/>
    <w:rsid w:val="008B3462"/>
    <w:rsid w:val="008B660A"/>
    <w:rsid w:val="008C01DA"/>
    <w:rsid w:val="008C22EF"/>
    <w:rsid w:val="008C41B7"/>
    <w:rsid w:val="008D1F15"/>
    <w:rsid w:val="008E5A9A"/>
    <w:rsid w:val="008E6715"/>
    <w:rsid w:val="008F2674"/>
    <w:rsid w:val="008F4865"/>
    <w:rsid w:val="008F78E9"/>
    <w:rsid w:val="00907E52"/>
    <w:rsid w:val="0091191E"/>
    <w:rsid w:val="009179F9"/>
    <w:rsid w:val="00917C7A"/>
    <w:rsid w:val="00933E5E"/>
    <w:rsid w:val="00935218"/>
    <w:rsid w:val="00937C52"/>
    <w:rsid w:val="009403F3"/>
    <w:rsid w:val="009463C4"/>
    <w:rsid w:val="009555B7"/>
    <w:rsid w:val="009567AA"/>
    <w:rsid w:val="009602C9"/>
    <w:rsid w:val="009661EC"/>
    <w:rsid w:val="00967374"/>
    <w:rsid w:val="00981F33"/>
    <w:rsid w:val="009A343A"/>
    <w:rsid w:val="009B2F23"/>
    <w:rsid w:val="009B57B3"/>
    <w:rsid w:val="009B5DB1"/>
    <w:rsid w:val="009D2920"/>
    <w:rsid w:val="009D5AEB"/>
    <w:rsid w:val="009F0E33"/>
    <w:rsid w:val="00A016B1"/>
    <w:rsid w:val="00A149DF"/>
    <w:rsid w:val="00A1755C"/>
    <w:rsid w:val="00A1759B"/>
    <w:rsid w:val="00A2040A"/>
    <w:rsid w:val="00A21B90"/>
    <w:rsid w:val="00A22AAC"/>
    <w:rsid w:val="00A32255"/>
    <w:rsid w:val="00A41805"/>
    <w:rsid w:val="00A50454"/>
    <w:rsid w:val="00A51882"/>
    <w:rsid w:val="00A52AFB"/>
    <w:rsid w:val="00A548CB"/>
    <w:rsid w:val="00A5521C"/>
    <w:rsid w:val="00A643E7"/>
    <w:rsid w:val="00A66B02"/>
    <w:rsid w:val="00A73C38"/>
    <w:rsid w:val="00A8549B"/>
    <w:rsid w:val="00AB670D"/>
    <w:rsid w:val="00AE15D9"/>
    <w:rsid w:val="00AE1ABD"/>
    <w:rsid w:val="00AF03C5"/>
    <w:rsid w:val="00B000D8"/>
    <w:rsid w:val="00B00F75"/>
    <w:rsid w:val="00B03AE6"/>
    <w:rsid w:val="00B1089D"/>
    <w:rsid w:val="00B145B6"/>
    <w:rsid w:val="00B279EB"/>
    <w:rsid w:val="00B406DA"/>
    <w:rsid w:val="00B50C81"/>
    <w:rsid w:val="00B557F8"/>
    <w:rsid w:val="00B7053D"/>
    <w:rsid w:val="00B7278D"/>
    <w:rsid w:val="00B815FC"/>
    <w:rsid w:val="00B90D58"/>
    <w:rsid w:val="00B93FBC"/>
    <w:rsid w:val="00BA1C40"/>
    <w:rsid w:val="00BA47F1"/>
    <w:rsid w:val="00BA6E96"/>
    <w:rsid w:val="00BA7DA0"/>
    <w:rsid w:val="00BB0EAF"/>
    <w:rsid w:val="00BB2EE4"/>
    <w:rsid w:val="00BB4C92"/>
    <w:rsid w:val="00BC2108"/>
    <w:rsid w:val="00BD0BAC"/>
    <w:rsid w:val="00BD0E9E"/>
    <w:rsid w:val="00BD1BEC"/>
    <w:rsid w:val="00BD32FF"/>
    <w:rsid w:val="00BD3427"/>
    <w:rsid w:val="00BE2913"/>
    <w:rsid w:val="00BE4DBD"/>
    <w:rsid w:val="00BF4909"/>
    <w:rsid w:val="00BF6FE9"/>
    <w:rsid w:val="00C0023D"/>
    <w:rsid w:val="00C02092"/>
    <w:rsid w:val="00C063F9"/>
    <w:rsid w:val="00C076F3"/>
    <w:rsid w:val="00C15A2E"/>
    <w:rsid w:val="00C24D91"/>
    <w:rsid w:val="00C26DB2"/>
    <w:rsid w:val="00C53F14"/>
    <w:rsid w:val="00C55B21"/>
    <w:rsid w:val="00C56701"/>
    <w:rsid w:val="00C577A9"/>
    <w:rsid w:val="00C57991"/>
    <w:rsid w:val="00C600CF"/>
    <w:rsid w:val="00C604B3"/>
    <w:rsid w:val="00C6084F"/>
    <w:rsid w:val="00C62A66"/>
    <w:rsid w:val="00C66359"/>
    <w:rsid w:val="00C67F37"/>
    <w:rsid w:val="00C71458"/>
    <w:rsid w:val="00C719BA"/>
    <w:rsid w:val="00C77613"/>
    <w:rsid w:val="00C828E7"/>
    <w:rsid w:val="00C86719"/>
    <w:rsid w:val="00C8691F"/>
    <w:rsid w:val="00C921DD"/>
    <w:rsid w:val="00C924FD"/>
    <w:rsid w:val="00CA1BA2"/>
    <w:rsid w:val="00CA6391"/>
    <w:rsid w:val="00CB62EC"/>
    <w:rsid w:val="00CC6E81"/>
    <w:rsid w:val="00CD5D8A"/>
    <w:rsid w:val="00CE036E"/>
    <w:rsid w:val="00CE3171"/>
    <w:rsid w:val="00CE54E5"/>
    <w:rsid w:val="00CF1601"/>
    <w:rsid w:val="00D014C5"/>
    <w:rsid w:val="00D0172F"/>
    <w:rsid w:val="00D01E33"/>
    <w:rsid w:val="00D068A7"/>
    <w:rsid w:val="00D07D30"/>
    <w:rsid w:val="00D12DEB"/>
    <w:rsid w:val="00D153E8"/>
    <w:rsid w:val="00D17476"/>
    <w:rsid w:val="00D32086"/>
    <w:rsid w:val="00D37A3F"/>
    <w:rsid w:val="00D4431D"/>
    <w:rsid w:val="00D4667A"/>
    <w:rsid w:val="00D54FF1"/>
    <w:rsid w:val="00D566F0"/>
    <w:rsid w:val="00D61933"/>
    <w:rsid w:val="00D63A1C"/>
    <w:rsid w:val="00D7516F"/>
    <w:rsid w:val="00D95F8E"/>
    <w:rsid w:val="00DA0590"/>
    <w:rsid w:val="00DC1739"/>
    <w:rsid w:val="00DC1788"/>
    <w:rsid w:val="00DC37EC"/>
    <w:rsid w:val="00DC79AD"/>
    <w:rsid w:val="00DD5EF2"/>
    <w:rsid w:val="00DE319C"/>
    <w:rsid w:val="00DE3C8A"/>
    <w:rsid w:val="00DF0CA8"/>
    <w:rsid w:val="00DF2B48"/>
    <w:rsid w:val="00DF49A7"/>
    <w:rsid w:val="00E051A7"/>
    <w:rsid w:val="00E07EE2"/>
    <w:rsid w:val="00E07FD1"/>
    <w:rsid w:val="00E24573"/>
    <w:rsid w:val="00E25E1E"/>
    <w:rsid w:val="00E27EE7"/>
    <w:rsid w:val="00E35404"/>
    <w:rsid w:val="00E373D3"/>
    <w:rsid w:val="00E408DA"/>
    <w:rsid w:val="00E45109"/>
    <w:rsid w:val="00E47B7A"/>
    <w:rsid w:val="00E56A44"/>
    <w:rsid w:val="00E60269"/>
    <w:rsid w:val="00E67CF3"/>
    <w:rsid w:val="00E93308"/>
    <w:rsid w:val="00E97830"/>
    <w:rsid w:val="00EB0493"/>
    <w:rsid w:val="00EB5AD0"/>
    <w:rsid w:val="00EB69EF"/>
    <w:rsid w:val="00EC2EEB"/>
    <w:rsid w:val="00EC3442"/>
    <w:rsid w:val="00EE0830"/>
    <w:rsid w:val="00EE43CA"/>
    <w:rsid w:val="00EE6CB8"/>
    <w:rsid w:val="00EF0683"/>
    <w:rsid w:val="00EF0A83"/>
    <w:rsid w:val="00EF150A"/>
    <w:rsid w:val="00EF466E"/>
    <w:rsid w:val="00F0070C"/>
    <w:rsid w:val="00F00EB7"/>
    <w:rsid w:val="00F07099"/>
    <w:rsid w:val="00F14C66"/>
    <w:rsid w:val="00F36AB6"/>
    <w:rsid w:val="00F37A09"/>
    <w:rsid w:val="00F409CE"/>
    <w:rsid w:val="00F4379D"/>
    <w:rsid w:val="00F50D2D"/>
    <w:rsid w:val="00F548D5"/>
    <w:rsid w:val="00F56C8B"/>
    <w:rsid w:val="00F62639"/>
    <w:rsid w:val="00F66810"/>
    <w:rsid w:val="00F74B01"/>
    <w:rsid w:val="00F84DF4"/>
    <w:rsid w:val="00F85C97"/>
    <w:rsid w:val="00FA4808"/>
    <w:rsid w:val="00FB0825"/>
    <w:rsid w:val="00FB37D2"/>
    <w:rsid w:val="00FC4EFB"/>
    <w:rsid w:val="00FD068D"/>
    <w:rsid w:val="00FD42E4"/>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styleId="FootnoteText">
    <w:name w:val="footnote text"/>
    <w:basedOn w:val="Normal"/>
    <w:link w:val="FootnoteTextChar"/>
    <w:uiPriority w:val="99"/>
    <w:semiHidden/>
    <w:unhideWhenUsed/>
    <w:rsid w:val="00B1089D"/>
    <w:rPr>
      <w:sz w:val="20"/>
    </w:rPr>
  </w:style>
  <w:style w:type="character" w:customStyle="1" w:styleId="FootnoteTextChar">
    <w:name w:val="Footnote Text Char"/>
    <w:basedOn w:val="DefaultParagraphFont"/>
    <w:link w:val="FootnoteText"/>
    <w:uiPriority w:val="99"/>
    <w:semiHidden/>
    <w:rsid w:val="00B1089D"/>
  </w:style>
  <w:style w:type="character" w:styleId="FootnoteReference">
    <w:name w:val="footnote reference"/>
    <w:basedOn w:val="DefaultParagraphFont"/>
    <w:uiPriority w:val="99"/>
    <w:semiHidden/>
    <w:unhideWhenUsed/>
    <w:rsid w:val="00B1089D"/>
    <w:rPr>
      <w:vertAlign w:val="superscript"/>
    </w:rPr>
  </w:style>
  <w:style w:type="paragraph" w:customStyle="1" w:styleId="SCCLsocOtherPartyRoleSeparator">
    <w:name w:val="SCC.Lsoc.OtherPartyRoleSeparator"/>
    <w:basedOn w:val="Normal"/>
    <w:next w:val="Normal"/>
    <w:link w:val="SCCLsocOtherPartyRoleSeparatorChar"/>
    <w:rsid w:val="00FB0825"/>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B0825"/>
    <w:rPr>
      <w:rFonts w:eastAsiaTheme="minorHAnsi" w:cstheme="minorBidi"/>
      <w:sz w:val="24"/>
      <w:szCs w:val="22"/>
      <w:lang w:eastAsia="en-US"/>
    </w:rPr>
  </w:style>
  <w:style w:type="character" w:customStyle="1" w:styleId="SCCBanSummaryChar">
    <w:name w:val="SCC.BanSummary Char"/>
    <w:basedOn w:val="DefaultParagraphFont"/>
    <w:link w:val="SCCBanSummary"/>
    <w:rsid w:val="00FB0825"/>
    <w:rPr>
      <w:b/>
      <w:sz w:val="24"/>
    </w:rPr>
  </w:style>
  <w:style w:type="table" w:styleId="TableGrid">
    <w:name w:val="Table Grid"/>
    <w:basedOn w:val="TableNormal"/>
    <w:uiPriority w:val="59"/>
    <w:rsid w:val="00FB08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B082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B082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B0825"/>
    <w:pPr>
      <w:tabs>
        <w:tab w:val="left" w:pos="1166"/>
      </w:tabs>
      <w:spacing w:after="480" w:line="480" w:lineRule="auto"/>
    </w:pPr>
    <w:rPr>
      <w:smallCaps/>
      <w:sz w:val="24"/>
    </w:rPr>
  </w:style>
  <w:style w:type="paragraph" w:customStyle="1" w:styleId="ParaNoNdepar-AltN">
    <w:name w:val="Para. No. / Nº de par. - Alt N"/>
    <w:qFormat/>
    <w:rsid w:val="00FB0825"/>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FB0825"/>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qFormat/>
    <w:rsid w:val="00FB0825"/>
    <w:pPr>
      <w:ind w:left="720"/>
      <w:contextualSpacing/>
      <w:jc w:val="both"/>
    </w:pPr>
    <w:rPr>
      <w:rFonts w:asciiTheme="minorHAnsi" w:eastAsiaTheme="minorEastAsia" w:hAnsiTheme="minorHAnsi" w:cstheme="minorBidi"/>
      <w:szCs w:val="22"/>
      <w:lang w:val="en-US" w:eastAsia="en-US" w:bidi="en-US"/>
    </w:rPr>
  </w:style>
  <w:style w:type="character" w:customStyle="1" w:styleId="sccrespondentforrunningheadchar1">
    <w:name w:val="sccrespondentforrunningheadchar1"/>
    <w:basedOn w:val="DefaultParagraphFont"/>
    <w:rsid w:val="00FB0825"/>
    <w:rPr>
      <w:rFonts w:ascii="Times New Roman" w:hAnsi="Times New Roman" w:cs="Times New Roman" w:hint="default"/>
      <w:smallCaps/>
    </w:rPr>
  </w:style>
  <w:style w:type="table" w:customStyle="1" w:styleId="TableGrid1">
    <w:name w:val="Table Grid1"/>
    <w:basedOn w:val="TableNormal"/>
    <w:next w:val="TableGrid"/>
    <w:uiPriority w:val="59"/>
    <w:rsid w:val="0007588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FCC82-AA76-4760-B9FF-764BCBA3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8856</Words>
  <Characters>42010</Characters>
  <Application>Microsoft Office Word</Application>
  <DocSecurity>4</DocSecurity>
  <Lines>350</Lines>
  <Paragraphs>101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2014-04-03T15:42:00Z</dcterms:created>
  <dcterms:modified xsi:type="dcterms:W3CDTF">2014-04-03T15:42:00Z</dcterms:modified>
</cp:coreProperties>
</file>