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01" w:rsidRPr="00CE5C01" w:rsidRDefault="00CE5C01" w:rsidP="00CE5C01">
      <w:pPr>
        <w:pStyle w:val="Header"/>
        <w:rPr>
          <w:rFonts w:ascii="Times New Roman" w:hAnsi="Times New Roman" w:cs="Times New Roman"/>
          <w:lang w:val="fr-CA"/>
        </w:rPr>
      </w:pPr>
      <w:r>
        <w:ptab w:relativeTo="margin" w:alignment="center" w:leader="none"/>
      </w:r>
      <w:r w:rsidRPr="00CE5C01">
        <w:rPr>
          <w:rFonts w:ascii="Times New Roman" w:hAnsi="Times New Roman" w:cs="Times New Roman"/>
          <w:lang w:val="fr-CA"/>
        </w:rPr>
        <w:t xml:space="preserve"> </w:t>
      </w:r>
      <w:r w:rsidRPr="00CE5C01">
        <w:rPr>
          <w:rFonts w:ascii="Times New Roman" w:hAnsi="Times New Roman" w:cs="Times New Roman"/>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3307219" r:id="rId8"/>
        </w:object>
      </w:r>
      <w:r w:rsidRPr="00CE5C01">
        <w:rPr>
          <w:rFonts w:ascii="Times New Roman" w:hAnsi="Times New Roman" w:cs="Times New Roman"/>
          <w:lang w:val="fr-CA"/>
        </w:rPr>
        <w:t xml:space="preserve"> </w:t>
      </w:r>
      <w:r w:rsidRPr="00CE5C01">
        <w:rPr>
          <w:rFonts w:ascii="Times New Roman" w:hAnsi="Times New Roman" w:cs="Times New Roman"/>
        </w:rPr>
        <w:ptab w:relativeTo="margin" w:alignment="right" w:leader="none"/>
      </w:r>
    </w:p>
    <w:p w:rsidR="00CE5C01" w:rsidRPr="00CE5C01" w:rsidRDefault="00CE5C01" w:rsidP="00CE5C01">
      <w:pPr>
        <w:pStyle w:val="Header"/>
        <w:rPr>
          <w:rFonts w:ascii="Times New Roman" w:hAnsi="Times New Roman" w:cs="Times New Roman"/>
          <w:lang w:val="fr-CA"/>
        </w:rPr>
      </w:pPr>
    </w:p>
    <w:p w:rsidR="00CE5C01" w:rsidRPr="00CE5C01" w:rsidRDefault="00CE5C01" w:rsidP="00CE5C01">
      <w:pPr>
        <w:jc w:val="center"/>
        <w:rPr>
          <w:rFonts w:ascii="Times New Roman" w:hAnsi="Times New Roman" w:cs="Times New Roman"/>
          <w:b/>
          <w:lang w:val="fr-CA"/>
        </w:rPr>
      </w:pPr>
      <w:r w:rsidRPr="00CE5C01">
        <w:rPr>
          <w:rFonts w:ascii="Times New Roman" w:hAnsi="Times New Roman" w:cs="Times New Roman"/>
          <w:b/>
          <w:lang w:val="fr-CA"/>
        </w:rPr>
        <w:t>COUR SUPRÊME DU CANADA</w:t>
      </w:r>
    </w:p>
    <w:p w:rsidR="00CE5C01" w:rsidRPr="00CE5C01" w:rsidRDefault="00CE5C01" w:rsidP="00CE5C01">
      <w:pPr>
        <w:pStyle w:val="Header"/>
        <w:rPr>
          <w:rFonts w:ascii="Times New Roman" w:hAnsi="Times New Roman" w:cs="Times New Roman"/>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E5C01" w:rsidRPr="00064657" w:rsidTr="00D01C12">
        <w:trPr>
          <w:cantSplit/>
        </w:trPr>
        <w:tc>
          <w:tcPr>
            <w:tcW w:w="6768" w:type="dxa"/>
          </w:tcPr>
          <w:p w:rsidR="00CE5C01" w:rsidRPr="00064657" w:rsidRDefault="00CE5C01" w:rsidP="00CE5C01">
            <w:pPr>
              <w:spacing w:line="240" w:lineRule="auto"/>
              <w:rPr>
                <w:rFonts w:ascii="Times New Roman" w:hAnsi="Times New Roman" w:cs="Times New Roman"/>
                <w:sz w:val="24"/>
                <w:szCs w:val="24"/>
                <w:lang w:val="fr-CA"/>
              </w:rPr>
            </w:pPr>
            <w:r w:rsidRPr="00064657">
              <w:rPr>
                <w:rFonts w:ascii="Times New Roman" w:hAnsi="Times New Roman" w:cs="Times New Roman"/>
                <w:b/>
                <w:smallCaps/>
                <w:sz w:val="24"/>
                <w:szCs w:val="24"/>
                <w:lang w:val="fr-CA"/>
              </w:rPr>
              <w:t xml:space="preserve">Référence </w:t>
            </w:r>
            <w:proofErr w:type="gramStart"/>
            <w:r w:rsidRPr="00064657">
              <w:rPr>
                <w:rFonts w:ascii="Times New Roman" w:hAnsi="Times New Roman" w:cs="Times New Roman"/>
                <w:b/>
                <w:sz w:val="24"/>
                <w:szCs w:val="24"/>
                <w:lang w:val="fr-CA"/>
              </w:rPr>
              <w:t>:</w:t>
            </w:r>
            <w:r w:rsidRPr="00064657">
              <w:rPr>
                <w:rFonts w:ascii="Times New Roman" w:hAnsi="Times New Roman" w:cs="Times New Roman"/>
                <w:sz w:val="24"/>
                <w:szCs w:val="24"/>
                <w:lang w:val="fr-CA"/>
              </w:rPr>
              <w:t xml:space="preserve">  </w:t>
            </w:r>
            <w:proofErr w:type="spellStart"/>
            <w:r w:rsidRPr="00064657">
              <w:rPr>
                <w:rFonts w:ascii="Times New Roman" w:hAnsi="Times New Roman" w:cs="Times New Roman"/>
                <w:sz w:val="24"/>
                <w:szCs w:val="24"/>
                <w:lang w:val="fr-CA"/>
              </w:rPr>
              <w:t>Cinar</w:t>
            </w:r>
            <w:proofErr w:type="spellEnd"/>
            <w:proofErr w:type="gramEnd"/>
            <w:r w:rsidRPr="00064657">
              <w:rPr>
                <w:rFonts w:ascii="Times New Roman" w:hAnsi="Times New Roman" w:cs="Times New Roman"/>
                <w:sz w:val="24"/>
                <w:szCs w:val="24"/>
                <w:lang w:val="fr-CA"/>
              </w:rPr>
              <w:t xml:space="preserve"> Corporation c. Robinson</w:t>
            </w:r>
            <w:r w:rsidRPr="00064657">
              <w:rPr>
                <w:rStyle w:val="SCCRespondentForIndexChar"/>
                <w:rFonts w:ascii="Times New Roman" w:hAnsi="Times New Roman" w:cs="Times New Roman"/>
                <w:szCs w:val="24"/>
              </w:rPr>
              <w:t xml:space="preserve">, </w:t>
            </w:r>
            <w:r w:rsidRPr="00064657">
              <w:rPr>
                <w:rStyle w:val="SCCRespondentForIndexChar"/>
                <w:rFonts w:ascii="Times New Roman" w:hAnsi="Times New Roman" w:cs="Times New Roman"/>
                <w:b w:val="0"/>
                <w:szCs w:val="24"/>
              </w:rPr>
              <w:t>2012 CSC 25, [2012] 2 R.C.S. 55</w:t>
            </w:r>
          </w:p>
        </w:tc>
        <w:tc>
          <w:tcPr>
            <w:tcW w:w="2808" w:type="dxa"/>
          </w:tcPr>
          <w:p w:rsidR="00CE5C01" w:rsidRPr="00064657" w:rsidRDefault="00CE5C01" w:rsidP="00064657">
            <w:pPr>
              <w:spacing w:after="0" w:line="240" w:lineRule="auto"/>
              <w:rPr>
                <w:rFonts w:ascii="Times New Roman" w:hAnsi="Times New Roman" w:cs="Times New Roman"/>
                <w:sz w:val="24"/>
                <w:szCs w:val="24"/>
              </w:rPr>
            </w:pPr>
            <w:r w:rsidRPr="00064657">
              <w:rPr>
                <w:rFonts w:ascii="Times New Roman" w:hAnsi="Times New Roman" w:cs="Times New Roman"/>
                <w:b/>
                <w:smallCaps/>
                <w:sz w:val="24"/>
                <w:szCs w:val="24"/>
              </w:rPr>
              <w:t xml:space="preserve">Date </w:t>
            </w:r>
            <w:r w:rsidRPr="00064657">
              <w:rPr>
                <w:rFonts w:ascii="Times New Roman" w:hAnsi="Times New Roman" w:cs="Times New Roman"/>
                <w:sz w:val="24"/>
                <w:szCs w:val="24"/>
              </w:rPr>
              <w:t>: 20120524</w:t>
            </w:r>
          </w:p>
          <w:p w:rsidR="00CE5C01" w:rsidRPr="00064657" w:rsidRDefault="00CE5C01" w:rsidP="00064657">
            <w:pPr>
              <w:spacing w:after="0" w:line="240" w:lineRule="auto"/>
              <w:rPr>
                <w:rFonts w:ascii="Times New Roman" w:hAnsi="Times New Roman" w:cs="Times New Roman"/>
                <w:sz w:val="24"/>
                <w:szCs w:val="24"/>
              </w:rPr>
            </w:pPr>
            <w:r w:rsidRPr="00064657">
              <w:rPr>
                <w:rFonts w:ascii="Times New Roman" w:hAnsi="Times New Roman" w:cs="Times New Roman"/>
                <w:b/>
                <w:smallCaps/>
                <w:sz w:val="24"/>
                <w:szCs w:val="24"/>
              </w:rPr>
              <w:t xml:space="preserve">Dossiers </w:t>
            </w:r>
            <w:r w:rsidRPr="00064657">
              <w:rPr>
                <w:rFonts w:ascii="Times New Roman" w:hAnsi="Times New Roman" w:cs="Times New Roman"/>
                <w:sz w:val="24"/>
                <w:szCs w:val="24"/>
              </w:rPr>
              <w:t>: 34466, 34467, 34468</w:t>
            </w:r>
          </w:p>
        </w:tc>
      </w:tr>
    </w:tbl>
    <w:p w:rsidR="00CE5C01" w:rsidRPr="00064657" w:rsidRDefault="00CE5C01" w:rsidP="00CE5C01">
      <w:pPr>
        <w:pStyle w:val="SCCLsocPrefix"/>
        <w:rPr>
          <w:rFonts w:cs="Times New Roman"/>
        </w:rPr>
      </w:pPr>
      <w:r w:rsidRPr="00064657">
        <w:rPr>
          <w:rFonts w:cs="Times New Roman"/>
        </w:rPr>
        <w:t>Entre :</w:t>
      </w:r>
    </w:p>
    <w:p w:rsidR="00CE5C01" w:rsidRPr="00064657" w:rsidRDefault="00CE5C01" w:rsidP="00064657">
      <w:pPr>
        <w:spacing w:after="0" w:line="240" w:lineRule="auto"/>
        <w:jc w:val="center"/>
        <w:rPr>
          <w:rFonts w:ascii="Times New Roman" w:hAnsi="Times New Roman" w:cs="Times New Roman"/>
          <w:b/>
          <w:sz w:val="24"/>
          <w:szCs w:val="24"/>
          <w:lang w:val="fr-CA"/>
        </w:rPr>
      </w:pPr>
      <w:proofErr w:type="spellStart"/>
      <w:r w:rsidRPr="00064657">
        <w:rPr>
          <w:rFonts w:ascii="Times New Roman" w:hAnsi="Times New Roman" w:cs="Times New Roman"/>
          <w:b/>
          <w:sz w:val="24"/>
          <w:szCs w:val="24"/>
          <w:lang w:val="fr-CA"/>
        </w:rPr>
        <w:t>Cinar</w:t>
      </w:r>
      <w:proofErr w:type="spellEnd"/>
      <w:r w:rsidRPr="00064657">
        <w:rPr>
          <w:rFonts w:ascii="Times New Roman" w:hAnsi="Times New Roman" w:cs="Times New Roman"/>
          <w:b/>
          <w:sz w:val="24"/>
          <w:szCs w:val="24"/>
          <w:lang w:val="fr-CA"/>
        </w:rPr>
        <w:t xml:space="preserve"> Corporation et Les Films </w:t>
      </w:r>
      <w:proofErr w:type="spellStart"/>
      <w:r w:rsidRPr="00064657">
        <w:rPr>
          <w:rFonts w:ascii="Times New Roman" w:hAnsi="Times New Roman" w:cs="Times New Roman"/>
          <w:b/>
          <w:sz w:val="24"/>
          <w:szCs w:val="24"/>
          <w:lang w:val="fr-CA"/>
        </w:rPr>
        <w:t>Cinar</w:t>
      </w:r>
      <w:proofErr w:type="spellEnd"/>
      <w:r w:rsidRPr="00064657">
        <w:rPr>
          <w:rFonts w:ascii="Times New Roman" w:hAnsi="Times New Roman" w:cs="Times New Roman"/>
          <w:b/>
          <w:sz w:val="24"/>
          <w:szCs w:val="24"/>
          <w:lang w:val="fr-CA"/>
        </w:rPr>
        <w:t xml:space="preserve"> Inc.</w:t>
      </w:r>
    </w:p>
    <w:p w:rsidR="00CE5C01" w:rsidRPr="00064657" w:rsidRDefault="00CE5C01" w:rsidP="00064657">
      <w:pPr>
        <w:spacing w:after="0" w:line="240" w:lineRule="auto"/>
        <w:jc w:val="center"/>
        <w:rPr>
          <w:rFonts w:ascii="Times New Roman" w:hAnsi="Times New Roman" w:cs="Times New Roman"/>
          <w:sz w:val="24"/>
          <w:szCs w:val="24"/>
          <w:lang w:val="fr-CA"/>
        </w:rPr>
      </w:pPr>
      <w:r w:rsidRPr="00064657">
        <w:rPr>
          <w:rFonts w:ascii="Times New Roman" w:hAnsi="Times New Roman" w:cs="Times New Roman"/>
          <w:sz w:val="24"/>
          <w:szCs w:val="24"/>
          <w:lang w:val="fr-CA"/>
        </w:rPr>
        <w:t>Demandeurs/Intimés à la requête</w:t>
      </w:r>
    </w:p>
    <w:p w:rsidR="00CE5C01" w:rsidRPr="00064657" w:rsidRDefault="00CE5C01" w:rsidP="00064657">
      <w:pPr>
        <w:spacing w:after="0" w:line="240" w:lineRule="auto"/>
        <w:jc w:val="center"/>
        <w:rPr>
          <w:rFonts w:ascii="Times New Roman" w:hAnsi="Times New Roman" w:cs="Times New Roman"/>
          <w:sz w:val="24"/>
          <w:szCs w:val="24"/>
          <w:lang w:val="fr-CA"/>
        </w:rPr>
      </w:pPr>
      <w:proofErr w:type="gramStart"/>
      <w:r w:rsidRPr="00064657">
        <w:rPr>
          <w:rFonts w:ascii="Times New Roman" w:hAnsi="Times New Roman" w:cs="Times New Roman"/>
          <w:sz w:val="24"/>
          <w:szCs w:val="24"/>
          <w:lang w:val="fr-CA"/>
        </w:rPr>
        <w:t>et</w:t>
      </w:r>
      <w:proofErr w:type="gramEnd"/>
    </w:p>
    <w:p w:rsidR="00CE5C01" w:rsidRPr="00064657" w:rsidRDefault="00CE5C01" w:rsidP="00064657">
      <w:pPr>
        <w:spacing w:after="0" w:line="240" w:lineRule="auto"/>
        <w:jc w:val="center"/>
        <w:rPr>
          <w:rFonts w:ascii="Times New Roman" w:hAnsi="Times New Roman" w:cs="Times New Roman"/>
          <w:sz w:val="24"/>
          <w:szCs w:val="24"/>
          <w:lang w:val="fr-CA"/>
        </w:rPr>
      </w:pPr>
      <w:r w:rsidRPr="00064657">
        <w:rPr>
          <w:rFonts w:ascii="Times New Roman" w:hAnsi="Times New Roman" w:cs="Times New Roman"/>
          <w:b/>
          <w:sz w:val="24"/>
          <w:szCs w:val="24"/>
          <w:lang w:val="fr-CA"/>
        </w:rPr>
        <w:t xml:space="preserve">Claude Robinson et Les Productions </w:t>
      </w:r>
      <w:proofErr w:type="spellStart"/>
      <w:r w:rsidRPr="00064657">
        <w:rPr>
          <w:rFonts w:ascii="Times New Roman" w:hAnsi="Times New Roman" w:cs="Times New Roman"/>
          <w:b/>
          <w:sz w:val="24"/>
          <w:szCs w:val="24"/>
          <w:lang w:val="fr-CA"/>
        </w:rPr>
        <w:t>Nilem</w:t>
      </w:r>
      <w:proofErr w:type="spellEnd"/>
      <w:r w:rsidRPr="00064657">
        <w:rPr>
          <w:rFonts w:ascii="Times New Roman" w:hAnsi="Times New Roman" w:cs="Times New Roman"/>
          <w:b/>
          <w:sz w:val="24"/>
          <w:szCs w:val="24"/>
          <w:lang w:val="fr-CA"/>
        </w:rPr>
        <w:t xml:space="preserve"> Inc.</w:t>
      </w:r>
    </w:p>
    <w:p w:rsidR="00CE5C01" w:rsidRPr="00064657" w:rsidRDefault="00CE5C01" w:rsidP="00064657">
      <w:pPr>
        <w:spacing w:after="0" w:line="240" w:lineRule="auto"/>
        <w:jc w:val="center"/>
        <w:rPr>
          <w:rFonts w:ascii="Times New Roman" w:hAnsi="Times New Roman" w:cs="Times New Roman"/>
          <w:sz w:val="24"/>
          <w:szCs w:val="24"/>
          <w:lang w:val="fr-CA"/>
        </w:rPr>
      </w:pPr>
      <w:r w:rsidRPr="00064657">
        <w:rPr>
          <w:rFonts w:ascii="Times New Roman" w:hAnsi="Times New Roman" w:cs="Times New Roman"/>
          <w:sz w:val="24"/>
          <w:szCs w:val="24"/>
          <w:lang w:val="fr-CA"/>
        </w:rPr>
        <w:t>Intimés/Requérants à la requête</w:t>
      </w:r>
    </w:p>
    <w:p w:rsidR="00CE5C01" w:rsidRPr="00064657" w:rsidRDefault="00CE5C01" w:rsidP="00CE5C01">
      <w:pPr>
        <w:pStyle w:val="SCCLsocPrefix"/>
        <w:rPr>
          <w:rFonts w:cs="Times New Roman"/>
        </w:rPr>
      </w:pPr>
      <w:r w:rsidRPr="00064657">
        <w:rPr>
          <w:rFonts w:cs="Times New Roman"/>
        </w:rPr>
        <w:t>Et Entre :</w:t>
      </w:r>
    </w:p>
    <w:p w:rsidR="00CE5C01" w:rsidRPr="00064657" w:rsidRDefault="00CE5C01" w:rsidP="00064657">
      <w:pPr>
        <w:spacing w:after="0" w:line="240" w:lineRule="auto"/>
        <w:jc w:val="center"/>
        <w:rPr>
          <w:rFonts w:ascii="Times New Roman" w:hAnsi="Times New Roman" w:cs="Times New Roman"/>
          <w:b/>
          <w:sz w:val="24"/>
          <w:szCs w:val="24"/>
          <w:lang w:val="fr-CA"/>
        </w:rPr>
      </w:pPr>
      <w:r w:rsidRPr="00064657">
        <w:rPr>
          <w:rFonts w:ascii="Times New Roman" w:hAnsi="Times New Roman" w:cs="Times New Roman"/>
          <w:b/>
          <w:sz w:val="24"/>
          <w:szCs w:val="24"/>
          <w:lang w:val="fr-CA"/>
        </w:rPr>
        <w:t xml:space="preserve">Ronald A. Weinberg et Ronald A. Weinberg, </w:t>
      </w:r>
    </w:p>
    <w:p w:rsidR="00CE5C01" w:rsidRPr="00064657" w:rsidRDefault="00CE5C01" w:rsidP="00064657">
      <w:pPr>
        <w:spacing w:after="0" w:line="240" w:lineRule="auto"/>
        <w:jc w:val="center"/>
        <w:rPr>
          <w:rFonts w:ascii="Times New Roman" w:hAnsi="Times New Roman" w:cs="Times New Roman"/>
          <w:b/>
          <w:sz w:val="24"/>
          <w:szCs w:val="24"/>
          <w:lang w:val="fr-CA"/>
        </w:rPr>
      </w:pPr>
      <w:proofErr w:type="gramStart"/>
      <w:r w:rsidRPr="00064657">
        <w:rPr>
          <w:rFonts w:ascii="Times New Roman" w:hAnsi="Times New Roman" w:cs="Times New Roman"/>
          <w:b/>
          <w:sz w:val="24"/>
          <w:szCs w:val="24"/>
          <w:lang w:val="fr-CA"/>
        </w:rPr>
        <w:t>en</w:t>
      </w:r>
      <w:proofErr w:type="gramEnd"/>
      <w:r w:rsidRPr="00064657">
        <w:rPr>
          <w:rFonts w:ascii="Times New Roman" w:hAnsi="Times New Roman" w:cs="Times New Roman"/>
          <w:b/>
          <w:sz w:val="24"/>
          <w:szCs w:val="24"/>
          <w:lang w:val="fr-CA"/>
        </w:rPr>
        <w:t xml:space="preserve"> qualité d’unique liquidateur de la succession de feu Micheline Charest</w:t>
      </w:r>
    </w:p>
    <w:p w:rsidR="00CE5C01" w:rsidRPr="00064657" w:rsidRDefault="00CE5C01" w:rsidP="00064657">
      <w:pPr>
        <w:spacing w:after="0" w:line="240" w:lineRule="auto"/>
        <w:jc w:val="center"/>
        <w:rPr>
          <w:rFonts w:ascii="Times New Roman" w:hAnsi="Times New Roman" w:cs="Times New Roman"/>
          <w:sz w:val="24"/>
          <w:szCs w:val="24"/>
          <w:lang w:val="fr-CA"/>
        </w:rPr>
      </w:pPr>
      <w:r w:rsidRPr="00064657">
        <w:rPr>
          <w:rFonts w:ascii="Times New Roman" w:hAnsi="Times New Roman" w:cs="Times New Roman"/>
          <w:sz w:val="24"/>
          <w:szCs w:val="24"/>
          <w:lang w:val="fr-CA"/>
        </w:rPr>
        <w:t>Demandeurs/Intimés à la requête</w:t>
      </w:r>
    </w:p>
    <w:p w:rsidR="00CE5C01" w:rsidRPr="00064657" w:rsidRDefault="00CE5C01" w:rsidP="00064657">
      <w:pPr>
        <w:spacing w:after="0" w:line="240" w:lineRule="auto"/>
        <w:jc w:val="center"/>
        <w:rPr>
          <w:rFonts w:ascii="Times New Roman" w:hAnsi="Times New Roman" w:cs="Times New Roman"/>
          <w:sz w:val="24"/>
          <w:szCs w:val="24"/>
          <w:lang w:val="fr-CA"/>
        </w:rPr>
      </w:pPr>
      <w:proofErr w:type="gramStart"/>
      <w:r w:rsidRPr="00064657">
        <w:rPr>
          <w:rFonts w:ascii="Times New Roman" w:hAnsi="Times New Roman" w:cs="Times New Roman"/>
          <w:sz w:val="24"/>
          <w:szCs w:val="24"/>
          <w:lang w:val="fr-CA"/>
        </w:rPr>
        <w:t>et</w:t>
      </w:r>
      <w:proofErr w:type="gramEnd"/>
    </w:p>
    <w:p w:rsidR="00CE5C01" w:rsidRPr="00064657" w:rsidRDefault="00CE5C01" w:rsidP="00064657">
      <w:pPr>
        <w:spacing w:after="0" w:line="240" w:lineRule="auto"/>
        <w:jc w:val="center"/>
        <w:rPr>
          <w:rFonts w:ascii="Times New Roman" w:hAnsi="Times New Roman" w:cs="Times New Roman"/>
          <w:b/>
          <w:sz w:val="24"/>
          <w:szCs w:val="24"/>
          <w:lang w:val="fr-CA"/>
        </w:rPr>
      </w:pPr>
      <w:r w:rsidRPr="00064657">
        <w:rPr>
          <w:rFonts w:ascii="Times New Roman" w:hAnsi="Times New Roman" w:cs="Times New Roman"/>
          <w:b/>
          <w:sz w:val="24"/>
          <w:szCs w:val="24"/>
          <w:lang w:val="fr-CA"/>
        </w:rPr>
        <w:t xml:space="preserve">Claude Robinson et Les Productions </w:t>
      </w:r>
      <w:proofErr w:type="spellStart"/>
      <w:r w:rsidRPr="00064657">
        <w:rPr>
          <w:rFonts w:ascii="Times New Roman" w:hAnsi="Times New Roman" w:cs="Times New Roman"/>
          <w:b/>
          <w:sz w:val="24"/>
          <w:szCs w:val="24"/>
          <w:lang w:val="fr-CA"/>
        </w:rPr>
        <w:t>Nilem</w:t>
      </w:r>
      <w:proofErr w:type="spellEnd"/>
      <w:r w:rsidRPr="00064657">
        <w:rPr>
          <w:rFonts w:ascii="Times New Roman" w:hAnsi="Times New Roman" w:cs="Times New Roman"/>
          <w:b/>
          <w:sz w:val="24"/>
          <w:szCs w:val="24"/>
          <w:lang w:val="fr-CA"/>
        </w:rPr>
        <w:t xml:space="preserve"> Inc.</w:t>
      </w:r>
    </w:p>
    <w:p w:rsidR="00CE5C01" w:rsidRPr="00064657" w:rsidRDefault="00CE5C01" w:rsidP="00064657">
      <w:pPr>
        <w:spacing w:after="0" w:line="240" w:lineRule="auto"/>
        <w:jc w:val="center"/>
        <w:rPr>
          <w:rFonts w:ascii="Times New Roman" w:hAnsi="Times New Roman" w:cs="Times New Roman"/>
          <w:sz w:val="24"/>
          <w:szCs w:val="24"/>
          <w:lang w:val="fr-CA"/>
        </w:rPr>
      </w:pPr>
      <w:r w:rsidRPr="00064657">
        <w:rPr>
          <w:rFonts w:ascii="Times New Roman" w:hAnsi="Times New Roman" w:cs="Times New Roman"/>
          <w:sz w:val="24"/>
          <w:szCs w:val="24"/>
          <w:lang w:val="fr-CA"/>
        </w:rPr>
        <w:t>Intimés/Requérants à la requête</w:t>
      </w:r>
    </w:p>
    <w:p w:rsidR="00CE5C01" w:rsidRPr="00064657" w:rsidRDefault="00CE5C01" w:rsidP="00CE5C01">
      <w:pPr>
        <w:pStyle w:val="SCCLsocPrefix"/>
        <w:rPr>
          <w:rFonts w:cs="Times New Roman"/>
        </w:rPr>
      </w:pPr>
      <w:r w:rsidRPr="00064657">
        <w:rPr>
          <w:rFonts w:cs="Times New Roman"/>
        </w:rPr>
        <w:t>Et Entre :</w:t>
      </w:r>
    </w:p>
    <w:p w:rsidR="00CE5C01" w:rsidRPr="00064657" w:rsidRDefault="00CE5C01" w:rsidP="00064657">
      <w:pPr>
        <w:spacing w:after="0" w:line="240" w:lineRule="auto"/>
        <w:jc w:val="center"/>
        <w:rPr>
          <w:rFonts w:ascii="Times New Roman" w:hAnsi="Times New Roman" w:cs="Times New Roman"/>
          <w:b/>
          <w:sz w:val="24"/>
          <w:szCs w:val="24"/>
          <w:lang w:val="fr-CA"/>
        </w:rPr>
      </w:pPr>
      <w:r w:rsidRPr="00064657">
        <w:rPr>
          <w:rFonts w:ascii="Times New Roman" w:hAnsi="Times New Roman" w:cs="Times New Roman"/>
          <w:b/>
          <w:sz w:val="24"/>
          <w:szCs w:val="24"/>
          <w:lang w:val="fr-CA"/>
        </w:rPr>
        <w:t xml:space="preserve">Christophe Izard, France Animation S.A., </w:t>
      </w:r>
    </w:p>
    <w:p w:rsidR="00CE5C01" w:rsidRPr="00064657" w:rsidRDefault="00CE5C01" w:rsidP="00064657">
      <w:pPr>
        <w:spacing w:after="0" w:line="240" w:lineRule="auto"/>
        <w:jc w:val="center"/>
        <w:rPr>
          <w:rFonts w:ascii="Times New Roman" w:hAnsi="Times New Roman" w:cs="Times New Roman"/>
          <w:b/>
          <w:sz w:val="24"/>
          <w:szCs w:val="24"/>
        </w:rPr>
      </w:pPr>
      <w:proofErr w:type="spellStart"/>
      <w:r w:rsidRPr="00064657">
        <w:rPr>
          <w:rFonts w:ascii="Times New Roman" w:hAnsi="Times New Roman" w:cs="Times New Roman"/>
          <w:b/>
          <w:sz w:val="24"/>
          <w:szCs w:val="24"/>
        </w:rPr>
        <w:t>Ravensburger</w:t>
      </w:r>
      <w:proofErr w:type="spellEnd"/>
      <w:r w:rsidRPr="00064657">
        <w:rPr>
          <w:rFonts w:ascii="Times New Roman" w:hAnsi="Times New Roman" w:cs="Times New Roman"/>
          <w:b/>
          <w:sz w:val="24"/>
          <w:szCs w:val="24"/>
        </w:rPr>
        <w:t xml:space="preserve"> Film + TV GmbH </w:t>
      </w:r>
      <w:proofErr w:type="gramStart"/>
      <w:r w:rsidRPr="00064657">
        <w:rPr>
          <w:rFonts w:ascii="Times New Roman" w:hAnsi="Times New Roman" w:cs="Times New Roman"/>
          <w:b/>
          <w:sz w:val="24"/>
          <w:szCs w:val="24"/>
        </w:rPr>
        <w:t>et</w:t>
      </w:r>
      <w:proofErr w:type="gramEnd"/>
      <w:r w:rsidRPr="00064657">
        <w:rPr>
          <w:rFonts w:ascii="Times New Roman" w:hAnsi="Times New Roman" w:cs="Times New Roman"/>
          <w:b/>
          <w:sz w:val="24"/>
          <w:szCs w:val="24"/>
        </w:rPr>
        <w:t xml:space="preserve"> RTV Family Entertainment AG</w:t>
      </w:r>
    </w:p>
    <w:p w:rsidR="00CE5C01" w:rsidRPr="00064657" w:rsidRDefault="00CE5C01" w:rsidP="00064657">
      <w:pPr>
        <w:spacing w:after="0" w:line="240" w:lineRule="auto"/>
        <w:jc w:val="center"/>
        <w:rPr>
          <w:rFonts w:ascii="Times New Roman" w:hAnsi="Times New Roman" w:cs="Times New Roman"/>
          <w:sz w:val="24"/>
          <w:szCs w:val="24"/>
          <w:lang w:val="fr-CA"/>
        </w:rPr>
      </w:pPr>
      <w:r w:rsidRPr="00064657">
        <w:rPr>
          <w:rFonts w:ascii="Times New Roman" w:hAnsi="Times New Roman" w:cs="Times New Roman"/>
          <w:sz w:val="24"/>
          <w:szCs w:val="24"/>
          <w:lang w:val="fr-CA"/>
        </w:rPr>
        <w:t>Demandeurs/Intimés à la requête</w:t>
      </w:r>
    </w:p>
    <w:p w:rsidR="00CE5C01" w:rsidRPr="00064657" w:rsidRDefault="00CE5C01" w:rsidP="00064657">
      <w:pPr>
        <w:spacing w:after="0" w:line="240" w:lineRule="auto"/>
        <w:jc w:val="center"/>
        <w:rPr>
          <w:rFonts w:ascii="Times New Roman" w:hAnsi="Times New Roman" w:cs="Times New Roman"/>
          <w:sz w:val="24"/>
          <w:szCs w:val="24"/>
          <w:lang w:val="fr-CA"/>
        </w:rPr>
      </w:pPr>
      <w:proofErr w:type="gramStart"/>
      <w:r w:rsidRPr="00064657">
        <w:rPr>
          <w:rFonts w:ascii="Times New Roman" w:hAnsi="Times New Roman" w:cs="Times New Roman"/>
          <w:sz w:val="24"/>
          <w:szCs w:val="24"/>
          <w:lang w:val="fr-CA"/>
        </w:rPr>
        <w:t>et</w:t>
      </w:r>
      <w:proofErr w:type="gramEnd"/>
    </w:p>
    <w:p w:rsidR="00CE5C01" w:rsidRPr="00064657" w:rsidRDefault="00CE5C01" w:rsidP="00064657">
      <w:pPr>
        <w:spacing w:after="0" w:line="240" w:lineRule="auto"/>
        <w:jc w:val="center"/>
        <w:rPr>
          <w:rFonts w:ascii="Times New Roman" w:hAnsi="Times New Roman" w:cs="Times New Roman"/>
          <w:b/>
          <w:sz w:val="24"/>
          <w:szCs w:val="24"/>
          <w:lang w:val="fr-CA"/>
        </w:rPr>
      </w:pPr>
      <w:r w:rsidRPr="00064657">
        <w:rPr>
          <w:rFonts w:ascii="Times New Roman" w:hAnsi="Times New Roman" w:cs="Times New Roman"/>
          <w:b/>
          <w:sz w:val="24"/>
          <w:szCs w:val="24"/>
          <w:lang w:val="fr-CA"/>
        </w:rPr>
        <w:t xml:space="preserve">Claude Robinson et Les Productions </w:t>
      </w:r>
      <w:proofErr w:type="spellStart"/>
      <w:r w:rsidRPr="00064657">
        <w:rPr>
          <w:rFonts w:ascii="Times New Roman" w:hAnsi="Times New Roman" w:cs="Times New Roman"/>
          <w:b/>
          <w:sz w:val="24"/>
          <w:szCs w:val="24"/>
          <w:lang w:val="fr-CA"/>
        </w:rPr>
        <w:t>Nilem</w:t>
      </w:r>
      <w:proofErr w:type="spellEnd"/>
      <w:r w:rsidRPr="00064657">
        <w:rPr>
          <w:rFonts w:ascii="Times New Roman" w:hAnsi="Times New Roman" w:cs="Times New Roman"/>
          <w:b/>
          <w:sz w:val="24"/>
          <w:szCs w:val="24"/>
          <w:lang w:val="fr-CA"/>
        </w:rPr>
        <w:t xml:space="preserve"> Inc.</w:t>
      </w:r>
    </w:p>
    <w:p w:rsidR="00CE5C01" w:rsidRPr="00064657" w:rsidRDefault="00CE5C01" w:rsidP="00064657">
      <w:pPr>
        <w:spacing w:after="0" w:line="240" w:lineRule="auto"/>
        <w:jc w:val="center"/>
        <w:rPr>
          <w:rFonts w:ascii="Times New Roman" w:hAnsi="Times New Roman" w:cs="Times New Roman"/>
          <w:sz w:val="24"/>
          <w:szCs w:val="24"/>
          <w:lang w:val="fr-CA"/>
        </w:rPr>
      </w:pPr>
      <w:r w:rsidRPr="00064657">
        <w:rPr>
          <w:rFonts w:ascii="Times New Roman" w:hAnsi="Times New Roman" w:cs="Times New Roman"/>
          <w:sz w:val="24"/>
          <w:szCs w:val="24"/>
          <w:lang w:val="fr-CA"/>
        </w:rPr>
        <w:t>Intimés/Requérants à la requête</w:t>
      </w:r>
    </w:p>
    <w:p w:rsidR="00064657" w:rsidRPr="00064657" w:rsidRDefault="00064657" w:rsidP="00CE5C01">
      <w:pPr>
        <w:spacing w:line="240" w:lineRule="auto"/>
        <w:rPr>
          <w:rFonts w:ascii="Times New Roman" w:hAnsi="Times New Roman" w:cs="Times New Roman"/>
          <w:b/>
          <w:smallCaps/>
          <w:sz w:val="24"/>
          <w:szCs w:val="24"/>
          <w:lang w:val="fr-CA"/>
        </w:rPr>
      </w:pPr>
    </w:p>
    <w:p w:rsidR="00CE5C01" w:rsidRPr="00064657" w:rsidRDefault="00CE5C01" w:rsidP="00CE5C01">
      <w:pPr>
        <w:spacing w:line="240" w:lineRule="auto"/>
        <w:rPr>
          <w:rFonts w:ascii="Times New Roman" w:hAnsi="Times New Roman" w:cs="Times New Roman"/>
          <w:sz w:val="24"/>
          <w:szCs w:val="24"/>
          <w:lang w:val="fr-CA"/>
        </w:rPr>
      </w:pPr>
      <w:r w:rsidRPr="00064657">
        <w:rPr>
          <w:rFonts w:ascii="Times New Roman" w:hAnsi="Times New Roman" w:cs="Times New Roman"/>
          <w:b/>
          <w:smallCaps/>
          <w:sz w:val="24"/>
          <w:szCs w:val="24"/>
          <w:lang w:val="fr-CA"/>
        </w:rPr>
        <w:t xml:space="preserve">Coram </w:t>
      </w:r>
      <w:r w:rsidRPr="00064657">
        <w:rPr>
          <w:rFonts w:ascii="Times New Roman" w:hAnsi="Times New Roman" w:cs="Times New Roman"/>
          <w:sz w:val="24"/>
          <w:szCs w:val="24"/>
          <w:lang w:val="fr-CA"/>
        </w:rPr>
        <w:t xml:space="preserve">: Les juges </w:t>
      </w:r>
      <w:proofErr w:type="spellStart"/>
      <w:r w:rsidRPr="00064657">
        <w:rPr>
          <w:rFonts w:ascii="Times New Roman" w:hAnsi="Times New Roman" w:cs="Times New Roman"/>
          <w:sz w:val="24"/>
          <w:szCs w:val="24"/>
          <w:lang w:val="fr-CA"/>
        </w:rPr>
        <w:t>LeBel</w:t>
      </w:r>
      <w:proofErr w:type="spellEnd"/>
      <w:r w:rsidRPr="00064657">
        <w:rPr>
          <w:rFonts w:ascii="Times New Roman" w:hAnsi="Times New Roman" w:cs="Times New Roman"/>
          <w:sz w:val="24"/>
          <w:szCs w:val="24"/>
          <w:lang w:val="fr-CA"/>
        </w:rPr>
        <w:t xml:space="preserve">, Fish et </w:t>
      </w:r>
      <w:proofErr w:type="spellStart"/>
      <w:r w:rsidRPr="00064657">
        <w:rPr>
          <w:rFonts w:ascii="Times New Roman" w:hAnsi="Times New Roman" w:cs="Times New Roman"/>
          <w:sz w:val="24"/>
          <w:szCs w:val="24"/>
          <w:lang w:val="fr-CA"/>
        </w:rPr>
        <w:t>Karakatsanis</w:t>
      </w:r>
      <w:proofErr w:type="spellEnd"/>
      <w:r w:rsidRPr="00064657">
        <w:rPr>
          <w:rFonts w:ascii="Times New Roman" w:hAnsi="Times New Roman" w:cs="Times New Roman"/>
          <w:sz w:val="24"/>
          <w:szCs w:val="24"/>
          <w:lang w:val="fr-CA"/>
        </w:rPr>
        <w:t>.</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E5C01" w:rsidRPr="00064657" w:rsidTr="00CE5C01">
        <w:trPr>
          <w:cantSplit/>
        </w:trPr>
        <w:tc>
          <w:tcPr>
            <w:tcW w:w="3618" w:type="dxa"/>
          </w:tcPr>
          <w:p w:rsidR="00CE5C01" w:rsidRPr="00064657" w:rsidRDefault="00CE5C01" w:rsidP="00064657">
            <w:pPr>
              <w:spacing w:after="0" w:line="240" w:lineRule="auto"/>
              <w:rPr>
                <w:rFonts w:ascii="Times New Roman" w:hAnsi="Times New Roman" w:cs="Times New Roman"/>
                <w:sz w:val="24"/>
                <w:szCs w:val="24"/>
                <w:lang w:val="fr-CA"/>
              </w:rPr>
            </w:pPr>
            <w:r w:rsidRPr="00064657">
              <w:rPr>
                <w:rFonts w:ascii="Times New Roman" w:hAnsi="Times New Roman" w:cs="Times New Roman"/>
                <w:b/>
                <w:smallCaps/>
                <w:sz w:val="24"/>
                <w:szCs w:val="24"/>
                <w:lang w:val="fr-CA"/>
              </w:rPr>
              <w:t>Motifs de jugement</w:t>
            </w:r>
            <w:r w:rsidRPr="00064657">
              <w:rPr>
                <w:rFonts w:ascii="Times New Roman" w:hAnsi="Times New Roman" w:cs="Times New Roman"/>
                <w:sz w:val="24"/>
                <w:szCs w:val="24"/>
                <w:lang w:val="fr-CA"/>
              </w:rPr>
              <w:t xml:space="preserve"> :</w:t>
            </w:r>
          </w:p>
          <w:p w:rsidR="00CE5C01" w:rsidRPr="00064657" w:rsidRDefault="00CE5C01" w:rsidP="00064657">
            <w:pPr>
              <w:spacing w:after="0" w:line="240" w:lineRule="auto"/>
              <w:rPr>
                <w:rFonts w:ascii="Times New Roman" w:hAnsi="Times New Roman" w:cs="Times New Roman"/>
                <w:sz w:val="24"/>
                <w:szCs w:val="24"/>
                <w:lang w:val="fr-CA"/>
              </w:rPr>
            </w:pPr>
            <w:r w:rsidRPr="00064657">
              <w:rPr>
                <w:rFonts w:ascii="Times New Roman" w:hAnsi="Times New Roman" w:cs="Times New Roman"/>
                <w:sz w:val="24"/>
                <w:szCs w:val="24"/>
                <w:lang w:val="fr-CA"/>
              </w:rPr>
              <w:t>(requête en cautionnement)</w:t>
            </w:r>
          </w:p>
          <w:p w:rsidR="00CE5C01" w:rsidRPr="00064657" w:rsidRDefault="00CE5C01" w:rsidP="00064657">
            <w:pPr>
              <w:spacing w:after="0" w:line="240" w:lineRule="auto"/>
              <w:rPr>
                <w:rFonts w:ascii="Times New Roman" w:hAnsi="Times New Roman" w:cs="Times New Roman"/>
                <w:sz w:val="24"/>
                <w:szCs w:val="24"/>
              </w:rPr>
            </w:pPr>
            <w:r w:rsidRPr="00064657">
              <w:rPr>
                <w:rFonts w:ascii="Times New Roman" w:hAnsi="Times New Roman" w:cs="Times New Roman"/>
                <w:sz w:val="24"/>
                <w:szCs w:val="24"/>
              </w:rPr>
              <w:t>(par. 1 à 7)</w:t>
            </w:r>
          </w:p>
        </w:tc>
        <w:tc>
          <w:tcPr>
            <w:tcW w:w="5958" w:type="dxa"/>
          </w:tcPr>
          <w:p w:rsidR="00CE5C01" w:rsidRPr="00064657" w:rsidRDefault="00CE5C01" w:rsidP="00CE5C01">
            <w:pPr>
              <w:spacing w:line="240" w:lineRule="auto"/>
              <w:rPr>
                <w:rFonts w:ascii="Times New Roman" w:hAnsi="Times New Roman" w:cs="Times New Roman"/>
                <w:sz w:val="24"/>
                <w:szCs w:val="24"/>
                <w:lang w:val="fr-CA"/>
              </w:rPr>
            </w:pPr>
            <w:r w:rsidRPr="00064657">
              <w:rPr>
                <w:rFonts w:ascii="Times New Roman" w:hAnsi="Times New Roman" w:cs="Times New Roman"/>
                <w:sz w:val="24"/>
                <w:szCs w:val="24"/>
                <w:lang w:val="fr-CA"/>
              </w:rPr>
              <w:t xml:space="preserve">Le juge </w:t>
            </w:r>
            <w:proofErr w:type="spellStart"/>
            <w:r w:rsidRPr="00064657">
              <w:rPr>
                <w:rFonts w:ascii="Times New Roman" w:hAnsi="Times New Roman" w:cs="Times New Roman"/>
                <w:sz w:val="24"/>
                <w:szCs w:val="24"/>
                <w:lang w:val="fr-CA"/>
              </w:rPr>
              <w:t>LeBel</w:t>
            </w:r>
            <w:proofErr w:type="spellEnd"/>
            <w:r w:rsidRPr="00064657">
              <w:rPr>
                <w:rFonts w:ascii="Times New Roman" w:hAnsi="Times New Roman" w:cs="Times New Roman"/>
                <w:sz w:val="24"/>
                <w:szCs w:val="24"/>
                <w:lang w:val="fr-CA"/>
              </w:rPr>
              <w:t xml:space="preserve"> (avec l’accord des juges Fish et </w:t>
            </w:r>
            <w:proofErr w:type="spellStart"/>
            <w:r w:rsidRPr="00064657">
              <w:rPr>
                <w:rFonts w:ascii="Times New Roman" w:hAnsi="Times New Roman" w:cs="Times New Roman"/>
                <w:sz w:val="24"/>
                <w:szCs w:val="24"/>
                <w:lang w:val="fr-CA"/>
              </w:rPr>
              <w:t>Karakatsanis</w:t>
            </w:r>
            <w:proofErr w:type="spellEnd"/>
            <w:r w:rsidRPr="00064657">
              <w:rPr>
                <w:rFonts w:ascii="Times New Roman" w:hAnsi="Times New Roman" w:cs="Times New Roman"/>
                <w:sz w:val="24"/>
                <w:szCs w:val="24"/>
                <w:lang w:val="fr-CA"/>
              </w:rPr>
              <w:t>)</w:t>
            </w:r>
          </w:p>
          <w:p w:rsidR="00CE5C01" w:rsidRPr="00064657" w:rsidRDefault="00CE5C01" w:rsidP="00CE5C01">
            <w:pPr>
              <w:spacing w:line="240" w:lineRule="auto"/>
              <w:rPr>
                <w:rFonts w:ascii="Times New Roman" w:hAnsi="Times New Roman" w:cs="Times New Roman"/>
                <w:sz w:val="24"/>
                <w:szCs w:val="24"/>
                <w:lang w:val="fr-CA"/>
              </w:rPr>
            </w:pPr>
          </w:p>
        </w:tc>
      </w:tr>
    </w:tbl>
    <w:p w:rsidR="00CE5C01" w:rsidRPr="00CE5C01" w:rsidRDefault="00DF2D11" w:rsidP="00CE5C01">
      <w:pPr>
        <w:rPr>
          <w:lang w:val="fr-CA"/>
        </w:rPr>
      </w:pPr>
      <w:r w:rsidRPr="00DF2D11">
        <w:rPr>
          <w:noProof/>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CE5C01" w:rsidRDefault="00CE5C01">
      <w:pPr>
        <w:spacing w:after="0" w:line="240" w:lineRule="auto"/>
        <w:rPr>
          <w:rFonts w:ascii="Times New Roman" w:eastAsia="Times New Roman" w:hAnsi="Times New Roman" w:cs="Times New Roman"/>
          <w:sz w:val="24"/>
          <w:szCs w:val="24"/>
          <w:lang w:val="fr-FR" w:eastAsia="en-CA"/>
        </w:rPr>
      </w:pPr>
      <w:r>
        <w:rPr>
          <w:b/>
          <w:szCs w:val="24"/>
          <w:lang w:val="fr-FR"/>
        </w:rPr>
        <w:br w:type="page"/>
      </w:r>
    </w:p>
    <w:p w:rsidR="00CD390B" w:rsidRPr="00115212" w:rsidRDefault="00115212" w:rsidP="00CD390B">
      <w:pPr>
        <w:pStyle w:val="SCCLsocParty"/>
        <w:tabs>
          <w:tab w:val="right" w:pos="8222"/>
        </w:tabs>
        <w:spacing w:after="720"/>
        <w:rPr>
          <w:b w:val="0"/>
          <w:szCs w:val="24"/>
          <w:lang w:val="fr-FR"/>
        </w:rPr>
      </w:pPr>
      <w:proofErr w:type="spellStart"/>
      <w:r>
        <w:rPr>
          <w:b w:val="0"/>
          <w:szCs w:val="24"/>
          <w:lang w:val="fr-FR"/>
        </w:rPr>
        <w:lastRenderedPageBreak/>
        <w:t>Cinar</w:t>
      </w:r>
      <w:proofErr w:type="spellEnd"/>
      <w:r>
        <w:rPr>
          <w:b w:val="0"/>
          <w:szCs w:val="24"/>
          <w:lang w:val="fr-FR"/>
        </w:rPr>
        <w:t xml:space="preserve"> C</w:t>
      </w:r>
      <w:r w:rsidR="00B1609C" w:rsidRPr="00115212">
        <w:rPr>
          <w:b w:val="0"/>
          <w:szCs w:val="24"/>
          <w:lang w:val="fr-FR"/>
        </w:rPr>
        <w:t>orp</w:t>
      </w:r>
      <w:r w:rsidRPr="00115212">
        <w:rPr>
          <w:b w:val="0"/>
          <w:szCs w:val="24"/>
          <w:lang w:val="fr-FR"/>
        </w:rPr>
        <w:t>oration</w:t>
      </w:r>
      <w:r w:rsidR="00BC0F52" w:rsidRPr="00115212">
        <w:rPr>
          <w:b w:val="0"/>
          <w:szCs w:val="24"/>
          <w:lang w:val="fr-FR"/>
        </w:rPr>
        <w:t xml:space="preserve"> </w:t>
      </w:r>
      <w:r w:rsidR="00B1609C" w:rsidRPr="00115212">
        <w:rPr>
          <w:b w:val="0"/>
          <w:i/>
          <w:szCs w:val="24"/>
          <w:lang w:val="fr-FR"/>
        </w:rPr>
        <w:t>c.</w:t>
      </w:r>
      <w:r w:rsidR="00B1609C" w:rsidRPr="00115212">
        <w:rPr>
          <w:b w:val="0"/>
          <w:szCs w:val="24"/>
          <w:lang w:val="fr-FR"/>
        </w:rPr>
        <w:t xml:space="preserve"> </w:t>
      </w:r>
      <w:r>
        <w:rPr>
          <w:b w:val="0"/>
          <w:szCs w:val="24"/>
          <w:lang w:val="fr-FR"/>
        </w:rPr>
        <w:t>R</w:t>
      </w:r>
      <w:r w:rsidR="00B1609C" w:rsidRPr="00115212">
        <w:rPr>
          <w:b w:val="0"/>
          <w:szCs w:val="24"/>
          <w:lang w:val="fr-FR"/>
        </w:rPr>
        <w:t>obinson</w:t>
      </w:r>
      <w:r w:rsidRPr="00115212">
        <w:rPr>
          <w:b w:val="0"/>
          <w:szCs w:val="24"/>
          <w:lang w:val="fr-FR"/>
        </w:rPr>
        <w:t>,</w:t>
      </w:r>
      <w:r>
        <w:rPr>
          <w:b w:val="0"/>
          <w:szCs w:val="24"/>
          <w:lang w:val="fr-FR"/>
        </w:rPr>
        <w:t xml:space="preserve"> 2012 CSC 25, [2012] 2 R.C.S. 55</w:t>
      </w:r>
    </w:p>
    <w:p w:rsidR="00CD390B" w:rsidRPr="00B0357A" w:rsidRDefault="00CD390B" w:rsidP="00BC0F52">
      <w:pPr>
        <w:pStyle w:val="SCCLsocParty"/>
        <w:tabs>
          <w:tab w:val="right" w:pos="9270"/>
        </w:tabs>
        <w:spacing w:after="720"/>
        <w:rPr>
          <w:szCs w:val="24"/>
          <w:lang w:val="fr-FR"/>
        </w:rPr>
      </w:pPr>
      <w:proofErr w:type="spellStart"/>
      <w:r w:rsidRPr="00B0357A">
        <w:rPr>
          <w:szCs w:val="24"/>
          <w:lang w:val="fr-FR"/>
        </w:rPr>
        <w:t>C</w:t>
      </w:r>
      <w:r w:rsidR="000E1510" w:rsidRPr="00B0357A">
        <w:rPr>
          <w:szCs w:val="24"/>
          <w:lang w:val="fr-FR"/>
        </w:rPr>
        <w:t>inar</w:t>
      </w:r>
      <w:proofErr w:type="spellEnd"/>
      <w:r w:rsidR="000E1510" w:rsidRPr="00B0357A">
        <w:rPr>
          <w:szCs w:val="24"/>
          <w:lang w:val="fr-FR"/>
        </w:rPr>
        <w:t xml:space="preserve"> C</w:t>
      </w:r>
      <w:r w:rsidRPr="00B0357A">
        <w:rPr>
          <w:szCs w:val="24"/>
          <w:lang w:val="fr-FR"/>
        </w:rPr>
        <w:t xml:space="preserve">orporation et </w:t>
      </w:r>
      <w:r w:rsidR="009A738D" w:rsidRPr="00B0357A">
        <w:rPr>
          <w:szCs w:val="24"/>
          <w:lang w:val="fr-FR"/>
        </w:rPr>
        <w:t>L</w:t>
      </w:r>
      <w:r w:rsidRPr="00B0357A">
        <w:rPr>
          <w:szCs w:val="24"/>
          <w:lang w:val="fr-FR"/>
        </w:rPr>
        <w:t xml:space="preserve">es </w:t>
      </w:r>
      <w:r w:rsidR="009A738D" w:rsidRPr="00B0357A">
        <w:rPr>
          <w:szCs w:val="24"/>
          <w:lang w:val="fr-FR"/>
        </w:rPr>
        <w:t xml:space="preserve">Films </w:t>
      </w:r>
      <w:proofErr w:type="spellStart"/>
      <w:r w:rsidR="009A738D" w:rsidRPr="00B0357A">
        <w:rPr>
          <w:szCs w:val="24"/>
          <w:lang w:val="fr-FR"/>
        </w:rPr>
        <w:t>C</w:t>
      </w:r>
      <w:r w:rsidRPr="00B0357A">
        <w:rPr>
          <w:szCs w:val="24"/>
          <w:lang w:val="fr-FR"/>
        </w:rPr>
        <w:t>inar</w:t>
      </w:r>
      <w:proofErr w:type="spellEnd"/>
      <w:r w:rsidRPr="00B0357A">
        <w:rPr>
          <w:szCs w:val="24"/>
          <w:lang w:val="fr-FR"/>
        </w:rPr>
        <w:t xml:space="preserve"> </w:t>
      </w:r>
      <w:r w:rsidR="009A738D" w:rsidRPr="00B0357A">
        <w:rPr>
          <w:szCs w:val="24"/>
          <w:lang w:val="fr-FR"/>
        </w:rPr>
        <w:t>I</w:t>
      </w:r>
      <w:r w:rsidRPr="00B0357A">
        <w:rPr>
          <w:szCs w:val="24"/>
          <w:lang w:val="fr-FR"/>
        </w:rPr>
        <w:t xml:space="preserve">nc. </w:t>
      </w:r>
      <w:r w:rsidR="00BC0F52" w:rsidRPr="00B0357A">
        <w:rPr>
          <w:b w:val="0"/>
          <w:i/>
          <w:szCs w:val="24"/>
          <w:lang w:val="fr-FR"/>
        </w:rPr>
        <w:tab/>
      </w:r>
      <w:r w:rsidR="00D906D1" w:rsidRPr="00B0357A">
        <w:rPr>
          <w:b w:val="0"/>
          <w:i/>
          <w:szCs w:val="24"/>
          <w:lang w:val="fr-FR"/>
        </w:rPr>
        <w:t>Demandeurs/Intimés à la requête</w:t>
      </w:r>
    </w:p>
    <w:p w:rsidR="00CD390B" w:rsidRPr="00B0357A" w:rsidRDefault="00CD390B" w:rsidP="00FC3F10">
      <w:pPr>
        <w:pStyle w:val="SCCLsocParty"/>
        <w:tabs>
          <w:tab w:val="right" w:pos="8222"/>
        </w:tabs>
        <w:spacing w:after="720"/>
        <w:rPr>
          <w:b w:val="0"/>
          <w:i/>
          <w:szCs w:val="24"/>
          <w:lang w:val="fr-FR"/>
        </w:rPr>
      </w:pPr>
      <w:proofErr w:type="gramStart"/>
      <w:r w:rsidRPr="00B0357A">
        <w:rPr>
          <w:b w:val="0"/>
          <w:i/>
          <w:szCs w:val="24"/>
          <w:lang w:val="fr-FR"/>
        </w:rPr>
        <w:t>c</w:t>
      </w:r>
      <w:proofErr w:type="gramEnd"/>
      <w:r w:rsidRPr="00B0357A">
        <w:rPr>
          <w:b w:val="0"/>
          <w:i/>
          <w:szCs w:val="24"/>
          <w:lang w:val="fr-FR"/>
        </w:rPr>
        <w:t xml:space="preserve">. </w:t>
      </w:r>
    </w:p>
    <w:p w:rsidR="00CD390B" w:rsidRPr="00B0357A" w:rsidRDefault="00CD390B" w:rsidP="00BC0F52">
      <w:pPr>
        <w:pStyle w:val="SCCLsocParty"/>
        <w:tabs>
          <w:tab w:val="right" w:pos="9270"/>
        </w:tabs>
        <w:spacing w:after="720"/>
      </w:pPr>
      <w:r w:rsidRPr="00B0357A">
        <w:rPr>
          <w:szCs w:val="24"/>
          <w:lang w:val="fr-FR"/>
        </w:rPr>
        <w:t xml:space="preserve">Claude Robinson et </w:t>
      </w:r>
      <w:r w:rsidR="00BC0F52" w:rsidRPr="00B0357A">
        <w:rPr>
          <w:szCs w:val="24"/>
          <w:lang w:val="fr-FR"/>
        </w:rPr>
        <w:t>L</w:t>
      </w:r>
      <w:r w:rsidRPr="00B0357A">
        <w:rPr>
          <w:szCs w:val="24"/>
          <w:lang w:val="fr-FR"/>
        </w:rPr>
        <w:t xml:space="preserve">es Productions </w:t>
      </w:r>
      <w:proofErr w:type="spellStart"/>
      <w:r w:rsidRPr="00B0357A">
        <w:rPr>
          <w:szCs w:val="24"/>
          <w:lang w:val="fr-FR"/>
        </w:rPr>
        <w:t>Nilem</w:t>
      </w:r>
      <w:proofErr w:type="spellEnd"/>
      <w:r w:rsidRPr="00B0357A">
        <w:rPr>
          <w:szCs w:val="24"/>
          <w:lang w:val="fr-FR"/>
        </w:rPr>
        <w:t xml:space="preserve"> Inc.</w:t>
      </w:r>
      <w:r w:rsidRPr="00B0357A">
        <w:tab/>
      </w:r>
      <w:r w:rsidR="00BC0F52" w:rsidRPr="00B0357A">
        <w:rPr>
          <w:b w:val="0"/>
          <w:i/>
        </w:rPr>
        <w:t>Intimés</w:t>
      </w:r>
      <w:r w:rsidR="00D906D1" w:rsidRPr="00B0357A">
        <w:rPr>
          <w:b w:val="0"/>
          <w:i/>
        </w:rPr>
        <w:t>/Requérants à la requête</w:t>
      </w:r>
    </w:p>
    <w:p w:rsidR="00B1609C" w:rsidRPr="00B0357A" w:rsidRDefault="00FC3F10" w:rsidP="00FC3F10">
      <w:pPr>
        <w:spacing w:after="720" w:line="240" w:lineRule="auto"/>
        <w:rPr>
          <w:rFonts w:ascii="Times New Roman" w:hAnsi="Times New Roman" w:cs="Times New Roman"/>
          <w:sz w:val="24"/>
          <w:szCs w:val="24"/>
          <w:lang w:val="fr-CA" w:eastAsia="en-CA"/>
        </w:rPr>
      </w:pPr>
      <w:r w:rsidRPr="00B0357A">
        <w:rPr>
          <w:rFonts w:ascii="Times New Roman" w:hAnsi="Times New Roman" w:cs="Times New Roman"/>
          <w:sz w:val="24"/>
          <w:szCs w:val="24"/>
          <w:lang w:val="fr-CA" w:eastAsia="en-CA"/>
        </w:rPr>
        <w:t xml:space="preserve">- </w:t>
      </w:r>
      <w:r w:rsidR="00B1609C" w:rsidRPr="00B0357A">
        <w:rPr>
          <w:rFonts w:ascii="Times New Roman" w:hAnsi="Times New Roman" w:cs="Times New Roman"/>
          <w:sz w:val="24"/>
          <w:szCs w:val="24"/>
          <w:lang w:val="fr-CA" w:eastAsia="en-CA"/>
        </w:rPr>
        <w:t>et</w:t>
      </w:r>
      <w:r w:rsidRPr="00B0357A">
        <w:rPr>
          <w:rFonts w:ascii="Times New Roman" w:hAnsi="Times New Roman" w:cs="Times New Roman"/>
          <w:sz w:val="24"/>
          <w:szCs w:val="24"/>
          <w:lang w:val="fr-CA" w:eastAsia="en-CA"/>
        </w:rPr>
        <w:t xml:space="preserve"> -</w:t>
      </w:r>
    </w:p>
    <w:p w:rsidR="00FC3F10" w:rsidRPr="00B0357A" w:rsidRDefault="00FC3F10" w:rsidP="00BC0F52">
      <w:pPr>
        <w:pStyle w:val="SCCLsocParty"/>
        <w:tabs>
          <w:tab w:val="right" w:pos="9270"/>
        </w:tabs>
        <w:spacing w:after="720"/>
        <w:rPr>
          <w:szCs w:val="24"/>
          <w:lang w:val="fr-FR"/>
        </w:rPr>
      </w:pPr>
      <w:r w:rsidRPr="00B0357A">
        <w:rPr>
          <w:szCs w:val="24"/>
        </w:rPr>
        <w:t>R</w:t>
      </w:r>
      <w:proofErr w:type="spellStart"/>
      <w:r w:rsidRPr="00B0357A">
        <w:rPr>
          <w:szCs w:val="24"/>
          <w:lang w:val="fr-FR"/>
        </w:rPr>
        <w:t>onald</w:t>
      </w:r>
      <w:proofErr w:type="spellEnd"/>
      <w:r w:rsidRPr="00B0357A">
        <w:rPr>
          <w:szCs w:val="24"/>
          <w:lang w:val="fr-FR"/>
        </w:rPr>
        <w:t xml:space="preserve"> A. Weinberg et Ronald A. Weinberg, en qualité d’unique liquidateur de la succession de feu Micheline Charest </w:t>
      </w:r>
      <w:r w:rsidR="00BC0F52" w:rsidRPr="00B0357A">
        <w:rPr>
          <w:szCs w:val="24"/>
          <w:lang w:val="fr-FR"/>
        </w:rPr>
        <w:tab/>
      </w:r>
      <w:r w:rsidR="00D906D1" w:rsidRPr="00B0357A">
        <w:rPr>
          <w:b w:val="0"/>
          <w:i/>
          <w:szCs w:val="24"/>
          <w:lang w:val="fr-FR"/>
        </w:rPr>
        <w:t>Demandeur</w:t>
      </w:r>
      <w:r w:rsidR="00BC0F52" w:rsidRPr="00B0357A">
        <w:rPr>
          <w:b w:val="0"/>
          <w:i/>
          <w:szCs w:val="24"/>
          <w:lang w:val="fr-FR"/>
        </w:rPr>
        <w:t>s</w:t>
      </w:r>
      <w:r w:rsidR="00D906D1" w:rsidRPr="00B0357A">
        <w:rPr>
          <w:b w:val="0"/>
          <w:i/>
          <w:szCs w:val="24"/>
          <w:lang w:val="fr-FR"/>
        </w:rPr>
        <w:t>/Intimés à la requête</w:t>
      </w:r>
    </w:p>
    <w:p w:rsidR="00FC3F10" w:rsidRPr="00B0357A" w:rsidRDefault="00FC3F10" w:rsidP="00FC3F10">
      <w:pPr>
        <w:spacing w:after="720" w:line="240" w:lineRule="auto"/>
        <w:jc w:val="both"/>
        <w:rPr>
          <w:rFonts w:ascii="Times New Roman" w:hAnsi="Times New Roman" w:cs="Times New Roman"/>
          <w:i/>
          <w:sz w:val="24"/>
          <w:szCs w:val="24"/>
          <w:lang w:val="fr-FR"/>
        </w:rPr>
      </w:pPr>
      <w:proofErr w:type="gramStart"/>
      <w:r w:rsidRPr="00B0357A">
        <w:rPr>
          <w:rFonts w:ascii="Times New Roman" w:hAnsi="Times New Roman" w:cs="Times New Roman"/>
          <w:i/>
          <w:sz w:val="24"/>
          <w:szCs w:val="24"/>
          <w:lang w:val="fr-FR"/>
        </w:rPr>
        <w:t>c</w:t>
      </w:r>
      <w:proofErr w:type="gramEnd"/>
      <w:r w:rsidRPr="00B0357A">
        <w:rPr>
          <w:rFonts w:ascii="Times New Roman" w:hAnsi="Times New Roman" w:cs="Times New Roman"/>
          <w:i/>
          <w:sz w:val="24"/>
          <w:szCs w:val="24"/>
          <w:lang w:val="fr-FR"/>
        </w:rPr>
        <w:t xml:space="preserve">. </w:t>
      </w:r>
    </w:p>
    <w:p w:rsidR="00FC3F10" w:rsidRPr="00B0357A" w:rsidRDefault="0040501C" w:rsidP="00BC0F52">
      <w:pPr>
        <w:pStyle w:val="SCCLsocParty"/>
        <w:tabs>
          <w:tab w:val="right" w:pos="9270"/>
        </w:tabs>
        <w:spacing w:after="720"/>
        <w:rPr>
          <w:b w:val="0"/>
          <w:szCs w:val="24"/>
          <w:lang w:val="fr-FR"/>
        </w:rPr>
      </w:pPr>
      <w:r w:rsidRPr="00B0357A">
        <w:rPr>
          <w:szCs w:val="24"/>
          <w:lang w:val="fr-FR"/>
        </w:rPr>
        <w:t xml:space="preserve">Claude Robinson </w:t>
      </w:r>
      <w:r>
        <w:rPr>
          <w:szCs w:val="24"/>
          <w:lang w:val="fr-FR"/>
        </w:rPr>
        <w:t xml:space="preserve">et </w:t>
      </w:r>
      <w:r w:rsidR="00FC3F10" w:rsidRPr="00B0357A">
        <w:rPr>
          <w:szCs w:val="24"/>
          <w:lang w:val="fr-FR"/>
        </w:rPr>
        <w:t xml:space="preserve">Les Productions </w:t>
      </w:r>
      <w:proofErr w:type="spellStart"/>
      <w:r w:rsidR="00FC3F10" w:rsidRPr="00B0357A">
        <w:rPr>
          <w:szCs w:val="24"/>
          <w:lang w:val="fr-FR"/>
        </w:rPr>
        <w:t>N</w:t>
      </w:r>
      <w:r w:rsidR="000E1510" w:rsidRPr="00B0357A">
        <w:rPr>
          <w:szCs w:val="24"/>
          <w:lang w:val="fr-FR"/>
        </w:rPr>
        <w:t>ilem</w:t>
      </w:r>
      <w:proofErr w:type="spellEnd"/>
      <w:r w:rsidR="000E1510" w:rsidRPr="00B0357A">
        <w:rPr>
          <w:szCs w:val="24"/>
          <w:lang w:val="fr-FR"/>
        </w:rPr>
        <w:t xml:space="preserve"> I</w:t>
      </w:r>
      <w:r>
        <w:rPr>
          <w:szCs w:val="24"/>
          <w:lang w:val="fr-FR"/>
        </w:rPr>
        <w:t xml:space="preserve">nc. </w:t>
      </w:r>
      <w:r w:rsidR="00BC0F52" w:rsidRPr="00B0357A">
        <w:rPr>
          <w:b w:val="0"/>
          <w:szCs w:val="24"/>
          <w:lang w:val="fr-FR"/>
        </w:rPr>
        <w:tab/>
      </w:r>
      <w:r w:rsidR="00BC0F52" w:rsidRPr="00B0357A">
        <w:rPr>
          <w:b w:val="0"/>
          <w:i/>
          <w:szCs w:val="24"/>
          <w:lang w:val="fr-FR"/>
        </w:rPr>
        <w:t>Intimés</w:t>
      </w:r>
      <w:r w:rsidR="00D906D1" w:rsidRPr="00B0357A">
        <w:rPr>
          <w:b w:val="0"/>
          <w:i/>
          <w:szCs w:val="24"/>
          <w:lang w:val="fr-FR"/>
        </w:rPr>
        <w:t>/Requérants à la requête</w:t>
      </w:r>
    </w:p>
    <w:p w:rsidR="00FC3F10" w:rsidRPr="00B0357A" w:rsidRDefault="00FC3F10" w:rsidP="00FC3F10">
      <w:pPr>
        <w:spacing w:after="720" w:line="240" w:lineRule="auto"/>
        <w:jc w:val="both"/>
        <w:rPr>
          <w:rFonts w:ascii="Times New Roman" w:hAnsi="Times New Roman" w:cs="Times New Roman"/>
          <w:sz w:val="24"/>
          <w:szCs w:val="24"/>
          <w:lang w:val="fr-CA"/>
        </w:rPr>
      </w:pPr>
      <w:r w:rsidRPr="00B0357A">
        <w:rPr>
          <w:rFonts w:ascii="Times New Roman" w:hAnsi="Times New Roman" w:cs="Times New Roman"/>
          <w:sz w:val="24"/>
          <w:szCs w:val="24"/>
          <w:lang w:val="fr-CA"/>
        </w:rPr>
        <w:t>- et -</w:t>
      </w:r>
    </w:p>
    <w:p w:rsidR="00FC3F10" w:rsidRPr="00B0357A" w:rsidRDefault="00FC3F10" w:rsidP="00BC0F52">
      <w:pPr>
        <w:pStyle w:val="SCCLsocParty"/>
        <w:tabs>
          <w:tab w:val="right" w:pos="9270"/>
        </w:tabs>
        <w:spacing w:after="720"/>
        <w:rPr>
          <w:b w:val="0"/>
          <w:szCs w:val="24"/>
        </w:rPr>
      </w:pPr>
      <w:r w:rsidRPr="00B0357A">
        <w:rPr>
          <w:szCs w:val="24"/>
        </w:rPr>
        <w:t xml:space="preserve">Christophe Izard, France Animation </w:t>
      </w:r>
      <w:r w:rsidR="00D906D1" w:rsidRPr="00B0357A">
        <w:rPr>
          <w:szCs w:val="24"/>
        </w:rPr>
        <w:t xml:space="preserve">S.A., Ravensburger Film + TV </w:t>
      </w:r>
      <w:proofErr w:type="spellStart"/>
      <w:r w:rsidR="00D906D1" w:rsidRPr="00B0357A">
        <w:rPr>
          <w:szCs w:val="24"/>
        </w:rPr>
        <w:t>Gmb</w:t>
      </w:r>
      <w:r w:rsidRPr="00B0357A">
        <w:rPr>
          <w:szCs w:val="24"/>
        </w:rPr>
        <w:t>H</w:t>
      </w:r>
      <w:proofErr w:type="spellEnd"/>
      <w:r w:rsidRPr="00B0357A">
        <w:rPr>
          <w:szCs w:val="24"/>
        </w:rPr>
        <w:t xml:space="preserve"> et RTV </w:t>
      </w:r>
      <w:proofErr w:type="spellStart"/>
      <w:r w:rsidRPr="00B0357A">
        <w:rPr>
          <w:szCs w:val="24"/>
        </w:rPr>
        <w:t>Family</w:t>
      </w:r>
      <w:proofErr w:type="spellEnd"/>
      <w:r w:rsidRPr="00B0357A">
        <w:rPr>
          <w:szCs w:val="24"/>
        </w:rPr>
        <w:t xml:space="preserve"> Entertainment AG </w:t>
      </w:r>
      <w:r w:rsidR="00BC0F52" w:rsidRPr="00B0357A">
        <w:rPr>
          <w:b w:val="0"/>
          <w:szCs w:val="24"/>
        </w:rPr>
        <w:tab/>
      </w:r>
      <w:r w:rsidR="00D906D1" w:rsidRPr="00B0357A">
        <w:rPr>
          <w:b w:val="0"/>
          <w:i/>
          <w:szCs w:val="24"/>
        </w:rPr>
        <w:t>Demandeurs/Intimés à la requête</w:t>
      </w:r>
    </w:p>
    <w:p w:rsidR="00FC3F10" w:rsidRPr="00B0357A" w:rsidRDefault="00FC3F10" w:rsidP="00FC3F10">
      <w:pPr>
        <w:spacing w:after="720" w:line="240" w:lineRule="auto"/>
        <w:jc w:val="both"/>
        <w:rPr>
          <w:rFonts w:ascii="Times New Roman" w:hAnsi="Times New Roman" w:cs="Times New Roman"/>
          <w:i/>
          <w:sz w:val="24"/>
          <w:szCs w:val="24"/>
          <w:lang w:val="fr-CA"/>
        </w:rPr>
      </w:pPr>
      <w:proofErr w:type="gramStart"/>
      <w:r w:rsidRPr="00B0357A">
        <w:rPr>
          <w:rFonts w:ascii="Times New Roman" w:hAnsi="Times New Roman" w:cs="Times New Roman"/>
          <w:i/>
          <w:sz w:val="24"/>
          <w:szCs w:val="24"/>
          <w:lang w:val="fr-CA"/>
        </w:rPr>
        <w:t>c</w:t>
      </w:r>
      <w:proofErr w:type="gramEnd"/>
      <w:r w:rsidRPr="00B0357A">
        <w:rPr>
          <w:rFonts w:ascii="Times New Roman" w:hAnsi="Times New Roman" w:cs="Times New Roman"/>
          <w:i/>
          <w:sz w:val="24"/>
          <w:szCs w:val="24"/>
          <w:lang w:val="fr-CA"/>
        </w:rPr>
        <w:t xml:space="preserve">. </w:t>
      </w:r>
    </w:p>
    <w:p w:rsidR="00FC3F10" w:rsidRPr="00B0357A" w:rsidRDefault="00FC3F10" w:rsidP="00BC0F52">
      <w:pPr>
        <w:pStyle w:val="SCCLsocParty"/>
        <w:tabs>
          <w:tab w:val="right" w:pos="9270"/>
        </w:tabs>
        <w:spacing w:after="720"/>
        <w:rPr>
          <w:b w:val="0"/>
          <w:szCs w:val="24"/>
          <w:lang w:val="fr-FR"/>
        </w:rPr>
      </w:pPr>
      <w:r w:rsidRPr="00B0357A">
        <w:rPr>
          <w:szCs w:val="24"/>
          <w:lang w:val="fr-FR"/>
        </w:rPr>
        <w:t xml:space="preserve">Claude Robinson et </w:t>
      </w:r>
      <w:r w:rsidR="00A64429" w:rsidRPr="00B0357A">
        <w:rPr>
          <w:szCs w:val="24"/>
          <w:lang w:val="fr-FR"/>
        </w:rPr>
        <w:t>L</w:t>
      </w:r>
      <w:r w:rsidRPr="00B0357A">
        <w:rPr>
          <w:szCs w:val="24"/>
          <w:lang w:val="fr-FR"/>
        </w:rPr>
        <w:t xml:space="preserve">es Productions </w:t>
      </w:r>
      <w:proofErr w:type="spellStart"/>
      <w:r w:rsidRPr="00B0357A">
        <w:rPr>
          <w:szCs w:val="24"/>
          <w:lang w:val="fr-FR"/>
        </w:rPr>
        <w:t>Nilem</w:t>
      </w:r>
      <w:proofErr w:type="spellEnd"/>
      <w:r w:rsidRPr="00B0357A">
        <w:rPr>
          <w:szCs w:val="24"/>
          <w:lang w:val="fr-FR"/>
        </w:rPr>
        <w:t xml:space="preserve"> Inc.</w:t>
      </w:r>
      <w:r w:rsidR="00BC0F52" w:rsidRPr="00B0357A">
        <w:rPr>
          <w:szCs w:val="24"/>
          <w:lang w:val="fr-FR"/>
        </w:rPr>
        <w:tab/>
      </w:r>
      <w:r w:rsidR="00BC0F52" w:rsidRPr="00B0357A">
        <w:rPr>
          <w:b w:val="0"/>
          <w:i/>
          <w:szCs w:val="24"/>
          <w:lang w:val="fr-FR"/>
        </w:rPr>
        <w:t>Intimés</w:t>
      </w:r>
      <w:r w:rsidR="00D906D1" w:rsidRPr="00B0357A">
        <w:rPr>
          <w:b w:val="0"/>
          <w:i/>
          <w:szCs w:val="24"/>
          <w:lang w:val="fr-FR"/>
        </w:rPr>
        <w:t>/Requérants à la requête</w:t>
      </w:r>
    </w:p>
    <w:p w:rsidR="00B1609C" w:rsidRPr="00B0357A" w:rsidRDefault="00CD390B" w:rsidP="00FC3F10">
      <w:pPr>
        <w:pStyle w:val="SCCLsocParty"/>
        <w:tabs>
          <w:tab w:val="right" w:pos="8222"/>
        </w:tabs>
        <w:spacing w:after="720"/>
        <w:rPr>
          <w:b w:val="0"/>
          <w:szCs w:val="24"/>
          <w:lang w:val="fr-FR"/>
        </w:rPr>
      </w:pPr>
      <w:r w:rsidRPr="00B0357A">
        <w:t>Répertorié</w:t>
      </w:r>
      <w:r w:rsidRPr="00B0357A">
        <w:rPr>
          <w:b w:val="0"/>
          <w:szCs w:val="24"/>
        </w:rPr>
        <w:t> </w:t>
      </w:r>
      <w:r w:rsidRPr="00B0357A">
        <w:rPr>
          <w:szCs w:val="24"/>
        </w:rPr>
        <w:t>: </w:t>
      </w:r>
      <w:proofErr w:type="spellStart"/>
      <w:r w:rsidR="00B1609C" w:rsidRPr="00B0357A">
        <w:rPr>
          <w:szCs w:val="24"/>
          <w:lang w:val="fr-FR"/>
        </w:rPr>
        <w:t>Cinar</w:t>
      </w:r>
      <w:proofErr w:type="spellEnd"/>
      <w:r w:rsidR="00B1609C" w:rsidRPr="00B0357A">
        <w:rPr>
          <w:szCs w:val="24"/>
          <w:lang w:val="fr-FR"/>
        </w:rPr>
        <w:t xml:space="preserve"> Corporation </w:t>
      </w:r>
      <w:r w:rsidR="00B1609C" w:rsidRPr="00B0357A">
        <w:rPr>
          <w:i/>
          <w:szCs w:val="24"/>
          <w:lang w:val="fr-FR"/>
        </w:rPr>
        <w:t xml:space="preserve">c. </w:t>
      </w:r>
      <w:r w:rsidR="00B1609C" w:rsidRPr="00B0357A">
        <w:rPr>
          <w:szCs w:val="24"/>
          <w:lang w:val="fr-FR"/>
        </w:rPr>
        <w:t>Robinson</w:t>
      </w:r>
    </w:p>
    <w:p w:rsidR="00CD390B" w:rsidRPr="00B0357A" w:rsidRDefault="00CD390B" w:rsidP="00CD390B">
      <w:pPr>
        <w:pStyle w:val="SCCSystemYear"/>
        <w:spacing w:after="720"/>
        <w:jc w:val="both"/>
      </w:pPr>
      <w:r w:rsidRPr="00B0357A">
        <w:lastRenderedPageBreak/>
        <w:t>2012 CSC 25</w:t>
      </w:r>
    </w:p>
    <w:p w:rsidR="00AB090D" w:rsidRPr="00B0357A" w:rsidRDefault="00B1609C" w:rsidP="00AB090D">
      <w:pPr>
        <w:spacing w:line="240" w:lineRule="auto"/>
        <w:rPr>
          <w:rFonts w:ascii="Times New Roman" w:hAnsi="Times New Roman" w:cs="Times New Roman"/>
          <w:sz w:val="24"/>
          <w:szCs w:val="24"/>
          <w:lang w:val="fr-FR"/>
        </w:rPr>
      </w:pPr>
      <w:r w:rsidRPr="00B0357A">
        <w:rPr>
          <w:rFonts w:ascii="Times New Roman" w:hAnsi="Times New Roman" w:cs="Times New Roman"/>
          <w:sz w:val="24"/>
          <w:szCs w:val="24"/>
          <w:lang w:val="fr-FR"/>
        </w:rPr>
        <w:t>N</w:t>
      </w:r>
      <w:r w:rsidRPr="00B0357A">
        <w:rPr>
          <w:rFonts w:ascii="Times New Roman" w:hAnsi="Times New Roman" w:cs="Times New Roman"/>
          <w:sz w:val="24"/>
          <w:szCs w:val="24"/>
          <w:vertAlign w:val="superscript"/>
          <w:lang w:val="fr-FR"/>
        </w:rPr>
        <w:t>o</w:t>
      </w:r>
      <w:r w:rsidR="006103CD" w:rsidRPr="00B0357A">
        <w:rPr>
          <w:rFonts w:ascii="Times New Roman" w:hAnsi="Times New Roman" w:cs="Times New Roman"/>
          <w:sz w:val="24"/>
          <w:szCs w:val="24"/>
          <w:vertAlign w:val="superscript"/>
          <w:lang w:val="fr-FR"/>
        </w:rPr>
        <w:t>s</w:t>
      </w:r>
      <w:r w:rsidR="00D064D7" w:rsidRPr="00B0357A">
        <w:rPr>
          <w:rFonts w:ascii="Times New Roman" w:hAnsi="Times New Roman" w:cs="Times New Roman"/>
          <w:sz w:val="24"/>
          <w:szCs w:val="24"/>
          <w:lang w:val="fr-FR"/>
        </w:rPr>
        <w:t xml:space="preserve"> du greffe : </w:t>
      </w:r>
      <w:r w:rsidRPr="00B0357A">
        <w:rPr>
          <w:rFonts w:ascii="Times New Roman" w:hAnsi="Times New Roman" w:cs="Times New Roman"/>
          <w:sz w:val="24"/>
          <w:szCs w:val="24"/>
          <w:lang w:val="fr-FR"/>
        </w:rPr>
        <w:t>34466</w:t>
      </w:r>
      <w:r w:rsidR="006103CD" w:rsidRPr="00B0357A">
        <w:rPr>
          <w:rFonts w:ascii="Times New Roman" w:hAnsi="Times New Roman" w:cs="Times New Roman"/>
          <w:sz w:val="24"/>
          <w:szCs w:val="24"/>
          <w:lang w:val="fr-FR"/>
        </w:rPr>
        <w:t>, 34467, 34468</w:t>
      </w:r>
      <w:r w:rsidR="00BC0F52" w:rsidRPr="00B0357A">
        <w:rPr>
          <w:rFonts w:ascii="Times New Roman" w:hAnsi="Times New Roman" w:cs="Times New Roman"/>
          <w:sz w:val="24"/>
          <w:szCs w:val="24"/>
          <w:lang w:val="fr-FR"/>
        </w:rPr>
        <w:t>.</w:t>
      </w:r>
    </w:p>
    <w:p w:rsidR="007E1579" w:rsidRPr="00B0357A" w:rsidRDefault="007E1579" w:rsidP="00AB090D">
      <w:pPr>
        <w:spacing w:line="240" w:lineRule="auto"/>
        <w:rPr>
          <w:rFonts w:ascii="Times New Roman" w:hAnsi="Times New Roman" w:cs="Times New Roman"/>
          <w:sz w:val="24"/>
          <w:szCs w:val="24"/>
          <w:lang w:val="fr-FR"/>
        </w:rPr>
      </w:pPr>
    </w:p>
    <w:p w:rsidR="007E1579" w:rsidRPr="00B0357A" w:rsidRDefault="007E1579" w:rsidP="00AB090D">
      <w:pPr>
        <w:spacing w:line="240" w:lineRule="auto"/>
        <w:rPr>
          <w:rFonts w:ascii="Times New Roman" w:hAnsi="Times New Roman" w:cs="Times New Roman"/>
          <w:sz w:val="24"/>
          <w:szCs w:val="24"/>
          <w:lang w:val="fr-FR"/>
        </w:rPr>
      </w:pPr>
      <w:r w:rsidRPr="00B0357A">
        <w:rPr>
          <w:rFonts w:ascii="Times New Roman" w:hAnsi="Times New Roman" w:cs="Times New Roman"/>
          <w:sz w:val="24"/>
          <w:szCs w:val="24"/>
          <w:lang w:val="fr-FR"/>
        </w:rPr>
        <w:t>2012 : 24 mai.</w:t>
      </w:r>
    </w:p>
    <w:p w:rsidR="00AB090D" w:rsidRPr="00B0357A" w:rsidRDefault="00AB090D" w:rsidP="00AB090D">
      <w:pPr>
        <w:spacing w:line="240" w:lineRule="auto"/>
        <w:jc w:val="both"/>
        <w:rPr>
          <w:rFonts w:ascii="Times New Roman" w:hAnsi="Times New Roman" w:cs="Times New Roman"/>
          <w:sz w:val="24"/>
          <w:szCs w:val="24"/>
          <w:lang w:val="fr-FR"/>
        </w:rPr>
      </w:pPr>
    </w:p>
    <w:p w:rsidR="00AB090D" w:rsidRPr="00B0357A" w:rsidRDefault="00B1609C" w:rsidP="00AB090D">
      <w:pPr>
        <w:spacing w:line="240" w:lineRule="auto"/>
        <w:jc w:val="both"/>
        <w:rPr>
          <w:rFonts w:ascii="Times New Roman" w:hAnsi="Times New Roman" w:cs="Times New Roman"/>
          <w:sz w:val="24"/>
          <w:szCs w:val="24"/>
          <w:lang w:val="fr-FR"/>
        </w:rPr>
      </w:pPr>
      <w:r w:rsidRPr="00B0357A">
        <w:rPr>
          <w:rFonts w:ascii="Times New Roman" w:hAnsi="Times New Roman" w:cs="Times New Roman"/>
          <w:bCs/>
          <w:sz w:val="24"/>
          <w:szCs w:val="24"/>
          <w:lang w:val="fr-FR"/>
        </w:rPr>
        <w:t xml:space="preserve">Présents : </w:t>
      </w:r>
      <w:r w:rsidR="006103CD" w:rsidRPr="00B0357A">
        <w:rPr>
          <w:rFonts w:ascii="Times New Roman" w:hAnsi="Times New Roman" w:cs="Times New Roman"/>
          <w:bCs/>
          <w:sz w:val="24"/>
          <w:szCs w:val="24"/>
          <w:lang w:val="fr-FR"/>
        </w:rPr>
        <w:t xml:space="preserve">Les juges </w:t>
      </w:r>
      <w:proofErr w:type="spellStart"/>
      <w:r w:rsidR="006103CD" w:rsidRPr="00B0357A">
        <w:rPr>
          <w:rFonts w:ascii="Times New Roman" w:hAnsi="Times New Roman" w:cs="Times New Roman"/>
          <w:bCs/>
          <w:sz w:val="24"/>
          <w:szCs w:val="24"/>
          <w:lang w:val="fr-FR"/>
        </w:rPr>
        <w:t>LeBel</w:t>
      </w:r>
      <w:proofErr w:type="spellEnd"/>
      <w:r w:rsidR="006103CD" w:rsidRPr="00B0357A">
        <w:rPr>
          <w:rFonts w:ascii="Times New Roman" w:hAnsi="Times New Roman" w:cs="Times New Roman"/>
          <w:bCs/>
          <w:sz w:val="24"/>
          <w:szCs w:val="24"/>
          <w:lang w:val="fr-FR"/>
        </w:rPr>
        <w:t xml:space="preserve">, Fish et </w:t>
      </w:r>
      <w:proofErr w:type="spellStart"/>
      <w:r w:rsidR="006103CD" w:rsidRPr="00B0357A">
        <w:rPr>
          <w:rFonts w:ascii="Times New Roman" w:hAnsi="Times New Roman" w:cs="Times New Roman"/>
          <w:bCs/>
          <w:sz w:val="24"/>
          <w:szCs w:val="24"/>
          <w:lang w:val="fr-FR"/>
        </w:rPr>
        <w:t>Karakatsanis</w:t>
      </w:r>
      <w:proofErr w:type="spellEnd"/>
      <w:r w:rsidR="006103CD" w:rsidRPr="00B0357A">
        <w:rPr>
          <w:rFonts w:ascii="Times New Roman" w:hAnsi="Times New Roman" w:cs="Times New Roman"/>
          <w:bCs/>
          <w:sz w:val="24"/>
          <w:szCs w:val="24"/>
          <w:lang w:val="fr-FR"/>
        </w:rPr>
        <w:t>.</w:t>
      </w:r>
    </w:p>
    <w:p w:rsidR="00AB090D" w:rsidRPr="00B0357A" w:rsidRDefault="00AB090D" w:rsidP="00BC0F52">
      <w:pPr>
        <w:spacing w:line="240" w:lineRule="auto"/>
        <w:jc w:val="both"/>
        <w:rPr>
          <w:rFonts w:ascii="Times New Roman" w:hAnsi="Times New Roman" w:cs="Times New Roman"/>
          <w:sz w:val="24"/>
          <w:szCs w:val="24"/>
          <w:u w:val="single"/>
          <w:lang w:val="fr-CA"/>
        </w:rPr>
      </w:pPr>
    </w:p>
    <w:p w:rsidR="00B1609C" w:rsidRPr="00B0357A" w:rsidRDefault="00B1609C" w:rsidP="00AB090D">
      <w:pPr>
        <w:spacing w:after="0" w:line="240" w:lineRule="auto"/>
        <w:jc w:val="both"/>
        <w:rPr>
          <w:rFonts w:ascii="Times New Roman" w:hAnsi="Times New Roman" w:cs="Times New Roman"/>
          <w:smallCaps/>
          <w:sz w:val="24"/>
          <w:szCs w:val="24"/>
          <w:lang w:val="fr-CA"/>
        </w:rPr>
      </w:pPr>
      <w:r w:rsidRPr="00B0357A">
        <w:rPr>
          <w:rFonts w:ascii="Times New Roman" w:hAnsi="Times New Roman" w:cs="Times New Roman"/>
          <w:smallCaps/>
          <w:sz w:val="24"/>
          <w:szCs w:val="24"/>
          <w:lang w:val="fr-CA"/>
        </w:rPr>
        <w:t>requête e</w:t>
      </w:r>
      <w:r w:rsidR="00BC0F52" w:rsidRPr="00B0357A">
        <w:rPr>
          <w:rFonts w:ascii="Times New Roman" w:hAnsi="Times New Roman" w:cs="Times New Roman"/>
          <w:smallCaps/>
          <w:sz w:val="24"/>
          <w:szCs w:val="24"/>
          <w:lang w:val="fr-CA"/>
        </w:rPr>
        <w:t>n cautionnement</w:t>
      </w:r>
    </w:p>
    <w:p w:rsidR="00577A7A" w:rsidRPr="00B0357A" w:rsidRDefault="00577A7A" w:rsidP="00D906D1">
      <w:pPr>
        <w:spacing w:after="480" w:line="480" w:lineRule="auto"/>
        <w:jc w:val="both"/>
        <w:rPr>
          <w:rFonts w:ascii="Times New Roman" w:hAnsi="Times New Roman" w:cs="Times New Roman"/>
          <w:smallCaps/>
          <w:sz w:val="24"/>
          <w:szCs w:val="24"/>
          <w:lang w:val="fr-CA"/>
        </w:rPr>
      </w:pPr>
    </w:p>
    <w:p w:rsidR="004168DB" w:rsidRPr="00B0357A" w:rsidRDefault="00D906D1" w:rsidP="00C56729">
      <w:pPr>
        <w:pStyle w:val="SCCNormalDoubleSpacing"/>
        <w:keepNext/>
        <w:keepLines/>
        <w:spacing w:after="480"/>
        <w:rPr>
          <w:smallCaps/>
          <w:szCs w:val="24"/>
        </w:rPr>
      </w:pPr>
      <w:r w:rsidRPr="00B0357A">
        <w:rPr>
          <w:i/>
          <w:spacing w:val="-3"/>
          <w:szCs w:val="24"/>
        </w:rPr>
        <w:tab/>
      </w:r>
      <w:r w:rsidRPr="00B0357A">
        <w:rPr>
          <w:i/>
        </w:rPr>
        <w:t>Tribunaux</w:t>
      </w:r>
      <w:r w:rsidRPr="00B0357A">
        <w:t xml:space="preserve"> </w:t>
      </w:r>
      <w:r w:rsidR="000C33F9" w:rsidRPr="00B0357A">
        <w:t>—</w:t>
      </w:r>
      <w:r w:rsidRPr="00B0357A">
        <w:t xml:space="preserve"> </w:t>
      </w:r>
      <w:r w:rsidRPr="00B0357A">
        <w:rPr>
          <w:i/>
        </w:rPr>
        <w:t>Cour</w:t>
      </w:r>
      <w:r w:rsidRPr="00B0357A">
        <w:t xml:space="preserve"> </w:t>
      </w:r>
      <w:r w:rsidRPr="00B0357A">
        <w:rPr>
          <w:i/>
          <w:spacing w:val="-3"/>
          <w:szCs w:val="24"/>
        </w:rPr>
        <w:t>suprême</w:t>
      </w:r>
      <w:r w:rsidRPr="00B0357A">
        <w:t xml:space="preserve"> </w:t>
      </w:r>
      <w:r w:rsidRPr="00B0357A">
        <w:rPr>
          <w:i/>
          <w:spacing w:val="-3"/>
          <w:szCs w:val="24"/>
        </w:rPr>
        <w:t xml:space="preserve">du Canada </w:t>
      </w:r>
      <w:r w:rsidR="000C33F9" w:rsidRPr="00B0357A">
        <w:t>—</w:t>
      </w:r>
      <w:r w:rsidRPr="00B0357A">
        <w:rPr>
          <w:i/>
          <w:spacing w:val="-3"/>
          <w:szCs w:val="24"/>
        </w:rPr>
        <w:t xml:space="preserve"> Cautionnement </w:t>
      </w:r>
      <w:r w:rsidR="000C33F9" w:rsidRPr="00B0357A">
        <w:t>—</w:t>
      </w:r>
      <w:r w:rsidRPr="00B0357A">
        <w:rPr>
          <w:i/>
          <w:spacing w:val="-3"/>
          <w:szCs w:val="24"/>
        </w:rPr>
        <w:t xml:space="preserve"> Les demandeurs en autorisation d’appel devraient-ils fournir </w:t>
      </w:r>
      <w:r w:rsidRPr="00B0357A">
        <w:rPr>
          <w:i/>
        </w:rPr>
        <w:t>un</w:t>
      </w:r>
      <w:r w:rsidRPr="00B0357A">
        <w:rPr>
          <w:i/>
          <w:spacing w:val="-3"/>
          <w:szCs w:val="24"/>
        </w:rPr>
        <w:t xml:space="preserve"> cautionnement </w:t>
      </w:r>
      <w:r w:rsidRPr="00B0357A">
        <w:rPr>
          <w:i/>
        </w:rPr>
        <w:t>en</w:t>
      </w:r>
      <w:r w:rsidRPr="00B0357A">
        <w:rPr>
          <w:i/>
          <w:spacing w:val="-3"/>
          <w:szCs w:val="24"/>
        </w:rPr>
        <w:t xml:space="preserve"> garantie de paiement des sommes qu’ils devraient payer si leurs appels </w:t>
      </w:r>
      <w:r w:rsidRPr="00B0357A">
        <w:rPr>
          <w:i/>
        </w:rPr>
        <w:t>devant</w:t>
      </w:r>
      <w:r w:rsidRPr="00B0357A">
        <w:rPr>
          <w:i/>
          <w:spacing w:val="-3"/>
          <w:szCs w:val="24"/>
        </w:rPr>
        <w:t xml:space="preserve"> la Cour échouaient? </w:t>
      </w:r>
      <w:r w:rsidR="000C33F9" w:rsidRPr="00B0357A">
        <w:t>—</w:t>
      </w:r>
      <w:r w:rsidRPr="00B0357A">
        <w:rPr>
          <w:i/>
          <w:spacing w:val="-3"/>
          <w:szCs w:val="24"/>
        </w:rPr>
        <w:t xml:space="preserve"> Loi sur la Cour suprême, L.R.C. 1985, ch. S-26, art. 40, 60(1)b) </w:t>
      </w:r>
      <w:r w:rsidR="000C33F9" w:rsidRPr="00B0357A">
        <w:t>—</w:t>
      </w:r>
      <w:r w:rsidRPr="00B0357A">
        <w:rPr>
          <w:i/>
          <w:spacing w:val="-3"/>
          <w:szCs w:val="24"/>
        </w:rPr>
        <w:t xml:space="preserve"> Règles de la Cour suprême du Canada, DORS/2002-156, art. 47</w:t>
      </w:r>
      <w:r w:rsidRPr="00B0357A">
        <w:t>.</w:t>
      </w:r>
    </w:p>
    <w:p w:rsidR="00577A7A" w:rsidRPr="00B0357A" w:rsidRDefault="004168DB" w:rsidP="00F216BF">
      <w:pPr>
        <w:spacing w:after="480" w:line="480" w:lineRule="auto"/>
        <w:jc w:val="both"/>
        <w:rPr>
          <w:rFonts w:ascii="Times New Roman" w:hAnsi="Times New Roman" w:cs="Times New Roman"/>
          <w:smallCaps/>
          <w:sz w:val="24"/>
          <w:szCs w:val="24"/>
          <w:lang w:val="fr-CA"/>
        </w:rPr>
      </w:pPr>
      <w:r w:rsidRPr="00B0357A">
        <w:rPr>
          <w:rFonts w:ascii="Times New Roman" w:hAnsi="Times New Roman" w:cs="Times New Roman"/>
          <w:b/>
          <w:sz w:val="24"/>
          <w:szCs w:val="24"/>
          <w:lang w:val="fr-CA"/>
        </w:rPr>
        <w:t>Jurisprudence</w:t>
      </w:r>
    </w:p>
    <w:p w:rsidR="00106A1F" w:rsidRPr="00B0357A" w:rsidRDefault="000C33F9" w:rsidP="000C33F9">
      <w:pPr>
        <w:pStyle w:val="SCCNormalDoubleSpacing"/>
        <w:tabs>
          <w:tab w:val="clear" w:pos="1168"/>
          <w:tab w:val="left" w:pos="1170"/>
        </w:tabs>
        <w:spacing w:after="480"/>
        <w:ind w:hanging="720"/>
        <w:rPr>
          <w:rFonts w:ascii="TmsRmn 12pt" w:hAnsi="TmsRmn 12pt"/>
          <w:szCs w:val="24"/>
        </w:rPr>
      </w:pPr>
      <w:r w:rsidRPr="00B0357A">
        <w:rPr>
          <w:b/>
          <w:spacing w:val="-3"/>
          <w:szCs w:val="24"/>
        </w:rPr>
        <w:tab/>
      </w:r>
      <w:r w:rsidRPr="00B0357A">
        <w:rPr>
          <w:b/>
          <w:spacing w:val="-3"/>
          <w:szCs w:val="24"/>
        </w:rPr>
        <w:tab/>
      </w:r>
      <w:r w:rsidR="00D906D1" w:rsidRPr="00B0357A">
        <w:rPr>
          <w:b/>
          <w:spacing w:val="-3"/>
          <w:szCs w:val="24"/>
        </w:rPr>
        <w:t>Arrêt mentionné :</w:t>
      </w:r>
      <w:r w:rsidR="00D906D1" w:rsidRPr="00B0357A">
        <w:rPr>
          <w:i/>
          <w:spacing w:val="-3"/>
          <w:szCs w:val="24"/>
        </w:rPr>
        <w:t xml:space="preserve"> </w:t>
      </w:r>
      <w:proofErr w:type="spellStart"/>
      <w:r w:rsidR="00106A1F" w:rsidRPr="00B0357A">
        <w:rPr>
          <w:i/>
          <w:spacing w:val="-3"/>
          <w:szCs w:val="24"/>
        </w:rPr>
        <w:t>Lanificio</w:t>
      </w:r>
      <w:proofErr w:type="spellEnd"/>
      <w:r w:rsidR="00106A1F" w:rsidRPr="00B0357A">
        <w:rPr>
          <w:i/>
          <w:spacing w:val="-3"/>
          <w:szCs w:val="24"/>
        </w:rPr>
        <w:t xml:space="preserve"> </w:t>
      </w:r>
      <w:proofErr w:type="spellStart"/>
      <w:r w:rsidR="00106A1F" w:rsidRPr="00B0357A">
        <w:rPr>
          <w:i/>
          <w:spacing w:val="-3"/>
          <w:szCs w:val="24"/>
        </w:rPr>
        <w:t>Fratelli</w:t>
      </w:r>
      <w:proofErr w:type="spellEnd"/>
      <w:r w:rsidR="00106A1F" w:rsidRPr="00B0357A">
        <w:rPr>
          <w:i/>
          <w:spacing w:val="-3"/>
          <w:szCs w:val="24"/>
        </w:rPr>
        <w:t xml:space="preserve"> </w:t>
      </w:r>
      <w:proofErr w:type="spellStart"/>
      <w:r w:rsidR="00106A1F" w:rsidRPr="00B0357A">
        <w:rPr>
          <w:i/>
          <w:spacing w:val="-3"/>
          <w:szCs w:val="24"/>
        </w:rPr>
        <w:t>Bettazzi</w:t>
      </w:r>
      <w:proofErr w:type="spellEnd"/>
      <w:r w:rsidR="00106A1F" w:rsidRPr="00B0357A">
        <w:rPr>
          <w:i/>
          <w:spacing w:val="-3"/>
          <w:szCs w:val="24"/>
        </w:rPr>
        <w:t xml:space="preserve"> S.N.C. </w:t>
      </w:r>
      <w:r w:rsidR="00106A1F" w:rsidRPr="00B0357A">
        <w:rPr>
          <w:i/>
          <w:iCs/>
          <w:spacing w:val="-3"/>
          <w:szCs w:val="24"/>
        </w:rPr>
        <w:t>c.</w:t>
      </w:r>
      <w:r w:rsidR="00106A1F" w:rsidRPr="00B0357A">
        <w:rPr>
          <w:i/>
          <w:spacing w:val="-3"/>
          <w:szCs w:val="24"/>
        </w:rPr>
        <w:t xml:space="preserve"> Tissus </w:t>
      </w:r>
      <w:proofErr w:type="spellStart"/>
      <w:r w:rsidR="00106A1F" w:rsidRPr="00B0357A">
        <w:rPr>
          <w:i/>
          <w:spacing w:val="-3"/>
          <w:szCs w:val="24"/>
        </w:rPr>
        <w:t>Ranchar</w:t>
      </w:r>
      <w:proofErr w:type="spellEnd"/>
      <w:r w:rsidR="00106A1F" w:rsidRPr="00B0357A">
        <w:rPr>
          <w:i/>
          <w:spacing w:val="-3"/>
          <w:szCs w:val="24"/>
        </w:rPr>
        <w:t xml:space="preserve"> Inc.</w:t>
      </w:r>
      <w:r w:rsidR="00106A1F" w:rsidRPr="00B0357A">
        <w:rPr>
          <w:rFonts w:ascii="TmsRmn 12pt" w:hAnsi="TmsRmn 12pt"/>
          <w:spacing w:val="-3"/>
          <w:szCs w:val="24"/>
        </w:rPr>
        <w:t>,</w:t>
      </w:r>
      <w:r w:rsidR="00D906D1" w:rsidRPr="00B0357A">
        <w:rPr>
          <w:rFonts w:ascii="TmsRmn 12pt" w:hAnsi="TmsRmn 12pt"/>
          <w:spacing w:val="-3"/>
          <w:szCs w:val="24"/>
        </w:rPr>
        <w:t xml:space="preserve"> </w:t>
      </w:r>
      <w:r w:rsidR="00D906D1" w:rsidRPr="00B0357A">
        <w:t>6 septembre 1990, n</w:t>
      </w:r>
      <w:r w:rsidR="00D906D1" w:rsidRPr="00B0357A">
        <w:rPr>
          <w:vertAlign w:val="superscript"/>
        </w:rPr>
        <w:t>o</w:t>
      </w:r>
      <w:r w:rsidR="00D906D1" w:rsidRPr="00B0357A">
        <w:t> 21373</w:t>
      </w:r>
      <w:r w:rsidR="00106A1F" w:rsidRPr="00B0357A">
        <w:rPr>
          <w:rFonts w:ascii="TmsRmn 12pt" w:hAnsi="TmsRmn 12pt"/>
          <w:spacing w:val="-3"/>
          <w:szCs w:val="24"/>
        </w:rPr>
        <w:t>.</w:t>
      </w:r>
    </w:p>
    <w:p w:rsidR="00577A7A" w:rsidRPr="00B0357A" w:rsidRDefault="00577A7A" w:rsidP="00F216BF">
      <w:pPr>
        <w:spacing w:after="480" w:line="480" w:lineRule="auto"/>
        <w:jc w:val="both"/>
        <w:rPr>
          <w:rFonts w:ascii="Times New Roman" w:hAnsi="Times New Roman" w:cs="Times New Roman"/>
          <w:b/>
          <w:sz w:val="24"/>
          <w:szCs w:val="24"/>
          <w:lang w:val="fr-CA"/>
        </w:rPr>
      </w:pPr>
      <w:r w:rsidRPr="00B0357A">
        <w:rPr>
          <w:rFonts w:ascii="Times New Roman" w:hAnsi="Times New Roman" w:cs="Times New Roman"/>
          <w:b/>
          <w:sz w:val="24"/>
          <w:szCs w:val="24"/>
          <w:lang w:val="fr-CA"/>
        </w:rPr>
        <w:t>Lois et règlements cités</w:t>
      </w:r>
    </w:p>
    <w:p w:rsidR="00577A7A" w:rsidRPr="00B0357A" w:rsidRDefault="00577A7A" w:rsidP="00106A1F">
      <w:pPr>
        <w:pStyle w:val="SCCNormalDoubleSpacing"/>
        <w:spacing w:after="240" w:line="240" w:lineRule="auto"/>
        <w:ind w:left="533" w:hanging="533"/>
        <w:rPr>
          <w:i/>
        </w:rPr>
      </w:pPr>
      <w:r w:rsidRPr="00B0357A">
        <w:rPr>
          <w:i/>
        </w:rPr>
        <w:t>Code de procédure civile</w:t>
      </w:r>
      <w:r w:rsidRPr="003622B9">
        <w:t>,</w:t>
      </w:r>
      <w:r w:rsidRPr="00B0357A">
        <w:rPr>
          <w:i/>
        </w:rPr>
        <w:t xml:space="preserve"> </w:t>
      </w:r>
      <w:r w:rsidRPr="00B0357A">
        <w:t>L.R.Q., ch. C-25, art. 522.1</w:t>
      </w:r>
      <w:r w:rsidR="00D906D1" w:rsidRPr="00B0357A">
        <w:t>.</w:t>
      </w:r>
    </w:p>
    <w:p w:rsidR="00577A7A" w:rsidRPr="00B0357A" w:rsidRDefault="00577A7A" w:rsidP="00106A1F">
      <w:pPr>
        <w:pStyle w:val="SCCNormalDoubleSpacing"/>
        <w:spacing w:after="240" w:line="240" w:lineRule="auto"/>
        <w:ind w:left="533" w:hanging="533"/>
      </w:pPr>
      <w:r w:rsidRPr="00B0357A">
        <w:rPr>
          <w:i/>
        </w:rPr>
        <w:t>Loi sur la Cour suprême</w:t>
      </w:r>
      <w:r w:rsidRPr="00B0357A">
        <w:t xml:space="preserve">, L.R.C. 1985, ch. S-26, art. </w:t>
      </w:r>
      <w:r w:rsidR="003F597C" w:rsidRPr="00B0357A">
        <w:t xml:space="preserve">40, </w:t>
      </w:r>
      <w:r w:rsidRPr="00B0357A">
        <w:t>60(1)</w:t>
      </w:r>
      <w:r w:rsidRPr="00B0357A">
        <w:rPr>
          <w:i/>
        </w:rPr>
        <w:t>b</w:t>
      </w:r>
      <w:r w:rsidRPr="00B0357A">
        <w:t>)</w:t>
      </w:r>
      <w:r w:rsidR="003F597C" w:rsidRPr="00B0357A">
        <w:t xml:space="preserve">, </w:t>
      </w:r>
      <w:r w:rsidR="00D906D1" w:rsidRPr="00B0357A">
        <w:t xml:space="preserve">65, </w:t>
      </w:r>
      <w:r w:rsidR="003F597C" w:rsidRPr="00B0357A">
        <w:t>65.1</w:t>
      </w:r>
      <w:r w:rsidRPr="00B0357A">
        <w:t>.</w:t>
      </w:r>
    </w:p>
    <w:p w:rsidR="004168DB" w:rsidRPr="00B0357A" w:rsidRDefault="004168DB" w:rsidP="00AE3E35">
      <w:pPr>
        <w:pStyle w:val="SCCNormalDoubleSpacing"/>
        <w:spacing w:after="720" w:line="240" w:lineRule="auto"/>
        <w:ind w:left="533" w:hanging="533"/>
        <w:rPr>
          <w:smallCaps/>
          <w:szCs w:val="24"/>
        </w:rPr>
      </w:pPr>
      <w:r w:rsidRPr="00B0357A">
        <w:rPr>
          <w:i/>
        </w:rPr>
        <w:lastRenderedPageBreak/>
        <w:t>Règles de la Cour suprême du Canada</w:t>
      </w:r>
      <w:r w:rsidRPr="00B0357A">
        <w:t>, DORS/2002-156, art. 47.</w:t>
      </w:r>
    </w:p>
    <w:p w:rsidR="002F7AB0" w:rsidRPr="00B0357A" w:rsidRDefault="002F7AB0" w:rsidP="002F7AB0">
      <w:pPr>
        <w:pStyle w:val="SCCNormalDoubleSpacing"/>
        <w:keepNext/>
        <w:keepLines/>
        <w:spacing w:after="480"/>
        <w:rPr>
          <w:b/>
        </w:rPr>
      </w:pPr>
      <w:r w:rsidRPr="00B0357A">
        <w:rPr>
          <w:b/>
        </w:rPr>
        <w:t>Doctrine et autres documents cités</w:t>
      </w:r>
    </w:p>
    <w:p w:rsidR="002F7AB0" w:rsidRPr="00B0357A" w:rsidRDefault="002F7AB0" w:rsidP="004168DB">
      <w:pPr>
        <w:pStyle w:val="SCCNormalDoubleSpacing"/>
        <w:spacing w:after="720" w:line="240" w:lineRule="auto"/>
        <w:ind w:left="533" w:hanging="533"/>
      </w:pPr>
      <w:r w:rsidRPr="00B0357A">
        <w:rPr>
          <w:lang w:val="en-US"/>
        </w:rPr>
        <w:t xml:space="preserve">Brown, Henry S.  </w:t>
      </w:r>
      <w:r w:rsidRPr="00B0357A">
        <w:rPr>
          <w:i/>
          <w:lang w:val="en-US"/>
        </w:rPr>
        <w:t>Supreme Court of Canada Practice 2012</w:t>
      </w:r>
      <w:r w:rsidRPr="00B0357A">
        <w:rPr>
          <w:lang w:val="en-US"/>
        </w:rPr>
        <w:t xml:space="preserve">, 12th </w:t>
      </w:r>
      <w:proofErr w:type="gramStart"/>
      <w:r w:rsidRPr="00B0357A">
        <w:rPr>
          <w:lang w:val="en-US"/>
        </w:rPr>
        <w:t>ed</w:t>
      </w:r>
      <w:proofErr w:type="gramEnd"/>
      <w:r w:rsidR="004168DB" w:rsidRPr="00B0357A">
        <w:rPr>
          <w:lang w:val="en-US"/>
        </w:rPr>
        <w:t xml:space="preserve">.  </w:t>
      </w:r>
      <w:r w:rsidR="004168DB" w:rsidRPr="00B0357A">
        <w:t>Scarborough, Ont.</w:t>
      </w:r>
      <w:r w:rsidR="00720E15" w:rsidRPr="00B0357A">
        <w:t xml:space="preserve"> </w:t>
      </w:r>
      <w:r w:rsidR="004168DB" w:rsidRPr="00B0357A">
        <w:t xml:space="preserve">: Thomson Professional </w:t>
      </w:r>
      <w:proofErr w:type="spellStart"/>
      <w:r w:rsidR="004168DB" w:rsidRPr="00B0357A">
        <w:t>Publishing</w:t>
      </w:r>
      <w:proofErr w:type="spellEnd"/>
      <w:r w:rsidR="004168DB" w:rsidRPr="00B0357A">
        <w:t xml:space="preserve"> Canada</w:t>
      </w:r>
      <w:r w:rsidRPr="00B0357A">
        <w:t>, 2011.</w:t>
      </w:r>
    </w:p>
    <w:p w:rsidR="00577A7A" w:rsidRPr="00B0357A" w:rsidRDefault="00577A7A" w:rsidP="002F7AB0">
      <w:pPr>
        <w:pStyle w:val="SCCNormalDoubleSpacing"/>
        <w:keepNext/>
        <w:keepLines/>
        <w:spacing w:after="480"/>
      </w:pPr>
      <w:r w:rsidRPr="00B0357A">
        <w:tab/>
        <w:t>REQUÊTE en cautionnement</w:t>
      </w:r>
      <w:r w:rsidR="00920F76" w:rsidRPr="00B0357A">
        <w:t xml:space="preserve">.  Requête </w:t>
      </w:r>
      <w:r w:rsidR="00106A1F" w:rsidRPr="00B0357A">
        <w:t>rejetée.</w:t>
      </w:r>
    </w:p>
    <w:p w:rsidR="00D906D1" w:rsidRPr="00B0357A" w:rsidRDefault="0046331E" w:rsidP="00D906D1">
      <w:pPr>
        <w:pStyle w:val="SCCNormalDoubleSpacing"/>
        <w:keepNext/>
        <w:keepLines/>
        <w:spacing w:after="480"/>
      </w:pPr>
      <w:r w:rsidRPr="00B0357A">
        <w:tab/>
      </w:r>
      <w:r w:rsidR="00D906D1" w:rsidRPr="00B0357A">
        <w:t xml:space="preserve">Argumentation écrite par </w:t>
      </w:r>
      <w:r w:rsidR="00D906D1" w:rsidRPr="00B0357A">
        <w:rPr>
          <w:i/>
        </w:rPr>
        <w:t xml:space="preserve">Gilles </w:t>
      </w:r>
      <w:r w:rsidR="00E3268D" w:rsidRPr="00B0357A">
        <w:rPr>
          <w:i/>
        </w:rPr>
        <w:t xml:space="preserve">M. </w:t>
      </w:r>
      <w:proofErr w:type="spellStart"/>
      <w:r w:rsidR="00D906D1" w:rsidRPr="00B0357A">
        <w:rPr>
          <w:i/>
        </w:rPr>
        <w:t>Daigle</w:t>
      </w:r>
      <w:proofErr w:type="spellEnd"/>
      <w:r w:rsidR="00D906D1" w:rsidRPr="00B0357A">
        <w:t xml:space="preserve">, </w:t>
      </w:r>
      <w:r w:rsidR="00D906D1" w:rsidRPr="00B0357A">
        <w:rPr>
          <w:i/>
        </w:rPr>
        <w:t xml:space="preserve">Guy </w:t>
      </w:r>
      <w:proofErr w:type="spellStart"/>
      <w:r w:rsidR="00D906D1" w:rsidRPr="00B0357A">
        <w:rPr>
          <w:i/>
        </w:rPr>
        <w:t>Régimbald</w:t>
      </w:r>
      <w:proofErr w:type="spellEnd"/>
      <w:r w:rsidR="00D906D1" w:rsidRPr="00B0357A">
        <w:t xml:space="preserve"> et </w:t>
      </w:r>
      <w:r w:rsidR="00D906D1" w:rsidRPr="00B0357A">
        <w:rPr>
          <w:i/>
        </w:rPr>
        <w:t xml:space="preserve">Normand </w:t>
      </w:r>
      <w:proofErr w:type="spellStart"/>
      <w:r w:rsidR="00D906D1" w:rsidRPr="00B0357A">
        <w:rPr>
          <w:i/>
        </w:rPr>
        <w:t>Tamaro</w:t>
      </w:r>
      <w:proofErr w:type="spellEnd"/>
      <w:r w:rsidR="0047181B" w:rsidRPr="00B0357A">
        <w:t xml:space="preserve">, </w:t>
      </w:r>
      <w:r w:rsidR="00D906D1" w:rsidRPr="00B0357A">
        <w:t>pour les intimés</w:t>
      </w:r>
      <w:r w:rsidR="0047181B" w:rsidRPr="00B0357A">
        <w:t>/requérants à la requête</w:t>
      </w:r>
      <w:r w:rsidR="00D906D1" w:rsidRPr="00B0357A">
        <w:t>.</w:t>
      </w:r>
    </w:p>
    <w:p w:rsidR="00494216" w:rsidRPr="00B0357A" w:rsidRDefault="00494216" w:rsidP="002F7AB0">
      <w:pPr>
        <w:pStyle w:val="SCCNormalDoubleSpacing"/>
        <w:keepNext/>
        <w:keepLines/>
        <w:spacing w:after="480"/>
      </w:pPr>
      <w:r w:rsidRPr="00B0357A">
        <w:tab/>
        <w:t>Argumentation écrite par</w:t>
      </w:r>
      <w:r w:rsidR="00FC6419" w:rsidRPr="00B0357A">
        <w:t xml:space="preserve"> </w:t>
      </w:r>
      <w:r w:rsidR="00FC6419" w:rsidRPr="00B0357A">
        <w:rPr>
          <w:i/>
        </w:rPr>
        <w:t xml:space="preserve">William </w:t>
      </w:r>
      <w:proofErr w:type="spellStart"/>
      <w:r w:rsidR="00FC6419" w:rsidRPr="00B0357A">
        <w:rPr>
          <w:i/>
        </w:rPr>
        <w:t>Brock</w:t>
      </w:r>
      <w:proofErr w:type="spellEnd"/>
      <w:r w:rsidR="0047181B" w:rsidRPr="00B0357A">
        <w:t xml:space="preserve"> et </w:t>
      </w:r>
      <w:proofErr w:type="spellStart"/>
      <w:r w:rsidR="0047181B" w:rsidRPr="00B0357A">
        <w:rPr>
          <w:i/>
        </w:rPr>
        <w:t>Cara</w:t>
      </w:r>
      <w:proofErr w:type="spellEnd"/>
      <w:r w:rsidR="0047181B" w:rsidRPr="00B0357A">
        <w:rPr>
          <w:i/>
        </w:rPr>
        <w:t xml:space="preserve"> Cameron</w:t>
      </w:r>
      <w:r w:rsidR="0047181B" w:rsidRPr="00B0357A">
        <w:t>,</w:t>
      </w:r>
      <w:r w:rsidR="00FC6419" w:rsidRPr="00B0357A">
        <w:t xml:space="preserve"> pour les </w:t>
      </w:r>
      <w:r w:rsidR="0047181B" w:rsidRPr="00B0357A">
        <w:t>demandeur</w:t>
      </w:r>
      <w:r w:rsidR="00FC6419" w:rsidRPr="00B0357A">
        <w:t>s</w:t>
      </w:r>
      <w:r w:rsidR="0047181B" w:rsidRPr="00B0357A">
        <w:t>/intimés à la requête</w:t>
      </w:r>
      <w:r w:rsidR="00FC6419" w:rsidRPr="00B0357A">
        <w:t xml:space="preserve"> </w:t>
      </w:r>
      <w:proofErr w:type="spellStart"/>
      <w:r w:rsidR="00FC6419" w:rsidRPr="00B0357A">
        <w:rPr>
          <w:szCs w:val="24"/>
          <w:lang w:val="fr-FR"/>
        </w:rPr>
        <w:t>C</w:t>
      </w:r>
      <w:r w:rsidR="00D34245" w:rsidRPr="00B0357A">
        <w:rPr>
          <w:szCs w:val="24"/>
          <w:lang w:val="fr-FR"/>
        </w:rPr>
        <w:t>inar</w:t>
      </w:r>
      <w:proofErr w:type="spellEnd"/>
      <w:r w:rsidR="00D34245" w:rsidRPr="00B0357A">
        <w:rPr>
          <w:szCs w:val="24"/>
          <w:lang w:val="fr-FR"/>
        </w:rPr>
        <w:t xml:space="preserve"> C</w:t>
      </w:r>
      <w:r w:rsidR="00FC6419" w:rsidRPr="00B0357A">
        <w:rPr>
          <w:szCs w:val="24"/>
          <w:lang w:val="fr-FR"/>
        </w:rPr>
        <w:t xml:space="preserve">orporation et Les Films </w:t>
      </w:r>
      <w:proofErr w:type="spellStart"/>
      <w:r w:rsidR="00FC6419" w:rsidRPr="00B0357A">
        <w:rPr>
          <w:szCs w:val="24"/>
          <w:lang w:val="fr-FR"/>
        </w:rPr>
        <w:t>Cinar</w:t>
      </w:r>
      <w:proofErr w:type="spellEnd"/>
      <w:r w:rsidR="00FC6419" w:rsidRPr="00B0357A">
        <w:rPr>
          <w:szCs w:val="24"/>
          <w:lang w:val="fr-FR"/>
        </w:rPr>
        <w:t xml:space="preserve"> Inc.</w:t>
      </w:r>
    </w:p>
    <w:p w:rsidR="00D064D7" w:rsidRPr="00B0357A" w:rsidRDefault="00D064D7" w:rsidP="002F7AB0">
      <w:pPr>
        <w:pStyle w:val="SCCNormalDoubleSpacing"/>
        <w:keepNext/>
        <w:keepLines/>
        <w:spacing w:after="480"/>
        <w:rPr>
          <w:szCs w:val="24"/>
          <w:lang w:val="fr-FR"/>
        </w:rPr>
      </w:pPr>
      <w:r w:rsidRPr="00B0357A">
        <w:tab/>
        <w:t>Argumentation écrite par</w:t>
      </w:r>
      <w:r w:rsidR="00910DDD" w:rsidRPr="00B0357A">
        <w:t xml:space="preserve"> </w:t>
      </w:r>
      <w:proofErr w:type="spellStart"/>
      <w:r w:rsidR="00910DDD" w:rsidRPr="00B0357A">
        <w:rPr>
          <w:i/>
        </w:rPr>
        <w:t>Rayn</w:t>
      </w:r>
      <w:r w:rsidR="00D906D1" w:rsidRPr="00B0357A">
        <w:rPr>
          <w:i/>
        </w:rPr>
        <w:t>o</w:t>
      </w:r>
      <w:r w:rsidR="00910DDD" w:rsidRPr="00B0357A">
        <w:rPr>
          <w:i/>
        </w:rPr>
        <w:t>ld</w:t>
      </w:r>
      <w:proofErr w:type="spellEnd"/>
      <w:r w:rsidR="00910DDD" w:rsidRPr="00B0357A">
        <w:rPr>
          <w:i/>
        </w:rPr>
        <w:t xml:space="preserve"> Langlois</w:t>
      </w:r>
      <w:r w:rsidR="00910DDD" w:rsidRPr="00B0357A">
        <w:t xml:space="preserve">, </w:t>
      </w:r>
      <w:proofErr w:type="gramStart"/>
      <w:r w:rsidR="00910DDD" w:rsidRPr="00B0357A">
        <w:rPr>
          <w:i/>
        </w:rPr>
        <w:t>c.r.</w:t>
      </w:r>
      <w:r w:rsidR="00910DDD" w:rsidRPr="00B0357A">
        <w:t>,</w:t>
      </w:r>
      <w:proofErr w:type="gramEnd"/>
      <w:r w:rsidR="00910DDD" w:rsidRPr="00B0357A">
        <w:t xml:space="preserve"> </w:t>
      </w:r>
      <w:r w:rsidR="0047181B" w:rsidRPr="00B0357A">
        <w:rPr>
          <w:i/>
        </w:rPr>
        <w:t xml:space="preserve">Dimitri </w:t>
      </w:r>
      <w:proofErr w:type="spellStart"/>
      <w:r w:rsidR="0047181B" w:rsidRPr="00B0357A">
        <w:rPr>
          <w:i/>
        </w:rPr>
        <w:t>Maniatis</w:t>
      </w:r>
      <w:proofErr w:type="spellEnd"/>
      <w:r w:rsidR="0047181B" w:rsidRPr="00B0357A">
        <w:t xml:space="preserve"> et </w:t>
      </w:r>
      <w:r w:rsidR="0047181B" w:rsidRPr="00B0357A">
        <w:rPr>
          <w:i/>
        </w:rPr>
        <w:t xml:space="preserve">Jean-Patrick </w:t>
      </w:r>
      <w:proofErr w:type="spellStart"/>
      <w:r w:rsidR="0047181B" w:rsidRPr="00B0357A">
        <w:rPr>
          <w:i/>
        </w:rPr>
        <w:t>Dallaire</w:t>
      </w:r>
      <w:proofErr w:type="spellEnd"/>
      <w:r w:rsidR="0047181B" w:rsidRPr="00B0357A">
        <w:t xml:space="preserve">, </w:t>
      </w:r>
      <w:r w:rsidR="00910DDD" w:rsidRPr="00B0357A">
        <w:t>pour les</w:t>
      </w:r>
      <w:r w:rsidR="000C33F9" w:rsidRPr="00B0357A">
        <w:t xml:space="preserve"> demandeurs/intimés</w:t>
      </w:r>
      <w:r w:rsidR="00910DDD" w:rsidRPr="00B0357A">
        <w:t xml:space="preserve"> </w:t>
      </w:r>
      <w:r w:rsidR="00280A36" w:rsidRPr="00B0357A">
        <w:t xml:space="preserve">à la requête </w:t>
      </w:r>
      <w:r w:rsidR="00910DDD" w:rsidRPr="00B0357A">
        <w:rPr>
          <w:szCs w:val="24"/>
        </w:rPr>
        <w:t>R</w:t>
      </w:r>
      <w:proofErr w:type="spellStart"/>
      <w:r w:rsidR="00910DDD" w:rsidRPr="00B0357A">
        <w:rPr>
          <w:szCs w:val="24"/>
          <w:lang w:val="fr-FR"/>
        </w:rPr>
        <w:t>onald</w:t>
      </w:r>
      <w:proofErr w:type="spellEnd"/>
      <w:r w:rsidR="00910DDD" w:rsidRPr="00B0357A">
        <w:rPr>
          <w:szCs w:val="24"/>
          <w:lang w:val="fr-FR"/>
        </w:rPr>
        <w:t xml:space="preserve"> A. Weinberg et Ronald A. Weinberg, en qualité d’unique liquidateur de la succession de feu Micheline Charest.</w:t>
      </w:r>
    </w:p>
    <w:p w:rsidR="00955DB3" w:rsidRPr="00B0357A" w:rsidRDefault="00955DB3" w:rsidP="002F7AB0">
      <w:pPr>
        <w:pStyle w:val="SCCNormalDoubleSpacing"/>
        <w:keepNext/>
        <w:keepLines/>
        <w:spacing w:after="480"/>
        <w:rPr>
          <w:b/>
        </w:rPr>
      </w:pPr>
      <w:r w:rsidRPr="00B0357A">
        <w:rPr>
          <w:szCs w:val="24"/>
          <w:lang w:val="fr-FR"/>
        </w:rPr>
        <w:tab/>
        <w:t xml:space="preserve">Argumentation écrite par </w:t>
      </w:r>
      <w:r w:rsidRPr="00B0357A">
        <w:rPr>
          <w:i/>
          <w:szCs w:val="24"/>
          <w:lang w:val="fr-FR"/>
        </w:rPr>
        <w:t>Pierre Y. Lefebvre</w:t>
      </w:r>
      <w:r w:rsidRPr="00B0357A">
        <w:rPr>
          <w:szCs w:val="24"/>
          <w:lang w:val="fr-FR"/>
        </w:rPr>
        <w:t xml:space="preserve">, </w:t>
      </w:r>
      <w:r w:rsidR="0047181B" w:rsidRPr="00B0357A">
        <w:rPr>
          <w:i/>
          <w:szCs w:val="24"/>
          <w:lang w:val="fr-FR"/>
        </w:rPr>
        <w:t>Alain Y</w:t>
      </w:r>
      <w:r w:rsidR="00280A36" w:rsidRPr="00B0357A">
        <w:rPr>
          <w:i/>
          <w:szCs w:val="24"/>
          <w:lang w:val="fr-FR"/>
        </w:rPr>
        <w:t>.</w:t>
      </w:r>
      <w:r w:rsidR="0047181B" w:rsidRPr="00B0357A">
        <w:rPr>
          <w:i/>
          <w:szCs w:val="24"/>
          <w:lang w:val="fr-FR"/>
        </w:rPr>
        <w:t xml:space="preserve"> Dussault</w:t>
      </w:r>
      <w:r w:rsidR="0047181B" w:rsidRPr="00B0357A">
        <w:rPr>
          <w:szCs w:val="24"/>
          <w:lang w:val="fr-FR"/>
        </w:rPr>
        <w:t xml:space="preserve"> et </w:t>
      </w:r>
      <w:proofErr w:type="spellStart"/>
      <w:r w:rsidR="0047181B" w:rsidRPr="00B0357A">
        <w:rPr>
          <w:i/>
          <w:szCs w:val="24"/>
          <w:lang w:val="fr-FR"/>
        </w:rPr>
        <w:t>Sylviu</w:t>
      </w:r>
      <w:proofErr w:type="spellEnd"/>
      <w:r w:rsidR="0047181B" w:rsidRPr="00B0357A">
        <w:rPr>
          <w:i/>
          <w:szCs w:val="24"/>
          <w:lang w:val="fr-FR"/>
        </w:rPr>
        <w:t xml:space="preserve"> </w:t>
      </w:r>
      <w:proofErr w:type="spellStart"/>
      <w:r w:rsidR="0047181B" w:rsidRPr="00B0357A">
        <w:rPr>
          <w:i/>
          <w:szCs w:val="24"/>
          <w:lang w:val="fr-FR"/>
        </w:rPr>
        <w:t>Bursanescu</w:t>
      </w:r>
      <w:proofErr w:type="spellEnd"/>
      <w:r w:rsidR="003A3491" w:rsidRPr="003A3491">
        <w:rPr>
          <w:szCs w:val="24"/>
          <w:lang w:val="fr-FR"/>
        </w:rPr>
        <w:t>,</w:t>
      </w:r>
      <w:r w:rsidR="0047181B" w:rsidRPr="00B0357A">
        <w:rPr>
          <w:szCs w:val="24"/>
          <w:lang w:val="fr-FR"/>
        </w:rPr>
        <w:t xml:space="preserve"> </w:t>
      </w:r>
      <w:r w:rsidRPr="00B0357A">
        <w:rPr>
          <w:szCs w:val="24"/>
          <w:lang w:val="fr-FR"/>
        </w:rPr>
        <w:t xml:space="preserve">pour </w:t>
      </w:r>
      <w:bookmarkStart w:id="0" w:name="OLE_LINK1"/>
      <w:bookmarkStart w:id="1" w:name="OLE_LINK2"/>
      <w:r w:rsidRPr="00B0357A">
        <w:rPr>
          <w:szCs w:val="24"/>
          <w:lang w:val="fr-FR"/>
        </w:rPr>
        <w:t>l</w:t>
      </w:r>
      <w:r w:rsidR="007E1579" w:rsidRPr="00B0357A">
        <w:rPr>
          <w:szCs w:val="24"/>
          <w:lang w:val="fr-FR"/>
        </w:rPr>
        <w:t xml:space="preserve">es </w:t>
      </w:r>
      <w:r w:rsidR="0047181B" w:rsidRPr="00B0357A">
        <w:rPr>
          <w:szCs w:val="24"/>
          <w:lang w:val="fr-FR"/>
        </w:rPr>
        <w:t>demandeur</w:t>
      </w:r>
      <w:r w:rsidR="007E1579" w:rsidRPr="00B0357A">
        <w:rPr>
          <w:szCs w:val="24"/>
          <w:lang w:val="fr-FR"/>
        </w:rPr>
        <w:t>s</w:t>
      </w:r>
      <w:r w:rsidR="0047181B" w:rsidRPr="00B0357A">
        <w:rPr>
          <w:szCs w:val="24"/>
          <w:lang w:val="fr-FR"/>
        </w:rPr>
        <w:t>/intimés à la requête</w:t>
      </w:r>
      <w:r w:rsidRPr="00B0357A">
        <w:rPr>
          <w:szCs w:val="24"/>
          <w:lang w:val="fr-FR"/>
        </w:rPr>
        <w:t xml:space="preserve"> </w:t>
      </w:r>
      <w:r w:rsidRPr="00B0357A">
        <w:rPr>
          <w:szCs w:val="24"/>
        </w:rPr>
        <w:t>Christophe Izard</w:t>
      </w:r>
      <w:r w:rsidR="007E1579" w:rsidRPr="003A3491">
        <w:rPr>
          <w:szCs w:val="24"/>
        </w:rPr>
        <w:t>,</w:t>
      </w:r>
      <w:r w:rsidR="007E1579" w:rsidRPr="00B0357A">
        <w:rPr>
          <w:i/>
          <w:szCs w:val="24"/>
        </w:rPr>
        <w:t xml:space="preserve"> </w:t>
      </w:r>
      <w:r w:rsidR="007E1579" w:rsidRPr="00B0357A">
        <w:rPr>
          <w:szCs w:val="24"/>
        </w:rPr>
        <w:t xml:space="preserve">France Animation </w:t>
      </w:r>
      <w:r w:rsidR="00D906D1" w:rsidRPr="00B0357A">
        <w:rPr>
          <w:szCs w:val="24"/>
        </w:rPr>
        <w:t>S.A.</w:t>
      </w:r>
      <w:r w:rsidR="007E1579" w:rsidRPr="00B0357A">
        <w:rPr>
          <w:szCs w:val="24"/>
        </w:rPr>
        <w:t xml:space="preserve">, Ravensburger Film + TV </w:t>
      </w:r>
      <w:proofErr w:type="spellStart"/>
      <w:r w:rsidR="007E1579" w:rsidRPr="00B0357A">
        <w:rPr>
          <w:szCs w:val="24"/>
        </w:rPr>
        <w:t>G</w:t>
      </w:r>
      <w:r w:rsidR="0047181B" w:rsidRPr="00B0357A">
        <w:rPr>
          <w:szCs w:val="24"/>
        </w:rPr>
        <w:t>mb</w:t>
      </w:r>
      <w:r w:rsidR="007E1579" w:rsidRPr="00B0357A">
        <w:rPr>
          <w:szCs w:val="24"/>
        </w:rPr>
        <w:t>H</w:t>
      </w:r>
      <w:proofErr w:type="spellEnd"/>
      <w:r w:rsidR="007E1579" w:rsidRPr="00B0357A">
        <w:rPr>
          <w:szCs w:val="24"/>
        </w:rPr>
        <w:t xml:space="preserve"> et RTV </w:t>
      </w:r>
      <w:proofErr w:type="spellStart"/>
      <w:r w:rsidR="007E1579" w:rsidRPr="00B0357A">
        <w:rPr>
          <w:szCs w:val="24"/>
        </w:rPr>
        <w:t>Family</w:t>
      </w:r>
      <w:proofErr w:type="spellEnd"/>
      <w:r w:rsidR="007E1579" w:rsidRPr="00B0357A">
        <w:rPr>
          <w:szCs w:val="24"/>
        </w:rPr>
        <w:t xml:space="preserve"> Entertainment AG</w:t>
      </w:r>
      <w:bookmarkEnd w:id="0"/>
      <w:bookmarkEnd w:id="1"/>
      <w:r w:rsidRPr="00B0357A">
        <w:rPr>
          <w:szCs w:val="24"/>
        </w:rPr>
        <w:t>.</w:t>
      </w:r>
    </w:p>
    <w:p w:rsidR="00BC0F52" w:rsidRPr="00B0357A" w:rsidRDefault="009A738D" w:rsidP="009A738D">
      <w:pPr>
        <w:tabs>
          <w:tab w:val="left" w:pos="1170"/>
        </w:tabs>
        <w:spacing w:after="480" w:line="480" w:lineRule="auto"/>
        <w:jc w:val="both"/>
        <w:rPr>
          <w:rFonts w:ascii="Times New Roman" w:hAnsi="Times New Roman" w:cs="Times New Roman"/>
          <w:sz w:val="24"/>
          <w:szCs w:val="24"/>
          <w:lang w:val="fr-CA"/>
        </w:rPr>
      </w:pPr>
      <w:r w:rsidRPr="00B0357A">
        <w:rPr>
          <w:rFonts w:ascii="Times New Roman" w:hAnsi="Times New Roman" w:cs="Times New Roman"/>
          <w:sz w:val="24"/>
          <w:szCs w:val="24"/>
          <w:lang w:val="fr-CA"/>
        </w:rPr>
        <w:tab/>
        <w:t>L’ordonnance suivante a été rendue par</w:t>
      </w:r>
    </w:p>
    <w:p w:rsidR="00AB090D" w:rsidRPr="00B0357A" w:rsidRDefault="009A738D" w:rsidP="00AB090D">
      <w:pPr>
        <w:pStyle w:val="ParaNoNdepar-AltN"/>
        <w:rPr>
          <w:lang w:val="fr-CA"/>
        </w:rPr>
      </w:pPr>
      <w:r w:rsidRPr="00B0357A">
        <w:rPr>
          <w:smallCaps/>
          <w:lang w:val="fr-CA"/>
        </w:rPr>
        <w:lastRenderedPageBreak/>
        <w:t>Le juge LeBel</w:t>
      </w:r>
      <w:r w:rsidRPr="00B0357A">
        <w:rPr>
          <w:lang w:val="fr-CA"/>
        </w:rPr>
        <w:t xml:space="preserve"> </w:t>
      </w:r>
      <w:r w:rsidRPr="00B0357A">
        <w:rPr>
          <w:rFonts w:cs="Times New Roman"/>
          <w:lang w:val="fr-CA"/>
        </w:rPr>
        <w:t>—</w:t>
      </w:r>
      <w:r w:rsidRPr="00B0357A">
        <w:rPr>
          <w:lang w:val="fr-CA"/>
        </w:rPr>
        <w:t xml:space="preserve"> </w:t>
      </w:r>
      <w:r w:rsidR="00AB090D" w:rsidRPr="00B0357A">
        <w:rPr>
          <w:lang w:val="fr-CA"/>
        </w:rPr>
        <w:t>Les intimés, Claude Robinson et Les Productions Nilem Inc., demandent que notre Cour ordonne aux demandeurs de fournir un cautionnement de 3 250 000 $ en garantie de paiement des sommes qu’ils devraient payer si leurs appels devant notre Cour échouaient. Selon les intimés, cette requête se fonde sur l’al. 60(1)</w:t>
      </w:r>
      <w:r w:rsidR="00AB090D" w:rsidRPr="00B0357A">
        <w:rPr>
          <w:i/>
          <w:lang w:val="fr-CA"/>
        </w:rPr>
        <w:t>b</w:t>
      </w:r>
      <w:r w:rsidR="00AB090D" w:rsidRPr="00B0357A">
        <w:rPr>
          <w:lang w:val="fr-CA"/>
        </w:rPr>
        <w:t xml:space="preserve">) de la </w:t>
      </w:r>
      <w:r w:rsidR="00AB090D" w:rsidRPr="00B0357A">
        <w:rPr>
          <w:i/>
          <w:lang w:val="fr-CA"/>
        </w:rPr>
        <w:t>Loi sur la Cour suprême</w:t>
      </w:r>
      <w:r w:rsidR="00AB090D" w:rsidRPr="00B0357A">
        <w:rPr>
          <w:lang w:val="fr-CA"/>
        </w:rPr>
        <w:t xml:space="preserve">, L.R.C. 1985, ch. S-26, et sur l’art. 47 des </w:t>
      </w:r>
      <w:r w:rsidR="00AB090D" w:rsidRPr="00B0357A">
        <w:rPr>
          <w:i/>
          <w:lang w:val="fr-CA"/>
        </w:rPr>
        <w:t>Règles de la Cour suprême du Canada</w:t>
      </w:r>
      <w:r w:rsidR="00AB090D" w:rsidRPr="00B0357A">
        <w:rPr>
          <w:lang w:val="fr-CA"/>
        </w:rPr>
        <w:t>, DORS/2002-156. Cette requête a été présentée à la toute fin de la procédure d’autorisation d’appel, après qu’un avis eut été donné que notre Cour s’apprêtait à rendre jugement à l’égard des demandes d’autorisation d’appel des parties.</w:t>
      </w:r>
    </w:p>
    <w:p w:rsidR="00AB090D" w:rsidRPr="00B0357A" w:rsidRDefault="00AB090D" w:rsidP="00AB090D">
      <w:pPr>
        <w:pStyle w:val="ParaNoNdepar-AltN"/>
        <w:rPr>
          <w:lang w:val="fr-CA"/>
        </w:rPr>
      </w:pPr>
      <w:r w:rsidRPr="00B0357A">
        <w:rPr>
          <w:lang w:val="fr-CA"/>
        </w:rPr>
        <w:t xml:space="preserve">Les intimés ont obtenu un jugement de la Cour supérieure ([2009] R.J.Q. 2261) qui a ordonné aux demandeurs de leur verser des dommages-intérêts pour une violation de leurs droits d’auteur. La Cour d’appel du Québec a maintenu en partie cette condamnation ([2011] R.J.Q. 1415). Après le jugement de la Cour d’appel, en vertu de l’art. 522.1 du </w:t>
      </w:r>
      <w:r w:rsidRPr="00B0357A">
        <w:rPr>
          <w:i/>
          <w:lang w:val="fr-CA"/>
        </w:rPr>
        <w:t xml:space="preserve">Code de procédure civile </w:t>
      </w:r>
      <w:r w:rsidRPr="00B0357A">
        <w:rPr>
          <w:lang w:val="fr-CA"/>
        </w:rPr>
        <w:t>du Québec,</w:t>
      </w:r>
      <w:r w:rsidRPr="00B0357A">
        <w:rPr>
          <w:i/>
          <w:lang w:val="fr-CA"/>
        </w:rPr>
        <w:t xml:space="preserve"> </w:t>
      </w:r>
      <w:r w:rsidRPr="00B0357A">
        <w:rPr>
          <w:lang w:val="fr-CA"/>
        </w:rPr>
        <w:t>L.R.Q., ch. C-25 (« </w:t>
      </w:r>
      <w:proofErr w:type="spellStart"/>
      <w:r w:rsidRPr="00B0357A">
        <w:rPr>
          <w:i/>
          <w:lang w:val="fr-CA"/>
        </w:rPr>
        <w:t>C.p.c</w:t>
      </w:r>
      <w:proofErr w:type="spellEnd"/>
      <w:r w:rsidRPr="00B0357A">
        <w:rPr>
          <w:i/>
          <w:lang w:val="fr-CA"/>
        </w:rPr>
        <w:t>.</w:t>
      </w:r>
      <w:r w:rsidRPr="00B0357A">
        <w:rPr>
          <w:lang w:val="fr-CA"/>
        </w:rPr>
        <w:t xml:space="preserve"> »), et de l’art. 65.1 de la </w:t>
      </w:r>
      <w:r w:rsidRPr="00B0357A">
        <w:rPr>
          <w:i/>
          <w:lang w:val="fr-CA"/>
        </w:rPr>
        <w:t>Loi sur la Cour suprême</w:t>
      </w:r>
      <w:r w:rsidRPr="00B0357A">
        <w:rPr>
          <w:lang w:val="fr-CA"/>
        </w:rPr>
        <w:t>, les demandeurs ont demandé à un juge de la Cour d’appel de surseoir à l’exécution de son jugement, pendant l’examen de leurs demandes d’autorisation d’appel et pendant les pourvois si ces demandes étaient accordées.</w:t>
      </w:r>
    </w:p>
    <w:p w:rsidR="00AB090D" w:rsidRPr="00B0357A" w:rsidRDefault="00AB090D" w:rsidP="00AB090D">
      <w:pPr>
        <w:pStyle w:val="ParaNoNdepar-AltN"/>
        <w:rPr>
          <w:lang w:val="fr-CA"/>
        </w:rPr>
      </w:pPr>
      <w:r w:rsidRPr="00B0357A">
        <w:rPr>
          <w:lang w:val="fr-CA"/>
        </w:rPr>
        <w:t>Le juge Fournier, de la Cour d’appel du Québec, a accordé en partie les demandes de sursis (2011 QCCA 2305 (</w:t>
      </w:r>
      <w:proofErr w:type="spellStart"/>
      <w:r w:rsidRPr="00B0357A">
        <w:rPr>
          <w:lang w:val="fr-CA"/>
        </w:rPr>
        <w:t>CanLII</w:t>
      </w:r>
      <w:proofErr w:type="spellEnd"/>
      <w:r w:rsidRPr="00B0357A">
        <w:rPr>
          <w:lang w:val="fr-CA"/>
        </w:rPr>
        <w:t xml:space="preserve">)), mais il a assorti les sursis de certaines conditions, notamment le dépôt de garanties partielles de paiement du capital, des intérêts et des frais que les demandeurs devraient payer si leurs appels devant la Cour suprême échouaient. Il a rejeté la demande de sursis à l’égard de M. Weinberg, après avoir conclu qu’il aurait été inutile de lui ordonner de fournir une garantie, puisqu’il ne semblait pas posséder d’éléments d’actif. Il a </w:t>
      </w:r>
      <w:r w:rsidRPr="00B0357A">
        <w:rPr>
          <w:lang w:val="fr-CA"/>
        </w:rPr>
        <w:lastRenderedPageBreak/>
        <w:t xml:space="preserve">ordonné aux demandeurs Cinar Corporation et Les Films Cinar Inc. (« Cinar ») de déposer une lettre de garantie bancaire de 750 000 $. Il a aussi ordonné aux demandeurs Ravensburger Film + TV </w:t>
      </w:r>
      <w:proofErr w:type="spellStart"/>
      <w:r w:rsidRPr="00B0357A">
        <w:rPr>
          <w:lang w:val="fr-CA"/>
        </w:rPr>
        <w:t>GmbH</w:t>
      </w:r>
      <w:proofErr w:type="spellEnd"/>
      <w:r w:rsidRPr="00B0357A">
        <w:rPr>
          <w:lang w:val="fr-CA"/>
        </w:rPr>
        <w:t xml:space="preserve">, RTV </w:t>
      </w:r>
      <w:proofErr w:type="spellStart"/>
      <w:r w:rsidRPr="00B0357A">
        <w:rPr>
          <w:lang w:val="fr-CA"/>
        </w:rPr>
        <w:t>Family</w:t>
      </w:r>
      <w:proofErr w:type="spellEnd"/>
      <w:r w:rsidRPr="00B0357A">
        <w:rPr>
          <w:lang w:val="fr-CA"/>
        </w:rPr>
        <w:t xml:space="preserve"> Entertainment AG, France Animation S.A. et Christophe Izard de déposer une lettre de garantie de 2 500 000 $ ou un engagement équivalent irrévocable de leur assureur, comme condition du sursis à l’exécution. Cinar a déposé sa lettre de garantie. Les avocats de Ravensburger Film + TV </w:t>
      </w:r>
      <w:proofErr w:type="spellStart"/>
      <w:r w:rsidRPr="00B0357A">
        <w:rPr>
          <w:lang w:val="fr-CA"/>
        </w:rPr>
        <w:t>GmbH</w:t>
      </w:r>
      <w:proofErr w:type="spellEnd"/>
      <w:r w:rsidRPr="00B0357A">
        <w:rPr>
          <w:lang w:val="fr-CA"/>
        </w:rPr>
        <w:t xml:space="preserve">, RTV </w:t>
      </w:r>
      <w:proofErr w:type="spellStart"/>
      <w:r w:rsidRPr="00B0357A">
        <w:rPr>
          <w:lang w:val="fr-CA"/>
        </w:rPr>
        <w:t>Family</w:t>
      </w:r>
      <w:proofErr w:type="spellEnd"/>
      <w:r w:rsidRPr="00B0357A">
        <w:rPr>
          <w:lang w:val="fr-CA"/>
        </w:rPr>
        <w:t xml:space="preserve"> Entertainment AG, France Animation S.A. et Christophe Izard ont informé le procureur des intimés que leurs clients ne fourniraient pas la lettre de garantie prévue. En conséquence, le jugement de la Cour d’appel demeure exécutoire à leur égard, jusqu’au jugement de notre Cour sur les pourvois des parties.</w:t>
      </w:r>
    </w:p>
    <w:p w:rsidR="00AB090D" w:rsidRPr="00B0357A" w:rsidRDefault="00AB090D" w:rsidP="00AB090D">
      <w:pPr>
        <w:pStyle w:val="ParaNoNdepar-AltN"/>
        <w:rPr>
          <w:lang w:val="fr-CA"/>
        </w:rPr>
      </w:pPr>
      <w:r w:rsidRPr="00B0357A">
        <w:rPr>
          <w:lang w:val="fr-CA"/>
        </w:rPr>
        <w:t>Nous n’accorderons pas la garantie demandée. Bien que nous ne voulions pas affirmer qu’il serait impossible d’accorder une garantie sous forme de dépôt d’un cautionnement ou d’une autre sûreté supérieurs à 500 $, il n’existe apparemment aucun cas où notre Cour aurait accordé ce type de garantie comme condition de la formation d’un appel en vertu de l’al. 60(1)</w:t>
      </w:r>
      <w:r w:rsidRPr="00B0357A">
        <w:rPr>
          <w:i/>
          <w:lang w:val="fr-CA"/>
        </w:rPr>
        <w:t>b</w:t>
      </w:r>
      <w:r w:rsidRPr="00B0357A">
        <w:rPr>
          <w:lang w:val="fr-CA"/>
        </w:rPr>
        <w:t xml:space="preserve">) de la </w:t>
      </w:r>
      <w:r w:rsidRPr="00B0357A">
        <w:rPr>
          <w:i/>
          <w:lang w:val="fr-CA"/>
        </w:rPr>
        <w:t>Loi sur la Cour suprême</w:t>
      </w:r>
      <w:r w:rsidRPr="00B0357A">
        <w:rPr>
          <w:lang w:val="fr-CA"/>
        </w:rPr>
        <w:t>. L’application de celui-ci a été traditionnellement limitée à la consignation d’un dépôt symbolique de 500 $ pour les dépens du pourvoi (</w:t>
      </w:r>
      <w:proofErr w:type="spellStart"/>
      <w:r w:rsidRPr="00B0357A">
        <w:rPr>
          <w:i/>
          <w:lang w:val="fr-CA"/>
        </w:rPr>
        <w:t>Lanificio</w:t>
      </w:r>
      <w:proofErr w:type="spellEnd"/>
      <w:r w:rsidRPr="00B0357A">
        <w:rPr>
          <w:i/>
          <w:lang w:val="fr-CA"/>
        </w:rPr>
        <w:t xml:space="preserve"> </w:t>
      </w:r>
      <w:proofErr w:type="spellStart"/>
      <w:r w:rsidRPr="00B0357A">
        <w:rPr>
          <w:i/>
          <w:lang w:val="fr-CA"/>
        </w:rPr>
        <w:t>Fratelli</w:t>
      </w:r>
      <w:proofErr w:type="spellEnd"/>
      <w:r w:rsidRPr="00B0357A">
        <w:rPr>
          <w:i/>
          <w:lang w:val="fr-CA"/>
        </w:rPr>
        <w:t xml:space="preserve"> </w:t>
      </w:r>
      <w:proofErr w:type="spellStart"/>
      <w:r w:rsidRPr="00B0357A">
        <w:rPr>
          <w:i/>
          <w:lang w:val="fr-CA"/>
        </w:rPr>
        <w:t>Bettazzi</w:t>
      </w:r>
      <w:proofErr w:type="spellEnd"/>
      <w:r w:rsidRPr="00B0357A">
        <w:rPr>
          <w:i/>
          <w:lang w:val="fr-CA"/>
        </w:rPr>
        <w:t xml:space="preserve"> S.N.C. c. Tissus </w:t>
      </w:r>
      <w:proofErr w:type="spellStart"/>
      <w:r w:rsidRPr="00B0357A">
        <w:rPr>
          <w:i/>
          <w:lang w:val="fr-CA"/>
        </w:rPr>
        <w:t>Ranchar</w:t>
      </w:r>
      <w:proofErr w:type="spellEnd"/>
      <w:r w:rsidRPr="00B0357A">
        <w:rPr>
          <w:i/>
          <w:lang w:val="fr-CA"/>
        </w:rPr>
        <w:t xml:space="preserve"> Inc.</w:t>
      </w:r>
      <w:r w:rsidRPr="00B0357A">
        <w:rPr>
          <w:lang w:val="fr-CA"/>
        </w:rPr>
        <w:t>, 6 septembre 1990, n</w:t>
      </w:r>
      <w:r w:rsidRPr="00B0357A">
        <w:rPr>
          <w:vertAlign w:val="superscript"/>
          <w:lang w:val="fr-CA"/>
        </w:rPr>
        <w:t>o</w:t>
      </w:r>
      <w:r w:rsidRPr="00B0357A">
        <w:rPr>
          <w:lang w:val="fr-CA"/>
        </w:rPr>
        <w:t> 21373, le juge Cory; voir H.</w:t>
      </w:r>
      <w:r w:rsidR="00677912" w:rsidRPr="00B0357A">
        <w:rPr>
          <w:lang w:val="fr-CA"/>
        </w:rPr>
        <w:t> </w:t>
      </w:r>
      <w:r w:rsidRPr="00B0357A">
        <w:rPr>
          <w:lang w:val="fr-CA"/>
        </w:rPr>
        <w:t xml:space="preserve">S. Brown, </w:t>
      </w:r>
      <w:proofErr w:type="spellStart"/>
      <w:r w:rsidRPr="00B0357A">
        <w:rPr>
          <w:i/>
          <w:lang w:val="fr-CA"/>
        </w:rPr>
        <w:t>Supreme</w:t>
      </w:r>
      <w:proofErr w:type="spellEnd"/>
      <w:r w:rsidRPr="00B0357A">
        <w:rPr>
          <w:i/>
          <w:lang w:val="fr-CA"/>
        </w:rPr>
        <w:t xml:space="preserve"> Court of Canada Practice 2012 </w:t>
      </w:r>
      <w:r w:rsidR="00677912" w:rsidRPr="00B0357A">
        <w:rPr>
          <w:lang w:val="fr-CA"/>
        </w:rPr>
        <w:t>(</w:t>
      </w:r>
      <w:r w:rsidRPr="00B0357A">
        <w:rPr>
          <w:lang w:val="fr-CA"/>
        </w:rPr>
        <w:t>12</w:t>
      </w:r>
      <w:r w:rsidR="004A6167" w:rsidRPr="00B0357A">
        <w:rPr>
          <w:vertAlign w:val="superscript"/>
          <w:lang w:val="fr-CA"/>
        </w:rPr>
        <w:t>e</w:t>
      </w:r>
      <w:r w:rsidR="004A6167" w:rsidRPr="00B0357A">
        <w:rPr>
          <w:lang w:val="fr-CA"/>
        </w:rPr>
        <w:t xml:space="preserve"> éd</w:t>
      </w:r>
      <w:r w:rsidR="00280A36" w:rsidRPr="00B0357A">
        <w:rPr>
          <w:lang w:val="fr-CA"/>
        </w:rPr>
        <w:t>.</w:t>
      </w:r>
      <w:r w:rsidRPr="00B0357A">
        <w:rPr>
          <w:lang w:val="fr-CA"/>
        </w:rPr>
        <w:t xml:space="preserve"> </w:t>
      </w:r>
      <w:r w:rsidR="00677912" w:rsidRPr="00B0357A">
        <w:rPr>
          <w:lang w:val="fr-CA"/>
        </w:rPr>
        <w:t xml:space="preserve">2011), </w:t>
      </w:r>
      <w:r w:rsidRPr="00B0357A">
        <w:rPr>
          <w:lang w:val="fr-CA"/>
        </w:rPr>
        <w:t xml:space="preserve">p. 134-136). Le type de garantie demandé par les intimés a été habituellement accordé comme condition de la suspension d’une procédure ou d’un sursis à l’exécution en vertu </w:t>
      </w:r>
      <w:proofErr w:type="gramStart"/>
      <w:r w:rsidRPr="00B0357A">
        <w:rPr>
          <w:lang w:val="fr-CA"/>
        </w:rPr>
        <w:t>des art</w:t>
      </w:r>
      <w:proofErr w:type="gramEnd"/>
      <w:r w:rsidRPr="00B0357A">
        <w:rPr>
          <w:lang w:val="fr-CA"/>
        </w:rPr>
        <w:t xml:space="preserve">. 65 et 65.1 de la </w:t>
      </w:r>
      <w:r w:rsidRPr="00B0357A">
        <w:rPr>
          <w:i/>
          <w:lang w:val="fr-CA"/>
        </w:rPr>
        <w:t>Loi sur la Cour suprême</w:t>
      </w:r>
      <w:r w:rsidRPr="00B0357A">
        <w:rPr>
          <w:lang w:val="fr-CA"/>
        </w:rPr>
        <w:t xml:space="preserve"> ou d’une disposition législative comme l’art. 522.1 </w:t>
      </w:r>
      <w:proofErr w:type="spellStart"/>
      <w:r w:rsidRPr="00B0357A">
        <w:rPr>
          <w:i/>
          <w:lang w:val="fr-CA"/>
        </w:rPr>
        <w:t>C.p.c</w:t>
      </w:r>
      <w:proofErr w:type="spellEnd"/>
      <w:r w:rsidRPr="00B0357A">
        <w:rPr>
          <w:i/>
          <w:lang w:val="fr-CA"/>
        </w:rPr>
        <w:t>.</w:t>
      </w:r>
    </w:p>
    <w:p w:rsidR="00AB090D" w:rsidRPr="00B0357A" w:rsidRDefault="00AB090D" w:rsidP="00AB090D">
      <w:pPr>
        <w:pStyle w:val="ParaNoNdepar-AltN"/>
        <w:rPr>
          <w:lang w:val="fr-CA"/>
        </w:rPr>
      </w:pPr>
      <w:r w:rsidRPr="00B0357A">
        <w:rPr>
          <w:lang w:val="fr-CA"/>
        </w:rPr>
        <w:t xml:space="preserve">En l’espèce, les conditions des sursis demandés ont été fixées par la décision du juge Fournier de la Cour d’appel du Québec. Ce jugement demeure applicable durant les pourvois qui </w:t>
      </w:r>
      <w:r w:rsidRPr="00B0357A">
        <w:rPr>
          <w:lang w:val="fr-CA"/>
        </w:rPr>
        <w:lastRenderedPageBreak/>
        <w:t xml:space="preserve">sont autorisés par des jugements rendus ce même jour par notre Cour et qui sont déposés en même temps que notre décision sur la requête des intimés. Cette requête des intimés, dont le pourvoi est également autorisé, équivaut à toutes fins pratiques à une tentative de révision du jugement </w:t>
      </w:r>
      <w:r w:rsidR="00677912" w:rsidRPr="00B0357A">
        <w:rPr>
          <w:lang w:val="fr-CA"/>
        </w:rPr>
        <w:t xml:space="preserve">du </w:t>
      </w:r>
      <w:r w:rsidRPr="00B0357A">
        <w:rPr>
          <w:lang w:val="fr-CA"/>
        </w:rPr>
        <w:t>juge Fournier.</w:t>
      </w:r>
    </w:p>
    <w:p w:rsidR="00AB090D" w:rsidRPr="00B0357A" w:rsidRDefault="00AB090D" w:rsidP="00AB090D">
      <w:pPr>
        <w:pStyle w:val="ParaNoNdepar-AltN"/>
        <w:rPr>
          <w:lang w:val="fr-CA"/>
        </w:rPr>
      </w:pPr>
      <w:r w:rsidRPr="00B0357A">
        <w:rPr>
          <w:lang w:val="fr-CA"/>
        </w:rPr>
        <w:t xml:space="preserve">Nous ajoutons que ce type de garantie serait difficilement compatible avec les exigences d’un accès approprié à la Cour suprême. Les décisions sur les demandes d’autorisation d’appel sont régies par le critère de l’importance de l’appel en vertu de l’art. 40 de la </w:t>
      </w:r>
      <w:r w:rsidRPr="00B0357A">
        <w:rPr>
          <w:i/>
          <w:lang w:val="fr-CA"/>
        </w:rPr>
        <w:t>Loi sur la Cour suprême</w:t>
      </w:r>
      <w:r w:rsidRPr="00B0357A">
        <w:rPr>
          <w:lang w:val="fr-CA"/>
        </w:rPr>
        <w:t xml:space="preserve">. De plus, la procédure d’autorisation d’appel représente en elle-même un filtre suffisamment dissuasif à l’égard des appels futiles ou dilatoires. </w:t>
      </w:r>
    </w:p>
    <w:p w:rsidR="00494216" w:rsidRPr="00B0357A" w:rsidRDefault="00AB090D" w:rsidP="00AB090D">
      <w:pPr>
        <w:pStyle w:val="ParaNoNdepar-AltN"/>
        <w:rPr>
          <w:rFonts w:cs="Times New Roman"/>
          <w:szCs w:val="24"/>
          <w:lang w:val="fr-CA"/>
        </w:rPr>
      </w:pPr>
      <w:r w:rsidRPr="00B0357A">
        <w:rPr>
          <w:lang w:val="fr-CA"/>
        </w:rPr>
        <w:t>Pour ces motifs, la requête des intimés est rejetée sans dépens.</w:t>
      </w:r>
    </w:p>
    <w:p w:rsidR="00AB090D" w:rsidRPr="00B0357A" w:rsidRDefault="00494216" w:rsidP="00494216">
      <w:pPr>
        <w:pStyle w:val="ParaNoNdepar-AltN"/>
        <w:numPr>
          <w:ilvl w:val="0"/>
          <w:numId w:val="0"/>
        </w:numPr>
        <w:tabs>
          <w:tab w:val="left" w:pos="1170"/>
        </w:tabs>
        <w:rPr>
          <w:rFonts w:cs="Times New Roman"/>
          <w:i/>
          <w:szCs w:val="24"/>
          <w:lang w:val="fr-CA"/>
        </w:rPr>
      </w:pPr>
      <w:r w:rsidRPr="00B0357A">
        <w:rPr>
          <w:lang w:val="fr-CA"/>
        </w:rPr>
        <w:tab/>
      </w:r>
      <w:r w:rsidRPr="00B0357A">
        <w:rPr>
          <w:rFonts w:cs="Times New Roman"/>
          <w:i/>
          <w:szCs w:val="24"/>
          <w:lang w:val="fr-CA"/>
        </w:rPr>
        <w:t>Requête rejetée.</w:t>
      </w:r>
    </w:p>
    <w:p w:rsidR="00301F61" w:rsidRPr="00B0357A" w:rsidRDefault="00301F61" w:rsidP="00494216">
      <w:pPr>
        <w:pStyle w:val="ParaNoNdepar-AltN"/>
        <w:numPr>
          <w:ilvl w:val="0"/>
          <w:numId w:val="0"/>
        </w:numPr>
        <w:tabs>
          <w:tab w:val="left" w:pos="1170"/>
        </w:tabs>
        <w:rPr>
          <w:rFonts w:cs="Times New Roman"/>
          <w:i/>
          <w:szCs w:val="24"/>
          <w:lang w:val="fr-CA"/>
        </w:rPr>
      </w:pPr>
      <w:r w:rsidRPr="00B0357A">
        <w:rPr>
          <w:rFonts w:cs="Times New Roman"/>
          <w:i/>
          <w:szCs w:val="24"/>
          <w:lang w:val="fr-CA"/>
        </w:rPr>
        <w:tab/>
        <w:t xml:space="preserve">Procureurs des intimés/requérants à la requête : </w:t>
      </w:r>
      <w:proofErr w:type="spellStart"/>
      <w:r w:rsidRPr="00B0357A">
        <w:rPr>
          <w:rFonts w:cs="Times New Roman"/>
          <w:i/>
          <w:szCs w:val="24"/>
          <w:lang w:val="fr-CA"/>
        </w:rPr>
        <w:t>Gowling</w:t>
      </w:r>
      <w:proofErr w:type="spellEnd"/>
      <w:r w:rsidRPr="00B0357A">
        <w:rPr>
          <w:rFonts w:cs="Times New Roman"/>
          <w:i/>
          <w:szCs w:val="24"/>
          <w:lang w:val="fr-CA"/>
        </w:rPr>
        <w:t xml:space="preserve"> Lafleur Henderson, Ottawa; </w:t>
      </w:r>
      <w:proofErr w:type="spellStart"/>
      <w:r w:rsidRPr="00B0357A">
        <w:rPr>
          <w:rFonts w:cs="Times New Roman"/>
          <w:i/>
          <w:szCs w:val="24"/>
          <w:lang w:val="fr-CA"/>
        </w:rPr>
        <w:t>Man</w:t>
      </w:r>
      <w:r w:rsidR="003A3491">
        <w:rPr>
          <w:rFonts w:cs="Times New Roman"/>
          <w:i/>
          <w:szCs w:val="24"/>
          <w:lang w:val="fr-CA"/>
        </w:rPr>
        <w:t>n</w:t>
      </w:r>
      <w:r w:rsidRPr="00B0357A">
        <w:rPr>
          <w:rFonts w:cs="Times New Roman"/>
          <w:i/>
          <w:szCs w:val="24"/>
          <w:lang w:val="fr-CA"/>
        </w:rPr>
        <w:t>ella</w:t>
      </w:r>
      <w:proofErr w:type="spellEnd"/>
      <w:r w:rsidRPr="00B0357A">
        <w:rPr>
          <w:rFonts w:cs="Times New Roman"/>
          <w:i/>
          <w:szCs w:val="24"/>
          <w:lang w:val="fr-CA"/>
        </w:rPr>
        <w:t xml:space="preserve"> Gauthier </w:t>
      </w:r>
      <w:proofErr w:type="spellStart"/>
      <w:r w:rsidRPr="00B0357A">
        <w:rPr>
          <w:rFonts w:cs="Times New Roman"/>
          <w:i/>
          <w:szCs w:val="24"/>
          <w:lang w:val="fr-CA"/>
        </w:rPr>
        <w:t>Tamaro</w:t>
      </w:r>
      <w:proofErr w:type="spellEnd"/>
      <w:r w:rsidRPr="00B0357A">
        <w:rPr>
          <w:rFonts w:cs="Times New Roman"/>
          <w:i/>
          <w:szCs w:val="24"/>
          <w:lang w:val="fr-CA"/>
        </w:rPr>
        <w:t>, Montréal.</w:t>
      </w:r>
    </w:p>
    <w:p w:rsidR="00D064D7" w:rsidRPr="00B0357A" w:rsidRDefault="00D064D7" w:rsidP="00494216">
      <w:pPr>
        <w:pStyle w:val="ParaNoNdepar-AltN"/>
        <w:numPr>
          <w:ilvl w:val="0"/>
          <w:numId w:val="0"/>
        </w:numPr>
        <w:tabs>
          <w:tab w:val="left" w:pos="1170"/>
        </w:tabs>
        <w:rPr>
          <w:rFonts w:cs="Times New Roman"/>
          <w:i/>
          <w:szCs w:val="24"/>
          <w:lang w:val="fr-CA"/>
        </w:rPr>
      </w:pPr>
      <w:r w:rsidRPr="00B0357A">
        <w:rPr>
          <w:rFonts w:cs="Times New Roman"/>
          <w:i/>
          <w:szCs w:val="24"/>
          <w:lang w:val="fr-CA"/>
        </w:rPr>
        <w:tab/>
        <w:t>Procureurs</w:t>
      </w:r>
      <w:r w:rsidR="00FC6419" w:rsidRPr="00B0357A">
        <w:rPr>
          <w:rFonts w:cs="Times New Roman"/>
          <w:i/>
          <w:szCs w:val="24"/>
          <w:lang w:val="fr-CA"/>
        </w:rPr>
        <w:t xml:space="preserve"> des </w:t>
      </w:r>
      <w:r w:rsidR="00301F61" w:rsidRPr="00B0357A">
        <w:rPr>
          <w:rFonts w:cs="Times New Roman"/>
          <w:i/>
          <w:szCs w:val="24"/>
          <w:lang w:val="fr-CA"/>
        </w:rPr>
        <w:t>demandeurs/intimés à la requête</w:t>
      </w:r>
      <w:r w:rsidR="00FC6419" w:rsidRPr="00B0357A">
        <w:rPr>
          <w:rFonts w:cs="Times New Roman"/>
          <w:i/>
          <w:szCs w:val="24"/>
          <w:lang w:val="fr-CA"/>
        </w:rPr>
        <w:t xml:space="preserve"> </w:t>
      </w:r>
      <w:proofErr w:type="spellStart"/>
      <w:r w:rsidR="00301F61" w:rsidRPr="00B0357A">
        <w:rPr>
          <w:i/>
          <w:szCs w:val="24"/>
          <w:lang w:val="fr-FR"/>
        </w:rPr>
        <w:t>Cinar</w:t>
      </w:r>
      <w:proofErr w:type="spellEnd"/>
      <w:r w:rsidR="00301F61" w:rsidRPr="00B0357A">
        <w:rPr>
          <w:i/>
          <w:szCs w:val="24"/>
          <w:lang w:val="fr-FR"/>
        </w:rPr>
        <w:t xml:space="preserve"> C</w:t>
      </w:r>
      <w:r w:rsidR="00FC6419" w:rsidRPr="00B0357A">
        <w:rPr>
          <w:i/>
          <w:szCs w:val="24"/>
          <w:lang w:val="fr-FR"/>
        </w:rPr>
        <w:t xml:space="preserve">orporation et Les Films </w:t>
      </w:r>
      <w:proofErr w:type="spellStart"/>
      <w:r w:rsidR="00FC6419" w:rsidRPr="00B0357A">
        <w:rPr>
          <w:i/>
          <w:szCs w:val="24"/>
          <w:lang w:val="fr-FR"/>
        </w:rPr>
        <w:t>Cinar</w:t>
      </w:r>
      <w:proofErr w:type="spellEnd"/>
      <w:r w:rsidR="00FC6419" w:rsidRPr="00B0357A">
        <w:rPr>
          <w:i/>
          <w:szCs w:val="24"/>
          <w:lang w:val="fr-FR"/>
        </w:rPr>
        <w:t xml:space="preserve"> Inc</w:t>
      </w:r>
      <w:r w:rsidR="00F216BF" w:rsidRPr="00B0357A">
        <w:rPr>
          <w:i/>
          <w:szCs w:val="24"/>
          <w:lang w:val="fr-FR"/>
        </w:rPr>
        <w:t xml:space="preserve">. : Davies Ward Phillips &amp; </w:t>
      </w:r>
      <w:proofErr w:type="spellStart"/>
      <w:r w:rsidR="00F216BF" w:rsidRPr="00B0357A">
        <w:rPr>
          <w:i/>
          <w:szCs w:val="24"/>
          <w:lang w:val="fr-FR"/>
        </w:rPr>
        <w:t>Vineberg</w:t>
      </w:r>
      <w:proofErr w:type="spellEnd"/>
      <w:r w:rsidR="00F216BF" w:rsidRPr="00B0357A">
        <w:rPr>
          <w:i/>
          <w:szCs w:val="24"/>
          <w:lang w:val="fr-FR"/>
        </w:rPr>
        <w:t>, Montréal.</w:t>
      </w:r>
    </w:p>
    <w:p w:rsidR="00910DDD" w:rsidRPr="00B0357A" w:rsidRDefault="00910DDD" w:rsidP="00494216">
      <w:pPr>
        <w:pStyle w:val="ParaNoNdepar-AltN"/>
        <w:numPr>
          <w:ilvl w:val="0"/>
          <w:numId w:val="0"/>
        </w:numPr>
        <w:tabs>
          <w:tab w:val="left" w:pos="1170"/>
        </w:tabs>
        <w:rPr>
          <w:i/>
          <w:szCs w:val="24"/>
          <w:lang w:val="fr-FR"/>
        </w:rPr>
      </w:pPr>
      <w:r w:rsidRPr="00B0357A">
        <w:rPr>
          <w:rFonts w:cs="Times New Roman"/>
          <w:i/>
          <w:szCs w:val="24"/>
          <w:lang w:val="fr-CA"/>
        </w:rPr>
        <w:tab/>
        <w:t xml:space="preserve">Procureurs des </w:t>
      </w:r>
      <w:r w:rsidR="00301F61" w:rsidRPr="00B0357A">
        <w:rPr>
          <w:rFonts w:cs="Times New Roman"/>
          <w:i/>
          <w:szCs w:val="24"/>
          <w:lang w:val="fr-CA"/>
        </w:rPr>
        <w:t xml:space="preserve">demandeurs/intimés à la requête </w:t>
      </w:r>
      <w:r w:rsidRPr="00B0357A">
        <w:rPr>
          <w:i/>
          <w:szCs w:val="24"/>
          <w:lang w:val="fr-CA"/>
        </w:rPr>
        <w:t>R</w:t>
      </w:r>
      <w:proofErr w:type="spellStart"/>
      <w:r w:rsidRPr="00B0357A">
        <w:rPr>
          <w:i/>
          <w:szCs w:val="24"/>
          <w:lang w:val="fr-FR"/>
        </w:rPr>
        <w:t>onald</w:t>
      </w:r>
      <w:proofErr w:type="spellEnd"/>
      <w:r w:rsidRPr="00B0357A">
        <w:rPr>
          <w:i/>
          <w:szCs w:val="24"/>
          <w:lang w:val="fr-FR"/>
        </w:rPr>
        <w:t xml:space="preserve"> A. Weinberg et Ronald A. Weinberg, en qualité d’unique liquidateur de la succession de feu Micheline Charest : Langlois </w:t>
      </w:r>
      <w:proofErr w:type="spellStart"/>
      <w:r w:rsidRPr="00B0357A">
        <w:rPr>
          <w:i/>
          <w:szCs w:val="24"/>
          <w:lang w:val="fr-FR"/>
        </w:rPr>
        <w:t>Kronström</w:t>
      </w:r>
      <w:proofErr w:type="spellEnd"/>
      <w:r w:rsidRPr="00B0357A">
        <w:rPr>
          <w:i/>
          <w:szCs w:val="24"/>
          <w:lang w:val="fr-FR"/>
        </w:rPr>
        <w:t xml:space="preserve"> Desjardins, Montréal.</w:t>
      </w:r>
    </w:p>
    <w:p w:rsidR="00955DB3" w:rsidRPr="00B0357A" w:rsidRDefault="00955DB3" w:rsidP="00494216">
      <w:pPr>
        <w:pStyle w:val="ParaNoNdepar-AltN"/>
        <w:numPr>
          <w:ilvl w:val="0"/>
          <w:numId w:val="0"/>
        </w:numPr>
        <w:tabs>
          <w:tab w:val="left" w:pos="1170"/>
        </w:tabs>
        <w:rPr>
          <w:rFonts w:cs="Times New Roman"/>
          <w:i/>
          <w:szCs w:val="24"/>
          <w:lang w:val="fr-CA"/>
        </w:rPr>
      </w:pPr>
      <w:r w:rsidRPr="00B0357A">
        <w:rPr>
          <w:i/>
          <w:szCs w:val="24"/>
          <w:lang w:val="fr-FR"/>
        </w:rPr>
        <w:lastRenderedPageBreak/>
        <w:tab/>
        <w:t>Procureurs de</w:t>
      </w:r>
      <w:r w:rsidR="007E1579" w:rsidRPr="00B0357A">
        <w:rPr>
          <w:i/>
          <w:szCs w:val="24"/>
          <w:lang w:val="fr-FR"/>
        </w:rPr>
        <w:t xml:space="preserve">s </w:t>
      </w:r>
      <w:r w:rsidR="00301F61" w:rsidRPr="00B0357A">
        <w:rPr>
          <w:i/>
          <w:szCs w:val="24"/>
          <w:lang w:val="fr-FR"/>
        </w:rPr>
        <w:t>demandeurs/intimés à la requête</w:t>
      </w:r>
      <w:r w:rsidR="007E1579" w:rsidRPr="00B0357A">
        <w:rPr>
          <w:i/>
          <w:szCs w:val="24"/>
          <w:lang w:val="fr-FR"/>
        </w:rPr>
        <w:t xml:space="preserve"> Christophe Izard, </w:t>
      </w:r>
      <w:r w:rsidR="007E1579" w:rsidRPr="00B0357A">
        <w:rPr>
          <w:i/>
          <w:szCs w:val="24"/>
          <w:lang w:val="fr-CA"/>
        </w:rPr>
        <w:t xml:space="preserve">France Animation </w:t>
      </w:r>
      <w:r w:rsidR="00301F61" w:rsidRPr="00B0357A">
        <w:rPr>
          <w:i/>
          <w:szCs w:val="24"/>
          <w:lang w:val="fr-CA"/>
        </w:rPr>
        <w:t xml:space="preserve">S.A., Ravensburger Film + TV </w:t>
      </w:r>
      <w:proofErr w:type="spellStart"/>
      <w:r w:rsidR="00301F61" w:rsidRPr="00B0357A">
        <w:rPr>
          <w:i/>
          <w:szCs w:val="24"/>
          <w:lang w:val="fr-CA"/>
        </w:rPr>
        <w:t>Gmb</w:t>
      </w:r>
      <w:r w:rsidR="007E1579" w:rsidRPr="00B0357A">
        <w:rPr>
          <w:i/>
          <w:szCs w:val="24"/>
          <w:lang w:val="fr-CA"/>
        </w:rPr>
        <w:t>H</w:t>
      </w:r>
      <w:proofErr w:type="spellEnd"/>
      <w:r w:rsidR="007E1579" w:rsidRPr="00B0357A">
        <w:rPr>
          <w:i/>
          <w:szCs w:val="24"/>
          <w:lang w:val="fr-CA"/>
        </w:rPr>
        <w:t xml:space="preserve"> et RTV </w:t>
      </w:r>
      <w:proofErr w:type="spellStart"/>
      <w:r w:rsidR="007E1579" w:rsidRPr="00B0357A">
        <w:rPr>
          <w:i/>
          <w:szCs w:val="24"/>
          <w:lang w:val="fr-CA"/>
        </w:rPr>
        <w:t>Family</w:t>
      </w:r>
      <w:proofErr w:type="spellEnd"/>
      <w:r w:rsidR="007E1579" w:rsidRPr="00B0357A">
        <w:rPr>
          <w:i/>
          <w:szCs w:val="24"/>
          <w:lang w:val="fr-CA"/>
        </w:rPr>
        <w:t xml:space="preserve"> Entertainment AG</w:t>
      </w:r>
      <w:r w:rsidR="007E1579" w:rsidRPr="00B0357A">
        <w:rPr>
          <w:i/>
          <w:szCs w:val="24"/>
          <w:lang w:val="fr-FR"/>
        </w:rPr>
        <w:t xml:space="preserve"> : </w:t>
      </w:r>
      <w:proofErr w:type="spellStart"/>
      <w:r w:rsidR="007E1579" w:rsidRPr="00B0357A">
        <w:rPr>
          <w:i/>
          <w:szCs w:val="24"/>
          <w:lang w:val="fr-FR"/>
        </w:rPr>
        <w:t>Fasken</w:t>
      </w:r>
      <w:proofErr w:type="spellEnd"/>
      <w:r w:rsidR="007E1579" w:rsidRPr="00B0357A">
        <w:rPr>
          <w:i/>
          <w:szCs w:val="24"/>
          <w:lang w:val="fr-FR"/>
        </w:rPr>
        <w:t xml:space="preserve"> Martineau </w:t>
      </w:r>
      <w:proofErr w:type="spellStart"/>
      <w:r w:rsidR="007E1579" w:rsidRPr="00B0357A">
        <w:rPr>
          <w:i/>
          <w:szCs w:val="24"/>
          <w:lang w:val="fr-FR"/>
        </w:rPr>
        <w:t>DuMoulin</w:t>
      </w:r>
      <w:proofErr w:type="spellEnd"/>
      <w:r w:rsidR="007E1579" w:rsidRPr="00B0357A">
        <w:rPr>
          <w:i/>
          <w:szCs w:val="24"/>
          <w:lang w:val="fr-FR"/>
        </w:rPr>
        <w:t>, Montréal.</w:t>
      </w:r>
    </w:p>
    <w:sectPr w:rsidR="00955DB3" w:rsidRPr="00B0357A" w:rsidSect="00CD39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1E" w:rsidRDefault="0046331E" w:rsidP="00CF6BD8">
      <w:pPr>
        <w:spacing w:after="0" w:line="240" w:lineRule="auto"/>
      </w:pPr>
      <w:r>
        <w:separator/>
      </w:r>
    </w:p>
  </w:endnote>
  <w:endnote w:type="continuationSeparator" w:id="0">
    <w:p w:rsidR="0046331E" w:rsidRDefault="0046331E" w:rsidP="00CF6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Rmn 12p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1E" w:rsidRDefault="004633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1E" w:rsidRDefault="004633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1E" w:rsidRDefault="00463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1E" w:rsidRDefault="0046331E" w:rsidP="00CF6BD8">
      <w:pPr>
        <w:spacing w:after="0" w:line="240" w:lineRule="auto"/>
      </w:pPr>
      <w:r>
        <w:separator/>
      </w:r>
    </w:p>
  </w:footnote>
  <w:footnote w:type="continuationSeparator" w:id="0">
    <w:p w:rsidR="0046331E" w:rsidRDefault="0046331E" w:rsidP="00CF6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1E" w:rsidRDefault="004633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01"/>
      <w:docPartObj>
        <w:docPartGallery w:val="Page Numbers (Top of Page)"/>
        <w:docPartUnique/>
      </w:docPartObj>
    </w:sdtPr>
    <w:sdtEndPr>
      <w:rPr>
        <w:rFonts w:ascii="Times New Roman" w:hAnsi="Times New Roman" w:cs="Times New Roman"/>
        <w:sz w:val="24"/>
        <w:szCs w:val="24"/>
      </w:rPr>
    </w:sdtEndPr>
    <w:sdtContent>
      <w:p w:rsidR="0046331E" w:rsidRDefault="0046331E">
        <w:pPr>
          <w:pStyle w:val="Header"/>
          <w:jc w:val="center"/>
        </w:pPr>
        <w:r>
          <w:t xml:space="preserve">- </w:t>
        </w:r>
        <w:r w:rsidR="00DF2D11" w:rsidRPr="007F7CC0">
          <w:rPr>
            <w:rFonts w:ascii="Times New Roman" w:hAnsi="Times New Roman" w:cs="Times New Roman"/>
            <w:sz w:val="24"/>
            <w:szCs w:val="24"/>
          </w:rPr>
          <w:fldChar w:fldCharType="begin"/>
        </w:r>
        <w:r w:rsidRPr="007F7CC0">
          <w:rPr>
            <w:rFonts w:ascii="Times New Roman" w:hAnsi="Times New Roman" w:cs="Times New Roman"/>
            <w:sz w:val="24"/>
            <w:szCs w:val="24"/>
          </w:rPr>
          <w:instrText xml:space="preserve"> PAGE   \* MERGEFORMAT </w:instrText>
        </w:r>
        <w:r w:rsidR="00DF2D11" w:rsidRPr="007F7CC0">
          <w:rPr>
            <w:rFonts w:ascii="Times New Roman" w:hAnsi="Times New Roman" w:cs="Times New Roman"/>
            <w:sz w:val="24"/>
            <w:szCs w:val="24"/>
          </w:rPr>
          <w:fldChar w:fldCharType="separate"/>
        </w:r>
        <w:r w:rsidR="00064657">
          <w:rPr>
            <w:rFonts w:ascii="Times New Roman" w:hAnsi="Times New Roman" w:cs="Times New Roman"/>
            <w:noProof/>
            <w:sz w:val="24"/>
            <w:szCs w:val="24"/>
          </w:rPr>
          <w:t>2</w:t>
        </w:r>
        <w:r w:rsidR="00DF2D11" w:rsidRPr="007F7CC0">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p w:rsidR="0046331E" w:rsidRDefault="004633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1E" w:rsidRDefault="00463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68F7B0A"/>
    <w:multiLevelType w:val="hybridMultilevel"/>
    <w:tmpl w:val="8D9C43DA"/>
    <w:lvl w:ilvl="0" w:tplc="2304ADC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rsids>
    <w:rsidRoot w:val="00AB090D"/>
    <w:rsid w:val="00064657"/>
    <w:rsid w:val="000A46B9"/>
    <w:rsid w:val="000A51F4"/>
    <w:rsid w:val="000C33F9"/>
    <w:rsid w:val="000E1510"/>
    <w:rsid w:val="00106A1F"/>
    <w:rsid w:val="00115212"/>
    <w:rsid w:val="00150E8F"/>
    <w:rsid w:val="001F0D53"/>
    <w:rsid w:val="00280A36"/>
    <w:rsid w:val="002A0198"/>
    <w:rsid w:val="002F7AB0"/>
    <w:rsid w:val="00301F61"/>
    <w:rsid w:val="003179A3"/>
    <w:rsid w:val="00345221"/>
    <w:rsid w:val="003622B9"/>
    <w:rsid w:val="003A3491"/>
    <w:rsid w:val="003F597C"/>
    <w:rsid w:val="0040501C"/>
    <w:rsid w:val="004168DB"/>
    <w:rsid w:val="0046331E"/>
    <w:rsid w:val="0047181B"/>
    <w:rsid w:val="00475E8F"/>
    <w:rsid w:val="00494216"/>
    <w:rsid w:val="004A6167"/>
    <w:rsid w:val="00577A7A"/>
    <w:rsid w:val="00584D08"/>
    <w:rsid w:val="006103CD"/>
    <w:rsid w:val="00677912"/>
    <w:rsid w:val="006B20A1"/>
    <w:rsid w:val="00720E15"/>
    <w:rsid w:val="007E1579"/>
    <w:rsid w:val="008A660E"/>
    <w:rsid w:val="008E6D14"/>
    <w:rsid w:val="00910DDD"/>
    <w:rsid w:val="00920F76"/>
    <w:rsid w:val="00955DB3"/>
    <w:rsid w:val="009A738D"/>
    <w:rsid w:val="00A23A94"/>
    <w:rsid w:val="00A562D0"/>
    <w:rsid w:val="00A643D4"/>
    <w:rsid w:val="00A64429"/>
    <w:rsid w:val="00A83412"/>
    <w:rsid w:val="00AA3F8D"/>
    <w:rsid w:val="00AB090D"/>
    <w:rsid w:val="00AE3E35"/>
    <w:rsid w:val="00B0357A"/>
    <w:rsid w:val="00B1609C"/>
    <w:rsid w:val="00BC0F52"/>
    <w:rsid w:val="00C078BF"/>
    <w:rsid w:val="00C56729"/>
    <w:rsid w:val="00CB161C"/>
    <w:rsid w:val="00CD390B"/>
    <w:rsid w:val="00CE5C01"/>
    <w:rsid w:val="00CF6BD8"/>
    <w:rsid w:val="00D064D7"/>
    <w:rsid w:val="00D34245"/>
    <w:rsid w:val="00D906D1"/>
    <w:rsid w:val="00DC6CEF"/>
    <w:rsid w:val="00DF2D11"/>
    <w:rsid w:val="00E005E9"/>
    <w:rsid w:val="00E3268D"/>
    <w:rsid w:val="00E63722"/>
    <w:rsid w:val="00F216BF"/>
    <w:rsid w:val="00F81AFB"/>
    <w:rsid w:val="00FA1EE7"/>
    <w:rsid w:val="00FB6302"/>
    <w:rsid w:val="00FC3F10"/>
    <w:rsid w:val="00FC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0D"/>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styleId="Header">
    <w:name w:val="header"/>
    <w:basedOn w:val="Normal"/>
    <w:link w:val="HeaderChar"/>
    <w:uiPriority w:val="99"/>
    <w:unhideWhenUsed/>
    <w:rsid w:val="00AB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90D"/>
    <w:rPr>
      <w:rFonts w:asciiTheme="minorHAnsi" w:eastAsiaTheme="minorHAnsi" w:hAnsiTheme="minorHAnsi" w:cstheme="minorBidi"/>
      <w:sz w:val="22"/>
      <w:szCs w:val="22"/>
      <w:lang w:val="en-US" w:eastAsia="en-US"/>
    </w:rPr>
  </w:style>
  <w:style w:type="paragraph" w:customStyle="1" w:styleId="ParaNoNdepar-AltN">
    <w:name w:val="Para. No. / Nº de par. - Alt N"/>
    <w:qFormat/>
    <w:rsid w:val="00AB090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Party">
    <w:name w:val="SCC.Lsoc.Party"/>
    <w:basedOn w:val="Normal"/>
    <w:next w:val="Normal"/>
    <w:link w:val="SCCLsocPartyChar"/>
    <w:uiPriority w:val="99"/>
    <w:rsid w:val="00CD390B"/>
    <w:pPr>
      <w:spacing w:after="0" w:line="240" w:lineRule="auto"/>
      <w:jc w:val="both"/>
    </w:pPr>
    <w:rPr>
      <w:rFonts w:ascii="Times New Roman" w:eastAsia="Times New Roman" w:hAnsi="Times New Roman" w:cs="Times New Roman"/>
      <w:b/>
      <w:sz w:val="24"/>
      <w:szCs w:val="20"/>
      <w:lang w:val="fr-CA" w:eastAsia="en-CA"/>
    </w:rPr>
  </w:style>
  <w:style w:type="character" w:customStyle="1" w:styleId="SCCLsocPartyChar">
    <w:name w:val="SCC.Lsoc.Party Char"/>
    <w:basedOn w:val="DefaultParagraphFont"/>
    <w:link w:val="SCCLsocParty"/>
    <w:uiPriority w:val="99"/>
    <w:rsid w:val="00CD390B"/>
    <w:rPr>
      <w:b/>
      <w:sz w:val="24"/>
      <w:lang w:val="fr-CA"/>
    </w:rPr>
  </w:style>
  <w:style w:type="paragraph" w:customStyle="1" w:styleId="SCCLsocVersus">
    <w:name w:val="SCC.Lsoc.Versus"/>
    <w:basedOn w:val="Normal"/>
    <w:next w:val="Normal"/>
    <w:link w:val="SCCLsocVersusChar"/>
    <w:uiPriority w:val="99"/>
    <w:rsid w:val="00CD390B"/>
    <w:pPr>
      <w:spacing w:after="0" w:line="240" w:lineRule="auto"/>
    </w:pPr>
    <w:rPr>
      <w:rFonts w:ascii="Times New Roman" w:eastAsia="Times New Roman" w:hAnsi="Times New Roman" w:cs="Times New Roman"/>
      <w:i/>
      <w:sz w:val="24"/>
      <w:szCs w:val="20"/>
      <w:lang w:val="fr-CA" w:eastAsia="en-CA"/>
    </w:rPr>
  </w:style>
  <w:style w:type="character" w:customStyle="1" w:styleId="SCCLsocVersusChar">
    <w:name w:val="SCC.Lsoc.Versus Char"/>
    <w:basedOn w:val="DefaultParagraphFont"/>
    <w:link w:val="SCCLsocVersus"/>
    <w:uiPriority w:val="99"/>
    <w:rsid w:val="00CD390B"/>
    <w:rPr>
      <w:i/>
      <w:sz w:val="24"/>
      <w:lang w:val="fr-CA"/>
    </w:rPr>
  </w:style>
  <w:style w:type="paragraph" w:customStyle="1" w:styleId="SCCAppellantForRunningHead">
    <w:name w:val="SCC.AppellantForRunningHead"/>
    <w:basedOn w:val="Normal"/>
    <w:next w:val="Normal"/>
    <w:link w:val="SCCAppellantForRunningHeadChar"/>
    <w:rsid w:val="00CD390B"/>
    <w:pPr>
      <w:spacing w:after="0" w:line="240" w:lineRule="auto"/>
    </w:pPr>
    <w:rPr>
      <w:rFonts w:ascii="Times New Roman" w:eastAsia="Times New Roman" w:hAnsi="Times New Roman" w:cs="Times New Roman"/>
      <w:smallCaps/>
      <w:sz w:val="24"/>
      <w:szCs w:val="20"/>
      <w:lang w:val="fr-CA" w:eastAsia="en-CA"/>
    </w:rPr>
  </w:style>
  <w:style w:type="character" w:customStyle="1" w:styleId="SCCAppellantForRunningHeadChar">
    <w:name w:val="SCC.AppellantForRunningHead Char"/>
    <w:basedOn w:val="DefaultParagraphFont"/>
    <w:link w:val="SCCAppellantForRunningHead"/>
    <w:rsid w:val="00CD390B"/>
    <w:rPr>
      <w:smallCaps/>
      <w:sz w:val="24"/>
      <w:lang w:val="fr-CA"/>
    </w:rPr>
  </w:style>
  <w:style w:type="paragraph" w:customStyle="1" w:styleId="SCCSystemYear">
    <w:name w:val="SCC.SystemYear"/>
    <w:basedOn w:val="Normal"/>
    <w:next w:val="Normal"/>
    <w:link w:val="SCCSystemYearChar"/>
    <w:rsid w:val="00CD390B"/>
    <w:pPr>
      <w:spacing w:after="0" w:line="240" w:lineRule="auto"/>
    </w:pPr>
    <w:rPr>
      <w:rFonts w:ascii="Times New Roman" w:eastAsia="Times New Roman" w:hAnsi="Times New Roman" w:cs="Times New Roman"/>
      <w:b/>
      <w:sz w:val="24"/>
      <w:szCs w:val="20"/>
      <w:lang w:val="fr-CA" w:eastAsia="en-CA"/>
    </w:rPr>
  </w:style>
  <w:style w:type="character" w:customStyle="1" w:styleId="SCCSystemYearChar">
    <w:name w:val="SCC.SystemYear Char"/>
    <w:basedOn w:val="DefaultParagraphFont"/>
    <w:link w:val="SCCSystemYear"/>
    <w:rsid w:val="00CD390B"/>
    <w:rPr>
      <w:b/>
      <w:sz w:val="24"/>
      <w:lang w:val="fr-CA"/>
    </w:rPr>
  </w:style>
  <w:style w:type="paragraph" w:styleId="ListParagraph">
    <w:name w:val="List Paragraph"/>
    <w:basedOn w:val="Normal"/>
    <w:uiPriority w:val="34"/>
    <w:qFormat/>
    <w:rsid w:val="00FC3F10"/>
    <w:pPr>
      <w:ind w:left="720"/>
      <w:contextualSpacing/>
    </w:pPr>
  </w:style>
  <w:style w:type="paragraph" w:customStyle="1" w:styleId="SCCNormalDoubleSpacing">
    <w:name w:val="SCC.Normal.DoubleSpacing"/>
    <w:basedOn w:val="Normal"/>
    <w:link w:val="SCCNormalDoubleSpacingChar"/>
    <w:rsid w:val="002F7AB0"/>
    <w:pPr>
      <w:tabs>
        <w:tab w:val="left" w:pos="1168"/>
      </w:tabs>
      <w:spacing w:after="0" w:line="480" w:lineRule="auto"/>
      <w:jc w:val="both"/>
    </w:pPr>
    <w:rPr>
      <w:rFonts w:ascii="Times New Roman" w:eastAsia="Times New Roman" w:hAnsi="Times New Roman" w:cs="Times New Roman"/>
      <w:sz w:val="24"/>
      <w:szCs w:val="20"/>
      <w:lang w:val="fr-CA" w:eastAsia="en-CA"/>
    </w:rPr>
  </w:style>
  <w:style w:type="character" w:customStyle="1" w:styleId="SCCNormalDoubleSpacingChar">
    <w:name w:val="SCC.Normal.DoubleSpacing Char"/>
    <w:basedOn w:val="DefaultParagraphFont"/>
    <w:link w:val="SCCNormalDoubleSpacing"/>
    <w:rsid w:val="002F7AB0"/>
    <w:rPr>
      <w:sz w:val="24"/>
      <w:lang w:val="fr-CA"/>
    </w:rPr>
  </w:style>
  <w:style w:type="paragraph" w:styleId="Footer">
    <w:name w:val="footer"/>
    <w:basedOn w:val="Normal"/>
    <w:link w:val="FooterChar"/>
    <w:uiPriority w:val="99"/>
    <w:semiHidden/>
    <w:unhideWhenUsed/>
    <w:rsid w:val="00920F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F76"/>
    <w:rPr>
      <w:rFonts w:asciiTheme="minorHAnsi" w:eastAsiaTheme="minorHAnsi" w:hAnsiTheme="minorHAnsi" w:cstheme="minorBidi"/>
      <w:sz w:val="22"/>
      <w:szCs w:val="22"/>
      <w:lang w:val="en-US" w:eastAsia="en-US"/>
    </w:rPr>
  </w:style>
  <w:style w:type="table" w:styleId="TableGrid">
    <w:name w:val="Table Grid"/>
    <w:basedOn w:val="TableNormal"/>
    <w:uiPriority w:val="59"/>
    <w:rsid w:val="00CE5C0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CE5C01"/>
    <w:pPr>
      <w:spacing w:after="0" w:line="240" w:lineRule="auto"/>
    </w:pPr>
    <w:rPr>
      <w:rFonts w:ascii="Times New Roman" w:hAnsi="Times New Roman"/>
      <w:b/>
      <w:smallCaps/>
      <w:sz w:val="24"/>
      <w:szCs w:val="24"/>
      <w:lang w:val="fr-CA"/>
    </w:rPr>
  </w:style>
  <w:style w:type="character" w:customStyle="1" w:styleId="SCCLsocPrefixChar">
    <w:name w:val="SCC.Lsoc.Prefix Char"/>
    <w:basedOn w:val="DefaultParagraphFont"/>
    <w:link w:val="SCCLsocPrefix"/>
    <w:rsid w:val="00CE5C01"/>
    <w:rPr>
      <w:rFonts w:eastAsiaTheme="minorHAnsi" w:cstheme="minorBidi"/>
      <w:b/>
      <w:smallCaps/>
      <w:sz w:val="24"/>
      <w:szCs w:val="24"/>
      <w:lang w:val="fr-CA" w:eastAsia="en-US"/>
    </w:rPr>
  </w:style>
  <w:style w:type="paragraph" w:customStyle="1" w:styleId="SCCRespondentForIndex">
    <w:name w:val="SCC.RespondentForIndex"/>
    <w:basedOn w:val="Normal"/>
    <w:next w:val="Normal"/>
    <w:link w:val="SCCRespondentForIndexChar"/>
    <w:rsid w:val="00CE5C01"/>
    <w:pPr>
      <w:spacing w:after="0" w:line="240" w:lineRule="auto"/>
    </w:pPr>
    <w:rPr>
      <w:rFonts w:ascii="Times New Roman" w:eastAsia="Times New Roman" w:hAnsi="Times New Roman" w:cs="Times New Roman"/>
      <w:b/>
      <w:sz w:val="24"/>
      <w:szCs w:val="20"/>
      <w:lang w:val="fr-CA" w:eastAsia="en-CA"/>
    </w:rPr>
  </w:style>
  <w:style w:type="character" w:customStyle="1" w:styleId="SCCRespondentForIndexChar">
    <w:name w:val="SCC.RespondentForIndex Char"/>
    <w:basedOn w:val="DefaultParagraphFont"/>
    <w:link w:val="SCCRespondentForIndex"/>
    <w:rsid w:val="00CE5C01"/>
    <w:rPr>
      <w:b/>
      <w:sz w:val="24"/>
      <w:lang w:val="fr-CA"/>
    </w:rPr>
  </w:style>
</w:styles>
</file>

<file path=word/webSettings.xml><?xml version="1.0" encoding="utf-8"?>
<w:webSettings xmlns:r="http://schemas.openxmlformats.org/officeDocument/2006/relationships" xmlns:w="http://schemas.openxmlformats.org/wordprocessingml/2006/main">
  <w:divs>
    <w:div w:id="13338741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2293859">
          <w:marLeft w:val="0"/>
          <w:marRight w:val="0"/>
          <w:marTop w:val="0"/>
          <w:marBottom w:val="0"/>
          <w:divBdr>
            <w:top w:val="none" w:sz="0" w:space="0" w:color="auto"/>
            <w:left w:val="none" w:sz="0" w:space="0" w:color="auto"/>
            <w:bottom w:val="none" w:sz="0" w:space="0" w:color="auto"/>
            <w:right w:val="none" w:sz="0" w:space="0" w:color="auto"/>
          </w:divBdr>
          <w:divsChild>
            <w:div w:id="1069499702">
              <w:marLeft w:val="0"/>
              <w:marRight w:val="0"/>
              <w:marTop w:val="0"/>
              <w:marBottom w:val="0"/>
              <w:divBdr>
                <w:top w:val="none" w:sz="0" w:space="0" w:color="auto"/>
                <w:left w:val="none" w:sz="0" w:space="0" w:color="auto"/>
                <w:bottom w:val="none" w:sz="0" w:space="0" w:color="auto"/>
                <w:right w:val="none" w:sz="0" w:space="0" w:color="auto"/>
              </w:divBdr>
              <w:divsChild>
                <w:div w:id="1528836001">
                  <w:marLeft w:val="0"/>
                  <w:marRight w:val="0"/>
                  <w:marTop w:val="0"/>
                  <w:marBottom w:val="0"/>
                  <w:divBdr>
                    <w:top w:val="none" w:sz="0" w:space="0" w:color="auto"/>
                    <w:left w:val="none" w:sz="0" w:space="0" w:color="auto"/>
                    <w:bottom w:val="none" w:sz="0" w:space="0" w:color="auto"/>
                    <w:right w:val="none" w:sz="0" w:space="0" w:color="auto"/>
                  </w:divBdr>
                  <w:divsChild>
                    <w:div w:id="798840754">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950309704">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29381787">
          <w:marLeft w:val="0"/>
          <w:marRight w:val="0"/>
          <w:marTop w:val="0"/>
          <w:marBottom w:val="0"/>
          <w:divBdr>
            <w:top w:val="none" w:sz="0" w:space="0" w:color="auto"/>
            <w:left w:val="none" w:sz="0" w:space="0" w:color="auto"/>
            <w:bottom w:val="none" w:sz="0" w:space="0" w:color="auto"/>
            <w:right w:val="none" w:sz="0" w:space="0" w:color="auto"/>
          </w:divBdr>
          <w:divsChild>
            <w:div w:id="310452746">
              <w:marLeft w:val="0"/>
              <w:marRight w:val="0"/>
              <w:marTop w:val="0"/>
              <w:marBottom w:val="0"/>
              <w:divBdr>
                <w:top w:val="none" w:sz="0" w:space="0" w:color="auto"/>
                <w:left w:val="none" w:sz="0" w:space="0" w:color="auto"/>
                <w:bottom w:val="none" w:sz="0" w:space="0" w:color="auto"/>
                <w:right w:val="none" w:sz="0" w:space="0" w:color="auto"/>
              </w:divBdr>
              <w:divsChild>
                <w:div w:id="1620646521">
                  <w:marLeft w:val="0"/>
                  <w:marRight w:val="0"/>
                  <w:marTop w:val="0"/>
                  <w:marBottom w:val="0"/>
                  <w:divBdr>
                    <w:top w:val="none" w:sz="0" w:space="0" w:color="auto"/>
                    <w:left w:val="none" w:sz="0" w:space="0" w:color="auto"/>
                    <w:bottom w:val="none" w:sz="0" w:space="0" w:color="auto"/>
                    <w:right w:val="none" w:sz="0" w:space="0" w:color="auto"/>
                  </w:divBdr>
                  <w:divsChild>
                    <w:div w:id="1928266648">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1372</Words>
  <Characters>7551</Characters>
  <Application>Microsoft Office Word</Application>
  <DocSecurity>0</DocSecurity>
  <Lines>62</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2012-06-27T14:08:00Z</dcterms:created>
  <dcterms:modified xsi:type="dcterms:W3CDTF">2013-02-25T19:19:00Z</dcterms:modified>
</cp:coreProperties>
</file>