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D144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40954</w:t>
      </w:r>
      <w:r w:rsidR="0016666F" w:rsidRPr="006E7BAE">
        <w:t>     </w:t>
      </w:r>
    </w:p>
    <w:p w14:paraId="5F83AA09" w14:textId="77777777" w:rsidR="002568D3" w:rsidRPr="006E7BAE" w:rsidRDefault="002568D3" w:rsidP="00382FEC"/>
    <w:tbl>
      <w:tblPr>
        <w:tblW w:w="504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0"/>
        <w:gridCol w:w="629"/>
        <w:gridCol w:w="4411"/>
      </w:tblGrid>
      <w:tr w:rsidR="00417FB7" w:rsidRPr="006E7BAE" w14:paraId="130B0B53" w14:textId="77777777" w:rsidTr="00142D77">
        <w:tc>
          <w:tcPr>
            <w:tcW w:w="2333" w:type="pct"/>
          </w:tcPr>
          <w:p w14:paraId="591F14F4" w14:textId="77777777" w:rsidR="00417FB7" w:rsidRPr="006E7BAE" w:rsidRDefault="00543EDD" w:rsidP="008262A3">
            <w:r>
              <w:t>April 25, 2024</w:t>
            </w:r>
          </w:p>
        </w:tc>
        <w:tc>
          <w:tcPr>
            <w:tcW w:w="333" w:type="pct"/>
          </w:tcPr>
          <w:p w14:paraId="1873ADE2" w14:textId="77777777" w:rsidR="00417FB7" w:rsidRPr="006E7BAE" w:rsidRDefault="00417FB7" w:rsidP="00382FEC"/>
        </w:tc>
        <w:tc>
          <w:tcPr>
            <w:tcW w:w="2334" w:type="pct"/>
          </w:tcPr>
          <w:p w14:paraId="28E27764" w14:textId="77777777" w:rsidR="00417FB7" w:rsidRPr="00D83B8C" w:rsidRDefault="00543EDD" w:rsidP="00816B78">
            <w:pPr>
              <w:rPr>
                <w:lang w:val="en-US"/>
              </w:rPr>
            </w:pPr>
            <w:r>
              <w:t>Le 25 avril 2024</w:t>
            </w:r>
          </w:p>
        </w:tc>
      </w:tr>
      <w:tr w:rsidR="00E12A51" w:rsidRPr="006E7BAE" w14:paraId="5E240106" w14:textId="77777777" w:rsidTr="00142D77">
        <w:tc>
          <w:tcPr>
            <w:tcW w:w="2333" w:type="pct"/>
            <w:tcMar>
              <w:top w:w="0" w:type="dxa"/>
              <w:bottom w:w="0" w:type="dxa"/>
            </w:tcMar>
          </w:tcPr>
          <w:p w14:paraId="29BE3A62" w14:textId="77777777" w:rsidR="00C2612E" w:rsidRPr="006E7BAE" w:rsidRDefault="00C2612E" w:rsidP="008262A3"/>
        </w:tc>
        <w:tc>
          <w:tcPr>
            <w:tcW w:w="333" w:type="pct"/>
            <w:tcMar>
              <w:top w:w="0" w:type="dxa"/>
              <w:bottom w:w="0" w:type="dxa"/>
            </w:tcMar>
          </w:tcPr>
          <w:p w14:paraId="01D2832B" w14:textId="77777777" w:rsidR="00E12A51" w:rsidRPr="006E7BAE" w:rsidRDefault="00E12A51" w:rsidP="00382FEC"/>
        </w:tc>
        <w:tc>
          <w:tcPr>
            <w:tcW w:w="2334" w:type="pct"/>
            <w:tcMar>
              <w:top w:w="0" w:type="dxa"/>
              <w:bottom w:w="0" w:type="dxa"/>
            </w:tcMar>
          </w:tcPr>
          <w:p w14:paraId="03FEB9A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E1DA5" w14:paraId="364A9DC5" w14:textId="77777777" w:rsidTr="00142D77">
        <w:tc>
          <w:tcPr>
            <w:tcW w:w="2333" w:type="pct"/>
          </w:tcPr>
          <w:p w14:paraId="2648221B" w14:textId="77777777" w:rsidR="008D7DF5" w:rsidRDefault="008D7DF5"/>
          <w:p w14:paraId="385135AF" w14:textId="77777777" w:rsidR="008D7DF5" w:rsidRDefault="00296D89">
            <w:pPr>
              <w:pStyle w:val="SCCLsocPrefix"/>
            </w:pPr>
            <w:r>
              <w:t>BETWEEN:</w:t>
            </w:r>
          </w:p>
          <w:p w14:paraId="0DA77AF8" w14:textId="77777777" w:rsidR="00A762FB" w:rsidRPr="00A762FB" w:rsidRDefault="00A762FB" w:rsidP="00142D77"/>
          <w:p w14:paraId="1E85462E" w14:textId="3F5CD035" w:rsidR="008D7DF5" w:rsidRDefault="00296D89">
            <w:pPr>
              <w:pStyle w:val="SCCLsocParty"/>
            </w:pPr>
            <w:r>
              <w:t>Métis Nation of Ontario</w:t>
            </w:r>
            <w:r w:rsidR="00A762FB">
              <w:t xml:space="preserve"> and</w:t>
            </w:r>
            <w:r w:rsidR="00142D77">
              <w:t xml:space="preserve"> Métis</w:t>
            </w:r>
            <w:r>
              <w:t xml:space="preserve"> Nation of Ontario Secretariat Inc</w:t>
            </w:r>
            <w:r>
              <w:br/>
            </w:r>
          </w:p>
          <w:p w14:paraId="79E210C0" w14:textId="77777777" w:rsidR="008D7DF5" w:rsidRDefault="00296D89">
            <w:pPr>
              <w:pStyle w:val="SCCLsocPartyRole"/>
            </w:pPr>
            <w:r>
              <w:t>Applicants</w:t>
            </w:r>
            <w:r>
              <w:br/>
            </w:r>
          </w:p>
          <w:p w14:paraId="70A97EDF" w14:textId="77777777" w:rsidR="008D7DF5" w:rsidRDefault="00296D89">
            <w:pPr>
              <w:pStyle w:val="SCCLsocVersus"/>
            </w:pPr>
            <w:r>
              <w:t>- and -</w:t>
            </w:r>
          </w:p>
          <w:p w14:paraId="31752B39" w14:textId="77777777" w:rsidR="008D7DF5" w:rsidRDefault="008D7DF5"/>
          <w:p w14:paraId="0D360B64" w14:textId="08553B0C" w:rsidR="00AE2146" w:rsidRDefault="00296D89" w:rsidP="003E1DA5">
            <w:pPr>
              <w:pStyle w:val="SCCLsocParty"/>
            </w:pPr>
            <w:r>
              <w:t>Chief Kirby Whiteduck on his own behalf and on the behalf of the Algonquins and the Algonquin Opportunity (No.2) Corporation</w:t>
            </w:r>
            <w:r>
              <w:br/>
            </w:r>
          </w:p>
          <w:p w14:paraId="053894AE" w14:textId="0B0D7668" w:rsidR="008D7DF5" w:rsidRDefault="00296D89">
            <w:pPr>
              <w:pStyle w:val="SCCLsocPartyRole"/>
            </w:pPr>
            <w:r>
              <w:t>Respondent</w:t>
            </w:r>
            <w:r w:rsidR="00A762FB">
              <w:t>s</w:t>
            </w:r>
          </w:p>
        </w:tc>
        <w:tc>
          <w:tcPr>
            <w:tcW w:w="333" w:type="pct"/>
          </w:tcPr>
          <w:p w14:paraId="66AC837E" w14:textId="77777777" w:rsidR="00824412" w:rsidRPr="006E7BAE" w:rsidRDefault="00824412" w:rsidP="00375294"/>
        </w:tc>
        <w:tc>
          <w:tcPr>
            <w:tcW w:w="2334" w:type="pct"/>
          </w:tcPr>
          <w:p w14:paraId="033D6007" w14:textId="77777777" w:rsidR="008D7DF5" w:rsidRPr="00296D89" w:rsidRDefault="008D7DF5">
            <w:pPr>
              <w:rPr>
                <w:lang w:val="fr-CA"/>
              </w:rPr>
            </w:pPr>
          </w:p>
          <w:p w14:paraId="6499AB8E" w14:textId="77777777" w:rsidR="008D7DF5" w:rsidRDefault="00296D89">
            <w:pPr>
              <w:pStyle w:val="SCCLsocPrefix"/>
              <w:rPr>
                <w:lang w:val="fr-CA"/>
              </w:rPr>
            </w:pPr>
            <w:r w:rsidRPr="00296D89">
              <w:rPr>
                <w:lang w:val="fr-CA"/>
              </w:rPr>
              <w:t>ENTRE :</w:t>
            </w:r>
          </w:p>
          <w:p w14:paraId="6D254260" w14:textId="77777777" w:rsidR="00A762FB" w:rsidRPr="00A762FB" w:rsidRDefault="00A762FB" w:rsidP="00142D77">
            <w:pPr>
              <w:rPr>
                <w:lang w:val="fr-CA"/>
              </w:rPr>
            </w:pPr>
          </w:p>
          <w:p w14:paraId="76575D92" w14:textId="4ECF20F8" w:rsidR="008D7DF5" w:rsidRPr="00296D89" w:rsidRDefault="00296D89">
            <w:pPr>
              <w:pStyle w:val="SCCLsocParty"/>
              <w:rPr>
                <w:lang w:val="fr-CA"/>
              </w:rPr>
            </w:pPr>
            <w:r w:rsidRPr="00296D89">
              <w:rPr>
                <w:lang w:val="fr-CA"/>
              </w:rPr>
              <w:t>Nation métisse de l’Ontario</w:t>
            </w:r>
            <w:r w:rsidR="00A762FB">
              <w:rPr>
                <w:lang w:val="fr-CA"/>
              </w:rPr>
              <w:t xml:space="preserve"> et</w:t>
            </w:r>
            <w:r w:rsidR="00142D77">
              <w:rPr>
                <w:lang w:val="fr-CA"/>
              </w:rPr>
              <w:t xml:space="preserve"> </w:t>
            </w:r>
            <w:r w:rsidR="00142D77" w:rsidRPr="00142D77">
              <w:rPr>
                <w:lang w:val="fr-CA"/>
              </w:rPr>
              <w:t>Métis</w:t>
            </w:r>
            <w:r w:rsidR="00604BA8" w:rsidRPr="00142D77">
              <w:rPr>
                <w:lang w:val="fr-CA"/>
              </w:rPr>
              <w:t xml:space="preserve"> Nation of Ontario Secretariat Inc</w:t>
            </w:r>
            <w:r w:rsidR="00604BA8" w:rsidRPr="00142D77">
              <w:rPr>
                <w:lang w:val="fr-CA"/>
              </w:rPr>
              <w:br/>
            </w:r>
          </w:p>
          <w:p w14:paraId="10ADABF8" w14:textId="77777777" w:rsidR="008D7DF5" w:rsidRPr="00296D89" w:rsidRDefault="00296D89">
            <w:pPr>
              <w:pStyle w:val="SCCLsocPartyRole"/>
              <w:rPr>
                <w:lang w:val="fr-CA"/>
              </w:rPr>
            </w:pPr>
            <w:r w:rsidRPr="00296D89">
              <w:rPr>
                <w:lang w:val="fr-CA"/>
              </w:rPr>
              <w:t>Demanderesses</w:t>
            </w:r>
            <w:r w:rsidRPr="00296D89">
              <w:rPr>
                <w:lang w:val="fr-CA"/>
              </w:rPr>
              <w:br/>
            </w:r>
          </w:p>
          <w:p w14:paraId="71AAFB5E" w14:textId="77777777" w:rsidR="008D7DF5" w:rsidRPr="00296D89" w:rsidRDefault="00296D89">
            <w:pPr>
              <w:pStyle w:val="SCCLsocVersus"/>
              <w:rPr>
                <w:lang w:val="fr-CA"/>
              </w:rPr>
            </w:pPr>
            <w:r w:rsidRPr="00296D89">
              <w:rPr>
                <w:lang w:val="fr-CA"/>
              </w:rPr>
              <w:t>- et -</w:t>
            </w:r>
          </w:p>
          <w:p w14:paraId="477A40C8" w14:textId="77777777" w:rsidR="008D7DF5" w:rsidRPr="00296D89" w:rsidRDefault="008D7DF5">
            <w:pPr>
              <w:rPr>
                <w:lang w:val="fr-CA"/>
              </w:rPr>
            </w:pPr>
          </w:p>
          <w:p w14:paraId="6DE1BE7A" w14:textId="48C6DE0D" w:rsidR="003E1DA5" w:rsidRDefault="003E1DA5" w:rsidP="003E1DA5">
            <w:pPr>
              <w:pStyle w:val="SCCLsocParty"/>
              <w:rPr>
                <w:lang w:val="fr-CA"/>
              </w:rPr>
            </w:pPr>
            <w:r w:rsidRPr="003E1DA5">
              <w:rPr>
                <w:lang w:val="fr-CA"/>
              </w:rPr>
              <w:t>Le chef Kirby Whiteduck en son nom propre et au nom des Algonquins et de l'Algonquin Opportunity (No.2) Corporation</w:t>
            </w:r>
            <w:r w:rsidR="00296D89" w:rsidRPr="003E1DA5">
              <w:rPr>
                <w:lang w:val="fr-CA"/>
              </w:rPr>
              <w:br/>
            </w:r>
          </w:p>
          <w:p w14:paraId="736CF6F2" w14:textId="718747FE" w:rsidR="008D7DF5" w:rsidRPr="003E1DA5" w:rsidRDefault="00296D89" w:rsidP="00AE2146">
            <w:pPr>
              <w:pStyle w:val="SCCLsocParty"/>
              <w:rPr>
                <w:lang w:val="fr-CA"/>
              </w:rPr>
            </w:pPr>
            <w:r w:rsidRPr="00142D77">
              <w:rPr>
                <w:lang w:val="fr-CA"/>
              </w:rPr>
              <w:t>Intimé</w:t>
            </w:r>
            <w:r w:rsidR="00A762FB" w:rsidRPr="00142D77">
              <w:rPr>
                <w:lang w:val="fr-CA"/>
              </w:rPr>
              <w:t>s</w:t>
            </w:r>
          </w:p>
        </w:tc>
      </w:tr>
      <w:tr w:rsidR="00824412" w:rsidRPr="003E1DA5" w14:paraId="20183FFE" w14:textId="77777777" w:rsidTr="00142D77">
        <w:tc>
          <w:tcPr>
            <w:tcW w:w="2333" w:type="pct"/>
            <w:tcMar>
              <w:top w:w="0" w:type="dxa"/>
              <w:bottom w:w="0" w:type="dxa"/>
            </w:tcMar>
          </w:tcPr>
          <w:p w14:paraId="67937225" w14:textId="77777777" w:rsidR="00824412" w:rsidRPr="00142D77" w:rsidRDefault="00824412" w:rsidP="00375294">
            <w:pPr>
              <w:rPr>
                <w:lang w:val="fr-CA"/>
              </w:rPr>
            </w:pPr>
          </w:p>
        </w:tc>
        <w:tc>
          <w:tcPr>
            <w:tcW w:w="333" w:type="pct"/>
            <w:tcMar>
              <w:top w:w="0" w:type="dxa"/>
              <w:bottom w:w="0" w:type="dxa"/>
            </w:tcMar>
          </w:tcPr>
          <w:p w14:paraId="1E8EDEA5" w14:textId="77777777" w:rsidR="00824412" w:rsidRPr="00142D77" w:rsidRDefault="00824412" w:rsidP="00375294">
            <w:pPr>
              <w:rPr>
                <w:lang w:val="fr-CA"/>
              </w:rPr>
            </w:pPr>
          </w:p>
        </w:tc>
        <w:tc>
          <w:tcPr>
            <w:tcW w:w="2334" w:type="pct"/>
            <w:tcMar>
              <w:top w:w="0" w:type="dxa"/>
              <w:bottom w:w="0" w:type="dxa"/>
            </w:tcMar>
          </w:tcPr>
          <w:p w14:paraId="6A001450" w14:textId="77777777" w:rsidR="00824412" w:rsidRPr="00142D77" w:rsidRDefault="00824412" w:rsidP="00B408F8">
            <w:pPr>
              <w:rPr>
                <w:lang w:val="fr-CA"/>
              </w:rPr>
            </w:pPr>
          </w:p>
        </w:tc>
      </w:tr>
      <w:tr w:rsidR="00824412" w:rsidRPr="003E1DA5" w14:paraId="3CC73384" w14:textId="77777777" w:rsidTr="00142D77">
        <w:tc>
          <w:tcPr>
            <w:tcW w:w="2333" w:type="pct"/>
          </w:tcPr>
          <w:p w14:paraId="5D5BC19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41DF720" w14:textId="77777777" w:rsidR="00824412" w:rsidRPr="006E7BAE" w:rsidRDefault="00824412" w:rsidP="00417FB7">
            <w:pPr>
              <w:jc w:val="center"/>
            </w:pPr>
          </w:p>
          <w:p w14:paraId="2C9E4E7C" w14:textId="5D842F81" w:rsidR="00824412" w:rsidRDefault="00177A1C" w:rsidP="00011960">
            <w:pPr>
              <w:jc w:val="both"/>
            </w:pPr>
            <w:r w:rsidRPr="002C6228">
              <w:t xml:space="preserve">The motion for an extension of time to serve and file </w:t>
            </w:r>
            <w:r>
              <w:t xml:space="preserve">a response </w:t>
            </w:r>
            <w:r w:rsidRPr="002C6228">
              <w:t>is granted</w:t>
            </w:r>
            <w:r>
              <w:t xml:space="preserve">. The motion for leave to intervene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</w:t>
            </w:r>
            <w:r w:rsidR="00A762FB" w:rsidRPr="006E7BAE">
              <w:t>Number</w:t>
            </w:r>
            <w:r w:rsidR="00A762FB">
              <w:t xml:space="preserve"> </w:t>
            </w:r>
            <w:r w:rsidR="00296D89">
              <w:t>C70168</w:t>
            </w:r>
            <w:r w:rsidR="00296D89" w:rsidRPr="006E7BAE">
              <w:t xml:space="preserve">, </w:t>
            </w:r>
            <w:r w:rsidR="00824412">
              <w:t xml:space="preserve">2023 ONCA 543, </w:t>
            </w:r>
            <w:r w:rsidR="00824412" w:rsidRPr="006E7BAE">
              <w:t xml:space="preserve">dated </w:t>
            </w:r>
            <w:r w:rsidR="00824412">
              <w:t>August 17, 2023</w:t>
            </w:r>
            <w:r w:rsidR="00296D89">
              <w:t>,</w:t>
            </w:r>
            <w:r w:rsidR="00824412" w:rsidRPr="006E7BAE">
              <w:t xml:space="preserve"> is </w:t>
            </w:r>
            <w:r w:rsidR="00296D89">
              <w:t>dismissed without costs</w:t>
            </w:r>
            <w:r w:rsidR="00824412" w:rsidRPr="006E7BAE">
              <w:t>.</w:t>
            </w:r>
          </w:p>
          <w:p w14:paraId="5035A5F1" w14:textId="77777777" w:rsidR="003F6511" w:rsidRDefault="003F6511" w:rsidP="00011960">
            <w:pPr>
              <w:jc w:val="both"/>
            </w:pPr>
          </w:p>
          <w:p w14:paraId="352BDF8D" w14:textId="77777777" w:rsidR="003F6511" w:rsidRPr="006E7BAE" w:rsidRDefault="003F6511" w:rsidP="00011960">
            <w:pPr>
              <w:jc w:val="both"/>
            </w:pPr>
          </w:p>
        </w:tc>
        <w:tc>
          <w:tcPr>
            <w:tcW w:w="333" w:type="pct"/>
          </w:tcPr>
          <w:p w14:paraId="6F2BE54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34" w:type="pct"/>
          </w:tcPr>
          <w:p w14:paraId="0207084C" w14:textId="77777777" w:rsidR="00824412" w:rsidRPr="00AE2146" w:rsidRDefault="00824412" w:rsidP="00C2612E">
            <w:pPr>
              <w:jc w:val="center"/>
              <w:rPr>
                <w:lang w:val="fr-CA"/>
              </w:rPr>
            </w:pPr>
            <w:r w:rsidRPr="00AE2146">
              <w:rPr>
                <w:lang w:val="fr-CA"/>
              </w:rPr>
              <w:t>JUGEMENT</w:t>
            </w:r>
          </w:p>
          <w:p w14:paraId="62D5EDB3" w14:textId="77777777" w:rsidR="00824412" w:rsidRPr="00AE2146" w:rsidRDefault="00824412" w:rsidP="00417FB7">
            <w:pPr>
              <w:jc w:val="center"/>
              <w:rPr>
                <w:lang w:val="fr-CA"/>
              </w:rPr>
            </w:pPr>
          </w:p>
          <w:p w14:paraId="162DEF56" w14:textId="77777777" w:rsidR="003F6511" w:rsidRDefault="00177A1C" w:rsidP="00A762FB">
            <w:pPr>
              <w:jc w:val="both"/>
              <w:rPr>
                <w:lang w:val="fr-CA"/>
              </w:rPr>
            </w:pPr>
            <w:bookmarkStart w:id="1" w:name="_GoBack"/>
            <w:r w:rsidRPr="008D41EE">
              <w:rPr>
                <w:lang w:val="fr-CA"/>
              </w:rPr>
              <w:t xml:space="preserve">La requête en prorogation du délai de signification et de dépôt de la </w:t>
            </w:r>
            <w:r>
              <w:rPr>
                <w:lang w:val="fr-CA"/>
              </w:rPr>
              <w:t xml:space="preserve">réponse est accueillie. La </w:t>
            </w:r>
            <w:r w:rsidRPr="008D41EE">
              <w:rPr>
                <w:lang w:val="fr-CA"/>
              </w:rPr>
              <w:t>requête en</w:t>
            </w:r>
            <w:r w:rsidR="00604BA8">
              <w:rPr>
                <w:lang w:val="fr-CA"/>
              </w:rPr>
              <w:t xml:space="preserve"> autorisation d’intervention est rejetée.</w:t>
            </w:r>
            <w:r>
              <w:rPr>
                <w:lang w:val="fr-CA"/>
              </w:rPr>
              <w:t xml:space="preserve"> </w:t>
            </w:r>
            <w:r w:rsidR="00824412" w:rsidRPr="00177A1C">
              <w:rPr>
                <w:lang w:val="fr-CA"/>
              </w:rPr>
              <w:t>L</w:t>
            </w:r>
            <w:r w:rsidR="00011960" w:rsidRPr="00177A1C">
              <w:rPr>
                <w:lang w:val="fr-CA"/>
              </w:rPr>
              <w:t>a demande d’autorisation d’appel de l’arrêt de la</w:t>
            </w:r>
            <w:r w:rsidR="00824412" w:rsidRPr="00177A1C">
              <w:rPr>
                <w:lang w:val="fr-CA"/>
              </w:rPr>
              <w:t xml:space="preserve"> Cour d’appel de l’Ontario,</w:t>
            </w:r>
            <w:r w:rsidR="00A762FB" w:rsidRPr="00177A1C">
              <w:rPr>
                <w:lang w:val="fr-CA"/>
              </w:rPr>
              <w:t xml:space="preserve"> numéro</w:t>
            </w:r>
            <w:r w:rsidR="00824412" w:rsidRPr="00177A1C">
              <w:rPr>
                <w:lang w:val="fr-CA"/>
              </w:rPr>
              <w:t xml:space="preserve"> </w:t>
            </w:r>
            <w:r w:rsidR="00296D89" w:rsidRPr="00177A1C">
              <w:rPr>
                <w:lang w:val="fr-CA"/>
              </w:rPr>
              <w:t xml:space="preserve">C70168, </w:t>
            </w:r>
            <w:r w:rsidR="00824412" w:rsidRPr="00177A1C">
              <w:rPr>
                <w:lang w:val="fr-CA"/>
              </w:rPr>
              <w:t xml:space="preserve">2023 ONCA 543, </w:t>
            </w:r>
            <w:r w:rsidR="00011960" w:rsidRPr="00177A1C">
              <w:rPr>
                <w:lang w:val="fr-CA"/>
              </w:rPr>
              <w:t>d</w:t>
            </w:r>
            <w:r w:rsidR="00011960" w:rsidRPr="006E7BAE">
              <w:rPr>
                <w:lang w:val="fr-CA"/>
              </w:rPr>
              <w:t>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96D89">
              <w:rPr>
                <w:lang w:val="fr-CA"/>
              </w:rPr>
              <w:t>17 août 2023</w:t>
            </w:r>
            <w:r w:rsidR="00824412" w:rsidRPr="006E7BAE">
              <w:rPr>
                <w:lang w:val="fr-CA"/>
              </w:rPr>
              <w:t xml:space="preserve">, est </w:t>
            </w:r>
            <w:r w:rsidR="00296D89">
              <w:rPr>
                <w:lang w:val="fr-CA"/>
              </w:rPr>
              <w:t>rejetée sans d</w:t>
            </w:r>
            <w:r w:rsidR="00011960" w:rsidRPr="006E7BAE">
              <w:rPr>
                <w:lang w:val="fr-CA"/>
              </w:rPr>
              <w:t>épens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  <w:p w14:paraId="440CDEAC" w14:textId="331F3F75" w:rsidR="003E1DA5" w:rsidRPr="006E7BAE" w:rsidRDefault="003E1DA5" w:rsidP="00A762FB">
            <w:pPr>
              <w:jc w:val="both"/>
              <w:rPr>
                <w:lang w:val="fr-CA"/>
              </w:rPr>
            </w:pPr>
          </w:p>
        </w:tc>
      </w:tr>
    </w:tbl>
    <w:p w14:paraId="41103049" w14:textId="77777777" w:rsidR="009F436C" w:rsidRPr="00D83B8C" w:rsidRDefault="009F436C" w:rsidP="00382FEC">
      <w:pPr>
        <w:rPr>
          <w:lang w:val="fr-CA"/>
        </w:rPr>
      </w:pPr>
    </w:p>
    <w:p w14:paraId="5398D053" w14:textId="77777777" w:rsidR="009F436C" w:rsidRPr="00D83B8C" w:rsidRDefault="009F436C" w:rsidP="00417FB7">
      <w:pPr>
        <w:jc w:val="center"/>
        <w:rPr>
          <w:lang w:val="fr-CA"/>
        </w:rPr>
      </w:pPr>
    </w:p>
    <w:p w14:paraId="287CF3D8" w14:textId="77777777" w:rsidR="009F436C" w:rsidRPr="00D83B8C" w:rsidRDefault="009F436C" w:rsidP="00417FB7">
      <w:pPr>
        <w:jc w:val="center"/>
        <w:rPr>
          <w:lang w:val="fr-CA"/>
        </w:rPr>
      </w:pPr>
    </w:p>
    <w:p w14:paraId="5CA36A5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432EF9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11E0384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142D77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7111D" w14:textId="77777777" w:rsidR="00983D48" w:rsidRDefault="00983D48">
      <w:r>
        <w:separator/>
      </w:r>
    </w:p>
  </w:endnote>
  <w:endnote w:type="continuationSeparator" w:id="0">
    <w:p w14:paraId="0678642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4C0FA" w14:textId="77777777" w:rsidR="00983D48" w:rsidRDefault="00983D48">
      <w:r>
        <w:separator/>
      </w:r>
    </w:p>
  </w:footnote>
  <w:footnote w:type="continuationSeparator" w:id="0">
    <w:p w14:paraId="10DC257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C77E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E1DA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0FA757" w14:textId="77777777" w:rsidR="008F53F3" w:rsidRDefault="008F53F3" w:rsidP="008F53F3">
    <w:pPr>
      <w:rPr>
        <w:szCs w:val="24"/>
      </w:rPr>
    </w:pPr>
  </w:p>
  <w:p w14:paraId="08937BB7" w14:textId="77777777" w:rsidR="008F53F3" w:rsidRDefault="008F53F3" w:rsidP="008F53F3">
    <w:pPr>
      <w:rPr>
        <w:szCs w:val="24"/>
      </w:rPr>
    </w:pPr>
  </w:p>
  <w:p w14:paraId="1CFDDD6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40954</w:t>
    </w:r>
    <w:r>
      <w:rPr>
        <w:szCs w:val="24"/>
      </w:rPr>
      <w:t>     </w:t>
    </w:r>
  </w:p>
  <w:p w14:paraId="522425B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D492585" w14:textId="77777777" w:rsidR="0073151A" w:rsidRDefault="0073151A" w:rsidP="0073151A"/>
      <w:p w14:paraId="3A3135EF" w14:textId="77777777" w:rsidR="0073151A" w:rsidRPr="006E7BAE" w:rsidRDefault="0073151A" w:rsidP="0073151A"/>
      <w:p w14:paraId="0CEEEAC4" w14:textId="77777777" w:rsidR="0073151A" w:rsidRPr="006E7BAE" w:rsidRDefault="0073151A" w:rsidP="0073151A"/>
      <w:p w14:paraId="44B12BFB" w14:textId="77777777" w:rsidR="0073151A" w:rsidRPr="006E7BAE" w:rsidRDefault="0073151A" w:rsidP="0073151A"/>
      <w:p w14:paraId="5BF120A9" w14:textId="77777777" w:rsidR="0073151A" w:rsidRDefault="0073151A" w:rsidP="0073151A"/>
      <w:p w14:paraId="4C7EE37D" w14:textId="77777777" w:rsidR="0073151A" w:rsidRDefault="0073151A" w:rsidP="0073151A"/>
      <w:p w14:paraId="3AEA020F" w14:textId="77777777" w:rsidR="0073151A" w:rsidRDefault="0073151A" w:rsidP="0073151A"/>
      <w:p w14:paraId="3E5DD683" w14:textId="77777777" w:rsidR="0073151A" w:rsidRDefault="0073151A" w:rsidP="0073151A"/>
      <w:p w14:paraId="30FB29FF" w14:textId="77777777" w:rsidR="0073151A" w:rsidRDefault="0073151A" w:rsidP="0073151A"/>
      <w:p w14:paraId="2E86DD46" w14:textId="77777777" w:rsidR="0073151A" w:rsidRPr="006E7BAE" w:rsidRDefault="0073151A" w:rsidP="0073151A"/>
      <w:p w14:paraId="06E3A4C5" w14:textId="77777777" w:rsidR="00ED265D" w:rsidRPr="0073151A" w:rsidRDefault="008B3E8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7A05"/>
    <w:rsid w:val="00091327"/>
    <w:rsid w:val="000919B4"/>
    <w:rsid w:val="000B4AA7"/>
    <w:rsid w:val="000B76FF"/>
    <w:rsid w:val="000C5AF7"/>
    <w:rsid w:val="000D7521"/>
    <w:rsid w:val="000E4CCE"/>
    <w:rsid w:val="00103822"/>
    <w:rsid w:val="00110EB3"/>
    <w:rsid w:val="00142D77"/>
    <w:rsid w:val="0016666F"/>
    <w:rsid w:val="00167C15"/>
    <w:rsid w:val="00177A1C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6D89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1DA5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4BA8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394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3E84"/>
    <w:rsid w:val="008D7DF5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62FB"/>
    <w:rsid w:val="00AB4A38"/>
    <w:rsid w:val="00AB5E22"/>
    <w:rsid w:val="00AE2077"/>
    <w:rsid w:val="00AE2146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EF92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15406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32B65-1462-4BBF-9C64-1FC95BD2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07F49-FA8D-462E-AAEF-CF070C9B605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BAD51E1-5F99-42FF-9F62-7A78E35E91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2024-04-23T12:54:00Z</dcterms:created>
  <dcterms:modified xsi:type="dcterms:W3CDTF">2024-04-23T13:01:00Z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