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6F7A67" w:rsidTr="00F138C1">
        <w:tc>
          <w:tcPr>
            <w:tcW w:w="9648" w:type="dxa"/>
            <w:gridSpan w:val="3"/>
          </w:tcPr>
          <w:p w:rsidR="00F138C1" w:rsidRPr="006F7A67" w:rsidRDefault="00F138C1" w:rsidP="00F138C1">
            <w:pPr>
              <w:tabs>
                <w:tab w:val="left" w:pos="6075"/>
              </w:tabs>
              <w:jc w:val="center"/>
              <w:rPr>
                <w:b/>
                <w:sz w:val="32"/>
                <w:szCs w:val="32"/>
                <w:lang w:val="fr-CA"/>
              </w:rPr>
            </w:pPr>
            <w:r w:rsidRPr="006F7A67">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6F7A67" w:rsidTr="00F138C1">
        <w:tc>
          <w:tcPr>
            <w:tcW w:w="4599" w:type="dxa"/>
            <w:tcMar>
              <w:top w:w="284" w:type="dxa"/>
            </w:tcMar>
          </w:tcPr>
          <w:p w:rsidR="00F138C1" w:rsidRPr="006F7A67" w:rsidRDefault="00F138C1" w:rsidP="00F138C1">
            <w:pPr>
              <w:tabs>
                <w:tab w:val="left" w:pos="6075"/>
              </w:tabs>
              <w:jc w:val="center"/>
              <w:rPr>
                <w:b/>
                <w:sz w:val="32"/>
                <w:szCs w:val="32"/>
              </w:rPr>
            </w:pPr>
            <w:r w:rsidRPr="006F7A67">
              <w:rPr>
                <w:b/>
                <w:sz w:val="32"/>
                <w:szCs w:val="32"/>
              </w:rPr>
              <w:t>SUPREME COURT OF CANADA</w:t>
            </w:r>
          </w:p>
        </w:tc>
        <w:tc>
          <w:tcPr>
            <w:tcW w:w="483" w:type="dxa"/>
          </w:tcPr>
          <w:p w:rsidR="00F138C1" w:rsidRPr="006F7A67" w:rsidRDefault="00F138C1" w:rsidP="00F138C1">
            <w:pPr>
              <w:tabs>
                <w:tab w:val="left" w:pos="6075"/>
              </w:tabs>
              <w:jc w:val="center"/>
              <w:rPr>
                <w:sz w:val="32"/>
                <w:szCs w:val="32"/>
              </w:rPr>
            </w:pPr>
          </w:p>
        </w:tc>
        <w:tc>
          <w:tcPr>
            <w:tcW w:w="4566" w:type="dxa"/>
            <w:tcMar>
              <w:top w:w="284" w:type="dxa"/>
            </w:tcMar>
          </w:tcPr>
          <w:p w:rsidR="00F138C1" w:rsidRPr="006F7A67" w:rsidRDefault="00F138C1" w:rsidP="00F138C1">
            <w:pPr>
              <w:tabs>
                <w:tab w:val="left" w:pos="6075"/>
              </w:tabs>
              <w:jc w:val="center"/>
              <w:rPr>
                <w:b/>
                <w:sz w:val="32"/>
                <w:szCs w:val="32"/>
                <w:lang w:val="fr-CA"/>
              </w:rPr>
            </w:pPr>
            <w:r w:rsidRPr="006F7A67">
              <w:rPr>
                <w:b/>
                <w:sz w:val="32"/>
                <w:szCs w:val="32"/>
                <w:lang w:val="fr-CA"/>
              </w:rPr>
              <w:t>COUR SUPRÊME DU CANADA</w:t>
            </w:r>
          </w:p>
        </w:tc>
      </w:tr>
      <w:tr w:rsidR="00F138C1" w:rsidRPr="006F7A67" w:rsidTr="00F138C1">
        <w:tc>
          <w:tcPr>
            <w:tcW w:w="4599" w:type="dxa"/>
            <w:tcMar>
              <w:top w:w="567" w:type="dxa"/>
            </w:tcMar>
          </w:tcPr>
          <w:p w:rsidR="00F138C1" w:rsidRPr="006F7A67" w:rsidRDefault="00F138C1" w:rsidP="00F138C1">
            <w:pPr>
              <w:tabs>
                <w:tab w:val="left" w:pos="6075"/>
              </w:tabs>
              <w:jc w:val="center"/>
              <w:rPr>
                <w:sz w:val="28"/>
                <w:szCs w:val="28"/>
              </w:rPr>
            </w:pPr>
            <w:r w:rsidRPr="006F7A67">
              <w:rPr>
                <w:sz w:val="28"/>
                <w:szCs w:val="28"/>
              </w:rPr>
              <w:t>BULLETIN OF</w:t>
            </w:r>
            <w:r w:rsidRPr="006F7A67">
              <w:rPr>
                <w:sz w:val="28"/>
                <w:szCs w:val="28"/>
              </w:rPr>
              <w:br/>
              <w:t xml:space="preserve"> PROCEEDINGS</w:t>
            </w:r>
          </w:p>
        </w:tc>
        <w:tc>
          <w:tcPr>
            <w:tcW w:w="483" w:type="dxa"/>
          </w:tcPr>
          <w:p w:rsidR="00F138C1" w:rsidRPr="006F7A67" w:rsidRDefault="00F138C1" w:rsidP="00F138C1">
            <w:pPr>
              <w:tabs>
                <w:tab w:val="left" w:pos="6075"/>
              </w:tabs>
            </w:pPr>
          </w:p>
        </w:tc>
        <w:tc>
          <w:tcPr>
            <w:tcW w:w="4566" w:type="dxa"/>
            <w:tcMar>
              <w:top w:w="567" w:type="dxa"/>
            </w:tcMar>
          </w:tcPr>
          <w:p w:rsidR="00F138C1" w:rsidRPr="006F7A67" w:rsidRDefault="00F138C1" w:rsidP="00F138C1">
            <w:pPr>
              <w:tabs>
                <w:tab w:val="left" w:pos="6075"/>
              </w:tabs>
              <w:jc w:val="center"/>
              <w:rPr>
                <w:sz w:val="28"/>
                <w:szCs w:val="28"/>
                <w:lang w:val="fr-CA"/>
              </w:rPr>
            </w:pPr>
            <w:r w:rsidRPr="006F7A67">
              <w:rPr>
                <w:sz w:val="28"/>
                <w:szCs w:val="28"/>
                <w:lang w:val="fr-CA"/>
              </w:rPr>
              <w:t>BULLETIN DES</w:t>
            </w:r>
            <w:r w:rsidRPr="006F7A67">
              <w:rPr>
                <w:sz w:val="28"/>
                <w:szCs w:val="28"/>
                <w:lang w:val="fr-CA"/>
              </w:rPr>
              <w:br/>
              <w:t xml:space="preserve"> PROCÉDURES</w:t>
            </w:r>
          </w:p>
        </w:tc>
      </w:tr>
      <w:tr w:rsidR="00F138C1" w:rsidRPr="00300F06" w:rsidTr="00F138C1">
        <w:tc>
          <w:tcPr>
            <w:tcW w:w="4599" w:type="dxa"/>
            <w:tcMar>
              <w:top w:w="567" w:type="dxa"/>
            </w:tcMar>
          </w:tcPr>
          <w:p w:rsidR="00F138C1" w:rsidRPr="006F7A67" w:rsidRDefault="00F138C1" w:rsidP="00F138C1">
            <w:pPr>
              <w:tabs>
                <w:tab w:val="left" w:pos="6075"/>
              </w:tabs>
              <w:jc w:val="both"/>
              <w:rPr>
                <w:rFonts w:ascii="Arial" w:hAnsi="Arial" w:cs="Arial"/>
                <w:i/>
                <w:sz w:val="20"/>
                <w:szCs w:val="20"/>
              </w:rPr>
            </w:pPr>
            <w:r w:rsidRPr="006F7A6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6F7A6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F7A67" w:rsidRDefault="00F138C1" w:rsidP="00F138C1">
            <w:pPr>
              <w:tabs>
                <w:tab w:val="left" w:pos="6075"/>
              </w:tabs>
              <w:jc w:val="both"/>
              <w:rPr>
                <w:rFonts w:ascii="Arial" w:hAnsi="Arial" w:cs="Arial"/>
                <w:i/>
                <w:sz w:val="20"/>
                <w:szCs w:val="20"/>
                <w:lang w:val="fr-CA"/>
              </w:rPr>
            </w:pPr>
            <w:r w:rsidRPr="006F7A6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300F06" w:rsidTr="00F138C1">
        <w:tc>
          <w:tcPr>
            <w:tcW w:w="4599" w:type="dxa"/>
            <w:tcMar>
              <w:top w:w="567" w:type="dxa"/>
            </w:tcMar>
          </w:tcPr>
          <w:p w:rsidR="00F138C1" w:rsidRPr="006F7A67" w:rsidRDefault="00F138C1" w:rsidP="00F138C1">
            <w:pPr>
              <w:tabs>
                <w:tab w:val="left" w:pos="6075"/>
              </w:tabs>
              <w:jc w:val="both"/>
              <w:rPr>
                <w:rFonts w:ascii="Arial" w:hAnsi="Arial" w:cs="Arial"/>
                <w:i/>
                <w:sz w:val="20"/>
                <w:szCs w:val="20"/>
              </w:rPr>
            </w:pPr>
            <w:r w:rsidRPr="006F7A67">
              <w:rPr>
                <w:rFonts w:ascii="Arial" w:hAnsi="Arial" w:cs="Arial"/>
                <w:i/>
                <w:sz w:val="20"/>
                <w:szCs w:val="20"/>
              </w:rPr>
              <w:t>During Court sessions, the Bulletin is usually issued weekly.</w:t>
            </w:r>
          </w:p>
        </w:tc>
        <w:tc>
          <w:tcPr>
            <w:tcW w:w="483" w:type="dxa"/>
          </w:tcPr>
          <w:p w:rsidR="00F138C1" w:rsidRPr="006F7A6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F7A67" w:rsidRDefault="00F138C1" w:rsidP="00F138C1">
            <w:pPr>
              <w:tabs>
                <w:tab w:val="left" w:pos="6075"/>
              </w:tabs>
              <w:jc w:val="both"/>
              <w:rPr>
                <w:rFonts w:ascii="Arial" w:hAnsi="Arial" w:cs="Arial"/>
                <w:i/>
                <w:sz w:val="20"/>
                <w:szCs w:val="20"/>
                <w:lang w:val="fr-CA"/>
              </w:rPr>
            </w:pPr>
            <w:r w:rsidRPr="006F7A67">
              <w:rPr>
                <w:rFonts w:ascii="Arial" w:hAnsi="Arial" w:cs="Arial"/>
                <w:i/>
                <w:sz w:val="20"/>
                <w:szCs w:val="20"/>
                <w:lang w:val="fr-CA"/>
              </w:rPr>
              <w:t>Le Bulletin paraît en principe toutes les semaines pendant les sessions de la Cour.</w:t>
            </w:r>
          </w:p>
        </w:tc>
      </w:tr>
      <w:tr w:rsidR="00F138C1" w:rsidRPr="00300F06" w:rsidTr="00F138C1">
        <w:tc>
          <w:tcPr>
            <w:tcW w:w="4599" w:type="dxa"/>
            <w:tcMar>
              <w:top w:w="567" w:type="dxa"/>
            </w:tcMar>
          </w:tcPr>
          <w:p w:rsidR="00F138C1" w:rsidRPr="006F7A67" w:rsidRDefault="00F138C1" w:rsidP="00F138C1">
            <w:pPr>
              <w:tabs>
                <w:tab w:val="left" w:pos="6075"/>
              </w:tabs>
              <w:jc w:val="both"/>
              <w:rPr>
                <w:rFonts w:ascii="Arial" w:hAnsi="Arial" w:cs="Arial"/>
                <w:i/>
                <w:sz w:val="20"/>
                <w:szCs w:val="20"/>
              </w:rPr>
            </w:pPr>
            <w:r w:rsidRPr="006F7A67">
              <w:rPr>
                <w:rFonts w:ascii="Arial" w:hAnsi="Arial" w:cs="Arial"/>
                <w:i/>
                <w:sz w:val="20"/>
                <w:szCs w:val="20"/>
              </w:rPr>
              <w:fldChar w:fldCharType="begin"/>
            </w:r>
            <w:r w:rsidRPr="006F7A67">
              <w:rPr>
                <w:rFonts w:ascii="Arial" w:hAnsi="Arial" w:cs="Arial"/>
                <w:i/>
                <w:sz w:val="20"/>
                <w:szCs w:val="20"/>
              </w:rPr>
              <w:instrText xml:space="preserve"> SEQ CHAPTER \h \r 1</w:instrText>
            </w:r>
            <w:r w:rsidRPr="006F7A67">
              <w:rPr>
                <w:rFonts w:ascii="Arial" w:hAnsi="Arial" w:cs="Arial"/>
                <w:i/>
                <w:sz w:val="20"/>
                <w:szCs w:val="20"/>
              </w:rPr>
              <w:fldChar w:fldCharType="end"/>
            </w:r>
            <w:r w:rsidRPr="006F7A6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6F7A6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F7A67" w:rsidRDefault="00F138C1" w:rsidP="00F138C1">
            <w:pPr>
              <w:tabs>
                <w:tab w:val="left" w:pos="6075"/>
              </w:tabs>
              <w:jc w:val="both"/>
              <w:rPr>
                <w:rFonts w:ascii="Arial" w:hAnsi="Arial" w:cs="Arial"/>
                <w:i/>
                <w:sz w:val="20"/>
                <w:szCs w:val="20"/>
                <w:lang w:val="fr-CA"/>
              </w:rPr>
            </w:pPr>
            <w:r w:rsidRPr="006F7A67">
              <w:rPr>
                <w:rFonts w:ascii="Arial" w:hAnsi="Arial" w:cs="Arial"/>
                <w:i/>
                <w:sz w:val="20"/>
                <w:szCs w:val="20"/>
                <w:lang w:val="fr-CA"/>
              </w:rPr>
              <w:fldChar w:fldCharType="begin"/>
            </w:r>
            <w:r w:rsidRPr="006F7A67">
              <w:rPr>
                <w:rFonts w:ascii="Arial" w:hAnsi="Arial" w:cs="Arial"/>
                <w:i/>
                <w:sz w:val="20"/>
                <w:szCs w:val="20"/>
                <w:lang w:val="fr-CA"/>
              </w:rPr>
              <w:instrText xml:space="preserve"> SEQ CHAPTER \h \r 1</w:instrText>
            </w:r>
            <w:r w:rsidRPr="006F7A67">
              <w:rPr>
                <w:rFonts w:ascii="Arial" w:hAnsi="Arial" w:cs="Arial"/>
                <w:i/>
                <w:sz w:val="20"/>
                <w:szCs w:val="20"/>
                <w:lang w:val="fr-CA"/>
              </w:rPr>
              <w:fldChar w:fldCharType="end"/>
            </w:r>
            <w:r w:rsidRPr="006F7A6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300F06" w:rsidTr="00F138C1">
        <w:tc>
          <w:tcPr>
            <w:tcW w:w="4599" w:type="dxa"/>
            <w:tcMar>
              <w:top w:w="567" w:type="dxa"/>
            </w:tcMar>
          </w:tcPr>
          <w:p w:rsidR="00F138C1" w:rsidRPr="006F7A67" w:rsidRDefault="00F138C1" w:rsidP="00F138C1">
            <w:pPr>
              <w:tabs>
                <w:tab w:val="left" w:pos="6075"/>
              </w:tabs>
              <w:jc w:val="both"/>
              <w:rPr>
                <w:rFonts w:ascii="Arial" w:hAnsi="Arial" w:cs="Arial"/>
                <w:i/>
                <w:sz w:val="20"/>
                <w:szCs w:val="20"/>
              </w:rPr>
            </w:pPr>
            <w:r w:rsidRPr="006F7A67">
              <w:rPr>
                <w:rFonts w:ascii="Arial" w:hAnsi="Arial" w:cs="Arial"/>
                <w:i/>
                <w:sz w:val="20"/>
                <w:szCs w:val="20"/>
                <w:lang w:val="en-US"/>
              </w:rPr>
              <w:t>Please c</w:t>
            </w:r>
            <w:r w:rsidRPr="006F7A67">
              <w:rPr>
                <w:rFonts w:ascii="Arial" w:hAnsi="Arial" w:cs="Arial"/>
                <w:i/>
                <w:sz w:val="20"/>
                <w:szCs w:val="20"/>
              </w:rPr>
              <w:t xml:space="preserve">onsult the Supreme Court of Canada website at </w:t>
            </w:r>
            <w:hyperlink r:id="rId9" w:history="1">
              <w:r w:rsidRPr="006F7A67">
                <w:rPr>
                  <w:rStyle w:val="Hyperlink"/>
                  <w:rFonts w:ascii="Arial" w:hAnsi="Arial" w:cs="Arial"/>
                  <w:i/>
                  <w:sz w:val="20"/>
                  <w:szCs w:val="20"/>
                </w:rPr>
                <w:t>www.scc-csc.ca</w:t>
              </w:r>
            </w:hyperlink>
            <w:r w:rsidRPr="006F7A67">
              <w:rPr>
                <w:rFonts w:ascii="Arial" w:hAnsi="Arial" w:cs="Arial"/>
                <w:i/>
                <w:sz w:val="20"/>
                <w:szCs w:val="20"/>
              </w:rPr>
              <w:t xml:space="preserve"> for more information.</w:t>
            </w:r>
          </w:p>
        </w:tc>
        <w:tc>
          <w:tcPr>
            <w:tcW w:w="483" w:type="dxa"/>
          </w:tcPr>
          <w:p w:rsidR="00F138C1" w:rsidRPr="006F7A6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F7A67" w:rsidRDefault="00F138C1" w:rsidP="00F138C1">
            <w:pPr>
              <w:tabs>
                <w:tab w:val="left" w:pos="6075"/>
              </w:tabs>
              <w:jc w:val="both"/>
              <w:rPr>
                <w:rFonts w:ascii="Arial" w:hAnsi="Arial" w:cs="Arial"/>
                <w:i/>
                <w:sz w:val="20"/>
                <w:szCs w:val="20"/>
                <w:lang w:val="fr-CA"/>
              </w:rPr>
            </w:pPr>
            <w:r w:rsidRPr="006F7A67">
              <w:rPr>
                <w:rFonts w:ascii="Arial" w:hAnsi="Arial" w:cs="Arial"/>
                <w:i/>
                <w:sz w:val="20"/>
                <w:szCs w:val="20"/>
                <w:lang w:val="fr-CA"/>
              </w:rPr>
              <w:t xml:space="preserve">Pour de plus amples informations, veuillez consulter le site Web de la Cour suprême du Canada à l’adresse suivante : </w:t>
            </w:r>
            <w:hyperlink r:id="rId10" w:history="1">
              <w:r w:rsidRPr="006F7A67">
                <w:rPr>
                  <w:rStyle w:val="Hyperlink"/>
                  <w:rFonts w:ascii="Arial" w:hAnsi="Arial" w:cs="Arial"/>
                  <w:i/>
                  <w:sz w:val="20"/>
                  <w:szCs w:val="20"/>
                  <w:lang w:val="fr-CA"/>
                </w:rPr>
                <w:t>www.scc-csc.ca</w:t>
              </w:r>
            </w:hyperlink>
            <w:r w:rsidRPr="006F7A67">
              <w:rPr>
                <w:rFonts w:ascii="Arial" w:hAnsi="Arial" w:cs="Arial"/>
                <w:i/>
                <w:sz w:val="20"/>
                <w:szCs w:val="20"/>
                <w:lang w:val="fr-CA"/>
              </w:rPr>
              <w:t xml:space="preserve"> </w:t>
            </w:r>
          </w:p>
        </w:tc>
      </w:tr>
    </w:tbl>
    <w:p w:rsidR="00F138C1" w:rsidRPr="006F7A67"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6F7A67" w:rsidTr="00F138C1">
        <w:tc>
          <w:tcPr>
            <w:tcW w:w="2250" w:type="pct"/>
            <w:tcBorders>
              <w:top w:val="single" w:sz="4" w:space="0" w:color="auto"/>
            </w:tcBorders>
            <w:tcMar>
              <w:top w:w="284" w:type="dxa"/>
              <w:bottom w:w="284" w:type="dxa"/>
            </w:tcMar>
          </w:tcPr>
          <w:p w:rsidR="00F138C1" w:rsidRPr="006F7A67" w:rsidRDefault="007A4918" w:rsidP="007A4918">
            <w:pPr>
              <w:tabs>
                <w:tab w:val="left" w:pos="6075"/>
              </w:tabs>
              <w:rPr>
                <w:rFonts w:ascii="Arial" w:hAnsi="Arial" w:cs="Arial"/>
                <w:i/>
                <w:sz w:val="20"/>
                <w:szCs w:val="20"/>
              </w:rPr>
            </w:pPr>
            <w:r w:rsidRPr="006F7A67">
              <w:rPr>
                <w:lang w:val="fr-CA"/>
              </w:rPr>
              <w:t>April</w:t>
            </w:r>
            <w:r w:rsidR="00F138C1" w:rsidRPr="006F7A67">
              <w:rPr>
                <w:lang w:val="fr-CA"/>
              </w:rPr>
              <w:t xml:space="preserve"> </w:t>
            </w:r>
            <w:r w:rsidRPr="006F7A67">
              <w:rPr>
                <w:lang w:val="fr-CA"/>
              </w:rPr>
              <w:t>9</w:t>
            </w:r>
            <w:r w:rsidR="00F138C1" w:rsidRPr="006F7A67">
              <w:rPr>
                <w:lang w:val="fr-CA"/>
              </w:rPr>
              <w:t>, 2020</w:t>
            </w:r>
          </w:p>
        </w:tc>
        <w:tc>
          <w:tcPr>
            <w:tcW w:w="500" w:type="pct"/>
            <w:tcBorders>
              <w:top w:val="single" w:sz="4" w:space="0" w:color="auto"/>
            </w:tcBorders>
            <w:tcMar>
              <w:top w:w="284" w:type="dxa"/>
              <w:bottom w:w="284" w:type="dxa"/>
            </w:tcMar>
          </w:tcPr>
          <w:p w:rsidR="00F138C1" w:rsidRPr="006F7A67" w:rsidRDefault="00F138C1" w:rsidP="00C66EE8">
            <w:pPr>
              <w:tabs>
                <w:tab w:val="left" w:pos="6075"/>
              </w:tabs>
              <w:jc w:val="center"/>
              <w:rPr>
                <w:rFonts w:ascii="Arial" w:hAnsi="Arial" w:cs="Arial"/>
                <w:i/>
                <w:sz w:val="20"/>
                <w:szCs w:val="20"/>
              </w:rPr>
            </w:pPr>
            <w:r w:rsidRPr="006F7A67">
              <w:rPr>
                <w:lang w:val="fr-CA"/>
              </w:rPr>
              <w:t xml:space="preserve">1 - </w:t>
            </w:r>
            <w:r w:rsidR="003F0186" w:rsidRPr="006F7A67">
              <w:rPr>
                <w:lang w:val="fr-CA"/>
              </w:rPr>
              <w:t>4</w:t>
            </w:r>
            <w:r w:rsidR="00C66EE8" w:rsidRPr="006F7A67">
              <w:rPr>
                <w:lang w:val="fr-CA"/>
              </w:rPr>
              <w:t>5</w:t>
            </w:r>
          </w:p>
        </w:tc>
        <w:tc>
          <w:tcPr>
            <w:tcW w:w="2250" w:type="pct"/>
            <w:tcBorders>
              <w:top w:val="single" w:sz="4" w:space="0" w:color="auto"/>
            </w:tcBorders>
            <w:tcMar>
              <w:top w:w="284" w:type="dxa"/>
              <w:bottom w:w="284" w:type="dxa"/>
            </w:tcMar>
          </w:tcPr>
          <w:p w:rsidR="00F138C1" w:rsidRPr="006F7A67" w:rsidRDefault="00F138C1" w:rsidP="007A4918">
            <w:pPr>
              <w:tabs>
                <w:tab w:val="left" w:pos="6075"/>
              </w:tabs>
              <w:jc w:val="right"/>
              <w:rPr>
                <w:rFonts w:ascii="Arial" w:hAnsi="Arial" w:cs="Arial"/>
                <w:i/>
                <w:sz w:val="20"/>
                <w:szCs w:val="20"/>
                <w:lang w:val="fr-CA"/>
              </w:rPr>
            </w:pPr>
            <w:r w:rsidRPr="006F7A67">
              <w:rPr>
                <w:lang w:val="fr-CA"/>
              </w:rPr>
              <w:t xml:space="preserve">Le </w:t>
            </w:r>
            <w:r w:rsidR="007A4918" w:rsidRPr="006F7A67">
              <w:rPr>
                <w:lang w:val="fr-CA"/>
              </w:rPr>
              <w:t>9</w:t>
            </w:r>
            <w:r w:rsidRPr="006F7A67">
              <w:rPr>
                <w:lang w:val="fr-CA"/>
              </w:rPr>
              <w:t xml:space="preserve"> </w:t>
            </w:r>
            <w:r w:rsidR="00DA1D48" w:rsidRPr="006F7A67">
              <w:rPr>
                <w:lang w:val="fr-CA"/>
              </w:rPr>
              <w:t>a</w:t>
            </w:r>
            <w:r w:rsidR="007A4918" w:rsidRPr="006F7A67">
              <w:rPr>
                <w:lang w:val="fr-CA"/>
              </w:rPr>
              <w:t>v</w:t>
            </w:r>
            <w:r w:rsidR="00DA1D48" w:rsidRPr="006F7A67">
              <w:rPr>
                <w:lang w:val="fr-CA"/>
              </w:rPr>
              <w:t>r</w:t>
            </w:r>
            <w:r w:rsidR="007A4918" w:rsidRPr="006F7A67">
              <w:rPr>
                <w:lang w:val="fr-CA"/>
              </w:rPr>
              <w:t>il</w:t>
            </w:r>
            <w:r w:rsidRPr="006F7A67">
              <w:rPr>
                <w:lang w:val="fr-CA"/>
              </w:rPr>
              <w:t xml:space="preserve"> 2020</w:t>
            </w:r>
          </w:p>
        </w:tc>
      </w:tr>
      <w:tr w:rsidR="00F138C1" w:rsidRPr="00DB0D35" w:rsidTr="00F138C1">
        <w:tc>
          <w:tcPr>
            <w:tcW w:w="2250" w:type="pct"/>
            <w:tcBorders>
              <w:bottom w:val="single" w:sz="4" w:space="0" w:color="auto"/>
            </w:tcBorders>
            <w:tcMar>
              <w:top w:w="284" w:type="dxa"/>
              <w:bottom w:w="284" w:type="dxa"/>
            </w:tcMar>
          </w:tcPr>
          <w:p w:rsidR="00F138C1" w:rsidRPr="006F7A67" w:rsidRDefault="00F138C1" w:rsidP="00F138C1">
            <w:pPr>
              <w:tabs>
                <w:tab w:val="left" w:pos="6075"/>
              </w:tabs>
              <w:rPr>
                <w:rFonts w:ascii="Arial" w:hAnsi="Arial" w:cs="Arial"/>
                <w:i/>
                <w:sz w:val="20"/>
                <w:szCs w:val="20"/>
              </w:rPr>
            </w:pPr>
            <w:r w:rsidRPr="006F7A67">
              <w:rPr>
                <w:sz w:val="18"/>
                <w:szCs w:val="18"/>
                <w:lang w:val="en-US"/>
              </w:rPr>
              <w:t>© Supreme Court of Canada (2020)</w:t>
            </w:r>
            <w:r w:rsidRPr="006F7A67">
              <w:rPr>
                <w:sz w:val="18"/>
                <w:szCs w:val="18"/>
                <w:lang w:val="en-US"/>
              </w:rPr>
              <w:br/>
              <w:t>ISSN 1918-8358 (Online)</w:t>
            </w:r>
          </w:p>
        </w:tc>
        <w:tc>
          <w:tcPr>
            <w:tcW w:w="500" w:type="pct"/>
            <w:tcBorders>
              <w:bottom w:val="single" w:sz="4" w:space="0" w:color="auto"/>
            </w:tcBorders>
            <w:tcMar>
              <w:top w:w="284" w:type="dxa"/>
              <w:bottom w:w="284" w:type="dxa"/>
            </w:tcMar>
          </w:tcPr>
          <w:p w:rsidR="00F138C1" w:rsidRPr="006F7A67"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6F7A67" w:rsidRDefault="00F138C1" w:rsidP="00F138C1">
            <w:pPr>
              <w:tabs>
                <w:tab w:val="left" w:pos="6075"/>
              </w:tabs>
              <w:jc w:val="right"/>
              <w:rPr>
                <w:rFonts w:ascii="Arial" w:hAnsi="Arial" w:cs="Arial"/>
                <w:i/>
                <w:sz w:val="20"/>
                <w:szCs w:val="20"/>
                <w:lang w:val="fr-CA"/>
              </w:rPr>
            </w:pPr>
            <w:r w:rsidRPr="006F7A67">
              <w:rPr>
                <w:sz w:val="18"/>
                <w:szCs w:val="18"/>
                <w:lang w:val="fr-CA"/>
              </w:rPr>
              <w:t>© Cour suprême du Canada (2020</w:t>
            </w:r>
            <w:proofErr w:type="gramStart"/>
            <w:r w:rsidRPr="006F7A67">
              <w:rPr>
                <w:sz w:val="18"/>
                <w:szCs w:val="18"/>
                <w:lang w:val="fr-CA"/>
              </w:rPr>
              <w:t>)</w:t>
            </w:r>
            <w:proofErr w:type="gramEnd"/>
            <w:r w:rsidRPr="006F7A67">
              <w:rPr>
                <w:sz w:val="18"/>
                <w:szCs w:val="18"/>
                <w:lang w:val="fr-CA"/>
              </w:rPr>
              <w:br/>
              <w:t>ISSN 1918-8358 (En ligne)</w:t>
            </w:r>
          </w:p>
        </w:tc>
      </w:tr>
    </w:tbl>
    <w:p w:rsidR="0030050B" w:rsidRPr="006F7A67" w:rsidRDefault="0030050B" w:rsidP="00F138C1">
      <w:pPr>
        <w:tabs>
          <w:tab w:val="left" w:pos="6075"/>
        </w:tabs>
        <w:rPr>
          <w:lang w:val="fr-CA"/>
        </w:rPr>
      </w:pPr>
    </w:p>
    <w:p w:rsidR="00560DF1" w:rsidRPr="006F7A67" w:rsidRDefault="00560DF1" w:rsidP="0095096B">
      <w:pPr>
        <w:tabs>
          <w:tab w:val="right" w:pos="9360"/>
        </w:tabs>
        <w:rPr>
          <w:lang w:val="fr-CA"/>
        </w:rPr>
      </w:pPr>
    </w:p>
    <w:p w:rsidR="00F138C1" w:rsidRPr="006F7A67"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F7A67" w:rsidRDefault="00DC6B2E" w:rsidP="00693C38">
          <w:pPr>
            <w:pStyle w:val="Title"/>
            <w:jc w:val="center"/>
            <w:rPr>
              <w:rFonts w:ascii="Times New Roman" w:hAnsi="Times New Roman" w:cs="Times New Roman"/>
              <w:b/>
              <w:sz w:val="24"/>
              <w:szCs w:val="28"/>
              <w:lang w:val="fr-CA"/>
            </w:rPr>
          </w:pPr>
          <w:r w:rsidRPr="006F7A67">
            <w:rPr>
              <w:rFonts w:ascii="Times New Roman" w:hAnsi="Times New Roman" w:cs="Times New Roman"/>
              <w:b/>
              <w:sz w:val="24"/>
              <w:szCs w:val="28"/>
              <w:lang w:val="fr-CA"/>
            </w:rPr>
            <w:t>Contents</w:t>
          </w:r>
        </w:p>
        <w:p w:rsidR="00693C38" w:rsidRPr="006F7A67" w:rsidRDefault="00DC6B2E" w:rsidP="00693C38">
          <w:pPr>
            <w:jc w:val="center"/>
            <w:rPr>
              <w:b/>
              <w:szCs w:val="28"/>
              <w:lang w:val="fr-CA"/>
            </w:rPr>
          </w:pPr>
          <w:r w:rsidRPr="006F7A67">
            <w:rPr>
              <w:b/>
              <w:szCs w:val="28"/>
              <w:lang w:val="fr-CA"/>
            </w:rPr>
            <w:t>Table des matières</w:t>
          </w:r>
        </w:p>
        <w:p w:rsidR="00693C38" w:rsidRPr="006F7A67" w:rsidRDefault="00693C38" w:rsidP="00693C38">
          <w:pPr>
            <w:rPr>
              <w:lang w:val="fr-CA"/>
            </w:rPr>
          </w:pPr>
        </w:p>
        <w:p w:rsidR="00C66EE8" w:rsidRPr="006F7A67" w:rsidRDefault="00DC6B2E">
          <w:pPr>
            <w:pStyle w:val="TOC1"/>
            <w:tabs>
              <w:tab w:val="right" w:leader="dot" w:pos="9638"/>
            </w:tabs>
            <w:rPr>
              <w:rFonts w:asciiTheme="minorHAnsi" w:eastAsiaTheme="minorEastAsia" w:hAnsiTheme="minorHAnsi"/>
              <w:noProof/>
              <w:sz w:val="22"/>
              <w:lang w:val="en-US"/>
            </w:rPr>
          </w:pPr>
          <w:r w:rsidRPr="006F7A67">
            <w:rPr>
              <w:b/>
              <w:bCs/>
              <w:noProof/>
            </w:rPr>
            <w:fldChar w:fldCharType="begin"/>
          </w:r>
          <w:r w:rsidRPr="006F7A67">
            <w:rPr>
              <w:b/>
              <w:bCs/>
              <w:noProof/>
            </w:rPr>
            <w:instrText xml:space="preserve"> TOC \o "1-3" \h \z \u </w:instrText>
          </w:r>
          <w:r w:rsidRPr="006F7A67">
            <w:rPr>
              <w:b/>
              <w:bCs/>
              <w:noProof/>
            </w:rPr>
            <w:fldChar w:fldCharType="separate"/>
          </w:r>
          <w:hyperlink w:anchor="_Toc37315374" w:history="1">
            <w:r w:rsidR="00C66EE8" w:rsidRPr="006F7A67">
              <w:rPr>
                <w:rStyle w:val="Hyperlink"/>
                <w:noProof/>
                <w:lang w:val="fr-CA"/>
              </w:rPr>
              <w:t>Applications for leave to appeal filed /  Demandes d’autorisation d’appel déposées</w:t>
            </w:r>
            <w:r w:rsidR="00C66EE8" w:rsidRPr="006F7A67">
              <w:rPr>
                <w:noProof/>
                <w:webHidden/>
              </w:rPr>
              <w:tab/>
            </w:r>
            <w:r w:rsidR="00C66EE8" w:rsidRPr="006F7A67">
              <w:rPr>
                <w:noProof/>
                <w:webHidden/>
              </w:rPr>
              <w:fldChar w:fldCharType="begin"/>
            </w:r>
            <w:r w:rsidR="00C66EE8" w:rsidRPr="006F7A67">
              <w:rPr>
                <w:noProof/>
                <w:webHidden/>
              </w:rPr>
              <w:instrText xml:space="preserve"> PAGEREF _Toc37315374 \h </w:instrText>
            </w:r>
            <w:r w:rsidR="00C66EE8" w:rsidRPr="006F7A67">
              <w:rPr>
                <w:noProof/>
                <w:webHidden/>
              </w:rPr>
            </w:r>
            <w:r w:rsidR="00C66EE8" w:rsidRPr="006F7A67">
              <w:rPr>
                <w:noProof/>
                <w:webHidden/>
              </w:rPr>
              <w:fldChar w:fldCharType="separate"/>
            </w:r>
            <w:r w:rsidR="00C66EE8" w:rsidRPr="006F7A67">
              <w:rPr>
                <w:noProof/>
                <w:webHidden/>
              </w:rPr>
              <w:t>3</w:t>
            </w:r>
            <w:r w:rsidR="00C66EE8" w:rsidRPr="006F7A67">
              <w:rPr>
                <w:noProof/>
                <w:webHidden/>
              </w:rPr>
              <w:fldChar w:fldCharType="end"/>
            </w:r>
          </w:hyperlink>
        </w:p>
        <w:p w:rsidR="00C66EE8" w:rsidRPr="006F7A67" w:rsidRDefault="00300F06">
          <w:pPr>
            <w:pStyle w:val="TOC1"/>
            <w:tabs>
              <w:tab w:val="right" w:leader="dot" w:pos="9638"/>
            </w:tabs>
            <w:rPr>
              <w:rFonts w:asciiTheme="minorHAnsi" w:eastAsiaTheme="minorEastAsia" w:hAnsiTheme="minorHAnsi"/>
              <w:noProof/>
              <w:sz w:val="22"/>
              <w:lang w:val="en-US"/>
            </w:rPr>
          </w:pPr>
          <w:hyperlink w:anchor="_Toc37315375" w:history="1">
            <w:r w:rsidR="00C66EE8" w:rsidRPr="006F7A67">
              <w:rPr>
                <w:rStyle w:val="Hyperlink"/>
                <w:noProof/>
                <w:lang w:val="fr-CA"/>
              </w:rPr>
              <w:t>Judgments on applications for leave /  Jugements rendus sur les demandes d’autorisation</w:t>
            </w:r>
            <w:r w:rsidR="00C66EE8" w:rsidRPr="006F7A67">
              <w:rPr>
                <w:noProof/>
                <w:webHidden/>
              </w:rPr>
              <w:tab/>
            </w:r>
            <w:r w:rsidR="00C66EE8" w:rsidRPr="006F7A67">
              <w:rPr>
                <w:noProof/>
                <w:webHidden/>
              </w:rPr>
              <w:fldChar w:fldCharType="begin"/>
            </w:r>
            <w:r w:rsidR="00C66EE8" w:rsidRPr="006F7A67">
              <w:rPr>
                <w:noProof/>
                <w:webHidden/>
              </w:rPr>
              <w:instrText xml:space="preserve"> PAGEREF _Toc37315375 \h </w:instrText>
            </w:r>
            <w:r w:rsidR="00C66EE8" w:rsidRPr="006F7A67">
              <w:rPr>
                <w:noProof/>
                <w:webHidden/>
              </w:rPr>
            </w:r>
            <w:r w:rsidR="00C66EE8" w:rsidRPr="006F7A67">
              <w:rPr>
                <w:noProof/>
                <w:webHidden/>
              </w:rPr>
              <w:fldChar w:fldCharType="separate"/>
            </w:r>
            <w:r w:rsidR="00C66EE8" w:rsidRPr="006F7A67">
              <w:rPr>
                <w:noProof/>
                <w:webHidden/>
              </w:rPr>
              <w:t>4</w:t>
            </w:r>
            <w:r w:rsidR="00C66EE8" w:rsidRPr="006F7A67">
              <w:rPr>
                <w:noProof/>
                <w:webHidden/>
              </w:rPr>
              <w:fldChar w:fldCharType="end"/>
            </w:r>
          </w:hyperlink>
        </w:p>
        <w:p w:rsidR="00C66EE8" w:rsidRPr="006F7A67" w:rsidRDefault="00300F06">
          <w:pPr>
            <w:pStyle w:val="TOC1"/>
            <w:tabs>
              <w:tab w:val="right" w:leader="dot" w:pos="9638"/>
            </w:tabs>
            <w:rPr>
              <w:rFonts w:asciiTheme="minorHAnsi" w:eastAsiaTheme="minorEastAsia" w:hAnsiTheme="minorHAnsi"/>
              <w:noProof/>
              <w:sz w:val="22"/>
              <w:lang w:val="en-US"/>
            </w:rPr>
          </w:pPr>
          <w:hyperlink w:anchor="_Toc37315376" w:history="1">
            <w:r w:rsidR="00C66EE8" w:rsidRPr="006F7A67">
              <w:rPr>
                <w:rStyle w:val="Hyperlink"/>
                <w:noProof/>
                <w:lang w:val="fr-CA"/>
              </w:rPr>
              <w:t>Motions /  Requêtes</w:t>
            </w:r>
            <w:r w:rsidR="00C66EE8" w:rsidRPr="006F7A67">
              <w:rPr>
                <w:noProof/>
                <w:webHidden/>
              </w:rPr>
              <w:tab/>
            </w:r>
            <w:r w:rsidR="00C66EE8" w:rsidRPr="006F7A67">
              <w:rPr>
                <w:noProof/>
                <w:webHidden/>
              </w:rPr>
              <w:fldChar w:fldCharType="begin"/>
            </w:r>
            <w:r w:rsidR="00C66EE8" w:rsidRPr="006F7A67">
              <w:rPr>
                <w:noProof/>
                <w:webHidden/>
              </w:rPr>
              <w:instrText xml:space="preserve"> PAGEREF _Toc37315376 \h </w:instrText>
            </w:r>
            <w:r w:rsidR="00C66EE8" w:rsidRPr="006F7A67">
              <w:rPr>
                <w:noProof/>
                <w:webHidden/>
              </w:rPr>
            </w:r>
            <w:r w:rsidR="00C66EE8" w:rsidRPr="006F7A67">
              <w:rPr>
                <w:noProof/>
                <w:webHidden/>
              </w:rPr>
              <w:fldChar w:fldCharType="separate"/>
            </w:r>
            <w:r w:rsidR="00C66EE8" w:rsidRPr="006F7A67">
              <w:rPr>
                <w:noProof/>
                <w:webHidden/>
              </w:rPr>
              <w:t>44</w:t>
            </w:r>
            <w:r w:rsidR="00C66EE8" w:rsidRPr="006F7A67">
              <w:rPr>
                <w:noProof/>
                <w:webHidden/>
              </w:rPr>
              <w:fldChar w:fldCharType="end"/>
            </w:r>
          </w:hyperlink>
        </w:p>
        <w:p w:rsidR="00C66EE8" w:rsidRPr="006F7A67" w:rsidRDefault="00300F06">
          <w:pPr>
            <w:pStyle w:val="TOC1"/>
            <w:tabs>
              <w:tab w:val="right" w:leader="dot" w:pos="9638"/>
            </w:tabs>
            <w:rPr>
              <w:rFonts w:asciiTheme="minorHAnsi" w:eastAsiaTheme="minorEastAsia" w:hAnsiTheme="minorHAnsi"/>
              <w:noProof/>
              <w:sz w:val="22"/>
              <w:lang w:val="en-US"/>
            </w:rPr>
          </w:pPr>
          <w:hyperlink w:anchor="_Toc37315377" w:history="1">
            <w:r w:rsidR="00C66EE8" w:rsidRPr="006F7A67">
              <w:rPr>
                <w:rStyle w:val="Hyperlink"/>
                <w:noProof/>
              </w:rPr>
              <w:t xml:space="preserve">Notices of appeal filed since the last issue /  </w:t>
            </w:r>
            <w:r w:rsidR="00C66EE8" w:rsidRPr="006F7A67">
              <w:rPr>
                <w:rStyle w:val="Hyperlink"/>
                <w:noProof/>
                <w:lang w:val="fr-CA"/>
              </w:rPr>
              <w:t>Avis d’appel déposés depuis la dernière parution</w:t>
            </w:r>
            <w:r w:rsidR="00C66EE8" w:rsidRPr="006F7A67">
              <w:rPr>
                <w:noProof/>
                <w:webHidden/>
              </w:rPr>
              <w:tab/>
            </w:r>
            <w:r w:rsidR="00C66EE8" w:rsidRPr="006F7A67">
              <w:rPr>
                <w:noProof/>
                <w:webHidden/>
              </w:rPr>
              <w:fldChar w:fldCharType="begin"/>
            </w:r>
            <w:r w:rsidR="00C66EE8" w:rsidRPr="006F7A67">
              <w:rPr>
                <w:noProof/>
                <w:webHidden/>
              </w:rPr>
              <w:instrText xml:space="preserve"> PAGEREF _Toc37315377 \h </w:instrText>
            </w:r>
            <w:r w:rsidR="00C66EE8" w:rsidRPr="006F7A67">
              <w:rPr>
                <w:noProof/>
                <w:webHidden/>
              </w:rPr>
            </w:r>
            <w:r w:rsidR="00C66EE8" w:rsidRPr="006F7A67">
              <w:rPr>
                <w:noProof/>
                <w:webHidden/>
              </w:rPr>
              <w:fldChar w:fldCharType="separate"/>
            </w:r>
            <w:r w:rsidR="00C66EE8" w:rsidRPr="006F7A67">
              <w:rPr>
                <w:noProof/>
                <w:webHidden/>
              </w:rPr>
              <w:t>45</w:t>
            </w:r>
            <w:r w:rsidR="00C66EE8" w:rsidRPr="006F7A67">
              <w:rPr>
                <w:noProof/>
                <w:webHidden/>
              </w:rPr>
              <w:fldChar w:fldCharType="end"/>
            </w:r>
          </w:hyperlink>
        </w:p>
        <w:p w:rsidR="00560DF1" w:rsidRPr="006F7A67" w:rsidRDefault="00DC6B2E">
          <w:r w:rsidRPr="006F7A67">
            <w:rPr>
              <w:b/>
              <w:bCs/>
              <w:noProof/>
              <w:sz w:val="20"/>
            </w:rPr>
            <w:fldChar w:fldCharType="end"/>
          </w:r>
        </w:p>
      </w:sdtContent>
    </w:sdt>
    <w:p w:rsidR="00560DF1" w:rsidRPr="006F7A67"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300F06" w:rsidTr="00F138C1">
        <w:trPr>
          <w:jc w:val="center"/>
        </w:trPr>
        <w:tc>
          <w:tcPr>
            <w:tcW w:w="9638" w:type="dxa"/>
          </w:tcPr>
          <w:p w:rsidR="00F138C1" w:rsidRPr="006F7A67" w:rsidRDefault="00F138C1" w:rsidP="00F138C1">
            <w:pPr>
              <w:keepNext/>
              <w:tabs>
                <w:tab w:val="right" w:pos="9360"/>
              </w:tabs>
              <w:spacing w:after="120"/>
              <w:jc w:val="center"/>
              <w:rPr>
                <w:szCs w:val="24"/>
              </w:rPr>
            </w:pPr>
            <w:r w:rsidRPr="006F7A67">
              <w:rPr>
                <w:szCs w:val="24"/>
              </w:rPr>
              <w:t>NOTICE</w:t>
            </w:r>
          </w:p>
          <w:p w:rsidR="00F138C1" w:rsidRPr="006F7A67" w:rsidRDefault="00F138C1" w:rsidP="00F138C1">
            <w:pPr>
              <w:keepNext/>
              <w:tabs>
                <w:tab w:val="right" w:pos="9360"/>
              </w:tabs>
              <w:spacing w:after="120"/>
              <w:jc w:val="both"/>
              <w:rPr>
                <w:szCs w:val="24"/>
              </w:rPr>
            </w:pPr>
            <w:r w:rsidRPr="006F7A67">
              <w:rPr>
                <w:szCs w:val="24"/>
              </w:rPr>
              <w:t>Case summaries included in the Bulletin are prepared by the Office of the Registrar of the Supreme Court of Canada (Law Branch) for information purposes only.</w:t>
            </w:r>
          </w:p>
          <w:p w:rsidR="00F138C1" w:rsidRPr="006F7A67" w:rsidRDefault="00F138C1" w:rsidP="00F138C1">
            <w:pPr>
              <w:keepNext/>
              <w:tabs>
                <w:tab w:val="right" w:pos="9360"/>
              </w:tabs>
              <w:spacing w:after="120"/>
              <w:jc w:val="center"/>
              <w:rPr>
                <w:szCs w:val="24"/>
                <w:lang w:val="fr-CA"/>
              </w:rPr>
            </w:pPr>
            <w:r w:rsidRPr="006F7A67">
              <w:rPr>
                <w:szCs w:val="24"/>
                <w:lang w:val="fr-CA"/>
              </w:rPr>
              <w:t>AVIS</w:t>
            </w:r>
          </w:p>
          <w:p w:rsidR="00F138C1" w:rsidRPr="006F7A67" w:rsidRDefault="00F138C1" w:rsidP="00F138C1">
            <w:pPr>
              <w:keepNext/>
              <w:tabs>
                <w:tab w:val="right" w:pos="9360"/>
              </w:tabs>
              <w:spacing w:after="120"/>
              <w:jc w:val="both"/>
              <w:rPr>
                <w:sz w:val="20"/>
                <w:szCs w:val="20"/>
                <w:lang w:val="fr-CA"/>
              </w:rPr>
            </w:pPr>
            <w:r w:rsidRPr="006F7A67">
              <w:rPr>
                <w:szCs w:val="24"/>
                <w:lang w:val="fr-CA"/>
              </w:rPr>
              <w:t>Les résumés des causes publiés dans le bulletin sont préparés par le Bureau du registraire (Direction générale du droit) uniquement à titre d’information.</w:t>
            </w:r>
          </w:p>
        </w:tc>
      </w:tr>
    </w:tbl>
    <w:p w:rsidR="00F138C1" w:rsidRPr="006F7A67" w:rsidRDefault="00F138C1" w:rsidP="00F138C1">
      <w:pPr>
        <w:tabs>
          <w:tab w:val="right" w:pos="9360"/>
        </w:tabs>
        <w:rPr>
          <w:lang w:val="fr-CA"/>
        </w:rPr>
      </w:pPr>
    </w:p>
    <w:p w:rsidR="00C66EE8" w:rsidRPr="006F7A67" w:rsidRDefault="00C66EE8" w:rsidP="00C66EE8">
      <w:pPr>
        <w:tabs>
          <w:tab w:val="right" w:pos="9360"/>
        </w:tabs>
        <w:rPr>
          <w:lang w:val="fr-CA"/>
        </w:rPr>
      </w:pPr>
    </w:p>
    <w:p w:rsidR="00C66EE8" w:rsidRPr="006F7A67" w:rsidRDefault="00C66EE8" w:rsidP="00C66EE8">
      <w:pPr>
        <w:tabs>
          <w:tab w:val="right" w:pos="9360"/>
        </w:tabs>
        <w:rPr>
          <w:lang w:val="fr-CA"/>
        </w:rPr>
      </w:pPr>
    </w:p>
    <w:p w:rsidR="00C66EE8" w:rsidRPr="006F7A67" w:rsidRDefault="00C66EE8" w:rsidP="00C66EE8">
      <w:pPr>
        <w:tabs>
          <w:tab w:val="right" w:pos="9360"/>
        </w:tabs>
        <w:rPr>
          <w:lang w:val="fr-CA"/>
        </w:rPr>
        <w:sectPr w:rsidR="00C66EE8" w:rsidRPr="006F7A67" w:rsidSect="0044776A">
          <w:pgSz w:w="12240" w:h="15840"/>
          <w:pgMar w:top="720" w:right="1152" w:bottom="1080" w:left="1440" w:header="706" w:footer="706" w:gutter="0"/>
          <w:cols w:space="708"/>
          <w:titlePg/>
          <w:docGrid w:linePitch="360"/>
        </w:sectPr>
      </w:pPr>
    </w:p>
    <w:p w:rsidR="00C66EE8" w:rsidRPr="006F7A67" w:rsidRDefault="00C66EE8" w:rsidP="00C66EE8">
      <w:pPr>
        <w:pStyle w:val="Header1StyleE"/>
        <w:pBdr>
          <w:bottom w:val="single" w:sz="12" w:space="1" w:color="auto"/>
        </w:pBdr>
        <w:rPr>
          <w:lang w:val="fr-CA"/>
        </w:rPr>
      </w:pPr>
      <w:bookmarkStart w:id="0" w:name="_Toc30588370"/>
      <w:bookmarkStart w:id="1" w:name="_Toc37315374"/>
      <w:r w:rsidRPr="006F7A67">
        <w:rPr>
          <w:lang w:val="fr-CA"/>
        </w:rPr>
        <w:lastRenderedPageBreak/>
        <w:t xml:space="preserve">Applications for leave to appeal filed / </w:t>
      </w:r>
      <w:r w:rsidRPr="006F7A67">
        <w:rPr>
          <w:lang w:val="fr-CA"/>
        </w:rPr>
        <w:br/>
        <w:t>Demandes d’autorisation d’appel déposées</w:t>
      </w:r>
      <w:bookmarkEnd w:id="0"/>
      <w:bookmarkEnd w:id="1"/>
    </w:p>
    <w:p w:rsidR="00C66EE8" w:rsidRPr="006F7A67" w:rsidRDefault="00C66EE8" w:rsidP="00C66EE8">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144"/>
        <w:gridCol w:w="4252"/>
      </w:tblGrid>
      <w:tr w:rsidR="00C66EE8" w:rsidRPr="006F7A67" w:rsidTr="00C66EE8">
        <w:tc>
          <w:tcPr>
            <w:tcW w:w="4252" w:type="dxa"/>
            <w:shd w:val="clear" w:color="auto" w:fill="auto"/>
          </w:tcPr>
          <w:p w:rsidR="00C66EE8" w:rsidRPr="00300F06" w:rsidRDefault="006E417E" w:rsidP="006E417E">
            <w:pPr>
              <w:rPr>
                <w:sz w:val="20"/>
                <w:szCs w:val="20"/>
                <w:lang w:val="en-US"/>
              </w:rPr>
            </w:pPr>
            <w:r w:rsidRPr="00300F06">
              <w:rPr>
                <w:b/>
                <w:sz w:val="20"/>
                <w:szCs w:val="20"/>
                <w:lang w:val="en-US"/>
              </w:rPr>
              <w:t>Andrew Nugent, et al.</w:t>
            </w:r>
          </w:p>
          <w:p w:rsidR="00C66EE8" w:rsidRPr="00300F06" w:rsidRDefault="00C66EE8" w:rsidP="006E417E">
            <w:pPr>
              <w:tabs>
                <w:tab w:val="left" w:pos="-1440"/>
                <w:tab w:val="left" w:pos="-720"/>
              </w:tabs>
              <w:rPr>
                <w:sz w:val="20"/>
                <w:szCs w:val="20"/>
                <w:lang w:val="en-US"/>
              </w:rPr>
            </w:pPr>
            <w:r w:rsidRPr="00300F06">
              <w:rPr>
                <w:sz w:val="20"/>
                <w:szCs w:val="20"/>
                <w:lang w:val="en-US"/>
              </w:rPr>
              <w:tab/>
            </w:r>
            <w:r w:rsidR="006E417E" w:rsidRPr="00300F06">
              <w:rPr>
                <w:sz w:val="20"/>
                <w:szCs w:val="20"/>
                <w:lang w:val="en-US"/>
              </w:rPr>
              <w:t>Fenton, Scott K.</w:t>
            </w:r>
          </w:p>
          <w:p w:rsidR="006E417E" w:rsidRPr="00300F06" w:rsidRDefault="006E417E" w:rsidP="006E417E">
            <w:pPr>
              <w:tabs>
                <w:tab w:val="left" w:pos="-1440"/>
                <w:tab w:val="left" w:pos="-720"/>
              </w:tabs>
              <w:rPr>
                <w:sz w:val="20"/>
                <w:szCs w:val="20"/>
                <w:lang w:val="en-US"/>
              </w:rPr>
            </w:pPr>
            <w:r w:rsidRPr="00300F06">
              <w:rPr>
                <w:sz w:val="20"/>
                <w:szCs w:val="20"/>
                <w:lang w:val="en-US"/>
              </w:rPr>
              <w:tab/>
              <w:t>Fenton, Smith</w:t>
            </w:r>
          </w:p>
          <w:p w:rsidR="00C66EE8" w:rsidRPr="00300F06" w:rsidRDefault="00C66EE8" w:rsidP="006E417E">
            <w:pPr>
              <w:tabs>
                <w:tab w:val="left" w:pos="-1440"/>
                <w:tab w:val="left" w:pos="-720"/>
              </w:tabs>
              <w:rPr>
                <w:sz w:val="20"/>
                <w:szCs w:val="20"/>
                <w:lang w:val="en-US"/>
              </w:rPr>
            </w:pPr>
          </w:p>
          <w:p w:rsidR="00C66EE8" w:rsidRPr="006F7A67" w:rsidRDefault="00C66EE8" w:rsidP="006E417E">
            <w:pPr>
              <w:tabs>
                <w:tab w:val="left" w:pos="-1440"/>
                <w:tab w:val="left" w:pos="-720"/>
              </w:tabs>
              <w:rPr>
                <w:sz w:val="20"/>
                <w:szCs w:val="20"/>
                <w:lang w:val="en-US"/>
              </w:rPr>
            </w:pPr>
            <w:r w:rsidRPr="00300F06">
              <w:rPr>
                <w:sz w:val="20"/>
                <w:szCs w:val="20"/>
                <w:lang w:val="en-US"/>
              </w:rPr>
              <w:tab/>
            </w:r>
            <w:r w:rsidR="006E417E" w:rsidRPr="006F7A67">
              <w:rPr>
                <w:sz w:val="20"/>
                <w:szCs w:val="20"/>
                <w:lang w:val="en-US"/>
              </w:rPr>
              <w:t>v</w:t>
            </w:r>
            <w:r w:rsidRPr="006F7A67">
              <w:rPr>
                <w:sz w:val="20"/>
                <w:szCs w:val="20"/>
                <w:lang w:val="en-US"/>
              </w:rPr>
              <w:t>. (39</w:t>
            </w:r>
            <w:r w:rsidR="006E417E" w:rsidRPr="006F7A67">
              <w:rPr>
                <w:sz w:val="20"/>
                <w:szCs w:val="20"/>
                <w:lang w:val="en-US"/>
              </w:rPr>
              <w:t>076</w:t>
            </w:r>
            <w:r w:rsidRPr="006F7A67">
              <w:rPr>
                <w:sz w:val="20"/>
                <w:szCs w:val="20"/>
                <w:lang w:val="en-US"/>
              </w:rPr>
              <w:t>)</w:t>
            </w:r>
          </w:p>
          <w:p w:rsidR="00C66EE8" w:rsidRPr="006F7A67" w:rsidRDefault="00C66EE8" w:rsidP="006E417E">
            <w:pPr>
              <w:tabs>
                <w:tab w:val="left" w:pos="-1440"/>
                <w:tab w:val="left" w:pos="-720"/>
              </w:tabs>
              <w:rPr>
                <w:sz w:val="20"/>
                <w:szCs w:val="20"/>
                <w:lang w:val="en-US"/>
              </w:rPr>
            </w:pPr>
          </w:p>
          <w:p w:rsidR="00C66EE8" w:rsidRPr="006F7A67" w:rsidRDefault="006E417E" w:rsidP="006E417E">
            <w:pPr>
              <w:tabs>
                <w:tab w:val="left" w:pos="-1440"/>
                <w:tab w:val="left" w:pos="-720"/>
              </w:tabs>
              <w:rPr>
                <w:b/>
                <w:sz w:val="20"/>
                <w:szCs w:val="20"/>
                <w:lang w:val="en-US"/>
              </w:rPr>
            </w:pPr>
            <w:r w:rsidRPr="006F7A67">
              <w:rPr>
                <w:b/>
                <w:sz w:val="20"/>
                <w:szCs w:val="20"/>
                <w:lang w:val="en-US"/>
              </w:rPr>
              <w:t xml:space="preserve">Her Majesty the Queen in Right of Ontario (Ministry of Labour) </w:t>
            </w:r>
            <w:r w:rsidR="00C66EE8" w:rsidRPr="006F7A67">
              <w:rPr>
                <w:b/>
                <w:sz w:val="20"/>
                <w:szCs w:val="20"/>
                <w:lang w:val="en-US"/>
              </w:rPr>
              <w:t>(</w:t>
            </w:r>
            <w:r w:rsidRPr="006F7A67">
              <w:rPr>
                <w:b/>
                <w:sz w:val="20"/>
                <w:szCs w:val="20"/>
                <w:lang w:val="en-US"/>
              </w:rPr>
              <w:t>Ont.</w:t>
            </w:r>
            <w:r w:rsidR="00C66EE8" w:rsidRPr="006F7A67">
              <w:rPr>
                <w:b/>
                <w:sz w:val="20"/>
                <w:szCs w:val="20"/>
                <w:lang w:val="en-US"/>
              </w:rPr>
              <w:t>)</w:t>
            </w:r>
          </w:p>
          <w:p w:rsidR="00C66EE8" w:rsidRPr="00300F06" w:rsidRDefault="00C66EE8" w:rsidP="006E417E">
            <w:pPr>
              <w:tabs>
                <w:tab w:val="left" w:pos="-1440"/>
                <w:tab w:val="left" w:pos="-720"/>
              </w:tabs>
              <w:rPr>
                <w:sz w:val="20"/>
                <w:szCs w:val="20"/>
                <w:lang w:val="en-US"/>
              </w:rPr>
            </w:pPr>
            <w:r w:rsidRPr="006F7A67">
              <w:rPr>
                <w:sz w:val="20"/>
                <w:szCs w:val="20"/>
                <w:lang w:val="en-US"/>
              </w:rPr>
              <w:tab/>
            </w:r>
            <w:r w:rsidR="006E417E" w:rsidRPr="00300F06">
              <w:rPr>
                <w:sz w:val="20"/>
                <w:szCs w:val="20"/>
                <w:lang w:val="en-US"/>
              </w:rPr>
              <w:t>Kleiman, Daniel</w:t>
            </w:r>
          </w:p>
          <w:p w:rsidR="006E417E" w:rsidRPr="006F7A67" w:rsidRDefault="006E417E" w:rsidP="006E417E">
            <w:pPr>
              <w:tabs>
                <w:tab w:val="left" w:pos="-1440"/>
                <w:tab w:val="left" w:pos="-720"/>
              </w:tabs>
              <w:rPr>
                <w:sz w:val="20"/>
                <w:szCs w:val="20"/>
                <w:lang w:val="en-US"/>
              </w:rPr>
            </w:pPr>
            <w:r w:rsidRPr="006F7A67">
              <w:rPr>
                <w:sz w:val="20"/>
                <w:szCs w:val="20"/>
                <w:lang w:val="en-US"/>
              </w:rPr>
              <w:tab/>
              <w:t>Attorney General of Ontario</w:t>
            </w:r>
          </w:p>
          <w:p w:rsidR="00C66EE8" w:rsidRPr="006F7A67" w:rsidRDefault="00C66EE8" w:rsidP="006E417E">
            <w:pPr>
              <w:tabs>
                <w:tab w:val="left" w:pos="-1440"/>
                <w:tab w:val="left" w:pos="-720"/>
              </w:tabs>
              <w:rPr>
                <w:sz w:val="20"/>
                <w:szCs w:val="20"/>
                <w:lang w:val="en-US"/>
              </w:rPr>
            </w:pPr>
          </w:p>
          <w:p w:rsidR="00C66EE8" w:rsidRPr="006F7A67" w:rsidRDefault="006E417E" w:rsidP="006E417E">
            <w:pPr>
              <w:rPr>
                <w:sz w:val="20"/>
                <w:szCs w:val="20"/>
                <w:lang w:val="en-US"/>
              </w:rPr>
            </w:pPr>
            <w:r w:rsidRPr="006F7A67">
              <w:rPr>
                <w:sz w:val="20"/>
                <w:szCs w:val="20"/>
                <w:lang w:val="en-US"/>
              </w:rPr>
              <w:t xml:space="preserve">FILING </w:t>
            </w:r>
            <w:r w:rsidR="00C66EE8" w:rsidRPr="006F7A67">
              <w:rPr>
                <w:sz w:val="20"/>
                <w:szCs w:val="20"/>
                <w:lang w:val="en-US"/>
              </w:rPr>
              <w:t xml:space="preserve">DATE: </w:t>
            </w:r>
            <w:r w:rsidRPr="006F7A67">
              <w:rPr>
                <w:sz w:val="20"/>
                <w:szCs w:val="20"/>
                <w:lang w:val="en-US"/>
              </w:rPr>
              <w:t>February 14, 2020</w:t>
            </w:r>
          </w:p>
          <w:p w:rsidR="00C66EE8" w:rsidRPr="006F7A67" w:rsidRDefault="00C66EE8" w:rsidP="006E417E">
            <w:pPr>
              <w:rPr>
                <w:sz w:val="20"/>
                <w:szCs w:val="20"/>
                <w:lang w:val="en-US"/>
              </w:rPr>
            </w:pPr>
          </w:p>
          <w:p w:rsidR="00C66EE8" w:rsidRPr="006F7A67" w:rsidRDefault="00300F06" w:rsidP="006E417E">
            <w:pPr>
              <w:rPr>
                <w:sz w:val="20"/>
                <w:szCs w:val="20"/>
              </w:rPr>
            </w:pPr>
            <w:r>
              <w:rPr>
                <w:sz w:val="20"/>
                <w:szCs w:val="20"/>
                <w:lang w:val="fr-CA"/>
              </w:rPr>
              <w:pict>
                <v:rect id="_x0000_i1025" style="width:108pt;height:1pt" o:hrpct="0" o:hrstd="t" o:hrnoshade="t" o:hr="t" fillcolor="black [3213]" stroked="f"/>
              </w:pict>
            </w:r>
          </w:p>
        </w:tc>
        <w:tc>
          <w:tcPr>
            <w:tcW w:w="1144" w:type="dxa"/>
            <w:shd w:val="clear" w:color="auto" w:fill="auto"/>
          </w:tcPr>
          <w:p w:rsidR="00C66EE8" w:rsidRPr="006F7A67" w:rsidRDefault="00C66EE8" w:rsidP="006E417E">
            <w:pPr>
              <w:jc w:val="center"/>
              <w:rPr>
                <w:sz w:val="20"/>
                <w:szCs w:val="20"/>
              </w:rPr>
            </w:pPr>
          </w:p>
          <w:p w:rsidR="00C66EE8" w:rsidRPr="006F7A67" w:rsidRDefault="00C66EE8" w:rsidP="006E417E">
            <w:pPr>
              <w:jc w:val="center"/>
              <w:rPr>
                <w:sz w:val="20"/>
                <w:szCs w:val="20"/>
              </w:rPr>
            </w:pPr>
          </w:p>
          <w:p w:rsidR="00C66EE8" w:rsidRPr="006F7A67" w:rsidRDefault="00C66EE8" w:rsidP="006E417E">
            <w:pPr>
              <w:jc w:val="center"/>
              <w:rPr>
                <w:sz w:val="20"/>
                <w:szCs w:val="20"/>
              </w:rPr>
            </w:pPr>
          </w:p>
          <w:p w:rsidR="00C66EE8" w:rsidRPr="006F7A67" w:rsidRDefault="00C66EE8" w:rsidP="006E417E">
            <w:pPr>
              <w:jc w:val="center"/>
              <w:rPr>
                <w:sz w:val="20"/>
                <w:szCs w:val="20"/>
              </w:rPr>
            </w:pPr>
          </w:p>
          <w:p w:rsidR="00C66EE8" w:rsidRPr="006F7A67" w:rsidRDefault="00C66EE8" w:rsidP="006E417E">
            <w:pPr>
              <w:jc w:val="center"/>
              <w:rPr>
                <w:sz w:val="20"/>
                <w:szCs w:val="20"/>
              </w:rPr>
            </w:pPr>
          </w:p>
          <w:p w:rsidR="00C66EE8" w:rsidRPr="006F7A67" w:rsidRDefault="00C66EE8" w:rsidP="006E417E">
            <w:pPr>
              <w:jc w:val="center"/>
              <w:rPr>
                <w:sz w:val="20"/>
                <w:szCs w:val="20"/>
              </w:rPr>
            </w:pPr>
          </w:p>
          <w:p w:rsidR="00C66EE8" w:rsidRPr="006F7A67" w:rsidRDefault="00C66EE8" w:rsidP="006E417E">
            <w:pPr>
              <w:jc w:val="center"/>
              <w:rPr>
                <w:sz w:val="20"/>
                <w:szCs w:val="20"/>
              </w:rPr>
            </w:pPr>
          </w:p>
          <w:p w:rsidR="00C66EE8" w:rsidRPr="006F7A67" w:rsidRDefault="00C66EE8" w:rsidP="006E417E">
            <w:pPr>
              <w:jc w:val="center"/>
              <w:rPr>
                <w:sz w:val="20"/>
                <w:szCs w:val="20"/>
              </w:rPr>
            </w:pPr>
          </w:p>
          <w:p w:rsidR="00C66EE8" w:rsidRPr="006F7A67" w:rsidRDefault="00C66EE8" w:rsidP="006E417E">
            <w:pPr>
              <w:jc w:val="center"/>
              <w:rPr>
                <w:sz w:val="20"/>
                <w:szCs w:val="20"/>
              </w:rPr>
            </w:pPr>
          </w:p>
          <w:p w:rsidR="00C66EE8" w:rsidRPr="006F7A67" w:rsidRDefault="00C66EE8" w:rsidP="006E417E">
            <w:pPr>
              <w:jc w:val="center"/>
              <w:rPr>
                <w:sz w:val="20"/>
                <w:szCs w:val="20"/>
              </w:rPr>
            </w:pPr>
          </w:p>
          <w:p w:rsidR="006E417E" w:rsidRPr="006F7A67" w:rsidRDefault="006E417E" w:rsidP="006E417E">
            <w:pPr>
              <w:jc w:val="center"/>
              <w:rPr>
                <w:sz w:val="20"/>
                <w:szCs w:val="20"/>
              </w:rPr>
            </w:pPr>
          </w:p>
          <w:p w:rsidR="00C66EE8" w:rsidRPr="006F7A67" w:rsidRDefault="00C66EE8" w:rsidP="006E417E">
            <w:pPr>
              <w:jc w:val="center"/>
              <w:rPr>
                <w:sz w:val="20"/>
                <w:szCs w:val="20"/>
              </w:rPr>
            </w:pPr>
          </w:p>
          <w:p w:rsidR="006E417E" w:rsidRPr="006F7A67" w:rsidRDefault="006E417E" w:rsidP="006E417E">
            <w:pPr>
              <w:jc w:val="center"/>
              <w:rPr>
                <w:sz w:val="20"/>
                <w:szCs w:val="20"/>
              </w:rPr>
            </w:pPr>
          </w:p>
          <w:p w:rsidR="00C66EE8" w:rsidRPr="006F7A67" w:rsidRDefault="00C66EE8" w:rsidP="006E417E">
            <w:pPr>
              <w:jc w:val="center"/>
              <w:rPr>
                <w:sz w:val="20"/>
                <w:szCs w:val="20"/>
              </w:rPr>
            </w:pPr>
          </w:p>
          <w:p w:rsidR="00C66EE8" w:rsidRPr="006F7A67" w:rsidRDefault="00C66EE8" w:rsidP="006E417E">
            <w:pPr>
              <w:jc w:val="center"/>
              <w:rPr>
                <w:sz w:val="20"/>
                <w:szCs w:val="20"/>
              </w:rPr>
            </w:pPr>
          </w:p>
        </w:tc>
        <w:tc>
          <w:tcPr>
            <w:tcW w:w="4252" w:type="dxa"/>
            <w:shd w:val="clear" w:color="auto" w:fill="auto"/>
          </w:tcPr>
          <w:p w:rsidR="00C66EE8" w:rsidRPr="006F7A67" w:rsidRDefault="006E417E" w:rsidP="006E417E">
            <w:pPr>
              <w:rPr>
                <w:b/>
                <w:sz w:val="20"/>
                <w:szCs w:val="20"/>
                <w:lang w:val="en-US"/>
              </w:rPr>
            </w:pPr>
            <w:r w:rsidRPr="006F7A67">
              <w:rPr>
                <w:b/>
                <w:sz w:val="20"/>
                <w:szCs w:val="20"/>
                <w:lang w:val="en-US"/>
              </w:rPr>
              <w:t>Douglas Cowell</w:t>
            </w:r>
          </w:p>
          <w:p w:rsidR="00C66EE8" w:rsidRPr="006F7A67" w:rsidRDefault="00C66EE8" w:rsidP="006E417E">
            <w:pPr>
              <w:tabs>
                <w:tab w:val="left" w:pos="-1440"/>
                <w:tab w:val="left" w:pos="-720"/>
              </w:tabs>
              <w:rPr>
                <w:sz w:val="20"/>
                <w:szCs w:val="20"/>
                <w:lang w:val="en-US"/>
              </w:rPr>
            </w:pPr>
            <w:r w:rsidRPr="006F7A67">
              <w:rPr>
                <w:sz w:val="20"/>
                <w:szCs w:val="20"/>
                <w:lang w:val="en-US"/>
              </w:rPr>
              <w:tab/>
            </w:r>
            <w:r w:rsidR="006E417E" w:rsidRPr="006F7A67">
              <w:rPr>
                <w:sz w:val="20"/>
                <w:szCs w:val="20"/>
                <w:lang w:val="en-US"/>
              </w:rPr>
              <w:t>Webb, Melanie J.</w:t>
            </w:r>
          </w:p>
          <w:p w:rsidR="00C66EE8" w:rsidRPr="006F7A67" w:rsidRDefault="00C66EE8" w:rsidP="006E417E">
            <w:pPr>
              <w:tabs>
                <w:tab w:val="left" w:pos="-1440"/>
                <w:tab w:val="left" w:pos="-720"/>
              </w:tabs>
              <w:rPr>
                <w:sz w:val="20"/>
                <w:szCs w:val="20"/>
                <w:lang w:val="en-US"/>
              </w:rPr>
            </w:pPr>
          </w:p>
          <w:p w:rsidR="00C66EE8" w:rsidRPr="006F7A67" w:rsidRDefault="00C66EE8" w:rsidP="006E417E">
            <w:pPr>
              <w:tabs>
                <w:tab w:val="left" w:pos="-1440"/>
                <w:tab w:val="left" w:pos="-720"/>
              </w:tabs>
              <w:rPr>
                <w:sz w:val="20"/>
                <w:szCs w:val="20"/>
                <w:lang w:val="en-US"/>
              </w:rPr>
            </w:pPr>
            <w:r w:rsidRPr="006F7A67">
              <w:rPr>
                <w:sz w:val="20"/>
                <w:szCs w:val="20"/>
                <w:lang w:val="en-US"/>
              </w:rPr>
              <w:tab/>
              <w:t>v. (390</w:t>
            </w:r>
            <w:r w:rsidR="006E417E" w:rsidRPr="006F7A67">
              <w:rPr>
                <w:sz w:val="20"/>
                <w:szCs w:val="20"/>
                <w:lang w:val="en-US"/>
              </w:rPr>
              <w:t>78</w:t>
            </w:r>
            <w:r w:rsidRPr="006F7A67">
              <w:rPr>
                <w:sz w:val="20"/>
                <w:szCs w:val="20"/>
                <w:lang w:val="en-US"/>
              </w:rPr>
              <w:t>)</w:t>
            </w:r>
          </w:p>
          <w:p w:rsidR="00C66EE8" w:rsidRPr="006F7A67" w:rsidRDefault="00C66EE8" w:rsidP="006E417E">
            <w:pPr>
              <w:tabs>
                <w:tab w:val="left" w:pos="-1440"/>
                <w:tab w:val="left" w:pos="-720"/>
              </w:tabs>
              <w:rPr>
                <w:sz w:val="20"/>
                <w:szCs w:val="20"/>
                <w:lang w:val="en-US"/>
              </w:rPr>
            </w:pPr>
          </w:p>
          <w:p w:rsidR="00C66EE8" w:rsidRPr="006F7A67" w:rsidRDefault="006E417E" w:rsidP="006E417E">
            <w:pPr>
              <w:tabs>
                <w:tab w:val="left" w:pos="-1440"/>
                <w:tab w:val="left" w:pos="-720"/>
              </w:tabs>
              <w:rPr>
                <w:b/>
                <w:sz w:val="20"/>
                <w:szCs w:val="20"/>
                <w:lang w:val="en-US"/>
              </w:rPr>
            </w:pPr>
            <w:r w:rsidRPr="006F7A67">
              <w:rPr>
                <w:b/>
                <w:sz w:val="20"/>
                <w:szCs w:val="20"/>
                <w:lang w:val="en-US"/>
              </w:rPr>
              <w:t>Her Majesty the Queen</w:t>
            </w:r>
            <w:r w:rsidR="00C66EE8" w:rsidRPr="006F7A67">
              <w:rPr>
                <w:sz w:val="20"/>
                <w:szCs w:val="20"/>
                <w:lang w:val="en-US"/>
              </w:rPr>
              <w:t xml:space="preserve"> </w:t>
            </w:r>
            <w:r w:rsidR="00C66EE8" w:rsidRPr="006F7A67">
              <w:rPr>
                <w:b/>
                <w:sz w:val="20"/>
                <w:szCs w:val="20"/>
                <w:lang w:val="en-US"/>
              </w:rPr>
              <w:t>(Ont.)</w:t>
            </w:r>
          </w:p>
          <w:p w:rsidR="00C66EE8" w:rsidRPr="006F7A67" w:rsidRDefault="00C66EE8" w:rsidP="006E417E">
            <w:pPr>
              <w:tabs>
                <w:tab w:val="left" w:pos="-1440"/>
                <w:tab w:val="left" w:pos="-720"/>
              </w:tabs>
              <w:rPr>
                <w:sz w:val="20"/>
                <w:szCs w:val="20"/>
                <w:lang w:val="en-US"/>
              </w:rPr>
            </w:pPr>
            <w:r w:rsidRPr="006F7A67">
              <w:rPr>
                <w:sz w:val="20"/>
                <w:szCs w:val="20"/>
                <w:lang w:val="en-US"/>
              </w:rPr>
              <w:tab/>
            </w:r>
            <w:r w:rsidR="006F7A67" w:rsidRPr="006F7A67">
              <w:rPr>
                <w:sz w:val="20"/>
                <w:szCs w:val="20"/>
                <w:lang w:val="en-US"/>
              </w:rPr>
              <w:t>Trehearne, Jennifer A.Y.</w:t>
            </w:r>
          </w:p>
          <w:p w:rsidR="00C66EE8" w:rsidRPr="006F7A67" w:rsidRDefault="00C66EE8" w:rsidP="006E417E">
            <w:pPr>
              <w:tabs>
                <w:tab w:val="left" w:pos="-1440"/>
                <w:tab w:val="left" w:pos="-720"/>
              </w:tabs>
              <w:rPr>
                <w:sz w:val="20"/>
                <w:szCs w:val="20"/>
                <w:lang w:val="en-US"/>
              </w:rPr>
            </w:pPr>
            <w:r w:rsidRPr="006F7A67">
              <w:rPr>
                <w:sz w:val="20"/>
                <w:szCs w:val="20"/>
                <w:lang w:val="en-US"/>
              </w:rPr>
              <w:tab/>
            </w:r>
            <w:r w:rsidR="006F7A67" w:rsidRPr="006F7A67">
              <w:rPr>
                <w:sz w:val="20"/>
                <w:szCs w:val="20"/>
                <w:lang w:val="en-US"/>
              </w:rPr>
              <w:t>Attorney General of Ontario</w:t>
            </w:r>
          </w:p>
          <w:p w:rsidR="00C66EE8" w:rsidRPr="006F7A67" w:rsidRDefault="00C66EE8" w:rsidP="006E417E">
            <w:pPr>
              <w:tabs>
                <w:tab w:val="left" w:pos="-1440"/>
                <w:tab w:val="left" w:pos="-720"/>
              </w:tabs>
              <w:rPr>
                <w:sz w:val="20"/>
                <w:szCs w:val="20"/>
                <w:lang w:val="en-US"/>
              </w:rPr>
            </w:pPr>
          </w:p>
          <w:p w:rsidR="00C66EE8" w:rsidRPr="006F7A67" w:rsidRDefault="00C66EE8" w:rsidP="006E417E">
            <w:pPr>
              <w:rPr>
                <w:sz w:val="20"/>
                <w:szCs w:val="20"/>
                <w:lang w:val="en-US"/>
              </w:rPr>
            </w:pPr>
            <w:r w:rsidRPr="006F7A67">
              <w:rPr>
                <w:sz w:val="20"/>
                <w:szCs w:val="20"/>
                <w:lang w:val="en-US"/>
              </w:rPr>
              <w:t xml:space="preserve">FILING DATE: </w:t>
            </w:r>
            <w:r w:rsidR="006E417E" w:rsidRPr="006F7A67">
              <w:rPr>
                <w:sz w:val="20"/>
                <w:szCs w:val="20"/>
                <w:lang w:val="en-US"/>
              </w:rPr>
              <w:t>April</w:t>
            </w:r>
            <w:r w:rsidRPr="006F7A67">
              <w:rPr>
                <w:sz w:val="20"/>
                <w:szCs w:val="20"/>
                <w:lang w:val="en-US"/>
              </w:rPr>
              <w:t xml:space="preserve"> 2, 20</w:t>
            </w:r>
            <w:r w:rsidR="006E417E" w:rsidRPr="006F7A67">
              <w:rPr>
                <w:sz w:val="20"/>
                <w:szCs w:val="20"/>
                <w:lang w:val="en-US"/>
              </w:rPr>
              <w:t>20</w:t>
            </w:r>
          </w:p>
          <w:p w:rsidR="00C66EE8" w:rsidRPr="006F7A67" w:rsidRDefault="00C66EE8" w:rsidP="006E417E">
            <w:pPr>
              <w:rPr>
                <w:sz w:val="20"/>
                <w:szCs w:val="20"/>
                <w:lang w:val="en-US"/>
              </w:rPr>
            </w:pPr>
          </w:p>
          <w:p w:rsidR="00C66EE8" w:rsidRPr="006F7A67" w:rsidRDefault="00300F06" w:rsidP="006E417E">
            <w:pPr>
              <w:rPr>
                <w:sz w:val="20"/>
                <w:szCs w:val="20"/>
                <w:lang w:val="fr-CA"/>
              </w:rPr>
            </w:pPr>
            <w:r>
              <w:rPr>
                <w:sz w:val="20"/>
                <w:szCs w:val="20"/>
                <w:lang w:val="fr-CA"/>
              </w:rPr>
              <w:pict>
                <v:rect id="_x0000_i1026" style="width:108pt;height:1pt" o:hrpct="0" o:hrstd="t" o:hrnoshade="t" o:hr="t" fillcolor="black [3213]" stroked="f"/>
              </w:pict>
            </w:r>
          </w:p>
        </w:tc>
      </w:tr>
    </w:tbl>
    <w:p w:rsidR="00C66EE8" w:rsidRPr="006F7A67" w:rsidRDefault="00C66EE8" w:rsidP="00F138C1">
      <w:pPr>
        <w:tabs>
          <w:tab w:val="right" w:pos="9360"/>
        </w:tabs>
        <w:rPr>
          <w:lang w:val="fr-CA"/>
        </w:rPr>
      </w:pPr>
    </w:p>
    <w:p w:rsidR="00C01FCB" w:rsidRPr="006F7A67" w:rsidRDefault="00C01FCB" w:rsidP="0095096B">
      <w:pPr>
        <w:tabs>
          <w:tab w:val="right" w:pos="9360"/>
        </w:tabs>
        <w:rPr>
          <w:lang w:val="fr-CA"/>
        </w:rPr>
      </w:pPr>
    </w:p>
    <w:p w:rsidR="00A87207" w:rsidRPr="006F7A67" w:rsidRDefault="00A87207" w:rsidP="0095096B">
      <w:pPr>
        <w:tabs>
          <w:tab w:val="right" w:pos="9360"/>
        </w:tabs>
        <w:rPr>
          <w:lang w:val="fr-CA"/>
        </w:rPr>
        <w:sectPr w:rsidR="00A87207" w:rsidRPr="006F7A67" w:rsidSect="0044776A">
          <w:pgSz w:w="12240" w:h="15840"/>
          <w:pgMar w:top="720" w:right="1152" w:bottom="1080" w:left="1440" w:header="706" w:footer="706" w:gutter="0"/>
          <w:cols w:space="708"/>
          <w:titlePg/>
          <w:docGrid w:linePitch="360"/>
        </w:sectPr>
      </w:pPr>
    </w:p>
    <w:p w:rsidR="00693C38" w:rsidRPr="006F7A67" w:rsidRDefault="00DD0BDC" w:rsidP="00567602">
      <w:pPr>
        <w:pStyle w:val="Header1StyleE"/>
        <w:pBdr>
          <w:bottom w:val="single" w:sz="12" w:space="1" w:color="auto"/>
        </w:pBdr>
        <w:rPr>
          <w:lang w:val="fr-CA"/>
        </w:rPr>
      </w:pPr>
      <w:bookmarkStart w:id="2" w:name="QuickMark_1"/>
      <w:bookmarkStart w:id="3" w:name="_Toc37315375"/>
      <w:bookmarkEnd w:id="2"/>
      <w:r w:rsidRPr="006F7A67">
        <w:rPr>
          <w:lang w:val="fr-CA"/>
        </w:rPr>
        <w:t>Judgments on applications</w:t>
      </w:r>
      <w:r w:rsidR="000C1D9D" w:rsidRPr="006F7A67">
        <w:rPr>
          <w:lang w:val="fr-CA"/>
        </w:rPr>
        <w:t xml:space="preserve"> </w:t>
      </w:r>
      <w:r w:rsidRPr="006F7A67">
        <w:rPr>
          <w:lang w:val="fr-CA"/>
        </w:rPr>
        <w:t>for leave</w:t>
      </w:r>
      <w:r w:rsidR="00693C38" w:rsidRPr="006F7A67">
        <w:rPr>
          <w:noProof/>
          <w:sz w:val="20"/>
          <w:lang w:val="fr-CA"/>
        </w:rPr>
        <w:t xml:space="preserve"> </w:t>
      </w:r>
      <w:r w:rsidR="00271E1E" w:rsidRPr="006F7A67">
        <w:rPr>
          <w:noProof/>
          <w:sz w:val="20"/>
          <w:lang w:val="fr-CA"/>
        </w:rPr>
        <w:t xml:space="preserve">/ </w:t>
      </w:r>
      <w:r w:rsidR="00693C38" w:rsidRPr="006F7A67">
        <w:rPr>
          <w:noProof/>
          <w:sz w:val="20"/>
          <w:lang w:val="fr-CA"/>
        </w:rPr>
        <w:br/>
      </w:r>
      <w:r w:rsidRPr="006F7A67">
        <w:rPr>
          <w:lang w:val="fr-CA"/>
        </w:rPr>
        <w:t>Jugements rendus sur les demandes d’autorisation</w:t>
      </w:r>
      <w:bookmarkEnd w:id="3"/>
    </w:p>
    <w:p w:rsidR="00FB1DB6" w:rsidRPr="006F7A67" w:rsidRDefault="00FB1DB6" w:rsidP="00693C38">
      <w:pPr>
        <w:rPr>
          <w:sz w:val="20"/>
          <w:szCs w:val="20"/>
          <w:lang w:val="fr-CA"/>
        </w:rPr>
      </w:pPr>
    </w:p>
    <w:p w:rsidR="00F16063" w:rsidRPr="006F7A67" w:rsidRDefault="0090461F" w:rsidP="00F16063">
      <w:pPr>
        <w:rPr>
          <w:b/>
          <w:sz w:val="20"/>
          <w:szCs w:val="20"/>
        </w:rPr>
      </w:pPr>
      <w:r w:rsidRPr="006F7A67">
        <w:rPr>
          <w:b/>
          <w:sz w:val="20"/>
          <w:szCs w:val="20"/>
          <w:lang w:val="fr-CA"/>
        </w:rPr>
        <w:t>APRIL</w:t>
      </w:r>
      <w:r w:rsidR="00F16063" w:rsidRPr="006F7A67">
        <w:rPr>
          <w:b/>
          <w:sz w:val="20"/>
          <w:szCs w:val="20"/>
        </w:rPr>
        <w:t xml:space="preserve"> </w:t>
      </w:r>
      <w:r w:rsidR="005967EF" w:rsidRPr="006F7A67">
        <w:rPr>
          <w:b/>
          <w:sz w:val="20"/>
          <w:szCs w:val="20"/>
        </w:rPr>
        <w:t>9</w:t>
      </w:r>
      <w:r w:rsidR="00F16063" w:rsidRPr="006F7A67">
        <w:rPr>
          <w:b/>
          <w:sz w:val="20"/>
          <w:szCs w:val="20"/>
        </w:rPr>
        <w:t xml:space="preserve">, </w:t>
      </w:r>
      <w:r w:rsidR="0034657E" w:rsidRPr="006F7A67">
        <w:rPr>
          <w:b/>
          <w:sz w:val="20"/>
          <w:szCs w:val="20"/>
        </w:rPr>
        <w:t>20</w:t>
      </w:r>
      <w:r w:rsidR="005967EF" w:rsidRPr="006F7A67">
        <w:rPr>
          <w:b/>
          <w:sz w:val="20"/>
          <w:szCs w:val="20"/>
        </w:rPr>
        <w:t>20</w:t>
      </w:r>
      <w:r w:rsidR="00F16063" w:rsidRPr="006F7A67">
        <w:rPr>
          <w:b/>
          <w:sz w:val="20"/>
          <w:szCs w:val="20"/>
        </w:rPr>
        <w:t xml:space="preserve"> / LE </w:t>
      </w:r>
      <w:r w:rsidR="005967EF" w:rsidRPr="006F7A67">
        <w:rPr>
          <w:b/>
          <w:sz w:val="20"/>
          <w:szCs w:val="20"/>
        </w:rPr>
        <w:t>9</w:t>
      </w:r>
      <w:r w:rsidRPr="006F7A67">
        <w:rPr>
          <w:b/>
          <w:sz w:val="20"/>
          <w:szCs w:val="20"/>
        </w:rPr>
        <w:t xml:space="preserve"> </w:t>
      </w:r>
      <w:r w:rsidR="00691D1D" w:rsidRPr="006F7A67">
        <w:rPr>
          <w:b/>
          <w:sz w:val="20"/>
          <w:szCs w:val="20"/>
        </w:rPr>
        <w:t>A</w:t>
      </w:r>
      <w:r w:rsidRPr="006F7A67">
        <w:rPr>
          <w:b/>
          <w:sz w:val="20"/>
          <w:szCs w:val="20"/>
        </w:rPr>
        <w:t>VRIL</w:t>
      </w:r>
      <w:r w:rsidR="00F16063" w:rsidRPr="006F7A67">
        <w:rPr>
          <w:b/>
          <w:sz w:val="20"/>
          <w:szCs w:val="20"/>
        </w:rPr>
        <w:t xml:space="preserve"> </w:t>
      </w:r>
      <w:r w:rsidR="0034657E" w:rsidRPr="006F7A67">
        <w:rPr>
          <w:b/>
          <w:sz w:val="20"/>
          <w:szCs w:val="20"/>
        </w:rPr>
        <w:t>20</w:t>
      </w:r>
      <w:r w:rsidR="005967EF" w:rsidRPr="006F7A67">
        <w:rPr>
          <w:b/>
          <w:sz w:val="20"/>
          <w:szCs w:val="20"/>
        </w:rPr>
        <w:t>20</w:t>
      </w:r>
    </w:p>
    <w:p w:rsidR="00197F36" w:rsidRPr="006F7A67" w:rsidRDefault="00197F36" w:rsidP="00197F36">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38691</w:t>
            </w:r>
          </w:p>
        </w:tc>
        <w:tc>
          <w:tcPr>
            <w:tcW w:w="4457" w:type="pct"/>
            <w:gridSpan w:val="3"/>
          </w:tcPr>
          <w:p w:rsidR="00197F36" w:rsidRPr="006F7A67" w:rsidRDefault="00197F36" w:rsidP="0019255A">
            <w:pPr>
              <w:pStyle w:val="SCCLsocParty"/>
              <w:jc w:val="both"/>
              <w:rPr>
                <w:b/>
                <w:sz w:val="20"/>
                <w:szCs w:val="20"/>
                <w:lang w:val="en-CA"/>
              </w:rPr>
            </w:pPr>
            <w:r w:rsidRPr="006F7A67">
              <w:rPr>
                <w:b/>
                <w:sz w:val="20"/>
                <w:szCs w:val="20"/>
                <w:lang w:val="en-CA"/>
              </w:rPr>
              <w:t>Johanne Morency, Ronald MacKinnon</w:t>
            </w:r>
            <w:r w:rsidR="004C65F5" w:rsidRPr="006F7A67">
              <w:rPr>
                <w:b/>
                <w:sz w:val="20"/>
                <w:szCs w:val="20"/>
                <w:lang w:val="en-CA"/>
              </w:rPr>
              <w:t xml:space="preserve"> and</w:t>
            </w:r>
            <w:r w:rsidRPr="006F7A67">
              <w:rPr>
                <w:b/>
                <w:sz w:val="20"/>
                <w:szCs w:val="20"/>
                <w:lang w:val="en-CA"/>
              </w:rPr>
              <w:t xml:space="preserve"> Vladimir Sapojnikov v. Administrative Tribunal of Québec</w:t>
            </w:r>
            <w:r w:rsidR="004C65F5" w:rsidRPr="006F7A67">
              <w:rPr>
                <w:b/>
                <w:sz w:val="20"/>
                <w:szCs w:val="20"/>
                <w:lang w:val="en-CA"/>
              </w:rPr>
              <w:t xml:space="preserve"> and</w:t>
            </w:r>
            <w:r w:rsidRPr="006F7A67">
              <w:rPr>
                <w:b/>
                <w:sz w:val="20"/>
                <w:szCs w:val="20"/>
                <w:lang w:val="en-CA"/>
              </w:rPr>
              <w:t xml:space="preserve"> Attorney General of Qu</w:t>
            </w:r>
            <w:r w:rsidR="004C65F5" w:rsidRPr="006F7A67">
              <w:rPr>
                <w:b/>
                <w:sz w:val="20"/>
                <w:szCs w:val="20"/>
                <w:lang w:val="en-CA"/>
              </w:rPr>
              <w:t>é</w:t>
            </w:r>
            <w:r w:rsidRPr="006F7A67">
              <w:rPr>
                <w:b/>
                <w:sz w:val="20"/>
                <w:szCs w:val="20"/>
                <w:lang w:val="en-CA"/>
              </w:rPr>
              <w:t>bec</w:t>
            </w:r>
          </w:p>
          <w:p w:rsidR="00197F36" w:rsidRPr="006F7A67" w:rsidRDefault="00197F36" w:rsidP="0019255A">
            <w:pPr>
              <w:jc w:val="both"/>
              <w:rPr>
                <w:sz w:val="20"/>
              </w:rPr>
            </w:pPr>
            <w:r w:rsidRPr="006F7A67">
              <w:rPr>
                <w:sz w:val="20"/>
              </w:rPr>
              <w:t>(Que.) (Civil) (By Leave)</w:t>
            </w:r>
          </w:p>
        </w:tc>
      </w:tr>
      <w:tr w:rsidR="004C65F5" w:rsidRPr="006F7A67" w:rsidTr="0019255A">
        <w:tc>
          <w:tcPr>
            <w:tcW w:w="5000" w:type="pct"/>
            <w:gridSpan w:val="4"/>
          </w:tcPr>
          <w:p w:rsidR="004C65F5" w:rsidRPr="006F7A67" w:rsidRDefault="004C65F5" w:rsidP="004C65F5">
            <w:pPr>
              <w:jc w:val="both"/>
              <w:rPr>
                <w:sz w:val="20"/>
                <w:szCs w:val="20"/>
              </w:rPr>
            </w:pPr>
            <w:r w:rsidRPr="006F7A67">
              <w:rPr>
                <w:sz w:val="20"/>
                <w:szCs w:val="20"/>
              </w:rPr>
              <w:t>The application for leave to appeal from the judgment of the</w:t>
            </w:r>
            <w:bookmarkStart w:id="4" w:name="BM_1_"/>
            <w:bookmarkEnd w:id="4"/>
            <w:r w:rsidRPr="006F7A67">
              <w:rPr>
                <w:sz w:val="20"/>
                <w:szCs w:val="20"/>
              </w:rPr>
              <w:t xml:space="preserve"> </w:t>
            </w:r>
            <w:r w:rsidRPr="006F7A67">
              <w:rPr>
                <w:sz w:val="20"/>
                <w:szCs w:val="20"/>
                <w:lang w:val="en-US"/>
              </w:rPr>
              <w:t>Court of Appeal of Quebec (Montréal)</w:t>
            </w:r>
            <w:r w:rsidRPr="006F7A67">
              <w:rPr>
                <w:sz w:val="20"/>
                <w:szCs w:val="20"/>
              </w:rPr>
              <w:t xml:space="preserve">, Number </w:t>
            </w:r>
            <w:r w:rsidRPr="006F7A67">
              <w:rPr>
                <w:sz w:val="20"/>
                <w:szCs w:val="20"/>
                <w:lang w:val="en-US"/>
              </w:rPr>
              <w:t>500-09-028176-196</w:t>
            </w:r>
            <w:r w:rsidRPr="006F7A67">
              <w:rPr>
                <w:sz w:val="20"/>
                <w:szCs w:val="20"/>
              </w:rPr>
              <w:t xml:space="preserve">, </w:t>
            </w:r>
            <w:r w:rsidRPr="006F7A67">
              <w:rPr>
                <w:sz w:val="20"/>
                <w:szCs w:val="20"/>
                <w:lang w:val="en-US"/>
              </w:rPr>
              <w:t xml:space="preserve">2019 QCCA 719, </w:t>
            </w:r>
            <w:r w:rsidRPr="006F7A67">
              <w:rPr>
                <w:sz w:val="20"/>
                <w:szCs w:val="20"/>
              </w:rPr>
              <w:t xml:space="preserve">dated </w:t>
            </w:r>
            <w:r w:rsidRPr="006F7A67">
              <w:rPr>
                <w:sz w:val="20"/>
                <w:szCs w:val="20"/>
                <w:lang w:val="en-US"/>
              </w:rPr>
              <w:t>April 18, 2019</w:t>
            </w:r>
            <w:r w:rsidRPr="006F7A67">
              <w:rPr>
                <w:sz w:val="20"/>
                <w:szCs w:val="20"/>
              </w:rPr>
              <w:t xml:space="preserve"> is dismissed. </w:t>
            </w:r>
          </w:p>
          <w:p w:rsidR="004C65F5" w:rsidRPr="006F7A67" w:rsidRDefault="004C65F5" w:rsidP="0019255A">
            <w:pPr>
              <w:jc w:val="both"/>
              <w:rPr>
                <w:sz w:val="20"/>
              </w:rPr>
            </w:pPr>
          </w:p>
        </w:tc>
      </w:tr>
      <w:tr w:rsidR="00197F36" w:rsidRPr="006F7A67" w:rsidTr="0019255A">
        <w:tc>
          <w:tcPr>
            <w:tcW w:w="5000" w:type="pct"/>
            <w:gridSpan w:val="4"/>
          </w:tcPr>
          <w:p w:rsidR="00197F36" w:rsidRPr="006F7A67" w:rsidRDefault="00197F36" w:rsidP="0019255A">
            <w:pPr>
              <w:jc w:val="both"/>
              <w:rPr>
                <w:sz w:val="20"/>
              </w:rPr>
            </w:pPr>
            <w:r w:rsidRPr="006F7A67">
              <w:rPr>
                <w:sz w:val="20"/>
              </w:rPr>
              <w:t xml:space="preserve">Social welfare law — Social assistance — Compensation for victims of crime — Legislation —Interpretation — Administrative law — Judicial review — Whether Administrative Tribunal of Québec’s legal characterization of annuity for permanent partial disability paid monthly by crime victims compensation directorate as “any . . . </w:t>
            </w:r>
            <w:proofErr w:type="spellStart"/>
            <w:r w:rsidRPr="006F7A67">
              <w:rPr>
                <w:sz w:val="20"/>
              </w:rPr>
              <w:t>benefi</w:t>
            </w:r>
            <w:proofErr w:type="spellEnd"/>
            <w:r w:rsidRPr="006F7A67">
              <w:rPr>
                <w:sz w:val="20"/>
              </w:rPr>
              <w:t xml:space="preserve">[t]” within meaning of s. 55 of </w:t>
            </w:r>
            <w:r w:rsidRPr="006F7A67">
              <w:rPr>
                <w:i/>
                <w:sz w:val="20"/>
              </w:rPr>
              <w:t>Individual and Family Assistance Act</w:t>
            </w:r>
            <w:r w:rsidRPr="006F7A67">
              <w:rPr>
                <w:sz w:val="20"/>
              </w:rPr>
              <w:t xml:space="preserve"> rather than as “sums paid to compensate for physical or mental impairment” within meaning of s. 138(11) of </w:t>
            </w:r>
            <w:r w:rsidRPr="006F7A67">
              <w:rPr>
                <w:i/>
                <w:sz w:val="20"/>
              </w:rPr>
              <w:t>Individual and Family Assistance Regulation</w:t>
            </w:r>
            <w:r w:rsidRPr="006F7A67">
              <w:rPr>
                <w:sz w:val="20"/>
              </w:rPr>
              <w:t xml:space="preserve"> was unreasonable — </w:t>
            </w:r>
            <w:r w:rsidRPr="006F7A67">
              <w:rPr>
                <w:i/>
                <w:sz w:val="20"/>
              </w:rPr>
              <w:t>Individual and Family Assistance Act</w:t>
            </w:r>
            <w:r w:rsidRPr="006F7A67">
              <w:rPr>
                <w:sz w:val="20"/>
              </w:rPr>
              <w:t>, CQLR, c. A</w:t>
            </w:r>
            <w:r w:rsidRPr="006F7A67">
              <w:rPr>
                <w:sz w:val="20"/>
              </w:rPr>
              <w:noBreakHyphen/>
              <w:t xml:space="preserve">13.1.1, s. 55 — </w:t>
            </w:r>
            <w:r w:rsidRPr="006F7A67">
              <w:rPr>
                <w:i/>
                <w:sz w:val="20"/>
              </w:rPr>
              <w:t>Individual and Family Assistance Regulation</w:t>
            </w:r>
            <w:r w:rsidRPr="006F7A67">
              <w:rPr>
                <w:sz w:val="20"/>
              </w:rPr>
              <w:t>, CQLR, c. A</w:t>
            </w:r>
            <w:r w:rsidRPr="006F7A67">
              <w:rPr>
                <w:sz w:val="20"/>
              </w:rPr>
              <w:noBreakHyphen/>
              <w:t>13.1.1, r. 1, s. 138.</w:t>
            </w:r>
          </w:p>
        </w:tc>
      </w:tr>
      <w:tr w:rsidR="00197F36" w:rsidRPr="006F7A67" w:rsidTr="0019255A">
        <w:tc>
          <w:tcPr>
            <w:tcW w:w="5000" w:type="pct"/>
            <w:gridSpan w:val="4"/>
          </w:tcPr>
          <w:p w:rsidR="00197F36" w:rsidRPr="006F7A67" w:rsidRDefault="00197F36" w:rsidP="0019255A">
            <w:pPr>
              <w:jc w:val="both"/>
              <w:rPr>
                <w:sz w:val="20"/>
              </w:rPr>
            </w:pPr>
          </w:p>
        </w:tc>
      </w:tr>
      <w:tr w:rsidR="00197F36" w:rsidRPr="006F7A67" w:rsidTr="0019255A">
        <w:tc>
          <w:tcPr>
            <w:tcW w:w="5000" w:type="pct"/>
            <w:gridSpan w:val="4"/>
          </w:tcPr>
          <w:p w:rsidR="00197F36" w:rsidRPr="006F7A67" w:rsidRDefault="00197F36" w:rsidP="0019255A">
            <w:pPr>
              <w:jc w:val="both"/>
              <w:rPr>
                <w:sz w:val="20"/>
              </w:rPr>
            </w:pPr>
            <w:r w:rsidRPr="006F7A67">
              <w:rPr>
                <w:sz w:val="20"/>
              </w:rPr>
              <w:t xml:space="preserve">In January 2014, the applicant Ms. Morency, a social assistance recipient under the </w:t>
            </w:r>
            <w:r w:rsidRPr="006F7A67">
              <w:rPr>
                <w:i/>
                <w:sz w:val="20"/>
              </w:rPr>
              <w:t>Individual and Family Assistance Act</w:t>
            </w:r>
            <w:r w:rsidRPr="006F7A67">
              <w:rPr>
                <w:sz w:val="20"/>
              </w:rPr>
              <w:t xml:space="preserve">, was the victim of a crime for which she later received an annuity as compensation for a permanent disability under the </w:t>
            </w:r>
            <w:r w:rsidRPr="006F7A67">
              <w:rPr>
                <w:i/>
                <w:sz w:val="20"/>
              </w:rPr>
              <w:t>Crime Victims Compensation Act</w:t>
            </w:r>
            <w:r w:rsidRPr="006F7A67">
              <w:rPr>
                <w:sz w:val="20"/>
              </w:rPr>
              <w:t>, CQLR, c. I</w:t>
            </w:r>
            <w:r w:rsidRPr="006F7A67">
              <w:rPr>
                <w:sz w:val="20"/>
              </w:rPr>
              <w:noBreakHyphen/>
              <w:t xml:space="preserve">6. The applicant Mr. Sapojnikov was the victim of crimes in 2011 and 2012, as a result of which he subsequently received an annuity under the </w:t>
            </w:r>
            <w:r w:rsidRPr="006F7A67">
              <w:rPr>
                <w:i/>
                <w:sz w:val="20"/>
              </w:rPr>
              <w:t>Crime Victims Compensation Act</w:t>
            </w:r>
            <w:r w:rsidRPr="006F7A67">
              <w:rPr>
                <w:sz w:val="20"/>
              </w:rPr>
              <w:t xml:space="preserve">. In 2015, he made an application for financial assistance under the </w:t>
            </w:r>
            <w:r w:rsidRPr="006F7A67">
              <w:rPr>
                <w:i/>
                <w:sz w:val="20"/>
              </w:rPr>
              <w:t>Individual and Family Assistance Act</w:t>
            </w:r>
            <w:r w:rsidRPr="006F7A67">
              <w:rPr>
                <w:sz w:val="20"/>
              </w:rPr>
              <w:t xml:space="preserve">, which was granted. The applicant Mr. MacKinnon was the victim of a crime in 2010, when he was already receiving assistance under the </w:t>
            </w:r>
            <w:r w:rsidRPr="006F7A67">
              <w:rPr>
                <w:i/>
                <w:sz w:val="20"/>
              </w:rPr>
              <w:t>Individual and Family Assistance Act</w:t>
            </w:r>
            <w:r w:rsidRPr="006F7A67">
              <w:rPr>
                <w:sz w:val="20"/>
              </w:rPr>
              <w:t xml:space="preserve">. He then filed an application under the </w:t>
            </w:r>
            <w:r w:rsidRPr="006F7A67">
              <w:rPr>
                <w:i/>
                <w:sz w:val="20"/>
              </w:rPr>
              <w:t>Crime Victims Compensation Act</w:t>
            </w:r>
            <w:r w:rsidRPr="006F7A67">
              <w:rPr>
                <w:sz w:val="20"/>
              </w:rPr>
              <w:t xml:space="preserve">, which was ultimately granted. The applicants brought proceedings — which were heard together — before the respondent Administrative Tribunal of Québec to challenge, among other things, the fact that the monthly annuity paid under the </w:t>
            </w:r>
            <w:r w:rsidRPr="006F7A67">
              <w:rPr>
                <w:i/>
                <w:sz w:val="20"/>
              </w:rPr>
              <w:t xml:space="preserve">Crime Victims Compensation Act </w:t>
            </w:r>
            <w:r w:rsidRPr="006F7A67">
              <w:rPr>
                <w:sz w:val="20"/>
              </w:rPr>
              <w:t xml:space="preserve">is included in calculating the benefits to be paid under the </w:t>
            </w:r>
            <w:r w:rsidRPr="006F7A67">
              <w:rPr>
                <w:i/>
                <w:sz w:val="20"/>
              </w:rPr>
              <w:t>Individual and Family Assistance Act</w:t>
            </w:r>
            <w:r w:rsidRPr="006F7A67">
              <w:rPr>
                <w:sz w:val="20"/>
              </w:rPr>
              <w:t>.</w:t>
            </w:r>
          </w:p>
          <w:p w:rsidR="00197F36" w:rsidRPr="006F7A67" w:rsidRDefault="00197F36" w:rsidP="0019255A">
            <w:pPr>
              <w:jc w:val="both"/>
              <w:rPr>
                <w:sz w:val="20"/>
              </w:rPr>
            </w:pPr>
          </w:p>
          <w:p w:rsidR="00197F36" w:rsidRPr="006F7A67" w:rsidRDefault="00197F36" w:rsidP="0019255A">
            <w:pPr>
              <w:jc w:val="both"/>
              <w:rPr>
                <w:sz w:val="20"/>
              </w:rPr>
            </w:pPr>
            <w:r w:rsidRPr="006F7A67">
              <w:rPr>
                <w:sz w:val="20"/>
              </w:rPr>
              <w:t>The Administrative Tribunal of Q</w:t>
            </w:r>
            <w:r w:rsidR="00C02188" w:rsidRPr="006F7A67">
              <w:rPr>
                <w:sz w:val="20"/>
              </w:rPr>
              <w:t>u</w:t>
            </w:r>
            <w:r w:rsidRPr="006F7A67">
              <w:rPr>
                <w:sz w:val="20"/>
              </w:rPr>
              <w:t xml:space="preserve">ébec confirmed the decisions made by the government in this regard. The Tribunal found that a benefit received for a permanent partial disability falls within s. 55 of the </w:t>
            </w:r>
            <w:r w:rsidRPr="006F7A67">
              <w:rPr>
                <w:i/>
                <w:sz w:val="20"/>
              </w:rPr>
              <w:t>Individual and Family Assistance Act</w:t>
            </w:r>
            <w:r w:rsidRPr="006F7A67">
              <w:rPr>
                <w:sz w:val="20"/>
              </w:rPr>
              <w:t xml:space="preserve">. It rejected the applicants’ argument that, through s. 138(11) of the </w:t>
            </w:r>
            <w:r w:rsidRPr="006F7A67">
              <w:rPr>
                <w:i/>
                <w:sz w:val="20"/>
              </w:rPr>
              <w:t>Individual and Family Assistance Regulation</w:t>
            </w:r>
            <w:r w:rsidRPr="006F7A67">
              <w:rPr>
                <w:sz w:val="20"/>
              </w:rPr>
              <w:t>, the legislature has expressed its intention that the annuity payment for a permanent disability be excluded, in whole or up to a certain amount, from the calculation of individual and family assistance benefits. The Superior Court dismissed the applicants’ applications for judicial review. The Court of Appeal dismissed the applicants’ motion for leave to appeal.</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September 13, 2017</w:t>
            </w:r>
          </w:p>
          <w:p w:rsidR="00197F36" w:rsidRPr="006F7A67" w:rsidRDefault="00197F36" w:rsidP="0019255A">
            <w:pPr>
              <w:jc w:val="both"/>
              <w:rPr>
                <w:sz w:val="20"/>
              </w:rPr>
            </w:pPr>
            <w:r w:rsidRPr="006F7A67">
              <w:rPr>
                <w:sz w:val="20"/>
              </w:rPr>
              <w:t>Administrative Tribunal of Québec</w:t>
            </w:r>
          </w:p>
          <w:p w:rsidR="00197F36" w:rsidRPr="006F7A67" w:rsidRDefault="00197F36" w:rsidP="0019255A">
            <w:pPr>
              <w:jc w:val="both"/>
              <w:rPr>
                <w:sz w:val="20"/>
              </w:rPr>
            </w:pPr>
            <w:r w:rsidRPr="006F7A67">
              <w:rPr>
                <w:sz w:val="20"/>
              </w:rPr>
              <w:t>(Administrative Judges Côté and Gilbert)</w:t>
            </w:r>
          </w:p>
          <w:p w:rsidR="00197F36" w:rsidRPr="006F7A67" w:rsidRDefault="00300F06" w:rsidP="0019255A">
            <w:pPr>
              <w:jc w:val="both"/>
              <w:rPr>
                <w:sz w:val="20"/>
              </w:rPr>
            </w:pPr>
            <w:hyperlink r:id="rId11" w:history="1">
              <w:r w:rsidR="00197F36" w:rsidRPr="006F7A67">
                <w:rPr>
                  <w:rStyle w:val="Hyperlink"/>
                  <w:sz w:val="20"/>
                </w:rPr>
                <w:t>2017 QCTAQ 0963</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Applicants’ proceedings against decisions made by Minister of Employment and Social Solidarity on February 18, 2016, January 19, 2016, September 11, 2015 and October 18, 2016 dismissed</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February 18, 2019</w:t>
            </w:r>
          </w:p>
          <w:p w:rsidR="00197F36" w:rsidRPr="006F7A67" w:rsidRDefault="00197F36" w:rsidP="0019255A">
            <w:pPr>
              <w:jc w:val="both"/>
              <w:rPr>
                <w:sz w:val="20"/>
              </w:rPr>
            </w:pPr>
            <w:r w:rsidRPr="006F7A67">
              <w:rPr>
                <w:sz w:val="20"/>
              </w:rPr>
              <w:t>Quebec Superior Court</w:t>
            </w:r>
          </w:p>
          <w:p w:rsidR="00197F36" w:rsidRPr="006F7A67" w:rsidRDefault="00197F36" w:rsidP="0019255A">
            <w:pPr>
              <w:jc w:val="both"/>
              <w:rPr>
                <w:sz w:val="20"/>
              </w:rPr>
            </w:pPr>
            <w:r w:rsidRPr="006F7A67">
              <w:rPr>
                <w:sz w:val="20"/>
              </w:rPr>
              <w:t>(</w:t>
            </w:r>
            <w:proofErr w:type="spellStart"/>
            <w:r w:rsidRPr="006F7A67">
              <w:rPr>
                <w:sz w:val="20"/>
              </w:rPr>
              <w:t>Gouin</w:t>
            </w:r>
            <w:proofErr w:type="spellEnd"/>
            <w:r w:rsidRPr="006F7A67">
              <w:rPr>
                <w:sz w:val="20"/>
              </w:rPr>
              <w:t xml:space="preserve"> J.)</w:t>
            </w:r>
          </w:p>
          <w:p w:rsidR="00197F36" w:rsidRPr="006F7A67" w:rsidRDefault="00300F06" w:rsidP="0019255A">
            <w:pPr>
              <w:jc w:val="both"/>
              <w:rPr>
                <w:sz w:val="20"/>
              </w:rPr>
            </w:pPr>
            <w:hyperlink r:id="rId12" w:history="1">
              <w:r w:rsidR="00197F36" w:rsidRPr="006F7A67">
                <w:rPr>
                  <w:rStyle w:val="Hyperlink"/>
                  <w:sz w:val="20"/>
                </w:rPr>
                <w:t>2019 QCCS 463</w:t>
              </w:r>
            </w:hyperlink>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Applicants’ applications for judicial review dismissed</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April 18, 2019</w:t>
            </w:r>
          </w:p>
          <w:p w:rsidR="00197F36" w:rsidRPr="006F7A67" w:rsidRDefault="00197F36" w:rsidP="0019255A">
            <w:pPr>
              <w:jc w:val="both"/>
              <w:rPr>
                <w:sz w:val="20"/>
              </w:rPr>
            </w:pPr>
            <w:r w:rsidRPr="006F7A67">
              <w:rPr>
                <w:sz w:val="20"/>
              </w:rPr>
              <w:t>Quebec Court of Appeal (Montréal)</w:t>
            </w:r>
          </w:p>
          <w:p w:rsidR="00197F36" w:rsidRPr="006F7A67" w:rsidRDefault="00197F36" w:rsidP="0019255A">
            <w:pPr>
              <w:jc w:val="both"/>
              <w:rPr>
                <w:sz w:val="20"/>
              </w:rPr>
            </w:pPr>
            <w:r w:rsidRPr="006F7A67">
              <w:rPr>
                <w:sz w:val="20"/>
              </w:rPr>
              <w:t>(Savard J.A.)</w:t>
            </w:r>
          </w:p>
          <w:p w:rsidR="00197F36" w:rsidRPr="006F7A67" w:rsidRDefault="00300F06" w:rsidP="0019255A">
            <w:pPr>
              <w:jc w:val="both"/>
              <w:rPr>
                <w:sz w:val="20"/>
              </w:rPr>
            </w:pPr>
            <w:hyperlink r:id="rId13" w:history="1">
              <w:r w:rsidR="00197F36" w:rsidRPr="006F7A67">
                <w:rPr>
                  <w:rStyle w:val="Hyperlink"/>
                  <w:sz w:val="20"/>
                </w:rPr>
                <w:t>2019 QCCA 719</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Motion for leave to appeal dismissed</w:t>
            </w:r>
          </w:p>
          <w:p w:rsidR="00197F36" w:rsidRPr="006F7A67" w:rsidRDefault="00197F36" w:rsidP="0019255A">
            <w:pPr>
              <w:jc w:val="both"/>
              <w:rPr>
                <w:sz w:val="20"/>
              </w:rPr>
            </w:pPr>
          </w:p>
        </w:tc>
      </w:tr>
    </w:tbl>
    <w:p w:rsidR="001B43BD" w:rsidRPr="006F7A67" w:rsidRDefault="001B43BD">
      <w:r w:rsidRPr="006F7A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7F36" w:rsidRPr="006F7A67" w:rsidTr="0019255A">
        <w:tc>
          <w:tcPr>
            <w:tcW w:w="2427" w:type="pct"/>
          </w:tcPr>
          <w:p w:rsidR="00197F36" w:rsidRPr="006F7A67" w:rsidRDefault="00197F36" w:rsidP="0019255A">
            <w:pPr>
              <w:jc w:val="both"/>
              <w:rPr>
                <w:sz w:val="20"/>
              </w:rPr>
            </w:pPr>
            <w:r w:rsidRPr="006F7A67">
              <w:rPr>
                <w:sz w:val="20"/>
              </w:rPr>
              <w:t>June 14, 2019</w:t>
            </w:r>
          </w:p>
          <w:p w:rsidR="00197F36" w:rsidRPr="006F7A67" w:rsidRDefault="00197F36" w:rsidP="0019255A">
            <w:pPr>
              <w:jc w:val="both"/>
              <w:rPr>
                <w:sz w:val="20"/>
              </w:rPr>
            </w:pPr>
            <w:r w:rsidRPr="006F7A67">
              <w:rPr>
                <w:sz w:val="20"/>
              </w:rPr>
              <w:t>Supreme Court of Canada</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leave to appeal filed</w:t>
            </w:r>
          </w:p>
          <w:p w:rsidR="00197F36" w:rsidRPr="006F7A67" w:rsidRDefault="00197F36" w:rsidP="0019255A">
            <w:pPr>
              <w:jc w:val="both"/>
              <w:rPr>
                <w:sz w:val="20"/>
              </w:rPr>
            </w:pP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27"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38691</w:t>
            </w:r>
          </w:p>
        </w:tc>
        <w:tc>
          <w:tcPr>
            <w:tcW w:w="4457" w:type="pct"/>
            <w:gridSpan w:val="3"/>
          </w:tcPr>
          <w:p w:rsidR="00197F36" w:rsidRPr="006F7A67" w:rsidRDefault="00197F36" w:rsidP="0019255A">
            <w:pPr>
              <w:pStyle w:val="SCCLsocParty"/>
              <w:jc w:val="both"/>
              <w:rPr>
                <w:b/>
                <w:sz w:val="20"/>
                <w:szCs w:val="20"/>
              </w:rPr>
            </w:pPr>
            <w:r w:rsidRPr="006F7A67">
              <w:rPr>
                <w:b/>
                <w:sz w:val="20"/>
                <w:szCs w:val="20"/>
              </w:rPr>
              <w:t>Johanne Morency, Ronald MacKinnon</w:t>
            </w:r>
            <w:r w:rsidR="004C65F5" w:rsidRPr="006F7A67">
              <w:rPr>
                <w:b/>
                <w:sz w:val="20"/>
                <w:szCs w:val="20"/>
              </w:rPr>
              <w:t xml:space="preserve"> et</w:t>
            </w:r>
            <w:r w:rsidRPr="006F7A67">
              <w:rPr>
                <w:b/>
                <w:sz w:val="20"/>
                <w:szCs w:val="20"/>
              </w:rPr>
              <w:t xml:space="preserve"> Vladimir Sapojnikov c. Tribunal administratif du Québec</w:t>
            </w:r>
            <w:r w:rsidR="004C65F5" w:rsidRPr="006F7A67">
              <w:rPr>
                <w:b/>
                <w:sz w:val="20"/>
                <w:szCs w:val="20"/>
              </w:rPr>
              <w:t xml:space="preserve"> et</w:t>
            </w:r>
            <w:r w:rsidRPr="006F7A67">
              <w:rPr>
                <w:b/>
                <w:sz w:val="20"/>
                <w:szCs w:val="20"/>
              </w:rPr>
              <w:t xml:space="preserve"> procureure générale du Québec</w:t>
            </w:r>
          </w:p>
          <w:p w:rsidR="00197F36" w:rsidRPr="006F7A67" w:rsidRDefault="00197F36" w:rsidP="0019255A">
            <w:pPr>
              <w:jc w:val="both"/>
              <w:rPr>
                <w:sz w:val="20"/>
              </w:rPr>
            </w:pPr>
            <w:r w:rsidRPr="006F7A67">
              <w:rPr>
                <w:sz w:val="20"/>
              </w:rPr>
              <w:t>(Qc) (Civile) (Autorisation)</w:t>
            </w:r>
          </w:p>
        </w:tc>
      </w:tr>
      <w:tr w:rsidR="004C65F5" w:rsidRPr="00300F06" w:rsidTr="0019255A">
        <w:tc>
          <w:tcPr>
            <w:tcW w:w="5000" w:type="pct"/>
            <w:gridSpan w:val="4"/>
          </w:tcPr>
          <w:p w:rsidR="004C65F5" w:rsidRPr="006F7A67" w:rsidRDefault="004C65F5" w:rsidP="004C65F5">
            <w:pPr>
              <w:jc w:val="both"/>
              <w:rPr>
                <w:sz w:val="20"/>
                <w:szCs w:val="20"/>
                <w:lang w:val="fr-CA"/>
              </w:rPr>
            </w:pPr>
            <w:r w:rsidRPr="006F7A67">
              <w:rPr>
                <w:sz w:val="20"/>
                <w:szCs w:val="20"/>
                <w:lang w:val="fr-CA"/>
              </w:rPr>
              <w:t>La demande d’autorisation d’appel de l’arrêt de la Cour d’appel du Québec (Montréal), numéro 500-09-028176-196, 2019 QCCA 719, daté du 18 avril 2019, est rejet</w:t>
            </w:r>
            <w:r w:rsidRPr="006F7A67">
              <w:rPr>
                <w:rFonts w:cs="Times New Roman"/>
                <w:sz w:val="20"/>
                <w:szCs w:val="20"/>
                <w:lang w:val="fr-CA"/>
              </w:rPr>
              <w:t>é</w:t>
            </w:r>
            <w:r w:rsidRPr="006F7A67">
              <w:rPr>
                <w:sz w:val="20"/>
                <w:szCs w:val="20"/>
                <w:lang w:val="fr-CA"/>
              </w:rPr>
              <w:t>e.</w:t>
            </w:r>
          </w:p>
          <w:p w:rsidR="004C65F5" w:rsidRPr="006F7A67" w:rsidRDefault="004C65F5" w:rsidP="0019255A">
            <w:pPr>
              <w:jc w:val="both"/>
              <w:rPr>
                <w:sz w:val="20"/>
                <w:lang w:val="fr-CA"/>
              </w:rPr>
            </w:pPr>
          </w:p>
        </w:tc>
      </w:tr>
      <w:tr w:rsidR="00197F36" w:rsidRPr="00300F06" w:rsidTr="0019255A">
        <w:tc>
          <w:tcPr>
            <w:tcW w:w="5000" w:type="pct"/>
            <w:gridSpan w:val="4"/>
          </w:tcPr>
          <w:p w:rsidR="00197F36" w:rsidRPr="006F7A67" w:rsidRDefault="00197F36" w:rsidP="0019255A">
            <w:pPr>
              <w:jc w:val="both"/>
              <w:rPr>
                <w:sz w:val="20"/>
                <w:lang w:val="fr-CA"/>
              </w:rPr>
            </w:pPr>
            <w:r w:rsidRPr="006F7A67">
              <w:rPr>
                <w:sz w:val="20"/>
                <w:lang w:val="fr-CA"/>
              </w:rPr>
              <w:t xml:space="preserve">Droit social — Aide sociale — Indemnisation des victimes d’actes criminels — Législation —Interprétation — Droit administratif — Contrôle judiciaire — La qualification juridique de la rente pour incapacité partielle permanente versée mensuellement par la Direction de l’indemnisation des victimes d’actes criminels à titre d’ « avantage de toute nature » au sens de l’art. 55 de la </w:t>
            </w:r>
            <w:r w:rsidRPr="006F7A67">
              <w:rPr>
                <w:i/>
                <w:sz w:val="20"/>
                <w:lang w:val="fr-CA"/>
              </w:rPr>
              <w:t>Loi sur l’aide aux personnes et aux familles</w:t>
            </w:r>
            <w:r w:rsidRPr="006F7A67">
              <w:rPr>
                <w:sz w:val="20"/>
                <w:lang w:val="fr-CA"/>
              </w:rPr>
              <w:t xml:space="preserve"> retenue par le Tribunal administratif du Québec plutôt qu’à titre de « sommes accordées pour compenser une perte d’intégrité physique ou psychologique » au sens de l’art. 138(11) du </w:t>
            </w:r>
            <w:r w:rsidRPr="006F7A67">
              <w:rPr>
                <w:i/>
                <w:sz w:val="20"/>
                <w:lang w:val="fr-CA"/>
              </w:rPr>
              <w:t>Règlement sur l’aide aux personnes et aux familles</w:t>
            </w:r>
            <w:r w:rsidRPr="006F7A67">
              <w:rPr>
                <w:sz w:val="20"/>
                <w:lang w:val="fr-CA"/>
              </w:rPr>
              <w:t xml:space="preserve"> est</w:t>
            </w:r>
            <w:r w:rsidRPr="006F7A67">
              <w:rPr>
                <w:sz w:val="20"/>
                <w:lang w:val="fr-CA"/>
              </w:rPr>
              <w:noBreakHyphen/>
              <w:t xml:space="preserve">elle déraisonnable? — </w:t>
            </w:r>
            <w:r w:rsidRPr="006F7A67">
              <w:rPr>
                <w:i/>
                <w:sz w:val="20"/>
                <w:lang w:val="fr-CA"/>
              </w:rPr>
              <w:t>Loi sur l’aide aux personnes et aux familles</w:t>
            </w:r>
            <w:r w:rsidRPr="006F7A67">
              <w:rPr>
                <w:sz w:val="20"/>
                <w:lang w:val="fr-CA"/>
              </w:rPr>
              <w:t xml:space="preserve"> (RLRQ, chapitre A</w:t>
            </w:r>
            <w:r w:rsidRPr="006F7A67">
              <w:rPr>
                <w:sz w:val="20"/>
                <w:lang w:val="fr-CA"/>
              </w:rPr>
              <w:noBreakHyphen/>
              <w:t xml:space="preserve">13.1.1), art. 55 — </w:t>
            </w:r>
            <w:r w:rsidRPr="006F7A67">
              <w:rPr>
                <w:i/>
                <w:sz w:val="20"/>
                <w:lang w:val="fr-CA"/>
              </w:rPr>
              <w:t>Règlement sur l’aide aux personnes et aux familles</w:t>
            </w:r>
            <w:r w:rsidRPr="006F7A67">
              <w:rPr>
                <w:b/>
                <w:i/>
                <w:sz w:val="20"/>
                <w:lang w:val="fr-CA"/>
              </w:rPr>
              <w:t xml:space="preserve"> </w:t>
            </w:r>
            <w:r w:rsidRPr="006F7A67">
              <w:rPr>
                <w:sz w:val="20"/>
                <w:lang w:val="fr-CA"/>
              </w:rPr>
              <w:t>(RLRQ, chapitre A</w:t>
            </w:r>
            <w:r w:rsidRPr="006F7A67">
              <w:rPr>
                <w:sz w:val="20"/>
                <w:lang w:val="fr-CA"/>
              </w:rPr>
              <w:noBreakHyphen/>
              <w:t>13.1.1, r. 1), art. 138.</w:t>
            </w:r>
          </w:p>
        </w:tc>
      </w:tr>
      <w:tr w:rsidR="00197F36" w:rsidRPr="00300F06" w:rsidTr="0019255A">
        <w:tc>
          <w:tcPr>
            <w:tcW w:w="5000" w:type="pct"/>
            <w:gridSpan w:val="4"/>
          </w:tcPr>
          <w:p w:rsidR="00197F36" w:rsidRPr="006F7A67" w:rsidRDefault="00197F36" w:rsidP="0019255A">
            <w:pPr>
              <w:jc w:val="both"/>
              <w:rPr>
                <w:sz w:val="20"/>
                <w:lang w:val="fr-CA"/>
              </w:rPr>
            </w:pPr>
          </w:p>
        </w:tc>
      </w:tr>
      <w:tr w:rsidR="00197F36" w:rsidRPr="00300F06" w:rsidTr="0019255A">
        <w:tc>
          <w:tcPr>
            <w:tcW w:w="5000" w:type="pct"/>
            <w:gridSpan w:val="4"/>
          </w:tcPr>
          <w:p w:rsidR="00197F36" w:rsidRPr="006F7A67" w:rsidRDefault="00197F36" w:rsidP="0019255A">
            <w:pPr>
              <w:jc w:val="both"/>
              <w:rPr>
                <w:sz w:val="20"/>
                <w:lang w:val="fr-CA"/>
              </w:rPr>
            </w:pPr>
            <w:r w:rsidRPr="006F7A67">
              <w:rPr>
                <w:sz w:val="20"/>
                <w:lang w:val="fr-CA"/>
              </w:rPr>
              <w:t xml:space="preserve">En janvier 2014, la demanderesse Mme Morency, prestataire d’aide sociale aux termes de la </w:t>
            </w:r>
            <w:r w:rsidRPr="006F7A67">
              <w:rPr>
                <w:i/>
                <w:sz w:val="20"/>
                <w:lang w:val="fr-CA"/>
              </w:rPr>
              <w:t>Loi sur l’aide aux personnes et aux familles</w:t>
            </w:r>
            <w:r w:rsidRPr="006F7A67">
              <w:rPr>
                <w:sz w:val="20"/>
                <w:lang w:val="fr-CA"/>
              </w:rPr>
              <w:t xml:space="preserve">, est victime d’un acte criminel pour lequel elle recevra une rente à titre d’indemnisation pour incapacité permanente en vertu de la </w:t>
            </w:r>
            <w:r w:rsidRPr="006F7A67">
              <w:rPr>
                <w:i/>
                <w:sz w:val="20"/>
                <w:lang w:val="fr-CA"/>
              </w:rPr>
              <w:t xml:space="preserve">Loi sur l’indemnisation des victimes d’actes criminels </w:t>
            </w:r>
            <w:r w:rsidRPr="006F7A67">
              <w:rPr>
                <w:sz w:val="20"/>
                <w:lang w:val="fr-CA"/>
              </w:rPr>
              <w:t>(RLRQ, chapitre A</w:t>
            </w:r>
            <w:r w:rsidRPr="006F7A67">
              <w:rPr>
                <w:sz w:val="20"/>
                <w:lang w:val="fr-CA"/>
              </w:rPr>
              <w:noBreakHyphen/>
              <w:t xml:space="preserve">13.1.1). Le demandeur M. Sapojnikov a quant à lui été victime d’actes criminels en 2011 et 2012 en raison desquels il reçoit subséquemment une rente sous la </w:t>
            </w:r>
            <w:r w:rsidRPr="006F7A67">
              <w:rPr>
                <w:i/>
                <w:sz w:val="20"/>
                <w:lang w:val="fr-CA"/>
              </w:rPr>
              <w:t>Loi sur l’indemnisation des victimes d’actes criminels</w:t>
            </w:r>
            <w:r w:rsidRPr="006F7A67">
              <w:rPr>
                <w:sz w:val="20"/>
                <w:lang w:val="fr-CA"/>
              </w:rPr>
              <w:t xml:space="preserve">. En 2015, il fait une demande d’aide financière en vertu de la </w:t>
            </w:r>
            <w:r w:rsidRPr="006F7A67">
              <w:rPr>
                <w:i/>
                <w:sz w:val="20"/>
                <w:lang w:val="fr-CA"/>
              </w:rPr>
              <w:t>Loi sur l’aide aux personnes et aux familles</w:t>
            </w:r>
            <w:r w:rsidRPr="006F7A67">
              <w:rPr>
                <w:sz w:val="20"/>
                <w:lang w:val="fr-CA"/>
              </w:rPr>
              <w:t xml:space="preserve">, laquelle est accueillie. Le demandeur M. MacKinnon a été victime d’un acte criminel en 2010, alors qu’il recevait déjà une aide en vertu de la </w:t>
            </w:r>
            <w:r w:rsidRPr="006F7A67">
              <w:rPr>
                <w:i/>
                <w:sz w:val="20"/>
                <w:lang w:val="fr-CA"/>
              </w:rPr>
              <w:t>Loi sur l’aide aux personnes et aux familles</w:t>
            </w:r>
            <w:r w:rsidRPr="006F7A67">
              <w:rPr>
                <w:sz w:val="20"/>
                <w:lang w:val="fr-CA"/>
              </w:rPr>
              <w:t xml:space="preserve">. Il dépose alors une demande en vertu de la </w:t>
            </w:r>
            <w:r w:rsidRPr="006F7A67">
              <w:rPr>
                <w:i/>
                <w:sz w:val="20"/>
                <w:lang w:val="fr-CA"/>
              </w:rPr>
              <w:t>Loi sur l’indemnisation des victimes d’actes criminels</w:t>
            </w:r>
            <w:r w:rsidRPr="006F7A67">
              <w:rPr>
                <w:sz w:val="20"/>
                <w:lang w:val="fr-CA"/>
              </w:rPr>
              <w:t xml:space="preserve">, laquelle est éventuellement accueillie. Les demandeurs logent des recours auprès du Tribunal administratif du Québec, intimé, — lesquels font l’objet d’une audition commune — où ils contestent notamment le fait que la rente mensuelle versée sous la </w:t>
            </w:r>
            <w:r w:rsidRPr="006F7A67">
              <w:rPr>
                <w:i/>
                <w:sz w:val="20"/>
                <w:lang w:val="fr-CA"/>
              </w:rPr>
              <w:t>Loi sur l’indemnisation des victimes d’actes criminels</w:t>
            </w:r>
            <w:r w:rsidRPr="006F7A67">
              <w:rPr>
                <w:sz w:val="20"/>
                <w:lang w:val="fr-CA"/>
              </w:rPr>
              <w:t xml:space="preserve"> soit comptabilisée lors du calcul de prestations à accorder sous la </w:t>
            </w:r>
            <w:r w:rsidRPr="006F7A67">
              <w:rPr>
                <w:i/>
                <w:sz w:val="20"/>
                <w:lang w:val="fr-CA"/>
              </w:rPr>
              <w:t>Loi sur l’aide aux personnes et aux familles</w:t>
            </w:r>
            <w:r w:rsidRPr="006F7A67">
              <w:rPr>
                <w:sz w:val="20"/>
                <w:lang w:val="fr-CA"/>
              </w:rPr>
              <w:t>.</w:t>
            </w:r>
          </w:p>
          <w:p w:rsidR="00197F36" w:rsidRPr="006F7A67" w:rsidRDefault="00197F36" w:rsidP="0019255A">
            <w:pPr>
              <w:jc w:val="both"/>
              <w:rPr>
                <w:sz w:val="20"/>
                <w:lang w:val="fr-CA"/>
              </w:rPr>
            </w:pPr>
          </w:p>
          <w:p w:rsidR="00197F36" w:rsidRPr="006F7A67" w:rsidRDefault="00197F36" w:rsidP="0019255A">
            <w:pPr>
              <w:jc w:val="both"/>
              <w:rPr>
                <w:sz w:val="20"/>
                <w:lang w:val="fr-CA"/>
              </w:rPr>
            </w:pPr>
            <w:r w:rsidRPr="006F7A67">
              <w:rPr>
                <w:sz w:val="20"/>
                <w:lang w:val="fr-CA"/>
              </w:rPr>
              <w:t xml:space="preserve">Le Tribunal administratif du Québec confirme les décisions rendues par l’administration à cet égard. Le Tribunal estime qu’une prestation reçue pour une incapacité partielle permanente est comprise à l’art. 55 de la </w:t>
            </w:r>
            <w:r w:rsidRPr="006F7A67">
              <w:rPr>
                <w:i/>
                <w:sz w:val="20"/>
                <w:lang w:val="fr-CA"/>
              </w:rPr>
              <w:t>Loi sur l’aide aux personnes et aux familles</w:t>
            </w:r>
            <w:r w:rsidRPr="006F7A67">
              <w:rPr>
                <w:sz w:val="20"/>
                <w:lang w:val="fr-CA"/>
              </w:rPr>
              <w:t xml:space="preserve">. Le Tribunal rejette la thèse des demandeurs selon laquelle à travers l’art. 138(11) du </w:t>
            </w:r>
            <w:r w:rsidRPr="006F7A67">
              <w:rPr>
                <w:i/>
                <w:sz w:val="20"/>
                <w:lang w:val="fr-CA"/>
              </w:rPr>
              <w:t>Règlement sur l’aide aux personnes et aux familles</w:t>
            </w:r>
            <w:r w:rsidRPr="006F7A67">
              <w:rPr>
                <w:sz w:val="20"/>
                <w:lang w:val="fr-CA"/>
              </w:rPr>
              <w:t xml:space="preserve">, le législateur ait manifesté son intention d’exclure en tout ou jusqu’à concurrence d’une certaine somme le versement de la rente pour incapacité permanente du calcul des prestations d’aide aux personnes et aux familles. La Cour supérieure rejette les pourvois en contrôle judiciaire des demandeurs. La Cour d’appel rejette la requête pour permission d’appeler des demandeurs. </w:t>
            </w:r>
          </w:p>
          <w:p w:rsidR="00197F36" w:rsidRPr="006F7A67" w:rsidRDefault="00197F36" w:rsidP="0019255A">
            <w:pPr>
              <w:jc w:val="both"/>
              <w:rPr>
                <w:sz w:val="20"/>
                <w:lang w:val="fr-CA"/>
              </w:rPr>
            </w:pPr>
          </w:p>
        </w:tc>
      </w:tr>
      <w:tr w:rsidR="00197F36" w:rsidRPr="00300F06" w:rsidTr="0019255A">
        <w:tc>
          <w:tcPr>
            <w:tcW w:w="2427" w:type="pct"/>
            <w:gridSpan w:val="2"/>
          </w:tcPr>
          <w:p w:rsidR="00197F36" w:rsidRPr="006F7A67" w:rsidRDefault="00197F36" w:rsidP="0019255A">
            <w:pPr>
              <w:jc w:val="both"/>
              <w:rPr>
                <w:sz w:val="20"/>
                <w:lang w:val="fr-CA"/>
              </w:rPr>
            </w:pPr>
            <w:r w:rsidRPr="006F7A67">
              <w:rPr>
                <w:sz w:val="20"/>
                <w:lang w:val="fr-CA"/>
              </w:rPr>
              <w:t>Le 13 septembre 2017</w:t>
            </w:r>
          </w:p>
          <w:p w:rsidR="00197F36" w:rsidRPr="006F7A67" w:rsidRDefault="00197F36" w:rsidP="0019255A">
            <w:pPr>
              <w:jc w:val="both"/>
              <w:rPr>
                <w:sz w:val="20"/>
                <w:lang w:val="fr-CA"/>
              </w:rPr>
            </w:pPr>
            <w:r w:rsidRPr="006F7A67">
              <w:rPr>
                <w:sz w:val="20"/>
                <w:lang w:val="fr-CA"/>
              </w:rPr>
              <w:t>Tribunal administratif du Québec</w:t>
            </w:r>
          </w:p>
          <w:p w:rsidR="00197F36" w:rsidRPr="006F7A67" w:rsidRDefault="00197F36" w:rsidP="0019255A">
            <w:pPr>
              <w:jc w:val="both"/>
              <w:rPr>
                <w:sz w:val="20"/>
                <w:lang w:val="fr-CA"/>
              </w:rPr>
            </w:pPr>
            <w:r w:rsidRPr="006F7A67">
              <w:rPr>
                <w:sz w:val="20"/>
                <w:lang w:val="fr-CA"/>
              </w:rPr>
              <w:t>(les juges administratifs Côté et Gilbert)</w:t>
            </w:r>
          </w:p>
          <w:p w:rsidR="00197F36" w:rsidRPr="006F7A67" w:rsidRDefault="00300F06" w:rsidP="0019255A">
            <w:pPr>
              <w:jc w:val="both"/>
              <w:rPr>
                <w:sz w:val="20"/>
              </w:rPr>
            </w:pPr>
            <w:hyperlink r:id="rId14" w:history="1">
              <w:r w:rsidR="00197F36" w:rsidRPr="006F7A67">
                <w:rPr>
                  <w:rStyle w:val="Hyperlink"/>
                  <w:sz w:val="20"/>
                </w:rPr>
                <w:t>2017 QCTAQ 0963</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lang w:val="fr-CA"/>
              </w:rPr>
            </w:pPr>
            <w:r w:rsidRPr="006F7A67">
              <w:rPr>
                <w:sz w:val="20"/>
                <w:lang w:val="fr-CA"/>
              </w:rPr>
              <w:t xml:space="preserve">Recours des demandeurs à l’encontre de décisions du ministre de l’Emploi et de la Solidarité sociale rendues les 18 février 2016, 19 janvier 2016, 11 septembre 2015, et 18 octobre 2016, rejetés </w:t>
            </w:r>
          </w:p>
          <w:p w:rsidR="00197F36" w:rsidRPr="006F7A67" w:rsidRDefault="00197F36" w:rsidP="0019255A">
            <w:pPr>
              <w:jc w:val="both"/>
              <w:rPr>
                <w:sz w:val="20"/>
                <w:lang w:val="fr-CA"/>
              </w:rPr>
            </w:pPr>
          </w:p>
        </w:tc>
      </w:tr>
      <w:tr w:rsidR="00197F36" w:rsidRPr="00300F06" w:rsidTr="0019255A">
        <w:tc>
          <w:tcPr>
            <w:tcW w:w="2427" w:type="pct"/>
            <w:gridSpan w:val="2"/>
          </w:tcPr>
          <w:p w:rsidR="00197F36" w:rsidRPr="006F7A67" w:rsidRDefault="00197F36" w:rsidP="0019255A">
            <w:pPr>
              <w:jc w:val="both"/>
              <w:rPr>
                <w:sz w:val="20"/>
                <w:lang w:val="fr-CA"/>
              </w:rPr>
            </w:pPr>
            <w:r w:rsidRPr="006F7A67">
              <w:rPr>
                <w:sz w:val="20"/>
                <w:lang w:val="fr-CA"/>
              </w:rPr>
              <w:t>Le 18 février 2019</w:t>
            </w:r>
          </w:p>
          <w:p w:rsidR="00197F36" w:rsidRPr="006F7A67" w:rsidRDefault="00197F36" w:rsidP="0019255A">
            <w:pPr>
              <w:jc w:val="both"/>
              <w:rPr>
                <w:sz w:val="20"/>
                <w:lang w:val="fr-CA"/>
              </w:rPr>
            </w:pPr>
            <w:r w:rsidRPr="006F7A67">
              <w:rPr>
                <w:sz w:val="20"/>
                <w:lang w:val="fr-CA"/>
              </w:rPr>
              <w:t>Cour supérieure du Québec</w:t>
            </w:r>
          </w:p>
          <w:p w:rsidR="00197F36" w:rsidRPr="006F7A67" w:rsidRDefault="00197F36" w:rsidP="0019255A">
            <w:pPr>
              <w:jc w:val="both"/>
              <w:rPr>
                <w:sz w:val="20"/>
              </w:rPr>
            </w:pPr>
            <w:r w:rsidRPr="006F7A67">
              <w:rPr>
                <w:sz w:val="20"/>
              </w:rPr>
              <w:t xml:space="preserve">(le juge </w:t>
            </w:r>
            <w:proofErr w:type="spellStart"/>
            <w:r w:rsidRPr="006F7A67">
              <w:rPr>
                <w:sz w:val="20"/>
              </w:rPr>
              <w:t>Gouin</w:t>
            </w:r>
            <w:proofErr w:type="spellEnd"/>
            <w:r w:rsidRPr="006F7A67">
              <w:rPr>
                <w:sz w:val="20"/>
              </w:rPr>
              <w:t>)</w:t>
            </w:r>
          </w:p>
          <w:p w:rsidR="00197F36" w:rsidRPr="006F7A67" w:rsidRDefault="00300F06" w:rsidP="0019255A">
            <w:pPr>
              <w:jc w:val="both"/>
              <w:rPr>
                <w:rStyle w:val="Hyperlink"/>
                <w:sz w:val="20"/>
              </w:rPr>
            </w:pPr>
            <w:hyperlink r:id="rId15" w:history="1">
              <w:r w:rsidR="00197F36" w:rsidRPr="006F7A67">
                <w:rPr>
                  <w:rStyle w:val="Hyperlink"/>
                  <w:sz w:val="20"/>
                </w:rPr>
                <w:t>2019 QCCS 463</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lang w:val="fr-CA"/>
              </w:rPr>
            </w:pPr>
            <w:r w:rsidRPr="006F7A67">
              <w:rPr>
                <w:sz w:val="20"/>
                <w:lang w:val="fr-CA"/>
              </w:rPr>
              <w:t>Pourvois en contrôle judiciaire des demandeurs rejetés</w:t>
            </w:r>
          </w:p>
          <w:p w:rsidR="00197F36" w:rsidRPr="006F7A67" w:rsidRDefault="00197F36" w:rsidP="0019255A">
            <w:pPr>
              <w:jc w:val="both"/>
              <w:rPr>
                <w:sz w:val="20"/>
                <w:lang w:val="fr-CA"/>
              </w:rPr>
            </w:pPr>
          </w:p>
        </w:tc>
      </w:tr>
      <w:tr w:rsidR="00197F36" w:rsidRPr="006F7A67" w:rsidTr="0019255A">
        <w:tc>
          <w:tcPr>
            <w:tcW w:w="2427" w:type="pct"/>
            <w:gridSpan w:val="2"/>
          </w:tcPr>
          <w:p w:rsidR="00197F36" w:rsidRPr="006F7A67" w:rsidRDefault="00197F36" w:rsidP="0019255A">
            <w:pPr>
              <w:jc w:val="both"/>
              <w:rPr>
                <w:sz w:val="20"/>
                <w:lang w:val="fr-CA"/>
              </w:rPr>
            </w:pPr>
            <w:r w:rsidRPr="006F7A67">
              <w:rPr>
                <w:sz w:val="20"/>
                <w:lang w:val="fr-CA"/>
              </w:rPr>
              <w:t>Le 18 avril 2019</w:t>
            </w:r>
          </w:p>
          <w:p w:rsidR="00197F36" w:rsidRPr="006F7A67" w:rsidRDefault="00197F36" w:rsidP="0019255A">
            <w:pPr>
              <w:jc w:val="both"/>
              <w:rPr>
                <w:sz w:val="20"/>
                <w:lang w:val="fr-CA"/>
              </w:rPr>
            </w:pPr>
            <w:r w:rsidRPr="006F7A67">
              <w:rPr>
                <w:sz w:val="20"/>
                <w:lang w:val="fr-CA"/>
              </w:rPr>
              <w:t>Cour d’appel du Québec (Montréal)</w:t>
            </w:r>
          </w:p>
          <w:p w:rsidR="00197F36" w:rsidRPr="006F7A67" w:rsidRDefault="00197F36" w:rsidP="0019255A">
            <w:pPr>
              <w:jc w:val="both"/>
              <w:rPr>
                <w:sz w:val="20"/>
              </w:rPr>
            </w:pPr>
            <w:r w:rsidRPr="006F7A67">
              <w:rPr>
                <w:sz w:val="20"/>
              </w:rPr>
              <w:t>(la juge Savard)</w:t>
            </w:r>
          </w:p>
          <w:p w:rsidR="00197F36" w:rsidRPr="006F7A67" w:rsidRDefault="00300F06" w:rsidP="0019255A">
            <w:pPr>
              <w:jc w:val="both"/>
              <w:rPr>
                <w:sz w:val="20"/>
              </w:rPr>
            </w:pPr>
            <w:hyperlink r:id="rId16" w:history="1">
              <w:r w:rsidR="00197F36" w:rsidRPr="006F7A67">
                <w:rPr>
                  <w:rStyle w:val="Hyperlink"/>
                  <w:sz w:val="20"/>
                </w:rPr>
                <w:t>2019 QCCA 719</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 xml:space="preserve">Requête pour permission </w:t>
            </w:r>
            <w:proofErr w:type="spellStart"/>
            <w:r w:rsidRPr="006F7A67">
              <w:rPr>
                <w:sz w:val="20"/>
              </w:rPr>
              <w:t>d’appeler</w:t>
            </w:r>
            <w:proofErr w:type="spellEnd"/>
            <w:r w:rsidRPr="006F7A67">
              <w:rPr>
                <w:sz w:val="20"/>
              </w:rPr>
              <w:t xml:space="preserve"> rejetée</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lang w:val="fr-CA"/>
              </w:rPr>
            </w:pPr>
            <w:r w:rsidRPr="006F7A67">
              <w:rPr>
                <w:sz w:val="20"/>
                <w:lang w:val="fr-CA"/>
              </w:rPr>
              <w:t>Le 14 juin 2019</w:t>
            </w:r>
          </w:p>
          <w:p w:rsidR="00197F36" w:rsidRPr="006F7A67" w:rsidRDefault="00197F36" w:rsidP="0019255A">
            <w:pPr>
              <w:jc w:val="both"/>
              <w:rPr>
                <w:sz w:val="20"/>
                <w:lang w:val="fr-CA"/>
              </w:rPr>
            </w:pPr>
            <w:r w:rsidRPr="006F7A67">
              <w:rPr>
                <w:sz w:val="20"/>
                <w:lang w:val="fr-CA"/>
              </w:rPr>
              <w:t>Cour suprême du Canada</w:t>
            </w: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rPr>
            </w:pPr>
            <w:r w:rsidRPr="006F7A67">
              <w:rPr>
                <w:sz w:val="20"/>
              </w:rPr>
              <w:t>Demande d'autorisation d'appel déposée</w:t>
            </w:r>
          </w:p>
          <w:p w:rsidR="00197F36" w:rsidRPr="006F7A67" w:rsidRDefault="00197F36" w:rsidP="0019255A">
            <w:pPr>
              <w:jc w:val="both"/>
              <w:rPr>
                <w:sz w:val="20"/>
              </w:rPr>
            </w:pP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28"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38820</w:t>
            </w:r>
          </w:p>
        </w:tc>
        <w:tc>
          <w:tcPr>
            <w:tcW w:w="4457" w:type="pct"/>
            <w:gridSpan w:val="3"/>
          </w:tcPr>
          <w:p w:rsidR="00197F36" w:rsidRPr="006F7A67" w:rsidRDefault="002C594B" w:rsidP="002C594B">
            <w:pPr>
              <w:pStyle w:val="SCCLsocParty"/>
              <w:jc w:val="both"/>
              <w:rPr>
                <w:b/>
                <w:sz w:val="20"/>
                <w:szCs w:val="20"/>
                <w:lang w:val="en-CA"/>
              </w:rPr>
            </w:pPr>
            <w:r w:rsidRPr="006F7A67">
              <w:rPr>
                <w:b/>
                <w:sz w:val="20"/>
                <w:szCs w:val="20"/>
                <w:lang w:val="en-CA"/>
              </w:rPr>
              <w:t>TELUS Mobility and TELUS Communications Company</w:t>
            </w:r>
            <w:r w:rsidR="00197F36" w:rsidRPr="006F7A67">
              <w:rPr>
                <w:b/>
                <w:sz w:val="20"/>
                <w:szCs w:val="20"/>
                <w:lang w:val="en-CA"/>
              </w:rPr>
              <w:t xml:space="preserve"> v. Éric Masson</w:t>
            </w:r>
            <w:r w:rsidRPr="006F7A67">
              <w:rPr>
                <w:b/>
                <w:sz w:val="20"/>
                <w:szCs w:val="20"/>
                <w:lang w:val="en-CA"/>
              </w:rPr>
              <w:t xml:space="preserve"> and</w:t>
            </w:r>
            <w:r w:rsidR="00197F36" w:rsidRPr="006F7A67">
              <w:rPr>
                <w:b/>
                <w:sz w:val="20"/>
                <w:szCs w:val="20"/>
                <w:lang w:val="en-CA"/>
              </w:rPr>
              <w:t xml:space="preserve"> Claude Gauthier</w:t>
            </w:r>
          </w:p>
          <w:p w:rsidR="00197F36" w:rsidRPr="006F7A67" w:rsidRDefault="00197F36" w:rsidP="0019255A">
            <w:pPr>
              <w:jc w:val="both"/>
              <w:rPr>
                <w:sz w:val="20"/>
              </w:rPr>
            </w:pPr>
            <w:r w:rsidRPr="006F7A67">
              <w:rPr>
                <w:sz w:val="20"/>
              </w:rPr>
              <w:t>(Que.) (Civil) (By Leave)</w:t>
            </w:r>
          </w:p>
        </w:tc>
      </w:tr>
      <w:tr w:rsidR="002C594B" w:rsidRPr="006F7A67" w:rsidTr="0019255A">
        <w:tc>
          <w:tcPr>
            <w:tcW w:w="5000" w:type="pct"/>
            <w:gridSpan w:val="4"/>
          </w:tcPr>
          <w:p w:rsidR="002C594B" w:rsidRPr="006F7A67" w:rsidRDefault="002C594B" w:rsidP="0019255A">
            <w:pPr>
              <w:jc w:val="both"/>
              <w:rPr>
                <w:sz w:val="20"/>
                <w:szCs w:val="20"/>
              </w:rPr>
            </w:pPr>
            <w:r w:rsidRPr="006F7A67">
              <w:rPr>
                <w:sz w:val="20"/>
                <w:szCs w:val="20"/>
              </w:rPr>
              <w:t xml:space="preserve">The application for leave to appeal from the judgment of the </w:t>
            </w:r>
            <w:r w:rsidRPr="006F7A67">
              <w:rPr>
                <w:sz w:val="20"/>
                <w:szCs w:val="20"/>
                <w:lang w:val="en-US"/>
              </w:rPr>
              <w:t>Court of Appeal of Quebec (Québec)</w:t>
            </w:r>
            <w:r w:rsidRPr="006F7A67">
              <w:rPr>
                <w:sz w:val="20"/>
                <w:szCs w:val="20"/>
              </w:rPr>
              <w:t xml:space="preserve">, Number </w:t>
            </w:r>
            <w:r w:rsidRPr="006F7A67">
              <w:rPr>
                <w:sz w:val="20"/>
                <w:szCs w:val="20"/>
                <w:lang w:val="en-US"/>
              </w:rPr>
              <w:t>200-09-009450-179, 2019 QCCA 1106</w:t>
            </w:r>
            <w:r w:rsidRPr="006F7A67">
              <w:rPr>
                <w:sz w:val="20"/>
                <w:szCs w:val="20"/>
              </w:rPr>
              <w:t xml:space="preserve">, dated </w:t>
            </w:r>
            <w:r w:rsidRPr="006F7A67">
              <w:rPr>
                <w:sz w:val="20"/>
                <w:szCs w:val="20"/>
                <w:lang w:val="en-US"/>
              </w:rPr>
              <w:t>June 25, 2019</w:t>
            </w:r>
            <w:r w:rsidRPr="006F7A67">
              <w:rPr>
                <w:sz w:val="20"/>
                <w:szCs w:val="20"/>
              </w:rPr>
              <w:t xml:space="preserve"> is dismissed with costs. The application for leave to cross-appeal is dismissed without costs.</w:t>
            </w:r>
          </w:p>
          <w:p w:rsidR="002C594B" w:rsidRPr="006F7A67" w:rsidRDefault="002C594B" w:rsidP="0019255A">
            <w:pPr>
              <w:jc w:val="both"/>
              <w:rPr>
                <w:sz w:val="20"/>
              </w:rPr>
            </w:pPr>
          </w:p>
        </w:tc>
      </w:tr>
      <w:tr w:rsidR="00197F36" w:rsidRPr="006F7A67" w:rsidTr="0019255A">
        <w:tc>
          <w:tcPr>
            <w:tcW w:w="5000" w:type="pct"/>
            <w:gridSpan w:val="4"/>
          </w:tcPr>
          <w:p w:rsidR="00197F36" w:rsidRPr="006F7A67" w:rsidRDefault="00197F36" w:rsidP="0019255A">
            <w:pPr>
              <w:jc w:val="both"/>
              <w:rPr>
                <w:sz w:val="20"/>
              </w:rPr>
            </w:pPr>
            <w:r w:rsidRPr="006F7A67">
              <w:rPr>
                <w:sz w:val="20"/>
              </w:rPr>
              <w:t>Contracts — Contract for services — Resiliation costs — Method for calculating obligation exigible from members of class action — Amounts collected versus billed amounts — Consumer protection — Abusive clause — Civil procedure — Class actions — Class action brought against Telus by persons who had been charged fees upon resiliation of their fixed</w:t>
            </w:r>
            <w:r w:rsidRPr="006F7A67">
              <w:rPr>
                <w:sz w:val="20"/>
              </w:rPr>
              <w:noBreakHyphen/>
              <w:t xml:space="preserve">term contracts for wireless and wireline telephone services — Whether resiliation costs claimed under contract that slightly exceed actual damage caused by early resiliation of contract can be characterized as abusive — If so, how this conclusion can be reconciled with existence and validity of liquidated damages clauses — Method to be used to compare costs claimed with average injury sustained in context of class action, and appropriate remedy — Whether, given judicial admissions, trial judge erred in law in characterizing entirety of average discount for devices and of reductions for plans as actual injury sustained by Telus in context of contract of successive performance — </w:t>
            </w:r>
            <w:r w:rsidRPr="006F7A67">
              <w:rPr>
                <w:i/>
                <w:sz w:val="20"/>
              </w:rPr>
              <w:t>Civil Code of Québec</w:t>
            </w:r>
            <w:r w:rsidRPr="006F7A67">
              <w:rPr>
                <w:sz w:val="20"/>
              </w:rPr>
              <w:t xml:space="preserve">, arts. 1437, 1622, 1623, 2125, 2129 and 2852 — </w:t>
            </w:r>
            <w:r w:rsidRPr="006F7A67">
              <w:rPr>
                <w:i/>
                <w:sz w:val="20"/>
              </w:rPr>
              <w:t>Consumer Protection Act</w:t>
            </w:r>
            <w:r w:rsidRPr="006F7A67">
              <w:rPr>
                <w:sz w:val="20"/>
              </w:rPr>
              <w:t>, CQLR, c. P</w:t>
            </w:r>
            <w:r w:rsidRPr="006F7A67">
              <w:rPr>
                <w:sz w:val="20"/>
              </w:rPr>
              <w:noBreakHyphen/>
              <w:t>40.1, s. 8.</w:t>
            </w:r>
          </w:p>
        </w:tc>
      </w:tr>
      <w:tr w:rsidR="00197F36" w:rsidRPr="006F7A67" w:rsidTr="0019255A">
        <w:tc>
          <w:tcPr>
            <w:tcW w:w="5000" w:type="pct"/>
            <w:gridSpan w:val="4"/>
          </w:tcPr>
          <w:p w:rsidR="00197F36" w:rsidRPr="006F7A67" w:rsidRDefault="00197F36" w:rsidP="0019255A">
            <w:pPr>
              <w:jc w:val="both"/>
              <w:rPr>
                <w:sz w:val="20"/>
              </w:rPr>
            </w:pPr>
          </w:p>
        </w:tc>
      </w:tr>
      <w:tr w:rsidR="00197F36" w:rsidRPr="006F7A67" w:rsidTr="0019255A">
        <w:tc>
          <w:tcPr>
            <w:tcW w:w="5000" w:type="pct"/>
            <w:gridSpan w:val="4"/>
          </w:tcPr>
          <w:p w:rsidR="00197F36" w:rsidRPr="006F7A67" w:rsidRDefault="00197F36" w:rsidP="0019255A">
            <w:pPr>
              <w:jc w:val="both"/>
              <w:rPr>
                <w:sz w:val="20"/>
              </w:rPr>
            </w:pPr>
            <w:r w:rsidRPr="006F7A67">
              <w:rPr>
                <w:sz w:val="20"/>
              </w:rPr>
              <w:t xml:space="preserve">This application concerns a class action brought against Telus for reimbursement of amounts claimed under resiliation clauses in fixed-term contracts for telecommunications services. The representative plaintiffs in the action alleged that the clauses Telus had relied on to require payment of the claimed amounts were abusive within the meaning of article 1437 of the </w:t>
            </w:r>
            <w:r w:rsidRPr="006F7A67">
              <w:rPr>
                <w:i/>
                <w:sz w:val="20"/>
              </w:rPr>
              <w:t>Civil Code of Québec</w:t>
            </w:r>
            <w:r w:rsidRPr="006F7A67">
              <w:rPr>
                <w:sz w:val="20"/>
              </w:rPr>
              <w:t xml:space="preserve"> (C.C.Q.) and amounted to exploitation of the consumer within the meaning of section 8 of the </w:t>
            </w:r>
            <w:r w:rsidRPr="006F7A67">
              <w:rPr>
                <w:i/>
                <w:sz w:val="20"/>
              </w:rPr>
              <w:t>Consumer Protection Act</w:t>
            </w:r>
            <w:r w:rsidRPr="006F7A67">
              <w:rPr>
                <w:sz w:val="20"/>
              </w:rPr>
              <w:t>, CQLR, c. P</w:t>
            </w:r>
            <w:r w:rsidRPr="006F7A67">
              <w:rPr>
                <w:sz w:val="20"/>
              </w:rPr>
              <w:noBreakHyphen/>
              <w:t>40.1 (the “CPA”). The Superior Court dismissed the class action. In its view, the costs were not abusive within the meaning of article 1437 C.C.Q. and section 8 of the CPA, because they did not exceed the injury Telus had actually sustained (calculated on the basis of the collected amounts). The Court of Appeal allowed the class action in part. It held that the Superior Court had made a palpable and overriding error in establishing the obligation exigible from the members on the basis of the amounts collected by Telus (as opposed to the amounts claimed).</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January 17, 2017</w:t>
            </w:r>
          </w:p>
          <w:p w:rsidR="00197F36" w:rsidRPr="006F7A67" w:rsidRDefault="00197F36" w:rsidP="0019255A">
            <w:pPr>
              <w:jc w:val="both"/>
              <w:rPr>
                <w:sz w:val="20"/>
              </w:rPr>
            </w:pPr>
            <w:r w:rsidRPr="006F7A67">
              <w:rPr>
                <w:sz w:val="20"/>
              </w:rPr>
              <w:t>Quebec Superior Court</w:t>
            </w:r>
          </w:p>
          <w:p w:rsidR="00197F36" w:rsidRPr="006F7A67" w:rsidRDefault="00197F36" w:rsidP="0019255A">
            <w:pPr>
              <w:jc w:val="both"/>
              <w:rPr>
                <w:sz w:val="20"/>
              </w:rPr>
            </w:pPr>
            <w:r w:rsidRPr="006F7A67">
              <w:rPr>
                <w:sz w:val="20"/>
              </w:rPr>
              <w:t>(Samson J.)</w:t>
            </w:r>
          </w:p>
          <w:p w:rsidR="00197F36" w:rsidRPr="006F7A67" w:rsidRDefault="00300F06" w:rsidP="0019255A">
            <w:pPr>
              <w:jc w:val="both"/>
              <w:rPr>
                <w:sz w:val="20"/>
              </w:rPr>
            </w:pPr>
            <w:hyperlink r:id="rId17" w:history="1">
              <w:r w:rsidR="00197F36" w:rsidRPr="006F7A67">
                <w:rPr>
                  <w:rStyle w:val="Hyperlink"/>
                  <w:sz w:val="20"/>
                </w:rPr>
                <w:t>2017 QCCS 1675</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Class action dismissed</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June 25, 2019</w:t>
            </w:r>
          </w:p>
          <w:p w:rsidR="00197F36" w:rsidRPr="006F7A67" w:rsidRDefault="00197F36" w:rsidP="0019255A">
            <w:pPr>
              <w:jc w:val="both"/>
              <w:rPr>
                <w:sz w:val="20"/>
              </w:rPr>
            </w:pPr>
            <w:r w:rsidRPr="006F7A67">
              <w:rPr>
                <w:sz w:val="20"/>
              </w:rPr>
              <w:t>Quebec Court of Appeal (Québec)</w:t>
            </w:r>
          </w:p>
          <w:p w:rsidR="00197F36" w:rsidRPr="006F7A67" w:rsidRDefault="00197F36" w:rsidP="0019255A">
            <w:pPr>
              <w:jc w:val="both"/>
              <w:rPr>
                <w:sz w:val="20"/>
              </w:rPr>
            </w:pPr>
            <w:r w:rsidRPr="006F7A67">
              <w:rPr>
                <w:sz w:val="20"/>
              </w:rPr>
              <w:t xml:space="preserve">(Thibault, </w:t>
            </w:r>
            <w:proofErr w:type="spellStart"/>
            <w:r w:rsidRPr="006F7A67">
              <w:rPr>
                <w:sz w:val="20"/>
              </w:rPr>
              <w:t>Rancourt</w:t>
            </w:r>
            <w:proofErr w:type="spellEnd"/>
            <w:r w:rsidRPr="006F7A67">
              <w:rPr>
                <w:sz w:val="20"/>
              </w:rPr>
              <w:t xml:space="preserve"> and Roy JJ.A.)</w:t>
            </w:r>
          </w:p>
          <w:p w:rsidR="00197F36" w:rsidRPr="006F7A67" w:rsidRDefault="00197F36" w:rsidP="0019255A">
            <w:pPr>
              <w:jc w:val="both"/>
              <w:rPr>
                <w:sz w:val="20"/>
              </w:rPr>
            </w:pPr>
            <w:r w:rsidRPr="006F7A67">
              <w:rPr>
                <w:sz w:val="20"/>
              </w:rPr>
              <w:t>File No. 200</w:t>
            </w:r>
            <w:r w:rsidRPr="006F7A67">
              <w:rPr>
                <w:sz w:val="20"/>
              </w:rPr>
              <w:noBreakHyphen/>
              <w:t>09</w:t>
            </w:r>
            <w:r w:rsidRPr="006F7A67">
              <w:rPr>
                <w:sz w:val="20"/>
              </w:rPr>
              <w:noBreakHyphen/>
              <w:t>009450</w:t>
            </w:r>
            <w:r w:rsidRPr="006F7A67">
              <w:rPr>
                <w:sz w:val="20"/>
              </w:rPr>
              <w:noBreakHyphen/>
              <w:t>179</w:t>
            </w:r>
          </w:p>
          <w:p w:rsidR="00197F36" w:rsidRPr="006F7A67" w:rsidRDefault="00300F06" w:rsidP="0019255A">
            <w:pPr>
              <w:jc w:val="both"/>
              <w:rPr>
                <w:sz w:val="20"/>
              </w:rPr>
            </w:pPr>
            <w:hyperlink r:id="rId18" w:history="1">
              <w:r w:rsidR="00197F36" w:rsidRPr="006F7A67">
                <w:rPr>
                  <w:rStyle w:val="Hyperlink"/>
                  <w:sz w:val="20"/>
                </w:rPr>
                <w:t>2019 QCCA 1106</w:t>
              </w:r>
            </w:hyperlink>
            <w:r w:rsidR="00197F36" w:rsidRPr="006F7A67">
              <w:rPr>
                <w:sz w:val="20"/>
              </w:rPr>
              <w:t xml:space="preserve"> </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Appeal allowed in part; Trial court’s judgment set aside; Class action allowed in part; Two resiliation clauses declared to be abusive; Individual recovery of claims ordered; Case returned to trial judge to determine procedure for reimbursement of members who had paid resiliation costs greater than $226.71 in case of Telus Mobility and greater than $201.38 in case of Telus Communications Company</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September 24, 2019</w:t>
            </w:r>
          </w:p>
          <w:p w:rsidR="00197F36" w:rsidRPr="006F7A67" w:rsidRDefault="00197F36" w:rsidP="0019255A">
            <w:pPr>
              <w:jc w:val="both"/>
              <w:rPr>
                <w:sz w:val="20"/>
              </w:rPr>
            </w:pPr>
            <w:r w:rsidRPr="006F7A67">
              <w:rPr>
                <w:sz w:val="20"/>
              </w:rPr>
              <w:t>Supreme Court of Canada</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leave to appeal filed</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November 1, 2019</w:t>
            </w:r>
          </w:p>
          <w:p w:rsidR="00197F36" w:rsidRPr="006F7A67" w:rsidRDefault="00197F36" w:rsidP="0019255A">
            <w:pPr>
              <w:jc w:val="both"/>
              <w:rPr>
                <w:sz w:val="20"/>
              </w:rPr>
            </w:pPr>
            <w:r w:rsidRPr="006F7A67">
              <w:rPr>
                <w:sz w:val="20"/>
              </w:rPr>
              <w:t>Supreme Court of Canada</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leave to cross</w:t>
            </w:r>
            <w:r w:rsidRPr="006F7A67">
              <w:rPr>
                <w:sz w:val="20"/>
              </w:rPr>
              <w:noBreakHyphen/>
              <w:t>appeal filed</w:t>
            </w: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29"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38820</w:t>
            </w:r>
          </w:p>
        </w:tc>
        <w:tc>
          <w:tcPr>
            <w:tcW w:w="4457" w:type="pct"/>
            <w:gridSpan w:val="3"/>
          </w:tcPr>
          <w:p w:rsidR="00197F36" w:rsidRPr="006F7A67" w:rsidRDefault="002C594B" w:rsidP="0019255A">
            <w:pPr>
              <w:pStyle w:val="SCCLsocParty"/>
              <w:jc w:val="both"/>
              <w:rPr>
                <w:b/>
                <w:sz w:val="20"/>
                <w:szCs w:val="20"/>
              </w:rPr>
            </w:pPr>
            <w:r w:rsidRPr="006F7A67">
              <w:rPr>
                <w:b/>
                <w:sz w:val="20"/>
                <w:szCs w:val="20"/>
              </w:rPr>
              <w:t>TELUS Mobilité et Société TELUS Communications</w:t>
            </w:r>
            <w:r w:rsidR="00197F36" w:rsidRPr="006F7A67">
              <w:rPr>
                <w:b/>
                <w:sz w:val="20"/>
                <w:szCs w:val="20"/>
              </w:rPr>
              <w:t xml:space="preserve"> c. Éric Masson</w:t>
            </w:r>
            <w:r w:rsidRPr="006F7A67">
              <w:rPr>
                <w:b/>
                <w:sz w:val="20"/>
                <w:szCs w:val="20"/>
              </w:rPr>
              <w:t xml:space="preserve"> et</w:t>
            </w:r>
            <w:r w:rsidR="00197F36" w:rsidRPr="006F7A67">
              <w:rPr>
                <w:b/>
                <w:sz w:val="20"/>
                <w:szCs w:val="20"/>
              </w:rPr>
              <w:t xml:space="preserve"> Claude Gauthier</w:t>
            </w:r>
          </w:p>
          <w:p w:rsidR="00197F36" w:rsidRPr="006F7A67" w:rsidRDefault="00197F36" w:rsidP="0019255A">
            <w:pPr>
              <w:jc w:val="both"/>
              <w:rPr>
                <w:sz w:val="20"/>
              </w:rPr>
            </w:pPr>
            <w:r w:rsidRPr="006F7A67">
              <w:rPr>
                <w:sz w:val="20"/>
              </w:rPr>
              <w:t>(Qc) (Civile) (Autorisation)</w:t>
            </w:r>
          </w:p>
        </w:tc>
      </w:tr>
      <w:tr w:rsidR="002C594B" w:rsidRPr="006F7A67" w:rsidTr="0019255A">
        <w:tc>
          <w:tcPr>
            <w:tcW w:w="5000" w:type="pct"/>
            <w:gridSpan w:val="4"/>
          </w:tcPr>
          <w:p w:rsidR="002C594B" w:rsidRPr="006F7A67" w:rsidRDefault="002C594B" w:rsidP="0019255A">
            <w:pPr>
              <w:jc w:val="both"/>
              <w:rPr>
                <w:rFonts w:cs="Times New Roman"/>
                <w:sz w:val="20"/>
                <w:szCs w:val="20"/>
              </w:rPr>
            </w:pPr>
            <w:r w:rsidRPr="006F7A67">
              <w:rPr>
                <w:sz w:val="20"/>
                <w:szCs w:val="20"/>
                <w:lang w:val="fr-CA"/>
              </w:rPr>
              <w:t>La demande d’autorisation d’appel de l’arrêt de la Cour d’appel du Québec (Québec), numéro 200-09-009450-179, 2019 QCCA 1106, daté du 25 juin 2019, est rejet</w:t>
            </w:r>
            <w:r w:rsidRPr="006F7A67">
              <w:rPr>
                <w:rFonts w:cs="Times New Roman"/>
                <w:sz w:val="20"/>
                <w:szCs w:val="20"/>
                <w:lang w:val="fr-CA"/>
              </w:rPr>
              <w:t>é</w:t>
            </w:r>
            <w:r w:rsidRPr="006F7A67">
              <w:rPr>
                <w:sz w:val="20"/>
                <w:szCs w:val="20"/>
                <w:lang w:val="fr-CA"/>
              </w:rPr>
              <w:t>e avec d</w:t>
            </w:r>
            <w:r w:rsidRPr="006F7A67">
              <w:rPr>
                <w:rFonts w:cs="Times New Roman"/>
                <w:sz w:val="20"/>
                <w:szCs w:val="20"/>
                <w:lang w:val="fr-CA"/>
              </w:rPr>
              <w:t>é</w:t>
            </w:r>
            <w:r w:rsidRPr="006F7A67">
              <w:rPr>
                <w:sz w:val="20"/>
                <w:szCs w:val="20"/>
                <w:lang w:val="fr-CA"/>
              </w:rPr>
              <w:t xml:space="preserve">pens. </w:t>
            </w:r>
            <w:r w:rsidRPr="006F7A67">
              <w:rPr>
                <w:sz w:val="20"/>
                <w:szCs w:val="20"/>
              </w:rPr>
              <w:t>La demande d’autorisation d’appel incident est rejet</w:t>
            </w:r>
            <w:r w:rsidRPr="006F7A67">
              <w:rPr>
                <w:rFonts w:cs="Times New Roman"/>
                <w:sz w:val="20"/>
                <w:szCs w:val="20"/>
              </w:rPr>
              <w:t>ée sans dépens.</w:t>
            </w:r>
          </w:p>
          <w:p w:rsidR="002C594B" w:rsidRPr="006F7A67" w:rsidRDefault="002C594B" w:rsidP="0019255A">
            <w:pPr>
              <w:jc w:val="both"/>
              <w:rPr>
                <w:sz w:val="20"/>
                <w:lang w:val="fr-CA"/>
              </w:rPr>
            </w:pPr>
          </w:p>
        </w:tc>
      </w:tr>
      <w:tr w:rsidR="00197F36" w:rsidRPr="00300F06" w:rsidTr="0019255A">
        <w:tc>
          <w:tcPr>
            <w:tcW w:w="5000" w:type="pct"/>
            <w:gridSpan w:val="4"/>
          </w:tcPr>
          <w:p w:rsidR="00197F36" w:rsidRPr="006F7A67" w:rsidRDefault="00197F36" w:rsidP="0019255A">
            <w:pPr>
              <w:jc w:val="both"/>
              <w:rPr>
                <w:sz w:val="20"/>
                <w:lang w:val="fr-CA"/>
              </w:rPr>
            </w:pPr>
            <w:r w:rsidRPr="006F7A67">
              <w:rPr>
                <w:sz w:val="20"/>
                <w:lang w:val="fr-CA"/>
              </w:rPr>
              <w:t xml:space="preserve">Contrats — Contrat de service — Frais de résiliation — Méthode de calcul de la prestation exigible des membres du recours collectif — Sommes collectées versus sommes facturées — Protection du consommateur — Clause abusive — Procédure civile — Recours collectifs — Action collective intentée contre Telus par personnes à qui des frais avaient été imposés </w:t>
            </w:r>
            <w:r w:rsidRPr="006F7A67">
              <w:rPr>
                <w:sz w:val="20"/>
                <w:lang w:val="fr-FR"/>
              </w:rPr>
              <w:t xml:space="preserve">lors de la résiliation de leur contrat à durée déterminée de téléphonie sans fil et de téléphonie filaire </w:t>
            </w:r>
            <w:r w:rsidRPr="006F7A67">
              <w:rPr>
                <w:sz w:val="20"/>
                <w:lang w:val="fr-CA"/>
              </w:rPr>
              <w:t>— Est</w:t>
            </w:r>
            <w:r w:rsidRPr="006F7A67">
              <w:rPr>
                <w:sz w:val="20"/>
                <w:lang w:val="fr-CA"/>
              </w:rPr>
              <w:noBreakHyphen/>
              <w:t>ce que des frais de résiliation réclamés en vertu d’un contrat qui excèdent moindrement les dommages réels causés par la résiliation anticipée du contrat peuvent</w:t>
            </w:r>
            <w:r w:rsidRPr="006F7A67">
              <w:rPr>
                <w:sz w:val="20"/>
                <w:lang w:val="fr-CA"/>
              </w:rPr>
              <w:noBreakHyphen/>
              <w:t>ils être qualifiés d’abusifs? — Si tel est le cas, comment cette conclusion peut</w:t>
            </w:r>
            <w:r w:rsidRPr="006F7A67">
              <w:rPr>
                <w:sz w:val="20"/>
                <w:lang w:val="fr-CA"/>
              </w:rPr>
              <w:noBreakHyphen/>
              <w:t>elle s’harmoniser avec l’existence et la validité des clauses de dommages liquidés? — Comment doit</w:t>
            </w:r>
            <w:r w:rsidRPr="006F7A67">
              <w:rPr>
                <w:sz w:val="20"/>
                <w:lang w:val="fr-CA"/>
              </w:rPr>
              <w:noBreakHyphen/>
              <w:t>on établir la comparaison entre les frais réclamés et le préjudice moyen subi dans le cadre d’une action collective et quel est le remède approprié? — Considérant les aveux judiciaires, le juge de première instance a</w:t>
            </w:r>
            <w:r w:rsidRPr="006F7A67">
              <w:rPr>
                <w:sz w:val="20"/>
                <w:lang w:val="fr-CA"/>
              </w:rPr>
              <w:noBreakHyphen/>
              <w:t>t</w:t>
            </w:r>
            <w:r w:rsidRPr="006F7A67">
              <w:rPr>
                <w:sz w:val="20"/>
                <w:lang w:val="fr-CA"/>
              </w:rPr>
              <w:noBreakHyphen/>
              <w:t xml:space="preserve">il erré en droit en qualifiant l’entièreté du rabais moyen sur les appareils et de réductions sur les forfaits de préjudice réel subi par Telus dans le cadre d’un contrat à exécution successive? — </w:t>
            </w:r>
            <w:r w:rsidRPr="006F7A67">
              <w:rPr>
                <w:i/>
                <w:sz w:val="20"/>
                <w:lang w:val="fr-CA"/>
              </w:rPr>
              <w:t>Code civil du Québec</w:t>
            </w:r>
            <w:r w:rsidRPr="006F7A67">
              <w:rPr>
                <w:sz w:val="20"/>
                <w:lang w:val="fr-CA"/>
              </w:rPr>
              <w:t xml:space="preserve">, arts. 1437, 1622, 1623, 2125, 2129 et 2852 — </w:t>
            </w:r>
            <w:r w:rsidRPr="006F7A67">
              <w:rPr>
                <w:i/>
                <w:sz w:val="20"/>
                <w:lang w:val="fr-CA"/>
              </w:rPr>
              <w:t>Loi sur la protection du consommateur</w:t>
            </w:r>
            <w:r w:rsidRPr="006F7A67">
              <w:rPr>
                <w:sz w:val="20"/>
                <w:lang w:val="fr-CA"/>
              </w:rPr>
              <w:t>, R.L.R.Q. c. P</w:t>
            </w:r>
            <w:r w:rsidRPr="006F7A67">
              <w:rPr>
                <w:sz w:val="20"/>
                <w:lang w:val="fr-CA"/>
              </w:rPr>
              <w:noBreakHyphen/>
              <w:t>40.1, art. 8.</w:t>
            </w:r>
          </w:p>
        </w:tc>
      </w:tr>
      <w:tr w:rsidR="00197F36" w:rsidRPr="00300F06" w:rsidTr="0019255A">
        <w:tc>
          <w:tcPr>
            <w:tcW w:w="5000" w:type="pct"/>
            <w:gridSpan w:val="4"/>
          </w:tcPr>
          <w:p w:rsidR="00197F36" w:rsidRPr="006F7A67" w:rsidRDefault="00197F36" w:rsidP="0019255A">
            <w:pPr>
              <w:jc w:val="both"/>
              <w:rPr>
                <w:sz w:val="20"/>
                <w:lang w:val="fr-CA"/>
              </w:rPr>
            </w:pPr>
          </w:p>
        </w:tc>
      </w:tr>
      <w:tr w:rsidR="00197F36" w:rsidRPr="00300F06" w:rsidTr="0019255A">
        <w:tc>
          <w:tcPr>
            <w:tcW w:w="5000" w:type="pct"/>
            <w:gridSpan w:val="4"/>
          </w:tcPr>
          <w:p w:rsidR="00197F36" w:rsidRPr="006F7A67" w:rsidRDefault="00197F36" w:rsidP="0019255A">
            <w:pPr>
              <w:jc w:val="both"/>
              <w:rPr>
                <w:sz w:val="20"/>
                <w:lang w:val="fr-CA"/>
              </w:rPr>
            </w:pPr>
            <w:r w:rsidRPr="006F7A67">
              <w:rPr>
                <w:sz w:val="20"/>
                <w:lang w:val="fr-CA"/>
              </w:rPr>
              <w:t xml:space="preserve">Il s’agit d’un recours collectif intenté contre Telus pour le remboursement de sommes réclamées en vertu de clauses de résiliation contenues dans des contrats de service de télécommunications à durée déterminée. Les représentants du recours allèguent que les clauses sur lesquelles Telus se fonde pour exiger les sommes réclamées sont abusives au sens de l’article 1437 du </w:t>
            </w:r>
            <w:r w:rsidRPr="006F7A67">
              <w:rPr>
                <w:i/>
                <w:sz w:val="20"/>
                <w:lang w:val="fr-CA"/>
              </w:rPr>
              <w:t>Code civil du Québec</w:t>
            </w:r>
            <w:r w:rsidRPr="006F7A67">
              <w:rPr>
                <w:sz w:val="20"/>
                <w:lang w:val="fr-CA"/>
              </w:rPr>
              <w:t xml:space="preserve"> (C.c.Q.) et équivalent à de l’exploitation du consommateur au sens de l’article 8 de la </w:t>
            </w:r>
            <w:r w:rsidRPr="006F7A67">
              <w:rPr>
                <w:i/>
                <w:sz w:val="20"/>
                <w:lang w:val="fr-CA"/>
              </w:rPr>
              <w:t>Loi sur la protection du consommateur</w:t>
            </w:r>
            <w:r w:rsidRPr="006F7A67">
              <w:rPr>
                <w:sz w:val="20"/>
                <w:lang w:val="fr-CA"/>
              </w:rPr>
              <w:t>, R.L.R.Q. c. P</w:t>
            </w:r>
            <w:r w:rsidRPr="006F7A67">
              <w:rPr>
                <w:sz w:val="20"/>
                <w:lang w:val="fr-CA"/>
              </w:rPr>
              <w:noBreakHyphen/>
              <w:t>40.1 (la « LPC »). La Cour supérieure a rejeté l’action collective. Pour la cour, les frais ne sont pas abusifs au sens des articles 1437 C.c.Q. et 8 de la LPC puisqu’ils n’excèdent pas le préjudice réellement subi par Telus (calculé en fonction des sommes collectées). La Cour d’appel a accueilli l’action collective en partie. Elle a considéré que la Cour supérieure a commis une erreur manifeste et déterminante en établissant la prestation exigible des membres en fonction des sommes perçues par Telus (par opposition aux sommes réclamées).</w:t>
            </w:r>
          </w:p>
          <w:p w:rsidR="00197F36" w:rsidRPr="006F7A67" w:rsidRDefault="00197F36" w:rsidP="0019255A">
            <w:pPr>
              <w:jc w:val="both"/>
              <w:rPr>
                <w:sz w:val="20"/>
                <w:lang w:val="fr-CA"/>
              </w:rPr>
            </w:pPr>
          </w:p>
        </w:tc>
      </w:tr>
      <w:tr w:rsidR="00197F36" w:rsidRPr="006F7A67" w:rsidTr="0019255A">
        <w:tc>
          <w:tcPr>
            <w:tcW w:w="2427" w:type="pct"/>
            <w:gridSpan w:val="2"/>
          </w:tcPr>
          <w:p w:rsidR="00197F36" w:rsidRPr="006F7A67" w:rsidRDefault="00197F36" w:rsidP="0019255A">
            <w:pPr>
              <w:jc w:val="both"/>
              <w:rPr>
                <w:sz w:val="20"/>
                <w:lang w:val="fr-CA"/>
              </w:rPr>
            </w:pPr>
            <w:r w:rsidRPr="006F7A67">
              <w:rPr>
                <w:sz w:val="20"/>
                <w:lang w:val="fr-CA"/>
              </w:rPr>
              <w:t>Le 17 janvier 2017</w:t>
            </w:r>
          </w:p>
          <w:p w:rsidR="00197F36" w:rsidRPr="006F7A67" w:rsidRDefault="00197F36" w:rsidP="0019255A">
            <w:pPr>
              <w:jc w:val="both"/>
              <w:rPr>
                <w:sz w:val="20"/>
                <w:lang w:val="fr-CA"/>
              </w:rPr>
            </w:pPr>
            <w:r w:rsidRPr="006F7A67">
              <w:rPr>
                <w:sz w:val="20"/>
                <w:lang w:val="fr-CA"/>
              </w:rPr>
              <w:t>Cour supérieure du Québec</w:t>
            </w:r>
          </w:p>
          <w:p w:rsidR="00197F36" w:rsidRPr="006F7A67" w:rsidRDefault="00197F36" w:rsidP="0019255A">
            <w:pPr>
              <w:jc w:val="both"/>
              <w:rPr>
                <w:sz w:val="20"/>
              </w:rPr>
            </w:pPr>
            <w:r w:rsidRPr="006F7A67">
              <w:rPr>
                <w:sz w:val="20"/>
              </w:rPr>
              <w:t>(le juge Samson)</w:t>
            </w:r>
          </w:p>
          <w:p w:rsidR="00197F36" w:rsidRPr="006F7A67" w:rsidRDefault="00300F06" w:rsidP="0019255A">
            <w:pPr>
              <w:jc w:val="both"/>
              <w:rPr>
                <w:sz w:val="20"/>
              </w:rPr>
            </w:pPr>
            <w:hyperlink r:id="rId19" w:history="1">
              <w:r w:rsidR="00197F36" w:rsidRPr="006F7A67">
                <w:rPr>
                  <w:rStyle w:val="Hyperlink"/>
                  <w:sz w:val="20"/>
                </w:rPr>
                <w:t>2017 QCCS 1675</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Action collective rejetée</w:t>
            </w:r>
          </w:p>
          <w:p w:rsidR="00197F36" w:rsidRPr="006F7A67" w:rsidRDefault="00197F36" w:rsidP="0019255A">
            <w:pPr>
              <w:jc w:val="both"/>
              <w:rPr>
                <w:sz w:val="20"/>
              </w:rPr>
            </w:pPr>
          </w:p>
        </w:tc>
      </w:tr>
    </w:tbl>
    <w:p w:rsidR="001A0C1D" w:rsidRPr="006F7A67" w:rsidRDefault="001A0C1D">
      <w:r w:rsidRPr="006F7A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7F36" w:rsidRPr="00300F06" w:rsidTr="0019255A">
        <w:tc>
          <w:tcPr>
            <w:tcW w:w="2427" w:type="pct"/>
          </w:tcPr>
          <w:p w:rsidR="00197F36" w:rsidRPr="006F7A67" w:rsidRDefault="00197F36" w:rsidP="0019255A">
            <w:pPr>
              <w:jc w:val="both"/>
              <w:rPr>
                <w:sz w:val="20"/>
                <w:lang w:val="fr-CA"/>
              </w:rPr>
            </w:pPr>
            <w:r w:rsidRPr="006F7A67">
              <w:rPr>
                <w:sz w:val="20"/>
                <w:lang w:val="fr-CA"/>
              </w:rPr>
              <w:t>Le 25 juin 2019</w:t>
            </w:r>
          </w:p>
          <w:p w:rsidR="00197F36" w:rsidRPr="006F7A67" w:rsidRDefault="00197F36" w:rsidP="0019255A">
            <w:pPr>
              <w:jc w:val="both"/>
              <w:rPr>
                <w:sz w:val="20"/>
                <w:lang w:val="fr-CA"/>
              </w:rPr>
            </w:pPr>
            <w:r w:rsidRPr="006F7A67">
              <w:rPr>
                <w:sz w:val="20"/>
                <w:lang w:val="fr-CA"/>
              </w:rPr>
              <w:t>Cour d’appel du Québec (Québec)</w:t>
            </w:r>
          </w:p>
          <w:p w:rsidR="00197F36" w:rsidRPr="006F7A67" w:rsidRDefault="00197F36" w:rsidP="0019255A">
            <w:pPr>
              <w:jc w:val="both"/>
              <w:rPr>
                <w:sz w:val="20"/>
                <w:lang w:val="fr-CA"/>
              </w:rPr>
            </w:pPr>
            <w:r w:rsidRPr="006F7A67">
              <w:rPr>
                <w:sz w:val="20"/>
                <w:lang w:val="fr-CA"/>
              </w:rPr>
              <w:t>(les juges Thibault, Rancourt et Roy)</w:t>
            </w:r>
          </w:p>
          <w:p w:rsidR="00197F36" w:rsidRPr="006F7A67" w:rsidRDefault="00197F36" w:rsidP="0019255A">
            <w:pPr>
              <w:jc w:val="both"/>
              <w:rPr>
                <w:sz w:val="20"/>
              </w:rPr>
            </w:pPr>
            <w:r w:rsidRPr="006F7A67">
              <w:rPr>
                <w:sz w:val="20"/>
              </w:rPr>
              <w:t>No. dossier 200</w:t>
            </w:r>
            <w:r w:rsidRPr="006F7A67">
              <w:rPr>
                <w:sz w:val="20"/>
              </w:rPr>
              <w:noBreakHyphen/>
              <w:t>09</w:t>
            </w:r>
            <w:r w:rsidRPr="006F7A67">
              <w:rPr>
                <w:sz w:val="20"/>
              </w:rPr>
              <w:noBreakHyphen/>
              <w:t>009450</w:t>
            </w:r>
            <w:r w:rsidRPr="006F7A67">
              <w:rPr>
                <w:sz w:val="20"/>
              </w:rPr>
              <w:noBreakHyphen/>
              <w:t>179</w:t>
            </w:r>
          </w:p>
          <w:p w:rsidR="00197F36" w:rsidRPr="006F7A67" w:rsidRDefault="00300F06" w:rsidP="0019255A">
            <w:pPr>
              <w:jc w:val="both"/>
              <w:rPr>
                <w:sz w:val="20"/>
              </w:rPr>
            </w:pPr>
            <w:hyperlink r:id="rId20" w:history="1">
              <w:r w:rsidR="00197F36" w:rsidRPr="006F7A67">
                <w:rPr>
                  <w:rStyle w:val="Hyperlink"/>
                  <w:sz w:val="20"/>
                </w:rPr>
                <w:t>2019 QCCA 1106</w:t>
              </w:r>
            </w:hyperlink>
            <w:r w:rsidR="00197F36" w:rsidRPr="006F7A67">
              <w:rPr>
                <w:sz w:val="20"/>
              </w:rPr>
              <w:t xml:space="preserve"> </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lang w:val="fr-FR"/>
              </w:rPr>
            </w:pPr>
            <w:r w:rsidRPr="006F7A67">
              <w:rPr>
                <w:sz w:val="20"/>
                <w:lang w:val="fr-CA"/>
              </w:rPr>
              <w:t xml:space="preserve">Appel accueilli en partie; Jugement de première instance infirmé; Action collective partiellement accueillie; Deux clauses de résiliation déclarées abusives; Recouvrement individuel des réclamations ordonné; Dossier retourné au juge d’instance pour fixer les modalités de remboursement des membres </w:t>
            </w:r>
            <w:r w:rsidRPr="006F7A67">
              <w:rPr>
                <w:sz w:val="20"/>
                <w:lang w:val="fr-FR"/>
              </w:rPr>
              <w:t>qui ont payé des frais de résiliation supérieurs à 226,71 $ dans le cas de Telus Mobilité et supérieurs à 201,38 $ dans le cas de Société Telus Communications</w:t>
            </w:r>
          </w:p>
          <w:p w:rsidR="00197F36" w:rsidRPr="006F7A67" w:rsidRDefault="00197F36" w:rsidP="0019255A">
            <w:pPr>
              <w:jc w:val="both"/>
              <w:rPr>
                <w:sz w:val="20"/>
                <w:lang w:val="fr-CA"/>
              </w:rPr>
            </w:pPr>
          </w:p>
        </w:tc>
      </w:tr>
      <w:tr w:rsidR="00197F36" w:rsidRPr="006F7A67" w:rsidTr="0019255A">
        <w:tc>
          <w:tcPr>
            <w:tcW w:w="2427" w:type="pct"/>
          </w:tcPr>
          <w:p w:rsidR="00197F36" w:rsidRPr="006F7A67" w:rsidRDefault="00197F36" w:rsidP="0019255A">
            <w:pPr>
              <w:jc w:val="both"/>
              <w:rPr>
                <w:sz w:val="20"/>
                <w:lang w:val="fr-CA"/>
              </w:rPr>
            </w:pPr>
            <w:r w:rsidRPr="006F7A67">
              <w:rPr>
                <w:sz w:val="20"/>
                <w:lang w:val="fr-CA"/>
              </w:rPr>
              <w:t>Le 24 septembre 2019</w:t>
            </w:r>
          </w:p>
          <w:p w:rsidR="00197F36" w:rsidRPr="006F7A67" w:rsidRDefault="00197F36" w:rsidP="0019255A">
            <w:pPr>
              <w:jc w:val="both"/>
              <w:rPr>
                <w:sz w:val="20"/>
                <w:lang w:val="fr-CA"/>
              </w:rPr>
            </w:pPr>
            <w:r w:rsidRPr="006F7A67">
              <w:rPr>
                <w:sz w:val="20"/>
                <w:lang w:val="fr-CA"/>
              </w:rPr>
              <w:t>Cour suprême du Canada</w:t>
            </w:r>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rPr>
            </w:pPr>
            <w:r w:rsidRPr="006F7A67">
              <w:rPr>
                <w:sz w:val="20"/>
              </w:rPr>
              <w:t>Demande d’autorisation d’appel déposée</w:t>
            </w:r>
          </w:p>
          <w:p w:rsidR="00197F36" w:rsidRPr="006F7A67" w:rsidRDefault="00197F36" w:rsidP="0019255A">
            <w:pPr>
              <w:jc w:val="both"/>
              <w:rPr>
                <w:sz w:val="20"/>
              </w:rPr>
            </w:pPr>
          </w:p>
        </w:tc>
      </w:tr>
      <w:tr w:rsidR="00197F36" w:rsidRPr="00300F06" w:rsidTr="0019255A">
        <w:tc>
          <w:tcPr>
            <w:tcW w:w="2427" w:type="pct"/>
          </w:tcPr>
          <w:p w:rsidR="00197F36" w:rsidRPr="006F7A67" w:rsidRDefault="00197F36" w:rsidP="0019255A">
            <w:pPr>
              <w:jc w:val="both"/>
              <w:rPr>
                <w:sz w:val="20"/>
                <w:lang w:val="fr-CA"/>
              </w:rPr>
            </w:pPr>
            <w:r w:rsidRPr="006F7A67">
              <w:rPr>
                <w:sz w:val="20"/>
                <w:lang w:val="fr-CA"/>
              </w:rPr>
              <w:t>Le 1 novembre 2019</w:t>
            </w:r>
          </w:p>
          <w:p w:rsidR="00197F36" w:rsidRPr="006F7A67" w:rsidRDefault="00197F36" w:rsidP="0019255A">
            <w:pPr>
              <w:jc w:val="both"/>
              <w:rPr>
                <w:sz w:val="20"/>
                <w:lang w:val="fr-CA"/>
              </w:rPr>
            </w:pPr>
            <w:r w:rsidRPr="006F7A67">
              <w:rPr>
                <w:sz w:val="20"/>
                <w:lang w:val="fr-CA"/>
              </w:rPr>
              <w:t>Cour suprême du Canada</w:t>
            </w: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Demande d’autorisation d’appel incident déposée</w:t>
            </w:r>
          </w:p>
        </w:tc>
      </w:tr>
    </w:tbl>
    <w:p w:rsidR="00197F36" w:rsidRPr="006F7A67" w:rsidRDefault="00197F36" w:rsidP="00197F36">
      <w:pPr>
        <w:jc w:val="both"/>
        <w:rPr>
          <w:sz w:val="20"/>
          <w:lang w:val="fr-CA"/>
        </w:rPr>
      </w:pPr>
    </w:p>
    <w:p w:rsidR="00197F36" w:rsidRPr="006F7A67" w:rsidRDefault="00300F06" w:rsidP="00197F36">
      <w:pPr>
        <w:jc w:val="both"/>
        <w:rPr>
          <w:sz w:val="20"/>
          <w:lang w:val="fr-CA"/>
        </w:rPr>
      </w:pPr>
      <w:r>
        <w:rPr>
          <w:sz w:val="20"/>
        </w:rPr>
        <w:pict>
          <v:rect id="_x0000_i1030" style="width:2in;height:1pt" o:hrpct="0" o:hralign="center" o:hrstd="t" o:hrnoshade="t" o:hr="t" fillcolor="black [3213]" stroked="f"/>
        </w:pict>
      </w:r>
    </w:p>
    <w:p w:rsidR="00197F36" w:rsidRPr="006F7A67" w:rsidRDefault="00197F36" w:rsidP="00197F3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38938</w:t>
            </w:r>
          </w:p>
        </w:tc>
        <w:tc>
          <w:tcPr>
            <w:tcW w:w="4457" w:type="pct"/>
          </w:tcPr>
          <w:p w:rsidR="00197F36" w:rsidRPr="006F7A67" w:rsidRDefault="00197F36" w:rsidP="0019255A">
            <w:pPr>
              <w:pStyle w:val="SCCLsocParty"/>
              <w:jc w:val="both"/>
              <w:rPr>
                <w:b/>
                <w:sz w:val="20"/>
                <w:szCs w:val="20"/>
                <w:lang w:val="en-CA"/>
              </w:rPr>
            </w:pPr>
            <w:r w:rsidRPr="006F7A67">
              <w:rPr>
                <w:b/>
                <w:sz w:val="20"/>
                <w:szCs w:val="20"/>
                <w:lang w:val="en-CA"/>
              </w:rPr>
              <w:t>C</w:t>
            </w:r>
            <w:r w:rsidR="00C97DEF" w:rsidRPr="006F7A67">
              <w:rPr>
                <w:b/>
                <w:sz w:val="20"/>
                <w:szCs w:val="20"/>
                <w:lang w:val="en-CA"/>
              </w:rPr>
              <w:t>O</w:t>
            </w:r>
            <w:r w:rsidRPr="006F7A67">
              <w:rPr>
                <w:b/>
                <w:sz w:val="20"/>
                <w:szCs w:val="20"/>
                <w:lang w:val="en-CA"/>
              </w:rPr>
              <w:noBreakHyphen/>
            </w:r>
            <w:r w:rsidR="00C97DEF" w:rsidRPr="006F7A67">
              <w:rPr>
                <w:b/>
                <w:sz w:val="20"/>
                <w:szCs w:val="20"/>
                <w:lang w:val="en-CA"/>
              </w:rPr>
              <w:t>O</w:t>
            </w:r>
            <w:r w:rsidRPr="006F7A67">
              <w:rPr>
                <w:b/>
                <w:sz w:val="20"/>
                <w:szCs w:val="20"/>
                <w:lang w:val="en-CA"/>
              </w:rPr>
              <w:t>perators General Insurance Company v. La Coop fédérée</w:t>
            </w:r>
            <w:r w:rsidR="00C97DEF" w:rsidRPr="006F7A67">
              <w:rPr>
                <w:b/>
                <w:sz w:val="20"/>
                <w:szCs w:val="20"/>
                <w:lang w:val="en-CA"/>
              </w:rPr>
              <w:t xml:space="preserve"> and</w:t>
            </w:r>
            <w:r w:rsidRPr="006F7A67">
              <w:rPr>
                <w:b/>
                <w:sz w:val="20"/>
                <w:szCs w:val="20"/>
                <w:lang w:val="en-CA"/>
              </w:rPr>
              <w:t xml:space="preserve"> National Bank of Canada</w:t>
            </w:r>
          </w:p>
          <w:p w:rsidR="00C97DEF" w:rsidRPr="006F7A67" w:rsidRDefault="00C97DEF" w:rsidP="00C97DEF">
            <w:pPr>
              <w:pStyle w:val="SCCLsocOtherPartySeparator"/>
              <w:rPr>
                <w:sz w:val="20"/>
                <w:szCs w:val="20"/>
                <w:lang w:val="en-CA"/>
              </w:rPr>
            </w:pPr>
            <w:r w:rsidRPr="006F7A67">
              <w:rPr>
                <w:sz w:val="20"/>
                <w:szCs w:val="20"/>
                <w:lang w:val="en-CA"/>
              </w:rPr>
              <w:t>- and -</w:t>
            </w:r>
          </w:p>
          <w:p w:rsidR="00C97DEF" w:rsidRPr="006F7A67" w:rsidRDefault="00C97DEF" w:rsidP="00C97DEF">
            <w:r w:rsidRPr="006F7A67">
              <w:rPr>
                <w:b/>
                <w:sz w:val="20"/>
                <w:szCs w:val="20"/>
              </w:rPr>
              <w:t>Liberty International Underwriters</w:t>
            </w:r>
          </w:p>
          <w:p w:rsidR="00197F36" w:rsidRPr="006F7A67" w:rsidRDefault="00197F36" w:rsidP="0019255A">
            <w:pPr>
              <w:pStyle w:val="SCCLsocSubfileSeparator0"/>
              <w:rPr>
                <w:sz w:val="20"/>
                <w:szCs w:val="20"/>
              </w:rPr>
            </w:pPr>
            <w:r w:rsidRPr="006F7A67">
              <w:rPr>
                <w:sz w:val="20"/>
                <w:szCs w:val="20"/>
              </w:rPr>
              <w:t>- and between -</w:t>
            </w:r>
          </w:p>
          <w:p w:rsidR="00197F36" w:rsidRPr="006F7A67" w:rsidRDefault="00197F36" w:rsidP="0019255A">
            <w:pPr>
              <w:pStyle w:val="SCCLsocParty"/>
              <w:jc w:val="both"/>
              <w:rPr>
                <w:b/>
                <w:sz w:val="20"/>
                <w:szCs w:val="20"/>
                <w:lang w:val="en-CA"/>
              </w:rPr>
            </w:pPr>
            <w:r w:rsidRPr="006F7A67">
              <w:rPr>
                <w:b/>
                <w:sz w:val="20"/>
                <w:szCs w:val="20"/>
                <w:lang w:val="en-CA"/>
              </w:rPr>
              <w:t>La Coop fédérée v. C</w:t>
            </w:r>
            <w:r w:rsidR="00C97DEF" w:rsidRPr="006F7A67">
              <w:rPr>
                <w:b/>
                <w:sz w:val="20"/>
                <w:szCs w:val="20"/>
                <w:lang w:val="en-CA"/>
              </w:rPr>
              <w:t>O</w:t>
            </w:r>
            <w:r w:rsidRPr="006F7A67">
              <w:rPr>
                <w:b/>
                <w:sz w:val="20"/>
                <w:szCs w:val="20"/>
                <w:lang w:val="en-CA"/>
              </w:rPr>
              <w:noBreakHyphen/>
            </w:r>
            <w:r w:rsidR="00C97DEF" w:rsidRPr="006F7A67">
              <w:rPr>
                <w:b/>
                <w:sz w:val="20"/>
                <w:szCs w:val="20"/>
                <w:lang w:val="en-CA"/>
              </w:rPr>
              <w:t>O</w:t>
            </w:r>
            <w:r w:rsidRPr="006F7A67">
              <w:rPr>
                <w:b/>
                <w:sz w:val="20"/>
                <w:szCs w:val="20"/>
                <w:lang w:val="en-CA"/>
              </w:rPr>
              <w:t xml:space="preserve">perators General Insurance Company </w:t>
            </w:r>
          </w:p>
          <w:p w:rsidR="00197F36" w:rsidRPr="006F7A67" w:rsidRDefault="00197F36" w:rsidP="0019255A">
            <w:pPr>
              <w:pStyle w:val="SCCLsocOtherPartySeparator"/>
              <w:rPr>
                <w:sz w:val="20"/>
                <w:szCs w:val="20"/>
                <w:lang w:val="en-CA"/>
              </w:rPr>
            </w:pPr>
            <w:r w:rsidRPr="006F7A67">
              <w:rPr>
                <w:sz w:val="20"/>
                <w:szCs w:val="20"/>
                <w:lang w:val="en-CA"/>
              </w:rPr>
              <w:t>- and -</w:t>
            </w:r>
          </w:p>
          <w:p w:rsidR="00197F36" w:rsidRPr="006F7A67" w:rsidRDefault="00C97DEF" w:rsidP="0019255A">
            <w:pPr>
              <w:pStyle w:val="SCCLsocParty"/>
              <w:jc w:val="both"/>
              <w:rPr>
                <w:b/>
                <w:sz w:val="20"/>
                <w:szCs w:val="20"/>
                <w:lang w:val="en-CA"/>
              </w:rPr>
            </w:pPr>
            <w:r w:rsidRPr="006F7A67">
              <w:rPr>
                <w:b/>
                <w:sz w:val="20"/>
                <w:szCs w:val="20"/>
                <w:lang w:val="en-CA"/>
              </w:rPr>
              <w:t>National Bank of Canada and Liberty International Underwriters</w:t>
            </w:r>
          </w:p>
          <w:p w:rsidR="00197F36" w:rsidRPr="006F7A67" w:rsidRDefault="00197F36" w:rsidP="0019255A">
            <w:pPr>
              <w:jc w:val="both"/>
              <w:rPr>
                <w:sz w:val="20"/>
              </w:rPr>
            </w:pPr>
            <w:r w:rsidRPr="006F7A67">
              <w:rPr>
                <w:sz w:val="20"/>
              </w:rPr>
              <w:t>(Que.) (Civil) (By Leave)</w:t>
            </w:r>
          </w:p>
        </w:tc>
      </w:tr>
      <w:tr w:rsidR="000E7ADF" w:rsidRPr="006F7A67" w:rsidTr="0019255A">
        <w:tc>
          <w:tcPr>
            <w:tcW w:w="5000" w:type="pct"/>
            <w:gridSpan w:val="2"/>
          </w:tcPr>
          <w:p w:rsidR="00C97DEF" w:rsidRPr="006F7A67" w:rsidRDefault="00C97DEF" w:rsidP="00C97DEF">
            <w:pPr>
              <w:jc w:val="both"/>
              <w:rPr>
                <w:sz w:val="20"/>
                <w:szCs w:val="20"/>
              </w:rPr>
            </w:pPr>
            <w:r w:rsidRPr="006F7A67">
              <w:rPr>
                <w:sz w:val="20"/>
                <w:szCs w:val="20"/>
              </w:rPr>
              <w:t xml:space="preserve">The application for leave to appeal of La Coop fédérée from the judgment of the </w:t>
            </w:r>
            <w:r w:rsidRPr="006F7A67">
              <w:rPr>
                <w:sz w:val="20"/>
                <w:szCs w:val="20"/>
                <w:lang w:val="en-US"/>
              </w:rPr>
              <w:t>Court of Appeal of Quebec (Montréal)</w:t>
            </w:r>
            <w:r w:rsidRPr="006F7A67">
              <w:rPr>
                <w:sz w:val="20"/>
                <w:szCs w:val="20"/>
              </w:rPr>
              <w:t xml:space="preserve">, Number </w:t>
            </w:r>
            <w:r w:rsidRPr="006F7A67">
              <w:rPr>
                <w:sz w:val="20"/>
                <w:szCs w:val="20"/>
                <w:lang w:val="en-US"/>
              </w:rPr>
              <w:t xml:space="preserve">500-09-026586-172, 2019 QCCA 1678, </w:t>
            </w:r>
            <w:r w:rsidRPr="006F7A67">
              <w:rPr>
                <w:sz w:val="20"/>
                <w:szCs w:val="20"/>
              </w:rPr>
              <w:t xml:space="preserve">dated </w:t>
            </w:r>
            <w:r w:rsidRPr="006F7A67">
              <w:rPr>
                <w:sz w:val="20"/>
                <w:szCs w:val="20"/>
                <w:lang w:val="en-US"/>
              </w:rPr>
              <w:t xml:space="preserve">October 4, 2019, </w:t>
            </w:r>
            <w:r w:rsidRPr="006F7A67">
              <w:rPr>
                <w:sz w:val="20"/>
                <w:szCs w:val="20"/>
              </w:rPr>
              <w:t xml:space="preserve">is dismissed with costs and the application for leave to appeal of </w:t>
            </w:r>
            <w:r w:rsidRPr="006F7A67">
              <w:rPr>
                <w:sz w:val="20"/>
                <w:szCs w:val="20"/>
                <w:lang w:val="en-US"/>
              </w:rPr>
              <w:t xml:space="preserve">CO-Operators General Insurance Company </w:t>
            </w:r>
            <w:r w:rsidRPr="006F7A67">
              <w:rPr>
                <w:sz w:val="20"/>
                <w:szCs w:val="20"/>
              </w:rPr>
              <w:t>is granted with costs in the cause.</w:t>
            </w:r>
          </w:p>
          <w:p w:rsidR="000E7ADF" w:rsidRPr="006F7A67" w:rsidRDefault="000E7ADF" w:rsidP="0019255A">
            <w:pPr>
              <w:jc w:val="both"/>
              <w:rPr>
                <w:sz w:val="20"/>
              </w:rPr>
            </w:pPr>
          </w:p>
        </w:tc>
      </w:tr>
      <w:tr w:rsidR="00197F36" w:rsidRPr="006F7A67" w:rsidTr="0019255A">
        <w:tc>
          <w:tcPr>
            <w:tcW w:w="5000" w:type="pct"/>
            <w:gridSpan w:val="2"/>
          </w:tcPr>
          <w:p w:rsidR="00197F36" w:rsidRPr="006F7A67" w:rsidRDefault="00197F36" w:rsidP="0019255A">
            <w:pPr>
              <w:jc w:val="both"/>
              <w:rPr>
                <w:sz w:val="20"/>
              </w:rPr>
            </w:pPr>
            <w:r w:rsidRPr="006F7A67">
              <w:rPr>
                <w:sz w:val="20"/>
              </w:rPr>
              <w:t>Financial institutions — Banks — Fraud — Insurance — Property insurance — Plurality of policies — Electronic funds transfer made as result of fraudulent tactics or “phishing” — Legal nature of electronic funds transfer and impact on insurance coverage — Calculation of total indemnity owed by insurers — Whether effect must be given to forged and unauthorized payment order — Whether bank customer must be treated differently depending on whether customer’s account has debit balance or credit balance — Whether it is financial institution or customer that must bear loss of amount that third party appropriated by phishing from bank account with line of credit — Whether insurance policy issued by Co</w:t>
            </w:r>
            <w:r w:rsidRPr="006F7A67">
              <w:rPr>
                <w:sz w:val="20"/>
              </w:rPr>
              <w:noBreakHyphen/>
              <w:t xml:space="preserve">operators is applicable if need be — Whether Court of Appeal erred in applying conversion rate of 1.3120 to convert loss into Canadian dollars — In finding plurality of insurance, whether Court of Appeal misapplied six criteria identified in jurisprudence — Whether Court of Appeal erred in calculating amount of total indemnity owed to La Coop fédérée by its two insurers when it subtracted $500,000 retention and $5,000 deductible from amount of loss — </w:t>
            </w:r>
            <w:r w:rsidRPr="006F7A67">
              <w:rPr>
                <w:i/>
                <w:sz w:val="20"/>
              </w:rPr>
              <w:t>Bills of Exchange Act</w:t>
            </w:r>
            <w:r w:rsidRPr="006F7A67">
              <w:rPr>
                <w:sz w:val="20"/>
              </w:rPr>
              <w:t>, R.S.C. 1985, c. B</w:t>
            </w:r>
            <w:r w:rsidRPr="006F7A67">
              <w:rPr>
                <w:sz w:val="20"/>
              </w:rPr>
              <w:noBreakHyphen/>
              <w:t xml:space="preserve">4, ss. 16(1) and (2) and 48(1) — </w:t>
            </w:r>
            <w:r w:rsidRPr="006F7A67">
              <w:rPr>
                <w:i/>
                <w:sz w:val="20"/>
              </w:rPr>
              <w:t>Civil Code of Québec</w:t>
            </w:r>
            <w:r w:rsidRPr="006F7A67">
              <w:rPr>
                <w:sz w:val="20"/>
              </w:rPr>
              <w:t>, arts. 2327 and 2496 para. 3.</w:t>
            </w:r>
          </w:p>
        </w:tc>
      </w:tr>
      <w:tr w:rsidR="00197F36" w:rsidRPr="006F7A67" w:rsidTr="0019255A">
        <w:tc>
          <w:tcPr>
            <w:tcW w:w="5000" w:type="pct"/>
            <w:gridSpan w:val="2"/>
          </w:tcPr>
          <w:p w:rsidR="00197F36" w:rsidRPr="006F7A67" w:rsidRDefault="00197F36" w:rsidP="0019255A">
            <w:pPr>
              <w:jc w:val="both"/>
              <w:rPr>
                <w:sz w:val="20"/>
              </w:rPr>
            </w:pPr>
          </w:p>
        </w:tc>
      </w:tr>
    </w:tbl>
    <w:p w:rsidR="001A0C1D" w:rsidRPr="006F7A67" w:rsidRDefault="001A0C1D">
      <w:r w:rsidRPr="006F7A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7F36" w:rsidRPr="006F7A67" w:rsidTr="0019255A">
        <w:tc>
          <w:tcPr>
            <w:tcW w:w="5000" w:type="pct"/>
            <w:gridSpan w:val="3"/>
          </w:tcPr>
          <w:p w:rsidR="00197F36" w:rsidRPr="006F7A67" w:rsidRDefault="00197F36" w:rsidP="0019255A">
            <w:pPr>
              <w:jc w:val="both"/>
              <w:rPr>
                <w:sz w:val="20"/>
              </w:rPr>
            </w:pPr>
            <w:r w:rsidRPr="006F7A67">
              <w:rPr>
                <w:sz w:val="20"/>
              </w:rPr>
              <w:t>La Coop fédérée (“La Coop”) is a customer of the National Bank of Canada (“NBC”) that was a victim of phishing, that is, Internet fraud aimed at obtaining confidential information through messages that appear to come from an institutional body or a third party that is trustworthy. That fraud resulted in the electronic transfer of several million dollars out of La Coop’s account. La Coop holds two insurance policies that might apply to the loss incurred: (1) a policy for up to $15 million issued by the Co</w:t>
            </w:r>
            <w:r w:rsidRPr="006F7A67">
              <w:rPr>
                <w:sz w:val="20"/>
              </w:rPr>
              <w:noBreakHyphen/>
              <w:t>operators General Insurance Company (“Co</w:t>
            </w:r>
            <w:r w:rsidRPr="006F7A67">
              <w:rPr>
                <w:sz w:val="20"/>
              </w:rPr>
              <w:noBreakHyphen/>
              <w:t>operators”); and (2) a $1 million policy issued by Liberty International Underwriters (“Liberty »). Liberty paid La Coop the coverage limit provided for in the contract, but Co</w:t>
            </w:r>
            <w:r w:rsidRPr="006F7A67">
              <w:rPr>
                <w:sz w:val="20"/>
              </w:rPr>
              <w:noBreakHyphen/>
              <w:t>operators denied coverage. La Coop instituted proceedings for a declaratory judgment (File No. 500</w:t>
            </w:r>
            <w:r w:rsidRPr="006F7A67">
              <w:rPr>
                <w:sz w:val="20"/>
              </w:rPr>
              <w:noBreakHyphen/>
              <w:t>17</w:t>
            </w:r>
            <w:r w:rsidRPr="006F7A67">
              <w:rPr>
                <w:sz w:val="20"/>
              </w:rPr>
              <w:noBreakHyphen/>
              <w:t>092055</w:t>
            </w:r>
            <w:r w:rsidRPr="006F7A67">
              <w:rPr>
                <w:sz w:val="20"/>
              </w:rPr>
              <w:noBreakHyphen/>
              <w:t>154 (“154”)) in order to have its rights and obligations under the two policies determined, among other things. Liberty filed an originating motion (File No. 500</w:t>
            </w:r>
            <w:r w:rsidRPr="006F7A67">
              <w:rPr>
                <w:sz w:val="20"/>
              </w:rPr>
              <w:noBreakHyphen/>
              <w:t>17</w:t>
            </w:r>
            <w:r w:rsidRPr="006F7A67">
              <w:rPr>
                <w:sz w:val="20"/>
              </w:rPr>
              <w:noBreakHyphen/>
              <w:t>092579</w:t>
            </w:r>
            <w:r w:rsidRPr="006F7A67">
              <w:rPr>
                <w:sz w:val="20"/>
              </w:rPr>
              <w:noBreakHyphen/>
              <w:t>161 (“161”)) under art. 2496 C.C.Q., the provision governing the relationship among multiple insurers. Liberty sought in part to recover from Co</w:t>
            </w:r>
            <w:r w:rsidRPr="006F7A67">
              <w:rPr>
                <w:sz w:val="20"/>
              </w:rPr>
              <w:noBreakHyphen/>
              <w:t>operators a portion of the amounts it had paid La Coop, in proportion to the insurance limits of each policy. The Superior Court allowed La Coop’s originating motion in part and ordered Co</w:t>
            </w:r>
            <w:r w:rsidRPr="006F7A67">
              <w:rPr>
                <w:sz w:val="20"/>
              </w:rPr>
              <w:noBreakHyphen/>
              <w:t>operators to pay Liberty $726,124.47. Co</w:t>
            </w:r>
            <w:r w:rsidRPr="006F7A67">
              <w:rPr>
                <w:sz w:val="20"/>
              </w:rPr>
              <w:noBreakHyphen/>
              <w:t>operators appealed some of the conclusions in both of the cases decided by the Superior Court. The appeal in File No. 154 was allowed in part, and the appeal in File No. 161 was allowed in full.</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 xml:space="preserve">December 14, 2016 </w:t>
            </w:r>
          </w:p>
          <w:p w:rsidR="00197F36" w:rsidRPr="006F7A67" w:rsidRDefault="00197F36" w:rsidP="0019255A">
            <w:pPr>
              <w:jc w:val="both"/>
              <w:rPr>
                <w:sz w:val="20"/>
              </w:rPr>
            </w:pPr>
            <w:r w:rsidRPr="006F7A67">
              <w:rPr>
                <w:sz w:val="20"/>
              </w:rPr>
              <w:t>(with correction on January 9, 2017)</w:t>
            </w:r>
          </w:p>
          <w:p w:rsidR="00197F36" w:rsidRPr="006F7A67" w:rsidRDefault="00197F36" w:rsidP="0019255A">
            <w:pPr>
              <w:jc w:val="both"/>
              <w:rPr>
                <w:sz w:val="20"/>
              </w:rPr>
            </w:pPr>
            <w:r w:rsidRPr="006F7A67">
              <w:rPr>
                <w:sz w:val="20"/>
              </w:rPr>
              <w:t>Quebec Superior Court</w:t>
            </w:r>
          </w:p>
          <w:p w:rsidR="00197F36" w:rsidRPr="006F7A67" w:rsidRDefault="00197F36" w:rsidP="0019255A">
            <w:pPr>
              <w:jc w:val="both"/>
              <w:rPr>
                <w:sz w:val="20"/>
              </w:rPr>
            </w:pPr>
            <w:r w:rsidRPr="006F7A67">
              <w:rPr>
                <w:sz w:val="20"/>
              </w:rPr>
              <w:t>(</w:t>
            </w:r>
            <w:proofErr w:type="spellStart"/>
            <w:r w:rsidRPr="006F7A67">
              <w:rPr>
                <w:sz w:val="20"/>
              </w:rPr>
              <w:t>Déziel</w:t>
            </w:r>
            <w:proofErr w:type="spellEnd"/>
            <w:r w:rsidRPr="006F7A67">
              <w:rPr>
                <w:sz w:val="20"/>
              </w:rPr>
              <w:t xml:space="preserve"> J.)</w:t>
            </w:r>
          </w:p>
          <w:p w:rsidR="00197F36" w:rsidRPr="006F7A67" w:rsidRDefault="00197F36" w:rsidP="0019255A">
            <w:pPr>
              <w:jc w:val="both"/>
              <w:rPr>
                <w:sz w:val="20"/>
              </w:rPr>
            </w:pPr>
            <w:r w:rsidRPr="006F7A67">
              <w:rPr>
                <w:sz w:val="20"/>
              </w:rPr>
              <w:t>File Nos. 500</w:t>
            </w:r>
            <w:r w:rsidRPr="006F7A67">
              <w:rPr>
                <w:sz w:val="20"/>
              </w:rPr>
              <w:noBreakHyphen/>
              <w:t>17</w:t>
            </w:r>
            <w:r w:rsidRPr="006F7A67">
              <w:rPr>
                <w:sz w:val="20"/>
              </w:rPr>
              <w:noBreakHyphen/>
              <w:t>092055</w:t>
            </w:r>
            <w:r w:rsidRPr="006F7A67">
              <w:rPr>
                <w:sz w:val="20"/>
              </w:rPr>
              <w:noBreakHyphen/>
              <w:t xml:space="preserve">154 and </w:t>
            </w:r>
          </w:p>
          <w:p w:rsidR="00197F36" w:rsidRPr="006F7A67" w:rsidRDefault="00197F36" w:rsidP="0019255A">
            <w:pPr>
              <w:jc w:val="both"/>
              <w:rPr>
                <w:sz w:val="20"/>
              </w:rPr>
            </w:pPr>
            <w:r w:rsidRPr="006F7A67">
              <w:rPr>
                <w:sz w:val="20"/>
              </w:rPr>
              <w:t>500</w:t>
            </w:r>
            <w:r w:rsidRPr="006F7A67">
              <w:rPr>
                <w:sz w:val="20"/>
              </w:rPr>
              <w:noBreakHyphen/>
              <w:t>17</w:t>
            </w:r>
            <w:r w:rsidRPr="006F7A67">
              <w:rPr>
                <w:sz w:val="20"/>
              </w:rPr>
              <w:noBreakHyphen/>
              <w:t>092579</w:t>
            </w:r>
            <w:r w:rsidRPr="006F7A67">
              <w:rPr>
                <w:sz w:val="20"/>
              </w:rPr>
              <w:noBreakHyphen/>
              <w:t>161</w:t>
            </w:r>
          </w:p>
          <w:p w:rsidR="00197F36" w:rsidRPr="006F7A67" w:rsidRDefault="00300F06" w:rsidP="0019255A">
            <w:pPr>
              <w:jc w:val="both"/>
              <w:rPr>
                <w:sz w:val="20"/>
              </w:rPr>
            </w:pPr>
            <w:hyperlink r:id="rId21" w:history="1">
              <w:r w:rsidR="00197F36" w:rsidRPr="006F7A67">
                <w:rPr>
                  <w:rStyle w:val="Hyperlink"/>
                  <w:sz w:val="20"/>
                </w:rPr>
                <w:t>2016 QCCS 6302</w:t>
              </w:r>
            </w:hyperlink>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b/>
                <w:sz w:val="20"/>
              </w:rPr>
              <w:t xml:space="preserve">File No. 500-17-092055-154: </w:t>
            </w:r>
            <w:r w:rsidRPr="006F7A67">
              <w:rPr>
                <w:sz w:val="20"/>
              </w:rPr>
              <w:t>Application by La Coop fédérée for declaratory judgment allowed in part; application by Co</w:t>
            </w:r>
            <w:r w:rsidRPr="006F7A67">
              <w:rPr>
                <w:sz w:val="20"/>
              </w:rPr>
              <w:noBreakHyphen/>
              <w:t>operators to amend defences dismissed; La Coop fédérée found to be required to bear loss incurred pursuant to art. 2327 C.C.Q.; loss incurred declared to be covered by insurance policy issued by Co</w:t>
            </w:r>
            <w:r w:rsidRPr="006F7A67">
              <w:rPr>
                <w:sz w:val="20"/>
              </w:rPr>
              <w:noBreakHyphen/>
              <w:t>operators; insurance policy issued by Liberty declared not to be specific policy within meaning of art. 2496 para. 3 C.C.Q.; exchange rate applicable to loss in American dollars declared to be rate in effect on judgment date, namely 1.3120; Co</w:t>
            </w:r>
            <w:r w:rsidRPr="006F7A67">
              <w:rPr>
                <w:sz w:val="20"/>
              </w:rPr>
              <w:noBreakHyphen/>
              <w:t xml:space="preserve">operators ordered to pay La Coop fédérée CAN$5,416,008.50 (US$4,128,055.26). </w:t>
            </w:r>
            <w:r w:rsidRPr="006F7A67">
              <w:rPr>
                <w:b/>
                <w:sz w:val="20"/>
              </w:rPr>
              <w:t xml:space="preserve">File No. 500-17-092579-161: </w:t>
            </w:r>
            <w:r w:rsidRPr="006F7A67">
              <w:rPr>
                <w:sz w:val="20"/>
              </w:rPr>
              <w:t>Co</w:t>
            </w:r>
            <w:r w:rsidRPr="006F7A67">
              <w:rPr>
                <w:sz w:val="20"/>
              </w:rPr>
              <w:noBreakHyphen/>
              <w:t>operators ordered to pay Liberty CAN$726,124.47</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October 4, 2019</w:t>
            </w:r>
          </w:p>
          <w:p w:rsidR="00197F36" w:rsidRPr="006F7A67" w:rsidRDefault="00197F36" w:rsidP="0019255A">
            <w:pPr>
              <w:jc w:val="both"/>
              <w:rPr>
                <w:sz w:val="20"/>
              </w:rPr>
            </w:pPr>
            <w:r w:rsidRPr="006F7A67">
              <w:rPr>
                <w:sz w:val="20"/>
              </w:rPr>
              <w:t>Quebec Court of Appeal (Montréal)</w:t>
            </w:r>
          </w:p>
          <w:p w:rsidR="00197F36" w:rsidRPr="006F7A67" w:rsidRDefault="00197F36" w:rsidP="0019255A">
            <w:pPr>
              <w:jc w:val="both"/>
              <w:rPr>
                <w:sz w:val="20"/>
              </w:rPr>
            </w:pPr>
            <w:r w:rsidRPr="006F7A67">
              <w:rPr>
                <w:sz w:val="20"/>
              </w:rPr>
              <w:t xml:space="preserve">(Dufresne, Healy and </w:t>
            </w:r>
            <w:proofErr w:type="spellStart"/>
            <w:r w:rsidRPr="006F7A67">
              <w:rPr>
                <w:sz w:val="20"/>
              </w:rPr>
              <w:t>Cotnam</w:t>
            </w:r>
            <w:proofErr w:type="spellEnd"/>
            <w:r w:rsidRPr="006F7A67">
              <w:rPr>
                <w:sz w:val="20"/>
              </w:rPr>
              <w:t xml:space="preserve"> JJ.A.)</w:t>
            </w:r>
          </w:p>
          <w:p w:rsidR="00197F36" w:rsidRPr="006F7A67" w:rsidRDefault="00197F36" w:rsidP="0019255A">
            <w:pPr>
              <w:jc w:val="both"/>
              <w:rPr>
                <w:sz w:val="20"/>
              </w:rPr>
            </w:pPr>
            <w:r w:rsidRPr="006F7A67">
              <w:rPr>
                <w:sz w:val="20"/>
              </w:rPr>
              <w:t>File Nos. 500</w:t>
            </w:r>
            <w:r w:rsidRPr="006F7A67">
              <w:rPr>
                <w:sz w:val="20"/>
              </w:rPr>
              <w:noBreakHyphen/>
              <w:t>09</w:t>
            </w:r>
            <w:r w:rsidRPr="006F7A67">
              <w:rPr>
                <w:sz w:val="20"/>
              </w:rPr>
              <w:noBreakHyphen/>
              <w:t>026586</w:t>
            </w:r>
            <w:r w:rsidRPr="006F7A67">
              <w:rPr>
                <w:sz w:val="20"/>
              </w:rPr>
              <w:noBreakHyphen/>
              <w:t xml:space="preserve">172 and </w:t>
            </w:r>
          </w:p>
          <w:p w:rsidR="00197F36" w:rsidRPr="006F7A67" w:rsidRDefault="00197F36" w:rsidP="0019255A">
            <w:pPr>
              <w:jc w:val="both"/>
              <w:rPr>
                <w:sz w:val="20"/>
              </w:rPr>
            </w:pPr>
            <w:r w:rsidRPr="006F7A67">
              <w:rPr>
                <w:sz w:val="20"/>
              </w:rPr>
              <w:t>500</w:t>
            </w:r>
            <w:r w:rsidRPr="006F7A67">
              <w:rPr>
                <w:sz w:val="20"/>
              </w:rPr>
              <w:noBreakHyphen/>
              <w:t>09</w:t>
            </w:r>
            <w:r w:rsidRPr="006F7A67">
              <w:rPr>
                <w:sz w:val="20"/>
              </w:rPr>
              <w:noBreakHyphen/>
              <w:t>026587</w:t>
            </w:r>
            <w:r w:rsidRPr="006F7A67">
              <w:rPr>
                <w:sz w:val="20"/>
              </w:rPr>
              <w:noBreakHyphen/>
              <w:t>170</w:t>
            </w:r>
          </w:p>
          <w:p w:rsidR="00197F36" w:rsidRPr="006F7A67" w:rsidRDefault="00300F06" w:rsidP="0019255A">
            <w:pPr>
              <w:jc w:val="both"/>
              <w:rPr>
                <w:sz w:val="20"/>
              </w:rPr>
            </w:pPr>
            <w:hyperlink r:id="rId22" w:history="1">
              <w:r w:rsidR="00197F36" w:rsidRPr="006F7A67">
                <w:rPr>
                  <w:rStyle w:val="Hyperlink"/>
                  <w:sz w:val="20"/>
                </w:rPr>
                <w:t>2019 QCCA 1678</w:t>
              </w:r>
            </w:hyperlink>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b/>
                <w:sz w:val="20"/>
              </w:rPr>
              <w:t>File No. 500-09-026586-172:</w:t>
            </w:r>
            <w:r w:rsidRPr="006F7A67">
              <w:rPr>
                <w:sz w:val="20"/>
              </w:rPr>
              <w:t xml:space="preserve"> Appeal allowed in part; judgment under appeal set aside in part; paras. 189 and 191 of judgment under appeal modified to declare that policy issued by Liberty is specific policy under art. 2496 para. 3 C.C.Q. and to order Co</w:t>
            </w:r>
            <w:r w:rsidRPr="006F7A67">
              <w:rPr>
                <w:sz w:val="20"/>
              </w:rPr>
              <w:noBreakHyphen/>
              <w:t xml:space="preserve">operators to pay La Coop fédérée CAN$4,984,618.10; all other conclusions of judgment under appeal upheld; incidental appeal of La Coop fédérée dismissed. </w:t>
            </w:r>
            <w:r w:rsidRPr="006F7A67">
              <w:rPr>
                <w:b/>
                <w:sz w:val="20"/>
              </w:rPr>
              <w:t>File No. 500-09-026587-170:</w:t>
            </w:r>
            <w:r w:rsidRPr="006F7A67">
              <w:rPr>
                <w:sz w:val="20"/>
              </w:rPr>
              <w:t xml:space="preserve"> Appeal allowed; para. 193 of judgment under appeal set aside; Liberty’s originating application dismissed; incidental appeal of La Coop fédérée dismissed</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December 3, 2019</w:t>
            </w:r>
          </w:p>
          <w:p w:rsidR="00197F36" w:rsidRPr="006F7A67" w:rsidRDefault="00197F36" w:rsidP="0019255A">
            <w:pPr>
              <w:jc w:val="both"/>
              <w:rPr>
                <w:sz w:val="20"/>
              </w:rPr>
            </w:pPr>
            <w:r w:rsidRPr="006F7A67">
              <w:rPr>
                <w:sz w:val="20"/>
              </w:rPr>
              <w:t>Supreme Court of Canada</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Applications for leave to appeal filed</w:t>
            </w:r>
          </w:p>
          <w:p w:rsidR="00197F36" w:rsidRPr="006F7A67" w:rsidRDefault="00197F36" w:rsidP="0019255A">
            <w:pPr>
              <w:jc w:val="both"/>
              <w:rPr>
                <w:sz w:val="20"/>
              </w:rPr>
            </w:pP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31" style="width:2in;height:1pt" o:hrpct="0" o:hralign="center" o:hrstd="t" o:hrnoshade="t" o:hr="t" fillcolor="black [3213]" stroked="f"/>
        </w:pict>
      </w:r>
    </w:p>
    <w:p w:rsidR="00197F36" w:rsidRPr="006F7A67" w:rsidRDefault="00197F36" w:rsidP="00197F36">
      <w:pPr>
        <w:jc w:val="both"/>
        <w:rPr>
          <w:sz w:val="20"/>
        </w:rPr>
      </w:pPr>
    </w:p>
    <w:p w:rsidR="001A0C1D" w:rsidRPr="006F7A67" w:rsidRDefault="001A0C1D">
      <w:r w:rsidRPr="006F7A67">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38938</w:t>
            </w:r>
          </w:p>
        </w:tc>
        <w:tc>
          <w:tcPr>
            <w:tcW w:w="4457" w:type="pct"/>
          </w:tcPr>
          <w:p w:rsidR="00197F36" w:rsidRPr="006F7A67" w:rsidRDefault="00197F36" w:rsidP="0019255A">
            <w:pPr>
              <w:pStyle w:val="SCCLsocParty"/>
              <w:jc w:val="both"/>
              <w:rPr>
                <w:b/>
                <w:sz w:val="20"/>
                <w:szCs w:val="20"/>
              </w:rPr>
            </w:pPr>
            <w:r w:rsidRPr="006F7A67">
              <w:rPr>
                <w:b/>
                <w:sz w:val="20"/>
                <w:szCs w:val="20"/>
              </w:rPr>
              <w:t xml:space="preserve">La </w:t>
            </w:r>
            <w:r w:rsidR="00C97DEF" w:rsidRPr="006F7A67">
              <w:rPr>
                <w:b/>
                <w:sz w:val="20"/>
                <w:szCs w:val="20"/>
              </w:rPr>
              <w:t>C</w:t>
            </w:r>
            <w:r w:rsidRPr="006F7A67">
              <w:rPr>
                <w:b/>
                <w:sz w:val="20"/>
                <w:szCs w:val="20"/>
              </w:rPr>
              <w:t xml:space="preserve">ompagnie d'assurance générale </w:t>
            </w:r>
            <w:r w:rsidR="00C97DEF" w:rsidRPr="006F7A67">
              <w:rPr>
                <w:b/>
                <w:sz w:val="20"/>
                <w:szCs w:val="20"/>
              </w:rPr>
              <w:t>CO</w:t>
            </w:r>
            <w:r w:rsidRPr="006F7A67">
              <w:rPr>
                <w:b/>
                <w:sz w:val="20"/>
                <w:szCs w:val="20"/>
              </w:rPr>
              <w:t>-</w:t>
            </w:r>
            <w:r w:rsidR="00C97DEF" w:rsidRPr="006F7A67">
              <w:rPr>
                <w:b/>
                <w:sz w:val="20"/>
                <w:szCs w:val="20"/>
              </w:rPr>
              <w:t>O</w:t>
            </w:r>
            <w:r w:rsidRPr="006F7A67">
              <w:rPr>
                <w:b/>
                <w:sz w:val="20"/>
                <w:szCs w:val="20"/>
              </w:rPr>
              <w:t xml:space="preserve">perators c. La </w:t>
            </w:r>
            <w:r w:rsidR="00DB0D35">
              <w:rPr>
                <w:b/>
                <w:sz w:val="20"/>
                <w:szCs w:val="20"/>
              </w:rPr>
              <w:t>C</w:t>
            </w:r>
            <w:r w:rsidRPr="006F7A67">
              <w:rPr>
                <w:b/>
                <w:sz w:val="20"/>
                <w:szCs w:val="20"/>
              </w:rPr>
              <w:t>oop fédérée</w:t>
            </w:r>
            <w:bookmarkStart w:id="5" w:name="_GoBack"/>
            <w:bookmarkEnd w:id="5"/>
            <w:r w:rsidR="00C97DEF" w:rsidRPr="006F7A67">
              <w:rPr>
                <w:b/>
                <w:sz w:val="20"/>
                <w:szCs w:val="20"/>
              </w:rPr>
              <w:t xml:space="preserve"> et</w:t>
            </w:r>
            <w:r w:rsidRPr="006F7A67">
              <w:rPr>
                <w:b/>
                <w:sz w:val="20"/>
                <w:szCs w:val="20"/>
              </w:rPr>
              <w:t xml:space="preserve"> Banque </w:t>
            </w:r>
            <w:r w:rsidR="00C97DEF" w:rsidRPr="006F7A67">
              <w:rPr>
                <w:b/>
                <w:sz w:val="20"/>
                <w:szCs w:val="20"/>
              </w:rPr>
              <w:t>N</w:t>
            </w:r>
            <w:r w:rsidRPr="006F7A67">
              <w:rPr>
                <w:b/>
                <w:sz w:val="20"/>
                <w:szCs w:val="20"/>
              </w:rPr>
              <w:t>ationale du Canada</w:t>
            </w:r>
          </w:p>
          <w:p w:rsidR="00C97DEF" w:rsidRPr="006F7A67" w:rsidRDefault="00C97DEF" w:rsidP="00C97DEF">
            <w:pPr>
              <w:pStyle w:val="SCCLsocOtherPartySeparator"/>
              <w:rPr>
                <w:sz w:val="20"/>
                <w:szCs w:val="20"/>
                <w:lang w:val="fr-CA"/>
              </w:rPr>
            </w:pPr>
            <w:r w:rsidRPr="006F7A67">
              <w:rPr>
                <w:sz w:val="20"/>
                <w:szCs w:val="20"/>
                <w:lang w:val="fr-CA"/>
              </w:rPr>
              <w:t>- et -</w:t>
            </w:r>
          </w:p>
          <w:p w:rsidR="00C97DEF" w:rsidRPr="006F7A67" w:rsidRDefault="00C97DEF" w:rsidP="00C97DEF">
            <w:pPr>
              <w:pStyle w:val="SCCLsocParty"/>
              <w:jc w:val="both"/>
              <w:rPr>
                <w:b/>
                <w:sz w:val="20"/>
                <w:szCs w:val="20"/>
              </w:rPr>
            </w:pPr>
            <w:r w:rsidRPr="006F7A67">
              <w:rPr>
                <w:b/>
                <w:sz w:val="20"/>
                <w:szCs w:val="20"/>
              </w:rPr>
              <w:t>Liberty International Underwriters</w:t>
            </w:r>
          </w:p>
          <w:p w:rsidR="00197F36" w:rsidRPr="006F7A67" w:rsidRDefault="00197F36" w:rsidP="0019255A">
            <w:pPr>
              <w:pStyle w:val="SCCLsocSubfileSeparator0"/>
              <w:rPr>
                <w:sz w:val="20"/>
                <w:szCs w:val="20"/>
                <w:lang w:val="fr-CA"/>
              </w:rPr>
            </w:pPr>
            <w:r w:rsidRPr="006F7A67">
              <w:rPr>
                <w:sz w:val="20"/>
                <w:szCs w:val="20"/>
                <w:lang w:val="fr-CA"/>
              </w:rPr>
              <w:t>- et entre -</w:t>
            </w:r>
          </w:p>
          <w:p w:rsidR="00197F36" w:rsidRPr="006F7A67" w:rsidRDefault="00197F36" w:rsidP="0019255A">
            <w:pPr>
              <w:pStyle w:val="SCCLsocParty"/>
              <w:jc w:val="both"/>
              <w:rPr>
                <w:b/>
                <w:sz w:val="20"/>
                <w:szCs w:val="20"/>
              </w:rPr>
            </w:pPr>
            <w:r w:rsidRPr="006F7A67">
              <w:rPr>
                <w:b/>
                <w:sz w:val="20"/>
                <w:szCs w:val="20"/>
              </w:rPr>
              <w:t xml:space="preserve">La </w:t>
            </w:r>
            <w:r w:rsidR="00C97DEF" w:rsidRPr="006F7A67">
              <w:rPr>
                <w:b/>
                <w:sz w:val="20"/>
                <w:szCs w:val="20"/>
              </w:rPr>
              <w:t>C</w:t>
            </w:r>
            <w:r w:rsidRPr="006F7A67">
              <w:rPr>
                <w:b/>
                <w:sz w:val="20"/>
                <w:szCs w:val="20"/>
              </w:rPr>
              <w:t xml:space="preserve">oop fédérée c. La </w:t>
            </w:r>
            <w:r w:rsidR="00C97DEF" w:rsidRPr="006F7A67">
              <w:rPr>
                <w:b/>
                <w:sz w:val="20"/>
                <w:szCs w:val="20"/>
              </w:rPr>
              <w:t>C</w:t>
            </w:r>
            <w:r w:rsidRPr="006F7A67">
              <w:rPr>
                <w:b/>
                <w:sz w:val="20"/>
                <w:szCs w:val="20"/>
              </w:rPr>
              <w:t xml:space="preserve">ompagnie d'assurance générale </w:t>
            </w:r>
            <w:r w:rsidR="00C97DEF" w:rsidRPr="006F7A67">
              <w:rPr>
                <w:b/>
                <w:sz w:val="20"/>
                <w:szCs w:val="20"/>
              </w:rPr>
              <w:t>CO</w:t>
            </w:r>
            <w:r w:rsidRPr="006F7A67">
              <w:rPr>
                <w:b/>
                <w:sz w:val="20"/>
                <w:szCs w:val="20"/>
              </w:rPr>
              <w:t>-</w:t>
            </w:r>
            <w:r w:rsidR="00C97DEF" w:rsidRPr="006F7A67">
              <w:rPr>
                <w:b/>
                <w:sz w:val="20"/>
                <w:szCs w:val="20"/>
              </w:rPr>
              <w:t>O</w:t>
            </w:r>
            <w:r w:rsidRPr="006F7A67">
              <w:rPr>
                <w:b/>
                <w:sz w:val="20"/>
                <w:szCs w:val="20"/>
              </w:rPr>
              <w:t>perators</w:t>
            </w:r>
          </w:p>
          <w:p w:rsidR="00197F36" w:rsidRPr="006F7A67" w:rsidRDefault="00197F36" w:rsidP="0019255A">
            <w:pPr>
              <w:pStyle w:val="SCCLsocOtherPartySeparator"/>
              <w:rPr>
                <w:sz w:val="20"/>
                <w:szCs w:val="20"/>
                <w:lang w:val="fr-CA"/>
              </w:rPr>
            </w:pPr>
            <w:r w:rsidRPr="006F7A67">
              <w:rPr>
                <w:sz w:val="20"/>
                <w:szCs w:val="20"/>
                <w:lang w:val="fr-CA"/>
              </w:rPr>
              <w:t>- et -</w:t>
            </w:r>
          </w:p>
          <w:p w:rsidR="00197F36" w:rsidRPr="006F7A67" w:rsidRDefault="00C97DEF" w:rsidP="0019255A">
            <w:pPr>
              <w:pStyle w:val="SCCLsocParty"/>
              <w:jc w:val="both"/>
              <w:rPr>
                <w:b/>
                <w:sz w:val="20"/>
                <w:szCs w:val="20"/>
              </w:rPr>
            </w:pPr>
            <w:r w:rsidRPr="006F7A67">
              <w:rPr>
                <w:b/>
                <w:sz w:val="20"/>
                <w:szCs w:val="20"/>
              </w:rPr>
              <w:t>Banque Nationale du Canada et Liberty International Underwriters</w:t>
            </w:r>
          </w:p>
          <w:p w:rsidR="00197F36" w:rsidRPr="006F7A67" w:rsidRDefault="00197F36" w:rsidP="0019255A">
            <w:pPr>
              <w:jc w:val="both"/>
              <w:rPr>
                <w:sz w:val="20"/>
                <w:lang w:val="fr-CA"/>
              </w:rPr>
            </w:pPr>
            <w:r w:rsidRPr="006F7A67">
              <w:rPr>
                <w:sz w:val="20"/>
                <w:lang w:val="fr-CA"/>
              </w:rPr>
              <w:t>(Qc) (Civile) (Autorisation)</w:t>
            </w:r>
          </w:p>
        </w:tc>
      </w:tr>
      <w:tr w:rsidR="008E1182" w:rsidRPr="00DB0D35" w:rsidTr="0019255A">
        <w:tc>
          <w:tcPr>
            <w:tcW w:w="5000" w:type="pct"/>
            <w:gridSpan w:val="2"/>
          </w:tcPr>
          <w:p w:rsidR="008E1182" w:rsidRPr="006F7A67" w:rsidRDefault="008E1182" w:rsidP="0019255A">
            <w:pPr>
              <w:jc w:val="both"/>
              <w:rPr>
                <w:sz w:val="20"/>
                <w:szCs w:val="20"/>
                <w:lang w:val="fr-CA"/>
              </w:rPr>
            </w:pPr>
            <w:r w:rsidRPr="006F7A67">
              <w:rPr>
                <w:sz w:val="20"/>
                <w:szCs w:val="20"/>
                <w:lang w:val="fr-CA"/>
              </w:rPr>
              <w:t>La demande d’autorisation d’appel de La Coop fédérée de l’arrêt de la Cour d’appel du Québec (Montréal), numéro 500-09-026586-172, 2019 QCCA 1678, daté du 4 octobre 2019, est rejet</w:t>
            </w:r>
            <w:r w:rsidRPr="006F7A67">
              <w:rPr>
                <w:rFonts w:cs="Times New Roman"/>
                <w:sz w:val="20"/>
                <w:szCs w:val="20"/>
                <w:lang w:val="fr-CA"/>
              </w:rPr>
              <w:t>é</w:t>
            </w:r>
            <w:r w:rsidRPr="006F7A67">
              <w:rPr>
                <w:sz w:val="20"/>
                <w:szCs w:val="20"/>
                <w:lang w:val="fr-CA"/>
              </w:rPr>
              <w:t>e avec d</w:t>
            </w:r>
            <w:r w:rsidRPr="006F7A67">
              <w:rPr>
                <w:rFonts w:cs="Times New Roman"/>
                <w:sz w:val="20"/>
                <w:szCs w:val="20"/>
                <w:lang w:val="fr-CA"/>
              </w:rPr>
              <w:t>é</w:t>
            </w:r>
            <w:r w:rsidRPr="006F7A67">
              <w:rPr>
                <w:sz w:val="20"/>
                <w:szCs w:val="20"/>
                <w:lang w:val="fr-CA"/>
              </w:rPr>
              <w:t>pens et la demande d’autorisation d’appel de La Compagnie d’assurance g</w:t>
            </w:r>
            <w:r w:rsidRPr="006F7A67">
              <w:rPr>
                <w:rFonts w:cs="Times New Roman"/>
                <w:sz w:val="20"/>
                <w:szCs w:val="20"/>
                <w:lang w:val="fr-CA"/>
              </w:rPr>
              <w:t>é</w:t>
            </w:r>
            <w:r w:rsidRPr="006F7A67">
              <w:rPr>
                <w:sz w:val="20"/>
                <w:szCs w:val="20"/>
                <w:lang w:val="fr-CA"/>
              </w:rPr>
              <w:t>n</w:t>
            </w:r>
            <w:r w:rsidRPr="006F7A67">
              <w:rPr>
                <w:rFonts w:cs="Times New Roman"/>
                <w:sz w:val="20"/>
                <w:szCs w:val="20"/>
                <w:lang w:val="fr-CA"/>
              </w:rPr>
              <w:t>é</w:t>
            </w:r>
            <w:r w:rsidRPr="006F7A67">
              <w:rPr>
                <w:sz w:val="20"/>
                <w:szCs w:val="20"/>
                <w:lang w:val="fr-CA"/>
              </w:rPr>
              <w:t>rale CO-Operators est accueillie avec d</w:t>
            </w:r>
            <w:r w:rsidRPr="006F7A67">
              <w:rPr>
                <w:rFonts w:cs="Times New Roman"/>
                <w:sz w:val="20"/>
                <w:szCs w:val="20"/>
                <w:lang w:val="fr-CA"/>
              </w:rPr>
              <w:t>é</w:t>
            </w:r>
            <w:r w:rsidRPr="006F7A67">
              <w:rPr>
                <w:sz w:val="20"/>
                <w:szCs w:val="20"/>
                <w:lang w:val="fr-CA"/>
              </w:rPr>
              <w:t>pens suivant l’issue de la cause.</w:t>
            </w:r>
          </w:p>
          <w:p w:rsidR="008E1182" w:rsidRPr="006F7A67" w:rsidRDefault="008E1182" w:rsidP="0019255A">
            <w:pPr>
              <w:jc w:val="both"/>
              <w:rPr>
                <w:sz w:val="20"/>
                <w:lang w:val="fr-CA"/>
              </w:rPr>
            </w:pPr>
          </w:p>
        </w:tc>
      </w:tr>
      <w:tr w:rsidR="00197F36" w:rsidRPr="006F7A67" w:rsidTr="0019255A">
        <w:tc>
          <w:tcPr>
            <w:tcW w:w="5000" w:type="pct"/>
            <w:gridSpan w:val="2"/>
          </w:tcPr>
          <w:p w:rsidR="00197F36" w:rsidRPr="006F7A67" w:rsidRDefault="00197F36" w:rsidP="0019255A">
            <w:pPr>
              <w:jc w:val="both"/>
              <w:rPr>
                <w:sz w:val="20"/>
                <w:lang w:val="fr-CA"/>
              </w:rPr>
            </w:pPr>
            <w:r w:rsidRPr="006F7A67">
              <w:rPr>
                <w:sz w:val="20"/>
                <w:lang w:val="fr-CA"/>
              </w:rPr>
              <w:t>Institutions financières — Banques — Fraude — Assurances — Assurances de biens — Pluralité de polices — Virement électronique de fonds effectué par manœuvres dolosives ou « hameçonnage » —Nature juridique d’un virement électronique de fonds et incidence sur couverture d’assurance — Calcul de l’indemnité totale due par les assureurs — Doit</w:t>
            </w:r>
            <w:r w:rsidRPr="006F7A67">
              <w:rPr>
                <w:sz w:val="20"/>
                <w:lang w:val="fr-CA"/>
              </w:rPr>
              <w:noBreakHyphen/>
              <w:t>on donner effet à un ordre de paiement contrefait et non autorisé? — Doit</w:t>
            </w:r>
            <w:r w:rsidRPr="006F7A67">
              <w:rPr>
                <w:sz w:val="20"/>
                <w:lang w:val="fr-CA"/>
              </w:rPr>
              <w:noBreakHyphen/>
              <w:t>on traiter le client de la banque différemment selon que son compte est débiteur ou créditeur? — Qui, de l’institution financière ou du client, doit assumer la perte d’une somme qu’un tiers s’est appropriée par hameçonnage sur un compte bancaire comportant une ouverture de crédit? — Le cas échéant, la police d’assurance émise par l’assureur Co</w:t>
            </w:r>
            <w:r w:rsidRPr="006F7A67">
              <w:rPr>
                <w:sz w:val="20"/>
                <w:lang w:val="fr-CA"/>
              </w:rPr>
              <w:noBreakHyphen/>
              <w:t>operators trouve</w:t>
            </w:r>
            <w:r w:rsidRPr="006F7A67">
              <w:rPr>
                <w:sz w:val="20"/>
                <w:lang w:val="fr-CA"/>
              </w:rPr>
              <w:noBreakHyphen/>
              <w:t>t</w:t>
            </w:r>
            <w:r w:rsidRPr="006F7A67">
              <w:rPr>
                <w:sz w:val="20"/>
                <w:lang w:val="fr-CA"/>
              </w:rPr>
              <w:noBreakHyphen/>
              <w:t>elle application? — La Cour d’appel a</w:t>
            </w:r>
            <w:r w:rsidRPr="006F7A67">
              <w:rPr>
                <w:sz w:val="20"/>
                <w:lang w:val="fr-CA"/>
              </w:rPr>
              <w:noBreakHyphen/>
              <w:t>t</w:t>
            </w:r>
            <w:r w:rsidRPr="006F7A67">
              <w:rPr>
                <w:sz w:val="20"/>
                <w:lang w:val="fr-CA"/>
              </w:rPr>
              <w:noBreakHyphen/>
              <w:t>elle erré lorsqu’elle a appliqué le taux de conversion de 1,3120 afin de traduire la perte subie en dollars canadiens? — En concluant à la pluralité d’assurances, la Cour d’appel a</w:t>
            </w:r>
            <w:r w:rsidRPr="006F7A67">
              <w:rPr>
                <w:sz w:val="20"/>
                <w:lang w:val="fr-CA"/>
              </w:rPr>
              <w:noBreakHyphen/>
              <w:t>t</w:t>
            </w:r>
            <w:r w:rsidRPr="006F7A67">
              <w:rPr>
                <w:sz w:val="20"/>
                <w:lang w:val="fr-CA"/>
              </w:rPr>
              <w:noBreakHyphen/>
              <w:t>elle erré dans l’application des six critères retenus par la jurisprudence? — La Cour d’appel a</w:t>
            </w:r>
            <w:r w:rsidRPr="006F7A67">
              <w:rPr>
                <w:sz w:val="20"/>
                <w:lang w:val="fr-CA"/>
              </w:rPr>
              <w:noBreakHyphen/>
              <w:t>t</w:t>
            </w:r>
            <w:r w:rsidRPr="006F7A67">
              <w:rPr>
                <w:sz w:val="20"/>
                <w:lang w:val="fr-CA"/>
              </w:rPr>
              <w:noBreakHyphen/>
              <w:t xml:space="preserve">elle erré dans son calcul du montant de l’indemnité totale due à La Coop fédérée par ses deux assureurs lorsqu’elle a déduit du montant de la perte la rétention de 500 000$ et la franchise de 5 000$? — </w:t>
            </w:r>
            <w:r w:rsidRPr="006F7A67">
              <w:rPr>
                <w:i/>
                <w:sz w:val="20"/>
                <w:lang w:val="fr-CA"/>
              </w:rPr>
              <w:t>Loi sur les lettres de change</w:t>
            </w:r>
            <w:r w:rsidRPr="006F7A67">
              <w:rPr>
                <w:sz w:val="20"/>
                <w:lang w:val="fr-CA"/>
              </w:rPr>
              <w:t>, L.R.C. 1985, c. B</w:t>
            </w:r>
            <w:r w:rsidRPr="006F7A67">
              <w:rPr>
                <w:sz w:val="20"/>
                <w:lang w:val="fr-CA"/>
              </w:rPr>
              <w:noBreakHyphen/>
              <w:t>4, arts. 16(1</w:t>
            </w:r>
            <w:proofErr w:type="gramStart"/>
            <w:r w:rsidRPr="006F7A67">
              <w:rPr>
                <w:sz w:val="20"/>
                <w:lang w:val="fr-CA"/>
              </w:rPr>
              <w:t>)</w:t>
            </w:r>
            <w:r w:rsidRPr="006F7A67">
              <w:rPr>
                <w:sz w:val="20"/>
                <w:lang w:val="fr-CA"/>
              </w:rPr>
              <w:noBreakHyphen/>
            </w:r>
            <w:proofErr w:type="gramEnd"/>
            <w:r w:rsidRPr="006F7A67">
              <w:rPr>
                <w:sz w:val="20"/>
                <w:lang w:val="fr-CA"/>
              </w:rPr>
              <w:t xml:space="preserve">(2) et 48(1) — </w:t>
            </w:r>
            <w:r w:rsidRPr="006F7A67">
              <w:rPr>
                <w:i/>
                <w:sz w:val="20"/>
                <w:lang w:val="fr-CA"/>
              </w:rPr>
              <w:t>Code civil du Québec</w:t>
            </w:r>
            <w:r w:rsidRPr="006F7A67">
              <w:rPr>
                <w:sz w:val="20"/>
                <w:lang w:val="fr-CA"/>
              </w:rPr>
              <w:t>, arts. 2327 et 2496 al. 3.</w:t>
            </w:r>
          </w:p>
        </w:tc>
      </w:tr>
      <w:tr w:rsidR="00197F36" w:rsidRPr="006F7A67" w:rsidTr="0019255A">
        <w:tc>
          <w:tcPr>
            <w:tcW w:w="5000" w:type="pct"/>
            <w:gridSpan w:val="2"/>
          </w:tcPr>
          <w:p w:rsidR="00197F36" w:rsidRPr="006F7A67" w:rsidRDefault="00197F36" w:rsidP="0019255A">
            <w:pPr>
              <w:jc w:val="both"/>
              <w:rPr>
                <w:sz w:val="20"/>
                <w:lang w:val="fr-CA"/>
              </w:rPr>
            </w:pPr>
          </w:p>
        </w:tc>
      </w:tr>
      <w:tr w:rsidR="00197F36" w:rsidRPr="00DB0D35" w:rsidTr="0019255A">
        <w:tc>
          <w:tcPr>
            <w:tcW w:w="5000" w:type="pct"/>
            <w:gridSpan w:val="2"/>
          </w:tcPr>
          <w:p w:rsidR="00197F36" w:rsidRPr="006F7A67" w:rsidRDefault="00197F36" w:rsidP="0019255A">
            <w:pPr>
              <w:jc w:val="both"/>
              <w:rPr>
                <w:sz w:val="20"/>
                <w:lang w:val="fr-CA"/>
              </w:rPr>
            </w:pPr>
            <w:r w:rsidRPr="006F7A67">
              <w:rPr>
                <w:sz w:val="20"/>
                <w:lang w:val="fr-CA"/>
              </w:rPr>
              <w:t>La Coop fédérée (« Coop ») est une cliente de la Banque nationale du Canada (« BNC ») qui a été victime d’hameçonnage, c’est</w:t>
            </w:r>
            <w:r w:rsidRPr="006F7A67">
              <w:rPr>
                <w:sz w:val="20"/>
                <w:lang w:val="fr-CA"/>
              </w:rPr>
              <w:noBreakHyphen/>
              <w:t>à</w:t>
            </w:r>
            <w:r w:rsidRPr="006F7A67">
              <w:rPr>
                <w:sz w:val="20"/>
                <w:lang w:val="fr-CA"/>
              </w:rPr>
              <w:noBreakHyphen/>
              <w:t>dire, d’une fraude sur Internet visant à obtenir des renseignements confidentiels par des messages émanant en toute apparence d’un organisme institutionnel ou d’un tiers de confiance. Cette fraude a provoqué un virement électronique de fonds du compte de la Coop de plusieurs millions de dollars. La Coop est détentrice de deux polices d’assurance qui pourraient s’appliquer à la perte subie: (1) une police jusqu’à concurrence de 15 M$ émise par La compagnie d’assurance générale Co</w:t>
            </w:r>
            <w:r w:rsidRPr="006F7A67">
              <w:rPr>
                <w:sz w:val="20"/>
                <w:lang w:val="fr-CA"/>
              </w:rPr>
              <w:noBreakHyphen/>
              <w:t>operators (« Co</w:t>
            </w:r>
            <w:r w:rsidRPr="006F7A67">
              <w:rPr>
                <w:sz w:val="20"/>
                <w:lang w:val="fr-CA"/>
              </w:rPr>
              <w:noBreakHyphen/>
              <w:t>operators »); et (2) une autre au montant de 1 M$ émise par Liberty International Underwriters (« Liberty »). Liberty a payé à la Coop la limite de la garantie prévue dans le contrat, mais Co</w:t>
            </w:r>
            <w:r w:rsidRPr="006F7A67">
              <w:rPr>
                <w:sz w:val="20"/>
                <w:lang w:val="fr-CA"/>
              </w:rPr>
              <w:noBreakHyphen/>
              <w:t>operators a nié couverture. La Coop a intenté des procédures en jugement déclaratoire (dossier no. 500</w:t>
            </w:r>
            <w:r w:rsidRPr="006F7A67">
              <w:rPr>
                <w:sz w:val="20"/>
                <w:lang w:val="fr-CA"/>
              </w:rPr>
              <w:noBreakHyphen/>
              <w:t>17</w:t>
            </w:r>
            <w:r w:rsidRPr="006F7A67">
              <w:rPr>
                <w:sz w:val="20"/>
                <w:lang w:val="fr-CA"/>
              </w:rPr>
              <w:noBreakHyphen/>
              <w:t>092055</w:t>
            </w:r>
            <w:r w:rsidRPr="006F7A67">
              <w:rPr>
                <w:sz w:val="20"/>
                <w:lang w:val="fr-CA"/>
              </w:rPr>
              <w:noBreakHyphen/>
              <w:t>154 (« 154 »)) pour faire entre autres déterminer ses droits et obligations découlant des deux polices. Liberty a pour sa part déposé une requête introductive d’instance (dossier numéro 500</w:t>
            </w:r>
            <w:r w:rsidRPr="006F7A67">
              <w:rPr>
                <w:sz w:val="20"/>
                <w:lang w:val="fr-CA"/>
              </w:rPr>
              <w:noBreakHyphen/>
              <w:t>17</w:t>
            </w:r>
            <w:r w:rsidRPr="006F7A67">
              <w:rPr>
                <w:sz w:val="20"/>
                <w:lang w:val="fr-CA"/>
              </w:rPr>
              <w:noBreakHyphen/>
              <w:t>092579</w:t>
            </w:r>
            <w:r w:rsidRPr="006F7A67">
              <w:rPr>
                <w:sz w:val="20"/>
                <w:lang w:val="fr-CA"/>
              </w:rPr>
              <w:noBreakHyphen/>
              <w:t>161 (« 161 »)) en vertu de l’art. 2496 C.c.Q., disposition qui régit la relation entre des assureurs multiples. Liberty cherche entre autres à recouvrir auprès de Co</w:t>
            </w:r>
            <w:r w:rsidRPr="006F7A67">
              <w:rPr>
                <w:sz w:val="20"/>
                <w:lang w:val="fr-CA"/>
              </w:rPr>
              <w:noBreakHyphen/>
              <w:t>operators une partie des sommes qu’elle a déboursées à la Coop en proportion avec les limites d’assurance de chaque police. La Cour supérieure a accueilli en partie la requête introductive d’instance de la Coop et a condamné Co</w:t>
            </w:r>
            <w:r w:rsidRPr="006F7A67">
              <w:rPr>
                <w:sz w:val="20"/>
                <w:lang w:val="fr-CA"/>
              </w:rPr>
              <w:noBreakHyphen/>
              <w:t>operators à payer la somme de 726 124,47$ à Liberty. Co</w:t>
            </w:r>
            <w:r w:rsidRPr="006F7A67">
              <w:rPr>
                <w:sz w:val="20"/>
                <w:lang w:val="fr-CA"/>
              </w:rPr>
              <w:noBreakHyphen/>
              <w:t>operators a porté appel de certaines conclusions formulées dans les deux dossiers ayant été tranchés par la Cour supérieure. L’appel dans le dossier no. 154 a été accueilli en partie, et celui dans le dossier no. 161 a été accueilli en entier.</w:t>
            </w:r>
          </w:p>
          <w:p w:rsidR="00197F36" w:rsidRPr="006F7A67" w:rsidRDefault="00197F36" w:rsidP="0019255A">
            <w:pPr>
              <w:jc w:val="both"/>
              <w:rPr>
                <w:sz w:val="20"/>
                <w:lang w:val="fr-CA"/>
              </w:rPr>
            </w:pPr>
          </w:p>
        </w:tc>
      </w:tr>
    </w:tbl>
    <w:p w:rsidR="001A0C1D" w:rsidRPr="006F7A67" w:rsidRDefault="001A0C1D">
      <w:pPr>
        <w:rPr>
          <w:lang w:val="fr-CA"/>
        </w:rPr>
      </w:pPr>
      <w:r w:rsidRPr="006F7A6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7F36" w:rsidRPr="00DB0D35" w:rsidTr="0019255A">
        <w:tc>
          <w:tcPr>
            <w:tcW w:w="2427" w:type="pct"/>
          </w:tcPr>
          <w:p w:rsidR="00197F36" w:rsidRPr="006F7A67" w:rsidRDefault="00197F36" w:rsidP="0019255A">
            <w:pPr>
              <w:jc w:val="both"/>
              <w:rPr>
                <w:sz w:val="20"/>
                <w:lang w:val="fr-CA"/>
              </w:rPr>
            </w:pPr>
            <w:r w:rsidRPr="006F7A67">
              <w:rPr>
                <w:sz w:val="20"/>
                <w:lang w:val="fr-CA"/>
              </w:rPr>
              <w:t xml:space="preserve">Le 14 décembre 2016 </w:t>
            </w:r>
          </w:p>
          <w:p w:rsidR="00197F36" w:rsidRPr="006F7A67" w:rsidRDefault="00197F36" w:rsidP="0019255A">
            <w:pPr>
              <w:jc w:val="both"/>
              <w:rPr>
                <w:sz w:val="20"/>
                <w:lang w:val="fr-CA"/>
              </w:rPr>
            </w:pPr>
            <w:r w:rsidRPr="006F7A67">
              <w:rPr>
                <w:sz w:val="20"/>
                <w:lang w:val="fr-CA"/>
              </w:rPr>
              <w:t>(avec rectification le 9 janvier 2017)</w:t>
            </w:r>
          </w:p>
          <w:p w:rsidR="00197F36" w:rsidRPr="006F7A67" w:rsidRDefault="00197F36" w:rsidP="0019255A">
            <w:pPr>
              <w:jc w:val="both"/>
              <w:rPr>
                <w:sz w:val="20"/>
                <w:lang w:val="fr-CA"/>
              </w:rPr>
            </w:pPr>
            <w:r w:rsidRPr="006F7A67">
              <w:rPr>
                <w:sz w:val="20"/>
                <w:lang w:val="fr-CA"/>
              </w:rPr>
              <w:t>Cour supérieure du Québec</w:t>
            </w:r>
          </w:p>
          <w:p w:rsidR="00197F36" w:rsidRPr="006F7A67" w:rsidRDefault="00197F36" w:rsidP="0019255A">
            <w:pPr>
              <w:jc w:val="both"/>
              <w:rPr>
                <w:sz w:val="20"/>
                <w:lang w:val="fr-CA"/>
              </w:rPr>
            </w:pPr>
            <w:r w:rsidRPr="006F7A67">
              <w:rPr>
                <w:sz w:val="20"/>
                <w:lang w:val="fr-CA"/>
              </w:rPr>
              <w:t xml:space="preserve">(le juge </w:t>
            </w:r>
            <w:proofErr w:type="spellStart"/>
            <w:r w:rsidRPr="006F7A67">
              <w:rPr>
                <w:sz w:val="20"/>
                <w:lang w:val="fr-CA"/>
              </w:rPr>
              <w:t>Déziel</w:t>
            </w:r>
            <w:proofErr w:type="spellEnd"/>
            <w:r w:rsidRPr="006F7A67">
              <w:rPr>
                <w:sz w:val="20"/>
                <w:lang w:val="fr-CA"/>
              </w:rPr>
              <w:t>)</w:t>
            </w:r>
          </w:p>
          <w:p w:rsidR="00197F36" w:rsidRPr="006F7A67" w:rsidRDefault="00197F36" w:rsidP="0019255A">
            <w:pPr>
              <w:jc w:val="both"/>
              <w:rPr>
                <w:sz w:val="20"/>
              </w:rPr>
            </w:pPr>
            <w:r w:rsidRPr="006F7A67">
              <w:rPr>
                <w:sz w:val="20"/>
              </w:rPr>
              <w:t>Nos. dossier 500</w:t>
            </w:r>
            <w:r w:rsidRPr="006F7A67">
              <w:rPr>
                <w:sz w:val="20"/>
              </w:rPr>
              <w:noBreakHyphen/>
              <w:t>17</w:t>
            </w:r>
            <w:r w:rsidRPr="006F7A67">
              <w:rPr>
                <w:sz w:val="20"/>
              </w:rPr>
              <w:noBreakHyphen/>
              <w:t>092055</w:t>
            </w:r>
            <w:r w:rsidRPr="006F7A67">
              <w:rPr>
                <w:sz w:val="20"/>
              </w:rPr>
              <w:noBreakHyphen/>
              <w:t xml:space="preserve">154 et </w:t>
            </w:r>
          </w:p>
          <w:p w:rsidR="00197F36" w:rsidRPr="006F7A67" w:rsidRDefault="00197F36" w:rsidP="0019255A">
            <w:pPr>
              <w:jc w:val="both"/>
              <w:rPr>
                <w:sz w:val="20"/>
              </w:rPr>
            </w:pPr>
            <w:r w:rsidRPr="006F7A67">
              <w:rPr>
                <w:sz w:val="20"/>
              </w:rPr>
              <w:t>500</w:t>
            </w:r>
            <w:r w:rsidRPr="006F7A67">
              <w:rPr>
                <w:sz w:val="20"/>
              </w:rPr>
              <w:noBreakHyphen/>
              <w:t>17</w:t>
            </w:r>
            <w:r w:rsidRPr="006F7A67">
              <w:rPr>
                <w:sz w:val="20"/>
              </w:rPr>
              <w:noBreakHyphen/>
              <w:t>092579</w:t>
            </w:r>
            <w:r w:rsidRPr="006F7A67">
              <w:rPr>
                <w:sz w:val="20"/>
              </w:rPr>
              <w:noBreakHyphen/>
              <w:t>161</w:t>
            </w:r>
          </w:p>
          <w:p w:rsidR="00197F36" w:rsidRPr="006F7A67" w:rsidRDefault="00300F06" w:rsidP="0019255A">
            <w:pPr>
              <w:jc w:val="both"/>
              <w:rPr>
                <w:sz w:val="20"/>
              </w:rPr>
            </w:pPr>
            <w:hyperlink r:id="rId23" w:history="1">
              <w:r w:rsidR="00197F36" w:rsidRPr="006F7A67">
                <w:rPr>
                  <w:rStyle w:val="Hyperlink"/>
                  <w:sz w:val="20"/>
                </w:rPr>
                <w:t>2016 QCCS 6302</w:t>
              </w:r>
            </w:hyperlink>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lang w:val="fr-CA"/>
              </w:rPr>
            </w:pPr>
            <w:r w:rsidRPr="006F7A67">
              <w:rPr>
                <w:b/>
                <w:sz w:val="20"/>
                <w:lang w:val="fr-CA"/>
              </w:rPr>
              <w:t xml:space="preserve">Dossier no. 500-17-092055-154 : </w:t>
            </w:r>
            <w:r w:rsidRPr="006F7A67">
              <w:rPr>
                <w:sz w:val="20"/>
                <w:lang w:val="fr-CA"/>
              </w:rPr>
              <w:t>Demande en jugement déclaratoire de La Coop fédérée accueillie en partie; Demande de modification des moyens de défense de l’assureur Co-operators rejetée; Perte subie déclarée devoir être assumée par La Coop fédérée en vertu de l’art. 2327 C.c.Q.; Perte subie déclarée être couverte par police d’assurance émise par assureur Co</w:t>
            </w:r>
            <w:r w:rsidRPr="006F7A67">
              <w:rPr>
                <w:sz w:val="20"/>
                <w:lang w:val="fr-CA"/>
              </w:rPr>
              <w:noBreakHyphen/>
              <w:t>operators; Police d’assurance émise par assureur Liberty déclarée ne pas être une police spécifique aux termes de l’art. 2496 al. 3 C.c.Q.; Taux de change applicable à la perte en dollars américains déclaré être le taux en vigueur à la date du jugement, soit 1.3120; Assureur Co</w:t>
            </w:r>
            <w:r w:rsidRPr="006F7A67">
              <w:rPr>
                <w:sz w:val="20"/>
                <w:lang w:val="fr-CA"/>
              </w:rPr>
              <w:noBreakHyphen/>
              <w:t xml:space="preserve">Operators condamner à verser à La Coop fédérée la somme de 5 416 008,50 $ CA (4 128 055,26 $ US). </w:t>
            </w:r>
            <w:r w:rsidRPr="006F7A67">
              <w:rPr>
                <w:b/>
                <w:sz w:val="20"/>
                <w:lang w:val="fr-CA"/>
              </w:rPr>
              <w:t xml:space="preserve">Dossier no. 500-17-092579-161 : </w:t>
            </w:r>
            <w:r w:rsidRPr="006F7A67">
              <w:rPr>
                <w:sz w:val="20"/>
                <w:lang w:val="fr-CA"/>
              </w:rPr>
              <w:t>Assureur</w:t>
            </w:r>
            <w:r w:rsidRPr="006F7A67">
              <w:rPr>
                <w:b/>
                <w:sz w:val="20"/>
                <w:lang w:val="fr-CA"/>
              </w:rPr>
              <w:t xml:space="preserve"> </w:t>
            </w:r>
            <w:r w:rsidRPr="006F7A67">
              <w:rPr>
                <w:sz w:val="20"/>
                <w:lang w:val="fr-CA"/>
              </w:rPr>
              <w:t>Co</w:t>
            </w:r>
            <w:r w:rsidRPr="006F7A67">
              <w:rPr>
                <w:sz w:val="20"/>
                <w:lang w:val="fr-CA"/>
              </w:rPr>
              <w:noBreakHyphen/>
              <w:t>operators condamné à payer à assureur Liberty la somme de 726 124,47 $CA</w:t>
            </w:r>
          </w:p>
          <w:p w:rsidR="00197F36" w:rsidRPr="006F7A67" w:rsidRDefault="00197F36" w:rsidP="0019255A">
            <w:pPr>
              <w:jc w:val="both"/>
              <w:rPr>
                <w:sz w:val="20"/>
                <w:lang w:val="fr-CA"/>
              </w:rPr>
            </w:pPr>
          </w:p>
        </w:tc>
      </w:tr>
      <w:tr w:rsidR="00197F36" w:rsidRPr="00DB0D35" w:rsidTr="0019255A">
        <w:tc>
          <w:tcPr>
            <w:tcW w:w="2427" w:type="pct"/>
          </w:tcPr>
          <w:p w:rsidR="00197F36" w:rsidRPr="006F7A67" w:rsidRDefault="00197F36" w:rsidP="0019255A">
            <w:pPr>
              <w:jc w:val="both"/>
              <w:rPr>
                <w:sz w:val="20"/>
                <w:lang w:val="fr-CA"/>
              </w:rPr>
            </w:pPr>
            <w:r w:rsidRPr="006F7A67">
              <w:rPr>
                <w:sz w:val="20"/>
                <w:lang w:val="fr-CA"/>
              </w:rPr>
              <w:t>Le 4 octobre 2019</w:t>
            </w:r>
          </w:p>
          <w:p w:rsidR="00197F36" w:rsidRPr="006F7A67" w:rsidRDefault="00197F36" w:rsidP="0019255A">
            <w:pPr>
              <w:jc w:val="both"/>
              <w:rPr>
                <w:sz w:val="20"/>
                <w:lang w:val="fr-CA"/>
              </w:rPr>
            </w:pPr>
            <w:r w:rsidRPr="006F7A67">
              <w:rPr>
                <w:sz w:val="20"/>
                <w:lang w:val="fr-CA"/>
              </w:rPr>
              <w:t>Cour d’appel du Québec (Montréal)</w:t>
            </w:r>
          </w:p>
          <w:p w:rsidR="00197F36" w:rsidRPr="006F7A67" w:rsidRDefault="00197F36" w:rsidP="0019255A">
            <w:pPr>
              <w:jc w:val="both"/>
              <w:rPr>
                <w:sz w:val="20"/>
                <w:lang w:val="fr-CA"/>
              </w:rPr>
            </w:pPr>
            <w:r w:rsidRPr="006F7A67">
              <w:rPr>
                <w:sz w:val="20"/>
                <w:lang w:val="fr-CA"/>
              </w:rPr>
              <w:t xml:space="preserve">(les juges Dufresne, </w:t>
            </w:r>
            <w:proofErr w:type="spellStart"/>
            <w:r w:rsidRPr="006F7A67">
              <w:rPr>
                <w:sz w:val="20"/>
                <w:lang w:val="fr-CA"/>
              </w:rPr>
              <w:t>Healy</w:t>
            </w:r>
            <w:proofErr w:type="spellEnd"/>
            <w:r w:rsidRPr="006F7A67">
              <w:rPr>
                <w:sz w:val="20"/>
                <w:lang w:val="fr-CA"/>
              </w:rPr>
              <w:t xml:space="preserve"> et </w:t>
            </w:r>
            <w:proofErr w:type="spellStart"/>
            <w:r w:rsidRPr="006F7A67">
              <w:rPr>
                <w:sz w:val="20"/>
                <w:lang w:val="fr-CA"/>
              </w:rPr>
              <w:t>Cotnam</w:t>
            </w:r>
            <w:proofErr w:type="spellEnd"/>
            <w:r w:rsidRPr="006F7A67">
              <w:rPr>
                <w:sz w:val="20"/>
                <w:lang w:val="fr-CA"/>
              </w:rPr>
              <w:t>)</w:t>
            </w:r>
          </w:p>
          <w:p w:rsidR="00197F36" w:rsidRPr="006F7A67" w:rsidRDefault="00197F36" w:rsidP="0019255A">
            <w:pPr>
              <w:jc w:val="both"/>
              <w:rPr>
                <w:sz w:val="20"/>
              </w:rPr>
            </w:pPr>
            <w:r w:rsidRPr="006F7A67">
              <w:rPr>
                <w:sz w:val="20"/>
              </w:rPr>
              <w:t>Nos. dossier 500</w:t>
            </w:r>
            <w:r w:rsidRPr="006F7A67">
              <w:rPr>
                <w:sz w:val="20"/>
              </w:rPr>
              <w:noBreakHyphen/>
              <w:t>09</w:t>
            </w:r>
            <w:r w:rsidRPr="006F7A67">
              <w:rPr>
                <w:sz w:val="20"/>
              </w:rPr>
              <w:noBreakHyphen/>
              <w:t>026586</w:t>
            </w:r>
            <w:r w:rsidRPr="006F7A67">
              <w:rPr>
                <w:sz w:val="20"/>
              </w:rPr>
              <w:noBreakHyphen/>
              <w:t xml:space="preserve">172 et </w:t>
            </w:r>
          </w:p>
          <w:p w:rsidR="00197F36" w:rsidRPr="006F7A67" w:rsidRDefault="00197F36" w:rsidP="0019255A">
            <w:pPr>
              <w:jc w:val="both"/>
              <w:rPr>
                <w:sz w:val="20"/>
              </w:rPr>
            </w:pPr>
            <w:r w:rsidRPr="006F7A67">
              <w:rPr>
                <w:sz w:val="20"/>
              </w:rPr>
              <w:t>500</w:t>
            </w:r>
            <w:r w:rsidRPr="006F7A67">
              <w:rPr>
                <w:sz w:val="20"/>
              </w:rPr>
              <w:noBreakHyphen/>
              <w:t>09</w:t>
            </w:r>
            <w:r w:rsidRPr="006F7A67">
              <w:rPr>
                <w:sz w:val="20"/>
              </w:rPr>
              <w:noBreakHyphen/>
              <w:t>026587</w:t>
            </w:r>
            <w:r w:rsidRPr="006F7A67">
              <w:rPr>
                <w:sz w:val="20"/>
              </w:rPr>
              <w:noBreakHyphen/>
              <w:t>170</w:t>
            </w:r>
          </w:p>
          <w:p w:rsidR="00197F36" w:rsidRPr="006F7A67" w:rsidRDefault="00300F06" w:rsidP="0019255A">
            <w:pPr>
              <w:jc w:val="both"/>
              <w:rPr>
                <w:sz w:val="20"/>
              </w:rPr>
            </w:pPr>
            <w:hyperlink r:id="rId24" w:history="1">
              <w:r w:rsidR="00197F36" w:rsidRPr="006F7A67">
                <w:rPr>
                  <w:rStyle w:val="Hyperlink"/>
                  <w:sz w:val="20"/>
                </w:rPr>
                <w:t>2019 QCCA 1678</w:t>
              </w:r>
            </w:hyperlink>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lang w:val="fr-CA"/>
              </w:rPr>
            </w:pPr>
            <w:r w:rsidRPr="006F7A67">
              <w:rPr>
                <w:b/>
                <w:sz w:val="20"/>
                <w:lang w:val="fr-CA"/>
              </w:rPr>
              <w:t>Dossier no. 500-09-026586-172 :</w:t>
            </w:r>
            <w:r w:rsidRPr="006F7A67">
              <w:rPr>
                <w:sz w:val="20"/>
                <w:lang w:val="fr-CA"/>
              </w:rPr>
              <w:t xml:space="preserve"> Appel accueilli en partie; Jugement entrepris infirmé en partie; Paragraphes [189] et [191] du jugement entrepris modifiés pour déclarer que police émise par assureur Liberty constitue une police spécifique aux termes de l’article 2496 al. 3 C.c.Q. et pour ordonner à assureur Co</w:t>
            </w:r>
            <w:r w:rsidRPr="006F7A67">
              <w:rPr>
                <w:sz w:val="20"/>
                <w:lang w:val="fr-CA"/>
              </w:rPr>
              <w:noBreakHyphen/>
              <w:t xml:space="preserve">operators de payer à La Coop fédérée la somme de 4 984 618,10 $ CA; Toutes les autres conclusions du jugement entrepris maintenues; Appel incident de La Coop fédérée rejetée. </w:t>
            </w:r>
            <w:r w:rsidRPr="006F7A67">
              <w:rPr>
                <w:b/>
                <w:sz w:val="20"/>
                <w:lang w:val="fr-CA"/>
              </w:rPr>
              <w:t>Dossier no. 500-09-026587-170 :</w:t>
            </w:r>
            <w:r w:rsidRPr="006F7A67">
              <w:rPr>
                <w:sz w:val="20"/>
                <w:lang w:val="fr-CA"/>
              </w:rPr>
              <w:t xml:space="preserve"> Appel accueilli; Paragraphe [193] du jugement entrepris annulé; Demande introductive d’instance de l’assureur Liberty rejetée; Appel incident de La Coop fédérée rejetée</w:t>
            </w:r>
          </w:p>
          <w:p w:rsidR="00197F36" w:rsidRPr="006F7A67" w:rsidRDefault="00197F36" w:rsidP="0019255A">
            <w:pPr>
              <w:jc w:val="both"/>
              <w:rPr>
                <w:sz w:val="20"/>
                <w:lang w:val="fr-CA"/>
              </w:rPr>
            </w:pPr>
          </w:p>
        </w:tc>
      </w:tr>
      <w:tr w:rsidR="00197F36" w:rsidRPr="006F7A67" w:rsidTr="0019255A">
        <w:tc>
          <w:tcPr>
            <w:tcW w:w="2427" w:type="pct"/>
          </w:tcPr>
          <w:p w:rsidR="00197F36" w:rsidRPr="006F7A67" w:rsidRDefault="00197F36" w:rsidP="0019255A">
            <w:pPr>
              <w:jc w:val="both"/>
              <w:rPr>
                <w:sz w:val="20"/>
                <w:lang w:val="fr-CA"/>
              </w:rPr>
            </w:pPr>
            <w:r w:rsidRPr="006F7A67">
              <w:rPr>
                <w:sz w:val="20"/>
                <w:lang w:val="fr-CA"/>
              </w:rPr>
              <w:t>Le 3 décembre 2019</w:t>
            </w:r>
          </w:p>
          <w:p w:rsidR="00197F36" w:rsidRPr="006F7A67" w:rsidRDefault="00197F36" w:rsidP="0019255A">
            <w:pPr>
              <w:jc w:val="both"/>
              <w:rPr>
                <w:sz w:val="20"/>
                <w:lang w:val="fr-CA"/>
              </w:rPr>
            </w:pPr>
            <w:r w:rsidRPr="006F7A67">
              <w:rPr>
                <w:sz w:val="20"/>
                <w:lang w:val="fr-CA"/>
              </w:rPr>
              <w:t>Cour suprême du Canada</w:t>
            </w: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rPr>
            </w:pPr>
            <w:r w:rsidRPr="006F7A67">
              <w:rPr>
                <w:sz w:val="20"/>
              </w:rPr>
              <w:t xml:space="preserve">Demandes d’autorisation d’appel </w:t>
            </w:r>
            <w:proofErr w:type="spellStart"/>
            <w:r w:rsidRPr="006F7A67">
              <w:rPr>
                <w:sz w:val="20"/>
              </w:rPr>
              <w:t>déposées</w:t>
            </w:r>
            <w:proofErr w:type="spellEnd"/>
          </w:p>
          <w:p w:rsidR="00197F36" w:rsidRPr="006F7A67" w:rsidRDefault="00197F36" w:rsidP="0019255A">
            <w:pPr>
              <w:jc w:val="both"/>
              <w:rPr>
                <w:sz w:val="20"/>
              </w:rPr>
            </w:pPr>
          </w:p>
        </w:tc>
      </w:tr>
    </w:tbl>
    <w:p w:rsidR="00197F36" w:rsidRPr="006F7A67" w:rsidRDefault="00197F36" w:rsidP="00197F36">
      <w:pPr>
        <w:jc w:val="both"/>
        <w:rPr>
          <w:sz w:val="20"/>
        </w:rPr>
      </w:pPr>
    </w:p>
    <w:p w:rsidR="00197F36" w:rsidRPr="006F7A67" w:rsidRDefault="00300F06" w:rsidP="00197F36">
      <w:pPr>
        <w:ind w:left="142" w:hanging="142"/>
        <w:jc w:val="both"/>
        <w:rPr>
          <w:sz w:val="20"/>
          <w:lang w:val="fr-CA"/>
        </w:rPr>
      </w:pPr>
      <w:r>
        <w:rPr>
          <w:sz w:val="20"/>
        </w:rPr>
        <w:pict>
          <v:rect id="_x0000_i1032" style="width:2in;height:1pt" o:hrpct="0" o:hralign="center" o:hrstd="t" o:hrnoshade="t" o:hr="t" fillcolor="black [3213]" stroked="f"/>
        </w:pict>
      </w:r>
    </w:p>
    <w:p w:rsidR="00197F36" w:rsidRPr="006F7A67" w:rsidRDefault="00197F36" w:rsidP="00197F3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38895</w:t>
            </w:r>
          </w:p>
        </w:tc>
        <w:tc>
          <w:tcPr>
            <w:tcW w:w="4457" w:type="pct"/>
            <w:gridSpan w:val="3"/>
          </w:tcPr>
          <w:p w:rsidR="00197F36" w:rsidRPr="006F7A67" w:rsidRDefault="00197F36" w:rsidP="0019255A">
            <w:pPr>
              <w:pStyle w:val="SCCLsocParty"/>
              <w:jc w:val="both"/>
              <w:rPr>
                <w:b/>
                <w:sz w:val="20"/>
                <w:szCs w:val="20"/>
              </w:rPr>
            </w:pPr>
            <w:r w:rsidRPr="006F7A67">
              <w:rPr>
                <w:b/>
                <w:sz w:val="20"/>
                <w:szCs w:val="20"/>
              </w:rPr>
              <w:t xml:space="preserve">Intact Insurance Company v. Développement </w:t>
            </w:r>
            <w:r w:rsidR="00020AA3" w:rsidRPr="006F7A67">
              <w:rPr>
                <w:b/>
                <w:sz w:val="20"/>
                <w:szCs w:val="20"/>
              </w:rPr>
              <w:t>L</w:t>
            </w:r>
            <w:r w:rsidRPr="006F7A67">
              <w:rPr>
                <w:b/>
                <w:sz w:val="20"/>
                <w:szCs w:val="20"/>
              </w:rPr>
              <w:t xml:space="preserve">es </w:t>
            </w:r>
            <w:r w:rsidR="00020AA3" w:rsidRPr="006F7A67">
              <w:rPr>
                <w:b/>
                <w:sz w:val="20"/>
                <w:szCs w:val="20"/>
              </w:rPr>
              <w:t>T</w:t>
            </w:r>
            <w:r w:rsidRPr="006F7A67">
              <w:rPr>
                <w:b/>
                <w:sz w:val="20"/>
                <w:szCs w:val="20"/>
              </w:rPr>
              <w:t>errasses de l'</w:t>
            </w:r>
            <w:r w:rsidR="00020AA3" w:rsidRPr="006F7A67">
              <w:rPr>
                <w:b/>
                <w:sz w:val="20"/>
                <w:szCs w:val="20"/>
              </w:rPr>
              <w:t>Î</w:t>
            </w:r>
            <w:r w:rsidRPr="006F7A67">
              <w:rPr>
                <w:b/>
                <w:sz w:val="20"/>
                <w:szCs w:val="20"/>
              </w:rPr>
              <w:t xml:space="preserve">le </w:t>
            </w:r>
            <w:r w:rsidR="00020AA3" w:rsidRPr="006F7A67">
              <w:rPr>
                <w:b/>
                <w:sz w:val="20"/>
                <w:szCs w:val="20"/>
              </w:rPr>
              <w:t>I</w:t>
            </w:r>
            <w:r w:rsidRPr="006F7A67">
              <w:rPr>
                <w:b/>
                <w:sz w:val="20"/>
                <w:szCs w:val="20"/>
              </w:rPr>
              <w:t>nc. and Darcon inc.</w:t>
            </w:r>
          </w:p>
          <w:p w:rsidR="00197F36" w:rsidRPr="006F7A67" w:rsidRDefault="00197F36" w:rsidP="0019255A">
            <w:pPr>
              <w:jc w:val="both"/>
              <w:rPr>
                <w:sz w:val="20"/>
              </w:rPr>
            </w:pPr>
            <w:r w:rsidRPr="006F7A67">
              <w:rPr>
                <w:sz w:val="20"/>
              </w:rPr>
              <w:t>(Que.) (Civil) (By Leave)</w:t>
            </w:r>
          </w:p>
        </w:tc>
      </w:tr>
      <w:tr w:rsidR="00EA5A77" w:rsidRPr="006F7A67" w:rsidTr="0019255A">
        <w:tc>
          <w:tcPr>
            <w:tcW w:w="5000" w:type="pct"/>
            <w:gridSpan w:val="4"/>
          </w:tcPr>
          <w:p w:rsidR="00EA5A77" w:rsidRPr="006F7A67" w:rsidRDefault="00EA5A77" w:rsidP="0019255A">
            <w:pPr>
              <w:jc w:val="both"/>
              <w:rPr>
                <w:sz w:val="20"/>
                <w:szCs w:val="20"/>
              </w:rPr>
            </w:pPr>
            <w:r w:rsidRPr="006F7A67">
              <w:rPr>
                <w:sz w:val="20"/>
                <w:szCs w:val="20"/>
              </w:rPr>
              <w:t xml:space="preserve">The application for leave to appeal from the judgment of the </w:t>
            </w:r>
            <w:r w:rsidRPr="006F7A67">
              <w:rPr>
                <w:sz w:val="20"/>
                <w:szCs w:val="20"/>
                <w:lang w:val="en-US"/>
              </w:rPr>
              <w:t>Court of Appeal of Quebec (Montreal)</w:t>
            </w:r>
            <w:r w:rsidRPr="006F7A67">
              <w:rPr>
                <w:sz w:val="20"/>
                <w:szCs w:val="20"/>
              </w:rPr>
              <w:t xml:space="preserve">, Number </w:t>
            </w:r>
            <w:r w:rsidRPr="006F7A67">
              <w:rPr>
                <w:sz w:val="20"/>
                <w:szCs w:val="20"/>
                <w:lang w:val="en-US"/>
              </w:rPr>
              <w:t>500-09-027467-182</w:t>
            </w:r>
            <w:r w:rsidRPr="006F7A67">
              <w:rPr>
                <w:sz w:val="20"/>
                <w:szCs w:val="20"/>
              </w:rPr>
              <w:t xml:space="preserve">, </w:t>
            </w:r>
            <w:r w:rsidRPr="006F7A67">
              <w:rPr>
                <w:sz w:val="20"/>
                <w:szCs w:val="20"/>
                <w:lang w:val="en-US"/>
              </w:rPr>
              <w:t xml:space="preserve">2019 QCCA 1440, </w:t>
            </w:r>
            <w:r w:rsidRPr="006F7A67">
              <w:rPr>
                <w:sz w:val="20"/>
                <w:szCs w:val="20"/>
              </w:rPr>
              <w:t xml:space="preserve">dated </w:t>
            </w:r>
            <w:r w:rsidRPr="006F7A67">
              <w:rPr>
                <w:sz w:val="20"/>
                <w:szCs w:val="20"/>
                <w:lang w:val="en-US"/>
              </w:rPr>
              <w:t>September 5, 2019,</w:t>
            </w:r>
            <w:r w:rsidRPr="006F7A67">
              <w:rPr>
                <w:sz w:val="20"/>
                <w:szCs w:val="20"/>
              </w:rPr>
              <w:t xml:space="preserve"> is dismissed with costs.</w:t>
            </w:r>
          </w:p>
          <w:p w:rsidR="00EA5A77" w:rsidRPr="006F7A67" w:rsidRDefault="00EA5A77" w:rsidP="0019255A">
            <w:pPr>
              <w:jc w:val="both"/>
              <w:rPr>
                <w:sz w:val="20"/>
                <w:szCs w:val="20"/>
              </w:rPr>
            </w:pPr>
          </w:p>
        </w:tc>
      </w:tr>
      <w:tr w:rsidR="00197F36" w:rsidRPr="006F7A67" w:rsidTr="0019255A">
        <w:tc>
          <w:tcPr>
            <w:tcW w:w="5000" w:type="pct"/>
            <w:gridSpan w:val="4"/>
          </w:tcPr>
          <w:p w:rsidR="00197F36" w:rsidRPr="006F7A67" w:rsidRDefault="00020AA3" w:rsidP="0019255A">
            <w:pPr>
              <w:jc w:val="both"/>
              <w:rPr>
                <w:sz w:val="20"/>
                <w:szCs w:val="20"/>
              </w:rPr>
            </w:pPr>
            <w:r w:rsidRPr="006F7A67">
              <w:rPr>
                <w:sz w:val="20"/>
                <w:szCs w:val="20"/>
              </w:rPr>
              <w:t>Insurance ⸺ Commercial general liability insurance ⸺ Insurer’s duty to defend ⸺ “Wellington” action ⸺ Coverage and exclusion clauses ⸺ Whether Quebec Court of Appeal erred in finding, on basis of record, that claim clearly related to something other than cost of remedying construction defects and potentially fell in part within coverage clause ⸺ Whether Quebec Court of Appeal erred in law as regards application of exclusion clause 2.7.5, damage to immovable on which you are working ⸺ Whether Quebec Court of Appeal erred in law as regards application of exclusion clause 2.14, professional services ⸺ If Quebec Court of Appeal’s decision that claim potentially fell in part within coverage clause is upheld, whether claim must be excluded from insurance coverage having regard to proper interpretation of above</w:t>
            </w:r>
            <w:r w:rsidRPr="006F7A67">
              <w:rPr>
                <w:sz w:val="20"/>
                <w:szCs w:val="20"/>
              </w:rPr>
              <w:noBreakHyphen/>
              <w:t>mentioned exclusions ⸺ In light of Quebec Court of Appeal’s findings on above</w:t>
            </w:r>
            <w:r w:rsidRPr="006F7A67">
              <w:rPr>
                <w:sz w:val="20"/>
                <w:szCs w:val="20"/>
              </w:rPr>
              <w:noBreakHyphen/>
              <w:t xml:space="preserve">mentioned coverage issues, whether its conclusion that applicant must partially defend respondents, with no indication of how costs to be shared, should be reversed </w:t>
            </w:r>
            <w:r w:rsidRPr="006F7A67">
              <w:rPr>
                <w:rFonts w:cs="Times New Roman"/>
                <w:sz w:val="20"/>
                <w:szCs w:val="20"/>
              </w:rPr>
              <w:t xml:space="preserve">⸺ </w:t>
            </w:r>
            <w:r w:rsidRPr="006F7A67">
              <w:rPr>
                <w:i/>
                <w:sz w:val="20"/>
                <w:szCs w:val="20"/>
              </w:rPr>
              <w:t>Civil Code of Québec</w:t>
            </w:r>
            <w:r w:rsidRPr="006F7A67">
              <w:rPr>
                <w:sz w:val="20"/>
                <w:szCs w:val="20"/>
              </w:rPr>
              <w:t>, art. 2503.</w:t>
            </w:r>
          </w:p>
        </w:tc>
      </w:tr>
      <w:tr w:rsidR="00197F36" w:rsidRPr="006F7A67" w:rsidTr="0019255A">
        <w:tc>
          <w:tcPr>
            <w:tcW w:w="5000" w:type="pct"/>
            <w:gridSpan w:val="4"/>
          </w:tcPr>
          <w:p w:rsidR="00197F36" w:rsidRPr="006F7A67" w:rsidRDefault="00197F36" w:rsidP="0019255A">
            <w:pPr>
              <w:jc w:val="both"/>
              <w:rPr>
                <w:sz w:val="20"/>
                <w:szCs w:val="20"/>
              </w:rPr>
            </w:pPr>
          </w:p>
        </w:tc>
      </w:tr>
      <w:tr w:rsidR="00197F36" w:rsidRPr="006F7A67" w:rsidTr="0019255A">
        <w:tc>
          <w:tcPr>
            <w:tcW w:w="5000" w:type="pct"/>
            <w:gridSpan w:val="4"/>
          </w:tcPr>
          <w:p w:rsidR="00020AA3" w:rsidRPr="006F7A67" w:rsidRDefault="00020AA3" w:rsidP="00020AA3">
            <w:pPr>
              <w:rPr>
                <w:sz w:val="20"/>
                <w:szCs w:val="20"/>
              </w:rPr>
            </w:pPr>
            <w:r w:rsidRPr="006F7A67">
              <w:rPr>
                <w:sz w:val="20"/>
                <w:szCs w:val="20"/>
              </w:rPr>
              <w:t xml:space="preserve">The respondents, Développement les </w:t>
            </w:r>
            <w:proofErr w:type="spellStart"/>
            <w:r w:rsidRPr="006F7A67">
              <w:rPr>
                <w:sz w:val="20"/>
                <w:szCs w:val="20"/>
              </w:rPr>
              <w:t>terrasses</w:t>
            </w:r>
            <w:proofErr w:type="spellEnd"/>
            <w:r w:rsidRPr="006F7A67">
              <w:rPr>
                <w:sz w:val="20"/>
                <w:szCs w:val="20"/>
              </w:rPr>
              <w:t xml:space="preserve"> de </w:t>
            </w:r>
            <w:proofErr w:type="spellStart"/>
            <w:r w:rsidRPr="006F7A67">
              <w:rPr>
                <w:sz w:val="20"/>
                <w:szCs w:val="20"/>
              </w:rPr>
              <w:t>l’île</w:t>
            </w:r>
            <w:proofErr w:type="spellEnd"/>
            <w:r w:rsidRPr="006F7A67">
              <w:rPr>
                <w:sz w:val="20"/>
                <w:szCs w:val="20"/>
              </w:rPr>
              <w:t xml:space="preserve"> inc. and Darcon inc., built a divided co</w:t>
            </w:r>
            <w:r w:rsidRPr="006F7A67">
              <w:rPr>
                <w:sz w:val="20"/>
                <w:szCs w:val="20"/>
              </w:rPr>
              <w:noBreakHyphen/>
              <w:t>ownership housing project on Prince</w:t>
            </w:r>
            <w:r w:rsidRPr="006F7A67">
              <w:rPr>
                <w:sz w:val="20"/>
                <w:szCs w:val="20"/>
              </w:rPr>
              <w:noBreakHyphen/>
              <w:t>of</w:t>
            </w:r>
            <w:r w:rsidRPr="006F7A67">
              <w:rPr>
                <w:sz w:val="20"/>
                <w:szCs w:val="20"/>
              </w:rPr>
              <w:noBreakHyphen/>
              <w:t>Wales Avenue in Notre</w:t>
            </w:r>
            <w:r w:rsidRPr="006F7A67">
              <w:rPr>
                <w:sz w:val="20"/>
                <w:szCs w:val="20"/>
              </w:rPr>
              <w:noBreakHyphen/>
              <w:t>Dame</w:t>
            </w:r>
            <w:r w:rsidRPr="006F7A67">
              <w:rPr>
                <w:sz w:val="20"/>
                <w:szCs w:val="20"/>
              </w:rPr>
              <w:noBreakHyphen/>
              <w:t>de</w:t>
            </w:r>
            <w:r w:rsidRPr="006F7A67">
              <w:rPr>
                <w:sz w:val="20"/>
                <w:szCs w:val="20"/>
              </w:rPr>
              <w:noBreakHyphen/>
              <w:t>Grâce. On May 17, 2013, the syndicate of co</w:t>
            </w:r>
            <w:r w:rsidRPr="006F7A67">
              <w:rPr>
                <w:sz w:val="20"/>
                <w:szCs w:val="20"/>
              </w:rPr>
              <w:noBreakHyphen/>
              <w:t xml:space="preserve">owners of that immovable brought an action for material damages against the respondent Développement les </w:t>
            </w:r>
            <w:proofErr w:type="spellStart"/>
            <w:r w:rsidRPr="006F7A67">
              <w:rPr>
                <w:sz w:val="20"/>
                <w:szCs w:val="20"/>
              </w:rPr>
              <w:t>terrasses</w:t>
            </w:r>
            <w:proofErr w:type="spellEnd"/>
            <w:r w:rsidRPr="006F7A67">
              <w:rPr>
                <w:sz w:val="20"/>
                <w:szCs w:val="20"/>
              </w:rPr>
              <w:t xml:space="preserve"> de </w:t>
            </w:r>
            <w:proofErr w:type="spellStart"/>
            <w:r w:rsidRPr="006F7A67">
              <w:rPr>
                <w:sz w:val="20"/>
                <w:szCs w:val="20"/>
              </w:rPr>
              <w:t>l’île</w:t>
            </w:r>
            <w:proofErr w:type="spellEnd"/>
            <w:r w:rsidRPr="006F7A67">
              <w:rPr>
                <w:sz w:val="20"/>
                <w:szCs w:val="20"/>
              </w:rPr>
              <w:t xml:space="preserve"> inc. because of poor workmanship affecting the immovable. On August 28, 2014, the syndicate amended the motion to institute proceedings to add Darcon inc. as a defendant. That company had been only an impleaded party when the act instituting the proceedings had been filed in May 2013. The applicant, Intact Insurance Company (Intact), refused to assume the defence of the respondents, who held commercial general liability policies with it, in the action on the ground that the material damages in question were not covered by the insurance. In response, the respondents filed a “Wellington” action against Intact under art. 2503 para. 1 of the </w:t>
            </w:r>
            <w:r w:rsidRPr="006F7A67">
              <w:rPr>
                <w:i/>
                <w:sz w:val="20"/>
                <w:szCs w:val="20"/>
              </w:rPr>
              <w:t>Civil Code of Québec</w:t>
            </w:r>
            <w:r w:rsidRPr="006F7A67">
              <w:rPr>
                <w:sz w:val="20"/>
                <w:szCs w:val="20"/>
              </w:rPr>
              <w:t xml:space="preserve"> (CCQ) on May 23, 2017 in order to force Intact to defend them and to obtain reimbursement of the defence costs incurred. The Superior Court dismissed the respondents’ “Wellington” action. The Court of Appeal allowed the appeal in part.</w:t>
            </w:r>
          </w:p>
          <w:p w:rsidR="00197F36" w:rsidRPr="006F7A67" w:rsidRDefault="00197F36" w:rsidP="0019255A">
            <w:pPr>
              <w:jc w:val="both"/>
              <w:rPr>
                <w:sz w:val="20"/>
                <w:szCs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March 18, 2018</w:t>
            </w:r>
          </w:p>
          <w:p w:rsidR="00197F36" w:rsidRPr="006F7A67" w:rsidRDefault="00197F36" w:rsidP="0019255A">
            <w:pPr>
              <w:jc w:val="both"/>
              <w:rPr>
                <w:sz w:val="20"/>
              </w:rPr>
            </w:pPr>
            <w:r w:rsidRPr="006F7A67">
              <w:rPr>
                <w:sz w:val="20"/>
              </w:rPr>
              <w:t>Quebec Superior Court</w:t>
            </w:r>
          </w:p>
          <w:p w:rsidR="00197F36" w:rsidRPr="006F7A67" w:rsidRDefault="00197F36" w:rsidP="0019255A">
            <w:pPr>
              <w:jc w:val="both"/>
              <w:rPr>
                <w:sz w:val="20"/>
              </w:rPr>
            </w:pPr>
            <w:r w:rsidRPr="006F7A67">
              <w:rPr>
                <w:sz w:val="20"/>
              </w:rPr>
              <w:t>(Riordan J.)</w:t>
            </w:r>
          </w:p>
          <w:p w:rsidR="00197F36" w:rsidRPr="006F7A67" w:rsidRDefault="00300F06" w:rsidP="0019255A">
            <w:pPr>
              <w:jc w:val="both"/>
              <w:rPr>
                <w:sz w:val="20"/>
              </w:rPr>
            </w:pPr>
            <w:hyperlink r:id="rId25" w:history="1">
              <w:r w:rsidR="00197F36" w:rsidRPr="006F7A67">
                <w:rPr>
                  <w:rStyle w:val="Hyperlink"/>
                  <w:sz w:val="20"/>
                </w:rPr>
                <w:t>2018 QCCS 5895</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Action dismissed</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September 5, 2019</w:t>
            </w:r>
          </w:p>
          <w:p w:rsidR="00197F36" w:rsidRPr="006F7A67" w:rsidRDefault="00197F36" w:rsidP="0019255A">
            <w:pPr>
              <w:jc w:val="both"/>
              <w:rPr>
                <w:sz w:val="20"/>
              </w:rPr>
            </w:pPr>
            <w:r w:rsidRPr="006F7A67">
              <w:rPr>
                <w:sz w:val="20"/>
              </w:rPr>
              <w:t>Quebec Court of Appeal (Montréal)</w:t>
            </w:r>
          </w:p>
          <w:p w:rsidR="00197F36" w:rsidRPr="006F7A67" w:rsidRDefault="00197F36" w:rsidP="0019255A">
            <w:pPr>
              <w:jc w:val="both"/>
              <w:rPr>
                <w:sz w:val="20"/>
              </w:rPr>
            </w:pPr>
            <w:r w:rsidRPr="006F7A67">
              <w:rPr>
                <w:sz w:val="20"/>
              </w:rPr>
              <w:t xml:space="preserve">(Dufresne, </w:t>
            </w:r>
            <w:proofErr w:type="spellStart"/>
            <w:r w:rsidRPr="006F7A67">
              <w:rPr>
                <w:sz w:val="20"/>
              </w:rPr>
              <w:t>Cotnam</w:t>
            </w:r>
            <w:proofErr w:type="spellEnd"/>
            <w:r w:rsidRPr="006F7A67">
              <w:rPr>
                <w:sz w:val="20"/>
              </w:rPr>
              <w:t xml:space="preserve"> and Hamilton JJ.A.)</w:t>
            </w:r>
          </w:p>
          <w:p w:rsidR="00197F36" w:rsidRPr="006F7A67" w:rsidRDefault="00300F06" w:rsidP="0019255A">
            <w:pPr>
              <w:jc w:val="both"/>
              <w:rPr>
                <w:sz w:val="20"/>
              </w:rPr>
            </w:pPr>
            <w:hyperlink r:id="rId26" w:history="1">
              <w:r w:rsidR="00197F36" w:rsidRPr="006F7A67">
                <w:rPr>
                  <w:rStyle w:val="Hyperlink"/>
                  <w:sz w:val="20"/>
                </w:rPr>
                <w:t>2019 QCCA 1440</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Appeal allowed in part</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November 4, 2019</w:t>
            </w:r>
          </w:p>
          <w:p w:rsidR="00197F36" w:rsidRPr="006F7A67" w:rsidRDefault="00197F36" w:rsidP="0019255A">
            <w:pPr>
              <w:jc w:val="both"/>
              <w:rPr>
                <w:sz w:val="20"/>
              </w:rPr>
            </w:pPr>
            <w:r w:rsidRPr="006F7A67">
              <w:rPr>
                <w:sz w:val="20"/>
              </w:rPr>
              <w:t>Supreme Court of Canada</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leave to appeal filed</w:t>
            </w: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33"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38895</w:t>
            </w:r>
          </w:p>
        </w:tc>
        <w:tc>
          <w:tcPr>
            <w:tcW w:w="4457" w:type="pct"/>
          </w:tcPr>
          <w:p w:rsidR="00197F36" w:rsidRPr="006F7A67" w:rsidRDefault="00197F36" w:rsidP="0019255A">
            <w:pPr>
              <w:pStyle w:val="SCCLsocParty"/>
              <w:jc w:val="both"/>
              <w:rPr>
                <w:b/>
                <w:sz w:val="20"/>
                <w:szCs w:val="20"/>
              </w:rPr>
            </w:pPr>
            <w:r w:rsidRPr="006F7A67">
              <w:rPr>
                <w:b/>
                <w:sz w:val="20"/>
                <w:szCs w:val="20"/>
              </w:rPr>
              <w:t xml:space="preserve">Intact Compagnie d'Assurance c. Développement </w:t>
            </w:r>
            <w:r w:rsidR="00020AA3" w:rsidRPr="006F7A67">
              <w:rPr>
                <w:b/>
                <w:sz w:val="20"/>
                <w:szCs w:val="20"/>
              </w:rPr>
              <w:t>L</w:t>
            </w:r>
            <w:r w:rsidRPr="006F7A67">
              <w:rPr>
                <w:b/>
                <w:sz w:val="20"/>
                <w:szCs w:val="20"/>
              </w:rPr>
              <w:t xml:space="preserve">es </w:t>
            </w:r>
            <w:r w:rsidR="00020AA3" w:rsidRPr="006F7A67">
              <w:rPr>
                <w:b/>
                <w:sz w:val="20"/>
                <w:szCs w:val="20"/>
              </w:rPr>
              <w:t>T</w:t>
            </w:r>
            <w:r w:rsidRPr="006F7A67">
              <w:rPr>
                <w:b/>
                <w:sz w:val="20"/>
                <w:szCs w:val="20"/>
              </w:rPr>
              <w:t>errasses de l'</w:t>
            </w:r>
            <w:r w:rsidR="00020AA3" w:rsidRPr="006F7A67">
              <w:rPr>
                <w:b/>
                <w:sz w:val="20"/>
                <w:szCs w:val="20"/>
              </w:rPr>
              <w:t>Î</w:t>
            </w:r>
            <w:r w:rsidRPr="006F7A67">
              <w:rPr>
                <w:b/>
                <w:sz w:val="20"/>
                <w:szCs w:val="20"/>
              </w:rPr>
              <w:t xml:space="preserve">le </w:t>
            </w:r>
            <w:r w:rsidR="00EA5A77" w:rsidRPr="006F7A67">
              <w:rPr>
                <w:b/>
                <w:sz w:val="20"/>
                <w:szCs w:val="20"/>
              </w:rPr>
              <w:t>i</w:t>
            </w:r>
            <w:r w:rsidRPr="006F7A67">
              <w:rPr>
                <w:b/>
                <w:sz w:val="20"/>
                <w:szCs w:val="20"/>
              </w:rPr>
              <w:t xml:space="preserve">nc. et Darcon </w:t>
            </w:r>
            <w:r w:rsidR="00EA5A77" w:rsidRPr="006F7A67">
              <w:rPr>
                <w:b/>
                <w:sz w:val="20"/>
                <w:szCs w:val="20"/>
              </w:rPr>
              <w:t>i</w:t>
            </w:r>
            <w:r w:rsidRPr="006F7A67">
              <w:rPr>
                <w:b/>
                <w:sz w:val="20"/>
                <w:szCs w:val="20"/>
              </w:rPr>
              <w:t>nc.</w:t>
            </w:r>
          </w:p>
          <w:p w:rsidR="00197F36" w:rsidRPr="006F7A67" w:rsidRDefault="00197F36" w:rsidP="0019255A">
            <w:pPr>
              <w:jc w:val="both"/>
              <w:rPr>
                <w:sz w:val="20"/>
              </w:rPr>
            </w:pPr>
            <w:r w:rsidRPr="006F7A67">
              <w:rPr>
                <w:sz w:val="20"/>
              </w:rPr>
              <w:t>(Qc) (Civile) (Autorisation)</w:t>
            </w:r>
          </w:p>
        </w:tc>
      </w:tr>
      <w:tr w:rsidR="00EA5A77" w:rsidRPr="00DB0D35" w:rsidTr="0019255A">
        <w:tc>
          <w:tcPr>
            <w:tcW w:w="5000" w:type="pct"/>
            <w:gridSpan w:val="2"/>
          </w:tcPr>
          <w:p w:rsidR="00EA5A77" w:rsidRPr="006F7A67" w:rsidRDefault="00EA5A77" w:rsidP="00EA5A77">
            <w:pPr>
              <w:jc w:val="both"/>
              <w:rPr>
                <w:sz w:val="20"/>
                <w:szCs w:val="20"/>
                <w:lang w:val="fr-CA"/>
              </w:rPr>
            </w:pPr>
            <w:r w:rsidRPr="006F7A67">
              <w:rPr>
                <w:sz w:val="20"/>
                <w:szCs w:val="20"/>
                <w:lang w:val="fr-CA"/>
              </w:rPr>
              <w:t>La demande d’autorisation d’appel de l’arrêt de la Cour d’appel du Québec (Montréal), numéro 500-09-027467-182, 2019 QCCA 1440, daté du 5 septembre 2019, est rejet</w:t>
            </w:r>
            <w:r w:rsidRPr="006F7A67">
              <w:rPr>
                <w:rFonts w:cs="Times New Roman"/>
                <w:sz w:val="20"/>
                <w:szCs w:val="20"/>
                <w:lang w:val="fr-CA"/>
              </w:rPr>
              <w:t>é</w:t>
            </w:r>
            <w:r w:rsidRPr="006F7A67">
              <w:rPr>
                <w:sz w:val="20"/>
                <w:szCs w:val="20"/>
                <w:lang w:val="fr-CA"/>
              </w:rPr>
              <w:t>e avec d</w:t>
            </w:r>
            <w:r w:rsidRPr="006F7A67">
              <w:rPr>
                <w:rFonts w:cs="Times New Roman"/>
                <w:sz w:val="20"/>
                <w:szCs w:val="20"/>
                <w:lang w:val="fr-CA"/>
              </w:rPr>
              <w:t>é</w:t>
            </w:r>
            <w:r w:rsidRPr="006F7A67">
              <w:rPr>
                <w:sz w:val="20"/>
                <w:szCs w:val="20"/>
                <w:lang w:val="fr-CA"/>
              </w:rPr>
              <w:t>pens.</w:t>
            </w:r>
          </w:p>
          <w:p w:rsidR="00EA5A77" w:rsidRPr="006F7A67" w:rsidRDefault="00EA5A77" w:rsidP="0019255A">
            <w:pPr>
              <w:jc w:val="both"/>
              <w:rPr>
                <w:sz w:val="20"/>
                <w:lang w:val="fr-CA"/>
              </w:rPr>
            </w:pPr>
          </w:p>
        </w:tc>
      </w:tr>
      <w:tr w:rsidR="00197F36" w:rsidRPr="006F7A67" w:rsidTr="0019255A">
        <w:tc>
          <w:tcPr>
            <w:tcW w:w="5000" w:type="pct"/>
            <w:gridSpan w:val="2"/>
          </w:tcPr>
          <w:p w:rsidR="00197F36" w:rsidRPr="006F7A67" w:rsidRDefault="00020AA3" w:rsidP="0019255A">
            <w:pPr>
              <w:jc w:val="both"/>
              <w:rPr>
                <w:sz w:val="20"/>
                <w:szCs w:val="20"/>
              </w:rPr>
            </w:pPr>
            <w:r w:rsidRPr="006F7A67">
              <w:rPr>
                <w:sz w:val="20"/>
                <w:szCs w:val="20"/>
                <w:lang w:val="fr-CA"/>
              </w:rPr>
              <w:t xml:space="preserve">Assurances </w:t>
            </w:r>
            <w:r w:rsidRPr="006F7A67">
              <w:rPr>
                <w:sz w:val="20"/>
                <w:szCs w:val="20"/>
              </w:rPr>
              <w:t>⸺</w:t>
            </w:r>
            <w:r w:rsidRPr="006F7A67">
              <w:rPr>
                <w:sz w:val="20"/>
                <w:szCs w:val="20"/>
                <w:lang w:val="fr-CA"/>
              </w:rPr>
              <w:t xml:space="preserve"> Assurance de responsabilité civile des entreprises </w:t>
            </w:r>
            <w:r w:rsidRPr="006F7A67">
              <w:rPr>
                <w:sz w:val="20"/>
                <w:szCs w:val="20"/>
              </w:rPr>
              <w:t>⸺</w:t>
            </w:r>
            <w:r w:rsidRPr="006F7A67">
              <w:rPr>
                <w:sz w:val="20"/>
                <w:szCs w:val="20"/>
                <w:lang w:val="fr-CA"/>
              </w:rPr>
              <w:t xml:space="preserve"> Obligation de défendre de l’assureur </w:t>
            </w:r>
            <w:r w:rsidRPr="006F7A67">
              <w:rPr>
                <w:sz w:val="20"/>
                <w:szCs w:val="20"/>
              </w:rPr>
              <w:t>⸺</w:t>
            </w:r>
            <w:r w:rsidRPr="006F7A67">
              <w:rPr>
                <w:sz w:val="20"/>
                <w:szCs w:val="20"/>
                <w:lang w:val="fr-CA"/>
              </w:rPr>
              <w:t xml:space="preserve"> Action « Wellington » </w:t>
            </w:r>
            <w:r w:rsidRPr="006F7A67">
              <w:rPr>
                <w:sz w:val="20"/>
                <w:szCs w:val="20"/>
              </w:rPr>
              <w:t>⸺</w:t>
            </w:r>
            <w:r w:rsidRPr="006F7A67">
              <w:rPr>
                <w:sz w:val="20"/>
                <w:szCs w:val="20"/>
                <w:lang w:val="fr-CA"/>
              </w:rPr>
              <w:t xml:space="preserve"> Clauses de garantie et d’exclusion </w:t>
            </w:r>
            <w:r w:rsidRPr="006F7A67">
              <w:rPr>
                <w:sz w:val="20"/>
                <w:szCs w:val="20"/>
              </w:rPr>
              <w:t>⸺</w:t>
            </w:r>
            <w:r w:rsidRPr="006F7A67">
              <w:rPr>
                <w:sz w:val="20"/>
                <w:szCs w:val="20"/>
                <w:lang w:val="fr-CA"/>
              </w:rPr>
              <w:t xml:space="preserve"> Est</w:t>
            </w:r>
            <w:r w:rsidRPr="006F7A67">
              <w:rPr>
                <w:sz w:val="20"/>
                <w:szCs w:val="20"/>
                <w:lang w:val="fr-CA"/>
              </w:rPr>
              <w:noBreakHyphen/>
              <w:t xml:space="preserve">ce que la Cour d’appel du Québec a erré en concluant, sur la base du dossier, que la réclamation portait clairement sur autre chose que le coût de correction des vices de construction et tombait potentiellement et partiellement à l’intérieur de la clause de garantie? </w:t>
            </w:r>
            <w:r w:rsidRPr="006F7A67">
              <w:rPr>
                <w:sz w:val="20"/>
                <w:szCs w:val="20"/>
              </w:rPr>
              <w:t>⸺</w:t>
            </w:r>
            <w:r w:rsidRPr="006F7A67">
              <w:rPr>
                <w:sz w:val="20"/>
                <w:szCs w:val="20"/>
                <w:lang w:val="fr-CA"/>
              </w:rPr>
              <w:t xml:space="preserve"> La Cour d'appel du Québec a</w:t>
            </w:r>
            <w:r w:rsidRPr="006F7A67">
              <w:rPr>
                <w:sz w:val="20"/>
                <w:szCs w:val="20"/>
                <w:lang w:val="fr-CA"/>
              </w:rPr>
              <w:noBreakHyphen/>
              <w:t>t</w:t>
            </w:r>
            <w:r w:rsidRPr="006F7A67">
              <w:rPr>
                <w:sz w:val="20"/>
                <w:szCs w:val="20"/>
                <w:lang w:val="fr-CA"/>
              </w:rPr>
              <w:noBreakHyphen/>
              <w:t xml:space="preserve">elle erré en droit quant à l'application des clauses d'exclusion 2.7.5 — Dommages à l'immeuble sur lequel vous exécutez vos travaux? </w:t>
            </w:r>
            <w:r w:rsidRPr="006F7A67">
              <w:rPr>
                <w:sz w:val="20"/>
                <w:szCs w:val="20"/>
              </w:rPr>
              <w:t>⸺</w:t>
            </w:r>
            <w:r w:rsidRPr="006F7A67">
              <w:rPr>
                <w:sz w:val="20"/>
                <w:szCs w:val="20"/>
                <w:lang w:val="fr-CA"/>
              </w:rPr>
              <w:t xml:space="preserve"> La Cour d'appel du Québec a</w:t>
            </w:r>
            <w:r w:rsidRPr="006F7A67">
              <w:rPr>
                <w:sz w:val="20"/>
                <w:szCs w:val="20"/>
                <w:lang w:val="fr-CA"/>
              </w:rPr>
              <w:noBreakHyphen/>
              <w:t>t</w:t>
            </w:r>
            <w:r w:rsidRPr="006F7A67">
              <w:rPr>
                <w:sz w:val="20"/>
                <w:szCs w:val="20"/>
                <w:lang w:val="fr-CA"/>
              </w:rPr>
              <w:noBreakHyphen/>
              <w:t xml:space="preserve">elle erré en droit quant à l'application des clauses d'exclusion 2.14 — Services professionnels? </w:t>
            </w:r>
            <w:r w:rsidRPr="006F7A67">
              <w:rPr>
                <w:sz w:val="20"/>
                <w:szCs w:val="20"/>
              </w:rPr>
              <w:t>⸺</w:t>
            </w:r>
            <w:r w:rsidRPr="006F7A67">
              <w:rPr>
                <w:sz w:val="20"/>
                <w:szCs w:val="20"/>
                <w:lang w:val="fr-CA"/>
              </w:rPr>
              <w:t xml:space="preserve"> Si la décision de la Cour d’appel du Québec à savoir que la réclamation tombait potentiellement et partiellement à l’intérieur de la clause de garantie est maintenue, est</w:t>
            </w:r>
            <w:r w:rsidRPr="006F7A67">
              <w:rPr>
                <w:sz w:val="20"/>
                <w:szCs w:val="20"/>
                <w:lang w:val="fr-CA"/>
              </w:rPr>
              <w:noBreakHyphen/>
              <w:t xml:space="preserve">ce que, compte tenu de la bonne interprétation des exclusions précitées, la réclamation doit être exclue de la garantie d’assurance? </w:t>
            </w:r>
            <w:r w:rsidRPr="006F7A67">
              <w:rPr>
                <w:sz w:val="20"/>
                <w:szCs w:val="20"/>
              </w:rPr>
              <w:t>⸺</w:t>
            </w:r>
            <w:r w:rsidRPr="006F7A67">
              <w:rPr>
                <w:sz w:val="20"/>
                <w:szCs w:val="20"/>
                <w:lang w:val="fr-CA"/>
              </w:rPr>
              <w:t xml:space="preserve"> À la lumière des conclusions de la Cour d’appel du Québec sur les questions de couverture précitées, y a</w:t>
            </w:r>
            <w:r w:rsidRPr="006F7A67">
              <w:rPr>
                <w:sz w:val="20"/>
                <w:szCs w:val="20"/>
                <w:lang w:val="fr-CA"/>
              </w:rPr>
              <w:noBreakHyphen/>
              <w:t>t</w:t>
            </w:r>
            <w:r w:rsidRPr="006F7A67">
              <w:rPr>
                <w:sz w:val="20"/>
                <w:szCs w:val="20"/>
                <w:lang w:val="fr-CA"/>
              </w:rPr>
              <w:noBreakHyphen/>
              <w:t xml:space="preserve">il lieu de réformer les conclusions de la Cour d’appel à l’effet que la Demanderesse doive défendre les intimées partiellement, sans préciser la répartition? </w:t>
            </w:r>
            <w:r w:rsidRPr="006F7A67">
              <w:rPr>
                <w:rFonts w:cs="Times New Roman"/>
                <w:sz w:val="20"/>
                <w:szCs w:val="20"/>
              </w:rPr>
              <w:t xml:space="preserve">⸺ </w:t>
            </w:r>
            <w:r w:rsidRPr="006F7A67">
              <w:rPr>
                <w:i/>
                <w:sz w:val="20"/>
                <w:szCs w:val="20"/>
              </w:rPr>
              <w:t>Code civil du Québec</w:t>
            </w:r>
            <w:r w:rsidRPr="006F7A67">
              <w:rPr>
                <w:sz w:val="20"/>
                <w:szCs w:val="20"/>
              </w:rPr>
              <w:t>, art. 2503.</w:t>
            </w:r>
          </w:p>
        </w:tc>
      </w:tr>
      <w:tr w:rsidR="00197F36" w:rsidRPr="006F7A67" w:rsidTr="0019255A">
        <w:tc>
          <w:tcPr>
            <w:tcW w:w="5000" w:type="pct"/>
            <w:gridSpan w:val="2"/>
          </w:tcPr>
          <w:p w:rsidR="00197F36" w:rsidRPr="006F7A67" w:rsidRDefault="00197F36" w:rsidP="0019255A">
            <w:pPr>
              <w:jc w:val="both"/>
              <w:rPr>
                <w:sz w:val="20"/>
              </w:rPr>
            </w:pPr>
          </w:p>
        </w:tc>
      </w:tr>
    </w:tbl>
    <w:p w:rsidR="001A0C1D" w:rsidRPr="006F7A67" w:rsidRDefault="001A0C1D">
      <w:r w:rsidRPr="006F7A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7F36" w:rsidRPr="00DB0D35" w:rsidTr="0019255A">
        <w:tc>
          <w:tcPr>
            <w:tcW w:w="5000" w:type="pct"/>
            <w:gridSpan w:val="3"/>
          </w:tcPr>
          <w:p w:rsidR="00020AA3" w:rsidRPr="006F7A67" w:rsidRDefault="00020AA3" w:rsidP="00020AA3">
            <w:pPr>
              <w:rPr>
                <w:sz w:val="20"/>
                <w:szCs w:val="20"/>
                <w:lang w:val="fr-CA"/>
              </w:rPr>
            </w:pPr>
            <w:r w:rsidRPr="006F7A67">
              <w:rPr>
                <w:sz w:val="20"/>
                <w:szCs w:val="20"/>
                <w:lang w:val="fr-CA"/>
              </w:rPr>
              <w:t>Les intimées, Développement les terrasses de l’île inc. et Darcon inc. ont construit un projet d’unités d’habitation en copropriété divise situé sur l’avenue Prince</w:t>
            </w:r>
            <w:r w:rsidRPr="006F7A67">
              <w:rPr>
                <w:sz w:val="20"/>
                <w:szCs w:val="20"/>
                <w:lang w:val="fr-CA"/>
              </w:rPr>
              <w:noBreakHyphen/>
              <w:t>of</w:t>
            </w:r>
            <w:r w:rsidRPr="006F7A67">
              <w:rPr>
                <w:sz w:val="20"/>
                <w:szCs w:val="20"/>
                <w:lang w:val="fr-CA"/>
              </w:rPr>
              <w:noBreakHyphen/>
              <w:t>Wales à Notre</w:t>
            </w:r>
            <w:r w:rsidRPr="006F7A67">
              <w:rPr>
                <w:sz w:val="20"/>
                <w:szCs w:val="20"/>
                <w:lang w:val="fr-CA"/>
              </w:rPr>
              <w:noBreakHyphen/>
              <w:t>Dame</w:t>
            </w:r>
            <w:r w:rsidRPr="006F7A67">
              <w:rPr>
                <w:sz w:val="20"/>
                <w:szCs w:val="20"/>
                <w:lang w:val="fr-CA"/>
              </w:rPr>
              <w:noBreakHyphen/>
              <w:t>de</w:t>
            </w:r>
            <w:r w:rsidRPr="006F7A67">
              <w:rPr>
                <w:sz w:val="20"/>
                <w:szCs w:val="20"/>
                <w:lang w:val="fr-CA"/>
              </w:rPr>
              <w:noBreakHyphen/>
              <w:t>Grâce. Le 17 mai 2013, le syndicat des copropriétaires de cet immeuble a entrepris une poursuite en dommages matériels contre l’intimée Développement les terrasses de l’île inc. pour une série de malfaçons affectant l’immeuble. Le 28 août 2014, le syndicat a modifié la requête introductive d’instance afin d’ajouter Darcon inc. comme défenderesse alors qu’elle était uniquement mise</w:t>
            </w:r>
            <w:r w:rsidRPr="006F7A67">
              <w:rPr>
                <w:sz w:val="20"/>
                <w:szCs w:val="20"/>
                <w:lang w:val="fr-CA"/>
              </w:rPr>
              <w:noBreakHyphen/>
              <w:t>en</w:t>
            </w:r>
            <w:r w:rsidRPr="006F7A67">
              <w:rPr>
                <w:sz w:val="20"/>
                <w:szCs w:val="20"/>
                <w:lang w:val="fr-CA"/>
              </w:rPr>
              <w:noBreakHyphen/>
              <w:t xml:space="preserve">cause au dépôt de l’acte introductif d’instance en mai 2013. La demanderesse, Intact compagnie d’assurance (Intact) a refusé d’assumer la défense des intimées qui détiennent des polices d’assurance de responsabilité civile des entreprises avec elle dans le cadre de ce recours au motif que les dommages matériels en cause ne sont pas garantis par la couverture d’assurance. Comme suite à ce refus, les intimées ont déposé contre Intact un recours de type « Wellington » suivant l’art. 2503 </w:t>
            </w:r>
            <w:proofErr w:type="gramStart"/>
            <w:r w:rsidRPr="006F7A67">
              <w:rPr>
                <w:sz w:val="20"/>
                <w:szCs w:val="20"/>
                <w:lang w:val="fr-CA"/>
              </w:rPr>
              <w:t>1</w:t>
            </w:r>
            <w:r w:rsidRPr="006F7A67">
              <w:rPr>
                <w:sz w:val="20"/>
                <w:szCs w:val="20"/>
                <w:vertAlign w:val="superscript"/>
                <w:lang w:val="fr-CA"/>
              </w:rPr>
              <w:t>er</w:t>
            </w:r>
            <w:proofErr w:type="gramEnd"/>
            <w:r w:rsidRPr="006F7A67">
              <w:rPr>
                <w:sz w:val="20"/>
                <w:szCs w:val="20"/>
                <w:lang w:val="fr-CA"/>
              </w:rPr>
              <w:t xml:space="preserve"> </w:t>
            </w:r>
            <w:proofErr w:type="spellStart"/>
            <w:r w:rsidRPr="006F7A67">
              <w:rPr>
                <w:sz w:val="20"/>
                <w:szCs w:val="20"/>
                <w:lang w:val="fr-CA"/>
              </w:rPr>
              <w:t>ali</w:t>
            </w:r>
            <w:proofErr w:type="spellEnd"/>
            <w:r w:rsidRPr="006F7A67">
              <w:rPr>
                <w:sz w:val="20"/>
                <w:szCs w:val="20"/>
                <w:lang w:val="fr-CA"/>
              </w:rPr>
              <w:t xml:space="preserve">. du </w:t>
            </w:r>
            <w:r w:rsidRPr="006F7A67">
              <w:rPr>
                <w:i/>
                <w:sz w:val="20"/>
                <w:szCs w:val="20"/>
                <w:lang w:val="fr-CA"/>
              </w:rPr>
              <w:t>Code civil du Québec</w:t>
            </w:r>
            <w:r w:rsidRPr="006F7A67">
              <w:rPr>
                <w:sz w:val="20"/>
                <w:szCs w:val="20"/>
                <w:lang w:val="fr-CA"/>
              </w:rPr>
              <w:t xml:space="preserve"> (CCQ) le 23 mai 2017 afin de l’obliger à assurer leur défense et à obtenir le remboursement des frais de défense engagé. La Cour supérieure a rejeté l’action « Wellington » des intimées. La Cour d’appel a accueilli l’appel en partie.</w:t>
            </w:r>
          </w:p>
          <w:p w:rsidR="00197F36" w:rsidRPr="006F7A67" w:rsidRDefault="00197F36" w:rsidP="0019255A">
            <w:pPr>
              <w:jc w:val="both"/>
              <w:rPr>
                <w:sz w:val="20"/>
                <w:lang w:val="fr-CA"/>
              </w:rPr>
            </w:pPr>
          </w:p>
        </w:tc>
      </w:tr>
      <w:tr w:rsidR="00197F36" w:rsidRPr="006F7A67" w:rsidTr="0019255A">
        <w:tc>
          <w:tcPr>
            <w:tcW w:w="2427" w:type="pct"/>
          </w:tcPr>
          <w:p w:rsidR="00197F36" w:rsidRPr="006F7A67" w:rsidRDefault="00197F36" w:rsidP="0019255A">
            <w:pPr>
              <w:jc w:val="both"/>
              <w:rPr>
                <w:sz w:val="20"/>
                <w:lang w:val="fr-CA"/>
              </w:rPr>
            </w:pPr>
            <w:r w:rsidRPr="006F7A67">
              <w:rPr>
                <w:sz w:val="20"/>
                <w:lang w:val="fr-CA"/>
              </w:rPr>
              <w:t>Le 18 mars 2018</w:t>
            </w:r>
          </w:p>
          <w:p w:rsidR="00197F36" w:rsidRPr="006F7A67" w:rsidRDefault="00197F36" w:rsidP="0019255A">
            <w:pPr>
              <w:jc w:val="both"/>
              <w:rPr>
                <w:sz w:val="20"/>
                <w:lang w:val="fr-CA"/>
              </w:rPr>
            </w:pPr>
            <w:r w:rsidRPr="006F7A67">
              <w:rPr>
                <w:sz w:val="20"/>
                <w:lang w:val="fr-CA"/>
              </w:rPr>
              <w:t>Cour supérieure du Québec</w:t>
            </w:r>
          </w:p>
          <w:p w:rsidR="00197F36" w:rsidRPr="006F7A67" w:rsidRDefault="00197F36" w:rsidP="0019255A">
            <w:pPr>
              <w:jc w:val="both"/>
              <w:rPr>
                <w:sz w:val="20"/>
              </w:rPr>
            </w:pPr>
            <w:r w:rsidRPr="006F7A67">
              <w:rPr>
                <w:sz w:val="20"/>
              </w:rPr>
              <w:t>(Le juge Riordan)</w:t>
            </w:r>
          </w:p>
          <w:p w:rsidR="00197F36" w:rsidRPr="006F7A67" w:rsidRDefault="00300F06" w:rsidP="0019255A">
            <w:pPr>
              <w:jc w:val="both"/>
              <w:rPr>
                <w:sz w:val="20"/>
              </w:rPr>
            </w:pPr>
            <w:hyperlink r:id="rId27" w:history="1">
              <w:r w:rsidR="00197F36" w:rsidRPr="006F7A67">
                <w:rPr>
                  <w:rStyle w:val="Hyperlink"/>
                  <w:sz w:val="20"/>
                </w:rPr>
                <w:t>2018 QCCS 5895</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Action rejetée.</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lang w:val="fr-CA"/>
              </w:rPr>
            </w:pPr>
            <w:r w:rsidRPr="006F7A67">
              <w:rPr>
                <w:sz w:val="20"/>
                <w:lang w:val="fr-CA"/>
              </w:rPr>
              <w:t>Le 5 septembre 2019</w:t>
            </w:r>
          </w:p>
          <w:p w:rsidR="00197F36" w:rsidRPr="006F7A67" w:rsidRDefault="00197F36" w:rsidP="0019255A">
            <w:pPr>
              <w:jc w:val="both"/>
              <w:rPr>
                <w:sz w:val="20"/>
                <w:lang w:val="fr-CA"/>
              </w:rPr>
            </w:pPr>
            <w:r w:rsidRPr="006F7A67">
              <w:rPr>
                <w:sz w:val="20"/>
                <w:lang w:val="fr-CA"/>
              </w:rPr>
              <w:t>Cour d’appel du Québec (Montréal)</w:t>
            </w:r>
          </w:p>
          <w:p w:rsidR="00197F36" w:rsidRPr="006F7A67" w:rsidRDefault="00197F36" w:rsidP="0019255A">
            <w:pPr>
              <w:jc w:val="both"/>
              <w:rPr>
                <w:sz w:val="20"/>
                <w:lang w:val="fr-CA"/>
              </w:rPr>
            </w:pPr>
            <w:r w:rsidRPr="006F7A67">
              <w:rPr>
                <w:sz w:val="20"/>
                <w:lang w:val="fr-CA"/>
              </w:rPr>
              <w:t xml:space="preserve">(Les juges Dufresne, </w:t>
            </w:r>
            <w:proofErr w:type="spellStart"/>
            <w:r w:rsidRPr="006F7A67">
              <w:rPr>
                <w:sz w:val="20"/>
                <w:lang w:val="fr-CA"/>
              </w:rPr>
              <w:t>Cotnam</w:t>
            </w:r>
            <w:proofErr w:type="spellEnd"/>
            <w:r w:rsidRPr="006F7A67">
              <w:rPr>
                <w:sz w:val="20"/>
                <w:lang w:val="fr-CA"/>
              </w:rPr>
              <w:t xml:space="preserve"> et Hamilton)</w:t>
            </w:r>
          </w:p>
          <w:p w:rsidR="00197F36" w:rsidRPr="006F7A67" w:rsidRDefault="00300F06" w:rsidP="0019255A">
            <w:pPr>
              <w:jc w:val="both"/>
              <w:rPr>
                <w:sz w:val="20"/>
              </w:rPr>
            </w:pPr>
            <w:hyperlink r:id="rId28" w:history="1">
              <w:r w:rsidR="00197F36" w:rsidRPr="006F7A67">
                <w:rPr>
                  <w:rStyle w:val="Hyperlink"/>
                  <w:sz w:val="20"/>
                </w:rPr>
                <w:t>2019 QCCA 1440</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 xml:space="preserve">Appel </w:t>
            </w:r>
            <w:proofErr w:type="spellStart"/>
            <w:r w:rsidRPr="006F7A67">
              <w:rPr>
                <w:sz w:val="20"/>
              </w:rPr>
              <w:t>accueilli</w:t>
            </w:r>
            <w:proofErr w:type="spellEnd"/>
            <w:r w:rsidRPr="006F7A67">
              <w:rPr>
                <w:sz w:val="20"/>
              </w:rPr>
              <w:t xml:space="preserve"> en </w:t>
            </w:r>
            <w:proofErr w:type="spellStart"/>
            <w:r w:rsidRPr="006F7A67">
              <w:rPr>
                <w:sz w:val="20"/>
              </w:rPr>
              <w:t>partie</w:t>
            </w:r>
            <w:proofErr w:type="spellEnd"/>
            <w:r w:rsidRPr="006F7A67">
              <w:rPr>
                <w:sz w:val="20"/>
              </w:rPr>
              <w:t>.</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lang w:val="fr-CA"/>
              </w:rPr>
            </w:pPr>
            <w:r w:rsidRPr="006F7A67">
              <w:rPr>
                <w:sz w:val="20"/>
                <w:lang w:val="fr-CA"/>
              </w:rPr>
              <w:t>Le 4 novembre 2019</w:t>
            </w:r>
          </w:p>
          <w:p w:rsidR="00197F36" w:rsidRPr="006F7A67" w:rsidRDefault="00197F36" w:rsidP="0019255A">
            <w:pPr>
              <w:jc w:val="both"/>
              <w:rPr>
                <w:sz w:val="20"/>
                <w:lang w:val="fr-CA"/>
              </w:rPr>
            </w:pPr>
            <w:r w:rsidRPr="006F7A67">
              <w:rPr>
                <w:sz w:val="20"/>
                <w:lang w:val="fr-CA"/>
              </w:rPr>
              <w:t>Cour suprême du Canada</w:t>
            </w: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rPr>
            </w:pPr>
            <w:r w:rsidRPr="006F7A67">
              <w:rPr>
                <w:sz w:val="20"/>
              </w:rPr>
              <w:t>Demande d'autorisation d'appel déposée</w:t>
            </w:r>
          </w:p>
          <w:p w:rsidR="00197F36" w:rsidRPr="006F7A67" w:rsidRDefault="00197F36" w:rsidP="0019255A">
            <w:pPr>
              <w:jc w:val="both"/>
              <w:rPr>
                <w:sz w:val="20"/>
              </w:rPr>
            </w:pPr>
          </w:p>
        </w:tc>
      </w:tr>
    </w:tbl>
    <w:p w:rsidR="00197F36" w:rsidRPr="006F7A67" w:rsidRDefault="00197F36" w:rsidP="00197F36">
      <w:pPr>
        <w:jc w:val="both"/>
        <w:rPr>
          <w:sz w:val="20"/>
        </w:rPr>
      </w:pPr>
    </w:p>
    <w:p w:rsidR="00197F36" w:rsidRPr="006F7A67" w:rsidRDefault="00300F06" w:rsidP="00197F36">
      <w:pPr>
        <w:ind w:left="142" w:hanging="142"/>
        <w:jc w:val="both"/>
        <w:rPr>
          <w:sz w:val="20"/>
          <w:lang w:val="fr-CA"/>
        </w:rPr>
      </w:pPr>
      <w:r>
        <w:rPr>
          <w:sz w:val="20"/>
        </w:rPr>
        <w:pict>
          <v:rect id="_x0000_i1034" style="width:2in;height:1pt" o:hrpct="0" o:hralign="center" o:hrstd="t" o:hrnoshade="t" o:hr="t" fillcolor="black [3213]" stroked="f"/>
        </w:pict>
      </w:r>
    </w:p>
    <w:p w:rsidR="00197F36" w:rsidRPr="006F7A67" w:rsidRDefault="00197F36" w:rsidP="00197F3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38745</w:t>
            </w:r>
          </w:p>
        </w:tc>
        <w:tc>
          <w:tcPr>
            <w:tcW w:w="4457" w:type="pct"/>
          </w:tcPr>
          <w:p w:rsidR="00197F36" w:rsidRPr="006F7A67" w:rsidRDefault="00197F36" w:rsidP="0019255A">
            <w:pPr>
              <w:pStyle w:val="SCCLsocParty"/>
              <w:jc w:val="both"/>
              <w:rPr>
                <w:b/>
                <w:sz w:val="20"/>
                <w:szCs w:val="20"/>
                <w:lang w:val="en-US"/>
              </w:rPr>
            </w:pPr>
            <w:r w:rsidRPr="006F7A67">
              <w:rPr>
                <w:b/>
                <w:sz w:val="20"/>
                <w:szCs w:val="20"/>
                <w:lang w:val="en-US"/>
              </w:rPr>
              <w:t>Angèle Brousseau</w:t>
            </w:r>
            <w:r w:rsidR="006650B9" w:rsidRPr="006F7A67">
              <w:rPr>
                <w:b/>
                <w:sz w:val="20"/>
                <w:szCs w:val="20"/>
                <w:lang w:val="en-US"/>
              </w:rPr>
              <w:t xml:space="preserve"> and</w:t>
            </w:r>
            <w:r w:rsidRPr="006F7A67">
              <w:rPr>
                <w:b/>
                <w:sz w:val="20"/>
                <w:szCs w:val="20"/>
                <w:lang w:val="en-US"/>
              </w:rPr>
              <w:t xml:space="preserve"> Jean-Claude Picard v. Abbott Laboratories </w:t>
            </w:r>
            <w:r w:rsidR="006650B9" w:rsidRPr="006F7A67">
              <w:rPr>
                <w:b/>
                <w:sz w:val="20"/>
                <w:szCs w:val="20"/>
                <w:lang w:val="en-US"/>
              </w:rPr>
              <w:t>Co. (formerly known as Abbott Laboratories Limited)</w:t>
            </w:r>
          </w:p>
          <w:p w:rsidR="00197F36" w:rsidRPr="006F7A67" w:rsidRDefault="00197F36" w:rsidP="0019255A">
            <w:pPr>
              <w:jc w:val="both"/>
              <w:rPr>
                <w:sz w:val="20"/>
              </w:rPr>
            </w:pPr>
            <w:r w:rsidRPr="006F7A67">
              <w:rPr>
                <w:sz w:val="20"/>
              </w:rPr>
              <w:t>(Que.) (Civil) (By Leave)</w:t>
            </w:r>
          </w:p>
        </w:tc>
      </w:tr>
      <w:tr w:rsidR="006650B9" w:rsidRPr="006F7A67" w:rsidTr="0019255A">
        <w:tc>
          <w:tcPr>
            <w:tcW w:w="5000" w:type="pct"/>
            <w:gridSpan w:val="2"/>
          </w:tcPr>
          <w:p w:rsidR="006650B9" w:rsidRPr="006F7A67" w:rsidRDefault="006650B9" w:rsidP="006650B9">
            <w:pPr>
              <w:jc w:val="both"/>
              <w:rPr>
                <w:sz w:val="20"/>
                <w:szCs w:val="20"/>
              </w:rPr>
            </w:pPr>
            <w:r w:rsidRPr="006F7A67">
              <w:rPr>
                <w:sz w:val="20"/>
                <w:szCs w:val="20"/>
              </w:rPr>
              <w:t xml:space="preserve">The motion for an extension of time to file the response of the applicants on September 23, 2019 is granted. The application for leave to appeal from the judgment of the </w:t>
            </w:r>
            <w:r w:rsidRPr="006F7A67">
              <w:rPr>
                <w:sz w:val="20"/>
                <w:szCs w:val="20"/>
                <w:lang w:val="en-US"/>
              </w:rPr>
              <w:t>Court of Appeal of Quebec (Québec)</w:t>
            </w:r>
            <w:r w:rsidRPr="006F7A67">
              <w:rPr>
                <w:sz w:val="20"/>
                <w:szCs w:val="20"/>
              </w:rPr>
              <w:t xml:space="preserve">, Number </w:t>
            </w:r>
            <w:r w:rsidRPr="006F7A67">
              <w:rPr>
                <w:sz w:val="20"/>
                <w:szCs w:val="20"/>
                <w:lang w:val="en-US"/>
              </w:rPr>
              <w:t>200-09-009393-163, 2019 QCCA 801</w:t>
            </w:r>
            <w:r w:rsidRPr="006F7A67">
              <w:rPr>
                <w:sz w:val="20"/>
                <w:szCs w:val="20"/>
              </w:rPr>
              <w:t xml:space="preserve">, dated </w:t>
            </w:r>
            <w:r w:rsidRPr="006F7A67">
              <w:rPr>
                <w:sz w:val="20"/>
                <w:szCs w:val="20"/>
                <w:lang w:val="en-US"/>
              </w:rPr>
              <w:t>May 8, 2019,</w:t>
            </w:r>
            <w:r w:rsidRPr="006F7A67">
              <w:rPr>
                <w:sz w:val="20"/>
                <w:szCs w:val="20"/>
              </w:rPr>
              <w:t xml:space="preserve"> is dismissed with costs.</w:t>
            </w:r>
          </w:p>
          <w:p w:rsidR="006650B9" w:rsidRPr="006F7A67" w:rsidRDefault="006650B9" w:rsidP="0019255A">
            <w:pPr>
              <w:pStyle w:val="SCCBanSummary0"/>
              <w:rPr>
                <w:sz w:val="20"/>
                <w:szCs w:val="20"/>
              </w:rPr>
            </w:pPr>
          </w:p>
        </w:tc>
      </w:tr>
      <w:tr w:rsidR="00197F36" w:rsidRPr="006F7A67" w:rsidTr="0019255A">
        <w:tc>
          <w:tcPr>
            <w:tcW w:w="5000" w:type="pct"/>
            <w:gridSpan w:val="2"/>
          </w:tcPr>
          <w:p w:rsidR="00197F36" w:rsidRPr="006F7A67" w:rsidRDefault="00197F36" w:rsidP="0019255A">
            <w:pPr>
              <w:pStyle w:val="SCCBanSummary0"/>
              <w:rPr>
                <w:sz w:val="20"/>
                <w:szCs w:val="20"/>
              </w:rPr>
            </w:pPr>
            <w:r w:rsidRPr="006F7A67">
              <w:rPr>
                <w:sz w:val="20"/>
                <w:szCs w:val="20"/>
              </w:rPr>
              <w:t>(Court file contains information that is not available for inspection by the public)</w:t>
            </w:r>
          </w:p>
          <w:p w:rsidR="00197F36" w:rsidRPr="006F7A67" w:rsidRDefault="00197F36" w:rsidP="0019255A">
            <w:pPr>
              <w:jc w:val="both"/>
              <w:rPr>
                <w:sz w:val="20"/>
              </w:rPr>
            </w:pPr>
          </w:p>
        </w:tc>
      </w:tr>
      <w:tr w:rsidR="00197F36" w:rsidRPr="006F7A67" w:rsidTr="0019255A">
        <w:tc>
          <w:tcPr>
            <w:tcW w:w="5000" w:type="pct"/>
            <w:gridSpan w:val="2"/>
          </w:tcPr>
          <w:p w:rsidR="00197F36" w:rsidRPr="006F7A67" w:rsidRDefault="00197F36" w:rsidP="0019255A">
            <w:pPr>
              <w:jc w:val="both"/>
              <w:rPr>
                <w:sz w:val="20"/>
              </w:rPr>
            </w:pPr>
            <w:r w:rsidRPr="006F7A67">
              <w:rPr>
                <w:sz w:val="20"/>
              </w:rPr>
              <w:t xml:space="preserve">Civil liability </w:t>
            </w:r>
            <w:r w:rsidRPr="006F7A67">
              <w:rPr>
                <w:iCs/>
                <w:color w:val="000000"/>
                <w:sz w:val="20"/>
                <w:shd w:val="clear" w:color="auto" w:fill="FFFFFF"/>
              </w:rPr>
              <w:t>— Product liability — Goods presenting danger — Failure to warn</w:t>
            </w:r>
            <w:r w:rsidRPr="006F7A67">
              <w:rPr>
                <w:sz w:val="20"/>
              </w:rPr>
              <w:t xml:space="preserve"> </w:t>
            </w:r>
            <w:r w:rsidRPr="006F7A67">
              <w:rPr>
                <w:iCs/>
                <w:color w:val="000000"/>
                <w:sz w:val="20"/>
                <w:shd w:val="clear" w:color="auto" w:fill="FFFFFF"/>
              </w:rPr>
              <w:t>— Side effects — Drugs — Consumer p</w:t>
            </w:r>
            <w:r w:rsidRPr="006F7A67">
              <w:rPr>
                <w:sz w:val="20"/>
              </w:rPr>
              <w:t xml:space="preserve">rotection </w:t>
            </w:r>
            <w:r w:rsidRPr="006F7A67">
              <w:rPr>
                <w:iCs/>
                <w:color w:val="000000"/>
                <w:sz w:val="20"/>
                <w:shd w:val="clear" w:color="auto" w:fill="FFFFFF"/>
              </w:rPr>
              <w:t>—</w:t>
            </w:r>
            <w:r w:rsidRPr="006F7A67">
              <w:rPr>
                <w:sz w:val="20"/>
              </w:rPr>
              <w:t xml:space="preserve"> Contractual liability </w:t>
            </w:r>
            <w:r w:rsidRPr="006F7A67">
              <w:rPr>
                <w:iCs/>
                <w:color w:val="000000"/>
                <w:sz w:val="20"/>
                <w:shd w:val="clear" w:color="auto" w:fill="FFFFFF"/>
              </w:rPr>
              <w:t>— Latent defects — Lack of instructions necessary for protection against risk or danger —</w:t>
            </w:r>
            <w:r w:rsidRPr="006F7A67">
              <w:rPr>
                <w:sz w:val="20"/>
              </w:rPr>
              <w:t xml:space="preserve"> Whether triggering of duty to inform entails duty to warn </w:t>
            </w:r>
            <w:r w:rsidRPr="006F7A67">
              <w:rPr>
                <w:iCs/>
                <w:color w:val="000000"/>
                <w:sz w:val="20"/>
                <w:shd w:val="clear" w:color="auto" w:fill="FFFFFF"/>
              </w:rPr>
              <w:t xml:space="preserve">— Whether drug manufacturers are subject to legal scheme of ordinary law or to rules of scientific evidence regarding intensity of their duty to inform — Whether sale of prescription drugs is consumer contract to which </w:t>
            </w:r>
            <w:r w:rsidRPr="006F7A67">
              <w:rPr>
                <w:i/>
                <w:iCs/>
                <w:color w:val="000000"/>
                <w:sz w:val="20"/>
                <w:shd w:val="clear" w:color="auto" w:fill="FFFFFF"/>
              </w:rPr>
              <w:t>Consumer Protection Act</w:t>
            </w:r>
            <w:r w:rsidRPr="006F7A67">
              <w:rPr>
                <w:iCs/>
                <w:color w:val="000000"/>
                <w:sz w:val="20"/>
                <w:shd w:val="clear" w:color="auto" w:fill="FFFFFF"/>
              </w:rPr>
              <w:t>, CQLR, c. P</w:t>
            </w:r>
            <w:r w:rsidRPr="006F7A67">
              <w:rPr>
                <w:iCs/>
                <w:color w:val="000000"/>
                <w:sz w:val="20"/>
                <w:shd w:val="clear" w:color="auto" w:fill="FFFFFF"/>
              </w:rPr>
              <w:noBreakHyphen/>
              <w:t xml:space="preserve">40.1, applies — </w:t>
            </w:r>
            <w:r w:rsidRPr="006F7A67">
              <w:rPr>
                <w:i/>
                <w:iCs/>
                <w:sz w:val="20"/>
              </w:rPr>
              <w:t>Civil Code of Québec</w:t>
            </w:r>
            <w:r w:rsidRPr="006F7A67">
              <w:rPr>
                <w:iCs/>
                <w:sz w:val="20"/>
              </w:rPr>
              <w:t>, CQLR, c. CCQ</w:t>
            </w:r>
            <w:r w:rsidRPr="006F7A67">
              <w:rPr>
                <w:iCs/>
                <w:sz w:val="20"/>
              </w:rPr>
              <w:noBreakHyphen/>
              <w:t xml:space="preserve">1991, arts. 1468, 1469 </w:t>
            </w:r>
            <w:r w:rsidRPr="006F7A67">
              <w:rPr>
                <w:iCs/>
                <w:color w:val="000000"/>
                <w:sz w:val="20"/>
                <w:shd w:val="clear" w:color="auto" w:fill="FFFFFF"/>
              </w:rPr>
              <w:t xml:space="preserve">— </w:t>
            </w:r>
            <w:r w:rsidRPr="006F7A67">
              <w:rPr>
                <w:i/>
                <w:iCs/>
                <w:color w:val="000000"/>
                <w:sz w:val="20"/>
                <w:shd w:val="clear" w:color="auto" w:fill="FFFFFF"/>
              </w:rPr>
              <w:t>Consumer Protection Act</w:t>
            </w:r>
            <w:r w:rsidRPr="006F7A67">
              <w:rPr>
                <w:iCs/>
                <w:color w:val="000000"/>
                <w:sz w:val="20"/>
                <w:shd w:val="clear" w:color="auto" w:fill="FFFFFF"/>
              </w:rPr>
              <w:t>, CQLR, c. P</w:t>
            </w:r>
            <w:r w:rsidRPr="006F7A67">
              <w:rPr>
                <w:iCs/>
                <w:color w:val="000000"/>
                <w:sz w:val="20"/>
                <w:shd w:val="clear" w:color="auto" w:fill="FFFFFF"/>
              </w:rPr>
              <w:noBreakHyphen/>
              <w:t>40.1, s. 53.</w:t>
            </w:r>
          </w:p>
        </w:tc>
      </w:tr>
    </w:tbl>
    <w:p w:rsidR="001A0C1D" w:rsidRPr="006F7A67" w:rsidRDefault="001A0C1D">
      <w:r w:rsidRPr="006F7A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7F36" w:rsidRPr="006F7A67" w:rsidTr="0019255A">
        <w:tc>
          <w:tcPr>
            <w:tcW w:w="5000" w:type="pct"/>
            <w:gridSpan w:val="3"/>
          </w:tcPr>
          <w:p w:rsidR="00197F36" w:rsidRPr="006F7A67" w:rsidRDefault="00197F36" w:rsidP="0019255A">
            <w:pPr>
              <w:jc w:val="both"/>
              <w:rPr>
                <w:sz w:val="20"/>
              </w:rPr>
            </w:pPr>
          </w:p>
          <w:p w:rsidR="00197F36" w:rsidRPr="006F7A67" w:rsidRDefault="00197F36" w:rsidP="0019255A">
            <w:pPr>
              <w:jc w:val="both"/>
              <w:rPr>
                <w:sz w:val="20"/>
              </w:rPr>
            </w:pPr>
            <w:r w:rsidRPr="006F7A67">
              <w:rPr>
                <w:sz w:val="20"/>
              </w:rPr>
              <w:t>The applicants were authorized to institute a class action against the respondent, Abbott Laboratories Limited (“Abbott”), on behalf of persons who had sustained damage as a result of side effects of psychiatric disorders caused by the drug Biaxin. The applicants alleged that Abbott had breached its duty to inform, as a drug manufacturer, of the side effects of Biaxin, a widely used antibiotic that has been marketed in Canada since 1992. The applicants’ experts testified that there is an association between consumption of Biaxin and the members’ neuropsychiatric symptoms that is not coincidental. Abbott’s experts countered that the existence of a causal link, or even of an association, between use of Biaxin and side effects of a psychiatric nature has not been proven. Abbott argued that the side effects of a neuropsychiatric nature had in any event been disclosed sufficiently in successive Biaxin monographs. The Superior Court dismissed the class action, concluding that the testimony of the group’s members could not constitute a preponderance of evidence as to a causal link between consumption of Biaxin and the observed neuropsychiatric side effects concomitant with taking it. The Court of Appeal dismissed the appeal. It held that very serious neuropsychiatric side effects concomitant with taking Biaxin had been reported and that the manufacturer should take the precaution of informing users of the reported serious side effects from taking this drug, a duty that Abbott had discharged by adequately informing users of the risks of neuropsychiatric side effects by disclosing the various such side effects in successive Biaxin monographs.</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October 19, 2016</w:t>
            </w:r>
          </w:p>
          <w:p w:rsidR="00197F36" w:rsidRPr="006F7A67" w:rsidRDefault="00197F36" w:rsidP="0019255A">
            <w:pPr>
              <w:jc w:val="both"/>
              <w:rPr>
                <w:sz w:val="20"/>
              </w:rPr>
            </w:pPr>
            <w:r w:rsidRPr="006F7A67">
              <w:rPr>
                <w:sz w:val="20"/>
              </w:rPr>
              <w:t>Quebec Superior Court (Québec)</w:t>
            </w:r>
          </w:p>
          <w:p w:rsidR="00197F36" w:rsidRPr="006F7A67" w:rsidRDefault="00197F36" w:rsidP="0019255A">
            <w:pPr>
              <w:jc w:val="both"/>
              <w:rPr>
                <w:sz w:val="20"/>
              </w:rPr>
            </w:pPr>
            <w:r w:rsidRPr="006F7A67">
              <w:rPr>
                <w:sz w:val="20"/>
              </w:rPr>
              <w:t>(Hardy-Lemieux J.)</w:t>
            </w:r>
          </w:p>
          <w:p w:rsidR="00197F36" w:rsidRPr="006F7A67" w:rsidRDefault="00197F36" w:rsidP="0019255A">
            <w:pPr>
              <w:jc w:val="both"/>
              <w:rPr>
                <w:sz w:val="20"/>
              </w:rPr>
            </w:pPr>
            <w:r w:rsidRPr="006F7A67">
              <w:rPr>
                <w:sz w:val="20"/>
              </w:rPr>
              <w:t>200</w:t>
            </w:r>
            <w:r w:rsidRPr="006F7A67">
              <w:rPr>
                <w:sz w:val="20"/>
              </w:rPr>
              <w:noBreakHyphen/>
              <w:t>06</w:t>
            </w:r>
            <w:r w:rsidRPr="006F7A67">
              <w:rPr>
                <w:sz w:val="20"/>
              </w:rPr>
              <w:noBreakHyphen/>
              <w:t>000107</w:t>
            </w:r>
            <w:r w:rsidRPr="006F7A67">
              <w:rPr>
                <w:sz w:val="20"/>
              </w:rPr>
              <w:noBreakHyphen/>
              <w:t>089</w:t>
            </w:r>
          </w:p>
          <w:p w:rsidR="00197F36" w:rsidRPr="006F7A67" w:rsidRDefault="00300F06" w:rsidP="0019255A">
            <w:pPr>
              <w:jc w:val="both"/>
              <w:rPr>
                <w:sz w:val="20"/>
              </w:rPr>
            </w:pPr>
            <w:hyperlink r:id="rId29" w:history="1">
              <w:r w:rsidR="00197F36" w:rsidRPr="006F7A67">
                <w:rPr>
                  <w:rStyle w:val="Hyperlink"/>
                  <w:sz w:val="20"/>
                </w:rPr>
                <w:t>2016 QCCS 5083</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Class action dismissed with each party to pay their own costs.</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May 8, 2019</w:t>
            </w:r>
          </w:p>
          <w:p w:rsidR="00197F36" w:rsidRPr="006F7A67" w:rsidRDefault="00197F36" w:rsidP="0019255A">
            <w:pPr>
              <w:jc w:val="both"/>
              <w:rPr>
                <w:sz w:val="20"/>
              </w:rPr>
            </w:pPr>
            <w:r w:rsidRPr="006F7A67">
              <w:rPr>
                <w:sz w:val="20"/>
              </w:rPr>
              <w:t>Quebec Court of Appeal (Québec)</w:t>
            </w:r>
          </w:p>
          <w:p w:rsidR="00197F36" w:rsidRPr="006F7A67" w:rsidRDefault="00197F36" w:rsidP="0019255A">
            <w:pPr>
              <w:jc w:val="both"/>
              <w:rPr>
                <w:sz w:val="20"/>
              </w:rPr>
            </w:pPr>
            <w:r w:rsidRPr="006F7A67">
              <w:rPr>
                <w:sz w:val="20"/>
              </w:rPr>
              <w:t xml:space="preserve">(Hilton, </w:t>
            </w:r>
            <w:proofErr w:type="spellStart"/>
            <w:r w:rsidRPr="006F7A67">
              <w:rPr>
                <w:sz w:val="20"/>
              </w:rPr>
              <w:t>Ruel</w:t>
            </w:r>
            <w:proofErr w:type="spellEnd"/>
            <w:r w:rsidRPr="006F7A67">
              <w:rPr>
                <w:sz w:val="20"/>
              </w:rPr>
              <w:t xml:space="preserve"> and Gagné JJ.A.)</w:t>
            </w:r>
          </w:p>
          <w:p w:rsidR="00197F36" w:rsidRPr="006F7A67" w:rsidRDefault="00197F36" w:rsidP="0019255A">
            <w:pPr>
              <w:jc w:val="both"/>
              <w:rPr>
                <w:sz w:val="20"/>
              </w:rPr>
            </w:pPr>
            <w:r w:rsidRPr="006F7A67">
              <w:rPr>
                <w:sz w:val="20"/>
              </w:rPr>
              <w:t>200</w:t>
            </w:r>
            <w:r w:rsidRPr="006F7A67">
              <w:rPr>
                <w:sz w:val="20"/>
              </w:rPr>
              <w:noBreakHyphen/>
              <w:t>09</w:t>
            </w:r>
            <w:r w:rsidRPr="006F7A67">
              <w:rPr>
                <w:sz w:val="20"/>
              </w:rPr>
              <w:noBreakHyphen/>
              <w:t>009393</w:t>
            </w:r>
            <w:r w:rsidRPr="006F7A67">
              <w:rPr>
                <w:sz w:val="20"/>
              </w:rPr>
              <w:noBreakHyphen/>
              <w:t>163</w:t>
            </w:r>
          </w:p>
          <w:p w:rsidR="00197F36" w:rsidRPr="006F7A67" w:rsidRDefault="00300F06" w:rsidP="0019255A">
            <w:pPr>
              <w:jc w:val="both"/>
              <w:rPr>
                <w:sz w:val="20"/>
              </w:rPr>
            </w:pPr>
            <w:hyperlink r:id="rId30" w:history="1">
              <w:r w:rsidR="00197F36" w:rsidRPr="006F7A67">
                <w:rPr>
                  <w:rStyle w:val="Hyperlink"/>
                  <w:sz w:val="20"/>
                </w:rPr>
                <w:t>2019 QCCA 801</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Appeal dismissed with costs.</w:t>
            </w:r>
          </w:p>
        </w:tc>
      </w:tr>
      <w:tr w:rsidR="00197F36" w:rsidRPr="006F7A67" w:rsidTr="0019255A">
        <w:tc>
          <w:tcPr>
            <w:tcW w:w="2427" w:type="pct"/>
          </w:tcPr>
          <w:p w:rsidR="00197F36" w:rsidRPr="006F7A67" w:rsidRDefault="00197F36" w:rsidP="0019255A">
            <w:pPr>
              <w:jc w:val="both"/>
              <w:rPr>
                <w:sz w:val="20"/>
              </w:rPr>
            </w:pPr>
            <w:r w:rsidRPr="006F7A67">
              <w:rPr>
                <w:sz w:val="20"/>
              </w:rPr>
              <w:t>August 7, 2019</w:t>
            </w:r>
          </w:p>
          <w:p w:rsidR="00197F36" w:rsidRPr="006F7A67" w:rsidRDefault="00197F36" w:rsidP="0019255A">
            <w:pPr>
              <w:jc w:val="both"/>
              <w:rPr>
                <w:sz w:val="20"/>
              </w:rPr>
            </w:pPr>
            <w:r w:rsidRPr="006F7A67">
              <w:rPr>
                <w:sz w:val="20"/>
              </w:rPr>
              <w:t>Supreme Court of Canada</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leave to appeal filed.</w:t>
            </w:r>
          </w:p>
          <w:p w:rsidR="00197F36" w:rsidRPr="006F7A67" w:rsidRDefault="00197F36" w:rsidP="0019255A">
            <w:pPr>
              <w:jc w:val="both"/>
              <w:rPr>
                <w:sz w:val="20"/>
              </w:rPr>
            </w:pP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35"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38745</w:t>
            </w:r>
          </w:p>
        </w:tc>
        <w:tc>
          <w:tcPr>
            <w:tcW w:w="4457" w:type="pct"/>
            <w:gridSpan w:val="3"/>
          </w:tcPr>
          <w:p w:rsidR="00197F36" w:rsidRPr="006F7A67" w:rsidRDefault="00197F36" w:rsidP="006650B9">
            <w:pPr>
              <w:pStyle w:val="SCCLsocParty"/>
              <w:jc w:val="both"/>
              <w:rPr>
                <w:b/>
                <w:sz w:val="20"/>
                <w:szCs w:val="20"/>
              </w:rPr>
            </w:pPr>
            <w:r w:rsidRPr="006F7A67">
              <w:rPr>
                <w:b/>
                <w:sz w:val="20"/>
                <w:szCs w:val="20"/>
              </w:rPr>
              <w:t>Angèle Brousseau</w:t>
            </w:r>
            <w:r w:rsidR="006650B9" w:rsidRPr="006F7A67">
              <w:rPr>
                <w:b/>
                <w:sz w:val="20"/>
                <w:szCs w:val="20"/>
              </w:rPr>
              <w:t xml:space="preserve"> et</w:t>
            </w:r>
            <w:r w:rsidRPr="006F7A67">
              <w:rPr>
                <w:b/>
                <w:sz w:val="20"/>
                <w:szCs w:val="20"/>
              </w:rPr>
              <w:t xml:space="preserve"> Jean-Claude Picard c. Laboratoires Abbott </w:t>
            </w:r>
            <w:r w:rsidR="006650B9" w:rsidRPr="006F7A67">
              <w:rPr>
                <w:b/>
                <w:sz w:val="20"/>
                <w:szCs w:val="20"/>
              </w:rPr>
              <w:t>Cie (anciennement connu sous le nom de Laboratoires Abbott Limitée)</w:t>
            </w:r>
          </w:p>
          <w:p w:rsidR="00197F36" w:rsidRPr="006F7A67" w:rsidRDefault="00197F36" w:rsidP="0019255A">
            <w:pPr>
              <w:jc w:val="both"/>
              <w:rPr>
                <w:sz w:val="20"/>
              </w:rPr>
            </w:pPr>
            <w:r w:rsidRPr="006F7A67">
              <w:rPr>
                <w:sz w:val="20"/>
              </w:rPr>
              <w:t>(Qc) (Civile) (Autorisation)</w:t>
            </w:r>
          </w:p>
        </w:tc>
      </w:tr>
      <w:tr w:rsidR="006650B9" w:rsidRPr="00DB0D35" w:rsidTr="0019255A">
        <w:tc>
          <w:tcPr>
            <w:tcW w:w="5000" w:type="pct"/>
            <w:gridSpan w:val="4"/>
          </w:tcPr>
          <w:p w:rsidR="006650B9" w:rsidRPr="006F7A67" w:rsidRDefault="006650B9" w:rsidP="006650B9">
            <w:pPr>
              <w:jc w:val="both"/>
              <w:rPr>
                <w:sz w:val="20"/>
                <w:szCs w:val="20"/>
                <w:lang w:val="fr-CA"/>
              </w:rPr>
            </w:pPr>
            <w:r w:rsidRPr="006F7A67">
              <w:rPr>
                <w:sz w:val="20"/>
                <w:szCs w:val="20"/>
                <w:lang w:val="fr-CA"/>
              </w:rPr>
              <w:t>La requ</w:t>
            </w:r>
            <w:r w:rsidRPr="006F7A67">
              <w:rPr>
                <w:rFonts w:cs="Times New Roman"/>
                <w:sz w:val="20"/>
                <w:szCs w:val="20"/>
                <w:lang w:val="fr-CA"/>
              </w:rPr>
              <w:t>ê</w:t>
            </w:r>
            <w:r w:rsidRPr="006F7A67">
              <w:rPr>
                <w:sz w:val="20"/>
                <w:szCs w:val="20"/>
                <w:lang w:val="fr-CA"/>
              </w:rPr>
              <w:t>te en prorogation du d</w:t>
            </w:r>
            <w:r w:rsidRPr="006F7A67">
              <w:rPr>
                <w:rFonts w:cs="Times New Roman"/>
                <w:sz w:val="20"/>
                <w:szCs w:val="20"/>
                <w:lang w:val="fr-CA"/>
              </w:rPr>
              <w:t>é</w:t>
            </w:r>
            <w:r w:rsidRPr="006F7A67">
              <w:rPr>
                <w:sz w:val="20"/>
                <w:szCs w:val="20"/>
                <w:lang w:val="fr-CA"/>
              </w:rPr>
              <w:t>lai de d</w:t>
            </w:r>
            <w:r w:rsidRPr="006F7A67">
              <w:rPr>
                <w:rFonts w:cs="Times New Roman"/>
                <w:sz w:val="20"/>
                <w:szCs w:val="20"/>
                <w:lang w:val="fr-CA"/>
              </w:rPr>
              <w:t>é</w:t>
            </w:r>
            <w:r w:rsidRPr="006F7A67">
              <w:rPr>
                <w:sz w:val="20"/>
                <w:szCs w:val="20"/>
                <w:lang w:val="fr-CA"/>
              </w:rPr>
              <w:t>p</w:t>
            </w:r>
            <w:r w:rsidRPr="006F7A67">
              <w:rPr>
                <w:rFonts w:cs="Times New Roman"/>
                <w:sz w:val="20"/>
                <w:szCs w:val="20"/>
                <w:lang w:val="fr-CA"/>
              </w:rPr>
              <w:t>ô</w:t>
            </w:r>
            <w:r w:rsidRPr="006F7A67">
              <w:rPr>
                <w:sz w:val="20"/>
                <w:szCs w:val="20"/>
                <w:lang w:val="fr-CA"/>
              </w:rPr>
              <w:t>t de la r</w:t>
            </w:r>
            <w:r w:rsidRPr="006F7A67">
              <w:rPr>
                <w:rFonts w:cs="Times New Roman"/>
                <w:sz w:val="20"/>
                <w:szCs w:val="20"/>
                <w:lang w:val="fr-CA"/>
              </w:rPr>
              <w:t>é</w:t>
            </w:r>
            <w:r w:rsidRPr="006F7A67">
              <w:rPr>
                <w:sz w:val="20"/>
                <w:szCs w:val="20"/>
                <w:lang w:val="fr-CA"/>
              </w:rPr>
              <w:t>plique des demandeurs au 23 septembre 2019 est accueillie. La demande d’autorisation d’appel de l’arrêt de la Cour d’appel du Québec (Québec), numéro 200-09-009393-163, 2019 QCCA 801, daté du 8 mai 2019, est rejet</w:t>
            </w:r>
            <w:r w:rsidRPr="006F7A67">
              <w:rPr>
                <w:rFonts w:cs="Times New Roman"/>
                <w:sz w:val="20"/>
                <w:szCs w:val="20"/>
                <w:lang w:val="fr-CA"/>
              </w:rPr>
              <w:t>é</w:t>
            </w:r>
            <w:r w:rsidRPr="006F7A67">
              <w:rPr>
                <w:sz w:val="20"/>
                <w:szCs w:val="20"/>
                <w:lang w:val="fr-CA"/>
              </w:rPr>
              <w:t>e avec d</w:t>
            </w:r>
            <w:r w:rsidRPr="006F7A67">
              <w:rPr>
                <w:rFonts w:cs="Times New Roman"/>
                <w:sz w:val="20"/>
                <w:szCs w:val="20"/>
                <w:lang w:val="fr-CA"/>
              </w:rPr>
              <w:t>é</w:t>
            </w:r>
            <w:r w:rsidRPr="006F7A67">
              <w:rPr>
                <w:sz w:val="20"/>
                <w:szCs w:val="20"/>
                <w:lang w:val="fr-CA"/>
              </w:rPr>
              <w:t>pens.</w:t>
            </w:r>
          </w:p>
          <w:p w:rsidR="006650B9" w:rsidRPr="006F7A67" w:rsidRDefault="006650B9" w:rsidP="0019255A">
            <w:pPr>
              <w:pStyle w:val="SCCBanSummary0"/>
              <w:rPr>
                <w:sz w:val="20"/>
                <w:szCs w:val="20"/>
                <w:lang w:val="fr-CA"/>
              </w:rPr>
            </w:pPr>
          </w:p>
        </w:tc>
      </w:tr>
      <w:tr w:rsidR="00197F36" w:rsidRPr="00DB0D35" w:rsidTr="0019255A">
        <w:tc>
          <w:tcPr>
            <w:tcW w:w="5000" w:type="pct"/>
            <w:gridSpan w:val="4"/>
          </w:tcPr>
          <w:p w:rsidR="00197F36" w:rsidRPr="006F7A67" w:rsidRDefault="00197F36" w:rsidP="0019255A">
            <w:pPr>
              <w:pStyle w:val="SCCBanSummary0"/>
              <w:rPr>
                <w:sz w:val="20"/>
                <w:szCs w:val="20"/>
                <w:lang w:val="fr-CA"/>
              </w:rPr>
            </w:pPr>
            <w:r w:rsidRPr="006F7A67">
              <w:rPr>
                <w:sz w:val="20"/>
                <w:szCs w:val="20"/>
                <w:lang w:val="fr-CA"/>
              </w:rPr>
              <w:t>(Le dossier de la Cour renferme des données que le public n'est pas autorisé à consulter)</w:t>
            </w:r>
          </w:p>
          <w:p w:rsidR="00197F36" w:rsidRPr="006F7A67" w:rsidRDefault="00197F36" w:rsidP="0019255A">
            <w:pPr>
              <w:jc w:val="both"/>
              <w:rPr>
                <w:sz w:val="20"/>
                <w:lang w:val="fr-CA"/>
              </w:rPr>
            </w:pPr>
          </w:p>
        </w:tc>
      </w:tr>
      <w:tr w:rsidR="00197F36" w:rsidRPr="00DB0D35" w:rsidTr="0019255A">
        <w:tc>
          <w:tcPr>
            <w:tcW w:w="5000" w:type="pct"/>
            <w:gridSpan w:val="4"/>
          </w:tcPr>
          <w:p w:rsidR="00197F36" w:rsidRPr="006F7A67" w:rsidRDefault="00197F36" w:rsidP="0019255A">
            <w:pPr>
              <w:jc w:val="both"/>
              <w:rPr>
                <w:sz w:val="20"/>
                <w:lang w:val="fr-CA"/>
              </w:rPr>
            </w:pPr>
            <w:r w:rsidRPr="006F7A67">
              <w:rPr>
                <w:sz w:val="20"/>
                <w:lang w:val="fr-CA"/>
              </w:rPr>
              <w:t xml:space="preserve">Responsabilité civile </w:t>
            </w:r>
            <w:r w:rsidRPr="006F7A67">
              <w:rPr>
                <w:iCs/>
                <w:color w:val="000000"/>
                <w:sz w:val="20"/>
                <w:shd w:val="clear" w:color="auto" w:fill="FFFFFF"/>
                <w:lang w:val="fr-CA"/>
              </w:rPr>
              <w:t>— Responsabilité du fabricant  — Bien comportant un danger — Défaut de mise en garde</w:t>
            </w:r>
            <w:r w:rsidRPr="006F7A67">
              <w:rPr>
                <w:sz w:val="20"/>
                <w:lang w:val="fr-CA"/>
              </w:rPr>
              <w:t xml:space="preserve"> </w:t>
            </w:r>
            <w:r w:rsidRPr="006F7A67">
              <w:rPr>
                <w:iCs/>
                <w:color w:val="000000"/>
                <w:sz w:val="20"/>
                <w:shd w:val="clear" w:color="auto" w:fill="FFFFFF"/>
                <w:lang w:val="fr-CA"/>
              </w:rPr>
              <w:t>— Effets secondaires — Médicament — P</w:t>
            </w:r>
            <w:r w:rsidRPr="006F7A67">
              <w:rPr>
                <w:sz w:val="20"/>
                <w:lang w:val="fr-CA"/>
              </w:rPr>
              <w:t xml:space="preserve">rotection du consommateur </w:t>
            </w:r>
            <w:r w:rsidRPr="006F7A67">
              <w:rPr>
                <w:iCs/>
                <w:color w:val="000000"/>
                <w:sz w:val="20"/>
                <w:shd w:val="clear" w:color="auto" w:fill="FFFFFF"/>
                <w:lang w:val="fr-CA"/>
              </w:rPr>
              <w:t>—</w:t>
            </w:r>
            <w:r w:rsidRPr="006F7A67">
              <w:rPr>
                <w:sz w:val="20"/>
                <w:lang w:val="fr-CA"/>
              </w:rPr>
              <w:t xml:space="preserve"> Responsabilité contractuelle </w:t>
            </w:r>
            <w:r w:rsidRPr="006F7A67">
              <w:rPr>
                <w:iCs/>
                <w:color w:val="000000"/>
                <w:sz w:val="20"/>
                <w:shd w:val="clear" w:color="auto" w:fill="FFFFFF"/>
                <w:lang w:val="fr-CA"/>
              </w:rPr>
              <w:t>— Vices cachés — Défaut d’indications nécessaires à la protection contre les risques et dangers —</w:t>
            </w:r>
            <w:r w:rsidRPr="006F7A67">
              <w:rPr>
                <w:sz w:val="20"/>
                <w:lang w:val="fr-CA"/>
              </w:rPr>
              <w:t xml:space="preserve"> </w:t>
            </w:r>
            <w:r w:rsidRPr="006F7A67">
              <w:rPr>
                <w:iCs/>
                <w:color w:val="000000"/>
                <w:sz w:val="20"/>
                <w:shd w:val="clear" w:color="auto" w:fill="FFFFFF"/>
                <w:lang w:val="fr-CA"/>
              </w:rPr>
              <w:t>Est</w:t>
            </w:r>
            <w:r w:rsidRPr="006F7A67">
              <w:rPr>
                <w:iCs/>
                <w:color w:val="000000"/>
                <w:sz w:val="20"/>
                <w:shd w:val="clear" w:color="auto" w:fill="FFFFFF"/>
                <w:lang w:val="fr-CA"/>
              </w:rPr>
              <w:noBreakHyphen/>
              <w:t>ce que le déclenchement du devoir de renseignement implique une obligation de mise en garde? — Est</w:t>
            </w:r>
            <w:r w:rsidRPr="006F7A67">
              <w:rPr>
                <w:iCs/>
                <w:color w:val="000000"/>
                <w:sz w:val="20"/>
                <w:shd w:val="clear" w:color="auto" w:fill="FFFFFF"/>
                <w:lang w:val="fr-CA"/>
              </w:rPr>
              <w:noBreakHyphen/>
              <w:t>ce que les fabricants de produits pharmaceutiques sont soumis au régime juridique de droit commun ou à un régime de preuve scientifique quant à l’intensité de leur devoir de renseignement? — Est</w:t>
            </w:r>
            <w:r w:rsidRPr="006F7A67">
              <w:rPr>
                <w:iCs/>
                <w:color w:val="000000"/>
                <w:sz w:val="20"/>
                <w:shd w:val="clear" w:color="auto" w:fill="FFFFFF"/>
                <w:lang w:val="fr-CA"/>
              </w:rPr>
              <w:noBreakHyphen/>
              <w:t xml:space="preserve">ce que la vente de médicaments sur ordonnance est un contrat de consommation soumis à la </w:t>
            </w:r>
            <w:r w:rsidRPr="006F7A67">
              <w:rPr>
                <w:i/>
                <w:iCs/>
                <w:color w:val="000000"/>
                <w:sz w:val="20"/>
                <w:shd w:val="clear" w:color="auto" w:fill="FFFFFF"/>
                <w:lang w:val="fr-CA"/>
              </w:rPr>
              <w:t>Loi sur la protection du consommateur</w:t>
            </w:r>
            <w:r w:rsidRPr="006F7A67">
              <w:rPr>
                <w:iCs/>
                <w:color w:val="000000"/>
                <w:sz w:val="20"/>
                <w:shd w:val="clear" w:color="auto" w:fill="FFFFFF"/>
                <w:lang w:val="fr-CA"/>
              </w:rPr>
              <w:t>, RLRQ c P</w:t>
            </w:r>
            <w:r w:rsidRPr="006F7A67">
              <w:rPr>
                <w:iCs/>
                <w:color w:val="000000"/>
                <w:sz w:val="20"/>
                <w:shd w:val="clear" w:color="auto" w:fill="FFFFFF"/>
                <w:lang w:val="fr-CA"/>
              </w:rPr>
              <w:noBreakHyphen/>
              <w:t xml:space="preserve">40.1? — </w:t>
            </w:r>
            <w:r w:rsidRPr="006F7A67">
              <w:rPr>
                <w:i/>
                <w:iCs/>
                <w:sz w:val="20"/>
                <w:lang w:val="fr-CA"/>
              </w:rPr>
              <w:t>Code civil du Québec</w:t>
            </w:r>
            <w:r w:rsidRPr="006F7A67">
              <w:rPr>
                <w:iCs/>
                <w:sz w:val="20"/>
                <w:lang w:val="fr-CA"/>
              </w:rPr>
              <w:t>, RLRQ c CCQ</w:t>
            </w:r>
            <w:r w:rsidRPr="006F7A67">
              <w:rPr>
                <w:iCs/>
                <w:sz w:val="20"/>
                <w:lang w:val="fr-CA"/>
              </w:rPr>
              <w:noBreakHyphen/>
              <w:t xml:space="preserve">1991, art. 1468, 1469 </w:t>
            </w:r>
            <w:r w:rsidRPr="006F7A67">
              <w:rPr>
                <w:iCs/>
                <w:color w:val="000000"/>
                <w:sz w:val="20"/>
                <w:shd w:val="clear" w:color="auto" w:fill="FFFFFF"/>
                <w:lang w:val="fr-CA"/>
              </w:rPr>
              <w:t xml:space="preserve">— </w:t>
            </w:r>
            <w:r w:rsidRPr="006F7A67">
              <w:rPr>
                <w:i/>
                <w:iCs/>
                <w:color w:val="000000"/>
                <w:sz w:val="20"/>
                <w:shd w:val="clear" w:color="auto" w:fill="FFFFFF"/>
                <w:lang w:val="fr-CA"/>
              </w:rPr>
              <w:t>Loi sur la protection du consommateur</w:t>
            </w:r>
            <w:r w:rsidRPr="006F7A67">
              <w:rPr>
                <w:iCs/>
                <w:color w:val="000000"/>
                <w:sz w:val="20"/>
                <w:shd w:val="clear" w:color="auto" w:fill="FFFFFF"/>
                <w:lang w:val="fr-CA"/>
              </w:rPr>
              <w:t>, RLRQ c P</w:t>
            </w:r>
            <w:r w:rsidRPr="006F7A67">
              <w:rPr>
                <w:iCs/>
                <w:color w:val="000000"/>
                <w:sz w:val="20"/>
                <w:shd w:val="clear" w:color="auto" w:fill="FFFFFF"/>
                <w:lang w:val="fr-CA"/>
              </w:rPr>
              <w:noBreakHyphen/>
              <w:t>40.1, art. 53.</w:t>
            </w:r>
          </w:p>
        </w:tc>
      </w:tr>
      <w:tr w:rsidR="00197F36" w:rsidRPr="00DB0D35" w:rsidTr="0019255A">
        <w:tc>
          <w:tcPr>
            <w:tcW w:w="5000" w:type="pct"/>
            <w:gridSpan w:val="4"/>
          </w:tcPr>
          <w:p w:rsidR="00197F36" w:rsidRPr="006F7A67" w:rsidRDefault="00197F36" w:rsidP="0019255A">
            <w:pPr>
              <w:jc w:val="both"/>
              <w:rPr>
                <w:sz w:val="20"/>
                <w:lang w:val="fr-CA"/>
              </w:rPr>
            </w:pPr>
          </w:p>
          <w:p w:rsidR="00197F36" w:rsidRPr="006F7A67" w:rsidRDefault="00197F36" w:rsidP="0019255A">
            <w:pPr>
              <w:jc w:val="both"/>
              <w:rPr>
                <w:sz w:val="20"/>
                <w:lang w:val="fr-CA"/>
              </w:rPr>
            </w:pPr>
            <w:r w:rsidRPr="006F7A67">
              <w:rPr>
                <w:sz w:val="20"/>
                <w:lang w:val="fr-CA"/>
              </w:rPr>
              <w:t>Les demandeurs ont été autorisés à exercer une action collective contre l’intimée Laboratoires Abbott Limitée (« Abbott ») pour le compte des personnes ayant subi des dommages découlant des effets secondaires de troubles psychiatriques induits par le médicament Biaxin. Les demandeurs reprochent à Abbott des manquements à son obligation de renseignement à titre de fabricant pharmaceutique concernant les effets secondaires du Biaxin, un antibiotique à large usage commercialisé au Canada depuis 1992. Les experts retenus par les demandeurs témoignent qu’il existe une association entre la consommation du Biaxin et les symptômes de nature neuropsychiatrique subis par les membres qui ne relève pas de la coïncidence. À l’opposé, les experts d’Abbott témoignent que l’existence d’un lien de causalité, même d’une association, entre la prise du Biaxin et des effets secondaires de nature psychiatrique n’a pas été établie. Abbott est d’avis que les effets secondaires de nature neuropsychiatrique ont de toute manière été suffisamment divulgués dans les monographies successives du Biaxin. La Cour supérieure rejette l’action collective, estimant que les témoignages des membres du groupe ne peuvent constituer une preuve prépondérante quant à la causalité entre la consommation du Biaxin et des effets de nature neuropsychiatrique observés en concomitance avec la prise du médicament. La Cour d’appel rejette le pourvoi. Elle retient que effets secondaires de nature neuropsychiatrique très graves ont été rapportés en concomitance avec la prise du Biaxin et que par précaution le fabricant devrait informer les usagers des effets secondaires graves rapportés à la suite de la prise de ce médicament, obligation dont Abbott s’est déchargée en informant adéquatement les usagers des risques d’effets secondaires de nature neuropsychiatrique en les divulguant dans les monographies successives du Biaxin des diverses formes d’effets secondaires de nature neuropsychiatrique.</w:t>
            </w:r>
          </w:p>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Le 19 octobre 2016</w:t>
            </w:r>
          </w:p>
          <w:p w:rsidR="00197F36" w:rsidRPr="006F7A67" w:rsidRDefault="00197F36" w:rsidP="0019255A">
            <w:pPr>
              <w:jc w:val="both"/>
              <w:rPr>
                <w:sz w:val="20"/>
                <w:lang w:val="fr-CA"/>
              </w:rPr>
            </w:pPr>
            <w:r w:rsidRPr="006F7A67">
              <w:rPr>
                <w:sz w:val="20"/>
                <w:lang w:val="fr-CA"/>
              </w:rPr>
              <w:t>Cour supérieure du Québec (Québec)</w:t>
            </w:r>
          </w:p>
          <w:p w:rsidR="00197F36" w:rsidRPr="006F7A67" w:rsidRDefault="00197F36" w:rsidP="0019255A">
            <w:pPr>
              <w:jc w:val="both"/>
              <w:rPr>
                <w:sz w:val="20"/>
                <w:lang w:val="fr-CA"/>
              </w:rPr>
            </w:pPr>
            <w:r w:rsidRPr="006F7A67">
              <w:rPr>
                <w:sz w:val="20"/>
                <w:lang w:val="fr-CA"/>
              </w:rPr>
              <w:t>(La juge Hardy-Lemieux)</w:t>
            </w:r>
          </w:p>
          <w:p w:rsidR="00197F36" w:rsidRPr="006F7A67" w:rsidRDefault="00197F36" w:rsidP="0019255A">
            <w:pPr>
              <w:jc w:val="both"/>
              <w:rPr>
                <w:sz w:val="20"/>
                <w:lang w:val="fr-CA"/>
              </w:rPr>
            </w:pPr>
            <w:r w:rsidRPr="006F7A67">
              <w:rPr>
                <w:sz w:val="20"/>
                <w:lang w:val="fr-CA"/>
              </w:rPr>
              <w:t>200</w:t>
            </w:r>
            <w:r w:rsidRPr="006F7A67">
              <w:rPr>
                <w:sz w:val="20"/>
                <w:lang w:val="fr-CA"/>
              </w:rPr>
              <w:noBreakHyphen/>
              <w:t>06</w:t>
            </w:r>
            <w:r w:rsidRPr="006F7A67">
              <w:rPr>
                <w:sz w:val="20"/>
                <w:lang w:val="fr-CA"/>
              </w:rPr>
              <w:noBreakHyphen/>
              <w:t>000107</w:t>
            </w:r>
            <w:r w:rsidRPr="006F7A67">
              <w:rPr>
                <w:sz w:val="20"/>
                <w:lang w:val="fr-CA"/>
              </w:rPr>
              <w:noBreakHyphen/>
              <w:t>089</w:t>
            </w:r>
          </w:p>
          <w:p w:rsidR="00197F36" w:rsidRPr="006F7A67" w:rsidRDefault="00300F06" w:rsidP="0019255A">
            <w:pPr>
              <w:jc w:val="both"/>
              <w:rPr>
                <w:sz w:val="20"/>
                <w:lang w:val="fr-CA"/>
              </w:rPr>
            </w:pPr>
            <w:hyperlink r:id="rId31" w:history="1">
              <w:r w:rsidR="00197F36" w:rsidRPr="006F7A67">
                <w:rPr>
                  <w:rStyle w:val="Hyperlink"/>
                  <w:sz w:val="20"/>
                  <w:lang w:val="fr-CA"/>
                </w:rPr>
                <w:t>2016 QCCS 5083</w:t>
              </w:r>
            </w:hyperlink>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Action collective rejetée, chaque partie payant ses frais de justice.</w:t>
            </w:r>
          </w:p>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Le 8 mai 2019</w:t>
            </w:r>
          </w:p>
          <w:p w:rsidR="00197F36" w:rsidRPr="006F7A67" w:rsidRDefault="00197F36" w:rsidP="0019255A">
            <w:pPr>
              <w:jc w:val="both"/>
              <w:rPr>
                <w:sz w:val="20"/>
                <w:lang w:val="fr-CA"/>
              </w:rPr>
            </w:pPr>
            <w:r w:rsidRPr="006F7A67">
              <w:rPr>
                <w:sz w:val="20"/>
                <w:lang w:val="fr-CA"/>
              </w:rPr>
              <w:t>Cour d’appel du Québec (Québec)</w:t>
            </w:r>
          </w:p>
          <w:p w:rsidR="00197F36" w:rsidRPr="006F7A67" w:rsidRDefault="00197F36" w:rsidP="0019255A">
            <w:pPr>
              <w:jc w:val="both"/>
              <w:rPr>
                <w:sz w:val="20"/>
                <w:lang w:val="fr-CA"/>
              </w:rPr>
            </w:pPr>
            <w:r w:rsidRPr="006F7A67">
              <w:rPr>
                <w:sz w:val="20"/>
                <w:lang w:val="fr-CA"/>
              </w:rPr>
              <w:t>(Les juges Hilton, Ruel, Gagné)</w:t>
            </w:r>
          </w:p>
          <w:p w:rsidR="00197F36" w:rsidRPr="006F7A67" w:rsidRDefault="00197F36" w:rsidP="0019255A">
            <w:pPr>
              <w:jc w:val="both"/>
              <w:rPr>
                <w:sz w:val="20"/>
              </w:rPr>
            </w:pPr>
            <w:r w:rsidRPr="006F7A67">
              <w:rPr>
                <w:sz w:val="20"/>
              </w:rPr>
              <w:t>200</w:t>
            </w:r>
            <w:r w:rsidRPr="006F7A67">
              <w:rPr>
                <w:sz w:val="20"/>
              </w:rPr>
              <w:noBreakHyphen/>
              <w:t>09</w:t>
            </w:r>
            <w:r w:rsidRPr="006F7A67">
              <w:rPr>
                <w:sz w:val="20"/>
              </w:rPr>
              <w:noBreakHyphen/>
              <w:t>009393</w:t>
            </w:r>
            <w:r w:rsidRPr="006F7A67">
              <w:rPr>
                <w:sz w:val="20"/>
              </w:rPr>
              <w:noBreakHyphen/>
              <w:t>163</w:t>
            </w:r>
          </w:p>
          <w:p w:rsidR="00197F36" w:rsidRPr="006F7A67" w:rsidRDefault="00300F06" w:rsidP="0019255A">
            <w:pPr>
              <w:jc w:val="both"/>
              <w:rPr>
                <w:sz w:val="20"/>
              </w:rPr>
            </w:pPr>
            <w:hyperlink r:id="rId32" w:history="1">
              <w:r w:rsidR="00197F36" w:rsidRPr="006F7A67">
                <w:rPr>
                  <w:rStyle w:val="Hyperlink"/>
                  <w:sz w:val="20"/>
                </w:rPr>
                <w:t>2019 QCCA 801</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lang w:val="fr-CA"/>
              </w:rPr>
            </w:pPr>
            <w:r w:rsidRPr="006F7A67">
              <w:rPr>
                <w:sz w:val="20"/>
                <w:lang w:val="fr-CA"/>
              </w:rPr>
              <w:t>Appel rejeté, avec frais de justice.</w:t>
            </w:r>
          </w:p>
        </w:tc>
      </w:tr>
      <w:tr w:rsidR="00197F36" w:rsidRPr="006F7A67" w:rsidTr="0019255A">
        <w:tc>
          <w:tcPr>
            <w:tcW w:w="2427" w:type="pct"/>
            <w:gridSpan w:val="2"/>
          </w:tcPr>
          <w:p w:rsidR="00197F36" w:rsidRPr="006F7A67" w:rsidRDefault="00197F36" w:rsidP="0019255A">
            <w:pPr>
              <w:jc w:val="both"/>
              <w:rPr>
                <w:sz w:val="20"/>
                <w:lang w:val="fr-CA"/>
              </w:rPr>
            </w:pPr>
            <w:r w:rsidRPr="006F7A67">
              <w:rPr>
                <w:sz w:val="20"/>
                <w:lang w:val="fr-CA"/>
              </w:rPr>
              <w:t>Le 7 août 2019</w:t>
            </w:r>
          </w:p>
          <w:p w:rsidR="00197F36" w:rsidRPr="006F7A67" w:rsidRDefault="00197F36" w:rsidP="0019255A">
            <w:pPr>
              <w:jc w:val="both"/>
              <w:rPr>
                <w:sz w:val="20"/>
                <w:lang w:val="fr-CA"/>
              </w:rPr>
            </w:pPr>
            <w:r w:rsidRPr="006F7A67">
              <w:rPr>
                <w:sz w:val="20"/>
                <w:lang w:val="fr-CA"/>
              </w:rPr>
              <w:t>Cour suprême du Canada</w:t>
            </w: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rPr>
            </w:pPr>
            <w:r w:rsidRPr="006F7A67">
              <w:rPr>
                <w:sz w:val="20"/>
              </w:rPr>
              <w:t>Demande d’autorisation d’appel déposée.</w:t>
            </w:r>
          </w:p>
          <w:p w:rsidR="00197F36" w:rsidRPr="006F7A67" w:rsidRDefault="00197F36" w:rsidP="0019255A">
            <w:pPr>
              <w:jc w:val="both"/>
              <w:rPr>
                <w:sz w:val="20"/>
              </w:rPr>
            </w:pP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36" style="width:2in;height:1pt" o:hrpct="0" o:hralign="center" o:hrstd="t" o:hrnoshade="t" o:hr="t" fillcolor="black [3213]" stroked="f"/>
        </w:pict>
      </w:r>
    </w:p>
    <w:p w:rsidR="00197F36" w:rsidRPr="006F7A67" w:rsidRDefault="00197F36" w:rsidP="00197F3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39016</w:t>
            </w:r>
          </w:p>
        </w:tc>
        <w:tc>
          <w:tcPr>
            <w:tcW w:w="4457" w:type="pct"/>
            <w:gridSpan w:val="3"/>
          </w:tcPr>
          <w:p w:rsidR="00197F36" w:rsidRPr="006F7A67" w:rsidRDefault="00197F36" w:rsidP="0019255A">
            <w:pPr>
              <w:pStyle w:val="SCCLsocParty"/>
              <w:jc w:val="both"/>
              <w:rPr>
                <w:b/>
                <w:sz w:val="20"/>
                <w:szCs w:val="20"/>
                <w:lang w:val="en-US"/>
              </w:rPr>
            </w:pPr>
            <w:r w:rsidRPr="006F7A67">
              <w:rPr>
                <w:b/>
                <w:sz w:val="20"/>
                <w:szCs w:val="20"/>
                <w:lang w:val="en-US"/>
              </w:rPr>
              <w:t xml:space="preserve">Ichrak Nourel Hak, National Council of Canadian Muslims </w:t>
            </w:r>
            <w:r w:rsidR="00E72A81" w:rsidRPr="006F7A67">
              <w:rPr>
                <w:b/>
                <w:sz w:val="20"/>
                <w:szCs w:val="20"/>
                <w:lang w:val="en-US"/>
              </w:rPr>
              <w:t>and Corporation of the Canadian Civil Liberties Association</w:t>
            </w:r>
            <w:r w:rsidRPr="006F7A67">
              <w:rPr>
                <w:b/>
                <w:sz w:val="20"/>
                <w:szCs w:val="20"/>
                <w:lang w:val="en-US"/>
              </w:rPr>
              <w:t xml:space="preserve"> v. Attorney General of Québec</w:t>
            </w:r>
          </w:p>
          <w:p w:rsidR="00197F36" w:rsidRPr="006F7A67" w:rsidRDefault="00197F36" w:rsidP="0019255A">
            <w:pPr>
              <w:jc w:val="both"/>
              <w:rPr>
                <w:sz w:val="20"/>
              </w:rPr>
            </w:pPr>
            <w:r w:rsidRPr="006F7A67">
              <w:rPr>
                <w:sz w:val="20"/>
              </w:rPr>
              <w:t>(Que.) (Civil) (By Leave)</w:t>
            </w:r>
          </w:p>
        </w:tc>
      </w:tr>
      <w:tr w:rsidR="00E72A81" w:rsidRPr="006F7A67" w:rsidTr="0019255A">
        <w:tc>
          <w:tcPr>
            <w:tcW w:w="5000" w:type="pct"/>
            <w:gridSpan w:val="4"/>
          </w:tcPr>
          <w:p w:rsidR="00E72A81" w:rsidRPr="006F7A67" w:rsidRDefault="00E72A81" w:rsidP="0019255A">
            <w:pPr>
              <w:jc w:val="both"/>
              <w:rPr>
                <w:sz w:val="20"/>
                <w:szCs w:val="20"/>
              </w:rPr>
            </w:pPr>
            <w:r w:rsidRPr="006F7A67">
              <w:rPr>
                <w:sz w:val="20"/>
                <w:szCs w:val="20"/>
              </w:rPr>
              <w:t>The motion to expedite the application for leave to appeal is dismissed. The application for leave to appeal from the judgment of the Court of Appeal of Quebec (Montréal), Number 500-09-028470-193, 2019 QCCA 2145, dated December 12, 2019, is dismissed.</w:t>
            </w:r>
          </w:p>
          <w:p w:rsidR="00E72A81" w:rsidRPr="006F7A67" w:rsidRDefault="00E72A81" w:rsidP="0019255A">
            <w:pPr>
              <w:jc w:val="both"/>
              <w:rPr>
                <w:sz w:val="20"/>
              </w:rPr>
            </w:pPr>
          </w:p>
        </w:tc>
      </w:tr>
      <w:tr w:rsidR="00197F36" w:rsidRPr="006F7A67" w:rsidTr="0019255A">
        <w:tc>
          <w:tcPr>
            <w:tcW w:w="5000" w:type="pct"/>
            <w:gridSpan w:val="4"/>
          </w:tcPr>
          <w:p w:rsidR="00197F36" w:rsidRPr="006F7A67" w:rsidRDefault="00197F36" w:rsidP="0019255A">
            <w:pPr>
              <w:jc w:val="both"/>
              <w:rPr>
                <w:sz w:val="20"/>
              </w:rPr>
            </w:pPr>
            <w:r w:rsidRPr="006F7A67">
              <w:rPr>
                <w:sz w:val="20"/>
              </w:rPr>
              <w:t xml:space="preserve">Civil procedure — Stay — Application for provisional stay of ss. 6 and 8 of the </w:t>
            </w:r>
            <w:r w:rsidRPr="006F7A67">
              <w:rPr>
                <w:i/>
                <w:sz w:val="20"/>
              </w:rPr>
              <w:t>Act respecting the laicity of the State</w:t>
            </w:r>
            <w:r w:rsidRPr="006F7A67">
              <w:rPr>
                <w:sz w:val="20"/>
              </w:rPr>
              <w:t xml:space="preserve"> — Notwithstanding clause included in the Act — Whether the legal standard for a stay of legislation requires a demonstration of a “clear case of unconstitutionality” for a stay to be issued — Whether the use of the notwithstanding clause changes or otherwise impacts the stay analysis — </w:t>
            </w:r>
            <w:r w:rsidRPr="006F7A67">
              <w:rPr>
                <w:i/>
                <w:sz w:val="20"/>
              </w:rPr>
              <w:t>Act respecting the laicity of the State</w:t>
            </w:r>
            <w:r w:rsidRPr="006F7A67">
              <w:rPr>
                <w:sz w:val="20"/>
              </w:rPr>
              <w:t>, CQLR, c. L</w:t>
            </w:r>
            <w:r w:rsidRPr="006F7A67">
              <w:rPr>
                <w:sz w:val="20"/>
              </w:rPr>
              <w:noBreakHyphen/>
              <w:t xml:space="preserve">0.3, ss. 6 and 8 — </w:t>
            </w:r>
            <w:r w:rsidRPr="006F7A67">
              <w:rPr>
                <w:i/>
                <w:sz w:val="20"/>
              </w:rPr>
              <w:t>Canadian Charter of Rights and Freedoms</w:t>
            </w:r>
            <w:r w:rsidRPr="006F7A67">
              <w:rPr>
                <w:sz w:val="20"/>
              </w:rPr>
              <w:t>, ss. 28 and 33.</w:t>
            </w:r>
          </w:p>
        </w:tc>
      </w:tr>
      <w:tr w:rsidR="00197F36" w:rsidRPr="006F7A67" w:rsidTr="0019255A">
        <w:tc>
          <w:tcPr>
            <w:tcW w:w="5000" w:type="pct"/>
            <w:gridSpan w:val="4"/>
          </w:tcPr>
          <w:p w:rsidR="00197F36" w:rsidRPr="006F7A67" w:rsidRDefault="00197F36" w:rsidP="0019255A">
            <w:pPr>
              <w:jc w:val="both"/>
              <w:rPr>
                <w:sz w:val="20"/>
              </w:rPr>
            </w:pPr>
          </w:p>
        </w:tc>
      </w:tr>
      <w:tr w:rsidR="00197F36" w:rsidRPr="006F7A67" w:rsidTr="0019255A">
        <w:tc>
          <w:tcPr>
            <w:tcW w:w="5000" w:type="pct"/>
            <w:gridSpan w:val="4"/>
          </w:tcPr>
          <w:p w:rsidR="00197F36" w:rsidRPr="006F7A67" w:rsidRDefault="00197F36" w:rsidP="0019255A">
            <w:pPr>
              <w:jc w:val="both"/>
              <w:rPr>
                <w:sz w:val="20"/>
              </w:rPr>
            </w:pPr>
            <w:r w:rsidRPr="006F7A67">
              <w:rPr>
                <w:sz w:val="20"/>
              </w:rPr>
              <w:t xml:space="preserve">On June 16, 2019, the </w:t>
            </w:r>
            <w:r w:rsidRPr="006F7A67">
              <w:rPr>
                <w:i/>
                <w:sz w:val="20"/>
              </w:rPr>
              <w:t>Act respecting the laicity of the State</w:t>
            </w:r>
            <w:r w:rsidRPr="006F7A67">
              <w:rPr>
                <w:sz w:val="20"/>
              </w:rPr>
              <w:t>, CQLR, c. L</w:t>
            </w:r>
            <w:r w:rsidRPr="006F7A67">
              <w:rPr>
                <w:sz w:val="20"/>
              </w:rPr>
              <w:noBreakHyphen/>
              <w:t xml:space="preserve">0.3, which had been enacted by Quebec’s National Assembly, received Royal Assent and came into force. Sections 6 and 8 of the Act prohibit those who work in or for a variety of public institutions to wear religious symbols at work and to cover their faces while exercising their functions. The legislature included a “notwithstanding” clause in the Act, expressly stating that its provisions will have effect notwithstanding ss. 2 and 7 to 15 of the </w:t>
            </w:r>
            <w:r w:rsidRPr="006F7A67">
              <w:rPr>
                <w:i/>
                <w:sz w:val="20"/>
              </w:rPr>
              <w:t>Canadian Charter of Rights and Freedoms</w:t>
            </w:r>
            <w:r w:rsidRPr="006F7A67">
              <w:rPr>
                <w:sz w:val="20"/>
              </w:rPr>
              <w:t xml:space="preserve">. The Act also contains a “grandfather” clause indicating that s. 6 does not apply to persons in their functions at the date of the introduction of the bill (March 27, 2019) for as long as they exercise the same function within the same organization. The applicants, Ichrak Nourel Hak, the National Council of Canadian Muslims and the Canadian Civil Liberties Association, served on the respondent, the Attorney General of Quebec, an application in which they sought to have the Act declared invalid and to have a suspension of the application of ss. 6 and 8 of the Act for the period required by the courts to rule on the merits of the case. The Superior Court dismissed the application for provisional stay of ss. 6 and 8 of the Act, applying the test set out in </w:t>
            </w:r>
            <w:r w:rsidRPr="006F7A67">
              <w:rPr>
                <w:i/>
                <w:spacing w:val="-3"/>
                <w:sz w:val="20"/>
              </w:rPr>
              <w:t xml:space="preserve">Manitoba (A.G.) </w:t>
            </w:r>
            <w:r w:rsidRPr="006F7A67">
              <w:rPr>
                <w:i/>
                <w:iCs/>
                <w:spacing w:val="-3"/>
                <w:sz w:val="20"/>
              </w:rPr>
              <w:t>v.</w:t>
            </w:r>
            <w:r w:rsidRPr="006F7A67">
              <w:rPr>
                <w:i/>
                <w:spacing w:val="-3"/>
                <w:sz w:val="20"/>
              </w:rPr>
              <w:t xml:space="preserve"> Metropolitan Stores Ltd.</w:t>
            </w:r>
            <w:r w:rsidRPr="006F7A67">
              <w:rPr>
                <w:spacing w:val="-3"/>
                <w:sz w:val="20"/>
              </w:rPr>
              <w:t xml:space="preserve">, [1987] 1 S.C.R. 110, and </w:t>
            </w:r>
            <w:r w:rsidRPr="006F7A67">
              <w:rPr>
                <w:i/>
                <w:spacing w:val="-3"/>
                <w:sz w:val="20"/>
              </w:rPr>
              <w:t>RJR — MacDonald Inc. v. Canada (Attorney General)</w:t>
            </w:r>
            <w:r w:rsidRPr="006F7A67">
              <w:rPr>
                <w:spacing w:val="-3"/>
                <w:sz w:val="20"/>
              </w:rPr>
              <w:t>, [1994] 1 S.C.R. 311</w:t>
            </w:r>
            <w:r w:rsidRPr="006F7A67">
              <w:rPr>
                <w:sz w:val="20"/>
              </w:rPr>
              <w:t>. The Court of Appeal dismissed the appeal. Chief Justice Duval Hesler, dissenting, would have allowed the appeal in part and suspended, during the proceedings, the application of s. 6 for the principals, vice principals, and teachers.</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July 18, 2019</w:t>
            </w:r>
          </w:p>
          <w:p w:rsidR="00197F36" w:rsidRPr="006F7A67" w:rsidRDefault="00197F36" w:rsidP="0019255A">
            <w:pPr>
              <w:jc w:val="both"/>
              <w:rPr>
                <w:sz w:val="20"/>
              </w:rPr>
            </w:pPr>
            <w:r w:rsidRPr="006F7A67">
              <w:rPr>
                <w:sz w:val="20"/>
              </w:rPr>
              <w:t>Superior Court of Quebec</w:t>
            </w:r>
          </w:p>
          <w:p w:rsidR="00197F36" w:rsidRPr="006F7A67" w:rsidRDefault="00197F36" w:rsidP="0019255A">
            <w:pPr>
              <w:jc w:val="both"/>
              <w:rPr>
                <w:sz w:val="20"/>
              </w:rPr>
            </w:pPr>
            <w:r w:rsidRPr="006F7A67">
              <w:rPr>
                <w:sz w:val="20"/>
              </w:rPr>
              <w:t>(</w:t>
            </w:r>
            <w:proofErr w:type="spellStart"/>
            <w:r w:rsidRPr="006F7A67">
              <w:rPr>
                <w:sz w:val="20"/>
              </w:rPr>
              <w:t>Yergeau</w:t>
            </w:r>
            <w:proofErr w:type="spellEnd"/>
            <w:r w:rsidRPr="006F7A67">
              <w:rPr>
                <w:sz w:val="20"/>
              </w:rPr>
              <w:t xml:space="preserve"> J.)</w:t>
            </w:r>
          </w:p>
          <w:p w:rsidR="00197F36" w:rsidRPr="006F7A67" w:rsidRDefault="00300F06" w:rsidP="0019255A">
            <w:pPr>
              <w:jc w:val="both"/>
              <w:rPr>
                <w:sz w:val="20"/>
              </w:rPr>
            </w:pPr>
            <w:hyperlink r:id="rId33" w:history="1">
              <w:r w:rsidR="00197F36" w:rsidRPr="006F7A67">
                <w:rPr>
                  <w:rStyle w:val="Hyperlink"/>
                  <w:sz w:val="20"/>
                </w:rPr>
                <w:t>2019 QCCS 2989</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 xml:space="preserve">Application for provisional stay of ss. 6 and 8 of the </w:t>
            </w:r>
            <w:r w:rsidRPr="006F7A67">
              <w:rPr>
                <w:i/>
                <w:sz w:val="20"/>
              </w:rPr>
              <w:t>Act respecting the laicity of the State</w:t>
            </w:r>
            <w:r w:rsidRPr="006F7A67">
              <w:rPr>
                <w:sz w:val="20"/>
              </w:rPr>
              <w:t xml:space="preserve"> dismissed</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December 12, 2019</w:t>
            </w:r>
          </w:p>
          <w:p w:rsidR="00197F36" w:rsidRPr="006F7A67" w:rsidRDefault="00197F36" w:rsidP="0019255A">
            <w:pPr>
              <w:jc w:val="both"/>
              <w:rPr>
                <w:sz w:val="20"/>
              </w:rPr>
            </w:pPr>
            <w:r w:rsidRPr="006F7A67">
              <w:rPr>
                <w:sz w:val="20"/>
              </w:rPr>
              <w:t>Court of Appeal of Quebec (Montréal)</w:t>
            </w:r>
          </w:p>
          <w:p w:rsidR="00197F36" w:rsidRPr="006F7A67" w:rsidRDefault="00197F36" w:rsidP="0019255A">
            <w:pPr>
              <w:jc w:val="both"/>
              <w:rPr>
                <w:sz w:val="20"/>
              </w:rPr>
            </w:pPr>
            <w:r w:rsidRPr="006F7A67">
              <w:rPr>
                <w:sz w:val="20"/>
              </w:rPr>
              <w:t>(Duval Hesler C.J.Q. [dissenting] and Bélanger and Mainville JJ.A.)</w:t>
            </w:r>
          </w:p>
          <w:p w:rsidR="00197F36" w:rsidRPr="006F7A67" w:rsidRDefault="00300F06" w:rsidP="0019255A">
            <w:pPr>
              <w:jc w:val="both"/>
              <w:rPr>
                <w:sz w:val="20"/>
              </w:rPr>
            </w:pPr>
            <w:hyperlink r:id="rId34" w:history="1">
              <w:r w:rsidR="00197F36" w:rsidRPr="006F7A67">
                <w:rPr>
                  <w:rStyle w:val="Hyperlink"/>
                  <w:sz w:val="20"/>
                </w:rPr>
                <w:t>2019 QCCA 2145</w:t>
              </w:r>
            </w:hyperlink>
            <w:r w:rsidR="00197F36" w:rsidRPr="006F7A67">
              <w:rPr>
                <w:sz w:val="20"/>
              </w:rPr>
              <w:t xml:space="preserve"> (500</w:t>
            </w:r>
            <w:r w:rsidR="00197F36" w:rsidRPr="006F7A67">
              <w:rPr>
                <w:sz w:val="20"/>
              </w:rPr>
              <w:noBreakHyphen/>
              <w:t>09</w:t>
            </w:r>
            <w:r w:rsidR="00197F36" w:rsidRPr="006F7A67">
              <w:rPr>
                <w:sz w:val="20"/>
              </w:rPr>
              <w:noBreakHyphen/>
              <w:t>028470</w:t>
            </w:r>
            <w:r w:rsidR="00197F36" w:rsidRPr="006F7A67">
              <w:rPr>
                <w:sz w:val="20"/>
              </w:rPr>
              <w:noBreakHyphen/>
              <w:t>193)</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Appeal dismissed</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January 10, 2020</w:t>
            </w:r>
          </w:p>
          <w:p w:rsidR="00197F36" w:rsidRPr="006F7A67" w:rsidRDefault="00197F36" w:rsidP="0019255A">
            <w:pPr>
              <w:jc w:val="both"/>
              <w:rPr>
                <w:sz w:val="20"/>
              </w:rPr>
            </w:pPr>
            <w:r w:rsidRPr="006F7A67">
              <w:rPr>
                <w:sz w:val="20"/>
              </w:rPr>
              <w:t>Supreme Court of Canada</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leave to appeal and motion to expedite the application for leave to appeal and appeal filed</w:t>
            </w: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37"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97F36" w:rsidRPr="006F7A67" w:rsidTr="0019255A">
        <w:tc>
          <w:tcPr>
            <w:tcW w:w="543" w:type="pct"/>
          </w:tcPr>
          <w:p w:rsidR="00197F36" w:rsidRPr="006F7A67" w:rsidRDefault="00197F36" w:rsidP="0019255A">
            <w:pPr>
              <w:jc w:val="both"/>
              <w:rPr>
                <w:sz w:val="20"/>
                <w:lang w:val="fr-CA"/>
              </w:rPr>
            </w:pPr>
            <w:r w:rsidRPr="006F7A67">
              <w:rPr>
                <w:rStyle w:val="SCCFileNumberChar"/>
                <w:sz w:val="20"/>
                <w:szCs w:val="20"/>
                <w:lang w:val="fr-CA"/>
              </w:rPr>
              <w:t>39016</w:t>
            </w:r>
          </w:p>
        </w:tc>
        <w:tc>
          <w:tcPr>
            <w:tcW w:w="4457" w:type="pct"/>
          </w:tcPr>
          <w:p w:rsidR="00197F36" w:rsidRPr="006F7A67" w:rsidRDefault="00197F36" w:rsidP="0019255A">
            <w:pPr>
              <w:pStyle w:val="SCCLsocParty"/>
              <w:jc w:val="both"/>
              <w:rPr>
                <w:b/>
                <w:sz w:val="20"/>
                <w:szCs w:val="20"/>
              </w:rPr>
            </w:pPr>
            <w:r w:rsidRPr="006F7A67">
              <w:rPr>
                <w:b/>
                <w:sz w:val="20"/>
                <w:szCs w:val="20"/>
              </w:rPr>
              <w:t xml:space="preserve">Ichrak Nourel Hak, </w:t>
            </w:r>
            <w:r w:rsidR="00E72A81" w:rsidRPr="006F7A67">
              <w:rPr>
                <w:b/>
                <w:sz w:val="20"/>
                <w:szCs w:val="20"/>
              </w:rPr>
              <w:t>Conseil national des musulmans canadiens  et Association canadienne des libertés civiles</w:t>
            </w:r>
            <w:r w:rsidRPr="006F7A67">
              <w:rPr>
                <w:b/>
                <w:sz w:val="20"/>
                <w:szCs w:val="20"/>
              </w:rPr>
              <w:t xml:space="preserve"> c. Procureure générale du Québec</w:t>
            </w:r>
          </w:p>
          <w:p w:rsidR="00197F36" w:rsidRPr="006F7A67" w:rsidRDefault="00197F36" w:rsidP="0019255A">
            <w:pPr>
              <w:jc w:val="both"/>
              <w:rPr>
                <w:sz w:val="20"/>
                <w:lang w:val="fr-CA"/>
              </w:rPr>
            </w:pPr>
            <w:r w:rsidRPr="006F7A67">
              <w:rPr>
                <w:sz w:val="20"/>
                <w:lang w:val="fr-CA"/>
              </w:rPr>
              <w:t>(Qc) (Civile) (Autorisation)</w:t>
            </w:r>
          </w:p>
        </w:tc>
      </w:tr>
      <w:tr w:rsidR="00E72A81" w:rsidRPr="00DB0D35" w:rsidTr="0019255A">
        <w:tc>
          <w:tcPr>
            <w:tcW w:w="5000" w:type="pct"/>
            <w:gridSpan w:val="2"/>
          </w:tcPr>
          <w:p w:rsidR="00E72A81" w:rsidRPr="006F7A67" w:rsidRDefault="00E72A81" w:rsidP="0019255A">
            <w:pPr>
              <w:jc w:val="both"/>
              <w:rPr>
                <w:sz w:val="20"/>
                <w:szCs w:val="20"/>
                <w:lang w:val="fr-CA"/>
              </w:rPr>
            </w:pPr>
            <w:r w:rsidRPr="006F7A67">
              <w:rPr>
                <w:sz w:val="20"/>
                <w:szCs w:val="20"/>
                <w:lang w:val="fr-CA"/>
              </w:rPr>
              <w:t xml:space="preserve">La requête visant à accélérer le traitement de la demande d’autorisation d’appel est rejetée. La demande d’autorisation d’appel de l’arrêt de la </w:t>
            </w:r>
            <w:r w:rsidRPr="006F7A67">
              <w:rPr>
                <w:sz w:val="20"/>
                <w:szCs w:val="20"/>
                <w:lang w:val="fr-FR"/>
              </w:rPr>
              <w:t>Cour d’appel du Québec (Montréal)</w:t>
            </w:r>
            <w:r w:rsidRPr="006F7A67">
              <w:rPr>
                <w:sz w:val="20"/>
                <w:szCs w:val="20"/>
                <w:lang w:val="fr-CA"/>
              </w:rPr>
              <w:t xml:space="preserve">, numéro </w:t>
            </w:r>
            <w:r w:rsidRPr="006F7A67">
              <w:rPr>
                <w:sz w:val="20"/>
                <w:szCs w:val="20"/>
                <w:lang w:val="fr-FR"/>
              </w:rPr>
              <w:t>500-09-028470-193</w:t>
            </w:r>
            <w:r w:rsidRPr="006F7A67">
              <w:rPr>
                <w:sz w:val="20"/>
                <w:szCs w:val="20"/>
                <w:lang w:val="fr-CA"/>
              </w:rPr>
              <w:t xml:space="preserve">, </w:t>
            </w:r>
            <w:r w:rsidRPr="006F7A67">
              <w:rPr>
                <w:sz w:val="20"/>
                <w:szCs w:val="20"/>
                <w:lang w:val="fr-FR"/>
              </w:rPr>
              <w:t xml:space="preserve">2019 QCCA 2145, </w:t>
            </w:r>
            <w:r w:rsidRPr="006F7A67">
              <w:rPr>
                <w:sz w:val="20"/>
                <w:szCs w:val="20"/>
                <w:lang w:val="fr-CA"/>
              </w:rPr>
              <w:t xml:space="preserve">daté du </w:t>
            </w:r>
            <w:r w:rsidRPr="006F7A67">
              <w:rPr>
                <w:sz w:val="20"/>
                <w:szCs w:val="20"/>
                <w:lang w:val="fr-FR"/>
              </w:rPr>
              <w:t>12 décembre 2019</w:t>
            </w:r>
            <w:r w:rsidRPr="006F7A67">
              <w:rPr>
                <w:sz w:val="20"/>
                <w:szCs w:val="20"/>
                <w:lang w:val="fr-CA"/>
              </w:rPr>
              <w:t>, est rejet</w:t>
            </w:r>
            <w:r w:rsidRPr="006F7A67">
              <w:rPr>
                <w:rFonts w:cs="Times New Roman"/>
                <w:sz w:val="20"/>
                <w:szCs w:val="20"/>
                <w:lang w:val="fr-CA"/>
              </w:rPr>
              <w:t>é</w:t>
            </w:r>
            <w:r w:rsidRPr="006F7A67">
              <w:rPr>
                <w:sz w:val="20"/>
                <w:szCs w:val="20"/>
                <w:lang w:val="fr-CA"/>
              </w:rPr>
              <w:t>e.</w:t>
            </w:r>
          </w:p>
          <w:p w:rsidR="00E72A81" w:rsidRPr="006F7A67" w:rsidRDefault="00E72A81" w:rsidP="0019255A">
            <w:pPr>
              <w:jc w:val="both"/>
              <w:rPr>
                <w:sz w:val="20"/>
                <w:lang w:val="fr-CA"/>
              </w:rPr>
            </w:pPr>
          </w:p>
        </w:tc>
      </w:tr>
      <w:tr w:rsidR="00197F36" w:rsidRPr="00DB0D35" w:rsidTr="0019255A">
        <w:tc>
          <w:tcPr>
            <w:tcW w:w="5000" w:type="pct"/>
            <w:gridSpan w:val="2"/>
          </w:tcPr>
          <w:p w:rsidR="00197F36" w:rsidRPr="006F7A67" w:rsidRDefault="00197F36" w:rsidP="0019255A">
            <w:pPr>
              <w:jc w:val="both"/>
              <w:rPr>
                <w:sz w:val="20"/>
                <w:lang w:val="fr-CA"/>
              </w:rPr>
            </w:pPr>
            <w:r w:rsidRPr="006F7A67">
              <w:rPr>
                <w:sz w:val="20"/>
                <w:lang w:val="fr-CA"/>
              </w:rPr>
              <w:t xml:space="preserve">Procédure civile — Sursis — Demande de sursis provisoire </w:t>
            </w:r>
            <w:proofErr w:type="gramStart"/>
            <w:r w:rsidRPr="006F7A67">
              <w:rPr>
                <w:sz w:val="20"/>
                <w:lang w:val="fr-CA"/>
              </w:rPr>
              <w:t>des art</w:t>
            </w:r>
            <w:proofErr w:type="gramEnd"/>
            <w:r w:rsidRPr="006F7A67">
              <w:rPr>
                <w:sz w:val="20"/>
                <w:lang w:val="fr-CA"/>
              </w:rPr>
              <w:t xml:space="preserve">. 6 et 8 de la </w:t>
            </w:r>
            <w:r w:rsidRPr="006F7A67">
              <w:rPr>
                <w:i/>
                <w:sz w:val="20"/>
                <w:lang w:val="fr-CA"/>
              </w:rPr>
              <w:t>Loi sur la laïcité de l’État</w:t>
            </w:r>
            <w:r w:rsidRPr="006F7A67">
              <w:rPr>
                <w:sz w:val="20"/>
                <w:lang w:val="fr-CA"/>
              </w:rPr>
              <w:t xml:space="preserve"> — Clause dérogatoire comprise dans la loi — La norme juridique relative aux sursis d’application de la loi oblige</w:t>
            </w:r>
            <w:r w:rsidRPr="006F7A67">
              <w:rPr>
                <w:sz w:val="20"/>
                <w:lang w:val="fr-CA"/>
              </w:rPr>
              <w:noBreakHyphen/>
              <w:t>t</w:t>
            </w:r>
            <w:r w:rsidRPr="006F7A67">
              <w:rPr>
                <w:sz w:val="20"/>
                <w:lang w:val="fr-CA"/>
              </w:rPr>
              <w:noBreakHyphen/>
              <w:t>elle à faire la démonstration d’un « cas manifeste d’inconstitutionnalité » pour qu’un sursis soit ordonné? — L’emploi de la clause dérogatoire modifie</w:t>
            </w:r>
            <w:r w:rsidRPr="006F7A67">
              <w:rPr>
                <w:sz w:val="20"/>
                <w:lang w:val="fr-CA"/>
              </w:rPr>
              <w:noBreakHyphen/>
              <w:t>t</w:t>
            </w:r>
            <w:r w:rsidRPr="006F7A67">
              <w:rPr>
                <w:sz w:val="20"/>
                <w:lang w:val="fr-CA"/>
              </w:rPr>
              <w:noBreakHyphen/>
              <w:t>il l’analyse relative au sursis ou a</w:t>
            </w:r>
            <w:r w:rsidRPr="006F7A67">
              <w:rPr>
                <w:sz w:val="20"/>
                <w:lang w:val="fr-CA"/>
              </w:rPr>
              <w:noBreakHyphen/>
              <w:t>t</w:t>
            </w:r>
            <w:r w:rsidRPr="006F7A67">
              <w:rPr>
                <w:sz w:val="20"/>
                <w:lang w:val="fr-CA"/>
              </w:rPr>
              <w:noBreakHyphen/>
              <w:t xml:space="preserve">il autrement une incidence sur cette analyse? — </w:t>
            </w:r>
            <w:r w:rsidRPr="006F7A67">
              <w:rPr>
                <w:i/>
                <w:sz w:val="20"/>
                <w:lang w:val="fr-CA"/>
              </w:rPr>
              <w:t>Loi sur la laïcité de l’État</w:t>
            </w:r>
            <w:r w:rsidRPr="006F7A67">
              <w:rPr>
                <w:sz w:val="20"/>
                <w:lang w:val="fr-CA"/>
              </w:rPr>
              <w:t>, RLRQ, c. L</w:t>
            </w:r>
            <w:r w:rsidRPr="006F7A67">
              <w:rPr>
                <w:sz w:val="20"/>
                <w:lang w:val="fr-CA"/>
              </w:rPr>
              <w:noBreakHyphen/>
              <w:t xml:space="preserve">0.3, art. 6 et 8 — </w:t>
            </w:r>
            <w:r w:rsidRPr="006F7A67">
              <w:rPr>
                <w:i/>
                <w:sz w:val="20"/>
                <w:lang w:val="fr-CA"/>
              </w:rPr>
              <w:t>Charte canadienne des droits et libertés</w:t>
            </w:r>
            <w:r w:rsidRPr="006F7A67">
              <w:rPr>
                <w:sz w:val="20"/>
                <w:lang w:val="fr-CA"/>
              </w:rPr>
              <w:t>, art. 28 et 33.</w:t>
            </w:r>
          </w:p>
        </w:tc>
      </w:tr>
      <w:tr w:rsidR="00197F36" w:rsidRPr="00DB0D35" w:rsidTr="0019255A">
        <w:tc>
          <w:tcPr>
            <w:tcW w:w="5000" w:type="pct"/>
            <w:gridSpan w:val="2"/>
          </w:tcPr>
          <w:p w:rsidR="00197F36" w:rsidRPr="006F7A67" w:rsidRDefault="00197F36" w:rsidP="0019255A">
            <w:pPr>
              <w:jc w:val="both"/>
              <w:rPr>
                <w:sz w:val="20"/>
                <w:lang w:val="fr-CA"/>
              </w:rPr>
            </w:pPr>
          </w:p>
        </w:tc>
      </w:tr>
    </w:tbl>
    <w:p w:rsidR="001A0C1D" w:rsidRPr="006F7A67" w:rsidRDefault="001A0C1D">
      <w:pPr>
        <w:rPr>
          <w:lang w:val="fr-CA"/>
        </w:rPr>
      </w:pPr>
      <w:r w:rsidRPr="006F7A6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7F36" w:rsidRPr="00DB0D35" w:rsidTr="0019255A">
        <w:tc>
          <w:tcPr>
            <w:tcW w:w="5000" w:type="pct"/>
            <w:gridSpan w:val="3"/>
          </w:tcPr>
          <w:p w:rsidR="00197F36" w:rsidRPr="006F7A67" w:rsidRDefault="00197F36" w:rsidP="0019255A">
            <w:pPr>
              <w:jc w:val="both"/>
              <w:rPr>
                <w:sz w:val="20"/>
                <w:lang w:val="fr-CA"/>
              </w:rPr>
            </w:pPr>
            <w:r w:rsidRPr="006F7A67">
              <w:rPr>
                <w:sz w:val="20"/>
                <w:lang w:val="fr-CA"/>
              </w:rPr>
              <w:t xml:space="preserve">Le 16 juin 2019, la </w:t>
            </w:r>
            <w:r w:rsidRPr="006F7A67">
              <w:rPr>
                <w:i/>
                <w:sz w:val="20"/>
                <w:lang w:val="fr-CA"/>
              </w:rPr>
              <w:t>Loi sur la laïcité de l’État</w:t>
            </w:r>
            <w:r w:rsidRPr="006F7A67">
              <w:rPr>
                <w:sz w:val="20"/>
                <w:lang w:val="fr-CA"/>
              </w:rPr>
              <w:t>, RLRQ, ch. L</w:t>
            </w:r>
            <w:r w:rsidRPr="006F7A67">
              <w:rPr>
                <w:sz w:val="20"/>
                <w:lang w:val="fr-CA"/>
              </w:rPr>
              <w:noBreakHyphen/>
              <w:t xml:space="preserve">0.3, adoptée par l’Assemblée nationale du Québec, a reçu la sanction royale et est entrée en vigueur. Les articles 6 et 8 de la loi interdisent à celles et ceux qui travaillent dans ou pour diverses institutions publiques de porter des symboles religieux au travail et de couvrir leurs visages dans l’exercice de leurs fonctions. L’Assemblée nationale avait inclus une clause « nonobstant » dans la loi, déclarant expressément que ses dispositions ont effet indépendamment des </w:t>
            </w:r>
            <w:proofErr w:type="gramStart"/>
            <w:r w:rsidRPr="006F7A67">
              <w:rPr>
                <w:sz w:val="20"/>
                <w:lang w:val="fr-CA"/>
              </w:rPr>
              <w:t>art</w:t>
            </w:r>
            <w:proofErr w:type="gramEnd"/>
            <w:r w:rsidRPr="006F7A67">
              <w:rPr>
                <w:sz w:val="20"/>
                <w:lang w:val="fr-CA"/>
              </w:rPr>
              <w:t xml:space="preserve">. 2 et 7 à 15 de la </w:t>
            </w:r>
            <w:r w:rsidRPr="006F7A67">
              <w:rPr>
                <w:i/>
                <w:sz w:val="20"/>
                <w:lang w:val="fr-CA"/>
              </w:rPr>
              <w:t>Charte canadienne des droits et libertés</w:t>
            </w:r>
            <w:r w:rsidRPr="006F7A67">
              <w:rPr>
                <w:sz w:val="20"/>
                <w:lang w:val="fr-CA"/>
              </w:rPr>
              <w:t>. La loi renferme aussi une clause « grand</w:t>
            </w:r>
            <w:r w:rsidRPr="006F7A67">
              <w:rPr>
                <w:sz w:val="20"/>
                <w:lang w:val="fr-CA"/>
              </w:rPr>
              <w:noBreakHyphen/>
              <w:t>père » indiquant que l’art. 6 ne s’applique pas aux personnes en poste à la date d’introduction du projet de loi (le 27 mars 2019) tant qu’elles exercent la même fonction au sein du même organisme. Les demandeurs, Ichrak Nourel Hak, le Conseil national des musulmans canadiens et l’Association canadienne des libertés civiles ont signifié à l’intimée, la procureure générale du Québec, une demande de déclaration d’invalidité de la loi ainsi qu’une demande de suspension de l’application des articles 6 et 8 de la loi pour la période requise par les tribunaux afin de statuer sur le bien</w:t>
            </w:r>
            <w:r w:rsidRPr="006F7A67">
              <w:rPr>
                <w:sz w:val="20"/>
                <w:lang w:val="fr-CA"/>
              </w:rPr>
              <w:noBreakHyphen/>
              <w:t xml:space="preserve">fondé de la demande principale. La Cour supérieure a rejeté la demande de sursis provisoire, appliquant le test énoncé dans </w:t>
            </w:r>
            <w:r w:rsidRPr="006F7A67">
              <w:rPr>
                <w:i/>
                <w:spacing w:val="-3"/>
                <w:sz w:val="20"/>
                <w:lang w:val="fr-CA"/>
              </w:rPr>
              <w:t xml:space="preserve">Manitoba (P.G.) </w:t>
            </w:r>
            <w:r w:rsidRPr="006F7A67">
              <w:rPr>
                <w:i/>
                <w:iCs/>
                <w:spacing w:val="-3"/>
                <w:sz w:val="20"/>
                <w:lang w:val="fr-CA"/>
              </w:rPr>
              <w:t>c.</w:t>
            </w:r>
            <w:r w:rsidRPr="006F7A67">
              <w:rPr>
                <w:i/>
                <w:spacing w:val="-3"/>
                <w:sz w:val="20"/>
                <w:lang w:val="fr-CA"/>
              </w:rPr>
              <w:t xml:space="preserve"> Metropolitan Stores Ltd.</w:t>
            </w:r>
            <w:r w:rsidRPr="006F7A67">
              <w:rPr>
                <w:spacing w:val="-3"/>
                <w:sz w:val="20"/>
                <w:lang w:val="fr-CA"/>
              </w:rPr>
              <w:t xml:space="preserve">, [1987] 1 R.C.S. 110, et </w:t>
            </w:r>
            <w:r w:rsidRPr="006F7A67">
              <w:rPr>
                <w:i/>
                <w:spacing w:val="-3"/>
                <w:sz w:val="20"/>
                <w:lang w:val="fr-CA"/>
              </w:rPr>
              <w:t>RJR — MacDonald Inc. c. Canada (Procureur général)</w:t>
            </w:r>
            <w:r w:rsidRPr="006F7A67">
              <w:rPr>
                <w:spacing w:val="-3"/>
                <w:sz w:val="20"/>
                <w:lang w:val="fr-CA"/>
              </w:rPr>
              <w:t>, [1994] 1 R.C.S. 311</w:t>
            </w:r>
            <w:r w:rsidRPr="006F7A67">
              <w:rPr>
                <w:sz w:val="20"/>
                <w:lang w:val="fr-CA"/>
              </w:rPr>
              <w:t>. La Cour d’appel a rejeté l’appel. La juge en chef Duval Hesler, dissidente, aurait accueilli l’appel en partie et suspendu, pendant l’instance, l’application de l’art. 6 aux directeurs, aux directeurs adjoints et aux enseignants.</w:t>
            </w:r>
          </w:p>
          <w:p w:rsidR="00197F36" w:rsidRPr="006F7A67" w:rsidRDefault="00197F36" w:rsidP="0019255A">
            <w:pPr>
              <w:jc w:val="both"/>
              <w:rPr>
                <w:sz w:val="20"/>
                <w:lang w:val="fr-CA"/>
              </w:rPr>
            </w:pPr>
          </w:p>
        </w:tc>
      </w:tr>
      <w:tr w:rsidR="00197F36" w:rsidRPr="00DB0D35" w:rsidTr="0019255A">
        <w:tc>
          <w:tcPr>
            <w:tcW w:w="2427" w:type="pct"/>
          </w:tcPr>
          <w:p w:rsidR="00197F36" w:rsidRPr="006F7A67" w:rsidRDefault="00197F36" w:rsidP="0019255A">
            <w:pPr>
              <w:jc w:val="both"/>
              <w:rPr>
                <w:sz w:val="20"/>
                <w:lang w:val="fr-CA"/>
              </w:rPr>
            </w:pPr>
            <w:r w:rsidRPr="006F7A67">
              <w:rPr>
                <w:sz w:val="20"/>
                <w:lang w:val="fr-CA"/>
              </w:rPr>
              <w:t>18 juillet 2019</w:t>
            </w:r>
          </w:p>
          <w:p w:rsidR="00197F36" w:rsidRPr="006F7A67" w:rsidRDefault="00197F36" w:rsidP="0019255A">
            <w:pPr>
              <w:jc w:val="both"/>
              <w:rPr>
                <w:sz w:val="20"/>
                <w:lang w:val="fr-CA"/>
              </w:rPr>
            </w:pPr>
            <w:r w:rsidRPr="006F7A67">
              <w:rPr>
                <w:sz w:val="20"/>
                <w:lang w:val="fr-CA"/>
              </w:rPr>
              <w:t>Cour supérieure du Québec</w:t>
            </w:r>
          </w:p>
          <w:p w:rsidR="00197F36" w:rsidRPr="006F7A67" w:rsidRDefault="00197F36" w:rsidP="0019255A">
            <w:pPr>
              <w:jc w:val="both"/>
              <w:rPr>
                <w:sz w:val="20"/>
                <w:lang w:val="fr-CA"/>
              </w:rPr>
            </w:pPr>
            <w:r w:rsidRPr="006F7A67">
              <w:rPr>
                <w:sz w:val="20"/>
                <w:lang w:val="fr-CA"/>
              </w:rPr>
              <w:t xml:space="preserve">(Juge </w:t>
            </w:r>
            <w:proofErr w:type="spellStart"/>
            <w:r w:rsidRPr="006F7A67">
              <w:rPr>
                <w:sz w:val="20"/>
                <w:lang w:val="fr-CA"/>
              </w:rPr>
              <w:t>Yergeau</w:t>
            </w:r>
            <w:proofErr w:type="spellEnd"/>
            <w:r w:rsidRPr="006F7A67">
              <w:rPr>
                <w:sz w:val="20"/>
                <w:lang w:val="fr-CA"/>
              </w:rPr>
              <w:t>)</w:t>
            </w:r>
          </w:p>
          <w:p w:rsidR="00197F36" w:rsidRPr="006F7A67" w:rsidRDefault="00300F06" w:rsidP="0019255A">
            <w:pPr>
              <w:jc w:val="both"/>
              <w:rPr>
                <w:sz w:val="20"/>
                <w:lang w:val="fr-CA"/>
              </w:rPr>
            </w:pPr>
            <w:hyperlink r:id="rId35" w:history="1">
              <w:r w:rsidR="00197F36" w:rsidRPr="006F7A67">
                <w:rPr>
                  <w:rStyle w:val="Hyperlink"/>
                  <w:sz w:val="20"/>
                  <w:lang w:val="fr-CA"/>
                </w:rPr>
                <w:t>2019 QCCS 2989</w:t>
              </w:r>
            </w:hyperlink>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 xml:space="preserve">Rejet de la demande de sursis provisoire </w:t>
            </w:r>
            <w:proofErr w:type="gramStart"/>
            <w:r w:rsidRPr="006F7A67">
              <w:rPr>
                <w:sz w:val="20"/>
                <w:lang w:val="fr-CA"/>
              </w:rPr>
              <w:t>des art</w:t>
            </w:r>
            <w:proofErr w:type="gramEnd"/>
            <w:r w:rsidRPr="006F7A67">
              <w:rPr>
                <w:sz w:val="20"/>
                <w:lang w:val="fr-CA"/>
              </w:rPr>
              <w:t xml:space="preserve">. 6 et 8 de la </w:t>
            </w:r>
            <w:r w:rsidRPr="006F7A67">
              <w:rPr>
                <w:i/>
                <w:sz w:val="20"/>
                <w:lang w:val="fr-CA"/>
              </w:rPr>
              <w:t>Loi sur la laïcité de l’État</w:t>
            </w:r>
            <w:r w:rsidRPr="006F7A67">
              <w:rPr>
                <w:sz w:val="20"/>
                <w:lang w:val="fr-CA"/>
              </w:rPr>
              <w:t xml:space="preserve"> </w:t>
            </w:r>
          </w:p>
          <w:p w:rsidR="00197F36" w:rsidRPr="006F7A67" w:rsidRDefault="00197F36" w:rsidP="0019255A">
            <w:pPr>
              <w:jc w:val="both"/>
              <w:rPr>
                <w:sz w:val="20"/>
                <w:lang w:val="fr-CA"/>
              </w:rPr>
            </w:pPr>
          </w:p>
        </w:tc>
      </w:tr>
      <w:tr w:rsidR="00197F36" w:rsidRPr="006F7A67" w:rsidTr="0019255A">
        <w:tc>
          <w:tcPr>
            <w:tcW w:w="2427" w:type="pct"/>
          </w:tcPr>
          <w:p w:rsidR="00197F36" w:rsidRPr="006F7A67" w:rsidRDefault="00197F36" w:rsidP="0019255A">
            <w:pPr>
              <w:jc w:val="both"/>
              <w:rPr>
                <w:sz w:val="20"/>
                <w:lang w:val="fr-CA"/>
              </w:rPr>
            </w:pPr>
            <w:r w:rsidRPr="006F7A67">
              <w:rPr>
                <w:sz w:val="20"/>
                <w:lang w:val="fr-CA"/>
              </w:rPr>
              <w:t>12 décembre 2019</w:t>
            </w:r>
          </w:p>
          <w:p w:rsidR="00197F36" w:rsidRPr="006F7A67" w:rsidRDefault="00197F36" w:rsidP="0019255A">
            <w:pPr>
              <w:jc w:val="both"/>
              <w:rPr>
                <w:sz w:val="20"/>
                <w:lang w:val="fr-CA"/>
              </w:rPr>
            </w:pPr>
            <w:r w:rsidRPr="006F7A67">
              <w:rPr>
                <w:sz w:val="20"/>
                <w:lang w:val="fr-CA"/>
              </w:rPr>
              <w:t>Cour d’appel du Québec (Montréal)</w:t>
            </w:r>
          </w:p>
          <w:p w:rsidR="00197F36" w:rsidRPr="006F7A67" w:rsidRDefault="00197F36" w:rsidP="0019255A">
            <w:pPr>
              <w:jc w:val="both"/>
              <w:rPr>
                <w:sz w:val="20"/>
                <w:lang w:val="fr-CA"/>
              </w:rPr>
            </w:pPr>
            <w:r w:rsidRPr="006F7A67">
              <w:rPr>
                <w:sz w:val="20"/>
                <w:lang w:val="fr-CA"/>
              </w:rPr>
              <w:t>(Juge en chef Duval Hesler [dissidente], juges Bélanger et Mainville)</w:t>
            </w:r>
          </w:p>
          <w:p w:rsidR="00197F36" w:rsidRPr="006F7A67" w:rsidRDefault="00300F06" w:rsidP="0019255A">
            <w:pPr>
              <w:jc w:val="both"/>
              <w:rPr>
                <w:sz w:val="20"/>
                <w:lang w:val="fr-CA"/>
              </w:rPr>
            </w:pPr>
            <w:hyperlink r:id="rId36" w:history="1">
              <w:r w:rsidR="00197F36" w:rsidRPr="006F7A67">
                <w:rPr>
                  <w:rStyle w:val="Hyperlink"/>
                  <w:sz w:val="20"/>
                  <w:lang w:val="fr-CA"/>
                </w:rPr>
                <w:t>2019 QCCA 2145</w:t>
              </w:r>
            </w:hyperlink>
            <w:r w:rsidR="00197F36" w:rsidRPr="006F7A67">
              <w:rPr>
                <w:sz w:val="20"/>
                <w:lang w:val="fr-CA"/>
              </w:rPr>
              <w:t xml:space="preserve"> (500</w:t>
            </w:r>
            <w:r w:rsidR="00197F36" w:rsidRPr="006F7A67">
              <w:rPr>
                <w:sz w:val="20"/>
                <w:lang w:val="fr-CA"/>
              </w:rPr>
              <w:noBreakHyphen/>
              <w:t>09</w:t>
            </w:r>
            <w:r w:rsidR="00197F36" w:rsidRPr="006F7A67">
              <w:rPr>
                <w:sz w:val="20"/>
                <w:lang w:val="fr-CA"/>
              </w:rPr>
              <w:noBreakHyphen/>
              <w:t>028470</w:t>
            </w:r>
            <w:r w:rsidR="00197F36" w:rsidRPr="006F7A67">
              <w:rPr>
                <w:sz w:val="20"/>
                <w:lang w:val="fr-CA"/>
              </w:rPr>
              <w:noBreakHyphen/>
              <w:t>193)</w:t>
            </w:r>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Rejet de l’appel</w:t>
            </w:r>
          </w:p>
          <w:p w:rsidR="00197F36" w:rsidRPr="006F7A67" w:rsidRDefault="00197F36" w:rsidP="0019255A">
            <w:pPr>
              <w:jc w:val="both"/>
              <w:rPr>
                <w:sz w:val="20"/>
                <w:lang w:val="fr-CA"/>
              </w:rPr>
            </w:pPr>
          </w:p>
        </w:tc>
      </w:tr>
      <w:tr w:rsidR="00197F36" w:rsidRPr="00DB0D35" w:rsidTr="0019255A">
        <w:tc>
          <w:tcPr>
            <w:tcW w:w="2427" w:type="pct"/>
          </w:tcPr>
          <w:p w:rsidR="00197F36" w:rsidRPr="006F7A67" w:rsidRDefault="00197F36" w:rsidP="0019255A">
            <w:pPr>
              <w:jc w:val="both"/>
              <w:rPr>
                <w:sz w:val="20"/>
                <w:lang w:val="fr-CA"/>
              </w:rPr>
            </w:pPr>
            <w:r w:rsidRPr="006F7A67">
              <w:rPr>
                <w:sz w:val="20"/>
                <w:lang w:val="fr-CA"/>
              </w:rPr>
              <w:t>10 janvier 2020</w:t>
            </w:r>
          </w:p>
          <w:p w:rsidR="00197F36" w:rsidRPr="006F7A67" w:rsidRDefault="00197F36" w:rsidP="0019255A">
            <w:pPr>
              <w:jc w:val="both"/>
              <w:rPr>
                <w:sz w:val="20"/>
                <w:lang w:val="fr-CA"/>
              </w:rPr>
            </w:pPr>
            <w:r w:rsidRPr="006F7A67">
              <w:rPr>
                <w:sz w:val="20"/>
                <w:lang w:val="fr-CA"/>
              </w:rPr>
              <w:t>Cour suprême du Canada</w:t>
            </w: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Dépôt de la demande d’autorisation d’appel et de la requête pour accélérer la demande d'autorisation d'appel</w:t>
            </w:r>
          </w:p>
        </w:tc>
      </w:tr>
    </w:tbl>
    <w:p w:rsidR="00197F36" w:rsidRPr="006F7A67" w:rsidRDefault="00197F36" w:rsidP="00197F36">
      <w:pPr>
        <w:jc w:val="both"/>
        <w:rPr>
          <w:sz w:val="20"/>
          <w:lang w:val="fr-CA"/>
        </w:rPr>
      </w:pPr>
    </w:p>
    <w:p w:rsidR="00197F36" w:rsidRPr="006F7A67" w:rsidRDefault="00300F06" w:rsidP="00197F36">
      <w:pPr>
        <w:ind w:left="142" w:hanging="142"/>
        <w:jc w:val="both"/>
        <w:rPr>
          <w:sz w:val="20"/>
          <w:lang w:val="fr-CA"/>
        </w:rPr>
      </w:pPr>
      <w:r>
        <w:rPr>
          <w:sz w:val="20"/>
        </w:rPr>
        <w:pict>
          <v:rect id="_x0000_i1038" style="width:2in;height:1pt" o:hrpct="0" o:hralign="center" o:hrstd="t" o:hrnoshade="t" o:hr="t" fillcolor="black [3213]" stroked="f"/>
        </w:pict>
      </w:r>
    </w:p>
    <w:p w:rsidR="00197F36" w:rsidRPr="006F7A67" w:rsidRDefault="00197F36" w:rsidP="00197F36">
      <w:pPr>
        <w:ind w:left="142" w:hanging="142"/>
        <w:jc w:val="both"/>
        <w:rPr>
          <w:sz w:val="20"/>
          <w:lang w:val="fr-CA"/>
        </w:rPr>
      </w:pPr>
    </w:p>
    <w:tbl>
      <w:tblPr>
        <w:tblW w:w="4944" w:type="pct"/>
        <w:tblInd w:w="-5" w:type="dxa"/>
        <w:tblLayout w:type="fixed"/>
        <w:tblCellMar>
          <w:left w:w="0" w:type="dxa"/>
          <w:bottom w:w="99" w:type="dxa"/>
          <w:right w:w="0" w:type="dxa"/>
        </w:tblCellMar>
        <w:tblLook w:val="04A0" w:firstRow="1" w:lastRow="0" w:firstColumn="1" w:lastColumn="0" w:noHBand="0" w:noVBand="1"/>
      </w:tblPr>
      <w:tblGrid>
        <w:gridCol w:w="1033"/>
        <w:gridCol w:w="8478"/>
      </w:tblGrid>
      <w:tr w:rsidR="00197F36" w:rsidRPr="006F7A67" w:rsidTr="001A0C1D">
        <w:tc>
          <w:tcPr>
            <w:tcW w:w="543" w:type="pct"/>
          </w:tcPr>
          <w:p w:rsidR="00197F36" w:rsidRPr="006F7A67" w:rsidRDefault="00197F36" w:rsidP="0019255A">
            <w:pPr>
              <w:jc w:val="both"/>
              <w:rPr>
                <w:sz w:val="20"/>
              </w:rPr>
            </w:pPr>
            <w:r w:rsidRPr="006F7A67">
              <w:rPr>
                <w:rStyle w:val="SCCFileNumberChar"/>
                <w:sz w:val="20"/>
                <w:szCs w:val="20"/>
              </w:rPr>
              <w:t>38940</w:t>
            </w:r>
          </w:p>
        </w:tc>
        <w:tc>
          <w:tcPr>
            <w:tcW w:w="4457" w:type="pct"/>
          </w:tcPr>
          <w:p w:rsidR="00197F36" w:rsidRPr="006F7A67" w:rsidRDefault="00197F36" w:rsidP="0019255A">
            <w:pPr>
              <w:pStyle w:val="SCCLsocParty"/>
              <w:jc w:val="both"/>
              <w:rPr>
                <w:b/>
                <w:sz w:val="20"/>
                <w:szCs w:val="20"/>
                <w:lang w:val="en-US"/>
              </w:rPr>
            </w:pPr>
            <w:r w:rsidRPr="006F7A67">
              <w:rPr>
                <w:b/>
                <w:sz w:val="20"/>
                <w:szCs w:val="20"/>
                <w:lang w:val="en-US"/>
              </w:rPr>
              <w:t>Gunnar S. Paulsson v. Board of Trustees of and for the University of Illinois</w:t>
            </w:r>
            <w:r w:rsidR="00016BD4" w:rsidRPr="006F7A67">
              <w:rPr>
                <w:b/>
                <w:sz w:val="20"/>
                <w:szCs w:val="20"/>
                <w:lang w:val="en-US"/>
              </w:rPr>
              <w:t xml:space="preserve"> and</w:t>
            </w:r>
            <w:r w:rsidRPr="006F7A67">
              <w:rPr>
                <w:b/>
                <w:sz w:val="20"/>
                <w:szCs w:val="20"/>
                <w:lang w:val="en-US"/>
              </w:rPr>
              <w:t xml:space="preserve"> American Association for the Advancement of Slavic Studies</w:t>
            </w:r>
          </w:p>
          <w:p w:rsidR="00197F36" w:rsidRPr="006F7A67" w:rsidRDefault="00197F36" w:rsidP="0019255A">
            <w:pPr>
              <w:jc w:val="both"/>
              <w:rPr>
                <w:sz w:val="20"/>
              </w:rPr>
            </w:pPr>
            <w:r w:rsidRPr="006F7A67">
              <w:rPr>
                <w:sz w:val="20"/>
              </w:rPr>
              <w:t>(Ont.) (Civil) (By Leave)</w:t>
            </w:r>
          </w:p>
        </w:tc>
      </w:tr>
      <w:tr w:rsidR="00016BD4" w:rsidRPr="006F7A67" w:rsidTr="001A0C1D">
        <w:tc>
          <w:tcPr>
            <w:tcW w:w="5000" w:type="pct"/>
            <w:gridSpan w:val="2"/>
          </w:tcPr>
          <w:p w:rsidR="00016BD4" w:rsidRPr="006F7A67" w:rsidRDefault="00016BD4" w:rsidP="0019255A">
            <w:pPr>
              <w:jc w:val="both"/>
              <w:rPr>
                <w:sz w:val="20"/>
                <w:szCs w:val="20"/>
              </w:rPr>
            </w:pPr>
            <w:r w:rsidRPr="006F7A67">
              <w:rPr>
                <w:sz w:val="20"/>
                <w:szCs w:val="20"/>
              </w:rPr>
              <w:t>The motions for an extension of time to serve and file the application for leave to appeal and the response to the application for leave to appeal are granted. The application for leave to appeal from the judgment of the Court of Appeal for Ontario, Number M49944, dated May 13, 2019, is dismissed with costs.</w:t>
            </w:r>
          </w:p>
          <w:p w:rsidR="00016BD4" w:rsidRPr="006F7A67" w:rsidRDefault="00016BD4" w:rsidP="0019255A">
            <w:pPr>
              <w:jc w:val="both"/>
              <w:rPr>
                <w:sz w:val="20"/>
              </w:rPr>
            </w:pPr>
          </w:p>
        </w:tc>
      </w:tr>
      <w:tr w:rsidR="00197F36" w:rsidRPr="006F7A67" w:rsidTr="001A0C1D">
        <w:tc>
          <w:tcPr>
            <w:tcW w:w="5000" w:type="pct"/>
            <w:gridSpan w:val="2"/>
          </w:tcPr>
          <w:p w:rsidR="00197F36" w:rsidRPr="006F7A67" w:rsidRDefault="00197F36" w:rsidP="0019255A">
            <w:pPr>
              <w:jc w:val="both"/>
              <w:rPr>
                <w:sz w:val="20"/>
              </w:rPr>
            </w:pPr>
            <w:r w:rsidRPr="006F7A67">
              <w:rPr>
                <w:sz w:val="20"/>
              </w:rPr>
              <w:t>Judgments and orders — Interlocutory orders — Torts — Defamation — Academic Publication — Book review concerning author’s book was published in a peer</w:t>
            </w:r>
            <w:r w:rsidRPr="006F7A67">
              <w:rPr>
                <w:sz w:val="20"/>
              </w:rPr>
              <w:noBreakHyphen/>
              <w:t xml:space="preserve">reviewed journal — Author sued journal, university with which journal was affiliated, and author of book review for defamation — Action dismissed by jury — Motion for extension of time to file leave to appeal dismissed — How law of defamation should be applied with respect to works of criticism — What defendant should be required to prove to claim the protection owed to critics and publishers — Whether considerations of academic freedom require that academic journals be accorded some form of privilege — </w:t>
            </w:r>
            <w:r w:rsidRPr="006F7A67">
              <w:rPr>
                <w:i/>
                <w:sz w:val="20"/>
              </w:rPr>
              <w:t xml:space="preserve">Courts of Justice Act, </w:t>
            </w:r>
            <w:r w:rsidRPr="006F7A67">
              <w:rPr>
                <w:sz w:val="20"/>
              </w:rPr>
              <w:t xml:space="preserve">R.S.O. 1990, c. C. 43, s. 302 ; </w:t>
            </w:r>
            <w:r w:rsidRPr="006F7A67">
              <w:rPr>
                <w:i/>
                <w:sz w:val="20"/>
              </w:rPr>
              <w:t>Rules of Civil Procedure</w:t>
            </w:r>
            <w:r w:rsidRPr="006F7A67">
              <w:rPr>
                <w:sz w:val="20"/>
              </w:rPr>
              <w:t>, R.R.O. 1990, Reg 194, s. 19 and 21.</w:t>
            </w:r>
          </w:p>
          <w:p w:rsidR="00197F36" w:rsidRPr="006F7A67" w:rsidRDefault="00197F36" w:rsidP="0019255A">
            <w:pPr>
              <w:jc w:val="both"/>
              <w:rPr>
                <w:sz w:val="20"/>
              </w:rPr>
            </w:pPr>
          </w:p>
        </w:tc>
      </w:tr>
    </w:tbl>
    <w:p w:rsidR="001A0C1D" w:rsidRPr="006F7A67" w:rsidRDefault="001A0C1D">
      <w:r w:rsidRPr="006F7A67">
        <w:br w:type="page"/>
      </w:r>
    </w:p>
    <w:tbl>
      <w:tblPr>
        <w:tblW w:w="5000" w:type="pct"/>
        <w:tblInd w:w="-5" w:type="dxa"/>
        <w:tblLayout w:type="fixed"/>
        <w:tblCellMar>
          <w:left w:w="0" w:type="dxa"/>
          <w:bottom w:w="99" w:type="dxa"/>
          <w:right w:w="0" w:type="dxa"/>
        </w:tblCellMar>
        <w:tblLook w:val="04A0" w:firstRow="1" w:lastRow="0" w:firstColumn="1" w:lastColumn="0" w:noHBand="0" w:noVBand="1"/>
      </w:tblPr>
      <w:tblGrid>
        <w:gridCol w:w="4551"/>
        <w:gridCol w:w="514"/>
        <w:gridCol w:w="4446"/>
        <w:gridCol w:w="108"/>
      </w:tblGrid>
      <w:tr w:rsidR="00197F36" w:rsidRPr="006F7A67" w:rsidTr="0019255A">
        <w:trPr>
          <w:gridAfter w:val="1"/>
          <w:wAfter w:w="56" w:type="pct"/>
        </w:trPr>
        <w:tc>
          <w:tcPr>
            <w:tcW w:w="4944" w:type="pct"/>
            <w:gridSpan w:val="3"/>
          </w:tcPr>
          <w:p w:rsidR="00197F36" w:rsidRPr="006F7A67" w:rsidRDefault="00197F36" w:rsidP="0019255A">
            <w:pPr>
              <w:jc w:val="both"/>
              <w:rPr>
                <w:sz w:val="20"/>
              </w:rPr>
            </w:pPr>
            <w:r w:rsidRPr="006F7A67">
              <w:rPr>
                <w:sz w:val="20"/>
              </w:rPr>
              <w:t xml:space="preserve">In 2006, the applicant, Mr. Paulsson, commenced an action against Leo Cooper, the Board of Trustees of and for the University of Illinois (“the Board”), and the American Association for the Advancement of Slavic Studies (“the Association”). Mr. Paulsson alleged that he was defamed in a book review written by Leo Cooper which was published in an issue of </w:t>
            </w:r>
            <w:r w:rsidRPr="006F7A67">
              <w:rPr>
                <w:i/>
                <w:sz w:val="20"/>
              </w:rPr>
              <w:t>Slavic Review</w:t>
            </w:r>
            <w:r w:rsidRPr="006F7A67">
              <w:rPr>
                <w:sz w:val="20"/>
              </w:rPr>
              <w:t>, a peer</w:t>
            </w:r>
            <w:r w:rsidRPr="006F7A67">
              <w:rPr>
                <w:sz w:val="20"/>
              </w:rPr>
              <w:noBreakHyphen/>
              <w:t>reviewed journal published by the Association in collaboration with the University of Illinois. The action was tried before a jury. The jury found that the words complained of in the book review were not defamatory of Mr. Paulsson. The Superior Court dismissed the action against the Association and the Board, and rendered a default judgment against Leo Cooper, who did not defend the action. Mr. Paulsson unsuccessfully filed a motion before the Divisional Court for an extension of time to serve and file a notice of appeal of both judgments. Mr. Paulsson then unsuccessfully filed a motion before the Divisional Court for a review of the order dismissing his motion for an extension of time. The Court of Appeal dismissed Mr. </w:t>
            </w:r>
            <w:proofErr w:type="spellStart"/>
            <w:r w:rsidRPr="006F7A67">
              <w:rPr>
                <w:sz w:val="20"/>
              </w:rPr>
              <w:t>Paulsson’s</w:t>
            </w:r>
            <w:proofErr w:type="spellEnd"/>
            <w:r w:rsidRPr="006F7A67">
              <w:rPr>
                <w:sz w:val="20"/>
              </w:rPr>
              <w:t xml:space="preserve"> application for leave to appeal of the Divisional Court order.</w:t>
            </w:r>
          </w:p>
          <w:p w:rsidR="00197F36" w:rsidRPr="006F7A67" w:rsidRDefault="00197F36" w:rsidP="0019255A">
            <w:pPr>
              <w:jc w:val="both"/>
              <w:rPr>
                <w:sz w:val="20"/>
              </w:rPr>
            </w:pPr>
          </w:p>
        </w:tc>
      </w:tr>
      <w:tr w:rsidR="00197F36" w:rsidRPr="006F7A67" w:rsidTr="0019255A">
        <w:tblPrEx>
          <w:tblCellMar>
            <w:bottom w:w="0" w:type="dxa"/>
          </w:tblCellMar>
        </w:tblPrEx>
        <w:tc>
          <w:tcPr>
            <w:tcW w:w="2366" w:type="pct"/>
          </w:tcPr>
          <w:p w:rsidR="00197F36" w:rsidRPr="006F7A67" w:rsidRDefault="00197F36" w:rsidP="0019255A">
            <w:pPr>
              <w:jc w:val="both"/>
              <w:rPr>
                <w:sz w:val="20"/>
              </w:rPr>
            </w:pPr>
            <w:r w:rsidRPr="006F7A67">
              <w:rPr>
                <w:sz w:val="20"/>
              </w:rPr>
              <w:t>February 18, 2015</w:t>
            </w:r>
          </w:p>
          <w:p w:rsidR="00197F36" w:rsidRPr="006F7A67" w:rsidRDefault="00197F36" w:rsidP="0019255A">
            <w:pPr>
              <w:jc w:val="both"/>
              <w:rPr>
                <w:sz w:val="20"/>
              </w:rPr>
            </w:pPr>
            <w:r w:rsidRPr="006F7A67">
              <w:rPr>
                <w:sz w:val="20"/>
              </w:rPr>
              <w:t>Ontario Superior Court of Justice</w:t>
            </w:r>
          </w:p>
          <w:p w:rsidR="00197F36" w:rsidRPr="006F7A67" w:rsidRDefault="00197F36" w:rsidP="0019255A">
            <w:pPr>
              <w:jc w:val="both"/>
              <w:rPr>
                <w:sz w:val="20"/>
              </w:rPr>
            </w:pPr>
            <w:r w:rsidRPr="006F7A67">
              <w:rPr>
                <w:sz w:val="20"/>
              </w:rPr>
              <w:t>(Wilson J.)</w:t>
            </w:r>
          </w:p>
          <w:p w:rsidR="00197F36" w:rsidRPr="006F7A67" w:rsidRDefault="00197F36" w:rsidP="0019255A">
            <w:pPr>
              <w:jc w:val="both"/>
              <w:rPr>
                <w:sz w:val="20"/>
              </w:rPr>
            </w:pPr>
            <w:r w:rsidRPr="006F7A67">
              <w:rPr>
                <w:sz w:val="20"/>
              </w:rPr>
              <w:t>06</w:t>
            </w:r>
            <w:r w:rsidRPr="006F7A67">
              <w:rPr>
                <w:sz w:val="20"/>
              </w:rPr>
              <w:noBreakHyphen/>
              <w:t>CV</w:t>
            </w:r>
            <w:r w:rsidRPr="006F7A67">
              <w:rPr>
                <w:sz w:val="20"/>
              </w:rPr>
              <w:noBreakHyphen/>
              <w:t>312373PD2</w:t>
            </w:r>
          </w:p>
        </w:tc>
        <w:tc>
          <w:tcPr>
            <w:tcW w:w="267" w:type="pct"/>
          </w:tcPr>
          <w:p w:rsidR="00197F36" w:rsidRPr="006F7A67" w:rsidRDefault="00197F36" w:rsidP="0019255A">
            <w:pPr>
              <w:jc w:val="both"/>
              <w:rPr>
                <w:sz w:val="20"/>
              </w:rPr>
            </w:pPr>
          </w:p>
        </w:tc>
        <w:tc>
          <w:tcPr>
            <w:tcW w:w="2367" w:type="pct"/>
            <w:gridSpan w:val="2"/>
          </w:tcPr>
          <w:p w:rsidR="00197F36" w:rsidRPr="006F7A67" w:rsidRDefault="00197F36" w:rsidP="0019255A">
            <w:pPr>
              <w:ind w:right="180"/>
              <w:jc w:val="both"/>
              <w:rPr>
                <w:sz w:val="20"/>
              </w:rPr>
            </w:pPr>
            <w:r w:rsidRPr="006F7A67">
              <w:rPr>
                <w:sz w:val="20"/>
              </w:rPr>
              <w:t>Action against Association and Board dismissed</w:t>
            </w:r>
          </w:p>
          <w:p w:rsidR="00197F36" w:rsidRPr="006F7A67" w:rsidRDefault="00197F36" w:rsidP="0019255A">
            <w:pPr>
              <w:ind w:right="180"/>
              <w:jc w:val="both"/>
              <w:rPr>
                <w:sz w:val="20"/>
              </w:rPr>
            </w:pPr>
          </w:p>
          <w:p w:rsidR="00197F36" w:rsidRPr="006F7A67" w:rsidRDefault="00197F36" w:rsidP="0019255A">
            <w:pPr>
              <w:jc w:val="both"/>
              <w:rPr>
                <w:sz w:val="20"/>
              </w:rPr>
            </w:pPr>
          </w:p>
        </w:tc>
      </w:tr>
      <w:tr w:rsidR="00197F36" w:rsidRPr="006F7A67" w:rsidTr="0019255A">
        <w:tblPrEx>
          <w:tblCellMar>
            <w:bottom w:w="0" w:type="dxa"/>
          </w:tblCellMar>
        </w:tblPrEx>
        <w:tc>
          <w:tcPr>
            <w:tcW w:w="2366" w:type="pct"/>
          </w:tcPr>
          <w:p w:rsidR="00197F36" w:rsidRPr="006F7A67" w:rsidRDefault="00197F36" w:rsidP="0019255A">
            <w:pPr>
              <w:jc w:val="both"/>
              <w:rPr>
                <w:sz w:val="20"/>
              </w:rPr>
            </w:pPr>
          </w:p>
          <w:p w:rsidR="00197F36" w:rsidRPr="006F7A67" w:rsidRDefault="00197F36" w:rsidP="0019255A">
            <w:pPr>
              <w:jc w:val="both"/>
              <w:rPr>
                <w:sz w:val="20"/>
              </w:rPr>
            </w:pPr>
            <w:r w:rsidRPr="006F7A67">
              <w:rPr>
                <w:sz w:val="20"/>
              </w:rPr>
              <w:t>March 27, 2015</w:t>
            </w:r>
          </w:p>
          <w:p w:rsidR="00197F36" w:rsidRPr="006F7A67" w:rsidRDefault="00197F36" w:rsidP="0019255A">
            <w:pPr>
              <w:jc w:val="both"/>
              <w:rPr>
                <w:sz w:val="20"/>
              </w:rPr>
            </w:pPr>
            <w:r w:rsidRPr="006F7A67">
              <w:rPr>
                <w:sz w:val="20"/>
              </w:rPr>
              <w:t>Ontario Superior Court of Justice</w:t>
            </w:r>
          </w:p>
          <w:p w:rsidR="00197F36" w:rsidRPr="006F7A67" w:rsidRDefault="00197F36" w:rsidP="0019255A">
            <w:pPr>
              <w:jc w:val="both"/>
              <w:rPr>
                <w:sz w:val="20"/>
              </w:rPr>
            </w:pPr>
            <w:r w:rsidRPr="006F7A67">
              <w:rPr>
                <w:sz w:val="20"/>
              </w:rPr>
              <w:t>(Wilson J.)</w:t>
            </w:r>
          </w:p>
          <w:p w:rsidR="00197F36" w:rsidRPr="006F7A67" w:rsidRDefault="00197F36" w:rsidP="0019255A">
            <w:pPr>
              <w:jc w:val="both"/>
              <w:rPr>
                <w:sz w:val="20"/>
              </w:rPr>
            </w:pPr>
            <w:r w:rsidRPr="006F7A67">
              <w:rPr>
                <w:sz w:val="20"/>
              </w:rPr>
              <w:t>06</w:t>
            </w:r>
            <w:r w:rsidRPr="006F7A67">
              <w:rPr>
                <w:sz w:val="20"/>
              </w:rPr>
              <w:noBreakHyphen/>
              <w:t>CV</w:t>
            </w:r>
            <w:r w:rsidRPr="006F7A67">
              <w:rPr>
                <w:sz w:val="20"/>
              </w:rPr>
              <w:noBreakHyphen/>
              <w:t>312373PD2</w:t>
            </w:r>
          </w:p>
          <w:p w:rsidR="00197F36" w:rsidRPr="006F7A67" w:rsidRDefault="00197F36" w:rsidP="0019255A">
            <w:pPr>
              <w:jc w:val="both"/>
              <w:rPr>
                <w:sz w:val="20"/>
              </w:rPr>
            </w:pPr>
          </w:p>
        </w:tc>
        <w:tc>
          <w:tcPr>
            <w:tcW w:w="267" w:type="pct"/>
          </w:tcPr>
          <w:p w:rsidR="00197F36" w:rsidRPr="006F7A67" w:rsidRDefault="00197F36" w:rsidP="0019255A">
            <w:pPr>
              <w:jc w:val="both"/>
              <w:rPr>
                <w:sz w:val="20"/>
              </w:rPr>
            </w:pPr>
          </w:p>
        </w:tc>
        <w:tc>
          <w:tcPr>
            <w:tcW w:w="2367" w:type="pct"/>
            <w:gridSpan w:val="2"/>
          </w:tcPr>
          <w:p w:rsidR="00197F36" w:rsidRPr="006F7A67" w:rsidRDefault="00197F36" w:rsidP="0019255A">
            <w:pPr>
              <w:jc w:val="both"/>
              <w:rPr>
                <w:sz w:val="20"/>
              </w:rPr>
            </w:pPr>
          </w:p>
          <w:p w:rsidR="00197F36" w:rsidRPr="006F7A67" w:rsidRDefault="00197F36" w:rsidP="0019255A">
            <w:pPr>
              <w:jc w:val="both"/>
              <w:rPr>
                <w:sz w:val="20"/>
              </w:rPr>
            </w:pPr>
            <w:r w:rsidRPr="006F7A67">
              <w:rPr>
                <w:sz w:val="20"/>
              </w:rPr>
              <w:t>Action against Leo Cooper dismissed by default judgment</w:t>
            </w:r>
          </w:p>
        </w:tc>
      </w:tr>
      <w:tr w:rsidR="00197F36" w:rsidRPr="006F7A67" w:rsidTr="0019255A">
        <w:tblPrEx>
          <w:tblCellMar>
            <w:bottom w:w="0" w:type="dxa"/>
          </w:tblCellMar>
        </w:tblPrEx>
        <w:tc>
          <w:tcPr>
            <w:tcW w:w="2366" w:type="pct"/>
          </w:tcPr>
          <w:p w:rsidR="00197F36" w:rsidRPr="006F7A67" w:rsidRDefault="00197F36" w:rsidP="0019255A">
            <w:pPr>
              <w:jc w:val="both"/>
              <w:rPr>
                <w:sz w:val="20"/>
              </w:rPr>
            </w:pPr>
            <w:r w:rsidRPr="006F7A67">
              <w:rPr>
                <w:sz w:val="20"/>
              </w:rPr>
              <w:t>February 7, 2018</w:t>
            </w:r>
          </w:p>
          <w:p w:rsidR="00197F36" w:rsidRPr="006F7A67" w:rsidRDefault="00197F36" w:rsidP="0019255A">
            <w:pPr>
              <w:jc w:val="both"/>
              <w:rPr>
                <w:sz w:val="20"/>
              </w:rPr>
            </w:pPr>
            <w:r w:rsidRPr="006F7A67">
              <w:rPr>
                <w:sz w:val="20"/>
              </w:rPr>
              <w:t xml:space="preserve">Superior Court of Justice </w:t>
            </w:r>
          </w:p>
          <w:p w:rsidR="00197F36" w:rsidRPr="006F7A67" w:rsidRDefault="00197F36" w:rsidP="0019255A">
            <w:pPr>
              <w:jc w:val="both"/>
              <w:rPr>
                <w:sz w:val="20"/>
              </w:rPr>
            </w:pPr>
            <w:r w:rsidRPr="006F7A67">
              <w:rPr>
                <w:sz w:val="20"/>
              </w:rPr>
              <w:t>Ontario Divisional Court</w:t>
            </w:r>
          </w:p>
          <w:p w:rsidR="00197F36" w:rsidRPr="006F7A67" w:rsidRDefault="00197F36" w:rsidP="0019255A">
            <w:pPr>
              <w:jc w:val="both"/>
              <w:rPr>
                <w:sz w:val="20"/>
              </w:rPr>
            </w:pPr>
            <w:r w:rsidRPr="006F7A67">
              <w:rPr>
                <w:sz w:val="20"/>
              </w:rPr>
              <w:t>(Sachs J.)</w:t>
            </w:r>
          </w:p>
          <w:p w:rsidR="00197F36" w:rsidRPr="006F7A67" w:rsidRDefault="00300F06" w:rsidP="0019255A">
            <w:pPr>
              <w:jc w:val="both"/>
              <w:rPr>
                <w:rStyle w:val="Hyperlink"/>
                <w:sz w:val="20"/>
              </w:rPr>
            </w:pPr>
            <w:hyperlink r:id="rId37" w:history="1">
              <w:r w:rsidR="00197F36" w:rsidRPr="006F7A67">
                <w:rPr>
                  <w:rStyle w:val="Hyperlink"/>
                  <w:sz w:val="20"/>
                </w:rPr>
                <w:t>2018 ONSC 901</w:t>
              </w:r>
            </w:hyperlink>
          </w:p>
          <w:p w:rsidR="00197F36" w:rsidRPr="006F7A67" w:rsidRDefault="00197F36" w:rsidP="0019255A">
            <w:pPr>
              <w:jc w:val="both"/>
              <w:rPr>
                <w:sz w:val="20"/>
              </w:rPr>
            </w:pPr>
          </w:p>
        </w:tc>
        <w:tc>
          <w:tcPr>
            <w:tcW w:w="267" w:type="pct"/>
          </w:tcPr>
          <w:p w:rsidR="00197F36" w:rsidRPr="006F7A67" w:rsidRDefault="00197F36" w:rsidP="0019255A">
            <w:pPr>
              <w:jc w:val="both"/>
              <w:rPr>
                <w:sz w:val="20"/>
              </w:rPr>
            </w:pPr>
          </w:p>
        </w:tc>
        <w:tc>
          <w:tcPr>
            <w:tcW w:w="2367" w:type="pct"/>
            <w:gridSpan w:val="2"/>
          </w:tcPr>
          <w:p w:rsidR="00197F36" w:rsidRPr="006F7A67" w:rsidRDefault="00197F36" w:rsidP="0019255A">
            <w:pPr>
              <w:ind w:right="180"/>
              <w:jc w:val="both"/>
              <w:rPr>
                <w:sz w:val="20"/>
              </w:rPr>
            </w:pPr>
            <w:r w:rsidRPr="006F7A67">
              <w:rPr>
                <w:sz w:val="20"/>
              </w:rPr>
              <w:t>Motion for an extension of time to file Notice of Appeal denied</w:t>
            </w:r>
          </w:p>
          <w:p w:rsidR="00197F36" w:rsidRPr="006F7A67" w:rsidRDefault="00197F36" w:rsidP="0019255A">
            <w:pPr>
              <w:ind w:right="180"/>
              <w:jc w:val="both"/>
              <w:rPr>
                <w:sz w:val="20"/>
              </w:rPr>
            </w:pPr>
          </w:p>
          <w:p w:rsidR="00197F36" w:rsidRPr="006F7A67" w:rsidRDefault="00197F36" w:rsidP="0019255A">
            <w:pPr>
              <w:ind w:right="180"/>
              <w:jc w:val="both"/>
              <w:rPr>
                <w:sz w:val="20"/>
              </w:rPr>
            </w:pPr>
          </w:p>
          <w:p w:rsidR="00197F36" w:rsidRPr="006F7A67" w:rsidRDefault="00197F36" w:rsidP="0019255A">
            <w:pPr>
              <w:jc w:val="both"/>
              <w:rPr>
                <w:sz w:val="20"/>
              </w:rPr>
            </w:pPr>
          </w:p>
        </w:tc>
      </w:tr>
      <w:tr w:rsidR="00197F36" w:rsidRPr="006F7A67" w:rsidTr="0019255A">
        <w:tblPrEx>
          <w:tblCellMar>
            <w:bottom w:w="0" w:type="dxa"/>
          </w:tblCellMar>
        </w:tblPrEx>
        <w:tc>
          <w:tcPr>
            <w:tcW w:w="2366" w:type="pct"/>
          </w:tcPr>
          <w:p w:rsidR="00197F36" w:rsidRPr="006F7A67" w:rsidRDefault="00197F36" w:rsidP="0019255A">
            <w:pPr>
              <w:jc w:val="both"/>
              <w:rPr>
                <w:sz w:val="20"/>
              </w:rPr>
            </w:pPr>
            <w:r w:rsidRPr="006F7A67">
              <w:rPr>
                <w:sz w:val="20"/>
              </w:rPr>
              <w:t>November 19, 2018</w:t>
            </w:r>
          </w:p>
          <w:p w:rsidR="00197F36" w:rsidRPr="006F7A67" w:rsidRDefault="00197F36" w:rsidP="0019255A">
            <w:pPr>
              <w:jc w:val="both"/>
              <w:rPr>
                <w:sz w:val="20"/>
              </w:rPr>
            </w:pPr>
            <w:r w:rsidRPr="006F7A67">
              <w:rPr>
                <w:sz w:val="20"/>
              </w:rPr>
              <w:t>Superior Court of Justice</w:t>
            </w:r>
          </w:p>
          <w:p w:rsidR="00197F36" w:rsidRPr="006F7A67" w:rsidRDefault="00197F36" w:rsidP="0019255A">
            <w:pPr>
              <w:jc w:val="both"/>
              <w:rPr>
                <w:sz w:val="20"/>
              </w:rPr>
            </w:pPr>
            <w:r w:rsidRPr="006F7A67">
              <w:rPr>
                <w:sz w:val="20"/>
              </w:rPr>
              <w:t>Ontario Divisional Court</w:t>
            </w:r>
          </w:p>
          <w:p w:rsidR="00197F36" w:rsidRPr="006F7A67" w:rsidRDefault="00197F36" w:rsidP="0019255A">
            <w:pPr>
              <w:jc w:val="both"/>
              <w:rPr>
                <w:sz w:val="20"/>
              </w:rPr>
            </w:pPr>
            <w:r w:rsidRPr="006F7A67">
              <w:rPr>
                <w:sz w:val="20"/>
              </w:rPr>
              <w:t>(</w:t>
            </w:r>
            <w:proofErr w:type="spellStart"/>
            <w:r w:rsidRPr="006F7A67">
              <w:rPr>
                <w:sz w:val="20"/>
              </w:rPr>
              <w:t>Lococo</w:t>
            </w:r>
            <w:proofErr w:type="spellEnd"/>
            <w:r w:rsidRPr="006F7A67">
              <w:rPr>
                <w:sz w:val="20"/>
              </w:rPr>
              <w:t>, Trimble, and Myers JJ.)</w:t>
            </w:r>
          </w:p>
          <w:p w:rsidR="00197F36" w:rsidRPr="006F7A67" w:rsidRDefault="00300F06" w:rsidP="0019255A">
            <w:pPr>
              <w:jc w:val="both"/>
              <w:rPr>
                <w:sz w:val="20"/>
              </w:rPr>
            </w:pPr>
            <w:hyperlink r:id="rId38" w:history="1">
              <w:r w:rsidR="00197F36" w:rsidRPr="006F7A67">
                <w:rPr>
                  <w:rStyle w:val="Hyperlink"/>
                  <w:sz w:val="20"/>
                </w:rPr>
                <w:t>2018 ONSC 6928</w:t>
              </w:r>
            </w:hyperlink>
          </w:p>
          <w:p w:rsidR="00197F36" w:rsidRPr="006F7A67" w:rsidRDefault="00197F36" w:rsidP="0019255A">
            <w:pPr>
              <w:jc w:val="both"/>
              <w:rPr>
                <w:sz w:val="20"/>
              </w:rPr>
            </w:pPr>
          </w:p>
        </w:tc>
        <w:tc>
          <w:tcPr>
            <w:tcW w:w="267" w:type="pct"/>
          </w:tcPr>
          <w:p w:rsidR="00197F36" w:rsidRPr="006F7A67" w:rsidRDefault="00197F36" w:rsidP="0019255A">
            <w:pPr>
              <w:jc w:val="both"/>
              <w:rPr>
                <w:sz w:val="20"/>
              </w:rPr>
            </w:pPr>
          </w:p>
        </w:tc>
        <w:tc>
          <w:tcPr>
            <w:tcW w:w="2367" w:type="pct"/>
            <w:gridSpan w:val="2"/>
          </w:tcPr>
          <w:p w:rsidR="00197F36" w:rsidRPr="006F7A67" w:rsidRDefault="00197F36" w:rsidP="0019255A">
            <w:pPr>
              <w:ind w:right="180"/>
              <w:jc w:val="both"/>
              <w:rPr>
                <w:sz w:val="20"/>
              </w:rPr>
            </w:pPr>
            <w:r w:rsidRPr="006F7A67">
              <w:rPr>
                <w:sz w:val="20"/>
              </w:rPr>
              <w:t>Motion for review dismissed</w:t>
            </w:r>
          </w:p>
          <w:p w:rsidR="00197F36" w:rsidRPr="006F7A67" w:rsidRDefault="00197F36" w:rsidP="0019255A">
            <w:pPr>
              <w:jc w:val="both"/>
              <w:rPr>
                <w:sz w:val="20"/>
              </w:rPr>
            </w:pPr>
          </w:p>
        </w:tc>
      </w:tr>
      <w:tr w:rsidR="00197F36" w:rsidRPr="006F7A67" w:rsidTr="0019255A">
        <w:tblPrEx>
          <w:tblCellMar>
            <w:bottom w:w="0" w:type="dxa"/>
          </w:tblCellMar>
        </w:tblPrEx>
        <w:tc>
          <w:tcPr>
            <w:tcW w:w="2366" w:type="pct"/>
          </w:tcPr>
          <w:p w:rsidR="00197F36" w:rsidRPr="006F7A67" w:rsidRDefault="00197F36" w:rsidP="0019255A">
            <w:pPr>
              <w:jc w:val="both"/>
              <w:rPr>
                <w:sz w:val="20"/>
              </w:rPr>
            </w:pPr>
            <w:r w:rsidRPr="006F7A67">
              <w:rPr>
                <w:sz w:val="20"/>
              </w:rPr>
              <w:t>May 13, 2019</w:t>
            </w:r>
          </w:p>
          <w:p w:rsidR="00197F36" w:rsidRPr="006F7A67" w:rsidRDefault="00197F36" w:rsidP="0019255A">
            <w:pPr>
              <w:jc w:val="both"/>
              <w:rPr>
                <w:sz w:val="20"/>
              </w:rPr>
            </w:pPr>
            <w:r w:rsidRPr="006F7A67">
              <w:rPr>
                <w:sz w:val="20"/>
              </w:rPr>
              <w:t>Court of Appeal for Ontario</w:t>
            </w:r>
          </w:p>
          <w:p w:rsidR="00197F36" w:rsidRPr="006F7A67" w:rsidRDefault="00197F36" w:rsidP="0019255A">
            <w:pPr>
              <w:jc w:val="both"/>
              <w:rPr>
                <w:sz w:val="20"/>
              </w:rPr>
            </w:pPr>
            <w:r w:rsidRPr="006F7A67">
              <w:rPr>
                <w:sz w:val="20"/>
              </w:rPr>
              <w:t xml:space="preserve">(Hourigan, </w:t>
            </w:r>
            <w:proofErr w:type="spellStart"/>
            <w:r w:rsidRPr="006F7A67">
              <w:rPr>
                <w:sz w:val="20"/>
              </w:rPr>
              <w:t>Paciocco</w:t>
            </w:r>
            <w:proofErr w:type="spellEnd"/>
            <w:r w:rsidRPr="006F7A67">
              <w:rPr>
                <w:sz w:val="20"/>
              </w:rPr>
              <w:t xml:space="preserve"> and Harvison Young</w:t>
            </w:r>
          </w:p>
          <w:p w:rsidR="00197F36" w:rsidRPr="006F7A67" w:rsidRDefault="00197F36" w:rsidP="0019255A">
            <w:pPr>
              <w:jc w:val="both"/>
              <w:rPr>
                <w:sz w:val="20"/>
              </w:rPr>
            </w:pPr>
            <w:r w:rsidRPr="006F7A67">
              <w:rPr>
                <w:sz w:val="20"/>
              </w:rPr>
              <w:t>JJ.A.)</w:t>
            </w:r>
          </w:p>
          <w:p w:rsidR="00197F36" w:rsidRPr="006F7A67" w:rsidRDefault="00197F36" w:rsidP="0019255A">
            <w:pPr>
              <w:jc w:val="both"/>
              <w:rPr>
                <w:sz w:val="20"/>
              </w:rPr>
            </w:pPr>
            <w:r w:rsidRPr="006F7A67">
              <w:rPr>
                <w:sz w:val="20"/>
              </w:rPr>
              <w:t>M49944</w:t>
            </w:r>
          </w:p>
          <w:p w:rsidR="00197F36" w:rsidRPr="006F7A67" w:rsidRDefault="00197F36" w:rsidP="0019255A">
            <w:pPr>
              <w:jc w:val="both"/>
              <w:rPr>
                <w:sz w:val="20"/>
              </w:rPr>
            </w:pPr>
          </w:p>
        </w:tc>
        <w:tc>
          <w:tcPr>
            <w:tcW w:w="267" w:type="pct"/>
          </w:tcPr>
          <w:p w:rsidR="00197F36" w:rsidRPr="006F7A67" w:rsidRDefault="00197F36" w:rsidP="0019255A">
            <w:pPr>
              <w:jc w:val="both"/>
              <w:rPr>
                <w:sz w:val="20"/>
              </w:rPr>
            </w:pPr>
          </w:p>
        </w:tc>
        <w:tc>
          <w:tcPr>
            <w:tcW w:w="2367" w:type="pct"/>
            <w:gridSpan w:val="2"/>
          </w:tcPr>
          <w:p w:rsidR="00197F36" w:rsidRPr="006F7A67" w:rsidRDefault="00197F36" w:rsidP="0019255A">
            <w:pPr>
              <w:jc w:val="both"/>
              <w:rPr>
                <w:sz w:val="20"/>
              </w:rPr>
            </w:pPr>
            <w:r w:rsidRPr="006F7A67">
              <w:rPr>
                <w:sz w:val="20"/>
              </w:rPr>
              <w:t>Application for leave to appeal dismissed</w:t>
            </w:r>
          </w:p>
        </w:tc>
      </w:tr>
      <w:tr w:rsidR="00197F36" w:rsidRPr="006F7A67" w:rsidTr="0019255A">
        <w:tblPrEx>
          <w:tblCellMar>
            <w:bottom w:w="0" w:type="dxa"/>
          </w:tblCellMar>
        </w:tblPrEx>
        <w:tc>
          <w:tcPr>
            <w:tcW w:w="2366" w:type="pct"/>
          </w:tcPr>
          <w:p w:rsidR="00197F36" w:rsidRPr="006F7A67" w:rsidRDefault="00197F36" w:rsidP="0019255A">
            <w:pPr>
              <w:jc w:val="both"/>
              <w:rPr>
                <w:sz w:val="20"/>
              </w:rPr>
            </w:pPr>
            <w:r w:rsidRPr="006F7A67">
              <w:rPr>
                <w:sz w:val="20"/>
              </w:rPr>
              <w:t>September 3, 2019</w:t>
            </w:r>
          </w:p>
          <w:p w:rsidR="00197F36" w:rsidRPr="006F7A67" w:rsidRDefault="00197F36" w:rsidP="0019255A">
            <w:pPr>
              <w:jc w:val="both"/>
              <w:rPr>
                <w:sz w:val="20"/>
              </w:rPr>
            </w:pPr>
            <w:r w:rsidRPr="006F7A67">
              <w:rPr>
                <w:sz w:val="20"/>
              </w:rPr>
              <w:t>Supreme Court of Canada</w:t>
            </w:r>
          </w:p>
        </w:tc>
        <w:tc>
          <w:tcPr>
            <w:tcW w:w="267" w:type="pct"/>
          </w:tcPr>
          <w:p w:rsidR="00197F36" w:rsidRPr="006F7A67" w:rsidRDefault="00197F36" w:rsidP="0019255A">
            <w:pPr>
              <w:jc w:val="both"/>
              <w:rPr>
                <w:sz w:val="20"/>
              </w:rPr>
            </w:pPr>
          </w:p>
        </w:tc>
        <w:tc>
          <w:tcPr>
            <w:tcW w:w="2367" w:type="pct"/>
            <w:gridSpan w:val="2"/>
          </w:tcPr>
          <w:p w:rsidR="00197F36" w:rsidRPr="006F7A67" w:rsidRDefault="00197F36" w:rsidP="0019255A">
            <w:pPr>
              <w:jc w:val="both"/>
              <w:rPr>
                <w:sz w:val="20"/>
              </w:rPr>
            </w:pPr>
            <w:r w:rsidRPr="006F7A67">
              <w:rPr>
                <w:sz w:val="20"/>
              </w:rPr>
              <w:t>Application for leave to appeal filed</w:t>
            </w:r>
          </w:p>
          <w:p w:rsidR="00197F36" w:rsidRPr="006F7A67" w:rsidRDefault="00197F36" w:rsidP="0019255A">
            <w:pPr>
              <w:jc w:val="both"/>
              <w:rPr>
                <w:sz w:val="20"/>
              </w:rPr>
            </w:pP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39" style="width:2in;height:1pt" o:hrpct="0" o:hralign="center" o:hrstd="t" o:hrnoshade="t" o:hr="t" fillcolor="black [3213]" stroked="f"/>
        </w:pict>
      </w:r>
    </w:p>
    <w:p w:rsidR="00197F36" w:rsidRPr="006F7A67" w:rsidRDefault="00197F36" w:rsidP="00197F36">
      <w:pPr>
        <w:jc w:val="both"/>
        <w:rPr>
          <w:sz w:val="20"/>
        </w:rPr>
      </w:pPr>
    </w:p>
    <w:tbl>
      <w:tblPr>
        <w:tblW w:w="4944" w:type="pct"/>
        <w:tblInd w:w="-5" w:type="dxa"/>
        <w:tblLayout w:type="fixed"/>
        <w:tblCellMar>
          <w:left w:w="0" w:type="dxa"/>
          <w:bottom w:w="99" w:type="dxa"/>
          <w:right w:w="0" w:type="dxa"/>
        </w:tblCellMar>
        <w:tblLook w:val="04A0" w:firstRow="1" w:lastRow="0" w:firstColumn="1" w:lastColumn="0" w:noHBand="0" w:noVBand="1"/>
      </w:tblPr>
      <w:tblGrid>
        <w:gridCol w:w="1033"/>
        <w:gridCol w:w="8478"/>
      </w:tblGrid>
      <w:tr w:rsidR="00197F36" w:rsidRPr="006F7A67" w:rsidTr="001A0C1D">
        <w:tc>
          <w:tcPr>
            <w:tcW w:w="543" w:type="pct"/>
          </w:tcPr>
          <w:p w:rsidR="00197F36" w:rsidRPr="006F7A67" w:rsidRDefault="00197F36" w:rsidP="0019255A">
            <w:pPr>
              <w:jc w:val="both"/>
              <w:rPr>
                <w:sz w:val="20"/>
                <w:lang w:val="fr-CA"/>
              </w:rPr>
            </w:pPr>
            <w:r w:rsidRPr="006F7A67">
              <w:rPr>
                <w:rStyle w:val="SCCFileNumberChar"/>
                <w:sz w:val="20"/>
                <w:szCs w:val="20"/>
                <w:lang w:val="fr-CA"/>
              </w:rPr>
              <w:t>38940</w:t>
            </w:r>
          </w:p>
        </w:tc>
        <w:tc>
          <w:tcPr>
            <w:tcW w:w="4457" w:type="pct"/>
          </w:tcPr>
          <w:p w:rsidR="00197F36" w:rsidRPr="006F7A67" w:rsidRDefault="00197F36" w:rsidP="0019255A">
            <w:pPr>
              <w:pStyle w:val="SCCLsocParty"/>
              <w:jc w:val="both"/>
              <w:rPr>
                <w:b/>
                <w:sz w:val="20"/>
                <w:szCs w:val="20"/>
                <w:lang w:val="en-US"/>
              </w:rPr>
            </w:pPr>
            <w:r w:rsidRPr="006F7A67">
              <w:rPr>
                <w:b/>
                <w:sz w:val="20"/>
                <w:szCs w:val="20"/>
                <w:lang w:val="en-US"/>
              </w:rPr>
              <w:t>Gunnar S. Paulsson c. Board of Trustees of and for the University of Illinois</w:t>
            </w:r>
            <w:r w:rsidR="007F0728" w:rsidRPr="006F7A67">
              <w:rPr>
                <w:b/>
                <w:sz w:val="20"/>
                <w:szCs w:val="20"/>
                <w:lang w:val="en-US"/>
              </w:rPr>
              <w:t xml:space="preserve"> et</w:t>
            </w:r>
            <w:r w:rsidRPr="006F7A67">
              <w:rPr>
                <w:b/>
                <w:sz w:val="20"/>
                <w:szCs w:val="20"/>
                <w:lang w:val="en-US"/>
              </w:rPr>
              <w:t xml:space="preserve"> American Association for the Advancement of Slavic Studies</w:t>
            </w:r>
          </w:p>
          <w:p w:rsidR="00197F36" w:rsidRPr="006F7A67" w:rsidRDefault="00197F36" w:rsidP="0019255A">
            <w:pPr>
              <w:jc w:val="both"/>
              <w:rPr>
                <w:sz w:val="20"/>
                <w:lang w:val="fr-CA"/>
              </w:rPr>
            </w:pPr>
            <w:r w:rsidRPr="006F7A67">
              <w:rPr>
                <w:sz w:val="20"/>
                <w:lang w:val="fr-CA"/>
              </w:rPr>
              <w:t>(Ont.) (Civile) (Autorisation)</w:t>
            </w:r>
          </w:p>
        </w:tc>
      </w:tr>
      <w:tr w:rsidR="007F0728" w:rsidRPr="00DB0D35" w:rsidTr="001A0C1D">
        <w:tc>
          <w:tcPr>
            <w:tcW w:w="5000" w:type="pct"/>
            <w:gridSpan w:val="2"/>
          </w:tcPr>
          <w:p w:rsidR="007F0728" w:rsidRPr="006F7A67" w:rsidRDefault="007F0728" w:rsidP="0019255A">
            <w:pPr>
              <w:jc w:val="both"/>
              <w:rPr>
                <w:sz w:val="20"/>
                <w:szCs w:val="20"/>
                <w:lang w:val="fr-CA"/>
              </w:rPr>
            </w:pPr>
            <w:r w:rsidRPr="006F7A67">
              <w:rPr>
                <w:sz w:val="20"/>
                <w:szCs w:val="20"/>
                <w:lang w:val="fr-CA"/>
              </w:rPr>
              <w:t xml:space="preserve">Les requêtes en prorogation du délai de signification et de dépôt de la demande d’autorisation d’appel et de la réponse à la demande d’autorisation d’appel sont accueillies. La demande d’autorisation d’appel de l’arrêt de la </w:t>
            </w:r>
            <w:r w:rsidRPr="006F7A67">
              <w:rPr>
                <w:sz w:val="20"/>
                <w:szCs w:val="20"/>
                <w:lang w:val="fr-FR"/>
              </w:rPr>
              <w:t>Cour d’appel de l’Ontario</w:t>
            </w:r>
            <w:r w:rsidRPr="006F7A67">
              <w:rPr>
                <w:sz w:val="20"/>
                <w:szCs w:val="20"/>
                <w:lang w:val="fr-CA"/>
              </w:rPr>
              <w:t xml:space="preserve">, numéro </w:t>
            </w:r>
            <w:r w:rsidRPr="006F7A67">
              <w:rPr>
                <w:sz w:val="20"/>
                <w:szCs w:val="20"/>
                <w:lang w:val="fr-FR"/>
              </w:rPr>
              <w:t>M49944</w:t>
            </w:r>
            <w:r w:rsidRPr="006F7A67">
              <w:rPr>
                <w:sz w:val="20"/>
                <w:szCs w:val="20"/>
                <w:lang w:val="fr-CA"/>
              </w:rPr>
              <w:t xml:space="preserve">, daté du </w:t>
            </w:r>
            <w:r w:rsidRPr="006F7A67">
              <w:rPr>
                <w:sz w:val="20"/>
                <w:szCs w:val="20"/>
                <w:lang w:val="fr-FR"/>
              </w:rPr>
              <w:t>13 mai 2019</w:t>
            </w:r>
            <w:r w:rsidRPr="006F7A67">
              <w:rPr>
                <w:sz w:val="20"/>
                <w:szCs w:val="20"/>
                <w:lang w:val="fr-CA"/>
              </w:rPr>
              <w:t>, est rejet</w:t>
            </w:r>
            <w:r w:rsidRPr="006F7A67">
              <w:rPr>
                <w:rFonts w:cs="Times New Roman"/>
                <w:sz w:val="20"/>
                <w:szCs w:val="20"/>
                <w:lang w:val="fr-CA"/>
              </w:rPr>
              <w:t>é</w:t>
            </w:r>
            <w:r w:rsidRPr="006F7A67">
              <w:rPr>
                <w:sz w:val="20"/>
                <w:szCs w:val="20"/>
                <w:lang w:val="fr-CA"/>
              </w:rPr>
              <w:t>e avec dépens.</w:t>
            </w:r>
          </w:p>
          <w:p w:rsidR="007F0728" w:rsidRPr="006F7A67" w:rsidRDefault="007F0728" w:rsidP="0019255A">
            <w:pPr>
              <w:jc w:val="both"/>
              <w:rPr>
                <w:sz w:val="20"/>
                <w:lang w:val="fr-CA"/>
              </w:rPr>
            </w:pPr>
          </w:p>
        </w:tc>
      </w:tr>
    </w:tbl>
    <w:p w:rsidR="001A0C1D" w:rsidRPr="006F7A67" w:rsidRDefault="001A0C1D">
      <w:pPr>
        <w:rPr>
          <w:lang w:val="fr-CA"/>
        </w:rPr>
      </w:pPr>
      <w:r w:rsidRPr="006F7A67">
        <w:rPr>
          <w:lang w:val="fr-CA"/>
        </w:rPr>
        <w:br w:type="page"/>
      </w:r>
    </w:p>
    <w:tbl>
      <w:tblPr>
        <w:tblW w:w="5000" w:type="pct"/>
        <w:tblInd w:w="-5" w:type="dxa"/>
        <w:tblLayout w:type="fixed"/>
        <w:tblCellMar>
          <w:left w:w="0" w:type="dxa"/>
          <w:bottom w:w="99" w:type="dxa"/>
          <w:right w:w="0" w:type="dxa"/>
        </w:tblCellMar>
        <w:tblLook w:val="04A0" w:firstRow="1" w:lastRow="0" w:firstColumn="1" w:lastColumn="0" w:noHBand="0" w:noVBand="1"/>
      </w:tblPr>
      <w:tblGrid>
        <w:gridCol w:w="4551"/>
        <w:gridCol w:w="514"/>
        <w:gridCol w:w="4446"/>
        <w:gridCol w:w="108"/>
      </w:tblGrid>
      <w:tr w:rsidR="00197F36" w:rsidRPr="006F7A67" w:rsidTr="0019255A">
        <w:trPr>
          <w:gridAfter w:val="1"/>
          <w:wAfter w:w="56" w:type="pct"/>
        </w:trPr>
        <w:tc>
          <w:tcPr>
            <w:tcW w:w="4944" w:type="pct"/>
            <w:gridSpan w:val="3"/>
          </w:tcPr>
          <w:p w:rsidR="00197F36" w:rsidRPr="006F7A67" w:rsidRDefault="00197F36" w:rsidP="0019255A">
            <w:pPr>
              <w:jc w:val="both"/>
              <w:rPr>
                <w:sz w:val="20"/>
                <w:lang w:val="fr-CA"/>
              </w:rPr>
            </w:pPr>
            <w:r w:rsidRPr="006F7A67">
              <w:rPr>
                <w:sz w:val="20"/>
                <w:lang w:val="fr-CA"/>
              </w:rPr>
              <w:t>Jugements et ordonnances — Ordonnances interlocutoires — Responsabilité délictuelle — Diffamation — Publication universitaire — Une critique du livre de l’auteur a été publiée dans une revue avec comité de lecture — L’auteur a poursuivi en diffamation la revue, l’université avec laquelle la revue était affiliée et l’auteur de la critique du livre — L’action a été rejetée par un jury — La motion en prorogation du délai de dépôt pour interjeter appel a été rejetée — Comment convient</w:t>
            </w:r>
            <w:r w:rsidRPr="006F7A67">
              <w:rPr>
                <w:sz w:val="20"/>
                <w:lang w:val="fr-CA"/>
              </w:rPr>
              <w:noBreakHyphen/>
              <w:t>il d’appliquer le droit de la diffamation à l’égard des œuvres de critique? — Que doit prouver le défendeur pour revendiquer la protection due aux critiques et aux éditeurs? — Doit</w:t>
            </w:r>
            <w:r w:rsidRPr="006F7A67">
              <w:rPr>
                <w:sz w:val="20"/>
                <w:lang w:val="fr-CA"/>
              </w:rPr>
              <w:noBreakHyphen/>
              <w:t xml:space="preserve">on, au nom de la liberté universitaire, accorder une certaine forme d’immunité aux revues spécialisées? — </w:t>
            </w:r>
            <w:r w:rsidRPr="006F7A67">
              <w:rPr>
                <w:i/>
                <w:sz w:val="20"/>
                <w:lang w:val="fr-CA"/>
              </w:rPr>
              <w:t xml:space="preserve">Loi sur les tribunaux judiciaires, </w:t>
            </w:r>
            <w:r w:rsidRPr="006F7A67">
              <w:rPr>
                <w:sz w:val="20"/>
                <w:lang w:val="fr-CA"/>
              </w:rPr>
              <w:t xml:space="preserve">L.R.O. 1990, ch. C. 43, s. 302 ; </w:t>
            </w:r>
            <w:r w:rsidRPr="006F7A67">
              <w:rPr>
                <w:i/>
                <w:sz w:val="20"/>
                <w:lang w:val="fr-CA"/>
              </w:rPr>
              <w:t>Règles de procédure civile</w:t>
            </w:r>
            <w:r w:rsidRPr="006F7A67">
              <w:rPr>
                <w:sz w:val="20"/>
                <w:lang w:val="fr-CA"/>
              </w:rPr>
              <w:t xml:space="preserve">, R.R.O. 1990, </w:t>
            </w:r>
            <w:proofErr w:type="spellStart"/>
            <w:r w:rsidRPr="006F7A67">
              <w:rPr>
                <w:sz w:val="20"/>
                <w:lang w:val="fr-CA"/>
              </w:rPr>
              <w:t>règl</w:t>
            </w:r>
            <w:proofErr w:type="spellEnd"/>
            <w:r w:rsidRPr="006F7A67">
              <w:rPr>
                <w:sz w:val="20"/>
                <w:lang w:val="fr-CA"/>
              </w:rPr>
              <w:t>. 194, art. 19 et 21.</w:t>
            </w:r>
          </w:p>
          <w:p w:rsidR="00197F36" w:rsidRPr="006F7A67" w:rsidRDefault="00197F36" w:rsidP="0019255A">
            <w:pPr>
              <w:jc w:val="both"/>
              <w:rPr>
                <w:sz w:val="20"/>
                <w:lang w:val="fr-CA"/>
              </w:rPr>
            </w:pPr>
          </w:p>
        </w:tc>
      </w:tr>
      <w:tr w:rsidR="00197F36" w:rsidRPr="00DB0D35" w:rsidTr="0019255A">
        <w:trPr>
          <w:gridAfter w:val="1"/>
          <w:wAfter w:w="56" w:type="pct"/>
        </w:trPr>
        <w:tc>
          <w:tcPr>
            <w:tcW w:w="4944" w:type="pct"/>
            <w:gridSpan w:val="3"/>
          </w:tcPr>
          <w:p w:rsidR="00197F36" w:rsidRPr="006F7A67" w:rsidRDefault="00197F36" w:rsidP="0019255A">
            <w:pPr>
              <w:jc w:val="both"/>
              <w:rPr>
                <w:sz w:val="20"/>
                <w:lang w:val="fr-CA"/>
              </w:rPr>
            </w:pPr>
            <w:r w:rsidRPr="006F7A67">
              <w:rPr>
                <w:sz w:val="20"/>
              </w:rPr>
              <w:t xml:space="preserve">En 2006, le </w:t>
            </w:r>
            <w:proofErr w:type="spellStart"/>
            <w:r w:rsidRPr="006F7A67">
              <w:rPr>
                <w:sz w:val="20"/>
              </w:rPr>
              <w:t>demandeur</w:t>
            </w:r>
            <w:proofErr w:type="spellEnd"/>
            <w:r w:rsidRPr="006F7A67">
              <w:rPr>
                <w:sz w:val="20"/>
              </w:rPr>
              <w:t xml:space="preserve">, M. Paulsson, a </w:t>
            </w:r>
            <w:proofErr w:type="spellStart"/>
            <w:r w:rsidRPr="006F7A67">
              <w:rPr>
                <w:sz w:val="20"/>
              </w:rPr>
              <w:t>intenté</w:t>
            </w:r>
            <w:proofErr w:type="spellEnd"/>
            <w:r w:rsidRPr="006F7A67">
              <w:rPr>
                <w:sz w:val="20"/>
              </w:rPr>
              <w:t xml:space="preserve"> </w:t>
            </w:r>
            <w:proofErr w:type="spellStart"/>
            <w:r w:rsidRPr="006F7A67">
              <w:rPr>
                <w:sz w:val="20"/>
              </w:rPr>
              <w:t>une</w:t>
            </w:r>
            <w:proofErr w:type="spellEnd"/>
            <w:r w:rsidRPr="006F7A67">
              <w:rPr>
                <w:sz w:val="20"/>
              </w:rPr>
              <w:t xml:space="preserve"> action contre Leo Cooper, le Board of Trustees of and for the University of Illinois (« le Conseil »), et </w:t>
            </w:r>
            <w:proofErr w:type="spellStart"/>
            <w:r w:rsidRPr="006F7A67">
              <w:rPr>
                <w:sz w:val="20"/>
              </w:rPr>
              <w:t>l’American</w:t>
            </w:r>
            <w:proofErr w:type="spellEnd"/>
            <w:r w:rsidRPr="006F7A67">
              <w:rPr>
                <w:sz w:val="20"/>
              </w:rPr>
              <w:t xml:space="preserve"> Association for the Advancement of Slavic Studies (« </w:t>
            </w:r>
            <w:proofErr w:type="spellStart"/>
            <w:r w:rsidRPr="006F7A67">
              <w:rPr>
                <w:sz w:val="20"/>
              </w:rPr>
              <w:t>l’Association</w:t>
            </w:r>
            <w:proofErr w:type="spellEnd"/>
            <w:r w:rsidRPr="006F7A67">
              <w:rPr>
                <w:sz w:val="20"/>
              </w:rPr>
              <w:t xml:space="preserve"> »). </w:t>
            </w:r>
            <w:r w:rsidRPr="006F7A67">
              <w:rPr>
                <w:sz w:val="20"/>
                <w:lang w:val="fr-CA"/>
              </w:rPr>
              <w:t xml:space="preserve">Monsieur Paulsson allègue avoir fait l’objet de diffamation dans une critique de livre écrite par Leo Cooper et publiée dans un numéro de la </w:t>
            </w:r>
            <w:proofErr w:type="spellStart"/>
            <w:r w:rsidRPr="006F7A67">
              <w:rPr>
                <w:i/>
                <w:sz w:val="20"/>
                <w:lang w:val="fr-CA"/>
              </w:rPr>
              <w:t>Slavic</w:t>
            </w:r>
            <w:proofErr w:type="spellEnd"/>
            <w:r w:rsidRPr="006F7A67">
              <w:rPr>
                <w:i/>
                <w:sz w:val="20"/>
                <w:lang w:val="fr-CA"/>
              </w:rPr>
              <w:t xml:space="preserve"> Review</w:t>
            </w:r>
            <w:r w:rsidRPr="006F7A67">
              <w:rPr>
                <w:sz w:val="20"/>
                <w:lang w:val="fr-CA"/>
              </w:rPr>
              <w:t>, une revue avec comité de lecture publiée par l’University of Illinois. L’action a été instruite devant un jury. Le jury a conclu que les propos reprochés dans la critique de livre n’étaient pas diffamatoires à l’endroit de M. Paulsson. La Cour supérieure a rejeté l’action contre l’Association et le Conseil et a rendu un jugement par défaut contre Leo Cooper, qui n’avait pas opposé de défense à l’action. Monsieur Paulsson a déposé sans succès une motion en Cour divisionnaire pour obtenir une prorogation du délai de signification et du dépôt d’un avis d’appel des deux jugements. Monsieur Paulsson a ensuite déposé sans succès une motion en Cour divisionnaire en révision de l’ordonnance rejetant sa motion en prorogation de délai. La Cour d’appel a rejeté la motion de M. Paulsson en autorisation d'interjeter appel de l’ordonnance de la Cour divisionnaire.</w:t>
            </w:r>
          </w:p>
          <w:p w:rsidR="00197F36" w:rsidRPr="006F7A67" w:rsidRDefault="00197F36" w:rsidP="0019255A">
            <w:pPr>
              <w:jc w:val="both"/>
              <w:rPr>
                <w:sz w:val="20"/>
                <w:lang w:val="fr-CA"/>
              </w:rPr>
            </w:pPr>
          </w:p>
        </w:tc>
      </w:tr>
      <w:tr w:rsidR="00197F36" w:rsidRPr="00DB0D35" w:rsidTr="0019255A">
        <w:tblPrEx>
          <w:tblCellMar>
            <w:bottom w:w="0" w:type="dxa"/>
          </w:tblCellMar>
        </w:tblPrEx>
        <w:tc>
          <w:tcPr>
            <w:tcW w:w="2366" w:type="pct"/>
          </w:tcPr>
          <w:p w:rsidR="00197F36" w:rsidRPr="006F7A67" w:rsidRDefault="00197F36" w:rsidP="0019255A">
            <w:pPr>
              <w:jc w:val="both"/>
              <w:rPr>
                <w:sz w:val="20"/>
                <w:lang w:val="fr-CA"/>
              </w:rPr>
            </w:pPr>
            <w:r w:rsidRPr="006F7A67">
              <w:rPr>
                <w:sz w:val="20"/>
                <w:lang w:val="fr-CA"/>
              </w:rPr>
              <w:t>18 février 2015</w:t>
            </w:r>
          </w:p>
          <w:p w:rsidR="00197F36" w:rsidRPr="006F7A67" w:rsidRDefault="00197F36" w:rsidP="0019255A">
            <w:pPr>
              <w:jc w:val="both"/>
              <w:rPr>
                <w:sz w:val="20"/>
                <w:lang w:val="fr-CA"/>
              </w:rPr>
            </w:pPr>
            <w:r w:rsidRPr="006F7A67">
              <w:rPr>
                <w:sz w:val="20"/>
                <w:lang w:val="fr-CA"/>
              </w:rPr>
              <w:t>Cour supérieure de justice de l’Ontario</w:t>
            </w:r>
          </w:p>
          <w:p w:rsidR="00197F36" w:rsidRPr="006F7A67" w:rsidRDefault="00197F36" w:rsidP="0019255A">
            <w:pPr>
              <w:jc w:val="both"/>
              <w:rPr>
                <w:sz w:val="20"/>
                <w:lang w:val="fr-CA"/>
              </w:rPr>
            </w:pPr>
            <w:r w:rsidRPr="006F7A67">
              <w:rPr>
                <w:sz w:val="20"/>
                <w:lang w:val="fr-CA"/>
              </w:rPr>
              <w:t>(Juge Wilson)</w:t>
            </w:r>
          </w:p>
          <w:p w:rsidR="00197F36" w:rsidRPr="006F7A67" w:rsidRDefault="00197F36" w:rsidP="0019255A">
            <w:pPr>
              <w:jc w:val="both"/>
              <w:rPr>
                <w:sz w:val="20"/>
                <w:lang w:val="fr-CA"/>
              </w:rPr>
            </w:pPr>
            <w:r w:rsidRPr="006F7A67">
              <w:rPr>
                <w:sz w:val="20"/>
                <w:lang w:val="fr-CA"/>
              </w:rPr>
              <w:t>06</w:t>
            </w:r>
            <w:r w:rsidRPr="006F7A67">
              <w:rPr>
                <w:sz w:val="20"/>
                <w:lang w:val="fr-CA"/>
              </w:rPr>
              <w:noBreakHyphen/>
              <w:t>CV</w:t>
            </w:r>
            <w:r w:rsidRPr="006F7A67">
              <w:rPr>
                <w:sz w:val="20"/>
                <w:lang w:val="fr-CA"/>
              </w:rPr>
              <w:noBreakHyphen/>
              <w:t>312373PD2</w:t>
            </w:r>
          </w:p>
        </w:tc>
        <w:tc>
          <w:tcPr>
            <w:tcW w:w="267" w:type="pct"/>
          </w:tcPr>
          <w:p w:rsidR="00197F36" w:rsidRPr="006F7A67" w:rsidRDefault="00197F36" w:rsidP="0019255A">
            <w:pPr>
              <w:jc w:val="both"/>
              <w:rPr>
                <w:sz w:val="20"/>
                <w:lang w:val="fr-CA"/>
              </w:rPr>
            </w:pPr>
          </w:p>
        </w:tc>
        <w:tc>
          <w:tcPr>
            <w:tcW w:w="2367" w:type="pct"/>
            <w:gridSpan w:val="2"/>
          </w:tcPr>
          <w:p w:rsidR="00197F36" w:rsidRPr="006F7A67" w:rsidRDefault="00197F36" w:rsidP="0019255A">
            <w:pPr>
              <w:ind w:right="180"/>
              <w:jc w:val="both"/>
              <w:rPr>
                <w:sz w:val="20"/>
                <w:lang w:val="fr-CA"/>
              </w:rPr>
            </w:pPr>
            <w:r w:rsidRPr="006F7A67">
              <w:rPr>
                <w:sz w:val="20"/>
                <w:lang w:val="fr-CA"/>
              </w:rPr>
              <w:t>Rejet de l’action contre l’Association et le Conseil</w:t>
            </w:r>
          </w:p>
          <w:p w:rsidR="00197F36" w:rsidRPr="006F7A67" w:rsidRDefault="00197F36" w:rsidP="0019255A">
            <w:pPr>
              <w:ind w:right="180"/>
              <w:jc w:val="both"/>
              <w:rPr>
                <w:sz w:val="20"/>
                <w:lang w:val="fr-CA"/>
              </w:rPr>
            </w:pPr>
          </w:p>
          <w:p w:rsidR="00197F36" w:rsidRPr="006F7A67" w:rsidRDefault="00197F36" w:rsidP="0019255A">
            <w:pPr>
              <w:jc w:val="both"/>
              <w:rPr>
                <w:sz w:val="20"/>
                <w:lang w:val="fr-CA"/>
              </w:rPr>
            </w:pPr>
          </w:p>
        </w:tc>
      </w:tr>
      <w:tr w:rsidR="00197F36" w:rsidRPr="00DB0D35" w:rsidTr="0019255A">
        <w:tblPrEx>
          <w:tblCellMar>
            <w:bottom w:w="0" w:type="dxa"/>
          </w:tblCellMar>
        </w:tblPrEx>
        <w:tc>
          <w:tcPr>
            <w:tcW w:w="2366" w:type="pct"/>
          </w:tcPr>
          <w:p w:rsidR="00197F36" w:rsidRPr="006F7A67" w:rsidRDefault="00197F36" w:rsidP="0019255A">
            <w:pPr>
              <w:jc w:val="both"/>
              <w:rPr>
                <w:sz w:val="20"/>
                <w:lang w:val="fr-CA"/>
              </w:rPr>
            </w:pPr>
          </w:p>
          <w:p w:rsidR="00197F36" w:rsidRPr="006F7A67" w:rsidRDefault="00197F36" w:rsidP="0019255A">
            <w:pPr>
              <w:jc w:val="both"/>
              <w:rPr>
                <w:sz w:val="20"/>
                <w:lang w:val="fr-CA"/>
              </w:rPr>
            </w:pPr>
            <w:r w:rsidRPr="006F7A67">
              <w:rPr>
                <w:sz w:val="20"/>
                <w:lang w:val="fr-CA"/>
              </w:rPr>
              <w:t>27 mars 2015</w:t>
            </w:r>
          </w:p>
          <w:p w:rsidR="00197F36" w:rsidRPr="006F7A67" w:rsidRDefault="00197F36" w:rsidP="0019255A">
            <w:pPr>
              <w:jc w:val="both"/>
              <w:rPr>
                <w:sz w:val="20"/>
                <w:lang w:val="fr-CA"/>
              </w:rPr>
            </w:pPr>
            <w:r w:rsidRPr="006F7A67">
              <w:rPr>
                <w:sz w:val="20"/>
                <w:lang w:val="fr-CA"/>
              </w:rPr>
              <w:t>Cour supérieure de justice de l’Ontario</w:t>
            </w:r>
          </w:p>
          <w:p w:rsidR="00197F36" w:rsidRPr="006F7A67" w:rsidRDefault="00197F36" w:rsidP="0019255A">
            <w:pPr>
              <w:jc w:val="both"/>
              <w:rPr>
                <w:sz w:val="20"/>
                <w:lang w:val="fr-CA"/>
              </w:rPr>
            </w:pPr>
            <w:r w:rsidRPr="006F7A67">
              <w:rPr>
                <w:sz w:val="20"/>
                <w:lang w:val="fr-CA"/>
              </w:rPr>
              <w:t>(Juge Wilson)</w:t>
            </w:r>
          </w:p>
          <w:p w:rsidR="00197F36" w:rsidRPr="006F7A67" w:rsidRDefault="00197F36" w:rsidP="0019255A">
            <w:pPr>
              <w:jc w:val="both"/>
              <w:rPr>
                <w:sz w:val="20"/>
                <w:lang w:val="fr-CA"/>
              </w:rPr>
            </w:pPr>
            <w:r w:rsidRPr="006F7A67">
              <w:rPr>
                <w:sz w:val="20"/>
                <w:lang w:val="fr-CA"/>
              </w:rPr>
              <w:t>06</w:t>
            </w:r>
            <w:r w:rsidRPr="006F7A67">
              <w:rPr>
                <w:sz w:val="20"/>
                <w:lang w:val="fr-CA"/>
              </w:rPr>
              <w:noBreakHyphen/>
              <w:t>CV</w:t>
            </w:r>
            <w:r w:rsidRPr="006F7A67">
              <w:rPr>
                <w:sz w:val="20"/>
                <w:lang w:val="fr-CA"/>
              </w:rPr>
              <w:noBreakHyphen/>
              <w:t>312373PD2</w:t>
            </w:r>
          </w:p>
          <w:p w:rsidR="00197F36" w:rsidRPr="006F7A67" w:rsidRDefault="00197F36" w:rsidP="0019255A">
            <w:pPr>
              <w:jc w:val="both"/>
              <w:rPr>
                <w:sz w:val="20"/>
                <w:lang w:val="fr-CA"/>
              </w:rPr>
            </w:pPr>
          </w:p>
        </w:tc>
        <w:tc>
          <w:tcPr>
            <w:tcW w:w="267" w:type="pct"/>
          </w:tcPr>
          <w:p w:rsidR="00197F36" w:rsidRPr="006F7A67" w:rsidRDefault="00197F36" w:rsidP="0019255A">
            <w:pPr>
              <w:jc w:val="both"/>
              <w:rPr>
                <w:sz w:val="20"/>
                <w:lang w:val="fr-CA"/>
              </w:rPr>
            </w:pPr>
          </w:p>
        </w:tc>
        <w:tc>
          <w:tcPr>
            <w:tcW w:w="2367" w:type="pct"/>
            <w:gridSpan w:val="2"/>
          </w:tcPr>
          <w:p w:rsidR="00197F36" w:rsidRPr="006F7A67" w:rsidRDefault="00197F36" w:rsidP="0019255A">
            <w:pPr>
              <w:jc w:val="both"/>
              <w:rPr>
                <w:sz w:val="20"/>
                <w:lang w:val="fr-CA"/>
              </w:rPr>
            </w:pPr>
          </w:p>
          <w:p w:rsidR="00197F36" w:rsidRPr="006F7A67" w:rsidRDefault="00197F36" w:rsidP="0019255A">
            <w:pPr>
              <w:jc w:val="both"/>
              <w:rPr>
                <w:sz w:val="20"/>
                <w:lang w:val="fr-CA"/>
              </w:rPr>
            </w:pPr>
            <w:r w:rsidRPr="006F7A67">
              <w:rPr>
                <w:sz w:val="20"/>
                <w:lang w:val="fr-CA"/>
              </w:rPr>
              <w:t xml:space="preserve">Jugement par défaut rejetant l’action contre Leo Cooper </w:t>
            </w:r>
          </w:p>
        </w:tc>
      </w:tr>
      <w:tr w:rsidR="00197F36" w:rsidRPr="00DB0D35" w:rsidTr="0019255A">
        <w:tblPrEx>
          <w:tblCellMar>
            <w:bottom w:w="0" w:type="dxa"/>
          </w:tblCellMar>
        </w:tblPrEx>
        <w:tc>
          <w:tcPr>
            <w:tcW w:w="2366" w:type="pct"/>
          </w:tcPr>
          <w:p w:rsidR="00197F36" w:rsidRPr="006F7A67" w:rsidRDefault="00197F36" w:rsidP="0019255A">
            <w:pPr>
              <w:jc w:val="both"/>
              <w:rPr>
                <w:sz w:val="20"/>
                <w:lang w:val="fr-CA"/>
              </w:rPr>
            </w:pPr>
            <w:r w:rsidRPr="006F7A67">
              <w:rPr>
                <w:sz w:val="20"/>
                <w:lang w:val="fr-CA"/>
              </w:rPr>
              <w:t>7 février 2018</w:t>
            </w:r>
          </w:p>
          <w:p w:rsidR="00197F36" w:rsidRPr="006F7A67" w:rsidRDefault="00197F36" w:rsidP="0019255A">
            <w:pPr>
              <w:jc w:val="both"/>
              <w:rPr>
                <w:sz w:val="20"/>
                <w:lang w:val="fr-CA"/>
              </w:rPr>
            </w:pPr>
            <w:r w:rsidRPr="006F7A67">
              <w:rPr>
                <w:sz w:val="20"/>
                <w:lang w:val="fr-CA"/>
              </w:rPr>
              <w:t>Cour supérieure de justice</w:t>
            </w:r>
          </w:p>
          <w:p w:rsidR="00197F36" w:rsidRPr="006F7A67" w:rsidRDefault="00197F36" w:rsidP="0019255A">
            <w:pPr>
              <w:jc w:val="both"/>
              <w:rPr>
                <w:sz w:val="20"/>
                <w:lang w:val="fr-CA"/>
              </w:rPr>
            </w:pPr>
            <w:r w:rsidRPr="006F7A67">
              <w:rPr>
                <w:sz w:val="20"/>
                <w:lang w:val="fr-CA"/>
              </w:rPr>
              <w:t>Cour divisionnaire de l’Ontario</w:t>
            </w:r>
          </w:p>
          <w:p w:rsidR="00197F36" w:rsidRPr="006F7A67" w:rsidRDefault="00197F36" w:rsidP="0019255A">
            <w:pPr>
              <w:jc w:val="both"/>
              <w:rPr>
                <w:sz w:val="20"/>
                <w:lang w:val="fr-CA"/>
              </w:rPr>
            </w:pPr>
            <w:r w:rsidRPr="006F7A67">
              <w:rPr>
                <w:sz w:val="20"/>
                <w:lang w:val="fr-CA"/>
              </w:rPr>
              <w:t>(Juge Sachs)</w:t>
            </w:r>
          </w:p>
          <w:p w:rsidR="00197F36" w:rsidRPr="006F7A67" w:rsidRDefault="00300F06" w:rsidP="0019255A">
            <w:pPr>
              <w:jc w:val="both"/>
              <w:rPr>
                <w:rStyle w:val="Hyperlink"/>
                <w:sz w:val="20"/>
                <w:lang w:val="fr-CA"/>
              </w:rPr>
            </w:pPr>
            <w:hyperlink r:id="rId39" w:history="1">
              <w:r w:rsidR="00197F36" w:rsidRPr="006F7A67">
                <w:rPr>
                  <w:rStyle w:val="Hyperlink"/>
                  <w:sz w:val="20"/>
                  <w:lang w:val="fr-CA"/>
                </w:rPr>
                <w:t>2018 ONSC 901</w:t>
              </w:r>
            </w:hyperlink>
          </w:p>
          <w:p w:rsidR="00197F36" w:rsidRPr="006F7A67" w:rsidRDefault="00197F36" w:rsidP="0019255A">
            <w:pPr>
              <w:jc w:val="both"/>
              <w:rPr>
                <w:sz w:val="20"/>
                <w:lang w:val="fr-CA"/>
              </w:rPr>
            </w:pPr>
          </w:p>
        </w:tc>
        <w:tc>
          <w:tcPr>
            <w:tcW w:w="267" w:type="pct"/>
          </w:tcPr>
          <w:p w:rsidR="00197F36" w:rsidRPr="006F7A67" w:rsidRDefault="00197F36" w:rsidP="0019255A">
            <w:pPr>
              <w:jc w:val="both"/>
              <w:rPr>
                <w:sz w:val="20"/>
                <w:lang w:val="fr-CA"/>
              </w:rPr>
            </w:pPr>
          </w:p>
        </w:tc>
        <w:tc>
          <w:tcPr>
            <w:tcW w:w="2367" w:type="pct"/>
            <w:gridSpan w:val="2"/>
          </w:tcPr>
          <w:p w:rsidR="00197F36" w:rsidRPr="006F7A67" w:rsidRDefault="00197F36" w:rsidP="0019255A">
            <w:pPr>
              <w:ind w:right="180"/>
              <w:jc w:val="both"/>
              <w:rPr>
                <w:sz w:val="20"/>
                <w:lang w:val="fr-CA"/>
              </w:rPr>
            </w:pPr>
            <w:r w:rsidRPr="006F7A67">
              <w:rPr>
                <w:sz w:val="20"/>
                <w:lang w:val="fr-CA"/>
              </w:rPr>
              <w:t>Rejet de la motion en prorogation du délai de dépôt de l’avis d’appel</w:t>
            </w:r>
          </w:p>
          <w:p w:rsidR="00197F36" w:rsidRPr="006F7A67" w:rsidRDefault="00197F36" w:rsidP="0019255A">
            <w:pPr>
              <w:ind w:right="180"/>
              <w:jc w:val="both"/>
              <w:rPr>
                <w:sz w:val="20"/>
                <w:lang w:val="fr-CA"/>
              </w:rPr>
            </w:pPr>
          </w:p>
          <w:p w:rsidR="00197F36" w:rsidRPr="006F7A67" w:rsidRDefault="00197F36" w:rsidP="0019255A">
            <w:pPr>
              <w:ind w:right="180"/>
              <w:jc w:val="both"/>
              <w:rPr>
                <w:sz w:val="20"/>
                <w:lang w:val="fr-CA"/>
              </w:rPr>
            </w:pPr>
          </w:p>
          <w:p w:rsidR="00197F36" w:rsidRPr="006F7A67" w:rsidRDefault="00197F36" w:rsidP="0019255A">
            <w:pPr>
              <w:jc w:val="both"/>
              <w:rPr>
                <w:sz w:val="20"/>
                <w:lang w:val="fr-CA"/>
              </w:rPr>
            </w:pPr>
          </w:p>
        </w:tc>
      </w:tr>
      <w:tr w:rsidR="00197F36" w:rsidRPr="00DB0D35" w:rsidTr="0019255A">
        <w:tblPrEx>
          <w:tblCellMar>
            <w:bottom w:w="0" w:type="dxa"/>
          </w:tblCellMar>
        </w:tblPrEx>
        <w:tc>
          <w:tcPr>
            <w:tcW w:w="2366" w:type="pct"/>
          </w:tcPr>
          <w:p w:rsidR="00197F36" w:rsidRPr="006F7A67" w:rsidRDefault="00197F36" w:rsidP="0019255A">
            <w:pPr>
              <w:jc w:val="both"/>
              <w:rPr>
                <w:sz w:val="20"/>
                <w:lang w:val="fr-CA"/>
              </w:rPr>
            </w:pPr>
            <w:r w:rsidRPr="006F7A67">
              <w:rPr>
                <w:sz w:val="20"/>
                <w:lang w:val="fr-CA"/>
              </w:rPr>
              <w:t>19 novembre 2018</w:t>
            </w:r>
          </w:p>
          <w:p w:rsidR="00197F36" w:rsidRPr="006F7A67" w:rsidRDefault="00197F36" w:rsidP="0019255A">
            <w:pPr>
              <w:jc w:val="both"/>
              <w:rPr>
                <w:sz w:val="20"/>
                <w:lang w:val="fr-CA"/>
              </w:rPr>
            </w:pPr>
            <w:r w:rsidRPr="006F7A67">
              <w:rPr>
                <w:sz w:val="20"/>
                <w:lang w:val="fr-CA"/>
              </w:rPr>
              <w:t>Cour supérieure de justice</w:t>
            </w:r>
          </w:p>
          <w:p w:rsidR="00197F36" w:rsidRPr="006F7A67" w:rsidRDefault="00197F36" w:rsidP="0019255A">
            <w:pPr>
              <w:jc w:val="both"/>
              <w:rPr>
                <w:sz w:val="20"/>
                <w:lang w:val="fr-CA"/>
              </w:rPr>
            </w:pPr>
            <w:r w:rsidRPr="006F7A67">
              <w:rPr>
                <w:sz w:val="20"/>
                <w:lang w:val="fr-CA"/>
              </w:rPr>
              <w:t>Cour divisionnaire de l’Ontario</w:t>
            </w:r>
          </w:p>
          <w:p w:rsidR="00197F36" w:rsidRPr="006F7A67" w:rsidRDefault="00197F36" w:rsidP="0019255A">
            <w:pPr>
              <w:jc w:val="both"/>
              <w:rPr>
                <w:sz w:val="20"/>
                <w:lang w:val="fr-CA"/>
              </w:rPr>
            </w:pPr>
            <w:r w:rsidRPr="006F7A67">
              <w:rPr>
                <w:sz w:val="20"/>
                <w:lang w:val="fr-CA"/>
              </w:rPr>
              <w:t xml:space="preserve">(Juges </w:t>
            </w:r>
            <w:proofErr w:type="spellStart"/>
            <w:r w:rsidRPr="006F7A67">
              <w:rPr>
                <w:sz w:val="20"/>
                <w:lang w:val="fr-CA"/>
              </w:rPr>
              <w:t>Lococo</w:t>
            </w:r>
            <w:proofErr w:type="spellEnd"/>
            <w:r w:rsidRPr="006F7A67">
              <w:rPr>
                <w:sz w:val="20"/>
                <w:lang w:val="fr-CA"/>
              </w:rPr>
              <w:t xml:space="preserve">, </w:t>
            </w:r>
            <w:proofErr w:type="spellStart"/>
            <w:r w:rsidRPr="006F7A67">
              <w:rPr>
                <w:sz w:val="20"/>
                <w:lang w:val="fr-CA"/>
              </w:rPr>
              <w:t>Trimble</w:t>
            </w:r>
            <w:proofErr w:type="spellEnd"/>
            <w:r w:rsidRPr="006F7A67">
              <w:rPr>
                <w:sz w:val="20"/>
                <w:lang w:val="fr-CA"/>
              </w:rPr>
              <w:t xml:space="preserve"> et Myers)</w:t>
            </w:r>
          </w:p>
          <w:p w:rsidR="00197F36" w:rsidRPr="006F7A67" w:rsidRDefault="00300F06" w:rsidP="0019255A">
            <w:pPr>
              <w:jc w:val="both"/>
              <w:rPr>
                <w:sz w:val="20"/>
                <w:lang w:val="fr-CA"/>
              </w:rPr>
            </w:pPr>
            <w:hyperlink r:id="rId40" w:history="1">
              <w:r w:rsidR="00197F36" w:rsidRPr="006F7A67">
                <w:rPr>
                  <w:rStyle w:val="Hyperlink"/>
                  <w:sz w:val="20"/>
                  <w:lang w:val="fr-CA"/>
                </w:rPr>
                <w:t>2018 ONSC 6928</w:t>
              </w:r>
            </w:hyperlink>
          </w:p>
          <w:p w:rsidR="00197F36" w:rsidRPr="006F7A67" w:rsidRDefault="00197F36" w:rsidP="0019255A">
            <w:pPr>
              <w:jc w:val="both"/>
              <w:rPr>
                <w:sz w:val="20"/>
                <w:lang w:val="fr-CA"/>
              </w:rPr>
            </w:pPr>
          </w:p>
        </w:tc>
        <w:tc>
          <w:tcPr>
            <w:tcW w:w="267" w:type="pct"/>
          </w:tcPr>
          <w:p w:rsidR="00197F36" w:rsidRPr="006F7A67" w:rsidRDefault="00197F36" w:rsidP="0019255A">
            <w:pPr>
              <w:jc w:val="both"/>
              <w:rPr>
                <w:sz w:val="20"/>
                <w:lang w:val="fr-CA"/>
              </w:rPr>
            </w:pPr>
          </w:p>
        </w:tc>
        <w:tc>
          <w:tcPr>
            <w:tcW w:w="2367" w:type="pct"/>
            <w:gridSpan w:val="2"/>
          </w:tcPr>
          <w:p w:rsidR="00197F36" w:rsidRPr="006F7A67" w:rsidRDefault="00197F36" w:rsidP="0019255A">
            <w:pPr>
              <w:ind w:right="180"/>
              <w:jc w:val="both"/>
              <w:rPr>
                <w:sz w:val="20"/>
                <w:lang w:val="fr-CA"/>
              </w:rPr>
            </w:pPr>
            <w:r w:rsidRPr="006F7A67">
              <w:rPr>
                <w:sz w:val="20"/>
                <w:lang w:val="fr-CA"/>
              </w:rPr>
              <w:t>Rejet de la motion en révision</w:t>
            </w:r>
          </w:p>
          <w:p w:rsidR="00197F36" w:rsidRPr="006F7A67" w:rsidRDefault="00197F36" w:rsidP="0019255A">
            <w:pPr>
              <w:jc w:val="both"/>
              <w:rPr>
                <w:sz w:val="20"/>
                <w:lang w:val="fr-CA"/>
              </w:rPr>
            </w:pPr>
          </w:p>
        </w:tc>
      </w:tr>
      <w:tr w:rsidR="00197F36" w:rsidRPr="00DB0D35" w:rsidTr="0019255A">
        <w:tblPrEx>
          <w:tblCellMar>
            <w:bottom w:w="0" w:type="dxa"/>
          </w:tblCellMar>
        </w:tblPrEx>
        <w:tc>
          <w:tcPr>
            <w:tcW w:w="2366" w:type="pct"/>
          </w:tcPr>
          <w:p w:rsidR="00197F36" w:rsidRPr="006F7A67" w:rsidRDefault="00197F36" w:rsidP="0019255A">
            <w:pPr>
              <w:jc w:val="both"/>
              <w:rPr>
                <w:sz w:val="20"/>
                <w:lang w:val="fr-CA"/>
              </w:rPr>
            </w:pPr>
            <w:r w:rsidRPr="006F7A67">
              <w:rPr>
                <w:sz w:val="20"/>
                <w:lang w:val="fr-CA"/>
              </w:rPr>
              <w:t>13 mai 2019</w:t>
            </w:r>
          </w:p>
          <w:p w:rsidR="00197F36" w:rsidRPr="006F7A67" w:rsidRDefault="00197F36" w:rsidP="0019255A">
            <w:pPr>
              <w:jc w:val="both"/>
              <w:rPr>
                <w:sz w:val="20"/>
                <w:lang w:val="fr-CA"/>
              </w:rPr>
            </w:pPr>
            <w:r w:rsidRPr="006F7A67">
              <w:rPr>
                <w:sz w:val="20"/>
                <w:lang w:val="fr-CA"/>
              </w:rPr>
              <w:t>Cour d’appel de l’Ontario</w:t>
            </w:r>
          </w:p>
          <w:p w:rsidR="00197F36" w:rsidRPr="006F7A67" w:rsidRDefault="00197F36" w:rsidP="0019255A">
            <w:pPr>
              <w:jc w:val="both"/>
              <w:rPr>
                <w:sz w:val="20"/>
                <w:lang w:val="fr-CA"/>
              </w:rPr>
            </w:pPr>
            <w:r w:rsidRPr="006F7A67">
              <w:rPr>
                <w:sz w:val="20"/>
                <w:lang w:val="fr-CA"/>
              </w:rPr>
              <w:t xml:space="preserve">(Juges </w:t>
            </w:r>
            <w:proofErr w:type="spellStart"/>
            <w:r w:rsidRPr="006F7A67">
              <w:rPr>
                <w:sz w:val="20"/>
                <w:lang w:val="fr-CA"/>
              </w:rPr>
              <w:t>Hourigan</w:t>
            </w:r>
            <w:proofErr w:type="spellEnd"/>
            <w:r w:rsidRPr="006F7A67">
              <w:rPr>
                <w:sz w:val="20"/>
                <w:lang w:val="fr-CA"/>
              </w:rPr>
              <w:t xml:space="preserve">, </w:t>
            </w:r>
            <w:proofErr w:type="spellStart"/>
            <w:r w:rsidRPr="006F7A67">
              <w:rPr>
                <w:sz w:val="20"/>
                <w:lang w:val="fr-CA"/>
              </w:rPr>
              <w:t>Paciocco</w:t>
            </w:r>
            <w:proofErr w:type="spellEnd"/>
            <w:r w:rsidRPr="006F7A67">
              <w:rPr>
                <w:sz w:val="20"/>
                <w:lang w:val="fr-CA"/>
              </w:rPr>
              <w:t xml:space="preserve"> et </w:t>
            </w:r>
            <w:proofErr w:type="spellStart"/>
            <w:r w:rsidRPr="006F7A67">
              <w:rPr>
                <w:sz w:val="20"/>
                <w:lang w:val="fr-CA"/>
              </w:rPr>
              <w:t>Harvison</w:t>
            </w:r>
            <w:proofErr w:type="spellEnd"/>
            <w:r w:rsidRPr="006F7A67">
              <w:rPr>
                <w:sz w:val="20"/>
                <w:lang w:val="fr-CA"/>
              </w:rPr>
              <w:t xml:space="preserve"> Young)</w:t>
            </w:r>
          </w:p>
          <w:p w:rsidR="00197F36" w:rsidRPr="006F7A67" w:rsidRDefault="00197F36" w:rsidP="0019255A">
            <w:pPr>
              <w:jc w:val="both"/>
              <w:rPr>
                <w:sz w:val="20"/>
                <w:lang w:val="fr-CA"/>
              </w:rPr>
            </w:pPr>
            <w:r w:rsidRPr="006F7A67">
              <w:rPr>
                <w:sz w:val="20"/>
                <w:lang w:val="fr-CA"/>
              </w:rPr>
              <w:t>M49944</w:t>
            </w:r>
          </w:p>
          <w:p w:rsidR="00197F36" w:rsidRPr="006F7A67" w:rsidRDefault="00197F36" w:rsidP="0019255A">
            <w:pPr>
              <w:jc w:val="both"/>
              <w:rPr>
                <w:sz w:val="20"/>
                <w:lang w:val="fr-CA"/>
              </w:rPr>
            </w:pPr>
          </w:p>
        </w:tc>
        <w:tc>
          <w:tcPr>
            <w:tcW w:w="267" w:type="pct"/>
          </w:tcPr>
          <w:p w:rsidR="00197F36" w:rsidRPr="006F7A67" w:rsidRDefault="00197F36" w:rsidP="0019255A">
            <w:pPr>
              <w:jc w:val="both"/>
              <w:rPr>
                <w:sz w:val="20"/>
                <w:lang w:val="fr-CA"/>
              </w:rPr>
            </w:pPr>
          </w:p>
        </w:tc>
        <w:tc>
          <w:tcPr>
            <w:tcW w:w="2367" w:type="pct"/>
            <w:gridSpan w:val="2"/>
          </w:tcPr>
          <w:p w:rsidR="00197F36" w:rsidRPr="006F7A67" w:rsidRDefault="00197F36" w:rsidP="0019255A">
            <w:pPr>
              <w:jc w:val="both"/>
              <w:rPr>
                <w:sz w:val="20"/>
                <w:lang w:val="fr-CA"/>
              </w:rPr>
            </w:pPr>
            <w:r w:rsidRPr="006F7A67">
              <w:rPr>
                <w:sz w:val="20"/>
                <w:lang w:val="fr-CA"/>
              </w:rPr>
              <w:t>Rejet de la motion en autorisation d’interjeter appel</w:t>
            </w:r>
          </w:p>
        </w:tc>
      </w:tr>
      <w:tr w:rsidR="00197F36" w:rsidRPr="00DB0D35" w:rsidTr="0019255A">
        <w:tblPrEx>
          <w:tblCellMar>
            <w:bottom w:w="0" w:type="dxa"/>
          </w:tblCellMar>
        </w:tblPrEx>
        <w:tc>
          <w:tcPr>
            <w:tcW w:w="2366" w:type="pct"/>
          </w:tcPr>
          <w:p w:rsidR="00197F36" w:rsidRPr="006F7A67" w:rsidRDefault="00197F36" w:rsidP="0019255A">
            <w:pPr>
              <w:jc w:val="both"/>
              <w:rPr>
                <w:sz w:val="20"/>
                <w:lang w:val="fr-CA"/>
              </w:rPr>
            </w:pPr>
            <w:r w:rsidRPr="006F7A67">
              <w:rPr>
                <w:sz w:val="20"/>
                <w:lang w:val="fr-CA"/>
              </w:rPr>
              <w:t>3 septembre 2019</w:t>
            </w:r>
          </w:p>
          <w:p w:rsidR="00197F36" w:rsidRPr="006F7A67" w:rsidRDefault="00197F36" w:rsidP="0019255A">
            <w:pPr>
              <w:jc w:val="both"/>
              <w:rPr>
                <w:sz w:val="20"/>
                <w:lang w:val="fr-CA"/>
              </w:rPr>
            </w:pPr>
            <w:r w:rsidRPr="006F7A67">
              <w:rPr>
                <w:sz w:val="20"/>
                <w:lang w:val="fr-CA"/>
              </w:rPr>
              <w:t>Cour suprême du Canada</w:t>
            </w:r>
          </w:p>
        </w:tc>
        <w:tc>
          <w:tcPr>
            <w:tcW w:w="267" w:type="pct"/>
          </w:tcPr>
          <w:p w:rsidR="00197F36" w:rsidRPr="006F7A67" w:rsidRDefault="00197F36" w:rsidP="0019255A">
            <w:pPr>
              <w:jc w:val="both"/>
              <w:rPr>
                <w:sz w:val="20"/>
                <w:lang w:val="fr-CA"/>
              </w:rPr>
            </w:pPr>
          </w:p>
        </w:tc>
        <w:tc>
          <w:tcPr>
            <w:tcW w:w="2367" w:type="pct"/>
            <w:gridSpan w:val="2"/>
          </w:tcPr>
          <w:p w:rsidR="00197F36" w:rsidRPr="006F7A67" w:rsidRDefault="00197F36" w:rsidP="0019255A">
            <w:pPr>
              <w:jc w:val="both"/>
              <w:rPr>
                <w:sz w:val="20"/>
                <w:lang w:val="fr-CA"/>
              </w:rPr>
            </w:pPr>
            <w:r w:rsidRPr="006F7A67">
              <w:rPr>
                <w:sz w:val="20"/>
                <w:lang w:val="fr-CA"/>
              </w:rPr>
              <w:t>Dépôt de la demande d’autorisation d’appel</w:t>
            </w:r>
          </w:p>
          <w:p w:rsidR="00197F36" w:rsidRPr="006F7A67" w:rsidRDefault="00197F36" w:rsidP="0019255A">
            <w:pPr>
              <w:jc w:val="both"/>
              <w:rPr>
                <w:sz w:val="20"/>
                <w:lang w:val="fr-CA"/>
              </w:rPr>
            </w:pPr>
          </w:p>
        </w:tc>
      </w:tr>
    </w:tbl>
    <w:p w:rsidR="00197F36" w:rsidRPr="006F7A67" w:rsidRDefault="00197F36" w:rsidP="00197F36">
      <w:pPr>
        <w:jc w:val="both"/>
        <w:rPr>
          <w:sz w:val="20"/>
          <w:lang w:val="fr-CA"/>
        </w:rPr>
      </w:pPr>
    </w:p>
    <w:p w:rsidR="00197F36" w:rsidRPr="006F7A67" w:rsidRDefault="00300F06" w:rsidP="00197F36">
      <w:pPr>
        <w:jc w:val="both"/>
        <w:rPr>
          <w:sz w:val="20"/>
          <w:lang w:val="fr-CA"/>
        </w:rPr>
      </w:pPr>
      <w:r>
        <w:rPr>
          <w:sz w:val="20"/>
        </w:rPr>
        <w:pict>
          <v:rect id="_x0000_i1040" style="width:2in;height:1pt" o:hrpct="0" o:hralign="center" o:hrstd="t" o:hrnoshade="t" o:hr="t" fillcolor="black [3213]" stroked="f"/>
        </w:pict>
      </w:r>
    </w:p>
    <w:p w:rsidR="00197F36" w:rsidRPr="006F7A67" w:rsidRDefault="00197F36" w:rsidP="00197F36">
      <w:pPr>
        <w:jc w:val="both"/>
        <w:rPr>
          <w:sz w:val="20"/>
          <w:lang w:val="fr-CA"/>
        </w:rPr>
      </w:pPr>
    </w:p>
    <w:p w:rsidR="001A0C1D" w:rsidRPr="006F7A67" w:rsidRDefault="001A0C1D">
      <w:r w:rsidRPr="006F7A6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38846</w:t>
            </w:r>
          </w:p>
        </w:tc>
        <w:tc>
          <w:tcPr>
            <w:tcW w:w="4457" w:type="pct"/>
            <w:gridSpan w:val="3"/>
          </w:tcPr>
          <w:p w:rsidR="00197F36" w:rsidRPr="006F7A67" w:rsidRDefault="00197F36" w:rsidP="0019255A">
            <w:pPr>
              <w:pStyle w:val="SCCLsocParty"/>
              <w:jc w:val="both"/>
              <w:rPr>
                <w:b/>
                <w:sz w:val="20"/>
                <w:szCs w:val="20"/>
                <w:lang w:val="en-US"/>
              </w:rPr>
            </w:pPr>
            <w:r w:rsidRPr="006F7A67">
              <w:rPr>
                <w:b/>
                <w:sz w:val="20"/>
                <w:szCs w:val="20"/>
                <w:lang w:val="en-US"/>
              </w:rPr>
              <w:t>Human Care Canada Inc. v. Evolution Technologies Inc.</w:t>
            </w:r>
          </w:p>
          <w:p w:rsidR="00197F36" w:rsidRPr="006F7A67" w:rsidRDefault="00197F36" w:rsidP="0019255A">
            <w:pPr>
              <w:jc w:val="both"/>
              <w:rPr>
                <w:sz w:val="20"/>
              </w:rPr>
            </w:pPr>
            <w:r w:rsidRPr="006F7A67">
              <w:rPr>
                <w:sz w:val="20"/>
              </w:rPr>
              <w:t>(F.C.) (Civil) (By Leave)</w:t>
            </w:r>
          </w:p>
        </w:tc>
      </w:tr>
      <w:tr w:rsidR="00C77651" w:rsidRPr="006F7A67" w:rsidTr="0019255A">
        <w:tc>
          <w:tcPr>
            <w:tcW w:w="5000" w:type="pct"/>
            <w:gridSpan w:val="4"/>
          </w:tcPr>
          <w:p w:rsidR="00C77651" w:rsidRPr="006F7A67" w:rsidRDefault="00C77651" w:rsidP="0019255A">
            <w:pPr>
              <w:pStyle w:val="SCCBanSummary0"/>
              <w:rPr>
                <w:smallCaps w:val="0"/>
                <w:sz w:val="20"/>
                <w:szCs w:val="20"/>
              </w:rPr>
            </w:pPr>
            <w:r w:rsidRPr="006F7A67">
              <w:rPr>
                <w:smallCaps w:val="0"/>
                <w:sz w:val="20"/>
                <w:szCs w:val="20"/>
              </w:rPr>
              <w:t>The application for leave to appeal from the judgment of the Federal Court of Appeal, Number A-425-18, 2019 FCA 209, dated July 18, 2019, is dismissed with costs.</w:t>
            </w:r>
          </w:p>
          <w:p w:rsidR="00C77651" w:rsidRPr="006F7A67" w:rsidRDefault="00C77651" w:rsidP="00C77651"/>
        </w:tc>
      </w:tr>
      <w:tr w:rsidR="00197F36" w:rsidRPr="006F7A67" w:rsidTr="0019255A">
        <w:tc>
          <w:tcPr>
            <w:tcW w:w="5000" w:type="pct"/>
            <w:gridSpan w:val="4"/>
          </w:tcPr>
          <w:p w:rsidR="00197F36" w:rsidRPr="006F7A67" w:rsidRDefault="00197F36" w:rsidP="0019255A">
            <w:pPr>
              <w:pStyle w:val="SCCBanSummary0"/>
              <w:rPr>
                <w:sz w:val="20"/>
                <w:szCs w:val="20"/>
              </w:rPr>
            </w:pPr>
            <w:r w:rsidRPr="006F7A67">
              <w:rPr>
                <w:sz w:val="20"/>
                <w:szCs w:val="20"/>
              </w:rPr>
              <w:t>(Publication ban in case) (Sealing order) (Court file contains information that is not available for inspection by the public)</w:t>
            </w:r>
          </w:p>
          <w:p w:rsidR="00197F36" w:rsidRPr="006F7A67" w:rsidRDefault="00197F36" w:rsidP="0019255A">
            <w:pPr>
              <w:jc w:val="both"/>
              <w:rPr>
                <w:sz w:val="20"/>
              </w:rPr>
            </w:pPr>
          </w:p>
          <w:p w:rsidR="00197F36" w:rsidRPr="006F7A67" w:rsidRDefault="00197F36" w:rsidP="0019255A">
            <w:pPr>
              <w:jc w:val="both"/>
              <w:rPr>
                <w:color w:val="000000"/>
                <w:sz w:val="20"/>
              </w:rPr>
            </w:pPr>
            <w:r w:rsidRPr="006F7A67">
              <w:rPr>
                <w:sz w:val="20"/>
              </w:rPr>
              <w:t>Intellectual property — Patents — Claims construction — Trial judge’s decision that patent valid and infringed overturned on appeal — Court of Appeal determining patent not infringed — Does "implicit construction" exist or have any place within Canadian patent law? — W</w:t>
            </w:r>
            <w:r w:rsidRPr="006F7A67">
              <w:rPr>
                <w:color w:val="000000"/>
                <w:sz w:val="20"/>
              </w:rPr>
              <w:t>hat is the appropriate standard of review — and degree of deference to the trier of fact — for claims construction?</w:t>
            </w:r>
          </w:p>
          <w:p w:rsidR="00197F36" w:rsidRPr="006F7A67" w:rsidRDefault="00197F36" w:rsidP="0019255A">
            <w:pPr>
              <w:jc w:val="both"/>
              <w:rPr>
                <w:sz w:val="20"/>
              </w:rPr>
            </w:pPr>
          </w:p>
        </w:tc>
      </w:tr>
      <w:tr w:rsidR="00197F36" w:rsidRPr="006F7A67" w:rsidTr="0019255A">
        <w:tc>
          <w:tcPr>
            <w:tcW w:w="5000" w:type="pct"/>
            <w:gridSpan w:val="4"/>
          </w:tcPr>
          <w:p w:rsidR="00197F36" w:rsidRPr="006F7A67" w:rsidRDefault="00197F36" w:rsidP="0019255A">
            <w:pPr>
              <w:pStyle w:val="paragnum"/>
              <w:spacing w:before="0" w:beforeAutospacing="0" w:after="0" w:afterAutospacing="0"/>
              <w:jc w:val="both"/>
              <w:rPr>
                <w:sz w:val="20"/>
                <w:szCs w:val="20"/>
              </w:rPr>
            </w:pPr>
            <w:r w:rsidRPr="006F7A67">
              <w:rPr>
                <w:sz w:val="20"/>
                <w:szCs w:val="20"/>
                <w:lang w:val="en"/>
              </w:rPr>
              <w:t xml:space="preserve">Evolution Technologies Inc. (“Evolution”) and Human Care Canada Inc., (“Human Care”) both supply mobility aiding devices, including “rollators” or walkers with wheels. Human Care has patented its “Nexus” series of </w:t>
            </w:r>
            <w:proofErr w:type="spellStart"/>
            <w:r w:rsidRPr="006F7A67">
              <w:rPr>
                <w:sz w:val="20"/>
                <w:szCs w:val="20"/>
                <w:lang w:val="en"/>
              </w:rPr>
              <w:t>centre</w:t>
            </w:r>
            <w:proofErr w:type="spellEnd"/>
            <w:r w:rsidRPr="006F7A67">
              <w:rPr>
                <w:sz w:val="20"/>
                <w:szCs w:val="20"/>
                <w:lang w:val="en"/>
              </w:rPr>
              <w:noBreakHyphen/>
              <w:t>folding, solid</w:t>
            </w:r>
            <w:r w:rsidRPr="006F7A67">
              <w:rPr>
                <w:sz w:val="20"/>
                <w:szCs w:val="20"/>
                <w:lang w:val="en"/>
              </w:rPr>
              <w:noBreakHyphen/>
              <w:t>seat rollators. Human Care brought an action in the Federal Court alleging that Evolution’s “</w:t>
            </w:r>
            <w:proofErr w:type="spellStart"/>
            <w:r w:rsidRPr="006F7A67">
              <w:rPr>
                <w:sz w:val="20"/>
                <w:szCs w:val="20"/>
                <w:lang w:val="en"/>
              </w:rPr>
              <w:t>Xpresso</w:t>
            </w:r>
            <w:proofErr w:type="spellEnd"/>
            <w:r w:rsidRPr="006F7A67">
              <w:rPr>
                <w:sz w:val="20"/>
                <w:szCs w:val="20"/>
                <w:lang w:val="en"/>
              </w:rPr>
              <w:t xml:space="preserve">” rollators — also </w:t>
            </w:r>
            <w:proofErr w:type="spellStart"/>
            <w:r w:rsidRPr="006F7A67">
              <w:rPr>
                <w:sz w:val="20"/>
                <w:szCs w:val="20"/>
                <w:lang w:val="en"/>
              </w:rPr>
              <w:t>centre</w:t>
            </w:r>
            <w:proofErr w:type="spellEnd"/>
            <w:r w:rsidRPr="006F7A67">
              <w:rPr>
                <w:sz w:val="20"/>
                <w:szCs w:val="20"/>
                <w:lang w:val="en"/>
              </w:rPr>
              <w:noBreakHyphen/>
              <w:t xml:space="preserve">folding with a solid seat — infringed its patent. Evolution denied infringement and counterclaimed for a declaration of invalidity of the patent. </w:t>
            </w:r>
            <w:r w:rsidRPr="006F7A67">
              <w:rPr>
                <w:sz w:val="20"/>
                <w:szCs w:val="20"/>
              </w:rPr>
              <w:t>The trial judge held that the patent claims were valid and infringed, and ordered Evolution to pay damages. This decision was overturned on appeal.</w:t>
            </w:r>
          </w:p>
        </w:tc>
      </w:tr>
      <w:tr w:rsidR="00197F36" w:rsidRPr="006F7A67" w:rsidTr="0019255A">
        <w:tc>
          <w:tcPr>
            <w:tcW w:w="5000" w:type="pct"/>
            <w:gridSpan w:val="4"/>
          </w:tcPr>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December 21, 2018</w:t>
            </w:r>
          </w:p>
          <w:p w:rsidR="00197F36" w:rsidRPr="006F7A67" w:rsidRDefault="00197F36" w:rsidP="0019255A">
            <w:pPr>
              <w:jc w:val="both"/>
              <w:rPr>
                <w:sz w:val="20"/>
              </w:rPr>
            </w:pPr>
            <w:r w:rsidRPr="006F7A67">
              <w:rPr>
                <w:sz w:val="20"/>
              </w:rPr>
              <w:t>Federal Court</w:t>
            </w:r>
          </w:p>
          <w:p w:rsidR="00197F36" w:rsidRPr="006F7A67" w:rsidRDefault="00197F36" w:rsidP="0019255A">
            <w:pPr>
              <w:jc w:val="both"/>
              <w:rPr>
                <w:sz w:val="20"/>
              </w:rPr>
            </w:pPr>
            <w:r w:rsidRPr="006F7A67">
              <w:rPr>
                <w:sz w:val="20"/>
              </w:rPr>
              <w:t>(Elliott J.)</w:t>
            </w:r>
          </w:p>
          <w:p w:rsidR="00197F36" w:rsidRPr="006F7A67" w:rsidRDefault="00300F06" w:rsidP="0019255A">
            <w:pPr>
              <w:jc w:val="both"/>
              <w:rPr>
                <w:sz w:val="20"/>
              </w:rPr>
            </w:pPr>
            <w:hyperlink r:id="rId41" w:history="1">
              <w:r w:rsidR="00197F36" w:rsidRPr="006F7A67">
                <w:rPr>
                  <w:rStyle w:val="Hyperlink"/>
                  <w:sz w:val="20"/>
                </w:rPr>
                <w:t>2018 FC 1302</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Patent held to be valid and infringed; Applicant awarded damages</w:t>
            </w:r>
          </w:p>
          <w:p w:rsidR="00197F36" w:rsidRPr="006F7A67" w:rsidRDefault="00197F36" w:rsidP="0019255A">
            <w:pPr>
              <w:jc w:val="both"/>
              <w:rPr>
                <w:sz w:val="20"/>
              </w:rPr>
            </w:pPr>
          </w:p>
          <w:p w:rsidR="00197F36" w:rsidRPr="006F7A67" w:rsidRDefault="00197F36" w:rsidP="0019255A">
            <w:pPr>
              <w:jc w:val="both"/>
              <w:rPr>
                <w:sz w:val="20"/>
              </w:rPr>
            </w:pP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July 18, 2019</w:t>
            </w:r>
          </w:p>
          <w:p w:rsidR="00197F36" w:rsidRPr="006F7A67" w:rsidRDefault="00197F36" w:rsidP="0019255A">
            <w:pPr>
              <w:jc w:val="both"/>
              <w:rPr>
                <w:sz w:val="20"/>
              </w:rPr>
            </w:pPr>
            <w:r w:rsidRPr="006F7A67">
              <w:rPr>
                <w:sz w:val="20"/>
              </w:rPr>
              <w:t>Federal Court of Appeal</w:t>
            </w:r>
          </w:p>
          <w:p w:rsidR="00197F36" w:rsidRPr="006F7A67" w:rsidRDefault="00197F36" w:rsidP="0019255A">
            <w:pPr>
              <w:jc w:val="both"/>
              <w:rPr>
                <w:sz w:val="20"/>
              </w:rPr>
            </w:pPr>
            <w:r w:rsidRPr="006F7A67">
              <w:rPr>
                <w:sz w:val="20"/>
              </w:rPr>
              <w:t xml:space="preserve">(Dawson, </w:t>
            </w:r>
            <w:proofErr w:type="spellStart"/>
            <w:r w:rsidRPr="006F7A67">
              <w:rPr>
                <w:sz w:val="20"/>
              </w:rPr>
              <w:t>Stratas</w:t>
            </w:r>
            <w:proofErr w:type="spellEnd"/>
            <w:r w:rsidRPr="006F7A67">
              <w:rPr>
                <w:sz w:val="20"/>
              </w:rPr>
              <w:t xml:space="preserve"> and </w:t>
            </w:r>
            <w:proofErr w:type="spellStart"/>
            <w:r w:rsidRPr="006F7A67">
              <w:rPr>
                <w:sz w:val="20"/>
              </w:rPr>
              <w:t>Laskin</w:t>
            </w:r>
            <w:proofErr w:type="spellEnd"/>
            <w:r w:rsidRPr="006F7A67">
              <w:rPr>
                <w:sz w:val="20"/>
              </w:rPr>
              <w:t xml:space="preserve"> JJ.A.)</w:t>
            </w:r>
          </w:p>
          <w:p w:rsidR="00197F36" w:rsidRPr="006F7A67" w:rsidRDefault="00300F06" w:rsidP="0019255A">
            <w:pPr>
              <w:jc w:val="both"/>
              <w:rPr>
                <w:sz w:val="20"/>
              </w:rPr>
            </w:pPr>
            <w:hyperlink r:id="rId42" w:history="1">
              <w:r w:rsidR="00197F36" w:rsidRPr="006F7A67">
                <w:rPr>
                  <w:rStyle w:val="Hyperlink"/>
                  <w:sz w:val="20"/>
                </w:rPr>
                <w:t>2019 FCA 209</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Respondent’s appeal allowed</w:t>
            </w:r>
          </w:p>
          <w:p w:rsidR="00197F36" w:rsidRPr="006F7A67" w:rsidRDefault="00197F36" w:rsidP="0019255A">
            <w:pPr>
              <w:jc w:val="both"/>
              <w:rPr>
                <w:sz w:val="20"/>
              </w:rPr>
            </w:pP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September 30, 2019</w:t>
            </w:r>
          </w:p>
          <w:p w:rsidR="00197F36" w:rsidRPr="006F7A67" w:rsidRDefault="00197F36" w:rsidP="0019255A">
            <w:pPr>
              <w:jc w:val="both"/>
              <w:rPr>
                <w:sz w:val="20"/>
              </w:rPr>
            </w:pPr>
            <w:r w:rsidRPr="006F7A67">
              <w:rPr>
                <w:sz w:val="20"/>
              </w:rPr>
              <w:t>Supreme Court of Canada</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leave to appeal filed</w:t>
            </w:r>
          </w:p>
          <w:p w:rsidR="00197F36" w:rsidRPr="006F7A67" w:rsidRDefault="00197F36" w:rsidP="0019255A">
            <w:pPr>
              <w:jc w:val="both"/>
              <w:rPr>
                <w:sz w:val="20"/>
              </w:rPr>
            </w:pP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41"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lang w:val="fr-CA"/>
              </w:rPr>
            </w:pPr>
            <w:r w:rsidRPr="006F7A67">
              <w:rPr>
                <w:rStyle w:val="SCCFileNumberChar"/>
                <w:sz w:val="20"/>
                <w:szCs w:val="20"/>
                <w:lang w:val="fr-CA"/>
              </w:rPr>
              <w:t>38846</w:t>
            </w:r>
          </w:p>
        </w:tc>
        <w:tc>
          <w:tcPr>
            <w:tcW w:w="4457" w:type="pct"/>
            <w:gridSpan w:val="3"/>
          </w:tcPr>
          <w:p w:rsidR="00197F36" w:rsidRPr="006F7A67" w:rsidRDefault="00197F36" w:rsidP="0019255A">
            <w:pPr>
              <w:pStyle w:val="SCCLsocParty"/>
              <w:jc w:val="both"/>
              <w:rPr>
                <w:b/>
                <w:sz w:val="20"/>
                <w:szCs w:val="20"/>
                <w:lang w:val="en-US"/>
              </w:rPr>
            </w:pPr>
            <w:r w:rsidRPr="006F7A67">
              <w:rPr>
                <w:b/>
                <w:sz w:val="20"/>
                <w:szCs w:val="20"/>
                <w:lang w:val="en-US"/>
              </w:rPr>
              <w:t>Human Care Canada Inc. c. Evolution Technologies Inc.</w:t>
            </w:r>
          </w:p>
          <w:p w:rsidR="00197F36" w:rsidRPr="006F7A67" w:rsidRDefault="00197F36" w:rsidP="0019255A">
            <w:pPr>
              <w:jc w:val="both"/>
              <w:rPr>
                <w:sz w:val="20"/>
                <w:lang w:val="fr-CA"/>
              </w:rPr>
            </w:pPr>
            <w:r w:rsidRPr="006F7A67">
              <w:rPr>
                <w:sz w:val="20"/>
                <w:lang w:val="fr-CA"/>
              </w:rPr>
              <w:t>(C.F.) (Civile) (Autorisation)</w:t>
            </w:r>
          </w:p>
        </w:tc>
      </w:tr>
      <w:tr w:rsidR="00C77651" w:rsidRPr="00DB0D35" w:rsidTr="0019255A">
        <w:tc>
          <w:tcPr>
            <w:tcW w:w="5000" w:type="pct"/>
            <w:gridSpan w:val="4"/>
          </w:tcPr>
          <w:p w:rsidR="00C77651" w:rsidRPr="006F7A67" w:rsidRDefault="00C77651" w:rsidP="0019255A">
            <w:pPr>
              <w:pStyle w:val="SCCBanSummary0"/>
              <w:rPr>
                <w:smallCaps w:val="0"/>
                <w:sz w:val="20"/>
                <w:szCs w:val="20"/>
                <w:lang w:val="fr-CA"/>
              </w:rPr>
            </w:pPr>
            <w:r w:rsidRPr="006F7A67">
              <w:rPr>
                <w:smallCaps w:val="0"/>
                <w:sz w:val="20"/>
                <w:szCs w:val="20"/>
                <w:lang w:val="fr-CA"/>
              </w:rPr>
              <w:t xml:space="preserve">La demande d’autorisation d’appel de l’arrêt de la </w:t>
            </w:r>
            <w:r w:rsidRPr="006F7A67">
              <w:rPr>
                <w:smallCaps w:val="0"/>
                <w:sz w:val="20"/>
                <w:szCs w:val="20"/>
                <w:lang w:val="fr-FR"/>
              </w:rPr>
              <w:t>Cour d’appel fédérale</w:t>
            </w:r>
            <w:r w:rsidRPr="006F7A67">
              <w:rPr>
                <w:smallCaps w:val="0"/>
                <w:sz w:val="20"/>
                <w:szCs w:val="20"/>
                <w:lang w:val="fr-CA"/>
              </w:rPr>
              <w:t>, numéro</w:t>
            </w:r>
            <w:r w:rsidRPr="006F7A67">
              <w:rPr>
                <w:smallCaps w:val="0"/>
                <w:sz w:val="20"/>
                <w:szCs w:val="20"/>
                <w:lang w:val="fr-FR"/>
              </w:rPr>
              <w:t xml:space="preserve"> A-425-18</w:t>
            </w:r>
            <w:r w:rsidRPr="006F7A67">
              <w:rPr>
                <w:smallCaps w:val="0"/>
                <w:sz w:val="20"/>
                <w:szCs w:val="20"/>
                <w:lang w:val="fr-CA"/>
              </w:rPr>
              <w:t xml:space="preserve">, </w:t>
            </w:r>
            <w:r w:rsidRPr="006F7A67">
              <w:rPr>
                <w:smallCaps w:val="0"/>
                <w:sz w:val="20"/>
                <w:szCs w:val="20"/>
                <w:lang w:val="fr-FR"/>
              </w:rPr>
              <w:t xml:space="preserve">2019 FCA 209, </w:t>
            </w:r>
            <w:r w:rsidRPr="006F7A67">
              <w:rPr>
                <w:smallCaps w:val="0"/>
                <w:sz w:val="20"/>
                <w:szCs w:val="20"/>
                <w:lang w:val="fr-CA"/>
              </w:rPr>
              <w:t xml:space="preserve">daté du </w:t>
            </w:r>
            <w:r w:rsidRPr="006F7A67">
              <w:rPr>
                <w:smallCaps w:val="0"/>
                <w:sz w:val="20"/>
                <w:szCs w:val="20"/>
                <w:lang w:val="fr-FR"/>
              </w:rPr>
              <w:t>18 juillet 2019</w:t>
            </w:r>
            <w:r w:rsidRPr="006F7A67">
              <w:rPr>
                <w:smallCaps w:val="0"/>
                <w:sz w:val="20"/>
                <w:szCs w:val="20"/>
                <w:lang w:val="fr-CA"/>
              </w:rPr>
              <w:t>, est rejetée avec dépens.</w:t>
            </w:r>
          </w:p>
          <w:p w:rsidR="00C77651" w:rsidRPr="006F7A67" w:rsidRDefault="00C77651" w:rsidP="00C77651">
            <w:pPr>
              <w:rPr>
                <w:lang w:val="fr-CA"/>
              </w:rPr>
            </w:pPr>
          </w:p>
        </w:tc>
      </w:tr>
      <w:tr w:rsidR="00197F36" w:rsidRPr="00DB0D35" w:rsidTr="0019255A">
        <w:tc>
          <w:tcPr>
            <w:tcW w:w="5000" w:type="pct"/>
            <w:gridSpan w:val="4"/>
          </w:tcPr>
          <w:p w:rsidR="00197F36" w:rsidRPr="006F7A67" w:rsidRDefault="00197F36" w:rsidP="0019255A">
            <w:pPr>
              <w:pStyle w:val="SCCBanSummary0"/>
              <w:rPr>
                <w:sz w:val="20"/>
                <w:szCs w:val="20"/>
                <w:lang w:val="fr-CA"/>
              </w:rPr>
            </w:pPr>
            <w:r w:rsidRPr="006F7A67">
              <w:rPr>
                <w:sz w:val="20"/>
                <w:szCs w:val="20"/>
                <w:lang w:val="fr-CA"/>
              </w:rPr>
              <w:t>(Ordonnance de non</w:t>
            </w:r>
            <w:r w:rsidRPr="006F7A67">
              <w:rPr>
                <w:sz w:val="20"/>
                <w:szCs w:val="20"/>
                <w:lang w:val="fr-CA"/>
              </w:rPr>
              <w:noBreakHyphen/>
              <w:t>publication dans le dossier) (Ordonnance de mise sous scellés) (Le dossier de la Cour renferme des données que le public n’est pas autorisé à consulter)</w:t>
            </w:r>
          </w:p>
          <w:p w:rsidR="00197F36" w:rsidRPr="006F7A67" w:rsidRDefault="00197F36" w:rsidP="0019255A">
            <w:pPr>
              <w:jc w:val="both"/>
              <w:rPr>
                <w:sz w:val="20"/>
                <w:lang w:val="fr-CA"/>
              </w:rPr>
            </w:pPr>
          </w:p>
          <w:p w:rsidR="00197F36" w:rsidRPr="006F7A67" w:rsidRDefault="00197F36" w:rsidP="0019255A">
            <w:pPr>
              <w:jc w:val="both"/>
              <w:rPr>
                <w:color w:val="000000"/>
                <w:sz w:val="20"/>
                <w:lang w:val="fr-CA"/>
              </w:rPr>
            </w:pPr>
            <w:r w:rsidRPr="006F7A67">
              <w:rPr>
                <w:sz w:val="20"/>
                <w:lang w:val="fr-CA"/>
              </w:rPr>
              <w:t>Propriété intellectuelle — Brevets — Interprétation des revendications — La décision de la juge de première instance concluant à la validité et à la contrefaçon du brevet a été infirmée en appel — La Cour d’appel a conclu qu’il n’y avait aucune contrefaçon du brevet — La notion d’ « interprétation implicite » existe</w:t>
            </w:r>
            <w:r w:rsidRPr="006F7A67">
              <w:rPr>
                <w:sz w:val="20"/>
                <w:lang w:val="fr-CA"/>
              </w:rPr>
              <w:noBreakHyphen/>
              <w:t>t</w:t>
            </w:r>
            <w:r w:rsidRPr="006F7A67">
              <w:rPr>
                <w:sz w:val="20"/>
                <w:lang w:val="fr-CA"/>
              </w:rPr>
              <w:noBreakHyphen/>
              <w:t>elle en droit canadien des brevets ou y a</w:t>
            </w:r>
            <w:r w:rsidRPr="006F7A67">
              <w:rPr>
                <w:sz w:val="20"/>
                <w:lang w:val="fr-CA"/>
              </w:rPr>
              <w:noBreakHyphen/>
              <w:t>t</w:t>
            </w:r>
            <w:r w:rsidRPr="006F7A67">
              <w:rPr>
                <w:sz w:val="20"/>
                <w:lang w:val="fr-CA"/>
              </w:rPr>
              <w:noBreakHyphen/>
              <w:t>elle une place? — Quelle est la norme de contrôle appropriée</w:t>
            </w:r>
            <w:r w:rsidRPr="006F7A67">
              <w:rPr>
                <w:color w:val="000000"/>
                <w:sz w:val="20"/>
                <w:lang w:val="fr-CA"/>
              </w:rPr>
              <w:t xml:space="preserve"> — et le degré de déférence envers la juge des faits dont il convient de faire preuve — en matière d’interprétation des revendications?</w:t>
            </w:r>
          </w:p>
          <w:p w:rsidR="00197F36" w:rsidRPr="006F7A67" w:rsidRDefault="00197F36" w:rsidP="0019255A">
            <w:pPr>
              <w:jc w:val="both"/>
              <w:rPr>
                <w:sz w:val="20"/>
                <w:lang w:val="fr-CA"/>
              </w:rPr>
            </w:pPr>
          </w:p>
        </w:tc>
      </w:tr>
      <w:tr w:rsidR="00197F36" w:rsidRPr="006F7A67" w:rsidTr="0019255A">
        <w:tc>
          <w:tcPr>
            <w:tcW w:w="5000" w:type="pct"/>
            <w:gridSpan w:val="4"/>
          </w:tcPr>
          <w:p w:rsidR="00197F36" w:rsidRPr="006F7A67" w:rsidRDefault="00197F36" w:rsidP="0019255A">
            <w:pPr>
              <w:pStyle w:val="paragnum"/>
              <w:spacing w:before="0" w:beforeAutospacing="0" w:after="0" w:afterAutospacing="0"/>
              <w:jc w:val="both"/>
              <w:rPr>
                <w:sz w:val="20"/>
                <w:szCs w:val="20"/>
                <w:lang w:val="fr-CA"/>
              </w:rPr>
            </w:pPr>
            <w:r w:rsidRPr="006F7A67">
              <w:rPr>
                <w:sz w:val="20"/>
                <w:szCs w:val="20"/>
                <w:lang w:val="fr-CA"/>
              </w:rPr>
              <w:t>Evolution Technologies Inc. (« Evolution ») et Human Care Canada Inc., (« Human Care ») fournissent toutes les deux des dispositifs d’aide au déplacement, y compris des « déambulateurs », ou marchettes munies de roulettes. Human Care a breveté sa série « Nexus » de déambulateurs à siège rigide et à pliage central. Human Care a intenté une action en Cour fédérale, alléguant que les déambulateurs « </w:t>
            </w:r>
            <w:proofErr w:type="spellStart"/>
            <w:r w:rsidRPr="006F7A67">
              <w:rPr>
                <w:sz w:val="20"/>
                <w:szCs w:val="20"/>
                <w:lang w:val="fr-CA"/>
              </w:rPr>
              <w:t>Xpresso</w:t>
            </w:r>
            <w:proofErr w:type="spellEnd"/>
            <w:r w:rsidRPr="006F7A67">
              <w:rPr>
                <w:sz w:val="20"/>
                <w:szCs w:val="20"/>
                <w:lang w:val="fr-CA"/>
              </w:rPr>
              <w:t xml:space="preserve"> » d’Evolution — qui </w:t>
            </w:r>
            <w:proofErr w:type="gramStart"/>
            <w:r w:rsidRPr="006F7A67">
              <w:rPr>
                <w:sz w:val="20"/>
                <w:szCs w:val="20"/>
                <w:lang w:val="fr-CA"/>
              </w:rPr>
              <w:t>sont</w:t>
            </w:r>
            <w:proofErr w:type="gramEnd"/>
            <w:r w:rsidRPr="006F7A67">
              <w:rPr>
                <w:sz w:val="20"/>
                <w:szCs w:val="20"/>
                <w:lang w:val="fr-CA"/>
              </w:rPr>
              <w:t xml:space="preserve"> eux aussi à pliage central et à siège rigide — avaient contrefait son brevet. Evolution a nié la contrefaçon et a introduit une demande reconventionnelle pour obtenir un jugement déclarant l’invalidité du brevet. La juge de première instance a statué que les revendications du brevet étaient valides et qu’elles avaient été contrefaites, et a condamné Evolution à des dommages</w:t>
            </w:r>
            <w:r w:rsidRPr="006F7A67">
              <w:rPr>
                <w:sz w:val="20"/>
                <w:szCs w:val="20"/>
                <w:lang w:val="fr-CA"/>
              </w:rPr>
              <w:noBreakHyphen/>
              <w:t>intérêts. Cette décision a été infirmée en appel.</w:t>
            </w:r>
          </w:p>
        </w:tc>
      </w:tr>
      <w:tr w:rsidR="00197F36" w:rsidRPr="006F7A67" w:rsidTr="0019255A">
        <w:tc>
          <w:tcPr>
            <w:tcW w:w="5000" w:type="pct"/>
            <w:gridSpan w:val="4"/>
          </w:tcPr>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21 décembre 2018</w:t>
            </w:r>
          </w:p>
          <w:p w:rsidR="00197F36" w:rsidRPr="006F7A67" w:rsidRDefault="00197F36" w:rsidP="0019255A">
            <w:pPr>
              <w:jc w:val="both"/>
              <w:rPr>
                <w:sz w:val="20"/>
                <w:lang w:val="fr-CA"/>
              </w:rPr>
            </w:pPr>
            <w:r w:rsidRPr="006F7A67">
              <w:rPr>
                <w:sz w:val="20"/>
                <w:lang w:val="fr-CA"/>
              </w:rPr>
              <w:t>Cour fédérale</w:t>
            </w:r>
          </w:p>
          <w:p w:rsidR="00197F36" w:rsidRPr="006F7A67" w:rsidRDefault="00197F36" w:rsidP="0019255A">
            <w:pPr>
              <w:jc w:val="both"/>
              <w:rPr>
                <w:sz w:val="20"/>
                <w:lang w:val="fr-CA"/>
              </w:rPr>
            </w:pPr>
            <w:r w:rsidRPr="006F7A67">
              <w:rPr>
                <w:sz w:val="20"/>
                <w:lang w:val="fr-CA"/>
              </w:rPr>
              <w:t>(Juge Elliott)</w:t>
            </w:r>
          </w:p>
          <w:p w:rsidR="00197F36" w:rsidRPr="006F7A67" w:rsidRDefault="00300F06" w:rsidP="0019255A">
            <w:pPr>
              <w:jc w:val="both"/>
              <w:rPr>
                <w:sz w:val="20"/>
                <w:lang w:val="fr-CA"/>
              </w:rPr>
            </w:pPr>
            <w:hyperlink r:id="rId43" w:history="1">
              <w:r w:rsidR="00197F36" w:rsidRPr="006F7A67">
                <w:rPr>
                  <w:rStyle w:val="Hyperlink"/>
                  <w:sz w:val="20"/>
                  <w:lang w:val="fr-CA"/>
                </w:rPr>
                <w:t>2018 CF 1302</w:t>
              </w:r>
            </w:hyperlink>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Jugement statuant que les revendications du brevet étaient valides et qu’elles avaient été contrefaites, et condamnant l’intimée à des dommages</w:t>
            </w:r>
            <w:r w:rsidRPr="006F7A67">
              <w:rPr>
                <w:sz w:val="20"/>
                <w:lang w:val="fr-CA"/>
              </w:rPr>
              <w:noBreakHyphen/>
              <w:t>intérêts</w:t>
            </w:r>
          </w:p>
          <w:p w:rsidR="00197F36" w:rsidRPr="006F7A67" w:rsidRDefault="00197F36" w:rsidP="0019255A">
            <w:pPr>
              <w:jc w:val="both"/>
              <w:rPr>
                <w:sz w:val="20"/>
                <w:lang w:val="fr-CA"/>
              </w:rPr>
            </w:pPr>
          </w:p>
          <w:p w:rsidR="00197F36" w:rsidRPr="006F7A67" w:rsidRDefault="00197F36" w:rsidP="0019255A">
            <w:pPr>
              <w:jc w:val="both"/>
              <w:rPr>
                <w:sz w:val="20"/>
                <w:lang w:val="fr-CA"/>
              </w:rPr>
            </w:pPr>
          </w:p>
        </w:tc>
      </w:tr>
      <w:tr w:rsidR="00197F36" w:rsidRPr="006F7A67" w:rsidTr="0019255A">
        <w:tc>
          <w:tcPr>
            <w:tcW w:w="2427" w:type="pct"/>
            <w:gridSpan w:val="2"/>
          </w:tcPr>
          <w:p w:rsidR="00197F36" w:rsidRPr="006F7A67" w:rsidRDefault="00197F36" w:rsidP="0019255A">
            <w:pPr>
              <w:jc w:val="both"/>
              <w:rPr>
                <w:sz w:val="20"/>
                <w:lang w:val="fr-CA"/>
              </w:rPr>
            </w:pPr>
            <w:r w:rsidRPr="006F7A67">
              <w:rPr>
                <w:sz w:val="20"/>
                <w:lang w:val="fr-CA"/>
              </w:rPr>
              <w:t>18 juillet 2019</w:t>
            </w:r>
          </w:p>
          <w:p w:rsidR="00197F36" w:rsidRPr="006F7A67" w:rsidRDefault="00197F36" w:rsidP="0019255A">
            <w:pPr>
              <w:jc w:val="both"/>
              <w:rPr>
                <w:sz w:val="20"/>
                <w:lang w:val="fr-CA"/>
              </w:rPr>
            </w:pPr>
            <w:r w:rsidRPr="006F7A67">
              <w:rPr>
                <w:sz w:val="20"/>
                <w:lang w:val="fr-CA"/>
              </w:rPr>
              <w:t>Cour d’appel fédérale</w:t>
            </w:r>
          </w:p>
          <w:p w:rsidR="00197F36" w:rsidRPr="006F7A67" w:rsidRDefault="00197F36" w:rsidP="0019255A">
            <w:pPr>
              <w:jc w:val="both"/>
              <w:rPr>
                <w:sz w:val="20"/>
                <w:lang w:val="fr-CA"/>
              </w:rPr>
            </w:pPr>
            <w:r w:rsidRPr="006F7A67">
              <w:rPr>
                <w:sz w:val="20"/>
                <w:lang w:val="fr-CA"/>
              </w:rPr>
              <w:t xml:space="preserve">(Juges Dawson, </w:t>
            </w:r>
            <w:proofErr w:type="spellStart"/>
            <w:r w:rsidRPr="006F7A67">
              <w:rPr>
                <w:sz w:val="20"/>
                <w:lang w:val="fr-CA"/>
              </w:rPr>
              <w:t>Stratas</w:t>
            </w:r>
            <w:proofErr w:type="spellEnd"/>
            <w:r w:rsidRPr="006F7A67">
              <w:rPr>
                <w:sz w:val="20"/>
                <w:lang w:val="fr-CA"/>
              </w:rPr>
              <w:t xml:space="preserve"> et </w:t>
            </w:r>
            <w:proofErr w:type="spellStart"/>
            <w:r w:rsidRPr="006F7A67">
              <w:rPr>
                <w:sz w:val="20"/>
                <w:lang w:val="fr-CA"/>
              </w:rPr>
              <w:t>Laskin</w:t>
            </w:r>
            <w:proofErr w:type="spellEnd"/>
            <w:r w:rsidRPr="006F7A67">
              <w:rPr>
                <w:sz w:val="20"/>
                <w:lang w:val="fr-CA"/>
              </w:rPr>
              <w:t>)</w:t>
            </w:r>
          </w:p>
          <w:p w:rsidR="00197F36" w:rsidRPr="006F7A67" w:rsidRDefault="00300F06" w:rsidP="0019255A">
            <w:pPr>
              <w:jc w:val="both"/>
              <w:rPr>
                <w:sz w:val="20"/>
                <w:lang w:val="fr-CA"/>
              </w:rPr>
            </w:pPr>
            <w:hyperlink r:id="rId44" w:history="1">
              <w:r w:rsidR="00197F36" w:rsidRPr="006F7A67">
                <w:rPr>
                  <w:rStyle w:val="Hyperlink"/>
                  <w:sz w:val="20"/>
                  <w:lang w:val="fr-CA"/>
                </w:rPr>
                <w:t>2019 FCA 209</w:t>
              </w:r>
            </w:hyperlink>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Arrêt accueillant l’appel de l’intimée</w:t>
            </w:r>
          </w:p>
          <w:p w:rsidR="00197F36" w:rsidRPr="006F7A67" w:rsidRDefault="00197F36" w:rsidP="0019255A">
            <w:pPr>
              <w:jc w:val="both"/>
              <w:rPr>
                <w:sz w:val="20"/>
                <w:lang w:val="fr-CA"/>
              </w:rPr>
            </w:pPr>
          </w:p>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30 septembre 2019</w:t>
            </w:r>
          </w:p>
          <w:p w:rsidR="00197F36" w:rsidRPr="006F7A67" w:rsidRDefault="00197F36" w:rsidP="0019255A">
            <w:pPr>
              <w:jc w:val="both"/>
              <w:rPr>
                <w:sz w:val="20"/>
                <w:lang w:val="fr-CA"/>
              </w:rPr>
            </w:pPr>
            <w:r w:rsidRPr="006F7A67">
              <w:rPr>
                <w:sz w:val="20"/>
                <w:lang w:val="fr-CA"/>
              </w:rPr>
              <w:t>Cour suprême du Canada</w:t>
            </w: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Dépôt de la demande d’autorisation d’appel</w:t>
            </w:r>
          </w:p>
          <w:p w:rsidR="00197F36" w:rsidRPr="006F7A67" w:rsidRDefault="00197F36" w:rsidP="0019255A">
            <w:pPr>
              <w:jc w:val="both"/>
              <w:rPr>
                <w:sz w:val="20"/>
                <w:lang w:val="fr-CA"/>
              </w:rPr>
            </w:pPr>
          </w:p>
        </w:tc>
      </w:tr>
    </w:tbl>
    <w:p w:rsidR="00197F36" w:rsidRPr="006F7A67" w:rsidRDefault="00197F36" w:rsidP="00197F36">
      <w:pPr>
        <w:jc w:val="both"/>
        <w:rPr>
          <w:sz w:val="20"/>
          <w:lang w:val="fr-CA"/>
        </w:rPr>
      </w:pPr>
    </w:p>
    <w:p w:rsidR="00197F36" w:rsidRPr="006F7A67" w:rsidRDefault="00300F06" w:rsidP="00197F36">
      <w:pPr>
        <w:jc w:val="both"/>
        <w:rPr>
          <w:sz w:val="20"/>
          <w:lang w:val="fr-CA"/>
        </w:rPr>
      </w:pPr>
      <w:r>
        <w:rPr>
          <w:sz w:val="20"/>
        </w:rPr>
        <w:pict>
          <v:rect id="_x0000_i1042" style="width:2in;height:1pt" o:hrpct="0" o:hralign="center" o:hrstd="t" o:hrnoshade="t" o:hr="t" fillcolor="black [3213]" stroked="f"/>
        </w:pict>
      </w:r>
    </w:p>
    <w:p w:rsidR="00197F36" w:rsidRPr="006F7A67" w:rsidRDefault="00197F36" w:rsidP="00197F3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38969</w:t>
            </w:r>
          </w:p>
        </w:tc>
        <w:tc>
          <w:tcPr>
            <w:tcW w:w="4457" w:type="pct"/>
            <w:gridSpan w:val="3"/>
          </w:tcPr>
          <w:p w:rsidR="00197F36" w:rsidRPr="006F7A67" w:rsidRDefault="00197F36" w:rsidP="0019255A">
            <w:pPr>
              <w:pStyle w:val="SCCLsocParty"/>
              <w:jc w:val="both"/>
              <w:rPr>
                <w:b/>
                <w:sz w:val="20"/>
                <w:szCs w:val="20"/>
                <w:lang w:val="en-US"/>
              </w:rPr>
            </w:pPr>
            <w:r w:rsidRPr="006F7A67">
              <w:rPr>
                <w:b/>
                <w:sz w:val="20"/>
                <w:szCs w:val="20"/>
                <w:lang w:val="en-US"/>
              </w:rPr>
              <w:t>Alex Beseiso v. Her Majesty the Queen</w:t>
            </w:r>
          </w:p>
          <w:p w:rsidR="00197F36" w:rsidRPr="006F7A67" w:rsidRDefault="00197F36" w:rsidP="0019255A">
            <w:pPr>
              <w:jc w:val="both"/>
              <w:rPr>
                <w:sz w:val="20"/>
              </w:rPr>
            </w:pPr>
            <w:r w:rsidRPr="006F7A67">
              <w:rPr>
                <w:sz w:val="20"/>
              </w:rPr>
              <w:t>(Ont.) (Criminal) (By Leave)</w:t>
            </w:r>
          </w:p>
        </w:tc>
      </w:tr>
      <w:tr w:rsidR="009E462F" w:rsidRPr="006F7A67" w:rsidTr="0019255A">
        <w:tc>
          <w:tcPr>
            <w:tcW w:w="5000" w:type="pct"/>
            <w:gridSpan w:val="4"/>
          </w:tcPr>
          <w:p w:rsidR="009E462F" w:rsidRPr="006F7A67" w:rsidRDefault="009E462F" w:rsidP="009E462F">
            <w:pPr>
              <w:jc w:val="both"/>
              <w:rPr>
                <w:sz w:val="20"/>
                <w:szCs w:val="20"/>
              </w:rPr>
            </w:pPr>
            <w:r w:rsidRPr="006F7A67">
              <w:rPr>
                <w:sz w:val="20"/>
                <w:szCs w:val="20"/>
              </w:rPr>
              <w:t>The application for leave to appeal from the judgment of the Court of Appeal for Ontario, Number M50087, 2019 ONCA 707, dated September 10, 2019, is dismissed.</w:t>
            </w:r>
          </w:p>
          <w:p w:rsidR="009E462F" w:rsidRPr="006F7A67" w:rsidRDefault="009E462F" w:rsidP="0019255A">
            <w:pPr>
              <w:jc w:val="both"/>
              <w:rPr>
                <w:sz w:val="20"/>
              </w:rPr>
            </w:pPr>
          </w:p>
        </w:tc>
      </w:tr>
      <w:tr w:rsidR="00197F36" w:rsidRPr="006F7A67" w:rsidTr="0019255A">
        <w:tc>
          <w:tcPr>
            <w:tcW w:w="5000" w:type="pct"/>
            <w:gridSpan w:val="4"/>
          </w:tcPr>
          <w:p w:rsidR="00197F36" w:rsidRPr="006F7A67" w:rsidRDefault="00197F36" w:rsidP="0019255A">
            <w:pPr>
              <w:jc w:val="both"/>
              <w:rPr>
                <w:sz w:val="20"/>
              </w:rPr>
            </w:pPr>
            <w:r w:rsidRPr="006F7A67">
              <w:rPr>
                <w:sz w:val="20"/>
              </w:rPr>
              <w:t>Criminal law — Appeals — Applicant convicted of criminal harassment, uttering threats and causing a disturbance — Applicant’s appeal dismissed — Whether the lower courts erred —Whether there are any issues of public importance raised.</w:t>
            </w:r>
          </w:p>
        </w:tc>
      </w:tr>
      <w:tr w:rsidR="00197F36" w:rsidRPr="006F7A67" w:rsidTr="0019255A">
        <w:tc>
          <w:tcPr>
            <w:tcW w:w="5000" w:type="pct"/>
            <w:gridSpan w:val="4"/>
          </w:tcPr>
          <w:p w:rsidR="00197F36" w:rsidRPr="006F7A67" w:rsidRDefault="00197F36" w:rsidP="0019255A">
            <w:pPr>
              <w:jc w:val="both"/>
              <w:rPr>
                <w:sz w:val="20"/>
              </w:rPr>
            </w:pPr>
          </w:p>
        </w:tc>
      </w:tr>
      <w:tr w:rsidR="00197F36" w:rsidRPr="006F7A67" w:rsidTr="0019255A">
        <w:tc>
          <w:tcPr>
            <w:tcW w:w="5000" w:type="pct"/>
            <w:gridSpan w:val="4"/>
          </w:tcPr>
          <w:p w:rsidR="00197F36" w:rsidRPr="006F7A67" w:rsidRDefault="00197F36" w:rsidP="0019255A">
            <w:pPr>
              <w:jc w:val="both"/>
              <w:rPr>
                <w:sz w:val="20"/>
              </w:rPr>
            </w:pPr>
            <w:r w:rsidRPr="006F7A67">
              <w:rPr>
                <w:sz w:val="20"/>
              </w:rPr>
              <w:t>The applicant contracted with a registered court transcriptionist for her to prepare transcripts of a real estate tribunal matter for him. When it was time to pay, the applicant got upset that H.S.T. had been included on the invoice. The applicant contacted her by telephone, and then sent her a number of text messages which stated that he was going to her home office. The applicant called the police and told them that he was going to the court transcriptionist’s home office and that there would be trouble if the police did not attend. She also called the police and the police arrived shortly afterwards at her home office. The police asked the applicant to leave, but he refused to do so, and he continued to launch profanities. The police arrested the applicant. The applicant was convicted of criminal harassment, uttering threats, and causing a disturbance. His summary conviction appeal was dismissed.</w:t>
            </w:r>
          </w:p>
        </w:tc>
      </w:tr>
      <w:tr w:rsidR="00197F36" w:rsidRPr="006F7A67" w:rsidTr="0019255A">
        <w:tc>
          <w:tcPr>
            <w:tcW w:w="5000" w:type="pct"/>
            <w:gridSpan w:val="4"/>
          </w:tcPr>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November 28, 2017</w:t>
            </w:r>
          </w:p>
          <w:p w:rsidR="00197F36" w:rsidRPr="006F7A67" w:rsidRDefault="00197F36" w:rsidP="0019255A">
            <w:pPr>
              <w:jc w:val="both"/>
              <w:rPr>
                <w:sz w:val="20"/>
              </w:rPr>
            </w:pPr>
            <w:r w:rsidRPr="006F7A67">
              <w:rPr>
                <w:sz w:val="20"/>
              </w:rPr>
              <w:t>Ontario Court of Justice</w:t>
            </w:r>
          </w:p>
          <w:p w:rsidR="00197F36" w:rsidRPr="006F7A67" w:rsidRDefault="00197F36" w:rsidP="0019255A">
            <w:pPr>
              <w:jc w:val="both"/>
              <w:rPr>
                <w:sz w:val="20"/>
              </w:rPr>
            </w:pPr>
            <w:r w:rsidRPr="006F7A67">
              <w:rPr>
                <w:sz w:val="20"/>
              </w:rPr>
              <w:t>(Cooper J.)</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Convictions: criminal harassment, uttering threats and causing a disturbance</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November 26, 2018</w:t>
            </w:r>
          </w:p>
          <w:p w:rsidR="00197F36" w:rsidRPr="006F7A67" w:rsidRDefault="00197F36" w:rsidP="0019255A">
            <w:pPr>
              <w:jc w:val="both"/>
              <w:rPr>
                <w:sz w:val="20"/>
              </w:rPr>
            </w:pPr>
            <w:r w:rsidRPr="006F7A67">
              <w:rPr>
                <w:sz w:val="20"/>
              </w:rPr>
              <w:t>Ontario Superior Court of Justice</w:t>
            </w:r>
          </w:p>
          <w:p w:rsidR="00197F36" w:rsidRPr="006F7A67" w:rsidRDefault="00197F36" w:rsidP="0019255A">
            <w:pPr>
              <w:jc w:val="both"/>
              <w:rPr>
                <w:sz w:val="20"/>
              </w:rPr>
            </w:pPr>
            <w:r w:rsidRPr="006F7A67">
              <w:rPr>
                <w:sz w:val="20"/>
              </w:rPr>
              <w:t>(D.E. Harris J.)</w:t>
            </w:r>
          </w:p>
          <w:p w:rsidR="00197F36" w:rsidRPr="006F7A67" w:rsidRDefault="00300F06" w:rsidP="0019255A">
            <w:pPr>
              <w:jc w:val="both"/>
              <w:rPr>
                <w:sz w:val="20"/>
              </w:rPr>
            </w:pPr>
            <w:hyperlink r:id="rId45" w:history="1">
              <w:r w:rsidR="00197F36" w:rsidRPr="006F7A67">
                <w:rPr>
                  <w:rStyle w:val="Hyperlink"/>
                  <w:sz w:val="20"/>
                </w:rPr>
                <w:t>2018 ONSC 7074</w:t>
              </w:r>
            </w:hyperlink>
            <w:r w:rsidR="00197F36" w:rsidRPr="006F7A67">
              <w:rPr>
                <w:sz w:val="20"/>
              </w:rPr>
              <w:t xml:space="preserve"> </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p>
          <w:p w:rsidR="00197F36" w:rsidRPr="006F7A67" w:rsidRDefault="00197F36" w:rsidP="0019255A">
            <w:pPr>
              <w:jc w:val="both"/>
              <w:rPr>
                <w:sz w:val="20"/>
              </w:rPr>
            </w:pPr>
            <w:r w:rsidRPr="006F7A67">
              <w:rPr>
                <w:sz w:val="20"/>
              </w:rPr>
              <w:t>Appeal dismissed</w:t>
            </w:r>
          </w:p>
        </w:tc>
      </w:tr>
      <w:tr w:rsidR="00197F36" w:rsidRPr="006F7A67" w:rsidTr="0019255A">
        <w:tc>
          <w:tcPr>
            <w:tcW w:w="2427" w:type="pct"/>
            <w:gridSpan w:val="2"/>
          </w:tcPr>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September 10, 2019</w:t>
            </w:r>
          </w:p>
          <w:p w:rsidR="00197F36" w:rsidRPr="006F7A67" w:rsidRDefault="00197F36" w:rsidP="0019255A">
            <w:pPr>
              <w:jc w:val="both"/>
              <w:rPr>
                <w:sz w:val="20"/>
              </w:rPr>
            </w:pPr>
            <w:r w:rsidRPr="006F7A67">
              <w:rPr>
                <w:sz w:val="20"/>
              </w:rPr>
              <w:t>Court of Appeal for Ontario</w:t>
            </w:r>
          </w:p>
          <w:p w:rsidR="00197F36" w:rsidRPr="006F7A67" w:rsidRDefault="00197F36" w:rsidP="0019255A">
            <w:pPr>
              <w:jc w:val="both"/>
              <w:rPr>
                <w:sz w:val="20"/>
                <w:lang w:val="fr-CA"/>
              </w:rPr>
            </w:pPr>
            <w:r w:rsidRPr="006F7A67">
              <w:rPr>
                <w:sz w:val="20"/>
                <w:lang w:val="fr-CA"/>
              </w:rPr>
              <w:t>(Pardu, Trotter, Brown JJ.A.)</w:t>
            </w:r>
          </w:p>
          <w:p w:rsidR="00197F36" w:rsidRPr="006F7A67" w:rsidRDefault="00300F06" w:rsidP="0019255A">
            <w:pPr>
              <w:jc w:val="both"/>
              <w:rPr>
                <w:sz w:val="20"/>
              </w:rPr>
            </w:pPr>
            <w:hyperlink r:id="rId46" w:history="1">
              <w:r w:rsidR="00197F36" w:rsidRPr="006F7A67">
                <w:rPr>
                  <w:rStyle w:val="Hyperlink"/>
                  <w:sz w:val="20"/>
                </w:rPr>
                <w:t>2019 ONCA 707</w:t>
              </w:r>
            </w:hyperlink>
            <w:r w:rsidR="00197F36" w:rsidRPr="006F7A67">
              <w:rPr>
                <w:sz w:val="20"/>
              </w:rPr>
              <w:t xml:space="preserve"> </w:t>
            </w:r>
          </w:p>
          <w:p w:rsidR="00197F36" w:rsidRPr="006F7A67" w:rsidRDefault="00197F36" w:rsidP="0019255A">
            <w:pPr>
              <w:jc w:val="both"/>
              <w:rPr>
                <w:sz w:val="20"/>
              </w:rPr>
            </w:pPr>
            <w:r w:rsidRPr="006F7A67">
              <w:rPr>
                <w:sz w:val="20"/>
              </w:rPr>
              <w:t>M50087</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Motion for leave to appeal dismissed</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November 4, 2019</w:t>
            </w:r>
          </w:p>
          <w:p w:rsidR="00197F36" w:rsidRPr="006F7A67" w:rsidRDefault="00197F36" w:rsidP="0019255A">
            <w:pPr>
              <w:jc w:val="both"/>
              <w:rPr>
                <w:sz w:val="20"/>
              </w:rPr>
            </w:pPr>
            <w:r w:rsidRPr="006F7A67">
              <w:rPr>
                <w:sz w:val="20"/>
              </w:rPr>
              <w:t>Supreme Court of Canada</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leave to appeal filed</w:t>
            </w:r>
          </w:p>
          <w:p w:rsidR="00197F36" w:rsidRPr="006F7A67" w:rsidRDefault="00197F36" w:rsidP="0019255A">
            <w:pPr>
              <w:jc w:val="both"/>
              <w:rPr>
                <w:sz w:val="20"/>
              </w:rPr>
            </w:pP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43"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lang w:val="fr-CA"/>
              </w:rPr>
            </w:pPr>
            <w:r w:rsidRPr="006F7A67">
              <w:rPr>
                <w:rStyle w:val="SCCFileNumberChar"/>
                <w:sz w:val="20"/>
                <w:szCs w:val="20"/>
                <w:lang w:val="fr-CA"/>
              </w:rPr>
              <w:t>38969</w:t>
            </w:r>
          </w:p>
        </w:tc>
        <w:tc>
          <w:tcPr>
            <w:tcW w:w="4457" w:type="pct"/>
            <w:gridSpan w:val="3"/>
          </w:tcPr>
          <w:p w:rsidR="00197F36" w:rsidRPr="006F7A67" w:rsidRDefault="00197F36" w:rsidP="0019255A">
            <w:pPr>
              <w:pStyle w:val="SCCLsocParty"/>
              <w:jc w:val="both"/>
              <w:rPr>
                <w:b/>
                <w:sz w:val="20"/>
                <w:szCs w:val="20"/>
              </w:rPr>
            </w:pPr>
            <w:r w:rsidRPr="006F7A67">
              <w:rPr>
                <w:b/>
                <w:sz w:val="20"/>
                <w:szCs w:val="20"/>
              </w:rPr>
              <w:t>Alex Beseiso c. Sa Majesté la Reine</w:t>
            </w:r>
          </w:p>
          <w:p w:rsidR="00197F36" w:rsidRPr="006F7A67" w:rsidRDefault="00197F36" w:rsidP="0019255A">
            <w:pPr>
              <w:jc w:val="both"/>
              <w:rPr>
                <w:sz w:val="20"/>
                <w:lang w:val="fr-CA"/>
              </w:rPr>
            </w:pPr>
            <w:r w:rsidRPr="006F7A67">
              <w:rPr>
                <w:sz w:val="20"/>
                <w:lang w:val="fr-CA"/>
              </w:rPr>
              <w:t>(Ont.) (Criminelle) (Autorisation)</w:t>
            </w:r>
          </w:p>
        </w:tc>
      </w:tr>
      <w:tr w:rsidR="009E462F" w:rsidRPr="00DB0D35" w:rsidTr="0019255A">
        <w:tc>
          <w:tcPr>
            <w:tcW w:w="5000" w:type="pct"/>
            <w:gridSpan w:val="4"/>
          </w:tcPr>
          <w:p w:rsidR="009E462F" w:rsidRPr="006F7A67" w:rsidRDefault="009E462F" w:rsidP="009E462F">
            <w:pPr>
              <w:rPr>
                <w:sz w:val="20"/>
                <w:szCs w:val="20"/>
                <w:lang w:val="fr-CA"/>
              </w:rPr>
            </w:pPr>
            <w:r w:rsidRPr="006F7A67">
              <w:rPr>
                <w:sz w:val="20"/>
                <w:szCs w:val="20"/>
                <w:lang w:val="fr-CA"/>
              </w:rPr>
              <w:t>La demande d’autorisation d’appel de l’arrêt de la Cour d’appel de l’Ontario, numéro M50087, 2019 ONCA 707, daté du 10 septembre 2019, est rejetée.</w:t>
            </w:r>
          </w:p>
          <w:p w:rsidR="009E462F" w:rsidRPr="006F7A67" w:rsidRDefault="009E462F" w:rsidP="009E462F">
            <w:pPr>
              <w:rPr>
                <w:lang w:val="fr-CA"/>
              </w:rPr>
            </w:pPr>
          </w:p>
        </w:tc>
      </w:tr>
      <w:tr w:rsidR="00197F36" w:rsidRPr="00DB0D35" w:rsidTr="0019255A">
        <w:tc>
          <w:tcPr>
            <w:tcW w:w="5000" w:type="pct"/>
            <w:gridSpan w:val="4"/>
          </w:tcPr>
          <w:p w:rsidR="00197F36" w:rsidRPr="006F7A67" w:rsidRDefault="00197F36" w:rsidP="0019255A">
            <w:pPr>
              <w:jc w:val="both"/>
              <w:rPr>
                <w:sz w:val="20"/>
                <w:lang w:val="fr-CA"/>
              </w:rPr>
            </w:pPr>
            <w:r w:rsidRPr="006F7A67">
              <w:rPr>
                <w:sz w:val="20"/>
                <w:lang w:val="fr-CA"/>
              </w:rPr>
              <w:t>Droit criminel — Appels — Le demandeur a été déclaré coupable de harcèlement criminel, d’avoir proféré des menaces et d’avoir fait du tapage — L’appel du demandeur a été rejeté — Les juridictions inférieures ont</w:t>
            </w:r>
            <w:r w:rsidRPr="006F7A67">
              <w:rPr>
                <w:sz w:val="20"/>
                <w:lang w:val="fr-CA"/>
              </w:rPr>
              <w:noBreakHyphen/>
              <w:t>elles commis des erreurs? — L’affaire soulève</w:t>
            </w:r>
            <w:r w:rsidRPr="006F7A67">
              <w:rPr>
                <w:sz w:val="20"/>
                <w:lang w:val="fr-CA"/>
              </w:rPr>
              <w:noBreakHyphen/>
              <w:t>t</w:t>
            </w:r>
            <w:r w:rsidRPr="006F7A67">
              <w:rPr>
                <w:sz w:val="20"/>
                <w:lang w:val="fr-CA"/>
              </w:rPr>
              <w:noBreakHyphen/>
              <w:t>elle des questions d’importance pour le public?</w:t>
            </w:r>
          </w:p>
        </w:tc>
      </w:tr>
      <w:tr w:rsidR="00197F36" w:rsidRPr="00DB0D35" w:rsidTr="0019255A">
        <w:tc>
          <w:tcPr>
            <w:tcW w:w="5000" w:type="pct"/>
            <w:gridSpan w:val="4"/>
          </w:tcPr>
          <w:p w:rsidR="00197F36" w:rsidRPr="006F7A67" w:rsidRDefault="00197F36" w:rsidP="0019255A">
            <w:pPr>
              <w:jc w:val="both"/>
              <w:rPr>
                <w:sz w:val="20"/>
                <w:lang w:val="fr-CA"/>
              </w:rPr>
            </w:pPr>
          </w:p>
        </w:tc>
      </w:tr>
      <w:tr w:rsidR="00197F36" w:rsidRPr="00DB0D35" w:rsidTr="0019255A">
        <w:tc>
          <w:tcPr>
            <w:tcW w:w="5000" w:type="pct"/>
            <w:gridSpan w:val="4"/>
          </w:tcPr>
          <w:p w:rsidR="00197F36" w:rsidRPr="006F7A67" w:rsidRDefault="00197F36" w:rsidP="0019255A">
            <w:pPr>
              <w:jc w:val="both"/>
              <w:rPr>
                <w:sz w:val="20"/>
                <w:lang w:val="fr-CA"/>
              </w:rPr>
            </w:pPr>
            <w:r w:rsidRPr="006F7A67">
              <w:rPr>
                <w:sz w:val="20"/>
                <w:lang w:val="fr-CA"/>
              </w:rPr>
              <w:t xml:space="preserve">Le demandeur a conclu un contrat avec une transcriptrice judiciaire pour qu’elle lui fasse des transcriptions d’une instance devant un tribunal en matière immobilière. Lorsqu’est venu le temps de payer, le demandeur s’est fâché parce que la TVH avait incluse dans la facture. Le demandeur a communiqué avec la transcriptrice par téléphone, puis lui a envoyé plusieurs messages textes dans lesquels il affirmait qu’il allait se rendre à son bureau à domicile. Le demandeur a appelé la police et leur a dit qu’il se rendait au bureau à domicile de la transcriptrice judiciaire et qu’il y aurait du grabuge si la police n’y allait pas. La transcriptrice </w:t>
            </w:r>
            <w:proofErr w:type="gramStart"/>
            <w:r w:rsidRPr="006F7A67">
              <w:rPr>
                <w:sz w:val="20"/>
                <w:lang w:val="fr-CA"/>
              </w:rPr>
              <w:t>a</w:t>
            </w:r>
            <w:proofErr w:type="gramEnd"/>
            <w:r w:rsidRPr="006F7A67">
              <w:rPr>
                <w:sz w:val="20"/>
                <w:lang w:val="fr-CA"/>
              </w:rPr>
              <w:t xml:space="preserve"> elle aussi appelé la police et des policiers se sont rendus à son bureau à domicile peu de temps après. Les policiers ont demandé au demandeur de quitter les lieux, mais celui</w:t>
            </w:r>
            <w:r w:rsidRPr="006F7A67">
              <w:rPr>
                <w:sz w:val="20"/>
                <w:lang w:val="fr-CA"/>
              </w:rPr>
              <w:noBreakHyphen/>
              <w:t>ci a refusé et a continué à lancer des injures. Les policiers ont arrêté le demandeur. Le demandeur a été déclaré coupable de harcèlement criminel, d’avoir proféré des menaces et d’avoir fait du tapage. Son appel en matière de poursuite sommaire a été rejeté.</w:t>
            </w:r>
          </w:p>
        </w:tc>
      </w:tr>
      <w:tr w:rsidR="00197F36" w:rsidRPr="00DB0D35" w:rsidTr="0019255A">
        <w:tc>
          <w:tcPr>
            <w:tcW w:w="5000" w:type="pct"/>
            <w:gridSpan w:val="4"/>
          </w:tcPr>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28 novembre 2017</w:t>
            </w:r>
          </w:p>
          <w:p w:rsidR="00197F36" w:rsidRPr="006F7A67" w:rsidRDefault="00197F36" w:rsidP="0019255A">
            <w:pPr>
              <w:jc w:val="both"/>
              <w:rPr>
                <w:sz w:val="20"/>
                <w:lang w:val="fr-CA"/>
              </w:rPr>
            </w:pPr>
            <w:r w:rsidRPr="006F7A67">
              <w:rPr>
                <w:sz w:val="20"/>
                <w:lang w:val="fr-CA"/>
              </w:rPr>
              <w:t>Cour de justice de l’Ontario</w:t>
            </w:r>
          </w:p>
          <w:p w:rsidR="00197F36" w:rsidRPr="006F7A67" w:rsidRDefault="00197F36" w:rsidP="0019255A">
            <w:pPr>
              <w:jc w:val="both"/>
              <w:rPr>
                <w:sz w:val="20"/>
                <w:lang w:val="fr-CA"/>
              </w:rPr>
            </w:pPr>
            <w:r w:rsidRPr="006F7A67">
              <w:rPr>
                <w:sz w:val="20"/>
                <w:lang w:val="fr-CA"/>
              </w:rPr>
              <w:t>(Juge Cooper)</w:t>
            </w:r>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 xml:space="preserve">Déclarations de culpabilité : harcèlement criminel, avoir proféré des menaces et avoir fait du tapage </w:t>
            </w:r>
          </w:p>
        </w:tc>
      </w:tr>
      <w:tr w:rsidR="00197F36" w:rsidRPr="006F7A67" w:rsidTr="0019255A">
        <w:tc>
          <w:tcPr>
            <w:tcW w:w="2427" w:type="pct"/>
            <w:gridSpan w:val="2"/>
          </w:tcPr>
          <w:p w:rsidR="00197F36" w:rsidRPr="006F7A67" w:rsidRDefault="00197F36" w:rsidP="0019255A">
            <w:pPr>
              <w:jc w:val="both"/>
              <w:rPr>
                <w:sz w:val="20"/>
                <w:lang w:val="fr-CA"/>
              </w:rPr>
            </w:pPr>
            <w:r w:rsidRPr="006F7A67">
              <w:rPr>
                <w:sz w:val="20"/>
                <w:lang w:val="fr-CA"/>
              </w:rPr>
              <w:t>26 novembre 2018</w:t>
            </w:r>
          </w:p>
          <w:p w:rsidR="00197F36" w:rsidRPr="006F7A67" w:rsidRDefault="00197F36" w:rsidP="0019255A">
            <w:pPr>
              <w:jc w:val="both"/>
              <w:rPr>
                <w:sz w:val="20"/>
                <w:lang w:val="fr-CA"/>
              </w:rPr>
            </w:pPr>
            <w:r w:rsidRPr="006F7A67">
              <w:rPr>
                <w:sz w:val="20"/>
                <w:lang w:val="fr-CA"/>
              </w:rPr>
              <w:t>Cour supérieure de justice de l’Ontario</w:t>
            </w:r>
          </w:p>
          <w:p w:rsidR="00197F36" w:rsidRPr="006F7A67" w:rsidRDefault="00197F36" w:rsidP="0019255A">
            <w:pPr>
              <w:jc w:val="both"/>
              <w:rPr>
                <w:sz w:val="20"/>
                <w:lang w:val="fr-CA"/>
              </w:rPr>
            </w:pPr>
            <w:r w:rsidRPr="006F7A67">
              <w:rPr>
                <w:sz w:val="20"/>
                <w:lang w:val="fr-CA"/>
              </w:rPr>
              <w:t>(Juge Harris)</w:t>
            </w:r>
          </w:p>
          <w:p w:rsidR="00197F36" w:rsidRPr="006F7A67" w:rsidRDefault="00300F06" w:rsidP="0019255A">
            <w:pPr>
              <w:jc w:val="both"/>
              <w:rPr>
                <w:sz w:val="20"/>
                <w:lang w:val="fr-CA"/>
              </w:rPr>
            </w:pPr>
            <w:hyperlink r:id="rId47" w:history="1">
              <w:r w:rsidR="00197F36" w:rsidRPr="006F7A67">
                <w:rPr>
                  <w:rStyle w:val="Hyperlink"/>
                  <w:sz w:val="20"/>
                  <w:lang w:val="fr-CA"/>
                </w:rPr>
                <w:t>2018 ONSC 7074</w:t>
              </w:r>
            </w:hyperlink>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p>
          <w:p w:rsidR="00197F36" w:rsidRPr="006F7A67" w:rsidRDefault="00197F36" w:rsidP="0019255A">
            <w:pPr>
              <w:jc w:val="both"/>
              <w:rPr>
                <w:sz w:val="20"/>
                <w:lang w:val="fr-CA"/>
              </w:rPr>
            </w:pPr>
            <w:r w:rsidRPr="006F7A67">
              <w:rPr>
                <w:sz w:val="20"/>
                <w:lang w:val="fr-CA"/>
              </w:rPr>
              <w:t>Rejet de l’appel</w:t>
            </w:r>
          </w:p>
        </w:tc>
      </w:tr>
      <w:tr w:rsidR="00197F36" w:rsidRPr="006F7A67" w:rsidTr="0019255A">
        <w:tc>
          <w:tcPr>
            <w:tcW w:w="2427" w:type="pct"/>
            <w:gridSpan w:val="2"/>
          </w:tcPr>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10 septembre 2019</w:t>
            </w:r>
          </w:p>
          <w:p w:rsidR="00197F36" w:rsidRPr="006F7A67" w:rsidRDefault="00197F36" w:rsidP="0019255A">
            <w:pPr>
              <w:jc w:val="both"/>
              <w:rPr>
                <w:sz w:val="20"/>
                <w:lang w:val="fr-CA"/>
              </w:rPr>
            </w:pPr>
            <w:r w:rsidRPr="006F7A67">
              <w:rPr>
                <w:sz w:val="20"/>
                <w:lang w:val="fr-CA"/>
              </w:rPr>
              <w:t>Cour d’appel de l’Ontario</w:t>
            </w:r>
          </w:p>
          <w:p w:rsidR="00197F36" w:rsidRPr="006F7A67" w:rsidRDefault="00197F36" w:rsidP="0019255A">
            <w:pPr>
              <w:jc w:val="both"/>
              <w:rPr>
                <w:sz w:val="20"/>
                <w:lang w:val="fr-CA"/>
              </w:rPr>
            </w:pPr>
            <w:r w:rsidRPr="006F7A67">
              <w:rPr>
                <w:sz w:val="20"/>
                <w:lang w:val="fr-CA"/>
              </w:rPr>
              <w:t>(Juges Pardu, Trotter et Brown)</w:t>
            </w:r>
          </w:p>
          <w:p w:rsidR="00197F36" w:rsidRPr="006F7A67" w:rsidRDefault="00300F06" w:rsidP="0019255A">
            <w:pPr>
              <w:jc w:val="both"/>
              <w:rPr>
                <w:sz w:val="20"/>
                <w:lang w:val="fr-CA"/>
              </w:rPr>
            </w:pPr>
            <w:hyperlink r:id="rId48" w:history="1">
              <w:r w:rsidR="00197F36" w:rsidRPr="006F7A67">
                <w:rPr>
                  <w:rStyle w:val="Hyperlink"/>
                  <w:sz w:val="20"/>
                  <w:lang w:val="fr-CA"/>
                </w:rPr>
                <w:t>2019 ONCA 707</w:t>
              </w:r>
            </w:hyperlink>
          </w:p>
          <w:p w:rsidR="00197F36" w:rsidRPr="006F7A67" w:rsidRDefault="00197F36" w:rsidP="0019255A">
            <w:pPr>
              <w:jc w:val="both"/>
              <w:rPr>
                <w:sz w:val="20"/>
                <w:lang w:val="fr-CA"/>
              </w:rPr>
            </w:pPr>
            <w:r w:rsidRPr="006F7A67">
              <w:rPr>
                <w:sz w:val="20"/>
                <w:lang w:val="fr-CA"/>
              </w:rPr>
              <w:t>M50087</w:t>
            </w:r>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Rejet de la motion en autorisation d’interjeter appel</w:t>
            </w:r>
          </w:p>
          <w:p w:rsidR="00197F36" w:rsidRPr="006F7A67" w:rsidRDefault="00197F36" w:rsidP="0019255A">
            <w:pPr>
              <w:jc w:val="both"/>
              <w:rPr>
                <w:sz w:val="20"/>
                <w:lang w:val="fr-CA"/>
              </w:rPr>
            </w:pPr>
          </w:p>
        </w:tc>
      </w:tr>
    </w:tbl>
    <w:p w:rsidR="001A0C1D" w:rsidRPr="006F7A67" w:rsidRDefault="001A0C1D">
      <w:pPr>
        <w:rPr>
          <w:lang w:val="fr-CA"/>
        </w:rPr>
      </w:pPr>
      <w:r w:rsidRPr="006F7A6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7F36" w:rsidRPr="00DB0D35" w:rsidTr="0019255A">
        <w:tc>
          <w:tcPr>
            <w:tcW w:w="2427" w:type="pct"/>
          </w:tcPr>
          <w:p w:rsidR="00197F36" w:rsidRPr="006F7A67" w:rsidRDefault="00197F36" w:rsidP="0019255A">
            <w:pPr>
              <w:jc w:val="both"/>
              <w:rPr>
                <w:sz w:val="20"/>
                <w:lang w:val="fr-CA"/>
              </w:rPr>
            </w:pPr>
            <w:r w:rsidRPr="006F7A67">
              <w:rPr>
                <w:sz w:val="20"/>
                <w:lang w:val="fr-CA"/>
              </w:rPr>
              <w:t>4 novembre 2019</w:t>
            </w:r>
          </w:p>
          <w:p w:rsidR="00197F36" w:rsidRPr="006F7A67" w:rsidRDefault="00197F36" w:rsidP="0019255A">
            <w:pPr>
              <w:jc w:val="both"/>
              <w:rPr>
                <w:sz w:val="20"/>
                <w:lang w:val="fr-CA"/>
              </w:rPr>
            </w:pPr>
            <w:r w:rsidRPr="006F7A67">
              <w:rPr>
                <w:sz w:val="20"/>
                <w:lang w:val="fr-CA"/>
              </w:rPr>
              <w:t>Cour suprême du Canada</w:t>
            </w: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Dépôt de la demande d’autorisation d’appel</w:t>
            </w:r>
          </w:p>
          <w:p w:rsidR="00197F36" w:rsidRPr="006F7A67" w:rsidRDefault="00197F36" w:rsidP="0019255A">
            <w:pPr>
              <w:jc w:val="both"/>
              <w:rPr>
                <w:sz w:val="20"/>
                <w:lang w:val="fr-CA"/>
              </w:rPr>
            </w:pPr>
          </w:p>
        </w:tc>
      </w:tr>
    </w:tbl>
    <w:p w:rsidR="00197F36" w:rsidRPr="006F7A67" w:rsidRDefault="00197F36" w:rsidP="00197F36">
      <w:pPr>
        <w:jc w:val="both"/>
        <w:rPr>
          <w:sz w:val="20"/>
          <w:lang w:val="fr-CA"/>
        </w:rPr>
      </w:pPr>
    </w:p>
    <w:p w:rsidR="00197F36" w:rsidRPr="006F7A67" w:rsidRDefault="00300F06" w:rsidP="00197F36">
      <w:pPr>
        <w:ind w:left="142" w:hanging="142"/>
        <w:jc w:val="both"/>
        <w:rPr>
          <w:sz w:val="20"/>
          <w:lang w:val="fr-CA"/>
        </w:rPr>
      </w:pPr>
      <w:r>
        <w:rPr>
          <w:sz w:val="20"/>
        </w:rPr>
        <w:pict>
          <v:rect id="_x0000_i1044" style="width:2in;height:1pt" o:hrpct="0" o:hralign="center" o:hrstd="t" o:hrnoshade="t" o:hr="t" fillcolor="black [3213]" stroked="f"/>
        </w:pict>
      </w:r>
    </w:p>
    <w:p w:rsidR="00197F36" w:rsidRPr="006F7A67" w:rsidRDefault="00197F36" w:rsidP="00197F3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38970</w:t>
            </w:r>
          </w:p>
        </w:tc>
        <w:tc>
          <w:tcPr>
            <w:tcW w:w="4457" w:type="pct"/>
            <w:gridSpan w:val="3"/>
          </w:tcPr>
          <w:p w:rsidR="00197F36" w:rsidRPr="006F7A67" w:rsidRDefault="00197F36" w:rsidP="0019255A">
            <w:pPr>
              <w:pStyle w:val="SCCLsocParty"/>
              <w:jc w:val="both"/>
              <w:rPr>
                <w:b/>
                <w:sz w:val="20"/>
                <w:szCs w:val="20"/>
                <w:lang w:val="en-US"/>
              </w:rPr>
            </w:pPr>
            <w:r w:rsidRPr="006F7A67">
              <w:rPr>
                <w:b/>
                <w:sz w:val="20"/>
                <w:szCs w:val="20"/>
                <w:lang w:val="en-US"/>
              </w:rPr>
              <w:t>Alex Beseiso v. Her Majesty the Queen</w:t>
            </w:r>
          </w:p>
          <w:p w:rsidR="00197F36" w:rsidRPr="006F7A67" w:rsidRDefault="00197F36" w:rsidP="0019255A">
            <w:pPr>
              <w:jc w:val="both"/>
              <w:rPr>
                <w:sz w:val="20"/>
              </w:rPr>
            </w:pPr>
            <w:r w:rsidRPr="006F7A67">
              <w:rPr>
                <w:sz w:val="20"/>
              </w:rPr>
              <w:t>(Ont.) (Criminal) (By Leave)</w:t>
            </w:r>
          </w:p>
        </w:tc>
      </w:tr>
      <w:tr w:rsidR="009E462F" w:rsidRPr="006F7A67" w:rsidTr="0019255A">
        <w:tc>
          <w:tcPr>
            <w:tcW w:w="5000" w:type="pct"/>
            <w:gridSpan w:val="4"/>
          </w:tcPr>
          <w:p w:rsidR="009E462F" w:rsidRPr="006F7A67" w:rsidRDefault="009E462F" w:rsidP="009E462F">
            <w:pPr>
              <w:jc w:val="both"/>
              <w:rPr>
                <w:rFonts w:cs="Times New Roman"/>
                <w:sz w:val="20"/>
                <w:szCs w:val="20"/>
              </w:rPr>
            </w:pPr>
            <w:r w:rsidRPr="006F7A67">
              <w:rPr>
                <w:rFonts w:cs="Times New Roman"/>
                <w:sz w:val="20"/>
                <w:szCs w:val="20"/>
              </w:rPr>
              <w:t xml:space="preserve">The motion for an extension of time to serve and file the application for leave to appeal is granted. </w:t>
            </w:r>
            <w:r w:rsidRPr="006F7A67">
              <w:rPr>
                <w:sz w:val="20"/>
                <w:szCs w:val="20"/>
              </w:rPr>
              <w:t>The application for leave to appeal from the judgment of the Court of Appeal for Ontario, Number C66590, 2019 ONCA 708, dated September 10, 2019, is dismissed.</w:t>
            </w:r>
          </w:p>
          <w:p w:rsidR="009E462F" w:rsidRPr="006F7A67" w:rsidRDefault="009E462F" w:rsidP="0019255A">
            <w:pPr>
              <w:jc w:val="both"/>
              <w:rPr>
                <w:sz w:val="20"/>
              </w:rPr>
            </w:pPr>
          </w:p>
        </w:tc>
      </w:tr>
      <w:tr w:rsidR="00197F36" w:rsidRPr="006F7A67" w:rsidTr="0019255A">
        <w:tc>
          <w:tcPr>
            <w:tcW w:w="5000" w:type="pct"/>
            <w:gridSpan w:val="4"/>
          </w:tcPr>
          <w:p w:rsidR="00197F36" w:rsidRPr="006F7A67" w:rsidRDefault="00197F36" w:rsidP="0019255A">
            <w:pPr>
              <w:jc w:val="both"/>
              <w:rPr>
                <w:sz w:val="20"/>
              </w:rPr>
            </w:pPr>
            <w:r w:rsidRPr="006F7A67">
              <w:rPr>
                <w:sz w:val="20"/>
              </w:rPr>
              <w:t>Criminal law — Appeals — Applicant convicted of intimidation of a justice system participant — Applicant’s appeal dismissed — Whether the lower courts erred — Whether there are issues of public importance raised</w:t>
            </w:r>
          </w:p>
        </w:tc>
      </w:tr>
      <w:tr w:rsidR="00197F36" w:rsidRPr="006F7A67" w:rsidTr="0019255A">
        <w:tc>
          <w:tcPr>
            <w:tcW w:w="5000" w:type="pct"/>
            <w:gridSpan w:val="4"/>
          </w:tcPr>
          <w:p w:rsidR="00197F36" w:rsidRPr="006F7A67" w:rsidRDefault="00197F36" w:rsidP="0019255A">
            <w:pPr>
              <w:jc w:val="both"/>
              <w:rPr>
                <w:sz w:val="20"/>
              </w:rPr>
            </w:pPr>
          </w:p>
        </w:tc>
      </w:tr>
      <w:tr w:rsidR="00197F36" w:rsidRPr="006F7A67" w:rsidTr="0019255A">
        <w:tc>
          <w:tcPr>
            <w:tcW w:w="5000" w:type="pct"/>
            <w:gridSpan w:val="4"/>
          </w:tcPr>
          <w:p w:rsidR="00197F36" w:rsidRPr="006F7A67" w:rsidRDefault="00197F36" w:rsidP="0019255A">
            <w:pPr>
              <w:jc w:val="both"/>
              <w:rPr>
                <w:sz w:val="20"/>
              </w:rPr>
            </w:pPr>
            <w:r w:rsidRPr="006F7A67">
              <w:rPr>
                <w:sz w:val="20"/>
              </w:rPr>
              <w:t>The applicant repeatedly sent emails to the Assistant Crown Attorney who was assigned to prosecute the applicant for two sets of charges. The emails were sent between October 25</w:t>
            </w:r>
            <w:r w:rsidRPr="006F7A67">
              <w:rPr>
                <w:sz w:val="20"/>
                <w:vertAlign w:val="superscript"/>
              </w:rPr>
              <w:t>th</w:t>
            </w:r>
            <w:r w:rsidRPr="006F7A67">
              <w:rPr>
                <w:sz w:val="20"/>
              </w:rPr>
              <w:t xml:space="preserve"> and November 4</w:t>
            </w:r>
            <w:r w:rsidRPr="006F7A67">
              <w:rPr>
                <w:sz w:val="20"/>
                <w:vertAlign w:val="superscript"/>
              </w:rPr>
              <w:t>th</w:t>
            </w:r>
            <w:r w:rsidRPr="006F7A67">
              <w:rPr>
                <w:sz w:val="20"/>
              </w:rPr>
              <w:t>, 2016. The police told the applicant to stop direct communications by email with the Assistant Crown Attorney. The applicant continued to send emails to the Assistant Crown Attorney. The applicant was convicted of intimidation of a justice system participant in the Superior Court of Justice. The applicant’s appeal was dismissed.</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January 9, 2019</w:t>
            </w:r>
          </w:p>
          <w:p w:rsidR="00197F36" w:rsidRPr="006F7A67" w:rsidRDefault="00197F36" w:rsidP="0019255A">
            <w:pPr>
              <w:jc w:val="both"/>
              <w:rPr>
                <w:sz w:val="20"/>
              </w:rPr>
            </w:pPr>
            <w:r w:rsidRPr="006F7A67">
              <w:rPr>
                <w:sz w:val="20"/>
              </w:rPr>
              <w:t>Ontario Superior Court of Justice</w:t>
            </w:r>
          </w:p>
          <w:p w:rsidR="00197F36" w:rsidRPr="006F7A67" w:rsidRDefault="00197F36" w:rsidP="0019255A">
            <w:pPr>
              <w:jc w:val="both"/>
              <w:rPr>
                <w:sz w:val="20"/>
              </w:rPr>
            </w:pPr>
            <w:r w:rsidRPr="006F7A67">
              <w:rPr>
                <w:sz w:val="20"/>
              </w:rPr>
              <w:t>(</w:t>
            </w:r>
            <w:proofErr w:type="spellStart"/>
            <w:r w:rsidRPr="006F7A67">
              <w:rPr>
                <w:sz w:val="20"/>
              </w:rPr>
              <w:t>Woollcombe</w:t>
            </w:r>
            <w:proofErr w:type="spellEnd"/>
            <w:r w:rsidRPr="006F7A67">
              <w:rPr>
                <w:sz w:val="20"/>
              </w:rPr>
              <w:t xml:space="preserve"> J.)</w:t>
            </w:r>
          </w:p>
          <w:p w:rsidR="00197F36" w:rsidRPr="006F7A67" w:rsidRDefault="00197F36" w:rsidP="0019255A">
            <w:pPr>
              <w:jc w:val="both"/>
              <w:rPr>
                <w:sz w:val="20"/>
              </w:rPr>
            </w:pPr>
            <w:r w:rsidRPr="006F7A67">
              <w:rPr>
                <w:sz w:val="20"/>
              </w:rPr>
              <w:t>(unreported)</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Conviction: intimidation of a justice system participant</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September 10, 2019</w:t>
            </w:r>
          </w:p>
          <w:p w:rsidR="00197F36" w:rsidRPr="006F7A67" w:rsidRDefault="00197F36" w:rsidP="0019255A">
            <w:pPr>
              <w:jc w:val="both"/>
              <w:rPr>
                <w:sz w:val="20"/>
              </w:rPr>
            </w:pPr>
            <w:r w:rsidRPr="006F7A67">
              <w:rPr>
                <w:sz w:val="20"/>
              </w:rPr>
              <w:t>Court of Appeal for Ontario</w:t>
            </w:r>
          </w:p>
          <w:p w:rsidR="00197F36" w:rsidRPr="006F7A67" w:rsidRDefault="00197F36" w:rsidP="0019255A">
            <w:pPr>
              <w:jc w:val="both"/>
              <w:rPr>
                <w:sz w:val="20"/>
              </w:rPr>
            </w:pPr>
            <w:r w:rsidRPr="006F7A67">
              <w:rPr>
                <w:sz w:val="20"/>
              </w:rPr>
              <w:t>(Pardu, Brown, Trotter JJ.A.)</w:t>
            </w:r>
          </w:p>
          <w:p w:rsidR="00197F36" w:rsidRPr="006F7A67" w:rsidRDefault="00300F06" w:rsidP="0019255A">
            <w:pPr>
              <w:jc w:val="both"/>
              <w:rPr>
                <w:sz w:val="20"/>
              </w:rPr>
            </w:pPr>
            <w:hyperlink r:id="rId49" w:history="1">
              <w:r w:rsidR="00197F36" w:rsidRPr="006F7A67">
                <w:rPr>
                  <w:rStyle w:val="Hyperlink"/>
                  <w:sz w:val="20"/>
                </w:rPr>
                <w:t>2019 ONCA 708</w:t>
              </w:r>
            </w:hyperlink>
            <w:r w:rsidR="00197F36" w:rsidRPr="006F7A67">
              <w:rPr>
                <w:sz w:val="20"/>
              </w:rPr>
              <w:t xml:space="preserve"> </w:t>
            </w:r>
          </w:p>
          <w:p w:rsidR="00197F36" w:rsidRPr="006F7A67" w:rsidRDefault="00197F36" w:rsidP="0019255A">
            <w:pPr>
              <w:jc w:val="both"/>
              <w:rPr>
                <w:sz w:val="20"/>
              </w:rPr>
            </w:pPr>
            <w:r w:rsidRPr="006F7A67">
              <w:rPr>
                <w:sz w:val="20"/>
              </w:rPr>
              <w:t>C66590</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Appeal dismissed</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November 26, 2019</w:t>
            </w:r>
          </w:p>
          <w:p w:rsidR="00197F36" w:rsidRPr="006F7A67" w:rsidRDefault="00197F36" w:rsidP="0019255A">
            <w:pPr>
              <w:jc w:val="both"/>
              <w:rPr>
                <w:sz w:val="20"/>
              </w:rPr>
            </w:pPr>
            <w:r w:rsidRPr="006F7A67">
              <w:rPr>
                <w:sz w:val="20"/>
              </w:rPr>
              <w:t>Supreme Court of Canada</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Motion for an extension of time to serve and file the application for leave to appeal and application for leave to appeal filed</w:t>
            </w: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45"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97F36" w:rsidRPr="006F7A67" w:rsidTr="0019255A">
        <w:tc>
          <w:tcPr>
            <w:tcW w:w="543" w:type="pct"/>
          </w:tcPr>
          <w:p w:rsidR="00197F36" w:rsidRPr="006F7A67" w:rsidRDefault="00197F36" w:rsidP="0019255A">
            <w:pPr>
              <w:jc w:val="both"/>
              <w:rPr>
                <w:sz w:val="20"/>
                <w:lang w:val="fr-CA"/>
              </w:rPr>
            </w:pPr>
            <w:r w:rsidRPr="006F7A67">
              <w:rPr>
                <w:rStyle w:val="SCCFileNumberChar"/>
                <w:sz w:val="20"/>
                <w:szCs w:val="20"/>
                <w:lang w:val="fr-CA"/>
              </w:rPr>
              <w:t>38970</w:t>
            </w:r>
          </w:p>
        </w:tc>
        <w:tc>
          <w:tcPr>
            <w:tcW w:w="4457" w:type="pct"/>
          </w:tcPr>
          <w:p w:rsidR="00197F36" w:rsidRPr="006F7A67" w:rsidRDefault="00197F36" w:rsidP="0019255A">
            <w:pPr>
              <w:pStyle w:val="SCCLsocParty"/>
              <w:jc w:val="both"/>
              <w:rPr>
                <w:b/>
                <w:sz w:val="20"/>
                <w:szCs w:val="20"/>
              </w:rPr>
            </w:pPr>
            <w:r w:rsidRPr="006F7A67">
              <w:rPr>
                <w:b/>
                <w:sz w:val="20"/>
                <w:szCs w:val="20"/>
              </w:rPr>
              <w:t>Alex Beseiso c. Sa Majesté la Reine</w:t>
            </w:r>
          </w:p>
          <w:p w:rsidR="00197F36" w:rsidRPr="006F7A67" w:rsidRDefault="00197F36" w:rsidP="0019255A">
            <w:pPr>
              <w:jc w:val="both"/>
              <w:rPr>
                <w:sz w:val="20"/>
                <w:lang w:val="fr-CA"/>
              </w:rPr>
            </w:pPr>
            <w:r w:rsidRPr="006F7A67">
              <w:rPr>
                <w:sz w:val="20"/>
                <w:lang w:val="fr-CA"/>
              </w:rPr>
              <w:t>(Ont.) (Criminelle) (Autorisation)</w:t>
            </w:r>
          </w:p>
        </w:tc>
      </w:tr>
      <w:tr w:rsidR="009E462F" w:rsidRPr="00DB0D35" w:rsidTr="0019255A">
        <w:tc>
          <w:tcPr>
            <w:tcW w:w="5000" w:type="pct"/>
            <w:gridSpan w:val="2"/>
          </w:tcPr>
          <w:p w:rsidR="009E462F" w:rsidRPr="006F7A67" w:rsidRDefault="009E462F" w:rsidP="0019255A">
            <w:pPr>
              <w:jc w:val="both"/>
              <w:rPr>
                <w:sz w:val="20"/>
                <w:szCs w:val="20"/>
                <w:lang w:val="fr-CA"/>
              </w:rPr>
            </w:pPr>
            <w:r w:rsidRPr="006F7A67">
              <w:rPr>
                <w:rFonts w:cs="Times New Roman"/>
                <w:sz w:val="20"/>
                <w:szCs w:val="20"/>
                <w:lang w:val="fr-CA"/>
              </w:rPr>
              <w:t xml:space="preserve">La requête en prorogation du délai de signification et de dépôt de la demande d’autorisation d’appel est accueillie. </w:t>
            </w:r>
            <w:r w:rsidRPr="006F7A67">
              <w:rPr>
                <w:sz w:val="20"/>
                <w:szCs w:val="20"/>
                <w:lang w:val="fr-CA"/>
              </w:rPr>
              <w:t>La demande d’autorisation d’appel de l’arrêt de la Cour d’appel de l’Ontario, numéro C66590, 2019 ONCA 708, daté du 10 septembre 2019, est rejetée.</w:t>
            </w:r>
          </w:p>
          <w:p w:rsidR="009E462F" w:rsidRPr="006F7A67" w:rsidRDefault="009E462F" w:rsidP="0019255A">
            <w:pPr>
              <w:jc w:val="both"/>
              <w:rPr>
                <w:sz w:val="20"/>
                <w:lang w:val="fr-CA"/>
              </w:rPr>
            </w:pPr>
          </w:p>
        </w:tc>
      </w:tr>
      <w:tr w:rsidR="00197F36" w:rsidRPr="00DB0D35" w:rsidTr="0019255A">
        <w:tc>
          <w:tcPr>
            <w:tcW w:w="5000" w:type="pct"/>
            <w:gridSpan w:val="2"/>
          </w:tcPr>
          <w:p w:rsidR="00197F36" w:rsidRPr="006F7A67" w:rsidRDefault="00197F36" w:rsidP="0019255A">
            <w:pPr>
              <w:jc w:val="both"/>
              <w:rPr>
                <w:sz w:val="20"/>
                <w:lang w:val="fr-CA"/>
              </w:rPr>
            </w:pPr>
            <w:r w:rsidRPr="006F7A67">
              <w:rPr>
                <w:sz w:val="20"/>
                <w:lang w:val="fr-CA"/>
              </w:rPr>
              <w:t>Droit criminel — Appels — Le demandeur a été déclaré coupable d’intimidation d’une personne associée au système judiciaire — L’appel du demandeur a été rejeté — Les juridictions inférieures ont</w:t>
            </w:r>
            <w:r w:rsidRPr="006F7A67">
              <w:rPr>
                <w:sz w:val="20"/>
                <w:lang w:val="fr-CA"/>
              </w:rPr>
              <w:noBreakHyphen/>
              <w:t>elles commis des erreurs? — L’affaire soulève</w:t>
            </w:r>
            <w:r w:rsidRPr="006F7A67">
              <w:rPr>
                <w:sz w:val="20"/>
                <w:lang w:val="fr-CA"/>
              </w:rPr>
              <w:noBreakHyphen/>
              <w:t>t</w:t>
            </w:r>
            <w:r w:rsidRPr="006F7A67">
              <w:rPr>
                <w:sz w:val="20"/>
                <w:lang w:val="fr-CA"/>
              </w:rPr>
              <w:noBreakHyphen/>
              <w:t>elle des questions d’importance pour le public?</w:t>
            </w:r>
          </w:p>
        </w:tc>
      </w:tr>
      <w:tr w:rsidR="00197F36" w:rsidRPr="00DB0D35" w:rsidTr="0019255A">
        <w:tc>
          <w:tcPr>
            <w:tcW w:w="5000" w:type="pct"/>
            <w:gridSpan w:val="2"/>
          </w:tcPr>
          <w:p w:rsidR="00197F36" w:rsidRPr="006F7A67" w:rsidRDefault="00197F36" w:rsidP="0019255A">
            <w:pPr>
              <w:jc w:val="both"/>
              <w:rPr>
                <w:sz w:val="20"/>
                <w:lang w:val="fr-CA"/>
              </w:rPr>
            </w:pPr>
          </w:p>
        </w:tc>
      </w:tr>
    </w:tbl>
    <w:p w:rsidR="001A0C1D" w:rsidRPr="006F7A67" w:rsidRDefault="001A0C1D">
      <w:pPr>
        <w:rPr>
          <w:lang w:val="fr-CA"/>
        </w:rPr>
      </w:pPr>
      <w:r w:rsidRPr="006F7A6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7F36" w:rsidRPr="006F7A67" w:rsidTr="0019255A">
        <w:tc>
          <w:tcPr>
            <w:tcW w:w="5000" w:type="pct"/>
            <w:gridSpan w:val="3"/>
          </w:tcPr>
          <w:p w:rsidR="00197F36" w:rsidRPr="006F7A67" w:rsidRDefault="00197F36" w:rsidP="0019255A">
            <w:pPr>
              <w:jc w:val="both"/>
              <w:rPr>
                <w:sz w:val="20"/>
                <w:lang w:val="fr-CA"/>
              </w:rPr>
            </w:pPr>
            <w:r w:rsidRPr="006F7A67">
              <w:rPr>
                <w:sz w:val="20"/>
                <w:lang w:val="fr-CA"/>
              </w:rPr>
              <w:t>Le demandeur a envoyé à maintes reprises des courriels au procureur adjoint de la Couronne qui avait été affecté à la poursuite pénale contre le demandeur relativement à deux ensembles d’accusations. Les courriels ont été envoyés entre le 25 octobre et le 4 novembre 2016. Les policiers ont sommé le demandeur de cesser de communiquer directement avec le procureur adjoint de la Couronne par courriel. Le demandeur a continué à le faire. Le demandeur a été déclaré coupable d’intimidation d’une personne associée au système judiciaire en Cour supérieure de justice. L’appel du demandeur a été rejeté.</w:t>
            </w:r>
          </w:p>
          <w:p w:rsidR="00197F36" w:rsidRPr="006F7A67" w:rsidRDefault="00197F36" w:rsidP="0019255A">
            <w:pPr>
              <w:jc w:val="both"/>
              <w:rPr>
                <w:sz w:val="20"/>
                <w:lang w:val="fr-CA"/>
              </w:rPr>
            </w:pPr>
          </w:p>
        </w:tc>
      </w:tr>
      <w:tr w:rsidR="00197F36" w:rsidRPr="00DB0D35" w:rsidTr="0019255A">
        <w:tc>
          <w:tcPr>
            <w:tcW w:w="2427" w:type="pct"/>
          </w:tcPr>
          <w:p w:rsidR="00197F36" w:rsidRPr="006F7A67" w:rsidRDefault="00197F36" w:rsidP="0019255A">
            <w:pPr>
              <w:jc w:val="both"/>
              <w:rPr>
                <w:sz w:val="20"/>
                <w:lang w:val="fr-CA"/>
              </w:rPr>
            </w:pPr>
            <w:r w:rsidRPr="006F7A67">
              <w:rPr>
                <w:sz w:val="20"/>
                <w:lang w:val="fr-CA"/>
              </w:rPr>
              <w:t>9 janvier 2019</w:t>
            </w:r>
          </w:p>
          <w:p w:rsidR="00197F36" w:rsidRPr="006F7A67" w:rsidRDefault="00197F36" w:rsidP="0019255A">
            <w:pPr>
              <w:jc w:val="both"/>
              <w:rPr>
                <w:sz w:val="20"/>
                <w:lang w:val="fr-CA"/>
              </w:rPr>
            </w:pPr>
            <w:r w:rsidRPr="006F7A67">
              <w:rPr>
                <w:sz w:val="20"/>
                <w:lang w:val="fr-CA"/>
              </w:rPr>
              <w:t>Cour supérieure de justice de l’Ontario</w:t>
            </w:r>
          </w:p>
          <w:p w:rsidR="00197F36" w:rsidRPr="006F7A67" w:rsidRDefault="00197F36" w:rsidP="0019255A">
            <w:pPr>
              <w:jc w:val="both"/>
              <w:rPr>
                <w:sz w:val="20"/>
                <w:lang w:val="fr-CA"/>
              </w:rPr>
            </w:pPr>
            <w:r w:rsidRPr="006F7A67">
              <w:rPr>
                <w:sz w:val="20"/>
                <w:lang w:val="fr-CA"/>
              </w:rPr>
              <w:t xml:space="preserve">(Juge </w:t>
            </w:r>
            <w:proofErr w:type="spellStart"/>
            <w:r w:rsidRPr="006F7A67">
              <w:rPr>
                <w:sz w:val="20"/>
                <w:lang w:val="fr-CA"/>
              </w:rPr>
              <w:t>Woollcombe</w:t>
            </w:r>
            <w:proofErr w:type="spellEnd"/>
            <w:r w:rsidRPr="006F7A67">
              <w:rPr>
                <w:sz w:val="20"/>
                <w:lang w:val="fr-CA"/>
              </w:rPr>
              <w:t>)</w:t>
            </w:r>
          </w:p>
          <w:p w:rsidR="00197F36" w:rsidRPr="006F7A67" w:rsidRDefault="00197F36" w:rsidP="0019255A">
            <w:pPr>
              <w:jc w:val="both"/>
              <w:rPr>
                <w:sz w:val="20"/>
                <w:lang w:val="fr-CA"/>
              </w:rPr>
            </w:pPr>
            <w:r w:rsidRPr="006F7A67">
              <w:rPr>
                <w:sz w:val="20"/>
                <w:lang w:val="fr-CA"/>
              </w:rPr>
              <w:t>(non publié)</w:t>
            </w:r>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Déclaration de culpabilité : intimidation d’une personne associée au système judiciaire</w:t>
            </w:r>
          </w:p>
          <w:p w:rsidR="00197F36" w:rsidRPr="006F7A67" w:rsidRDefault="00197F36" w:rsidP="0019255A">
            <w:pPr>
              <w:jc w:val="both"/>
              <w:rPr>
                <w:sz w:val="20"/>
                <w:lang w:val="fr-CA"/>
              </w:rPr>
            </w:pPr>
          </w:p>
        </w:tc>
      </w:tr>
      <w:tr w:rsidR="00197F36" w:rsidRPr="006F7A67" w:rsidTr="0019255A">
        <w:tc>
          <w:tcPr>
            <w:tcW w:w="2427" w:type="pct"/>
          </w:tcPr>
          <w:p w:rsidR="00197F36" w:rsidRPr="006F7A67" w:rsidRDefault="00197F36" w:rsidP="0019255A">
            <w:pPr>
              <w:jc w:val="both"/>
              <w:rPr>
                <w:sz w:val="20"/>
                <w:lang w:val="fr-CA"/>
              </w:rPr>
            </w:pPr>
            <w:r w:rsidRPr="006F7A67">
              <w:rPr>
                <w:sz w:val="20"/>
                <w:lang w:val="fr-CA"/>
              </w:rPr>
              <w:t>10 septembre 2019</w:t>
            </w:r>
          </w:p>
          <w:p w:rsidR="00197F36" w:rsidRPr="006F7A67" w:rsidRDefault="00197F36" w:rsidP="0019255A">
            <w:pPr>
              <w:jc w:val="both"/>
              <w:rPr>
                <w:sz w:val="20"/>
                <w:lang w:val="fr-CA"/>
              </w:rPr>
            </w:pPr>
            <w:r w:rsidRPr="006F7A67">
              <w:rPr>
                <w:sz w:val="20"/>
                <w:lang w:val="fr-CA"/>
              </w:rPr>
              <w:t>Cour d’appel de l’Ontario</w:t>
            </w:r>
          </w:p>
          <w:p w:rsidR="00197F36" w:rsidRPr="006F7A67" w:rsidRDefault="00197F36" w:rsidP="0019255A">
            <w:pPr>
              <w:jc w:val="both"/>
              <w:rPr>
                <w:sz w:val="20"/>
                <w:lang w:val="fr-CA"/>
              </w:rPr>
            </w:pPr>
            <w:r w:rsidRPr="006F7A67">
              <w:rPr>
                <w:sz w:val="20"/>
                <w:lang w:val="fr-CA"/>
              </w:rPr>
              <w:t>(Juges Pardu, Brown et Trotter)</w:t>
            </w:r>
          </w:p>
          <w:p w:rsidR="00197F36" w:rsidRPr="006F7A67" w:rsidRDefault="00300F06" w:rsidP="0019255A">
            <w:pPr>
              <w:jc w:val="both"/>
              <w:rPr>
                <w:sz w:val="20"/>
                <w:lang w:val="fr-CA"/>
              </w:rPr>
            </w:pPr>
            <w:hyperlink r:id="rId50" w:history="1">
              <w:r w:rsidR="00197F36" w:rsidRPr="006F7A67">
                <w:rPr>
                  <w:rStyle w:val="Hyperlink"/>
                  <w:sz w:val="20"/>
                  <w:lang w:val="fr-CA"/>
                </w:rPr>
                <w:t>2019 ONCA 708</w:t>
              </w:r>
            </w:hyperlink>
            <w:r w:rsidR="00197F36" w:rsidRPr="006F7A67">
              <w:rPr>
                <w:sz w:val="20"/>
                <w:lang w:val="fr-CA"/>
              </w:rPr>
              <w:t xml:space="preserve"> </w:t>
            </w:r>
          </w:p>
          <w:p w:rsidR="00197F36" w:rsidRPr="006F7A67" w:rsidRDefault="00197F36" w:rsidP="0019255A">
            <w:pPr>
              <w:jc w:val="both"/>
              <w:rPr>
                <w:sz w:val="20"/>
                <w:lang w:val="fr-CA"/>
              </w:rPr>
            </w:pPr>
            <w:r w:rsidRPr="006F7A67">
              <w:rPr>
                <w:sz w:val="20"/>
                <w:lang w:val="fr-CA"/>
              </w:rPr>
              <w:t>C66590</w:t>
            </w:r>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Rejet de l’appel</w:t>
            </w:r>
          </w:p>
          <w:p w:rsidR="00197F36" w:rsidRPr="006F7A67" w:rsidRDefault="00197F36" w:rsidP="0019255A">
            <w:pPr>
              <w:jc w:val="both"/>
              <w:rPr>
                <w:sz w:val="20"/>
                <w:lang w:val="fr-CA"/>
              </w:rPr>
            </w:pPr>
          </w:p>
        </w:tc>
      </w:tr>
      <w:tr w:rsidR="00197F36" w:rsidRPr="00DB0D35" w:rsidTr="0019255A">
        <w:tc>
          <w:tcPr>
            <w:tcW w:w="2427" w:type="pct"/>
          </w:tcPr>
          <w:p w:rsidR="00197F36" w:rsidRPr="006F7A67" w:rsidRDefault="00197F36" w:rsidP="0019255A">
            <w:pPr>
              <w:jc w:val="both"/>
              <w:rPr>
                <w:sz w:val="20"/>
                <w:lang w:val="fr-CA"/>
              </w:rPr>
            </w:pPr>
            <w:r w:rsidRPr="006F7A67">
              <w:rPr>
                <w:sz w:val="20"/>
                <w:lang w:val="fr-CA"/>
              </w:rPr>
              <w:t>26 novembre 2019</w:t>
            </w:r>
          </w:p>
          <w:p w:rsidR="00197F36" w:rsidRPr="006F7A67" w:rsidRDefault="00197F36" w:rsidP="0019255A">
            <w:pPr>
              <w:jc w:val="both"/>
              <w:rPr>
                <w:sz w:val="20"/>
                <w:lang w:val="fr-CA"/>
              </w:rPr>
            </w:pPr>
            <w:r w:rsidRPr="006F7A67">
              <w:rPr>
                <w:sz w:val="20"/>
                <w:lang w:val="fr-CA"/>
              </w:rPr>
              <w:t>Cour suprême du Canada</w:t>
            </w:r>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Requête en prorogation du délai de signification et de dépôt de la demande d’autorisation d’appel et de la demande d’autorisation d’appel</w:t>
            </w:r>
          </w:p>
        </w:tc>
      </w:tr>
    </w:tbl>
    <w:p w:rsidR="00197F36" w:rsidRPr="006F7A67" w:rsidRDefault="00197F36" w:rsidP="00197F36">
      <w:pPr>
        <w:jc w:val="both"/>
        <w:rPr>
          <w:sz w:val="20"/>
          <w:lang w:val="fr-CA"/>
        </w:rPr>
      </w:pPr>
    </w:p>
    <w:p w:rsidR="00197F36" w:rsidRPr="006F7A67" w:rsidRDefault="00300F06" w:rsidP="00197F36">
      <w:pPr>
        <w:jc w:val="both"/>
        <w:rPr>
          <w:sz w:val="20"/>
          <w:lang w:val="fr-CA"/>
        </w:rPr>
      </w:pPr>
      <w:r>
        <w:rPr>
          <w:sz w:val="20"/>
        </w:rPr>
        <w:pict>
          <v:rect id="_x0000_i1046" style="width:2in;height:1pt" o:hrpct="0" o:hralign="center" o:hrstd="t" o:hrnoshade="t" o:hr="t" fillcolor="black [3213]" stroked="f"/>
        </w:pict>
      </w:r>
    </w:p>
    <w:p w:rsidR="00197F36" w:rsidRPr="006F7A67" w:rsidRDefault="00197F36" w:rsidP="00197F3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38868</w:t>
            </w:r>
          </w:p>
        </w:tc>
        <w:tc>
          <w:tcPr>
            <w:tcW w:w="4457" w:type="pct"/>
          </w:tcPr>
          <w:p w:rsidR="00197F36" w:rsidRPr="006F7A67" w:rsidRDefault="00197F36" w:rsidP="0019255A">
            <w:pPr>
              <w:pStyle w:val="SCCLsocParty"/>
              <w:jc w:val="both"/>
              <w:rPr>
                <w:b/>
                <w:sz w:val="20"/>
                <w:szCs w:val="20"/>
              </w:rPr>
            </w:pPr>
            <w:r w:rsidRPr="006F7A67">
              <w:rPr>
                <w:b/>
                <w:sz w:val="20"/>
                <w:szCs w:val="20"/>
              </w:rPr>
              <w:t>Boutique de Golf Gilles Gareau Inc. v. Municipalité de Saint-Colomban</w:t>
            </w:r>
            <w:r w:rsidR="008837D3" w:rsidRPr="006F7A67">
              <w:rPr>
                <w:b/>
                <w:sz w:val="20"/>
                <w:szCs w:val="20"/>
              </w:rPr>
              <w:t xml:space="preserve"> and</w:t>
            </w:r>
            <w:r w:rsidRPr="006F7A67">
              <w:rPr>
                <w:b/>
                <w:sz w:val="20"/>
                <w:szCs w:val="20"/>
              </w:rPr>
              <w:t xml:space="preserve"> Dominic Lirette</w:t>
            </w:r>
          </w:p>
          <w:p w:rsidR="00197F36" w:rsidRPr="006F7A67" w:rsidRDefault="00197F36" w:rsidP="0019255A">
            <w:pPr>
              <w:jc w:val="both"/>
              <w:rPr>
                <w:sz w:val="20"/>
              </w:rPr>
            </w:pPr>
            <w:r w:rsidRPr="006F7A67">
              <w:rPr>
                <w:sz w:val="20"/>
              </w:rPr>
              <w:t>(Que.) (Civil) (By Leave)</w:t>
            </w:r>
          </w:p>
        </w:tc>
      </w:tr>
      <w:tr w:rsidR="008837D3" w:rsidRPr="006F7A67" w:rsidTr="0019255A">
        <w:tc>
          <w:tcPr>
            <w:tcW w:w="5000" w:type="pct"/>
            <w:gridSpan w:val="2"/>
          </w:tcPr>
          <w:p w:rsidR="008837D3" w:rsidRPr="006F7A67" w:rsidRDefault="008837D3" w:rsidP="008837D3">
            <w:pPr>
              <w:jc w:val="both"/>
              <w:rPr>
                <w:sz w:val="20"/>
                <w:szCs w:val="20"/>
              </w:rPr>
            </w:pPr>
            <w:r w:rsidRPr="006F7A67">
              <w:rPr>
                <w:sz w:val="20"/>
                <w:szCs w:val="20"/>
              </w:rPr>
              <w:t xml:space="preserve">The application for leave to appeal from the judgment of the </w:t>
            </w:r>
            <w:r w:rsidRPr="006F7A67">
              <w:rPr>
                <w:sz w:val="20"/>
                <w:szCs w:val="20"/>
                <w:lang w:val="en-US"/>
              </w:rPr>
              <w:t>Court of Appeal of Quebec (Montréal)</w:t>
            </w:r>
            <w:r w:rsidRPr="006F7A67">
              <w:rPr>
                <w:sz w:val="20"/>
                <w:szCs w:val="20"/>
              </w:rPr>
              <w:t xml:space="preserve">, Number </w:t>
            </w:r>
            <w:r w:rsidRPr="006F7A67">
              <w:rPr>
                <w:sz w:val="20"/>
                <w:szCs w:val="20"/>
                <w:lang w:val="en-US"/>
              </w:rPr>
              <w:t xml:space="preserve">500-09-026968-172,  2019 QCCA 1402, </w:t>
            </w:r>
            <w:r w:rsidRPr="006F7A67">
              <w:rPr>
                <w:sz w:val="20"/>
                <w:szCs w:val="20"/>
              </w:rPr>
              <w:t xml:space="preserve">dated </w:t>
            </w:r>
            <w:r w:rsidRPr="006F7A67">
              <w:rPr>
                <w:sz w:val="20"/>
                <w:szCs w:val="20"/>
                <w:lang w:val="en-US"/>
              </w:rPr>
              <w:t>August 23, 2019,</w:t>
            </w:r>
            <w:r w:rsidRPr="006F7A67">
              <w:rPr>
                <w:sz w:val="20"/>
                <w:szCs w:val="20"/>
              </w:rPr>
              <w:t xml:space="preserve"> is dismissed with costs. </w:t>
            </w:r>
          </w:p>
          <w:p w:rsidR="008837D3" w:rsidRPr="006F7A67" w:rsidRDefault="008837D3" w:rsidP="0019255A">
            <w:pPr>
              <w:jc w:val="both"/>
              <w:rPr>
                <w:sz w:val="20"/>
              </w:rPr>
            </w:pPr>
          </w:p>
        </w:tc>
      </w:tr>
      <w:tr w:rsidR="00197F36" w:rsidRPr="006F7A67" w:rsidTr="0019255A">
        <w:tc>
          <w:tcPr>
            <w:tcW w:w="5000" w:type="pct"/>
            <w:gridSpan w:val="2"/>
          </w:tcPr>
          <w:p w:rsidR="00197F36" w:rsidRPr="006F7A67" w:rsidRDefault="00197F36" w:rsidP="0019255A">
            <w:pPr>
              <w:jc w:val="both"/>
              <w:rPr>
                <w:sz w:val="20"/>
              </w:rPr>
            </w:pPr>
            <w:r w:rsidRPr="006F7A67">
              <w:rPr>
                <w:sz w:val="20"/>
              </w:rPr>
              <w:t>Disguised expropriation — Bad faith — Golf course — Residential development project — Land designated for low</w:t>
            </w:r>
            <w:r w:rsidRPr="006F7A67">
              <w:rPr>
                <w:sz w:val="20"/>
              </w:rPr>
              <w:noBreakHyphen/>
              <w:t>density housing and cross</w:t>
            </w:r>
            <w:r w:rsidRPr="006F7A67">
              <w:rPr>
                <w:sz w:val="20"/>
              </w:rPr>
              <w:noBreakHyphen/>
              <w:t>country recreation uses — Municipal by</w:t>
            </w:r>
            <w:r w:rsidRPr="006F7A67">
              <w:rPr>
                <w:sz w:val="20"/>
              </w:rPr>
              <w:noBreakHyphen/>
              <w:t xml:space="preserve">law changed to prohibit residential use of land — Whether compliant application is substantially complete pursuant to </w:t>
            </w:r>
            <w:r w:rsidRPr="006F7A67">
              <w:rPr>
                <w:i/>
                <w:sz w:val="20"/>
              </w:rPr>
              <w:t>City of Ottawa et al. v. Boyd Builders Ltd.</w:t>
            </w:r>
            <w:r w:rsidRPr="006F7A67">
              <w:rPr>
                <w:sz w:val="20"/>
              </w:rPr>
              <w:t>,</w:t>
            </w:r>
            <w:r w:rsidRPr="006F7A67">
              <w:rPr>
                <w:i/>
                <w:sz w:val="20"/>
              </w:rPr>
              <w:t xml:space="preserve"> </w:t>
            </w:r>
            <w:r w:rsidRPr="006F7A67">
              <w:rPr>
                <w:sz w:val="20"/>
              </w:rPr>
              <w:t xml:space="preserve">[1965] S.C.R. 408, even if discretionary step still has to be taken, in this case entering into agreement on municipal work — Whether dispatch referred to in </w:t>
            </w:r>
            <w:r w:rsidRPr="006F7A67">
              <w:rPr>
                <w:i/>
                <w:sz w:val="20"/>
              </w:rPr>
              <w:t>Boyd Builders</w:t>
            </w:r>
            <w:r w:rsidRPr="006F7A67">
              <w:rPr>
                <w:sz w:val="20"/>
              </w:rPr>
              <w:t xml:space="preserve"> must be analyzed on basis of knowledge by municipality, as legal person established in public interest with continuing juridical personality, or on basis of actual knowledge by municipality’s elected officials or officers at time — Whether good faith referred to in </w:t>
            </w:r>
            <w:r w:rsidRPr="006F7A67">
              <w:rPr>
                <w:i/>
                <w:sz w:val="20"/>
              </w:rPr>
              <w:t>Boyd Builders</w:t>
            </w:r>
            <w:r w:rsidRPr="006F7A67">
              <w:rPr>
                <w:sz w:val="20"/>
              </w:rPr>
              <w:t xml:space="preserve"> must be analyzed on basis of pursuit of public interest alone, regardless of conduct engaged in for that purpose — Whether Court of Appeal made palpable and overriding error in finding that all C4 (recreational tourism business) uses were permitted.</w:t>
            </w:r>
          </w:p>
        </w:tc>
      </w:tr>
      <w:tr w:rsidR="00197F36" w:rsidRPr="006F7A67" w:rsidTr="0019255A">
        <w:tc>
          <w:tcPr>
            <w:tcW w:w="5000" w:type="pct"/>
            <w:gridSpan w:val="2"/>
          </w:tcPr>
          <w:p w:rsidR="00197F36" w:rsidRPr="006F7A67" w:rsidRDefault="00197F36" w:rsidP="0019255A">
            <w:pPr>
              <w:jc w:val="both"/>
              <w:rPr>
                <w:sz w:val="20"/>
              </w:rPr>
            </w:pPr>
          </w:p>
        </w:tc>
      </w:tr>
      <w:tr w:rsidR="00197F36" w:rsidRPr="006F7A67" w:rsidTr="0019255A">
        <w:tc>
          <w:tcPr>
            <w:tcW w:w="5000" w:type="pct"/>
            <w:gridSpan w:val="2"/>
          </w:tcPr>
          <w:p w:rsidR="00197F36" w:rsidRPr="006F7A67" w:rsidRDefault="00197F36" w:rsidP="0019255A">
            <w:pPr>
              <w:jc w:val="both"/>
              <w:rPr>
                <w:sz w:val="20"/>
              </w:rPr>
            </w:pPr>
            <w:r w:rsidRPr="006F7A67">
              <w:rPr>
                <w:sz w:val="20"/>
              </w:rPr>
              <w:t>The issue in this case is whether the respondent municipality’s amendment of a by</w:t>
            </w:r>
            <w:r w:rsidRPr="006F7A67">
              <w:rPr>
                <w:sz w:val="20"/>
              </w:rPr>
              <w:noBreakHyphen/>
              <w:t>law directed at the use of land owned by the applicant, Boutique de Golf Gilles Gareau Inc. (“BGGG”), amounted to disguised expropriation or was done in bad faith. The by</w:t>
            </w:r>
            <w:r w:rsidRPr="006F7A67">
              <w:rPr>
                <w:sz w:val="20"/>
              </w:rPr>
              <w:noBreakHyphen/>
              <w:t>law in question was aimed at keeping a golf course on BGGG’s land even though BGGG was trying to develop a residential project there. The municipality amended its by</w:t>
            </w:r>
            <w:r w:rsidRPr="006F7A67">
              <w:rPr>
                <w:sz w:val="20"/>
              </w:rPr>
              <w:noBreakHyphen/>
              <w:t>law after BGGG submitted a plan for a proposed subdivision for residential development, and thus after learning of BGGG’s intentions. This case therefore raises the question of whether depriving BGGG of an anticipated use of its land amounted to disguised expropriation and whether amending the applicable by</w:t>
            </w:r>
            <w:r w:rsidRPr="006F7A67">
              <w:rPr>
                <w:sz w:val="20"/>
              </w:rPr>
              <w:noBreakHyphen/>
              <w:t>law to preserve the golf course use was in good faith and in the public interest. The Superior Court found that there was disguised expropriation in the circumstances and that the municipality was in bad faith. The Court of Appeal intervened to reverse those findings.</w:t>
            </w:r>
          </w:p>
          <w:p w:rsidR="00197F36" w:rsidRPr="006F7A67" w:rsidRDefault="00197F36" w:rsidP="0019255A">
            <w:pPr>
              <w:jc w:val="both"/>
              <w:rPr>
                <w:sz w:val="20"/>
              </w:rPr>
            </w:pPr>
          </w:p>
        </w:tc>
      </w:tr>
    </w:tbl>
    <w:p w:rsidR="001A0C1D" w:rsidRPr="006F7A67" w:rsidRDefault="001A0C1D">
      <w:r w:rsidRPr="006F7A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7F36" w:rsidRPr="006F7A67" w:rsidTr="0019255A">
        <w:tc>
          <w:tcPr>
            <w:tcW w:w="2427" w:type="pct"/>
          </w:tcPr>
          <w:p w:rsidR="00197F36" w:rsidRPr="006F7A67" w:rsidRDefault="00197F36" w:rsidP="0019255A">
            <w:pPr>
              <w:jc w:val="both"/>
              <w:rPr>
                <w:sz w:val="20"/>
              </w:rPr>
            </w:pPr>
            <w:r w:rsidRPr="006F7A67">
              <w:rPr>
                <w:sz w:val="20"/>
              </w:rPr>
              <w:t>June 21, 2017 (with correction made on June 27, 2017)</w:t>
            </w:r>
          </w:p>
          <w:p w:rsidR="00197F36" w:rsidRPr="006F7A67" w:rsidRDefault="00197F36" w:rsidP="0019255A">
            <w:pPr>
              <w:jc w:val="both"/>
              <w:rPr>
                <w:sz w:val="20"/>
              </w:rPr>
            </w:pPr>
            <w:r w:rsidRPr="006F7A67">
              <w:rPr>
                <w:sz w:val="20"/>
              </w:rPr>
              <w:t>Quebec Superior Court</w:t>
            </w:r>
          </w:p>
          <w:p w:rsidR="00197F36" w:rsidRPr="006F7A67" w:rsidRDefault="00197F36" w:rsidP="0019255A">
            <w:pPr>
              <w:jc w:val="both"/>
              <w:rPr>
                <w:sz w:val="20"/>
              </w:rPr>
            </w:pPr>
            <w:r w:rsidRPr="006F7A67">
              <w:rPr>
                <w:sz w:val="20"/>
              </w:rPr>
              <w:t>(</w:t>
            </w:r>
            <w:proofErr w:type="spellStart"/>
            <w:r w:rsidRPr="006F7A67">
              <w:rPr>
                <w:sz w:val="20"/>
              </w:rPr>
              <w:t>Journet</w:t>
            </w:r>
            <w:proofErr w:type="spellEnd"/>
            <w:r w:rsidRPr="006F7A67">
              <w:rPr>
                <w:sz w:val="20"/>
              </w:rPr>
              <w:t xml:space="preserve"> J.)</w:t>
            </w:r>
          </w:p>
          <w:p w:rsidR="00197F36" w:rsidRPr="006F7A67" w:rsidRDefault="00300F06" w:rsidP="0019255A">
            <w:pPr>
              <w:jc w:val="both"/>
              <w:rPr>
                <w:sz w:val="20"/>
              </w:rPr>
            </w:pPr>
            <w:hyperlink r:id="rId51" w:history="1">
              <w:r w:rsidR="00197F36" w:rsidRPr="006F7A67">
                <w:rPr>
                  <w:rStyle w:val="Hyperlink"/>
                  <w:sz w:val="20"/>
                </w:rPr>
                <w:t>2017 QCCS 2689</w:t>
              </w:r>
            </w:hyperlink>
          </w:p>
          <w:p w:rsidR="00197F36" w:rsidRPr="006F7A67" w:rsidRDefault="00197F36" w:rsidP="0019255A">
            <w:pPr>
              <w:jc w:val="both"/>
              <w:rPr>
                <w:sz w:val="20"/>
              </w:rPr>
            </w:pP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 xml:space="preserve">Amended originating application for </w:t>
            </w:r>
            <w:r w:rsidRPr="006F7A67">
              <w:rPr>
                <w:i/>
                <w:sz w:val="20"/>
              </w:rPr>
              <w:t>mandamus</w:t>
            </w:r>
            <w:r w:rsidRPr="006F7A67">
              <w:rPr>
                <w:sz w:val="20"/>
              </w:rPr>
              <w:t>, declaratory judgment, nullity and damages allowed in part; applicant found to be entitled to expropriation indemnity; municipality ordered to pay expropriation indemnity; transfer of title to municipality on receipt of expropriation indemnity ordered</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August 23, 2019</w:t>
            </w:r>
          </w:p>
          <w:p w:rsidR="00197F36" w:rsidRPr="006F7A67" w:rsidRDefault="00197F36" w:rsidP="0019255A">
            <w:pPr>
              <w:jc w:val="both"/>
              <w:rPr>
                <w:sz w:val="20"/>
              </w:rPr>
            </w:pPr>
            <w:r w:rsidRPr="006F7A67">
              <w:rPr>
                <w:sz w:val="20"/>
              </w:rPr>
              <w:t>Quebec Court of Appeal (Montréal)</w:t>
            </w:r>
          </w:p>
          <w:p w:rsidR="00197F36" w:rsidRPr="006F7A67" w:rsidRDefault="00197F36" w:rsidP="0019255A">
            <w:pPr>
              <w:jc w:val="both"/>
              <w:rPr>
                <w:sz w:val="20"/>
              </w:rPr>
            </w:pPr>
            <w:r w:rsidRPr="006F7A67">
              <w:rPr>
                <w:sz w:val="20"/>
              </w:rPr>
              <w:t>(</w:t>
            </w:r>
            <w:proofErr w:type="spellStart"/>
            <w:r w:rsidRPr="006F7A67">
              <w:rPr>
                <w:sz w:val="20"/>
              </w:rPr>
              <w:t>Vauclair</w:t>
            </w:r>
            <w:proofErr w:type="spellEnd"/>
            <w:r w:rsidRPr="006F7A67">
              <w:rPr>
                <w:sz w:val="20"/>
              </w:rPr>
              <w:t>, Roy and Gagné JJ.A.)</w:t>
            </w:r>
          </w:p>
          <w:p w:rsidR="00197F36" w:rsidRPr="006F7A67" w:rsidRDefault="00197F36" w:rsidP="0019255A">
            <w:pPr>
              <w:jc w:val="both"/>
              <w:rPr>
                <w:sz w:val="20"/>
              </w:rPr>
            </w:pPr>
            <w:r w:rsidRPr="006F7A67">
              <w:rPr>
                <w:sz w:val="20"/>
              </w:rPr>
              <w:t>File No. 500</w:t>
            </w:r>
            <w:r w:rsidRPr="006F7A67">
              <w:rPr>
                <w:sz w:val="20"/>
              </w:rPr>
              <w:noBreakHyphen/>
              <w:t>09</w:t>
            </w:r>
            <w:r w:rsidRPr="006F7A67">
              <w:rPr>
                <w:sz w:val="20"/>
              </w:rPr>
              <w:noBreakHyphen/>
              <w:t>026968</w:t>
            </w:r>
            <w:r w:rsidRPr="006F7A67">
              <w:rPr>
                <w:sz w:val="20"/>
              </w:rPr>
              <w:noBreakHyphen/>
              <w:t>172</w:t>
            </w:r>
          </w:p>
          <w:p w:rsidR="00197F36" w:rsidRPr="006F7A67" w:rsidRDefault="00300F06" w:rsidP="0019255A">
            <w:pPr>
              <w:jc w:val="both"/>
              <w:rPr>
                <w:sz w:val="20"/>
              </w:rPr>
            </w:pPr>
            <w:hyperlink r:id="rId52" w:history="1">
              <w:r w:rsidR="00197F36" w:rsidRPr="006F7A67">
                <w:rPr>
                  <w:rStyle w:val="Hyperlink"/>
                  <w:sz w:val="20"/>
                </w:rPr>
                <w:t>2019 QCCA 1402</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 xml:space="preserve">Appeal allowed; judgment of Superior Court set aside; amended originating application for </w:t>
            </w:r>
            <w:r w:rsidRPr="006F7A67">
              <w:rPr>
                <w:i/>
                <w:sz w:val="20"/>
              </w:rPr>
              <w:t>mandamus</w:t>
            </w:r>
            <w:r w:rsidRPr="006F7A67">
              <w:rPr>
                <w:sz w:val="20"/>
              </w:rPr>
              <w:t>, declaratory judgment, nullity and damages dismissed</w:t>
            </w:r>
          </w:p>
        </w:tc>
      </w:tr>
      <w:tr w:rsidR="00197F36" w:rsidRPr="006F7A67" w:rsidTr="0019255A">
        <w:tc>
          <w:tcPr>
            <w:tcW w:w="2427" w:type="pct"/>
          </w:tcPr>
          <w:p w:rsidR="00197F36" w:rsidRPr="006F7A67" w:rsidRDefault="00197F36" w:rsidP="0019255A">
            <w:pPr>
              <w:jc w:val="both"/>
              <w:rPr>
                <w:sz w:val="20"/>
              </w:rPr>
            </w:pPr>
            <w:r w:rsidRPr="006F7A67">
              <w:rPr>
                <w:sz w:val="20"/>
              </w:rPr>
              <w:t>October 21, 2019</w:t>
            </w:r>
          </w:p>
          <w:p w:rsidR="00197F36" w:rsidRPr="006F7A67" w:rsidRDefault="00197F36" w:rsidP="0019255A">
            <w:pPr>
              <w:jc w:val="both"/>
              <w:rPr>
                <w:sz w:val="20"/>
              </w:rPr>
            </w:pPr>
            <w:r w:rsidRPr="006F7A67">
              <w:rPr>
                <w:sz w:val="20"/>
              </w:rPr>
              <w:t>Supreme Court of Canada</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leave to appeal filed</w:t>
            </w:r>
          </w:p>
          <w:p w:rsidR="00197F36" w:rsidRPr="006F7A67" w:rsidRDefault="00197F36" w:rsidP="0019255A">
            <w:pPr>
              <w:jc w:val="both"/>
              <w:rPr>
                <w:sz w:val="20"/>
              </w:rPr>
            </w:pP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47"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38868</w:t>
            </w:r>
          </w:p>
        </w:tc>
        <w:tc>
          <w:tcPr>
            <w:tcW w:w="4457" w:type="pct"/>
          </w:tcPr>
          <w:p w:rsidR="00197F36" w:rsidRPr="006F7A67" w:rsidRDefault="00197F36" w:rsidP="0019255A">
            <w:pPr>
              <w:pStyle w:val="SCCLsocParty"/>
              <w:jc w:val="both"/>
              <w:rPr>
                <w:b/>
                <w:sz w:val="20"/>
                <w:szCs w:val="20"/>
              </w:rPr>
            </w:pPr>
            <w:r w:rsidRPr="006F7A67">
              <w:rPr>
                <w:b/>
                <w:sz w:val="20"/>
                <w:szCs w:val="20"/>
              </w:rPr>
              <w:t>Boutique de Golf Gilles Gareau Inc. c. Municipalité de Saint-Colomban</w:t>
            </w:r>
            <w:r w:rsidR="008837D3" w:rsidRPr="006F7A67">
              <w:rPr>
                <w:b/>
                <w:sz w:val="20"/>
                <w:szCs w:val="20"/>
              </w:rPr>
              <w:t xml:space="preserve"> et</w:t>
            </w:r>
            <w:r w:rsidRPr="006F7A67">
              <w:rPr>
                <w:b/>
                <w:sz w:val="20"/>
                <w:szCs w:val="20"/>
              </w:rPr>
              <w:t xml:space="preserve"> Dominic Lirette</w:t>
            </w:r>
          </w:p>
          <w:p w:rsidR="00197F36" w:rsidRPr="006F7A67" w:rsidRDefault="00197F36" w:rsidP="0019255A">
            <w:pPr>
              <w:jc w:val="both"/>
              <w:rPr>
                <w:sz w:val="20"/>
                <w:lang w:val="fr-CA"/>
              </w:rPr>
            </w:pPr>
            <w:r w:rsidRPr="006F7A67">
              <w:rPr>
                <w:sz w:val="20"/>
                <w:lang w:val="fr-CA"/>
              </w:rPr>
              <w:t>(Qc) (Civile) (Autorisation)</w:t>
            </w:r>
          </w:p>
        </w:tc>
      </w:tr>
      <w:tr w:rsidR="008837D3" w:rsidRPr="00DB0D35" w:rsidTr="0019255A">
        <w:tc>
          <w:tcPr>
            <w:tcW w:w="5000" w:type="pct"/>
            <w:gridSpan w:val="2"/>
          </w:tcPr>
          <w:p w:rsidR="008837D3" w:rsidRPr="006F7A67" w:rsidRDefault="008837D3" w:rsidP="008837D3">
            <w:pPr>
              <w:jc w:val="both"/>
              <w:rPr>
                <w:sz w:val="20"/>
                <w:szCs w:val="20"/>
                <w:lang w:val="fr-CA"/>
              </w:rPr>
            </w:pPr>
            <w:r w:rsidRPr="006F7A67">
              <w:rPr>
                <w:sz w:val="20"/>
                <w:szCs w:val="20"/>
                <w:lang w:val="fr-CA"/>
              </w:rPr>
              <w:t>La demande d’autorisation d’appel de l’arrêt de la Cour d’appel du Québec (Montréal), numéro 500-09-026968-172, 2019 QCCA 1402, daté du 23 août 2019, est rejetée avec dépens.</w:t>
            </w:r>
          </w:p>
          <w:p w:rsidR="008837D3" w:rsidRPr="006F7A67" w:rsidRDefault="008837D3" w:rsidP="0019255A">
            <w:pPr>
              <w:jc w:val="both"/>
              <w:rPr>
                <w:sz w:val="20"/>
                <w:lang w:val="fr-CA"/>
              </w:rPr>
            </w:pPr>
          </w:p>
        </w:tc>
      </w:tr>
      <w:tr w:rsidR="00197F36" w:rsidRPr="00DB0D35" w:rsidTr="0019255A">
        <w:tc>
          <w:tcPr>
            <w:tcW w:w="5000" w:type="pct"/>
            <w:gridSpan w:val="2"/>
          </w:tcPr>
          <w:p w:rsidR="00197F36" w:rsidRPr="006F7A67" w:rsidRDefault="00197F36" w:rsidP="0019255A">
            <w:pPr>
              <w:jc w:val="both"/>
              <w:rPr>
                <w:sz w:val="20"/>
                <w:lang w:val="fr-CA"/>
              </w:rPr>
            </w:pPr>
            <w:r w:rsidRPr="006F7A67">
              <w:rPr>
                <w:sz w:val="20"/>
                <w:lang w:val="fr-CA"/>
              </w:rPr>
              <w:t>Expropriation déguisée — Mauvaise foi — Terrain de golf — Projet de développement résidentiel —Terrain affecté à l’usage de l’habitation à faible densité et à celui de la récréation extensive — Changement de règlement au niveau municipal pour prohiber usage résidentiel du terrain — Est</w:t>
            </w:r>
            <w:r w:rsidRPr="006F7A67">
              <w:rPr>
                <w:sz w:val="20"/>
                <w:lang w:val="fr-CA"/>
              </w:rPr>
              <w:noBreakHyphen/>
              <w:t xml:space="preserve">ce qu’une demande conforme est substantiellement complète selon l’arrêt </w:t>
            </w:r>
            <w:r w:rsidRPr="006F7A67">
              <w:rPr>
                <w:i/>
                <w:sz w:val="20"/>
                <w:lang w:val="fr-CA"/>
              </w:rPr>
              <w:t xml:space="preserve">City of Ottawa et al. c. Boyd </w:t>
            </w:r>
            <w:proofErr w:type="spellStart"/>
            <w:r w:rsidRPr="006F7A67">
              <w:rPr>
                <w:i/>
                <w:sz w:val="20"/>
                <w:lang w:val="fr-CA"/>
              </w:rPr>
              <w:t>Builders</w:t>
            </w:r>
            <w:proofErr w:type="spellEnd"/>
            <w:r w:rsidRPr="006F7A67">
              <w:rPr>
                <w:i/>
                <w:sz w:val="20"/>
                <w:lang w:val="fr-CA"/>
              </w:rPr>
              <w:t xml:space="preserve"> Ltd.</w:t>
            </w:r>
            <w:r w:rsidRPr="006F7A67">
              <w:rPr>
                <w:sz w:val="20"/>
                <w:lang w:val="fr-CA"/>
              </w:rPr>
              <w:t>,</w:t>
            </w:r>
            <w:r w:rsidRPr="006F7A67">
              <w:rPr>
                <w:i/>
                <w:sz w:val="20"/>
                <w:lang w:val="fr-CA"/>
              </w:rPr>
              <w:t xml:space="preserve"> </w:t>
            </w:r>
            <w:r w:rsidRPr="006F7A67">
              <w:rPr>
                <w:sz w:val="20"/>
                <w:lang w:val="fr-CA"/>
              </w:rPr>
              <w:t>[1965] R.C.S. 408, même s’il reste une étape à caractère discrétionnaire à franchir, en l’occurrence ici, la conclusion d’une entente sur les travaux municipaux? — Est</w:t>
            </w:r>
            <w:r w:rsidRPr="006F7A67">
              <w:rPr>
                <w:sz w:val="20"/>
                <w:lang w:val="fr-CA"/>
              </w:rPr>
              <w:noBreakHyphen/>
              <w:t xml:space="preserve">ce que la diligence à laquelle réfère l’affaire </w:t>
            </w:r>
            <w:r w:rsidRPr="006F7A67">
              <w:rPr>
                <w:i/>
                <w:sz w:val="20"/>
                <w:lang w:val="fr-CA"/>
              </w:rPr>
              <w:t xml:space="preserve">Boyd </w:t>
            </w:r>
            <w:proofErr w:type="spellStart"/>
            <w:r w:rsidRPr="006F7A67">
              <w:rPr>
                <w:i/>
                <w:sz w:val="20"/>
                <w:lang w:val="fr-CA"/>
              </w:rPr>
              <w:t>Builders</w:t>
            </w:r>
            <w:proofErr w:type="spellEnd"/>
            <w:r w:rsidRPr="006F7A67">
              <w:rPr>
                <w:sz w:val="20"/>
                <w:lang w:val="fr-CA"/>
              </w:rPr>
              <w:t xml:space="preserve"> s’analyse en fonction de la connaissance par la municipalité en tant que personne morale de droit public ayant une personnalité juridique continue, ou par la connaissance effective de ses élus ou fonctionnaires du moment? — Est</w:t>
            </w:r>
            <w:r w:rsidRPr="006F7A67">
              <w:rPr>
                <w:sz w:val="20"/>
                <w:lang w:val="fr-CA"/>
              </w:rPr>
              <w:noBreakHyphen/>
              <w:t xml:space="preserve">ce que la bonne foi à laquelle réfère l’arrêt </w:t>
            </w:r>
            <w:r w:rsidRPr="006F7A67">
              <w:rPr>
                <w:i/>
                <w:sz w:val="20"/>
                <w:lang w:val="fr-CA"/>
              </w:rPr>
              <w:t xml:space="preserve">Boyd </w:t>
            </w:r>
            <w:proofErr w:type="spellStart"/>
            <w:r w:rsidRPr="006F7A67">
              <w:rPr>
                <w:i/>
                <w:sz w:val="20"/>
                <w:lang w:val="fr-CA"/>
              </w:rPr>
              <w:t>Builders</w:t>
            </w:r>
            <w:proofErr w:type="spellEnd"/>
            <w:r w:rsidRPr="006F7A67">
              <w:rPr>
                <w:sz w:val="20"/>
                <w:lang w:val="fr-CA"/>
              </w:rPr>
              <w:t xml:space="preserve"> s’analyse en fonction de la seule poursuite de l’intérêt public, et ce, sans égard au comportement adopté pour y parvenir? — Est</w:t>
            </w:r>
            <w:r w:rsidRPr="006F7A67">
              <w:rPr>
                <w:sz w:val="20"/>
                <w:lang w:val="fr-CA"/>
              </w:rPr>
              <w:noBreakHyphen/>
              <w:t>ce que la Cour d’appel a commis une erreur manifeste et déterminante en concluant que tous les usages C4 (Commerce récréotouristique) sont permis?</w:t>
            </w:r>
          </w:p>
        </w:tc>
      </w:tr>
      <w:tr w:rsidR="00197F36" w:rsidRPr="00DB0D35" w:rsidTr="0019255A">
        <w:tc>
          <w:tcPr>
            <w:tcW w:w="5000" w:type="pct"/>
            <w:gridSpan w:val="2"/>
          </w:tcPr>
          <w:p w:rsidR="00197F36" w:rsidRPr="006F7A67" w:rsidRDefault="00197F36" w:rsidP="0019255A">
            <w:pPr>
              <w:jc w:val="both"/>
              <w:rPr>
                <w:sz w:val="20"/>
                <w:lang w:val="fr-CA"/>
              </w:rPr>
            </w:pPr>
          </w:p>
        </w:tc>
      </w:tr>
      <w:tr w:rsidR="00197F36" w:rsidRPr="00DB0D35" w:rsidTr="0019255A">
        <w:tc>
          <w:tcPr>
            <w:tcW w:w="5000" w:type="pct"/>
            <w:gridSpan w:val="2"/>
          </w:tcPr>
          <w:p w:rsidR="00197F36" w:rsidRPr="006F7A67" w:rsidRDefault="00197F36" w:rsidP="0019255A">
            <w:pPr>
              <w:jc w:val="both"/>
              <w:rPr>
                <w:sz w:val="20"/>
                <w:lang w:val="fr-CA"/>
              </w:rPr>
            </w:pPr>
            <w:r w:rsidRPr="006F7A67">
              <w:rPr>
                <w:sz w:val="20"/>
                <w:lang w:val="fr-CA"/>
              </w:rPr>
              <w:t>Il est question dans cette affaire de savoir si la modification par la municipalité défenderesse d’un règlement visant l’usage du terrain de la demanderesse Boutique de Golf Gilles Gareau Inc. (« BGGG ») équivaut à une expropriation déguisée et/ou est empreinte de mauvaise foi. Le règlement en question vise le maintien du golf sur le terrain de BGGG, alors que celle</w:t>
            </w:r>
            <w:r w:rsidRPr="006F7A67">
              <w:rPr>
                <w:sz w:val="20"/>
                <w:lang w:val="fr-CA"/>
              </w:rPr>
              <w:noBreakHyphen/>
              <w:t>ci cherche à y faire développer un projet résidentiel. La municipalité a modifié son règlement après que BGGG ait présenté un plan de projet de lotissement pour le développement résidentiel, et donc après avoir fait connaissance des intentions de BGGG. Ce dossier demande donc si le fait de priver BGGG d’un usage anticipé de ses terrains constitue une expropriation déguisée, et si le fait d’avoir modifié sa règlementation applicable pour conserver l’usage de golf était de bonne foi et dans l’intérêt public. La Cour supérieure a conclu à une expropriation déguisée dans les circonstances, ainsi qu’à la mauvaise foi de la municipalité. La Cour d’appel, pour sa part, est intervenue pour renverser ces conclusions.</w:t>
            </w:r>
          </w:p>
          <w:p w:rsidR="00197F36" w:rsidRPr="006F7A67" w:rsidRDefault="00197F36" w:rsidP="0019255A">
            <w:pPr>
              <w:jc w:val="both"/>
              <w:rPr>
                <w:sz w:val="20"/>
                <w:lang w:val="fr-CA"/>
              </w:rPr>
            </w:pPr>
          </w:p>
        </w:tc>
      </w:tr>
    </w:tbl>
    <w:p w:rsidR="001A0C1D" w:rsidRPr="006F7A67" w:rsidRDefault="001A0C1D">
      <w:pPr>
        <w:rPr>
          <w:lang w:val="fr-CA"/>
        </w:rPr>
      </w:pPr>
      <w:r w:rsidRPr="006F7A6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7F36" w:rsidRPr="00DB0D35" w:rsidTr="0019255A">
        <w:tc>
          <w:tcPr>
            <w:tcW w:w="2427" w:type="pct"/>
          </w:tcPr>
          <w:p w:rsidR="00197F36" w:rsidRPr="006F7A67" w:rsidRDefault="00197F36" w:rsidP="0019255A">
            <w:pPr>
              <w:jc w:val="both"/>
              <w:rPr>
                <w:sz w:val="20"/>
                <w:lang w:val="fr-CA"/>
              </w:rPr>
            </w:pPr>
            <w:r w:rsidRPr="006F7A67">
              <w:rPr>
                <w:sz w:val="20"/>
                <w:lang w:val="fr-CA"/>
              </w:rPr>
              <w:t>Le 21 juin 2017 (avec correction apportée le 27 juin 2017)</w:t>
            </w:r>
          </w:p>
          <w:p w:rsidR="00197F36" w:rsidRPr="006F7A67" w:rsidRDefault="00197F36" w:rsidP="0019255A">
            <w:pPr>
              <w:jc w:val="both"/>
              <w:rPr>
                <w:sz w:val="20"/>
                <w:lang w:val="fr-CA"/>
              </w:rPr>
            </w:pPr>
            <w:r w:rsidRPr="006F7A67">
              <w:rPr>
                <w:sz w:val="20"/>
                <w:lang w:val="fr-CA"/>
              </w:rPr>
              <w:t>Cour supérieure du Québec</w:t>
            </w:r>
          </w:p>
          <w:p w:rsidR="00197F36" w:rsidRPr="006F7A67" w:rsidRDefault="00197F36" w:rsidP="0019255A">
            <w:pPr>
              <w:jc w:val="both"/>
              <w:rPr>
                <w:sz w:val="20"/>
                <w:lang w:val="fr-CA"/>
              </w:rPr>
            </w:pPr>
            <w:r w:rsidRPr="006F7A67">
              <w:rPr>
                <w:sz w:val="20"/>
                <w:lang w:val="fr-CA"/>
              </w:rPr>
              <w:t xml:space="preserve">(le juge </w:t>
            </w:r>
            <w:proofErr w:type="spellStart"/>
            <w:r w:rsidRPr="006F7A67">
              <w:rPr>
                <w:sz w:val="20"/>
                <w:lang w:val="fr-CA"/>
              </w:rPr>
              <w:t>Journet</w:t>
            </w:r>
            <w:proofErr w:type="spellEnd"/>
            <w:r w:rsidRPr="006F7A67">
              <w:rPr>
                <w:sz w:val="20"/>
                <w:lang w:val="fr-CA"/>
              </w:rPr>
              <w:t>)</w:t>
            </w:r>
          </w:p>
          <w:p w:rsidR="00197F36" w:rsidRPr="006F7A67" w:rsidRDefault="00300F06" w:rsidP="0019255A">
            <w:pPr>
              <w:jc w:val="both"/>
              <w:rPr>
                <w:sz w:val="20"/>
                <w:lang w:val="fr-FR"/>
              </w:rPr>
            </w:pPr>
            <w:hyperlink r:id="rId53" w:history="1">
              <w:r w:rsidR="00197F36" w:rsidRPr="006F7A67">
                <w:rPr>
                  <w:rStyle w:val="Hyperlink"/>
                  <w:sz w:val="20"/>
                  <w:lang w:val="fr-FR"/>
                </w:rPr>
                <w:t>2017 QCCS 2689</w:t>
              </w:r>
            </w:hyperlink>
            <w:r w:rsidR="00197F36" w:rsidRPr="006F7A67">
              <w:rPr>
                <w:sz w:val="20"/>
                <w:lang w:val="fr-FR"/>
              </w:rPr>
              <w:t xml:space="preserve"> </w:t>
            </w:r>
          </w:p>
          <w:p w:rsidR="00197F36" w:rsidRPr="006F7A67" w:rsidRDefault="00197F36" w:rsidP="0019255A">
            <w:pPr>
              <w:jc w:val="both"/>
              <w:rPr>
                <w:sz w:val="20"/>
              </w:rPr>
            </w:pP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lang w:val="fr-CA"/>
              </w:rPr>
            </w:pPr>
            <w:r w:rsidRPr="006F7A67">
              <w:rPr>
                <w:sz w:val="20"/>
                <w:lang w:val="fr-CA"/>
              </w:rPr>
              <w:t xml:space="preserve">Demande introductive d’instance en </w:t>
            </w:r>
            <w:r w:rsidRPr="006F7A67">
              <w:rPr>
                <w:i/>
                <w:sz w:val="20"/>
                <w:lang w:val="fr-CA"/>
              </w:rPr>
              <w:t>mandamus</w:t>
            </w:r>
            <w:r w:rsidRPr="006F7A67">
              <w:rPr>
                <w:sz w:val="20"/>
                <w:lang w:val="fr-CA"/>
              </w:rPr>
              <w:t>, en jugement déclaratoire, en nullité et en dommages-intérêts amendée accueillie en partie; Droit à une indemnité d’expropriation déclaré; Municipalité condamnée à verser indemnité d’expropriation; Passation de titre à la municipalité sur réception de l’indemnité d’expropriation ordonnée</w:t>
            </w:r>
          </w:p>
          <w:p w:rsidR="00197F36" w:rsidRPr="006F7A67" w:rsidRDefault="00197F36" w:rsidP="0019255A">
            <w:pPr>
              <w:jc w:val="both"/>
              <w:rPr>
                <w:sz w:val="20"/>
                <w:lang w:val="fr-CA"/>
              </w:rPr>
            </w:pPr>
          </w:p>
        </w:tc>
      </w:tr>
      <w:tr w:rsidR="00197F36" w:rsidRPr="00DB0D35" w:rsidTr="0019255A">
        <w:tc>
          <w:tcPr>
            <w:tcW w:w="2427" w:type="pct"/>
          </w:tcPr>
          <w:p w:rsidR="00197F36" w:rsidRPr="006F7A67" w:rsidRDefault="00197F36" w:rsidP="0019255A">
            <w:pPr>
              <w:jc w:val="both"/>
              <w:rPr>
                <w:sz w:val="20"/>
                <w:lang w:val="fr-CA"/>
              </w:rPr>
            </w:pPr>
            <w:r w:rsidRPr="006F7A67">
              <w:rPr>
                <w:sz w:val="20"/>
                <w:lang w:val="fr-CA"/>
              </w:rPr>
              <w:t>Le 23 août 2019</w:t>
            </w:r>
          </w:p>
          <w:p w:rsidR="00197F36" w:rsidRPr="006F7A67" w:rsidRDefault="00197F36" w:rsidP="0019255A">
            <w:pPr>
              <w:jc w:val="both"/>
              <w:rPr>
                <w:sz w:val="20"/>
                <w:lang w:val="fr-CA"/>
              </w:rPr>
            </w:pPr>
            <w:r w:rsidRPr="006F7A67">
              <w:rPr>
                <w:sz w:val="20"/>
                <w:lang w:val="fr-CA"/>
              </w:rPr>
              <w:t>Cour d’appel du Québec (Montréal)</w:t>
            </w:r>
          </w:p>
          <w:p w:rsidR="00197F36" w:rsidRPr="006F7A67" w:rsidRDefault="00197F36" w:rsidP="0019255A">
            <w:pPr>
              <w:jc w:val="both"/>
              <w:rPr>
                <w:sz w:val="20"/>
                <w:lang w:val="fr-CA"/>
              </w:rPr>
            </w:pPr>
            <w:r w:rsidRPr="006F7A67">
              <w:rPr>
                <w:sz w:val="20"/>
                <w:lang w:val="fr-CA"/>
              </w:rPr>
              <w:t xml:space="preserve">(les juges </w:t>
            </w:r>
            <w:proofErr w:type="spellStart"/>
            <w:r w:rsidRPr="006F7A67">
              <w:rPr>
                <w:sz w:val="20"/>
                <w:lang w:val="fr-CA"/>
              </w:rPr>
              <w:t>Vauclair</w:t>
            </w:r>
            <w:proofErr w:type="spellEnd"/>
            <w:r w:rsidRPr="006F7A67">
              <w:rPr>
                <w:sz w:val="20"/>
                <w:lang w:val="fr-CA"/>
              </w:rPr>
              <w:t>, Roy et Gagné)</w:t>
            </w:r>
          </w:p>
          <w:p w:rsidR="00197F36" w:rsidRPr="006F7A67" w:rsidRDefault="00197F36" w:rsidP="0019255A">
            <w:pPr>
              <w:jc w:val="both"/>
              <w:rPr>
                <w:sz w:val="20"/>
              </w:rPr>
            </w:pPr>
            <w:r w:rsidRPr="006F7A67">
              <w:rPr>
                <w:sz w:val="20"/>
              </w:rPr>
              <w:t>No. dossier 500</w:t>
            </w:r>
            <w:r w:rsidRPr="006F7A67">
              <w:rPr>
                <w:sz w:val="20"/>
              </w:rPr>
              <w:noBreakHyphen/>
              <w:t>09</w:t>
            </w:r>
            <w:r w:rsidRPr="006F7A67">
              <w:rPr>
                <w:sz w:val="20"/>
              </w:rPr>
              <w:noBreakHyphen/>
              <w:t>026968</w:t>
            </w:r>
            <w:r w:rsidRPr="006F7A67">
              <w:rPr>
                <w:sz w:val="20"/>
              </w:rPr>
              <w:noBreakHyphen/>
              <w:t>172</w:t>
            </w:r>
          </w:p>
          <w:p w:rsidR="00197F36" w:rsidRPr="006F7A67" w:rsidRDefault="00300F06" w:rsidP="0019255A">
            <w:pPr>
              <w:jc w:val="both"/>
              <w:rPr>
                <w:sz w:val="20"/>
                <w:lang w:val="fr-FR"/>
              </w:rPr>
            </w:pPr>
            <w:hyperlink r:id="rId54" w:history="1">
              <w:r w:rsidR="00197F36" w:rsidRPr="006F7A67">
                <w:rPr>
                  <w:rStyle w:val="Hyperlink"/>
                  <w:sz w:val="20"/>
                  <w:lang w:val="fr-FR"/>
                </w:rPr>
                <w:t>2019 QCCA 1402</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lang w:val="fr-CA"/>
              </w:rPr>
            </w:pPr>
            <w:r w:rsidRPr="006F7A67">
              <w:rPr>
                <w:sz w:val="20"/>
                <w:lang w:val="fr-CA"/>
              </w:rPr>
              <w:t xml:space="preserve">Appel accueilli; Jugement de la Cour supérieure infirmé; Demande introductive d’instance en </w:t>
            </w:r>
            <w:r w:rsidRPr="006F7A67">
              <w:rPr>
                <w:i/>
                <w:sz w:val="20"/>
                <w:lang w:val="fr-CA"/>
              </w:rPr>
              <w:t>mandamus</w:t>
            </w:r>
            <w:r w:rsidRPr="006F7A67">
              <w:rPr>
                <w:sz w:val="20"/>
                <w:lang w:val="fr-CA"/>
              </w:rPr>
              <w:t>, en jugement déclaratoire, en nullité et en dommages</w:t>
            </w:r>
            <w:r w:rsidRPr="006F7A67">
              <w:rPr>
                <w:sz w:val="20"/>
                <w:lang w:val="fr-CA"/>
              </w:rPr>
              <w:noBreakHyphen/>
              <w:t>intérêts amendée rejetée</w:t>
            </w:r>
          </w:p>
        </w:tc>
      </w:tr>
      <w:tr w:rsidR="00197F36" w:rsidRPr="006F7A67" w:rsidTr="0019255A">
        <w:tc>
          <w:tcPr>
            <w:tcW w:w="2427" w:type="pct"/>
          </w:tcPr>
          <w:p w:rsidR="00197F36" w:rsidRPr="006F7A67" w:rsidRDefault="00197F36" w:rsidP="0019255A">
            <w:pPr>
              <w:jc w:val="both"/>
              <w:rPr>
                <w:sz w:val="20"/>
                <w:lang w:val="fr-CA"/>
              </w:rPr>
            </w:pPr>
            <w:r w:rsidRPr="006F7A67">
              <w:rPr>
                <w:sz w:val="20"/>
                <w:lang w:val="fr-CA"/>
              </w:rPr>
              <w:t>Le 21 octobre 2019</w:t>
            </w:r>
          </w:p>
          <w:p w:rsidR="00197F36" w:rsidRPr="006F7A67" w:rsidRDefault="00197F36" w:rsidP="0019255A">
            <w:pPr>
              <w:jc w:val="both"/>
              <w:rPr>
                <w:sz w:val="20"/>
                <w:lang w:val="fr-CA"/>
              </w:rPr>
            </w:pPr>
            <w:r w:rsidRPr="006F7A67">
              <w:rPr>
                <w:sz w:val="20"/>
                <w:lang w:val="fr-CA"/>
              </w:rPr>
              <w:t>Cour suprême du Canada</w:t>
            </w: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rPr>
            </w:pPr>
            <w:r w:rsidRPr="006F7A67">
              <w:rPr>
                <w:sz w:val="20"/>
              </w:rPr>
              <w:t>Demande d’autorisation d’appel déposée</w:t>
            </w:r>
          </w:p>
          <w:p w:rsidR="00197F36" w:rsidRPr="006F7A67" w:rsidRDefault="00197F36" w:rsidP="0019255A">
            <w:pPr>
              <w:jc w:val="both"/>
              <w:rPr>
                <w:sz w:val="20"/>
              </w:rPr>
            </w:pP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48" style="width:2in;height:1pt" o:hrpct="0" o:hralign="center" o:hrstd="t" o:hrnoshade="t" o:hr="t" fillcolor="black [3213]" stroked="f"/>
        </w:pict>
      </w:r>
    </w:p>
    <w:p w:rsidR="00197F36" w:rsidRPr="006F7A67" w:rsidRDefault="00197F36" w:rsidP="00197F3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38885</w:t>
            </w:r>
          </w:p>
        </w:tc>
        <w:tc>
          <w:tcPr>
            <w:tcW w:w="4457" w:type="pct"/>
            <w:gridSpan w:val="3"/>
          </w:tcPr>
          <w:p w:rsidR="00197F36" w:rsidRPr="006F7A67" w:rsidRDefault="00197F36" w:rsidP="0019255A">
            <w:pPr>
              <w:pStyle w:val="SCCLsocParty"/>
              <w:jc w:val="both"/>
              <w:rPr>
                <w:b/>
                <w:sz w:val="20"/>
                <w:szCs w:val="20"/>
              </w:rPr>
            </w:pPr>
            <w:r w:rsidRPr="006F7A67">
              <w:rPr>
                <w:b/>
                <w:sz w:val="20"/>
                <w:szCs w:val="20"/>
              </w:rPr>
              <w:t xml:space="preserve">Dessureault CPA et Associés </w:t>
            </w:r>
            <w:r w:rsidR="007F6D28" w:rsidRPr="006F7A67">
              <w:rPr>
                <w:b/>
                <w:sz w:val="20"/>
                <w:szCs w:val="20"/>
              </w:rPr>
              <w:t>i</w:t>
            </w:r>
            <w:r w:rsidRPr="006F7A67">
              <w:rPr>
                <w:b/>
                <w:sz w:val="20"/>
                <w:szCs w:val="20"/>
              </w:rPr>
              <w:t>nc. v. Jason Bergeron, Mathieu Plante</w:t>
            </w:r>
            <w:r w:rsidR="007F6D28" w:rsidRPr="006F7A67">
              <w:rPr>
                <w:b/>
                <w:sz w:val="20"/>
                <w:szCs w:val="20"/>
              </w:rPr>
              <w:t xml:space="preserve"> and</w:t>
            </w:r>
            <w:r w:rsidRPr="006F7A67">
              <w:rPr>
                <w:b/>
                <w:sz w:val="20"/>
                <w:szCs w:val="20"/>
              </w:rPr>
              <w:t xml:space="preserve"> Mathieu St</w:t>
            </w:r>
            <w:r w:rsidRPr="006F7A67">
              <w:rPr>
                <w:b/>
                <w:sz w:val="20"/>
                <w:szCs w:val="20"/>
              </w:rPr>
              <w:noBreakHyphen/>
              <w:t>Arnaud</w:t>
            </w:r>
          </w:p>
          <w:p w:rsidR="00197F36" w:rsidRPr="006F7A67" w:rsidRDefault="00197F36" w:rsidP="0019255A">
            <w:pPr>
              <w:jc w:val="both"/>
              <w:rPr>
                <w:sz w:val="20"/>
              </w:rPr>
            </w:pPr>
            <w:r w:rsidRPr="006F7A67">
              <w:rPr>
                <w:sz w:val="20"/>
              </w:rPr>
              <w:t>(Que.) (Civil) (By Leave)</w:t>
            </w:r>
          </w:p>
        </w:tc>
      </w:tr>
      <w:tr w:rsidR="007F6D28" w:rsidRPr="006F7A67" w:rsidTr="0019255A">
        <w:tc>
          <w:tcPr>
            <w:tcW w:w="5000" w:type="pct"/>
            <w:gridSpan w:val="4"/>
          </w:tcPr>
          <w:p w:rsidR="007F6D28" w:rsidRPr="006F7A67" w:rsidRDefault="007F6D28" w:rsidP="007F6D28">
            <w:pPr>
              <w:jc w:val="both"/>
              <w:rPr>
                <w:sz w:val="20"/>
                <w:szCs w:val="20"/>
              </w:rPr>
            </w:pPr>
            <w:r w:rsidRPr="006F7A67">
              <w:rPr>
                <w:sz w:val="20"/>
                <w:szCs w:val="20"/>
              </w:rPr>
              <w:t xml:space="preserve">The application for leave to appeal from the judgment of the </w:t>
            </w:r>
            <w:r w:rsidRPr="006F7A67">
              <w:rPr>
                <w:sz w:val="20"/>
                <w:szCs w:val="20"/>
                <w:lang w:val="en-US"/>
              </w:rPr>
              <w:t>Court of Appeal of Quebec (Québec)</w:t>
            </w:r>
            <w:r w:rsidRPr="006F7A67">
              <w:rPr>
                <w:sz w:val="20"/>
                <w:szCs w:val="20"/>
              </w:rPr>
              <w:t xml:space="preserve">, Number </w:t>
            </w:r>
            <w:r w:rsidRPr="006F7A67">
              <w:rPr>
                <w:sz w:val="20"/>
                <w:szCs w:val="20"/>
                <w:lang w:val="en-US"/>
              </w:rPr>
              <w:t>200-09-010066-196, 2019 QCCA 1405,</w:t>
            </w:r>
            <w:r w:rsidRPr="006F7A67">
              <w:rPr>
                <w:sz w:val="20"/>
                <w:szCs w:val="20"/>
              </w:rPr>
              <w:t xml:space="preserve"> dated </w:t>
            </w:r>
            <w:r w:rsidRPr="006F7A67">
              <w:rPr>
                <w:sz w:val="20"/>
                <w:szCs w:val="20"/>
                <w:lang w:val="en-US"/>
              </w:rPr>
              <w:t>August 22, 2019,</w:t>
            </w:r>
            <w:r w:rsidRPr="006F7A67">
              <w:rPr>
                <w:sz w:val="20"/>
                <w:szCs w:val="20"/>
              </w:rPr>
              <w:t xml:space="preserve"> is dismissed with costs. </w:t>
            </w:r>
          </w:p>
          <w:p w:rsidR="007F6D28" w:rsidRPr="006F7A67" w:rsidRDefault="007F6D28" w:rsidP="0019255A">
            <w:pPr>
              <w:jc w:val="both"/>
              <w:rPr>
                <w:sz w:val="20"/>
              </w:rPr>
            </w:pPr>
          </w:p>
        </w:tc>
      </w:tr>
      <w:tr w:rsidR="00197F36" w:rsidRPr="006F7A67" w:rsidTr="0019255A">
        <w:tc>
          <w:tcPr>
            <w:tcW w:w="5000" w:type="pct"/>
            <w:gridSpan w:val="4"/>
          </w:tcPr>
          <w:p w:rsidR="00197F36" w:rsidRPr="006F7A67" w:rsidRDefault="00197F36" w:rsidP="0019255A">
            <w:pPr>
              <w:jc w:val="both"/>
              <w:rPr>
                <w:sz w:val="20"/>
              </w:rPr>
            </w:pPr>
            <w:r w:rsidRPr="006F7A67">
              <w:rPr>
                <w:sz w:val="20"/>
              </w:rPr>
              <w:t xml:space="preserve">Civil procedure — Appeal with leave — Whether Court of Appeal judge sitting alone, in deciding whether to grant applicant leave to appeal judgment dismissing its application for Anton </w:t>
            </w:r>
            <w:proofErr w:type="spellStart"/>
            <w:r w:rsidRPr="006F7A67">
              <w:rPr>
                <w:sz w:val="20"/>
              </w:rPr>
              <w:t>Piller</w:t>
            </w:r>
            <w:proofErr w:type="spellEnd"/>
            <w:r w:rsidRPr="006F7A67">
              <w:rPr>
                <w:sz w:val="20"/>
              </w:rPr>
              <w:t xml:space="preserve"> order, erred in interpreting criteria for granting leave to appeal — Whether Court of Appeal judge erred in stating that applicant had filed appeal as of right concerning rest of its action, thereby modifying operative part of trial judgment and adding to it, which usurped trial judge’s powers — If this Court holds that Court of Appeal judge sitting alone did not err in finding that applicant had filed appeal as of right concerning rest of its action, whether that judge erred in stating that trial judgment allowed exception to dismiss in relation to entire action.</w:t>
            </w:r>
          </w:p>
          <w:p w:rsidR="00197F36" w:rsidRPr="006F7A67" w:rsidRDefault="00197F36" w:rsidP="0019255A">
            <w:pPr>
              <w:jc w:val="both"/>
              <w:rPr>
                <w:sz w:val="20"/>
              </w:rPr>
            </w:pPr>
          </w:p>
        </w:tc>
      </w:tr>
      <w:tr w:rsidR="00197F36" w:rsidRPr="006F7A67" w:rsidTr="0019255A">
        <w:tc>
          <w:tcPr>
            <w:tcW w:w="5000" w:type="pct"/>
            <w:gridSpan w:val="4"/>
          </w:tcPr>
          <w:p w:rsidR="00197F36" w:rsidRPr="006F7A67" w:rsidRDefault="00197F36" w:rsidP="0019255A">
            <w:pPr>
              <w:jc w:val="both"/>
              <w:rPr>
                <w:sz w:val="20"/>
              </w:rPr>
            </w:pPr>
            <w:r w:rsidRPr="006F7A67">
              <w:rPr>
                <w:sz w:val="20"/>
              </w:rPr>
              <w:t xml:space="preserve">The respondent accountants all worked for the applicant, </w:t>
            </w:r>
            <w:proofErr w:type="spellStart"/>
            <w:r w:rsidRPr="006F7A67">
              <w:rPr>
                <w:sz w:val="20"/>
              </w:rPr>
              <w:t>Dessureault</w:t>
            </w:r>
            <w:proofErr w:type="spellEnd"/>
            <w:r w:rsidRPr="006F7A67">
              <w:rPr>
                <w:sz w:val="20"/>
              </w:rPr>
              <w:t xml:space="preserve"> CPA et Associés Inc., for several years before they resigned in the spring of 2019. The respondents filed, in the Superior Court, an exception to dismiss an application for a provisional interlocutory injunction against the respondents Mr. </w:t>
            </w:r>
            <w:proofErr w:type="spellStart"/>
            <w:r w:rsidRPr="006F7A67">
              <w:rPr>
                <w:sz w:val="20"/>
              </w:rPr>
              <w:t>Plante</w:t>
            </w:r>
            <w:proofErr w:type="spellEnd"/>
            <w:r w:rsidRPr="006F7A67">
              <w:rPr>
                <w:sz w:val="20"/>
              </w:rPr>
              <w:t xml:space="preserve"> and Mr. St</w:t>
            </w:r>
            <w:r w:rsidRPr="006F7A67">
              <w:rPr>
                <w:sz w:val="20"/>
              </w:rPr>
              <w:noBreakHyphen/>
              <w:t xml:space="preserve">Arnaud and an Anton </w:t>
            </w:r>
            <w:proofErr w:type="spellStart"/>
            <w:r w:rsidRPr="006F7A67">
              <w:rPr>
                <w:sz w:val="20"/>
              </w:rPr>
              <w:t>Piller</w:t>
            </w:r>
            <w:proofErr w:type="spellEnd"/>
            <w:r w:rsidRPr="006F7A67">
              <w:rPr>
                <w:sz w:val="20"/>
              </w:rPr>
              <w:t xml:space="preserve"> order against the respondent Mr. Bergeron. They also filed an application to set aside a provisional Anton </w:t>
            </w:r>
            <w:proofErr w:type="spellStart"/>
            <w:r w:rsidRPr="006F7A67">
              <w:rPr>
                <w:sz w:val="20"/>
              </w:rPr>
              <w:t>Piller</w:t>
            </w:r>
            <w:proofErr w:type="spellEnd"/>
            <w:r w:rsidRPr="006F7A67">
              <w:rPr>
                <w:sz w:val="20"/>
              </w:rPr>
              <w:t xml:space="preserve"> injunction order against the respondent Mr. Bergeron.</w:t>
            </w:r>
          </w:p>
          <w:p w:rsidR="00197F36" w:rsidRPr="006F7A67" w:rsidRDefault="00197F36" w:rsidP="0019255A">
            <w:pPr>
              <w:jc w:val="both"/>
              <w:rPr>
                <w:sz w:val="20"/>
              </w:rPr>
            </w:pPr>
          </w:p>
          <w:p w:rsidR="00197F36" w:rsidRPr="006F7A67" w:rsidRDefault="00197F36" w:rsidP="0019255A">
            <w:pPr>
              <w:jc w:val="both"/>
              <w:rPr>
                <w:sz w:val="20"/>
              </w:rPr>
            </w:pPr>
            <w:r w:rsidRPr="006F7A67">
              <w:rPr>
                <w:sz w:val="20"/>
              </w:rPr>
              <w:t xml:space="preserve">The Superior Court found that the application to set aside was well founded. In its view, the burden of proof for issuing an Anton </w:t>
            </w:r>
            <w:proofErr w:type="spellStart"/>
            <w:r w:rsidRPr="006F7A67">
              <w:rPr>
                <w:sz w:val="20"/>
              </w:rPr>
              <w:t>Piller</w:t>
            </w:r>
            <w:proofErr w:type="spellEnd"/>
            <w:r w:rsidRPr="006F7A67">
              <w:rPr>
                <w:sz w:val="20"/>
              </w:rPr>
              <w:t xml:space="preserve"> order had not been met. It also noted that the exception to dismiss was well founded and should be allowed. It dismissed the application for an Anton </w:t>
            </w:r>
            <w:proofErr w:type="spellStart"/>
            <w:r w:rsidRPr="006F7A67">
              <w:rPr>
                <w:sz w:val="20"/>
              </w:rPr>
              <w:t>Piller</w:t>
            </w:r>
            <w:proofErr w:type="spellEnd"/>
            <w:r w:rsidRPr="006F7A67">
              <w:rPr>
                <w:sz w:val="20"/>
              </w:rPr>
              <w:t xml:space="preserve"> order and the application for a provisional injunction order. The Court of Appeal dismissed the application for leave to appeal filed by </w:t>
            </w:r>
            <w:proofErr w:type="spellStart"/>
            <w:r w:rsidRPr="006F7A67">
              <w:rPr>
                <w:sz w:val="20"/>
              </w:rPr>
              <w:t>Dessureault</w:t>
            </w:r>
            <w:proofErr w:type="spellEnd"/>
            <w:r w:rsidRPr="006F7A67">
              <w:rPr>
                <w:sz w:val="20"/>
              </w:rPr>
              <w:t xml:space="preserve"> CPA et Associés Inc. </w:t>
            </w:r>
          </w:p>
        </w:tc>
      </w:tr>
      <w:tr w:rsidR="00197F36" w:rsidRPr="006F7A67" w:rsidTr="0019255A">
        <w:tc>
          <w:tcPr>
            <w:tcW w:w="5000" w:type="pct"/>
            <w:gridSpan w:val="4"/>
          </w:tcPr>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July 24, 2019</w:t>
            </w:r>
          </w:p>
          <w:p w:rsidR="00197F36" w:rsidRPr="006F7A67" w:rsidRDefault="00197F36" w:rsidP="0019255A">
            <w:pPr>
              <w:jc w:val="both"/>
              <w:rPr>
                <w:sz w:val="20"/>
              </w:rPr>
            </w:pPr>
            <w:r w:rsidRPr="006F7A67">
              <w:rPr>
                <w:sz w:val="20"/>
              </w:rPr>
              <w:t>Quebec Superior Court</w:t>
            </w:r>
          </w:p>
          <w:p w:rsidR="00197F36" w:rsidRPr="006F7A67" w:rsidRDefault="00197F36" w:rsidP="0019255A">
            <w:pPr>
              <w:jc w:val="both"/>
              <w:rPr>
                <w:sz w:val="20"/>
              </w:rPr>
            </w:pPr>
            <w:r w:rsidRPr="006F7A67">
              <w:rPr>
                <w:sz w:val="20"/>
              </w:rPr>
              <w:t>(</w:t>
            </w:r>
            <w:proofErr w:type="spellStart"/>
            <w:r w:rsidRPr="006F7A67">
              <w:rPr>
                <w:sz w:val="20"/>
              </w:rPr>
              <w:t>Geoffroy</w:t>
            </w:r>
            <w:proofErr w:type="spellEnd"/>
            <w:r w:rsidRPr="006F7A67">
              <w:rPr>
                <w:sz w:val="20"/>
              </w:rPr>
              <w:t xml:space="preserve"> J.)</w:t>
            </w:r>
          </w:p>
          <w:p w:rsidR="00197F36" w:rsidRPr="006F7A67" w:rsidRDefault="00300F06" w:rsidP="0019255A">
            <w:pPr>
              <w:jc w:val="both"/>
              <w:rPr>
                <w:sz w:val="20"/>
              </w:rPr>
            </w:pPr>
            <w:hyperlink r:id="rId55" w:history="1">
              <w:r w:rsidR="00197F36" w:rsidRPr="006F7A67">
                <w:rPr>
                  <w:rStyle w:val="Hyperlink"/>
                  <w:sz w:val="20"/>
                </w:rPr>
                <w:t>2019 QCCS 3189</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 xml:space="preserve">Application for Anton </w:t>
            </w:r>
            <w:proofErr w:type="spellStart"/>
            <w:r w:rsidRPr="006F7A67">
              <w:rPr>
                <w:sz w:val="20"/>
              </w:rPr>
              <w:t>Piller</w:t>
            </w:r>
            <w:proofErr w:type="spellEnd"/>
            <w:r w:rsidRPr="006F7A67">
              <w:rPr>
                <w:sz w:val="20"/>
              </w:rPr>
              <w:t xml:space="preserve"> order and application for provisional injunction order dismissed</w:t>
            </w:r>
          </w:p>
          <w:p w:rsidR="00197F36" w:rsidRPr="006F7A67" w:rsidRDefault="00197F36" w:rsidP="0019255A">
            <w:pPr>
              <w:jc w:val="both"/>
              <w:rPr>
                <w:sz w:val="20"/>
              </w:rPr>
            </w:pPr>
          </w:p>
        </w:tc>
      </w:tr>
    </w:tbl>
    <w:p w:rsidR="001A0C1D" w:rsidRPr="006F7A67" w:rsidRDefault="001A0C1D">
      <w:r w:rsidRPr="006F7A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7F36" w:rsidRPr="006F7A67" w:rsidTr="0019255A">
        <w:tc>
          <w:tcPr>
            <w:tcW w:w="2427" w:type="pct"/>
          </w:tcPr>
          <w:p w:rsidR="00197F36" w:rsidRPr="006F7A67" w:rsidRDefault="00197F36" w:rsidP="0019255A">
            <w:pPr>
              <w:jc w:val="both"/>
              <w:rPr>
                <w:sz w:val="20"/>
              </w:rPr>
            </w:pPr>
            <w:r w:rsidRPr="006F7A67">
              <w:rPr>
                <w:sz w:val="20"/>
              </w:rPr>
              <w:t>August 22, 2019</w:t>
            </w:r>
          </w:p>
          <w:p w:rsidR="00197F36" w:rsidRPr="006F7A67" w:rsidRDefault="00197F36" w:rsidP="0019255A">
            <w:pPr>
              <w:jc w:val="both"/>
              <w:rPr>
                <w:sz w:val="20"/>
              </w:rPr>
            </w:pPr>
            <w:r w:rsidRPr="006F7A67">
              <w:rPr>
                <w:sz w:val="20"/>
              </w:rPr>
              <w:t>Quebec Court of Appeal (Québec)</w:t>
            </w:r>
          </w:p>
          <w:p w:rsidR="00197F36" w:rsidRPr="006F7A67" w:rsidRDefault="00197F36" w:rsidP="0019255A">
            <w:pPr>
              <w:jc w:val="both"/>
              <w:rPr>
                <w:sz w:val="20"/>
              </w:rPr>
            </w:pPr>
            <w:r w:rsidRPr="006F7A67">
              <w:rPr>
                <w:sz w:val="20"/>
              </w:rPr>
              <w:t>(</w:t>
            </w:r>
            <w:proofErr w:type="spellStart"/>
            <w:r w:rsidRPr="006F7A67">
              <w:rPr>
                <w:sz w:val="20"/>
              </w:rPr>
              <w:t>Rancourt</w:t>
            </w:r>
            <w:proofErr w:type="spellEnd"/>
            <w:r w:rsidRPr="006F7A67">
              <w:rPr>
                <w:sz w:val="20"/>
              </w:rPr>
              <w:t xml:space="preserve"> J.A.)</w:t>
            </w:r>
          </w:p>
          <w:p w:rsidR="00197F36" w:rsidRPr="006F7A67" w:rsidRDefault="00300F06" w:rsidP="0019255A">
            <w:pPr>
              <w:jc w:val="both"/>
              <w:rPr>
                <w:sz w:val="20"/>
              </w:rPr>
            </w:pPr>
            <w:hyperlink r:id="rId56" w:history="1">
              <w:r w:rsidR="00197F36" w:rsidRPr="006F7A67">
                <w:rPr>
                  <w:rStyle w:val="Hyperlink"/>
                  <w:sz w:val="20"/>
                </w:rPr>
                <w:t>2019 QCCA 1405</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leave to appeal dismissed</w:t>
            </w:r>
          </w:p>
        </w:tc>
      </w:tr>
      <w:tr w:rsidR="00197F36" w:rsidRPr="006F7A67" w:rsidTr="0019255A">
        <w:tc>
          <w:tcPr>
            <w:tcW w:w="2427" w:type="pct"/>
          </w:tcPr>
          <w:p w:rsidR="00197F36" w:rsidRPr="006F7A67" w:rsidRDefault="00197F36" w:rsidP="0019255A">
            <w:pPr>
              <w:jc w:val="both"/>
              <w:rPr>
                <w:sz w:val="20"/>
              </w:rPr>
            </w:pPr>
            <w:r w:rsidRPr="006F7A67">
              <w:rPr>
                <w:sz w:val="20"/>
              </w:rPr>
              <w:t>October 21, 2019</w:t>
            </w:r>
          </w:p>
          <w:p w:rsidR="00197F36" w:rsidRPr="006F7A67" w:rsidRDefault="00197F36" w:rsidP="0019255A">
            <w:pPr>
              <w:jc w:val="both"/>
              <w:rPr>
                <w:sz w:val="20"/>
              </w:rPr>
            </w:pPr>
            <w:r w:rsidRPr="006F7A67">
              <w:rPr>
                <w:sz w:val="20"/>
              </w:rPr>
              <w:t>Supreme Court of Canada</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leave to appeal filed</w:t>
            </w: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49"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38885</w:t>
            </w:r>
          </w:p>
        </w:tc>
        <w:tc>
          <w:tcPr>
            <w:tcW w:w="4457" w:type="pct"/>
            <w:gridSpan w:val="3"/>
          </w:tcPr>
          <w:p w:rsidR="00197F36" w:rsidRPr="006F7A67" w:rsidRDefault="00197F36" w:rsidP="0019255A">
            <w:pPr>
              <w:pStyle w:val="SCCLsocParty"/>
              <w:jc w:val="both"/>
              <w:rPr>
                <w:b/>
                <w:sz w:val="20"/>
                <w:szCs w:val="20"/>
              </w:rPr>
            </w:pPr>
            <w:r w:rsidRPr="006F7A67">
              <w:rPr>
                <w:b/>
                <w:sz w:val="20"/>
                <w:szCs w:val="20"/>
              </w:rPr>
              <w:t xml:space="preserve">Dessureault CPA et Associés </w:t>
            </w:r>
            <w:r w:rsidR="007F6D28" w:rsidRPr="006F7A67">
              <w:rPr>
                <w:b/>
                <w:sz w:val="20"/>
                <w:szCs w:val="20"/>
              </w:rPr>
              <w:t>i</w:t>
            </w:r>
            <w:r w:rsidRPr="006F7A67">
              <w:rPr>
                <w:b/>
                <w:sz w:val="20"/>
                <w:szCs w:val="20"/>
              </w:rPr>
              <w:t>nc. c. Jason Bergeron, Mathieu Plante</w:t>
            </w:r>
            <w:r w:rsidR="007F6D28" w:rsidRPr="006F7A67">
              <w:rPr>
                <w:b/>
                <w:sz w:val="20"/>
                <w:szCs w:val="20"/>
              </w:rPr>
              <w:t xml:space="preserve"> et</w:t>
            </w:r>
            <w:r w:rsidRPr="006F7A67">
              <w:rPr>
                <w:b/>
                <w:sz w:val="20"/>
                <w:szCs w:val="20"/>
              </w:rPr>
              <w:t xml:space="preserve"> Mathieu St-Arnaud</w:t>
            </w:r>
          </w:p>
          <w:p w:rsidR="00197F36" w:rsidRPr="006F7A67" w:rsidRDefault="00197F36" w:rsidP="0019255A">
            <w:pPr>
              <w:jc w:val="both"/>
              <w:rPr>
                <w:sz w:val="20"/>
              </w:rPr>
            </w:pPr>
            <w:r w:rsidRPr="006F7A67">
              <w:rPr>
                <w:sz w:val="20"/>
              </w:rPr>
              <w:t>(Qc) (Civile) (Autorisation)</w:t>
            </w:r>
          </w:p>
        </w:tc>
      </w:tr>
      <w:tr w:rsidR="007F6D28" w:rsidRPr="00DB0D35" w:rsidTr="0019255A">
        <w:tc>
          <w:tcPr>
            <w:tcW w:w="5000" w:type="pct"/>
            <w:gridSpan w:val="4"/>
          </w:tcPr>
          <w:p w:rsidR="007F6D28" w:rsidRPr="006F7A67" w:rsidRDefault="007F6D28" w:rsidP="007F6D28">
            <w:pPr>
              <w:jc w:val="both"/>
              <w:rPr>
                <w:sz w:val="20"/>
                <w:szCs w:val="20"/>
                <w:lang w:val="fr-CA"/>
              </w:rPr>
            </w:pPr>
            <w:r w:rsidRPr="006F7A67">
              <w:rPr>
                <w:sz w:val="20"/>
                <w:szCs w:val="20"/>
                <w:lang w:val="fr-CA"/>
              </w:rPr>
              <w:t>La demande d’autorisation d’appel de l’arrêt de la Cour d’appel du Québec (Québec), numéro 200-09-010066-196, 2019 QCCA 1405, daté du 22 août 2019, est rejetée avec dépens.</w:t>
            </w:r>
          </w:p>
          <w:p w:rsidR="007F6D28" w:rsidRPr="006F7A67" w:rsidRDefault="007F6D28" w:rsidP="0019255A">
            <w:pPr>
              <w:jc w:val="both"/>
              <w:rPr>
                <w:sz w:val="20"/>
                <w:lang w:val="fr-CA"/>
              </w:rPr>
            </w:pPr>
          </w:p>
        </w:tc>
      </w:tr>
      <w:tr w:rsidR="00197F36" w:rsidRPr="00DB0D35" w:rsidTr="0019255A">
        <w:tc>
          <w:tcPr>
            <w:tcW w:w="5000" w:type="pct"/>
            <w:gridSpan w:val="4"/>
          </w:tcPr>
          <w:p w:rsidR="00197F36" w:rsidRPr="006F7A67" w:rsidRDefault="00197F36" w:rsidP="0019255A">
            <w:pPr>
              <w:jc w:val="both"/>
              <w:rPr>
                <w:sz w:val="20"/>
                <w:lang w:val="fr-CA"/>
              </w:rPr>
            </w:pPr>
            <w:r w:rsidRPr="006F7A67">
              <w:rPr>
                <w:sz w:val="20"/>
                <w:lang w:val="fr-CA"/>
              </w:rPr>
              <w:t>Procédure civile — Appel sur permission — Se prononçant sur la permission d’appeler de la demanderesse sur le jugement rejetant son recours pour émission d’une ordonnance de type Anton Piller, le juge unique de la Cour d’appel a</w:t>
            </w:r>
            <w:r w:rsidRPr="006F7A67">
              <w:rPr>
                <w:sz w:val="20"/>
                <w:lang w:val="fr-CA"/>
              </w:rPr>
              <w:noBreakHyphen/>
              <w:t>t</w:t>
            </w:r>
            <w:r w:rsidRPr="006F7A67">
              <w:rPr>
                <w:sz w:val="20"/>
                <w:lang w:val="fr-CA"/>
              </w:rPr>
              <w:noBreakHyphen/>
              <w:t>il erré dans son interprétation des critères applicables à la permission d’en appeler? — Le juge de la Cour d’appel a</w:t>
            </w:r>
            <w:r w:rsidRPr="006F7A67">
              <w:rPr>
                <w:sz w:val="20"/>
                <w:lang w:val="fr-CA"/>
              </w:rPr>
              <w:noBreakHyphen/>
              <w:t>t</w:t>
            </w:r>
            <w:r w:rsidRPr="006F7A67">
              <w:rPr>
                <w:sz w:val="20"/>
                <w:lang w:val="fr-CA"/>
              </w:rPr>
              <w:noBreakHyphen/>
              <w:t>il erré en déclarant que la demanderesse avait logé un appel de plein droit quant au reste de son recours, modifiant ainsi le dispositif du jugement de première instance et ajoutant à celui</w:t>
            </w:r>
            <w:r w:rsidRPr="006F7A67">
              <w:rPr>
                <w:sz w:val="20"/>
                <w:lang w:val="fr-CA"/>
              </w:rPr>
              <w:noBreakHyphen/>
              <w:t>ci, usurpant les pouvoirs du juge de première instance? — Dans l’éventualité où cette Cour conclurait que le juge de la Cour d’appel n’a pas commis d’erreur en concluant que la demanderesse avait logé un appel de plein droit concernant le reste de son recours, le juge unique de la Cour d’appel a</w:t>
            </w:r>
            <w:r w:rsidRPr="006F7A67">
              <w:rPr>
                <w:sz w:val="20"/>
                <w:lang w:val="fr-CA"/>
              </w:rPr>
              <w:noBreakHyphen/>
              <w:t>t</w:t>
            </w:r>
            <w:r w:rsidRPr="006F7A67">
              <w:rPr>
                <w:sz w:val="20"/>
                <w:lang w:val="fr-CA"/>
              </w:rPr>
              <w:noBreakHyphen/>
              <w:t>il commis une erreur en déclarant que le jugement de première instance accueillait l’irrecevabilité quant à l’ensemble du recours?</w:t>
            </w:r>
          </w:p>
          <w:p w:rsidR="00197F36" w:rsidRPr="006F7A67" w:rsidRDefault="00197F36" w:rsidP="0019255A">
            <w:pPr>
              <w:jc w:val="both"/>
              <w:rPr>
                <w:sz w:val="20"/>
                <w:lang w:val="fr-CA"/>
              </w:rPr>
            </w:pPr>
          </w:p>
        </w:tc>
      </w:tr>
      <w:tr w:rsidR="00197F36" w:rsidRPr="00DB0D35" w:rsidTr="0019255A">
        <w:tc>
          <w:tcPr>
            <w:tcW w:w="5000" w:type="pct"/>
            <w:gridSpan w:val="4"/>
          </w:tcPr>
          <w:p w:rsidR="00197F36" w:rsidRPr="006F7A67" w:rsidRDefault="00197F36" w:rsidP="0019255A">
            <w:pPr>
              <w:jc w:val="both"/>
              <w:rPr>
                <w:sz w:val="20"/>
                <w:lang w:val="fr-CA"/>
              </w:rPr>
            </w:pPr>
            <w:r w:rsidRPr="006F7A67">
              <w:rPr>
                <w:sz w:val="20"/>
                <w:lang w:val="fr-CA"/>
              </w:rPr>
              <w:t>Les intimés, des comptables, ont tous les trois travaillé chez la demanderesse Dessureault CPA et Associés Inc. pendant plusieurs années avant de remettre leurs démissions au printemps 2019. Les intimés présentent en Cour supérieure un moyen d’irrecevabilité visant une demande d’injonction interlocutoire provisoire visant les intimés M. Plante et M. St</w:t>
            </w:r>
            <w:r w:rsidRPr="006F7A67">
              <w:rPr>
                <w:sz w:val="20"/>
                <w:lang w:val="fr-CA"/>
              </w:rPr>
              <w:noBreakHyphen/>
              <w:t xml:space="preserve">Arnaud et une ordonnance de type </w:t>
            </w:r>
            <w:r w:rsidRPr="006F7A67">
              <w:rPr>
                <w:i/>
                <w:sz w:val="20"/>
                <w:lang w:val="fr-CA"/>
              </w:rPr>
              <w:t xml:space="preserve">Anton Piller </w:t>
            </w:r>
            <w:r w:rsidRPr="006F7A67">
              <w:rPr>
                <w:sz w:val="20"/>
                <w:lang w:val="fr-CA"/>
              </w:rPr>
              <w:t xml:space="preserve">visant l’intimé M. Bergeron; ainsi qu’une demande pour faire annuler une ordonnance d’injonction provisoire de type </w:t>
            </w:r>
            <w:r w:rsidRPr="006F7A67">
              <w:rPr>
                <w:i/>
                <w:sz w:val="20"/>
                <w:lang w:val="fr-CA"/>
              </w:rPr>
              <w:t>Anton Piller</w:t>
            </w:r>
            <w:r w:rsidRPr="006F7A67">
              <w:rPr>
                <w:sz w:val="20"/>
                <w:lang w:val="fr-CA"/>
              </w:rPr>
              <w:t xml:space="preserve"> visant l’intimé M. Bergeron.</w:t>
            </w:r>
          </w:p>
          <w:p w:rsidR="00197F36" w:rsidRPr="006F7A67" w:rsidRDefault="00197F36" w:rsidP="0019255A">
            <w:pPr>
              <w:jc w:val="both"/>
              <w:rPr>
                <w:sz w:val="20"/>
                <w:lang w:val="fr-CA"/>
              </w:rPr>
            </w:pPr>
          </w:p>
          <w:p w:rsidR="00197F36" w:rsidRPr="006F7A67" w:rsidRDefault="00197F36" w:rsidP="0019255A">
            <w:pPr>
              <w:jc w:val="both"/>
              <w:rPr>
                <w:sz w:val="20"/>
                <w:lang w:val="fr-CA"/>
              </w:rPr>
            </w:pPr>
            <w:r w:rsidRPr="006F7A67">
              <w:rPr>
                <w:sz w:val="20"/>
                <w:lang w:val="fr-CA"/>
              </w:rPr>
              <w:t xml:space="preserve">La Cour supérieure considère que la demande d’annulation est fondée. À son avis, le fardeau de preuve n’a pas été rencontré pour l’émission de l’ordonnance de type </w:t>
            </w:r>
            <w:r w:rsidRPr="006F7A67">
              <w:rPr>
                <w:i/>
                <w:sz w:val="20"/>
                <w:lang w:val="fr-CA"/>
              </w:rPr>
              <w:t>Anton Piller</w:t>
            </w:r>
            <w:r w:rsidRPr="006F7A67">
              <w:rPr>
                <w:sz w:val="20"/>
                <w:lang w:val="fr-CA"/>
              </w:rPr>
              <w:t xml:space="preserve">. Par ailleurs, elle note que le moyen d’irrecevabilité est fondé et que cette demande doit être accueillie. Elle rejette la demande pour l’émission d’une ordonnance de type </w:t>
            </w:r>
            <w:r w:rsidRPr="006F7A67">
              <w:rPr>
                <w:i/>
                <w:sz w:val="20"/>
                <w:lang w:val="fr-CA"/>
              </w:rPr>
              <w:t>Anton Piller</w:t>
            </w:r>
            <w:r w:rsidRPr="006F7A67">
              <w:rPr>
                <w:sz w:val="20"/>
                <w:lang w:val="fr-CA"/>
              </w:rPr>
              <w:t xml:space="preserve"> et rejette la demande pour l’émission d’une ordonnance d’injonction provisoire. La Cour d’appel rejette la demande pour permission d’appeler de Dessureault CPA et Associés Inc. </w:t>
            </w:r>
          </w:p>
        </w:tc>
      </w:tr>
      <w:tr w:rsidR="00197F36" w:rsidRPr="00DB0D35" w:rsidTr="0019255A">
        <w:tc>
          <w:tcPr>
            <w:tcW w:w="5000" w:type="pct"/>
            <w:gridSpan w:val="4"/>
          </w:tcPr>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Le 24 juillet 2019</w:t>
            </w:r>
          </w:p>
          <w:p w:rsidR="00197F36" w:rsidRPr="006F7A67" w:rsidRDefault="00197F36" w:rsidP="0019255A">
            <w:pPr>
              <w:jc w:val="both"/>
              <w:rPr>
                <w:sz w:val="20"/>
                <w:lang w:val="fr-CA"/>
              </w:rPr>
            </w:pPr>
            <w:r w:rsidRPr="006F7A67">
              <w:rPr>
                <w:sz w:val="20"/>
                <w:lang w:val="fr-CA"/>
              </w:rPr>
              <w:t>Cour supérieure du Québec</w:t>
            </w:r>
          </w:p>
          <w:p w:rsidR="00197F36" w:rsidRPr="006F7A67" w:rsidRDefault="00197F36" w:rsidP="0019255A">
            <w:pPr>
              <w:jc w:val="both"/>
              <w:rPr>
                <w:sz w:val="20"/>
              </w:rPr>
            </w:pPr>
            <w:r w:rsidRPr="006F7A67">
              <w:rPr>
                <w:sz w:val="20"/>
              </w:rPr>
              <w:t xml:space="preserve">(le juge </w:t>
            </w:r>
            <w:proofErr w:type="spellStart"/>
            <w:r w:rsidRPr="006F7A67">
              <w:rPr>
                <w:sz w:val="20"/>
              </w:rPr>
              <w:t>Geoffroy</w:t>
            </w:r>
            <w:proofErr w:type="spellEnd"/>
            <w:r w:rsidRPr="006F7A67">
              <w:rPr>
                <w:sz w:val="20"/>
              </w:rPr>
              <w:t>)</w:t>
            </w:r>
          </w:p>
          <w:p w:rsidR="00197F36" w:rsidRPr="006F7A67" w:rsidRDefault="00300F06" w:rsidP="0019255A">
            <w:pPr>
              <w:jc w:val="both"/>
              <w:rPr>
                <w:sz w:val="20"/>
              </w:rPr>
            </w:pPr>
            <w:hyperlink r:id="rId57" w:history="1">
              <w:r w:rsidR="00197F36" w:rsidRPr="006F7A67">
                <w:rPr>
                  <w:rStyle w:val="Hyperlink"/>
                  <w:sz w:val="20"/>
                </w:rPr>
                <w:t>2019 QCCS 3189</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lang w:val="fr-CA"/>
              </w:rPr>
            </w:pPr>
            <w:r w:rsidRPr="006F7A67">
              <w:rPr>
                <w:sz w:val="20"/>
                <w:lang w:val="fr-CA"/>
              </w:rPr>
              <w:t xml:space="preserve">Demande pour l’émission d’une ordonnance de type </w:t>
            </w:r>
            <w:r w:rsidRPr="006F7A67">
              <w:rPr>
                <w:i/>
                <w:sz w:val="20"/>
                <w:lang w:val="fr-CA"/>
              </w:rPr>
              <w:t>Anton Piller</w:t>
            </w:r>
            <w:r w:rsidRPr="006F7A67">
              <w:rPr>
                <w:sz w:val="20"/>
                <w:lang w:val="fr-CA"/>
              </w:rPr>
              <w:t xml:space="preserve"> et demande pour l’émission d’une ordonnance </w:t>
            </w:r>
            <w:proofErr w:type="gramStart"/>
            <w:r w:rsidRPr="006F7A67">
              <w:rPr>
                <w:sz w:val="20"/>
                <w:lang w:val="fr-CA"/>
              </w:rPr>
              <w:t>d’injonction provisoire rejetées</w:t>
            </w:r>
            <w:proofErr w:type="gramEnd"/>
          </w:p>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Le 22 août 2019</w:t>
            </w:r>
          </w:p>
          <w:p w:rsidR="00197F36" w:rsidRPr="006F7A67" w:rsidRDefault="00197F36" w:rsidP="0019255A">
            <w:pPr>
              <w:jc w:val="both"/>
              <w:rPr>
                <w:sz w:val="20"/>
                <w:lang w:val="fr-CA"/>
              </w:rPr>
            </w:pPr>
            <w:r w:rsidRPr="006F7A67">
              <w:rPr>
                <w:sz w:val="20"/>
                <w:lang w:val="fr-CA"/>
              </w:rPr>
              <w:t>Cour d’appel du Québec (Québec)</w:t>
            </w:r>
          </w:p>
          <w:p w:rsidR="00197F36" w:rsidRPr="006F7A67" w:rsidRDefault="00197F36" w:rsidP="0019255A">
            <w:pPr>
              <w:jc w:val="both"/>
              <w:rPr>
                <w:sz w:val="20"/>
              </w:rPr>
            </w:pPr>
            <w:r w:rsidRPr="006F7A67">
              <w:rPr>
                <w:sz w:val="20"/>
              </w:rPr>
              <w:t xml:space="preserve">(le juge </w:t>
            </w:r>
            <w:proofErr w:type="spellStart"/>
            <w:r w:rsidRPr="006F7A67">
              <w:rPr>
                <w:sz w:val="20"/>
              </w:rPr>
              <w:t>Rancourt</w:t>
            </w:r>
            <w:proofErr w:type="spellEnd"/>
            <w:r w:rsidRPr="006F7A67">
              <w:rPr>
                <w:sz w:val="20"/>
              </w:rPr>
              <w:t>)</w:t>
            </w:r>
          </w:p>
          <w:p w:rsidR="00197F36" w:rsidRPr="006F7A67" w:rsidRDefault="00300F06" w:rsidP="0019255A">
            <w:pPr>
              <w:jc w:val="both"/>
              <w:rPr>
                <w:sz w:val="20"/>
              </w:rPr>
            </w:pPr>
            <w:hyperlink r:id="rId58" w:history="1">
              <w:r w:rsidR="00197F36" w:rsidRPr="006F7A67">
                <w:rPr>
                  <w:rStyle w:val="Hyperlink"/>
                  <w:sz w:val="20"/>
                </w:rPr>
                <w:t>2019 QCCA 1405</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lang w:val="fr-CA"/>
              </w:rPr>
            </w:pPr>
            <w:r w:rsidRPr="006F7A67">
              <w:rPr>
                <w:sz w:val="20"/>
                <w:lang w:val="fr-CA"/>
              </w:rPr>
              <w:t>Demande pour permission d’appeler rejetée</w:t>
            </w:r>
          </w:p>
        </w:tc>
      </w:tr>
      <w:tr w:rsidR="00197F36" w:rsidRPr="006F7A67" w:rsidTr="0019255A">
        <w:tc>
          <w:tcPr>
            <w:tcW w:w="2427" w:type="pct"/>
            <w:gridSpan w:val="2"/>
          </w:tcPr>
          <w:p w:rsidR="00197F36" w:rsidRPr="006F7A67" w:rsidRDefault="00197F36" w:rsidP="0019255A">
            <w:pPr>
              <w:jc w:val="both"/>
              <w:rPr>
                <w:sz w:val="20"/>
                <w:lang w:val="fr-CA"/>
              </w:rPr>
            </w:pPr>
            <w:r w:rsidRPr="006F7A67">
              <w:rPr>
                <w:sz w:val="20"/>
                <w:lang w:val="fr-CA"/>
              </w:rPr>
              <w:t>Le 21 octobre 2019</w:t>
            </w:r>
          </w:p>
          <w:p w:rsidR="00197F36" w:rsidRPr="006F7A67" w:rsidRDefault="00197F36" w:rsidP="0019255A">
            <w:pPr>
              <w:jc w:val="both"/>
              <w:rPr>
                <w:sz w:val="20"/>
                <w:lang w:val="fr-CA"/>
              </w:rPr>
            </w:pPr>
            <w:r w:rsidRPr="006F7A67">
              <w:rPr>
                <w:sz w:val="20"/>
                <w:lang w:val="fr-CA"/>
              </w:rPr>
              <w:t>Cour suprême du Canada</w:t>
            </w: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rPr>
            </w:pPr>
            <w:r w:rsidRPr="006F7A67">
              <w:rPr>
                <w:sz w:val="20"/>
              </w:rPr>
              <w:t>Demande d'autorisation d'appel déposée</w:t>
            </w: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50"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38974</w:t>
            </w:r>
          </w:p>
        </w:tc>
        <w:tc>
          <w:tcPr>
            <w:tcW w:w="4457" w:type="pct"/>
            <w:gridSpan w:val="3"/>
          </w:tcPr>
          <w:p w:rsidR="00197F36" w:rsidRPr="006F7A67" w:rsidRDefault="00197F36" w:rsidP="0019255A">
            <w:pPr>
              <w:pStyle w:val="SCCLsocParty"/>
              <w:jc w:val="both"/>
              <w:rPr>
                <w:b/>
                <w:sz w:val="20"/>
                <w:szCs w:val="20"/>
                <w:lang w:val="en-US"/>
              </w:rPr>
            </w:pPr>
            <w:r w:rsidRPr="006F7A67">
              <w:rPr>
                <w:b/>
                <w:sz w:val="20"/>
                <w:szCs w:val="20"/>
                <w:lang w:val="en-US"/>
              </w:rPr>
              <w:t>Echelon General Insurance Company v. Christopher Perneroski by his Litigation Guardian Wendy Perneroski</w:t>
            </w:r>
          </w:p>
          <w:p w:rsidR="00197F36" w:rsidRPr="006F7A67" w:rsidRDefault="00197F36" w:rsidP="0019255A">
            <w:pPr>
              <w:jc w:val="both"/>
              <w:rPr>
                <w:sz w:val="20"/>
              </w:rPr>
            </w:pPr>
            <w:r w:rsidRPr="006F7A67">
              <w:rPr>
                <w:sz w:val="20"/>
              </w:rPr>
              <w:t>(Ont.) (Civil) (By Leave)</w:t>
            </w:r>
          </w:p>
        </w:tc>
      </w:tr>
      <w:tr w:rsidR="00FE41B1" w:rsidRPr="006F7A67" w:rsidTr="0019255A">
        <w:tc>
          <w:tcPr>
            <w:tcW w:w="5000" w:type="pct"/>
            <w:gridSpan w:val="4"/>
          </w:tcPr>
          <w:p w:rsidR="00FE41B1" w:rsidRPr="006F7A67" w:rsidRDefault="00FE41B1" w:rsidP="00FE41B1">
            <w:pPr>
              <w:jc w:val="both"/>
              <w:rPr>
                <w:sz w:val="20"/>
                <w:szCs w:val="20"/>
              </w:rPr>
            </w:pPr>
            <w:r w:rsidRPr="006F7A67">
              <w:rPr>
                <w:sz w:val="20"/>
                <w:szCs w:val="20"/>
              </w:rPr>
              <w:t>The application for leave to appeal from the judgment of the Court of Appeal for Ontario, Number C66726, 2019 ONCA 840, dated October 25, 2019, is dismissed with costs.</w:t>
            </w:r>
          </w:p>
          <w:p w:rsidR="00FE41B1" w:rsidRPr="006F7A67" w:rsidRDefault="00FE41B1" w:rsidP="0019255A">
            <w:pPr>
              <w:jc w:val="both"/>
              <w:rPr>
                <w:sz w:val="20"/>
              </w:rPr>
            </w:pPr>
          </w:p>
        </w:tc>
      </w:tr>
      <w:tr w:rsidR="00197F36" w:rsidRPr="006F7A67" w:rsidTr="0019255A">
        <w:tc>
          <w:tcPr>
            <w:tcW w:w="5000" w:type="pct"/>
            <w:gridSpan w:val="4"/>
          </w:tcPr>
          <w:p w:rsidR="00197F36" w:rsidRPr="006F7A67" w:rsidRDefault="00197F36" w:rsidP="0019255A">
            <w:pPr>
              <w:jc w:val="both"/>
              <w:rPr>
                <w:sz w:val="20"/>
              </w:rPr>
            </w:pPr>
            <w:r w:rsidRPr="006F7A67">
              <w:rPr>
                <w:sz w:val="20"/>
              </w:rPr>
              <w:t xml:space="preserve">Insurance — Automobile insurance — Legislation — Interpretation — What is the proper analytical approach to determining whether a vehicle being driven outside a province is required to be insured under that province’s legislation — How is that approach to be reconciled with the fundamental principles of contractual relationships — What is the relevant legislation to be considered — What unintended consequences flow from this expansion of coverage — </w:t>
            </w:r>
            <w:r w:rsidRPr="006F7A67">
              <w:rPr>
                <w:i/>
                <w:sz w:val="20"/>
              </w:rPr>
              <w:t>Insurance Act</w:t>
            </w:r>
            <w:r w:rsidRPr="006F7A67">
              <w:rPr>
                <w:sz w:val="20"/>
              </w:rPr>
              <w:t xml:space="preserve">, R.S.O. 1990, c. I.8 — </w:t>
            </w:r>
            <w:r w:rsidRPr="006F7A67">
              <w:rPr>
                <w:i/>
                <w:sz w:val="20"/>
              </w:rPr>
              <w:t>Statutory Accident Benefits Schedule, Ontario Regulation</w:t>
            </w:r>
            <w:r w:rsidRPr="006F7A67">
              <w:rPr>
                <w:sz w:val="20"/>
              </w:rPr>
              <w:t xml:space="preserve"> 403/96 —</w:t>
            </w:r>
            <w:r w:rsidRPr="006F7A67">
              <w:rPr>
                <w:i/>
                <w:sz w:val="20"/>
              </w:rPr>
              <w:t>Off</w:t>
            </w:r>
            <w:r w:rsidRPr="006F7A67">
              <w:rPr>
                <w:i/>
                <w:sz w:val="20"/>
              </w:rPr>
              <w:noBreakHyphen/>
              <w:t>Road Vehicles A</w:t>
            </w:r>
            <w:r w:rsidRPr="006F7A67">
              <w:rPr>
                <w:sz w:val="20"/>
              </w:rPr>
              <w:t>ct, R.S.O. 1990, c. O.4.</w:t>
            </w:r>
          </w:p>
          <w:p w:rsidR="00197F36" w:rsidRPr="006F7A67" w:rsidRDefault="00197F36" w:rsidP="0019255A">
            <w:pPr>
              <w:jc w:val="both"/>
              <w:rPr>
                <w:sz w:val="20"/>
              </w:rPr>
            </w:pPr>
          </w:p>
        </w:tc>
      </w:tr>
      <w:tr w:rsidR="00197F36" w:rsidRPr="006F7A67" w:rsidTr="0019255A">
        <w:tc>
          <w:tcPr>
            <w:tcW w:w="5000" w:type="pct"/>
            <w:gridSpan w:val="4"/>
          </w:tcPr>
          <w:p w:rsidR="00197F36" w:rsidRPr="006F7A67" w:rsidRDefault="00197F36" w:rsidP="0019255A">
            <w:pPr>
              <w:jc w:val="both"/>
              <w:rPr>
                <w:sz w:val="20"/>
              </w:rPr>
            </w:pPr>
            <w:r w:rsidRPr="006F7A67">
              <w:rPr>
                <w:sz w:val="20"/>
              </w:rPr>
              <w:t>The respondent is an Ontario resident. The applicant insurer issued a standard Ontario OAP 1 motor vehicle liability policy with the respondent as the named insured, describing his Toyota pick</w:t>
            </w:r>
            <w:r w:rsidRPr="006F7A67">
              <w:rPr>
                <w:sz w:val="20"/>
              </w:rPr>
              <w:noBreakHyphen/>
              <w:t xml:space="preserve">up truck as the automobile. The policy contained statutory benefits set out in SABs Regulation 403/96. The respondent purchased a dirt bike which he registered with the Ontario Ministry of Transportation. He later sustained severe injuries while riding the dirt bike on a closed track at a sports resort in the U.S.A. The respondent submitted a claim for accident benefits under the insurance policy and the applicant denied coverage on the basis that the dirt bike was not an automobile and therefore the incident was not an “accident” as defined under SABs Regulation 403/96. The Ontario Superior Court of Justice granted the respondent’s motion for summary judgment. The Court determined that as the dirt bike was an automobile pursuant to the laws of Ontario, the respondent was involved in an accident as defined in the </w:t>
            </w:r>
            <w:r w:rsidRPr="006F7A67">
              <w:rPr>
                <w:i/>
                <w:sz w:val="20"/>
              </w:rPr>
              <w:t xml:space="preserve">SABS Regulation </w:t>
            </w:r>
            <w:r w:rsidRPr="006F7A67">
              <w:rPr>
                <w:sz w:val="20"/>
              </w:rPr>
              <w:t>and he was entitled to benefits. The Ontario Court of Appeal dismissed the applicant’s appeal.</w:t>
            </w:r>
          </w:p>
        </w:tc>
      </w:tr>
      <w:tr w:rsidR="00197F36" w:rsidRPr="006F7A67" w:rsidTr="0019255A">
        <w:tc>
          <w:tcPr>
            <w:tcW w:w="5000" w:type="pct"/>
            <w:gridSpan w:val="4"/>
          </w:tcPr>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February 28, 2019</w:t>
            </w:r>
          </w:p>
          <w:p w:rsidR="00197F36" w:rsidRPr="006F7A67" w:rsidRDefault="00197F36" w:rsidP="0019255A">
            <w:pPr>
              <w:jc w:val="both"/>
              <w:rPr>
                <w:sz w:val="20"/>
              </w:rPr>
            </w:pPr>
            <w:r w:rsidRPr="006F7A67">
              <w:rPr>
                <w:sz w:val="20"/>
              </w:rPr>
              <w:t>Ontario Superior Court of Justice</w:t>
            </w:r>
          </w:p>
          <w:p w:rsidR="00197F36" w:rsidRPr="006F7A67" w:rsidRDefault="00197F36" w:rsidP="0019255A">
            <w:pPr>
              <w:jc w:val="both"/>
              <w:rPr>
                <w:sz w:val="20"/>
              </w:rPr>
            </w:pPr>
            <w:r w:rsidRPr="006F7A67">
              <w:rPr>
                <w:sz w:val="20"/>
              </w:rPr>
              <w:t>(Casullo J.)</w:t>
            </w:r>
          </w:p>
          <w:p w:rsidR="00197F36" w:rsidRPr="006F7A67" w:rsidRDefault="00197F36" w:rsidP="0019255A">
            <w:pPr>
              <w:jc w:val="both"/>
              <w:rPr>
                <w:sz w:val="20"/>
              </w:rPr>
            </w:pPr>
            <w:r w:rsidRPr="006F7A67">
              <w:rPr>
                <w:rStyle w:val="Hyperlink"/>
                <w:sz w:val="20"/>
              </w:rPr>
              <w:t xml:space="preserve">2019 </w:t>
            </w:r>
            <w:hyperlink r:id="rId59" w:history="1">
              <w:r w:rsidRPr="006F7A67">
                <w:rPr>
                  <w:rStyle w:val="Hyperlink"/>
                  <w:sz w:val="20"/>
                </w:rPr>
                <w:t>ONSC</w:t>
              </w:r>
            </w:hyperlink>
            <w:r w:rsidRPr="006F7A67">
              <w:rPr>
                <w:rStyle w:val="Hyperlink"/>
                <w:sz w:val="20"/>
              </w:rPr>
              <w:t xml:space="preserve"> 1415</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Respondent’s motion for summary judgment granted.</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October 25, 2019</w:t>
            </w:r>
          </w:p>
          <w:p w:rsidR="00197F36" w:rsidRPr="006F7A67" w:rsidRDefault="00197F36" w:rsidP="0019255A">
            <w:pPr>
              <w:jc w:val="both"/>
              <w:rPr>
                <w:sz w:val="20"/>
              </w:rPr>
            </w:pPr>
            <w:r w:rsidRPr="006F7A67">
              <w:rPr>
                <w:sz w:val="20"/>
              </w:rPr>
              <w:t>Court of Appeal for Ontario</w:t>
            </w:r>
          </w:p>
          <w:p w:rsidR="00197F36" w:rsidRPr="006F7A67" w:rsidRDefault="00197F36" w:rsidP="0019255A">
            <w:pPr>
              <w:jc w:val="both"/>
              <w:rPr>
                <w:sz w:val="20"/>
              </w:rPr>
            </w:pPr>
            <w:r w:rsidRPr="006F7A67">
              <w:rPr>
                <w:sz w:val="20"/>
              </w:rPr>
              <w:t>(Feldman, MacPherson and Simmons JJ.A.)</w:t>
            </w:r>
          </w:p>
          <w:p w:rsidR="00197F36" w:rsidRPr="006F7A67" w:rsidRDefault="00300F06" w:rsidP="0019255A">
            <w:pPr>
              <w:jc w:val="both"/>
              <w:rPr>
                <w:sz w:val="20"/>
              </w:rPr>
            </w:pPr>
            <w:hyperlink r:id="rId60" w:history="1">
              <w:r w:rsidR="00197F36" w:rsidRPr="006F7A67">
                <w:rPr>
                  <w:rStyle w:val="Hyperlink"/>
                  <w:sz w:val="20"/>
                </w:rPr>
                <w:t>2019 ONCA 840</w:t>
              </w:r>
            </w:hyperlink>
            <w:r w:rsidR="00197F36" w:rsidRPr="006F7A67">
              <w:rPr>
                <w:sz w:val="20"/>
              </w:rPr>
              <w:t>; C66726</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Appeal dismissed</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December 20, 2019</w:t>
            </w:r>
          </w:p>
          <w:p w:rsidR="00197F36" w:rsidRPr="006F7A67" w:rsidRDefault="00197F36" w:rsidP="0019255A">
            <w:pPr>
              <w:jc w:val="both"/>
              <w:rPr>
                <w:sz w:val="20"/>
              </w:rPr>
            </w:pPr>
            <w:r w:rsidRPr="006F7A67">
              <w:rPr>
                <w:sz w:val="20"/>
              </w:rPr>
              <w:t>Supreme Court of Canada</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leave to appeal filed</w:t>
            </w:r>
          </w:p>
          <w:p w:rsidR="00197F36" w:rsidRPr="006F7A67" w:rsidRDefault="00197F36" w:rsidP="0019255A">
            <w:pPr>
              <w:jc w:val="both"/>
              <w:rPr>
                <w:sz w:val="20"/>
              </w:rPr>
            </w:pP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51"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97F36" w:rsidRPr="00DB0D35" w:rsidTr="0019255A">
        <w:tc>
          <w:tcPr>
            <w:tcW w:w="543" w:type="pct"/>
          </w:tcPr>
          <w:p w:rsidR="00197F36" w:rsidRPr="006F7A67" w:rsidRDefault="00197F36" w:rsidP="0019255A">
            <w:pPr>
              <w:jc w:val="both"/>
              <w:rPr>
                <w:sz w:val="20"/>
              </w:rPr>
            </w:pPr>
            <w:r w:rsidRPr="006F7A67">
              <w:rPr>
                <w:rStyle w:val="SCCFileNumberChar"/>
                <w:sz w:val="20"/>
                <w:szCs w:val="20"/>
              </w:rPr>
              <w:t>38974</w:t>
            </w:r>
          </w:p>
        </w:tc>
        <w:tc>
          <w:tcPr>
            <w:tcW w:w="4457" w:type="pct"/>
          </w:tcPr>
          <w:p w:rsidR="00197F36" w:rsidRPr="006F7A67" w:rsidRDefault="00197F36" w:rsidP="0019255A">
            <w:pPr>
              <w:pStyle w:val="SCCLsocParty"/>
              <w:jc w:val="both"/>
              <w:rPr>
                <w:b/>
                <w:sz w:val="20"/>
                <w:szCs w:val="20"/>
              </w:rPr>
            </w:pPr>
            <w:r w:rsidRPr="006F7A67">
              <w:rPr>
                <w:b/>
                <w:sz w:val="20"/>
                <w:szCs w:val="20"/>
              </w:rPr>
              <w:t>Echelon General Insurance Company c. Christopher Perneroski</w:t>
            </w:r>
            <w:r w:rsidR="00FE41B1" w:rsidRPr="006F7A67">
              <w:rPr>
                <w:b/>
                <w:sz w:val="20"/>
                <w:szCs w:val="20"/>
              </w:rPr>
              <w:t>,</w:t>
            </w:r>
            <w:r w:rsidRPr="006F7A67">
              <w:rPr>
                <w:b/>
                <w:sz w:val="20"/>
                <w:szCs w:val="20"/>
              </w:rPr>
              <w:t xml:space="preserve"> par sa tutrice à l’instance Wendy Perneroski</w:t>
            </w:r>
          </w:p>
          <w:p w:rsidR="00197F36" w:rsidRPr="006F7A67" w:rsidRDefault="00197F36" w:rsidP="0019255A">
            <w:pPr>
              <w:jc w:val="both"/>
              <w:rPr>
                <w:sz w:val="20"/>
                <w:lang w:val="fr-CA"/>
              </w:rPr>
            </w:pPr>
            <w:r w:rsidRPr="006F7A67">
              <w:rPr>
                <w:sz w:val="20"/>
                <w:lang w:val="fr-CA"/>
              </w:rPr>
              <w:t>(Ont.) (Civile) (Autorisation)</w:t>
            </w:r>
          </w:p>
        </w:tc>
      </w:tr>
      <w:tr w:rsidR="00FE41B1" w:rsidRPr="00DB0D35" w:rsidTr="0019255A">
        <w:tc>
          <w:tcPr>
            <w:tcW w:w="5000" w:type="pct"/>
            <w:gridSpan w:val="2"/>
          </w:tcPr>
          <w:p w:rsidR="00FE41B1" w:rsidRPr="006F7A67" w:rsidRDefault="00FE41B1" w:rsidP="0019255A">
            <w:pPr>
              <w:jc w:val="both"/>
              <w:rPr>
                <w:sz w:val="20"/>
                <w:szCs w:val="20"/>
                <w:lang w:val="fr-CA"/>
              </w:rPr>
            </w:pPr>
            <w:r w:rsidRPr="006F7A67">
              <w:rPr>
                <w:sz w:val="20"/>
                <w:szCs w:val="20"/>
                <w:lang w:val="fr-CA"/>
              </w:rPr>
              <w:t>La demande d’autorisation d’appel de l’arrêt de la Cour d’appel de l’Ontario, numéro C66726, 2019 ONCA 840, daté du 25 octobre 2019, est rejetée avec dépens.</w:t>
            </w:r>
          </w:p>
          <w:p w:rsidR="00FE41B1" w:rsidRPr="006F7A67" w:rsidRDefault="00FE41B1" w:rsidP="0019255A">
            <w:pPr>
              <w:jc w:val="both"/>
              <w:rPr>
                <w:sz w:val="20"/>
                <w:lang w:val="fr-CA"/>
              </w:rPr>
            </w:pPr>
          </w:p>
        </w:tc>
      </w:tr>
    </w:tbl>
    <w:p w:rsidR="001A0C1D" w:rsidRPr="006F7A67" w:rsidRDefault="001A0C1D">
      <w:pPr>
        <w:rPr>
          <w:lang w:val="fr-CA"/>
        </w:rPr>
      </w:pPr>
      <w:r w:rsidRPr="006F7A6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517"/>
        <w:gridCol w:w="570"/>
        <w:gridCol w:w="4440"/>
      </w:tblGrid>
      <w:tr w:rsidR="00197F36" w:rsidRPr="006F7A67" w:rsidTr="0019255A">
        <w:tc>
          <w:tcPr>
            <w:tcW w:w="5000" w:type="pct"/>
            <w:gridSpan w:val="3"/>
          </w:tcPr>
          <w:p w:rsidR="00197F36" w:rsidRPr="006F7A67" w:rsidRDefault="00197F36" w:rsidP="0019255A">
            <w:pPr>
              <w:jc w:val="both"/>
              <w:rPr>
                <w:sz w:val="20"/>
                <w:lang w:val="fr-CA"/>
              </w:rPr>
            </w:pPr>
            <w:r w:rsidRPr="006F7A67">
              <w:rPr>
                <w:sz w:val="20"/>
                <w:lang w:val="fr-CA"/>
              </w:rPr>
              <w:t>Assurance — Assurance automobile — Législation — Interprétation — Quelle méthode d’analyse faut</w:t>
            </w:r>
            <w:r w:rsidRPr="006F7A67">
              <w:rPr>
                <w:sz w:val="20"/>
                <w:lang w:val="fr-CA"/>
              </w:rPr>
              <w:noBreakHyphen/>
              <w:t>il appliquer pour déterminer si un véhicule conduit à l’extérieur de la province doit être assuré en vertu de la législation de cette province? — Comment faut</w:t>
            </w:r>
            <w:r w:rsidRPr="006F7A67">
              <w:rPr>
                <w:sz w:val="20"/>
                <w:lang w:val="fr-CA"/>
              </w:rPr>
              <w:noBreakHyphen/>
              <w:t xml:space="preserve">il concilier cette méthode avec les principes fondamentaux des relations contractuelles? — Quelle est la législation pertinente à examiner? — Quelles conséquences inattendues découlent de cet élargissement de la couverture? — </w:t>
            </w:r>
            <w:r w:rsidRPr="006F7A67">
              <w:rPr>
                <w:i/>
                <w:sz w:val="20"/>
                <w:lang w:val="fr-CA"/>
              </w:rPr>
              <w:t>Loi sur les assurances</w:t>
            </w:r>
            <w:r w:rsidRPr="006F7A67">
              <w:rPr>
                <w:sz w:val="20"/>
                <w:lang w:val="fr-CA"/>
              </w:rPr>
              <w:t xml:space="preserve">, L.R.O. 1990, ch. I.8 — </w:t>
            </w:r>
            <w:r w:rsidRPr="006F7A67">
              <w:rPr>
                <w:i/>
                <w:sz w:val="20"/>
                <w:lang w:val="fr-CA"/>
              </w:rPr>
              <w:t>Annexe sur les indemnités d’accident légales,</w:t>
            </w:r>
            <w:r w:rsidRPr="006F7A67">
              <w:rPr>
                <w:sz w:val="20"/>
                <w:lang w:val="fr-CA"/>
              </w:rPr>
              <w:t xml:space="preserve"> Règlement de l’Ontario 403/96 — </w:t>
            </w:r>
            <w:r w:rsidRPr="006F7A67">
              <w:rPr>
                <w:i/>
                <w:sz w:val="20"/>
                <w:lang w:val="fr-CA"/>
              </w:rPr>
              <w:t>Loi sur les véhicules tout</w:t>
            </w:r>
            <w:r w:rsidRPr="006F7A67">
              <w:rPr>
                <w:i/>
                <w:sz w:val="20"/>
                <w:lang w:val="fr-CA"/>
              </w:rPr>
              <w:noBreakHyphen/>
              <w:t>terrain</w:t>
            </w:r>
            <w:r w:rsidRPr="006F7A67">
              <w:rPr>
                <w:sz w:val="20"/>
                <w:lang w:val="fr-CA"/>
              </w:rPr>
              <w:t>, L.R.O. 1990, ch. O.4.</w:t>
            </w:r>
          </w:p>
          <w:p w:rsidR="00197F36" w:rsidRPr="006F7A67" w:rsidRDefault="00197F36" w:rsidP="0019255A">
            <w:pPr>
              <w:jc w:val="both"/>
              <w:rPr>
                <w:i/>
                <w:iCs/>
                <w:sz w:val="20"/>
                <w:lang w:val="fr-CA"/>
              </w:rPr>
            </w:pPr>
          </w:p>
        </w:tc>
      </w:tr>
      <w:tr w:rsidR="00197F36" w:rsidRPr="00DB0D35" w:rsidTr="0019255A">
        <w:tc>
          <w:tcPr>
            <w:tcW w:w="5000" w:type="pct"/>
            <w:gridSpan w:val="3"/>
          </w:tcPr>
          <w:p w:rsidR="00197F36" w:rsidRPr="006F7A67" w:rsidRDefault="00197F36" w:rsidP="0019255A">
            <w:pPr>
              <w:jc w:val="both"/>
              <w:rPr>
                <w:sz w:val="20"/>
                <w:lang w:val="fr-CA"/>
              </w:rPr>
            </w:pPr>
            <w:r w:rsidRPr="006F7A67">
              <w:rPr>
                <w:sz w:val="20"/>
                <w:lang w:val="fr-CA"/>
              </w:rPr>
              <w:t>L’intimé est un résident de l’Ontario. L’</w:t>
            </w:r>
            <w:proofErr w:type="spellStart"/>
            <w:r w:rsidRPr="006F7A67">
              <w:rPr>
                <w:sz w:val="20"/>
                <w:lang w:val="fr-CA"/>
              </w:rPr>
              <w:t>assureure</w:t>
            </w:r>
            <w:proofErr w:type="spellEnd"/>
            <w:r w:rsidRPr="006F7A67">
              <w:rPr>
                <w:sz w:val="20"/>
                <w:lang w:val="fr-CA"/>
              </w:rPr>
              <w:t xml:space="preserve"> demanderesse a établi une police type d’assurance de responsabilité automobile de l’Ontario FPO 1, désignant l’intimé comme assuré et décrivant sa camionnette Toyota comme l’automobile. La police stipulait les indemnités d’accident légales énoncées dans le Règlement 403/96 sur les IAL. L’intimé a acheté une moto hors route qu’il a immatriculée auprès du ministère des Transports de l’Ontario. Plus tard, il a été grièvement blessé alors qu’il conduisait la moto hors route sur une piste fermée dans un centre de villégiature sportive aux États</w:t>
            </w:r>
            <w:r w:rsidRPr="006F7A67">
              <w:rPr>
                <w:sz w:val="20"/>
                <w:lang w:val="fr-CA"/>
              </w:rPr>
              <w:noBreakHyphen/>
              <w:t>Unis. L’intimé a présenté une demande d’indemnisation en vertu de la police d’assurance, mais la demanderesse lui a opposé un refus au motif que la moto hors route n’était pas une automobile, si bien que l’incident n’était pas un « accident » au sens du Règlement 403/96 sur les IAL. La Cour supérieure de justice de l’Ontario a accueilli la motion de l’intimé en jugement sommaire. La Cour a conclu que parce que la moto hors route était une automobile en vertu des lois de l’Ontario, l’intimé avait été impliqué dans un accident au sens du Règlement sur les IAL et avait droit à des indemnités. La Cour d’appel de l’Ontario a rejeté l’appel de la demanderesse.</w:t>
            </w:r>
          </w:p>
        </w:tc>
      </w:tr>
      <w:tr w:rsidR="00197F36" w:rsidRPr="00DB0D35" w:rsidTr="0019255A">
        <w:tc>
          <w:tcPr>
            <w:tcW w:w="5000" w:type="pct"/>
            <w:gridSpan w:val="3"/>
          </w:tcPr>
          <w:p w:rsidR="00197F36" w:rsidRPr="006F7A67" w:rsidRDefault="00197F36" w:rsidP="0019255A">
            <w:pPr>
              <w:jc w:val="both"/>
              <w:rPr>
                <w:sz w:val="20"/>
                <w:lang w:val="fr-CA"/>
              </w:rPr>
            </w:pPr>
          </w:p>
        </w:tc>
      </w:tr>
      <w:tr w:rsidR="00197F36" w:rsidRPr="00DB0D35" w:rsidTr="0019255A">
        <w:tc>
          <w:tcPr>
            <w:tcW w:w="2371" w:type="pct"/>
          </w:tcPr>
          <w:p w:rsidR="00197F36" w:rsidRPr="006F7A67" w:rsidRDefault="00197F36" w:rsidP="0019255A">
            <w:pPr>
              <w:jc w:val="both"/>
              <w:rPr>
                <w:sz w:val="20"/>
                <w:lang w:val="fr-CA"/>
              </w:rPr>
            </w:pPr>
            <w:r w:rsidRPr="006F7A67">
              <w:rPr>
                <w:sz w:val="20"/>
                <w:lang w:val="fr-CA"/>
              </w:rPr>
              <w:t>28 février 2019</w:t>
            </w:r>
          </w:p>
          <w:p w:rsidR="00197F36" w:rsidRPr="006F7A67" w:rsidRDefault="00197F36" w:rsidP="0019255A">
            <w:pPr>
              <w:jc w:val="both"/>
              <w:rPr>
                <w:sz w:val="20"/>
                <w:lang w:val="fr-CA"/>
              </w:rPr>
            </w:pPr>
            <w:r w:rsidRPr="006F7A67">
              <w:rPr>
                <w:sz w:val="20"/>
                <w:lang w:val="fr-CA"/>
              </w:rPr>
              <w:t>Cour supérieure de justice de l’Ontario</w:t>
            </w:r>
          </w:p>
          <w:p w:rsidR="00197F36" w:rsidRPr="006F7A67" w:rsidRDefault="00197F36" w:rsidP="0019255A">
            <w:pPr>
              <w:jc w:val="both"/>
              <w:rPr>
                <w:sz w:val="20"/>
                <w:lang w:val="fr-CA"/>
              </w:rPr>
            </w:pPr>
            <w:r w:rsidRPr="006F7A67">
              <w:rPr>
                <w:sz w:val="20"/>
                <w:lang w:val="fr-CA"/>
              </w:rPr>
              <w:t xml:space="preserve">(Juge </w:t>
            </w:r>
            <w:proofErr w:type="spellStart"/>
            <w:r w:rsidRPr="006F7A67">
              <w:rPr>
                <w:sz w:val="20"/>
                <w:lang w:val="fr-CA"/>
              </w:rPr>
              <w:t>Casullo</w:t>
            </w:r>
            <w:proofErr w:type="spellEnd"/>
            <w:r w:rsidRPr="006F7A67">
              <w:rPr>
                <w:sz w:val="20"/>
                <w:lang w:val="fr-CA"/>
              </w:rPr>
              <w:t>)</w:t>
            </w:r>
          </w:p>
          <w:p w:rsidR="00197F36" w:rsidRPr="006F7A67" w:rsidRDefault="00197F36" w:rsidP="0019255A">
            <w:pPr>
              <w:jc w:val="both"/>
              <w:rPr>
                <w:sz w:val="20"/>
                <w:lang w:val="fr-CA"/>
              </w:rPr>
            </w:pPr>
            <w:r w:rsidRPr="006F7A67">
              <w:rPr>
                <w:rStyle w:val="Hyperlink"/>
                <w:sz w:val="20"/>
                <w:lang w:val="fr-CA"/>
              </w:rPr>
              <w:t xml:space="preserve">2019 </w:t>
            </w:r>
            <w:hyperlink r:id="rId61" w:history="1">
              <w:r w:rsidRPr="006F7A67">
                <w:rPr>
                  <w:rStyle w:val="Hyperlink"/>
                  <w:sz w:val="20"/>
                  <w:lang w:val="fr-CA"/>
                </w:rPr>
                <w:t>ONSC</w:t>
              </w:r>
            </w:hyperlink>
            <w:r w:rsidRPr="006F7A67">
              <w:rPr>
                <w:rStyle w:val="Hyperlink"/>
                <w:sz w:val="20"/>
                <w:lang w:val="fr-CA"/>
              </w:rPr>
              <w:t xml:space="preserve"> 1415</w:t>
            </w:r>
          </w:p>
          <w:p w:rsidR="00197F36" w:rsidRPr="006F7A67" w:rsidRDefault="00197F36" w:rsidP="0019255A">
            <w:pPr>
              <w:jc w:val="both"/>
              <w:rPr>
                <w:sz w:val="20"/>
                <w:lang w:val="fr-CA"/>
              </w:rPr>
            </w:pPr>
          </w:p>
        </w:tc>
        <w:tc>
          <w:tcPr>
            <w:tcW w:w="299"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Jugement accueillant la motion de l’intimé en jugement sommaire.</w:t>
            </w:r>
          </w:p>
          <w:p w:rsidR="00197F36" w:rsidRPr="006F7A67" w:rsidRDefault="00197F36" w:rsidP="0019255A">
            <w:pPr>
              <w:jc w:val="both"/>
              <w:rPr>
                <w:sz w:val="20"/>
                <w:lang w:val="fr-CA"/>
              </w:rPr>
            </w:pPr>
          </w:p>
        </w:tc>
      </w:tr>
      <w:tr w:rsidR="00197F36" w:rsidRPr="006F7A67" w:rsidTr="0019255A">
        <w:tc>
          <w:tcPr>
            <w:tcW w:w="2371" w:type="pct"/>
          </w:tcPr>
          <w:p w:rsidR="00197F36" w:rsidRPr="006F7A67" w:rsidRDefault="00197F36" w:rsidP="0019255A">
            <w:pPr>
              <w:jc w:val="both"/>
              <w:rPr>
                <w:sz w:val="20"/>
                <w:lang w:val="fr-CA"/>
              </w:rPr>
            </w:pPr>
            <w:r w:rsidRPr="006F7A67">
              <w:rPr>
                <w:sz w:val="20"/>
                <w:lang w:val="fr-CA"/>
              </w:rPr>
              <w:t>25 octobre 2019</w:t>
            </w:r>
          </w:p>
          <w:p w:rsidR="00197F36" w:rsidRPr="006F7A67" w:rsidRDefault="00197F36" w:rsidP="0019255A">
            <w:pPr>
              <w:jc w:val="both"/>
              <w:rPr>
                <w:sz w:val="20"/>
                <w:lang w:val="fr-CA"/>
              </w:rPr>
            </w:pPr>
            <w:r w:rsidRPr="006F7A67">
              <w:rPr>
                <w:sz w:val="20"/>
                <w:lang w:val="fr-CA"/>
              </w:rPr>
              <w:t>Cour d’appel de l’Ontario</w:t>
            </w:r>
          </w:p>
          <w:p w:rsidR="00197F36" w:rsidRPr="006F7A67" w:rsidRDefault="00197F36" w:rsidP="0019255A">
            <w:pPr>
              <w:jc w:val="both"/>
              <w:rPr>
                <w:sz w:val="20"/>
                <w:lang w:val="fr-CA"/>
              </w:rPr>
            </w:pPr>
            <w:r w:rsidRPr="006F7A67">
              <w:rPr>
                <w:sz w:val="20"/>
                <w:lang w:val="fr-CA"/>
              </w:rPr>
              <w:t xml:space="preserve">(Juges </w:t>
            </w:r>
            <w:proofErr w:type="spellStart"/>
            <w:r w:rsidRPr="006F7A67">
              <w:rPr>
                <w:sz w:val="20"/>
                <w:lang w:val="fr-CA"/>
              </w:rPr>
              <w:t>Feldman</w:t>
            </w:r>
            <w:proofErr w:type="spellEnd"/>
            <w:r w:rsidRPr="006F7A67">
              <w:rPr>
                <w:sz w:val="20"/>
                <w:lang w:val="fr-CA"/>
              </w:rPr>
              <w:t xml:space="preserve">, </w:t>
            </w:r>
            <w:proofErr w:type="spellStart"/>
            <w:r w:rsidRPr="006F7A67">
              <w:rPr>
                <w:sz w:val="20"/>
                <w:lang w:val="fr-CA"/>
              </w:rPr>
              <w:t>MacPherson</w:t>
            </w:r>
            <w:proofErr w:type="spellEnd"/>
            <w:r w:rsidRPr="006F7A67">
              <w:rPr>
                <w:sz w:val="20"/>
                <w:lang w:val="fr-CA"/>
              </w:rPr>
              <w:t xml:space="preserve"> et Simmons)</w:t>
            </w:r>
          </w:p>
          <w:p w:rsidR="00197F36" w:rsidRPr="006F7A67" w:rsidRDefault="00300F06" w:rsidP="0019255A">
            <w:pPr>
              <w:jc w:val="both"/>
              <w:rPr>
                <w:sz w:val="20"/>
                <w:lang w:val="fr-CA"/>
              </w:rPr>
            </w:pPr>
            <w:hyperlink r:id="rId62" w:history="1">
              <w:r w:rsidR="00197F36" w:rsidRPr="006F7A67">
                <w:rPr>
                  <w:rStyle w:val="Hyperlink"/>
                  <w:sz w:val="20"/>
                  <w:lang w:val="fr-CA"/>
                </w:rPr>
                <w:t>2019 ONCA 840</w:t>
              </w:r>
            </w:hyperlink>
            <w:r w:rsidR="00197F36" w:rsidRPr="006F7A67">
              <w:rPr>
                <w:sz w:val="20"/>
                <w:lang w:val="fr-CA"/>
              </w:rPr>
              <w:t>; C66726</w:t>
            </w:r>
          </w:p>
          <w:p w:rsidR="00197F36" w:rsidRPr="006F7A67" w:rsidRDefault="00197F36" w:rsidP="0019255A">
            <w:pPr>
              <w:jc w:val="both"/>
              <w:rPr>
                <w:sz w:val="20"/>
                <w:lang w:val="fr-CA"/>
              </w:rPr>
            </w:pPr>
          </w:p>
        </w:tc>
        <w:tc>
          <w:tcPr>
            <w:tcW w:w="299"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Rejet de l’appel</w:t>
            </w:r>
          </w:p>
          <w:p w:rsidR="00197F36" w:rsidRPr="006F7A67" w:rsidRDefault="00197F36" w:rsidP="0019255A">
            <w:pPr>
              <w:jc w:val="both"/>
              <w:rPr>
                <w:sz w:val="20"/>
                <w:lang w:val="fr-CA"/>
              </w:rPr>
            </w:pPr>
          </w:p>
        </w:tc>
      </w:tr>
      <w:tr w:rsidR="00197F36" w:rsidRPr="00DB0D35" w:rsidTr="0019255A">
        <w:tc>
          <w:tcPr>
            <w:tcW w:w="2371" w:type="pct"/>
          </w:tcPr>
          <w:p w:rsidR="00197F36" w:rsidRPr="006F7A67" w:rsidRDefault="00197F36" w:rsidP="0019255A">
            <w:pPr>
              <w:jc w:val="both"/>
              <w:rPr>
                <w:sz w:val="20"/>
                <w:lang w:val="fr-CA"/>
              </w:rPr>
            </w:pPr>
            <w:r w:rsidRPr="006F7A67">
              <w:rPr>
                <w:sz w:val="20"/>
                <w:lang w:val="fr-CA"/>
              </w:rPr>
              <w:t>20 décembre 2019</w:t>
            </w:r>
          </w:p>
          <w:p w:rsidR="00197F36" w:rsidRPr="006F7A67" w:rsidRDefault="00197F36" w:rsidP="0019255A">
            <w:pPr>
              <w:jc w:val="both"/>
              <w:rPr>
                <w:sz w:val="20"/>
                <w:lang w:val="fr-CA"/>
              </w:rPr>
            </w:pPr>
            <w:r w:rsidRPr="006F7A67">
              <w:rPr>
                <w:sz w:val="20"/>
                <w:lang w:val="fr-CA"/>
              </w:rPr>
              <w:t>Cour suprême du Canada</w:t>
            </w:r>
          </w:p>
        </w:tc>
        <w:tc>
          <w:tcPr>
            <w:tcW w:w="299"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Dépôt de la demande d’autorisation d’appel</w:t>
            </w:r>
          </w:p>
          <w:p w:rsidR="00197F36" w:rsidRPr="006F7A67" w:rsidRDefault="00197F36" w:rsidP="0019255A">
            <w:pPr>
              <w:jc w:val="both"/>
              <w:rPr>
                <w:sz w:val="20"/>
                <w:lang w:val="fr-CA"/>
              </w:rPr>
            </w:pPr>
          </w:p>
        </w:tc>
      </w:tr>
    </w:tbl>
    <w:p w:rsidR="00197F36" w:rsidRPr="006F7A67" w:rsidRDefault="00197F36" w:rsidP="00197F36">
      <w:pPr>
        <w:jc w:val="both"/>
        <w:rPr>
          <w:sz w:val="20"/>
          <w:lang w:val="fr-CA"/>
        </w:rPr>
      </w:pPr>
    </w:p>
    <w:p w:rsidR="00197F36" w:rsidRPr="006F7A67" w:rsidRDefault="00300F06" w:rsidP="00197F36">
      <w:pPr>
        <w:jc w:val="both"/>
        <w:rPr>
          <w:sz w:val="20"/>
          <w:lang w:val="fr-CA"/>
        </w:rPr>
      </w:pPr>
      <w:r>
        <w:rPr>
          <w:sz w:val="20"/>
        </w:rPr>
        <w:pict>
          <v:rect id="_x0000_i1052" style="width:2in;height:1pt" o:hrpct="0" o:hralign="center" o:hrstd="t" o:hrnoshade="t" o:hr="t" fillcolor="black [3213]" stroked="f"/>
        </w:pict>
      </w:r>
    </w:p>
    <w:p w:rsidR="00197F36" w:rsidRPr="006F7A67" w:rsidRDefault="00197F36" w:rsidP="00197F3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38988</w:t>
            </w:r>
          </w:p>
        </w:tc>
        <w:tc>
          <w:tcPr>
            <w:tcW w:w="4457" w:type="pct"/>
          </w:tcPr>
          <w:p w:rsidR="00197F36" w:rsidRPr="006F7A67" w:rsidRDefault="00197F36" w:rsidP="0019255A">
            <w:pPr>
              <w:pStyle w:val="SCCLsocParty"/>
              <w:jc w:val="both"/>
              <w:rPr>
                <w:b/>
                <w:sz w:val="20"/>
                <w:szCs w:val="20"/>
                <w:lang w:val="en-US"/>
              </w:rPr>
            </w:pPr>
            <w:r w:rsidRPr="006F7A67">
              <w:rPr>
                <w:b/>
                <w:sz w:val="20"/>
                <w:szCs w:val="20"/>
                <w:lang w:val="en-US"/>
              </w:rPr>
              <w:t>Belair Insurance Company Inc. v. Austin Benson</w:t>
            </w:r>
          </w:p>
          <w:p w:rsidR="00197F36" w:rsidRPr="006F7A67" w:rsidRDefault="00197F36" w:rsidP="0019255A">
            <w:pPr>
              <w:jc w:val="both"/>
              <w:rPr>
                <w:sz w:val="20"/>
              </w:rPr>
            </w:pPr>
            <w:r w:rsidRPr="006F7A67">
              <w:rPr>
                <w:sz w:val="20"/>
              </w:rPr>
              <w:t>(Ont.) (Civil) (By Leave)</w:t>
            </w:r>
          </w:p>
        </w:tc>
      </w:tr>
      <w:tr w:rsidR="00E26B49" w:rsidRPr="006F7A67" w:rsidTr="0019255A">
        <w:tc>
          <w:tcPr>
            <w:tcW w:w="5000" w:type="pct"/>
            <w:gridSpan w:val="2"/>
          </w:tcPr>
          <w:p w:rsidR="00E26B49" w:rsidRPr="006F7A67" w:rsidRDefault="00E26B49" w:rsidP="00E26B49">
            <w:pPr>
              <w:jc w:val="both"/>
              <w:rPr>
                <w:sz w:val="20"/>
                <w:szCs w:val="20"/>
              </w:rPr>
            </w:pPr>
            <w:r w:rsidRPr="006F7A67">
              <w:rPr>
                <w:sz w:val="20"/>
                <w:szCs w:val="20"/>
              </w:rPr>
              <w:t>The application for leave to appeal from the judgment of the Court of Appeal for Ontario, Number C65918, 2019 ONCA 840, dated October 25, 2019, is dismissed with costs.</w:t>
            </w:r>
          </w:p>
          <w:p w:rsidR="00E26B49" w:rsidRPr="006F7A67" w:rsidRDefault="00E26B49" w:rsidP="0019255A">
            <w:pPr>
              <w:jc w:val="both"/>
              <w:rPr>
                <w:sz w:val="20"/>
              </w:rPr>
            </w:pPr>
          </w:p>
        </w:tc>
      </w:tr>
      <w:tr w:rsidR="00197F36" w:rsidRPr="006F7A67" w:rsidTr="0019255A">
        <w:tc>
          <w:tcPr>
            <w:tcW w:w="5000" w:type="pct"/>
            <w:gridSpan w:val="2"/>
          </w:tcPr>
          <w:p w:rsidR="00197F36" w:rsidRPr="006F7A67" w:rsidRDefault="00197F36" w:rsidP="0019255A">
            <w:pPr>
              <w:jc w:val="both"/>
              <w:rPr>
                <w:sz w:val="20"/>
              </w:rPr>
            </w:pPr>
            <w:r w:rsidRPr="006F7A67">
              <w:rPr>
                <w:sz w:val="20"/>
              </w:rPr>
              <w:t xml:space="preserve">Insurance — Automobile insurance — Legislation — Interpretation — Does the territoriality principle adopted by this Court in </w:t>
            </w:r>
            <w:proofErr w:type="spellStart"/>
            <w:r w:rsidRPr="006F7A67">
              <w:rPr>
                <w:i/>
                <w:sz w:val="20"/>
                <w:lang w:val="en"/>
              </w:rPr>
              <w:t>Tolofson</w:t>
            </w:r>
            <w:proofErr w:type="spellEnd"/>
            <w:r w:rsidRPr="006F7A67">
              <w:rPr>
                <w:i/>
                <w:sz w:val="20"/>
                <w:lang w:val="en"/>
              </w:rPr>
              <w:t xml:space="preserve"> Jensen; Lucas (Litigation Guardian of) Gagnon</w:t>
            </w:r>
            <w:r w:rsidRPr="006F7A67">
              <w:rPr>
                <w:sz w:val="20"/>
                <w:lang w:val="en"/>
              </w:rPr>
              <w:t xml:space="preserve">, [1994] 3 S.C.R. 1022 </w:t>
            </w:r>
            <w:r w:rsidRPr="006F7A67">
              <w:rPr>
                <w:sz w:val="20"/>
              </w:rPr>
              <w:t xml:space="preserve">apply when interpreting a term that is not defined in either statutory provisions or contractual terms, where the incident occurred in one jurisdiction and involved a resident of another jurisdiction — </w:t>
            </w:r>
            <w:r w:rsidRPr="006F7A67">
              <w:rPr>
                <w:i/>
                <w:sz w:val="20"/>
              </w:rPr>
              <w:t>Insurance Act</w:t>
            </w:r>
            <w:r w:rsidRPr="006F7A67">
              <w:rPr>
                <w:sz w:val="20"/>
              </w:rPr>
              <w:t xml:space="preserve">, R.S.O. 1990, c. I.8 — </w:t>
            </w:r>
            <w:r w:rsidRPr="006F7A67">
              <w:rPr>
                <w:i/>
                <w:sz w:val="20"/>
              </w:rPr>
              <w:t>Statutory Accident Benefits Schedule, Ontario Regulation</w:t>
            </w:r>
            <w:r w:rsidRPr="006F7A67">
              <w:rPr>
                <w:sz w:val="20"/>
              </w:rPr>
              <w:t xml:space="preserve"> 34/10 — </w:t>
            </w:r>
            <w:r w:rsidRPr="006F7A67">
              <w:rPr>
                <w:i/>
                <w:sz w:val="20"/>
              </w:rPr>
              <w:t>Off</w:t>
            </w:r>
            <w:r w:rsidRPr="006F7A67">
              <w:rPr>
                <w:i/>
                <w:sz w:val="20"/>
              </w:rPr>
              <w:noBreakHyphen/>
              <w:t>Road Vehicles A</w:t>
            </w:r>
            <w:r w:rsidRPr="006F7A67">
              <w:rPr>
                <w:sz w:val="20"/>
              </w:rPr>
              <w:t>ct, R.S.O. 1990, c. O.4.</w:t>
            </w:r>
          </w:p>
          <w:p w:rsidR="00197F36" w:rsidRPr="006F7A67" w:rsidRDefault="00197F36" w:rsidP="0019255A">
            <w:pPr>
              <w:jc w:val="both"/>
              <w:rPr>
                <w:sz w:val="20"/>
              </w:rPr>
            </w:pPr>
          </w:p>
        </w:tc>
      </w:tr>
    </w:tbl>
    <w:p w:rsidR="001A0C1D" w:rsidRPr="006F7A67" w:rsidRDefault="001A0C1D">
      <w:r w:rsidRPr="006F7A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7F36" w:rsidRPr="006F7A67" w:rsidTr="0019255A">
        <w:tc>
          <w:tcPr>
            <w:tcW w:w="5000" w:type="pct"/>
            <w:gridSpan w:val="3"/>
          </w:tcPr>
          <w:p w:rsidR="00197F36" w:rsidRPr="006F7A67" w:rsidRDefault="00197F36" w:rsidP="0019255A">
            <w:pPr>
              <w:jc w:val="both"/>
              <w:rPr>
                <w:sz w:val="20"/>
              </w:rPr>
            </w:pPr>
            <w:r w:rsidRPr="006F7A67">
              <w:rPr>
                <w:sz w:val="20"/>
              </w:rPr>
              <w:t xml:space="preserve">The respondent, an Ontario resident, was the named insured under an Ontario automobile policy issued by the applicant. In June 2013, while he was living in British Columbia, the respondent fell off an all-terrain vehicle (“ATV”) owned and driven by a B.C. resident. The respondent suffered severe injuries and filed an application for accident benefits in Ontario. The applicant denied coverage on the basis that, as the accident occurred in British Columbia, the question of whether an ATV constitutes an automobile for Ontario accident benefit purposes must be determined under the laws of B.C., which do not require ATVs to be insured as motor vehicles. Attempts at mediation failed and the respondent applied for arbitration at the Financial Services Commission of Ontario. Applying the principle of </w:t>
            </w:r>
            <w:proofErr w:type="spellStart"/>
            <w:r w:rsidRPr="006F7A67">
              <w:rPr>
                <w:i/>
                <w:sz w:val="20"/>
              </w:rPr>
              <w:t>lex</w:t>
            </w:r>
            <w:proofErr w:type="spellEnd"/>
            <w:r w:rsidRPr="006F7A67">
              <w:rPr>
                <w:i/>
                <w:sz w:val="20"/>
              </w:rPr>
              <w:t xml:space="preserve"> loci </w:t>
            </w:r>
            <w:proofErr w:type="spellStart"/>
            <w:r w:rsidRPr="006F7A67">
              <w:rPr>
                <w:i/>
                <w:sz w:val="20"/>
              </w:rPr>
              <w:t>delicti</w:t>
            </w:r>
            <w:proofErr w:type="spellEnd"/>
            <w:r w:rsidRPr="006F7A67">
              <w:rPr>
                <w:sz w:val="20"/>
              </w:rPr>
              <w:t xml:space="preserve">, the arbitrator determined that since the ATV was not an automobile under the laws of B.C., the respondent was not entitled to benefits. The Director Delegate upheld the denial of benefits on a statutory appeal and the Ontario Superior Court of Justice, Divisional Court dismissed the respondent’s application for judicial review. The Ontario Court of Appeal interpreted and applied the laws of Ontario in the context of the Ontario contract of insurance and allowed the respondent’s appeal. The Court held that the ATV was an automobile pursuant to the laws of Ontario, the respondent was involved in an accident as defined in the </w:t>
            </w:r>
            <w:r w:rsidRPr="006F7A67">
              <w:rPr>
                <w:i/>
                <w:sz w:val="20"/>
              </w:rPr>
              <w:t xml:space="preserve">SABS Regulation </w:t>
            </w:r>
            <w:r w:rsidRPr="006F7A67">
              <w:rPr>
                <w:sz w:val="20"/>
              </w:rPr>
              <w:t>and</w:t>
            </w:r>
            <w:r w:rsidRPr="006F7A67">
              <w:rPr>
                <w:i/>
                <w:sz w:val="20"/>
              </w:rPr>
              <w:t xml:space="preserve"> </w:t>
            </w:r>
            <w:r w:rsidRPr="006F7A67">
              <w:rPr>
                <w:sz w:val="20"/>
              </w:rPr>
              <w:t xml:space="preserve">he was therefore entitled to benefits under </w:t>
            </w:r>
            <w:r w:rsidRPr="006F7A67">
              <w:rPr>
                <w:i/>
                <w:sz w:val="20"/>
              </w:rPr>
              <w:t>SABS Regulation</w:t>
            </w:r>
            <w:r w:rsidRPr="006F7A67">
              <w:rPr>
                <w:sz w:val="20"/>
              </w:rPr>
              <w:t xml:space="preserve"> 34/10.</w:t>
            </w:r>
          </w:p>
        </w:tc>
      </w:tr>
      <w:tr w:rsidR="00197F36" w:rsidRPr="006F7A67" w:rsidTr="0019255A">
        <w:tc>
          <w:tcPr>
            <w:tcW w:w="5000" w:type="pct"/>
            <w:gridSpan w:val="3"/>
          </w:tcPr>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April 9, 2018</w:t>
            </w:r>
          </w:p>
          <w:p w:rsidR="00197F36" w:rsidRPr="006F7A67" w:rsidRDefault="00197F36" w:rsidP="0019255A">
            <w:pPr>
              <w:jc w:val="both"/>
              <w:rPr>
                <w:sz w:val="20"/>
              </w:rPr>
            </w:pPr>
            <w:r w:rsidRPr="006F7A67">
              <w:rPr>
                <w:sz w:val="20"/>
              </w:rPr>
              <w:t>Ontario Superior Court of Justice</w:t>
            </w:r>
          </w:p>
          <w:p w:rsidR="00197F36" w:rsidRPr="006F7A67" w:rsidRDefault="00197F36" w:rsidP="0019255A">
            <w:pPr>
              <w:jc w:val="both"/>
              <w:rPr>
                <w:sz w:val="20"/>
              </w:rPr>
            </w:pPr>
            <w:r w:rsidRPr="006F7A67">
              <w:rPr>
                <w:sz w:val="20"/>
              </w:rPr>
              <w:t>Divisional Court</w:t>
            </w:r>
          </w:p>
          <w:p w:rsidR="00197F36" w:rsidRPr="006F7A67" w:rsidRDefault="00197F36" w:rsidP="0019255A">
            <w:pPr>
              <w:jc w:val="both"/>
              <w:rPr>
                <w:sz w:val="20"/>
              </w:rPr>
            </w:pPr>
            <w:r w:rsidRPr="006F7A67">
              <w:rPr>
                <w:sz w:val="20"/>
              </w:rPr>
              <w:t>(</w:t>
            </w:r>
            <w:proofErr w:type="spellStart"/>
            <w:r w:rsidRPr="006F7A67">
              <w:rPr>
                <w:sz w:val="20"/>
              </w:rPr>
              <w:t>Morawetz</w:t>
            </w:r>
            <w:proofErr w:type="spellEnd"/>
            <w:r w:rsidRPr="006F7A67">
              <w:rPr>
                <w:sz w:val="20"/>
              </w:rPr>
              <w:t xml:space="preserve"> RSJ and </w:t>
            </w:r>
            <w:proofErr w:type="spellStart"/>
            <w:r w:rsidRPr="006F7A67">
              <w:rPr>
                <w:sz w:val="20"/>
              </w:rPr>
              <w:t>Thorburn</w:t>
            </w:r>
            <w:proofErr w:type="spellEnd"/>
            <w:r w:rsidRPr="006F7A67">
              <w:rPr>
                <w:sz w:val="20"/>
              </w:rPr>
              <w:t xml:space="preserve"> and </w:t>
            </w:r>
            <w:proofErr w:type="spellStart"/>
            <w:r w:rsidRPr="006F7A67">
              <w:rPr>
                <w:sz w:val="20"/>
              </w:rPr>
              <w:t>Tzimas</w:t>
            </w:r>
            <w:proofErr w:type="spellEnd"/>
            <w:r w:rsidRPr="006F7A67">
              <w:rPr>
                <w:sz w:val="20"/>
              </w:rPr>
              <w:t xml:space="preserve"> JJ.)</w:t>
            </w:r>
          </w:p>
          <w:p w:rsidR="00197F36" w:rsidRPr="006F7A67" w:rsidRDefault="00300F06" w:rsidP="0019255A">
            <w:pPr>
              <w:jc w:val="both"/>
              <w:rPr>
                <w:sz w:val="20"/>
              </w:rPr>
            </w:pPr>
            <w:hyperlink r:id="rId63" w:history="1">
              <w:r w:rsidR="00197F36" w:rsidRPr="006F7A67">
                <w:rPr>
                  <w:rStyle w:val="Hyperlink"/>
                  <w:sz w:val="20"/>
                </w:rPr>
                <w:t>2018 ONSC 2297</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judicial review dismissed.</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October 25, 2019</w:t>
            </w:r>
          </w:p>
          <w:p w:rsidR="00197F36" w:rsidRPr="006F7A67" w:rsidRDefault="00197F36" w:rsidP="0019255A">
            <w:pPr>
              <w:jc w:val="both"/>
              <w:rPr>
                <w:sz w:val="20"/>
              </w:rPr>
            </w:pPr>
            <w:r w:rsidRPr="006F7A67">
              <w:rPr>
                <w:sz w:val="20"/>
              </w:rPr>
              <w:t>Court of Appeal for Ontario</w:t>
            </w:r>
          </w:p>
          <w:p w:rsidR="00197F36" w:rsidRPr="006F7A67" w:rsidRDefault="00197F36" w:rsidP="0019255A">
            <w:pPr>
              <w:jc w:val="both"/>
              <w:rPr>
                <w:sz w:val="20"/>
              </w:rPr>
            </w:pPr>
            <w:r w:rsidRPr="006F7A67">
              <w:rPr>
                <w:sz w:val="20"/>
              </w:rPr>
              <w:t>(Feldman, MacPherson and Simmons JJ.A.)</w:t>
            </w:r>
          </w:p>
          <w:p w:rsidR="00197F36" w:rsidRPr="006F7A67" w:rsidRDefault="00300F06" w:rsidP="0019255A">
            <w:pPr>
              <w:jc w:val="both"/>
              <w:rPr>
                <w:sz w:val="20"/>
              </w:rPr>
            </w:pPr>
            <w:hyperlink r:id="rId64" w:history="1">
              <w:r w:rsidR="00197F36" w:rsidRPr="006F7A67">
                <w:rPr>
                  <w:rStyle w:val="Hyperlink"/>
                  <w:sz w:val="20"/>
                </w:rPr>
                <w:t>2019 ONCA 840</w:t>
              </w:r>
            </w:hyperlink>
            <w:r w:rsidR="00197F36" w:rsidRPr="006F7A67">
              <w:rPr>
                <w:sz w:val="20"/>
              </w:rPr>
              <w:t>; C65918</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Appeal allowed</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December 24, 2019</w:t>
            </w:r>
          </w:p>
          <w:p w:rsidR="00197F36" w:rsidRPr="006F7A67" w:rsidRDefault="00197F36" w:rsidP="0019255A">
            <w:pPr>
              <w:jc w:val="both"/>
              <w:rPr>
                <w:sz w:val="20"/>
              </w:rPr>
            </w:pPr>
            <w:r w:rsidRPr="006F7A67">
              <w:rPr>
                <w:sz w:val="20"/>
              </w:rPr>
              <w:t>Supreme Court of Canada</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leave to appeal filed</w:t>
            </w:r>
          </w:p>
          <w:p w:rsidR="00197F36" w:rsidRPr="006F7A67" w:rsidRDefault="00197F36" w:rsidP="0019255A">
            <w:pPr>
              <w:jc w:val="both"/>
              <w:rPr>
                <w:sz w:val="20"/>
              </w:rPr>
            </w:pP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53"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97F36" w:rsidRPr="00DB0D35" w:rsidTr="0019255A">
        <w:tc>
          <w:tcPr>
            <w:tcW w:w="543" w:type="pct"/>
          </w:tcPr>
          <w:p w:rsidR="00197F36" w:rsidRPr="006F7A67" w:rsidRDefault="00197F36" w:rsidP="0019255A">
            <w:pPr>
              <w:jc w:val="both"/>
              <w:rPr>
                <w:sz w:val="20"/>
              </w:rPr>
            </w:pPr>
            <w:r w:rsidRPr="006F7A67">
              <w:rPr>
                <w:rStyle w:val="SCCFileNumberChar"/>
                <w:sz w:val="20"/>
                <w:szCs w:val="20"/>
              </w:rPr>
              <w:t>38988</w:t>
            </w:r>
          </w:p>
        </w:tc>
        <w:tc>
          <w:tcPr>
            <w:tcW w:w="4457" w:type="pct"/>
          </w:tcPr>
          <w:p w:rsidR="00197F36" w:rsidRPr="006F7A67" w:rsidRDefault="00197F36" w:rsidP="0019255A">
            <w:pPr>
              <w:pStyle w:val="SCCLsocParty"/>
              <w:jc w:val="both"/>
              <w:rPr>
                <w:b/>
                <w:sz w:val="20"/>
                <w:szCs w:val="20"/>
              </w:rPr>
            </w:pPr>
            <w:r w:rsidRPr="006F7A67">
              <w:rPr>
                <w:b/>
                <w:sz w:val="20"/>
                <w:szCs w:val="20"/>
              </w:rPr>
              <w:t>Belair Insurance Company Inc. c. Austin Benson</w:t>
            </w:r>
          </w:p>
          <w:p w:rsidR="00197F36" w:rsidRPr="006F7A67" w:rsidRDefault="00197F36" w:rsidP="0019255A">
            <w:pPr>
              <w:jc w:val="both"/>
              <w:rPr>
                <w:sz w:val="20"/>
                <w:lang w:val="fr-CA"/>
              </w:rPr>
            </w:pPr>
            <w:r w:rsidRPr="006F7A67">
              <w:rPr>
                <w:sz w:val="20"/>
                <w:lang w:val="fr-CA"/>
              </w:rPr>
              <w:t>(Ont.) (Civile) (Autorisation)</w:t>
            </w:r>
          </w:p>
        </w:tc>
      </w:tr>
      <w:tr w:rsidR="00E26B49" w:rsidRPr="00DB0D35" w:rsidTr="0019255A">
        <w:tc>
          <w:tcPr>
            <w:tcW w:w="5000" w:type="pct"/>
            <w:gridSpan w:val="2"/>
          </w:tcPr>
          <w:p w:rsidR="00E26B49" w:rsidRPr="006F7A67" w:rsidRDefault="00E26B49" w:rsidP="0019255A">
            <w:pPr>
              <w:jc w:val="both"/>
              <w:rPr>
                <w:sz w:val="20"/>
                <w:szCs w:val="20"/>
                <w:lang w:val="fr-CA"/>
              </w:rPr>
            </w:pPr>
            <w:r w:rsidRPr="006F7A67">
              <w:rPr>
                <w:sz w:val="20"/>
                <w:szCs w:val="20"/>
                <w:lang w:val="fr-CA"/>
              </w:rPr>
              <w:t>La demande d’autorisation d’appel de l’arrêt de la Cour d’appel de l’Ontario, numéro C65918, 2019 ONCA 840, daté du 25 octobre 2019, est rejetée avec dépens.</w:t>
            </w:r>
          </w:p>
          <w:p w:rsidR="00E26B49" w:rsidRPr="006F7A67" w:rsidRDefault="00E26B49" w:rsidP="0019255A">
            <w:pPr>
              <w:jc w:val="both"/>
              <w:rPr>
                <w:sz w:val="20"/>
                <w:lang w:val="fr-CA"/>
              </w:rPr>
            </w:pPr>
          </w:p>
        </w:tc>
      </w:tr>
      <w:tr w:rsidR="00197F36" w:rsidRPr="006F7A67" w:rsidTr="0019255A">
        <w:tc>
          <w:tcPr>
            <w:tcW w:w="5000" w:type="pct"/>
            <w:gridSpan w:val="2"/>
          </w:tcPr>
          <w:p w:rsidR="00197F36" w:rsidRPr="006F7A67" w:rsidRDefault="00197F36" w:rsidP="0019255A">
            <w:pPr>
              <w:jc w:val="both"/>
              <w:rPr>
                <w:sz w:val="20"/>
                <w:lang w:val="fr-CA"/>
              </w:rPr>
            </w:pPr>
            <w:r w:rsidRPr="006F7A67">
              <w:rPr>
                <w:sz w:val="20"/>
                <w:lang w:val="fr-CA"/>
              </w:rPr>
              <w:t xml:space="preserve">Assurance — Assurance automobile — Législation — Interprétation — Le principe de territorialité adopté par notre Cour dans </w:t>
            </w:r>
            <w:proofErr w:type="spellStart"/>
            <w:r w:rsidRPr="006F7A67">
              <w:rPr>
                <w:i/>
                <w:sz w:val="20"/>
                <w:lang w:val="fr-CA"/>
              </w:rPr>
              <w:t>Tolofson</w:t>
            </w:r>
            <w:proofErr w:type="spellEnd"/>
            <w:r w:rsidRPr="006F7A67">
              <w:rPr>
                <w:i/>
                <w:sz w:val="20"/>
                <w:lang w:val="fr-CA"/>
              </w:rPr>
              <w:t xml:space="preserve"> Jensen; Lucas (Tutrice à l’instance de) Gagnon</w:t>
            </w:r>
            <w:r w:rsidRPr="006F7A67">
              <w:rPr>
                <w:sz w:val="20"/>
                <w:lang w:val="fr-CA"/>
              </w:rPr>
              <w:t>, [1994] 3 R.C.S. 1022 s’applique</w:t>
            </w:r>
            <w:r w:rsidRPr="006F7A67">
              <w:rPr>
                <w:sz w:val="20"/>
                <w:lang w:val="fr-CA"/>
              </w:rPr>
              <w:noBreakHyphen/>
              <w:t>t</w:t>
            </w:r>
            <w:r w:rsidRPr="006F7A67">
              <w:rPr>
                <w:sz w:val="20"/>
                <w:lang w:val="fr-CA"/>
              </w:rPr>
              <w:noBreakHyphen/>
              <w:t xml:space="preserve">il à l’interprétation d’un terme qui n’est défini ni dans les dispositions légales ni dans les conditions contractuelles, lorsque l’incident s’est produit dans un ressort et impliquait un résident d’un autre ressort? — </w:t>
            </w:r>
            <w:r w:rsidRPr="006F7A67">
              <w:rPr>
                <w:i/>
                <w:sz w:val="20"/>
                <w:lang w:val="fr-CA"/>
              </w:rPr>
              <w:t>Loi sur les assurances</w:t>
            </w:r>
            <w:r w:rsidRPr="006F7A67">
              <w:rPr>
                <w:sz w:val="20"/>
                <w:lang w:val="fr-CA"/>
              </w:rPr>
              <w:t xml:space="preserve">, L.R.O. 1990, ch. I.8 — </w:t>
            </w:r>
            <w:r w:rsidRPr="006F7A67">
              <w:rPr>
                <w:i/>
                <w:sz w:val="20"/>
                <w:lang w:val="fr-CA"/>
              </w:rPr>
              <w:t xml:space="preserve">Annexe sur les indemnités d’accident légales, </w:t>
            </w:r>
            <w:r w:rsidRPr="006F7A67">
              <w:rPr>
                <w:sz w:val="20"/>
                <w:lang w:val="fr-CA"/>
              </w:rPr>
              <w:t xml:space="preserve">Règlement de l’Ontario 34/10 — </w:t>
            </w:r>
            <w:r w:rsidRPr="006F7A67">
              <w:rPr>
                <w:i/>
                <w:sz w:val="20"/>
                <w:lang w:val="fr-CA"/>
              </w:rPr>
              <w:t>Loi sur les véhicules tout terrain</w:t>
            </w:r>
            <w:r w:rsidRPr="006F7A67">
              <w:rPr>
                <w:sz w:val="20"/>
                <w:lang w:val="fr-CA"/>
              </w:rPr>
              <w:t>, L.R.O. 1990, ch. O.4.</w:t>
            </w:r>
          </w:p>
          <w:p w:rsidR="00197F36" w:rsidRPr="006F7A67" w:rsidRDefault="00197F36" w:rsidP="0019255A">
            <w:pPr>
              <w:jc w:val="both"/>
              <w:rPr>
                <w:sz w:val="20"/>
                <w:lang w:val="fr-CA"/>
              </w:rPr>
            </w:pPr>
          </w:p>
        </w:tc>
      </w:tr>
    </w:tbl>
    <w:p w:rsidR="001A0C1D" w:rsidRPr="006F7A67" w:rsidRDefault="001A0C1D">
      <w:r w:rsidRPr="006F7A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7F36" w:rsidRPr="00DB0D35" w:rsidTr="0019255A">
        <w:tc>
          <w:tcPr>
            <w:tcW w:w="5000" w:type="pct"/>
            <w:gridSpan w:val="3"/>
          </w:tcPr>
          <w:p w:rsidR="00197F36" w:rsidRPr="006F7A67" w:rsidRDefault="00197F36" w:rsidP="0019255A">
            <w:pPr>
              <w:jc w:val="both"/>
              <w:rPr>
                <w:sz w:val="20"/>
                <w:lang w:val="fr-CA"/>
              </w:rPr>
            </w:pPr>
            <w:r w:rsidRPr="006F7A67">
              <w:rPr>
                <w:sz w:val="20"/>
                <w:lang w:val="fr-CA"/>
              </w:rPr>
              <w:t>L’intimé, un résident de l’Ontario, était l’assuré désigné dans une police d’assurance automobile de l’Ontario établie par la demanderesse. En juin 2013, alors qu’il vivait en Colombie-Britannique, l’intimé est tombé d’un véhicule tout terrain (« VTT ») conduit par son propriétaire, un résident de la Colombie</w:t>
            </w:r>
            <w:r w:rsidRPr="006F7A67">
              <w:rPr>
                <w:sz w:val="20"/>
                <w:lang w:val="fr-CA"/>
              </w:rPr>
              <w:noBreakHyphen/>
              <w:t>Britannique. L’intimé a été grièvement blessé et a présenté une demande d’indemnités d’accident en Ontario. La demanderesse lui a opposé un refus au motif que parce que l’accident s’était produit en Colombie</w:t>
            </w:r>
            <w:r w:rsidRPr="006F7A67">
              <w:rPr>
                <w:sz w:val="20"/>
                <w:lang w:val="fr-CA"/>
              </w:rPr>
              <w:noBreakHyphen/>
              <w:t>Britannique, la question de savoir si un VTT est une automobile aux fins des indemnités d’accident de l’Ontario doit être tranchée en vertu des lois de la Colombie</w:t>
            </w:r>
            <w:r w:rsidRPr="006F7A67">
              <w:rPr>
                <w:sz w:val="20"/>
                <w:lang w:val="fr-CA"/>
              </w:rPr>
              <w:noBreakHyphen/>
              <w:t xml:space="preserve">Britannique, qui n’obligent pas d’immatriculer les VTT comme véhicules automobiles. Les tentatives de médiation ont échoué et l’intimé a demandé l’arbitrage à la Commission des services financiers de l’Ontario. Appliquant le principe de la </w:t>
            </w:r>
            <w:proofErr w:type="spellStart"/>
            <w:r w:rsidRPr="006F7A67">
              <w:rPr>
                <w:i/>
                <w:sz w:val="20"/>
                <w:lang w:val="fr-CA"/>
              </w:rPr>
              <w:t>lex</w:t>
            </w:r>
            <w:proofErr w:type="spellEnd"/>
            <w:r w:rsidRPr="006F7A67">
              <w:rPr>
                <w:i/>
                <w:sz w:val="20"/>
                <w:lang w:val="fr-CA"/>
              </w:rPr>
              <w:t xml:space="preserve"> </w:t>
            </w:r>
            <w:proofErr w:type="spellStart"/>
            <w:r w:rsidRPr="006F7A67">
              <w:rPr>
                <w:i/>
                <w:sz w:val="20"/>
                <w:lang w:val="fr-CA"/>
              </w:rPr>
              <w:t>loci</w:t>
            </w:r>
            <w:proofErr w:type="spellEnd"/>
            <w:r w:rsidRPr="006F7A67">
              <w:rPr>
                <w:i/>
                <w:sz w:val="20"/>
                <w:lang w:val="fr-CA"/>
              </w:rPr>
              <w:t xml:space="preserve"> </w:t>
            </w:r>
            <w:proofErr w:type="spellStart"/>
            <w:r w:rsidRPr="006F7A67">
              <w:rPr>
                <w:i/>
                <w:sz w:val="20"/>
                <w:lang w:val="fr-CA"/>
              </w:rPr>
              <w:t>delicti</w:t>
            </w:r>
            <w:proofErr w:type="spellEnd"/>
            <w:r w:rsidRPr="006F7A67">
              <w:rPr>
                <w:sz w:val="20"/>
                <w:lang w:val="fr-CA"/>
              </w:rPr>
              <w:t>, l’arbitre a conclu que parce que le VTT n’était pas une automobile en vertu des lois de la Colombie</w:t>
            </w:r>
            <w:r w:rsidRPr="006F7A67">
              <w:rPr>
                <w:sz w:val="20"/>
                <w:lang w:val="fr-CA"/>
              </w:rPr>
              <w:noBreakHyphen/>
              <w:t xml:space="preserve">Britannique, l’intimé n’avait pas droit à des indemnités. Le délégué du directeur a confirmé le refus des indemnités dans le cadre d’un appel prévu par la loi et la Cour supérieure de justice, Cour divisionnaire, a rejeté la demande de contrôle judiciaire présentée par l’intimé. La Cour d’appel de l’Ontario a interprété et appliqué les lois de l’Ontario dans le contexte du contrat d’assurance de l’Ontario et a accueilli l’appel de l’intimé. La Cour a statué qu’un VTT était une automobile en vertu des lois de l’Ontario, que l’intimé a été impliqué dans un accident au sens du Règlement sur les IAL et qu’il avait donc droit à des indemnités en vertu du Règlement 34/10 sur les IAL. </w:t>
            </w:r>
          </w:p>
        </w:tc>
      </w:tr>
      <w:tr w:rsidR="00197F36" w:rsidRPr="00DB0D35" w:rsidTr="0019255A">
        <w:tc>
          <w:tcPr>
            <w:tcW w:w="5000" w:type="pct"/>
            <w:gridSpan w:val="3"/>
          </w:tcPr>
          <w:p w:rsidR="00197F36" w:rsidRPr="006F7A67" w:rsidRDefault="00197F36" w:rsidP="0019255A">
            <w:pPr>
              <w:jc w:val="both"/>
              <w:rPr>
                <w:sz w:val="20"/>
                <w:lang w:val="fr-CA"/>
              </w:rPr>
            </w:pPr>
          </w:p>
        </w:tc>
      </w:tr>
      <w:tr w:rsidR="00197F36" w:rsidRPr="00DB0D35" w:rsidTr="0019255A">
        <w:tc>
          <w:tcPr>
            <w:tcW w:w="2427" w:type="pct"/>
          </w:tcPr>
          <w:p w:rsidR="00197F36" w:rsidRPr="006F7A67" w:rsidRDefault="00197F36" w:rsidP="0019255A">
            <w:pPr>
              <w:jc w:val="both"/>
              <w:rPr>
                <w:sz w:val="20"/>
                <w:lang w:val="fr-CA"/>
              </w:rPr>
            </w:pPr>
            <w:r w:rsidRPr="006F7A67">
              <w:rPr>
                <w:sz w:val="20"/>
                <w:lang w:val="fr-CA"/>
              </w:rPr>
              <w:t>9 avril 2018</w:t>
            </w:r>
          </w:p>
          <w:p w:rsidR="00197F36" w:rsidRPr="006F7A67" w:rsidRDefault="00197F36" w:rsidP="0019255A">
            <w:pPr>
              <w:jc w:val="both"/>
              <w:rPr>
                <w:sz w:val="20"/>
                <w:lang w:val="fr-CA"/>
              </w:rPr>
            </w:pPr>
            <w:r w:rsidRPr="006F7A67">
              <w:rPr>
                <w:sz w:val="20"/>
                <w:lang w:val="fr-CA"/>
              </w:rPr>
              <w:t>Cour supérieure de justice de l’Ontario</w:t>
            </w:r>
          </w:p>
          <w:p w:rsidR="00197F36" w:rsidRPr="006F7A67" w:rsidRDefault="00197F36" w:rsidP="0019255A">
            <w:pPr>
              <w:jc w:val="both"/>
              <w:rPr>
                <w:sz w:val="20"/>
                <w:lang w:val="fr-CA"/>
              </w:rPr>
            </w:pPr>
            <w:r w:rsidRPr="006F7A67">
              <w:rPr>
                <w:sz w:val="20"/>
                <w:lang w:val="fr-CA"/>
              </w:rPr>
              <w:t>Cour divisionnaire</w:t>
            </w:r>
          </w:p>
          <w:p w:rsidR="00197F36" w:rsidRPr="006F7A67" w:rsidRDefault="00197F36" w:rsidP="0019255A">
            <w:pPr>
              <w:jc w:val="both"/>
              <w:rPr>
                <w:sz w:val="20"/>
                <w:lang w:val="fr-CA"/>
              </w:rPr>
            </w:pPr>
            <w:r w:rsidRPr="006F7A67">
              <w:rPr>
                <w:sz w:val="20"/>
                <w:lang w:val="fr-CA"/>
              </w:rPr>
              <w:t xml:space="preserve">(Juge principal régional </w:t>
            </w:r>
            <w:proofErr w:type="spellStart"/>
            <w:r w:rsidRPr="006F7A67">
              <w:rPr>
                <w:sz w:val="20"/>
                <w:lang w:val="fr-CA"/>
              </w:rPr>
              <w:t>Morawetz</w:t>
            </w:r>
            <w:proofErr w:type="spellEnd"/>
            <w:r w:rsidRPr="006F7A67">
              <w:rPr>
                <w:sz w:val="20"/>
                <w:lang w:val="fr-CA"/>
              </w:rPr>
              <w:t xml:space="preserve">, juges </w:t>
            </w:r>
            <w:proofErr w:type="spellStart"/>
            <w:r w:rsidRPr="006F7A67">
              <w:rPr>
                <w:sz w:val="20"/>
                <w:lang w:val="fr-CA"/>
              </w:rPr>
              <w:t>Thorburn</w:t>
            </w:r>
            <w:proofErr w:type="spellEnd"/>
            <w:r w:rsidRPr="006F7A67">
              <w:rPr>
                <w:sz w:val="20"/>
                <w:lang w:val="fr-CA"/>
              </w:rPr>
              <w:t xml:space="preserve"> et </w:t>
            </w:r>
            <w:proofErr w:type="spellStart"/>
            <w:r w:rsidRPr="006F7A67">
              <w:rPr>
                <w:sz w:val="20"/>
                <w:lang w:val="fr-CA"/>
              </w:rPr>
              <w:t>Tzimas</w:t>
            </w:r>
            <w:proofErr w:type="spellEnd"/>
            <w:r w:rsidRPr="006F7A67">
              <w:rPr>
                <w:sz w:val="20"/>
                <w:lang w:val="fr-CA"/>
              </w:rPr>
              <w:t>)</w:t>
            </w:r>
          </w:p>
          <w:p w:rsidR="00197F36" w:rsidRPr="006F7A67" w:rsidRDefault="00300F06" w:rsidP="0019255A">
            <w:pPr>
              <w:jc w:val="both"/>
              <w:rPr>
                <w:sz w:val="20"/>
                <w:lang w:val="fr-CA"/>
              </w:rPr>
            </w:pPr>
            <w:hyperlink r:id="rId65" w:history="1">
              <w:r w:rsidR="00197F36" w:rsidRPr="006F7A67">
                <w:rPr>
                  <w:rStyle w:val="Hyperlink"/>
                  <w:sz w:val="20"/>
                  <w:lang w:val="fr-CA"/>
                </w:rPr>
                <w:t>2018 ONSC 2297</w:t>
              </w:r>
            </w:hyperlink>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Rejet de la demande de contrôle judiciaire.</w:t>
            </w:r>
          </w:p>
          <w:p w:rsidR="00197F36" w:rsidRPr="006F7A67" w:rsidRDefault="00197F36" w:rsidP="0019255A">
            <w:pPr>
              <w:jc w:val="both"/>
              <w:rPr>
                <w:sz w:val="20"/>
                <w:lang w:val="fr-CA"/>
              </w:rPr>
            </w:pPr>
          </w:p>
        </w:tc>
      </w:tr>
      <w:tr w:rsidR="00197F36" w:rsidRPr="006F7A67" w:rsidTr="0019255A">
        <w:tc>
          <w:tcPr>
            <w:tcW w:w="2427" w:type="pct"/>
          </w:tcPr>
          <w:p w:rsidR="00197F36" w:rsidRPr="006F7A67" w:rsidRDefault="00197F36" w:rsidP="0019255A">
            <w:pPr>
              <w:jc w:val="both"/>
              <w:rPr>
                <w:sz w:val="20"/>
                <w:lang w:val="fr-CA"/>
              </w:rPr>
            </w:pPr>
            <w:r w:rsidRPr="006F7A67">
              <w:rPr>
                <w:sz w:val="20"/>
                <w:lang w:val="fr-CA"/>
              </w:rPr>
              <w:t>25 octobre 2019</w:t>
            </w:r>
          </w:p>
          <w:p w:rsidR="00197F36" w:rsidRPr="006F7A67" w:rsidRDefault="00197F36" w:rsidP="0019255A">
            <w:pPr>
              <w:jc w:val="both"/>
              <w:rPr>
                <w:sz w:val="20"/>
                <w:lang w:val="fr-CA"/>
              </w:rPr>
            </w:pPr>
            <w:r w:rsidRPr="006F7A67">
              <w:rPr>
                <w:sz w:val="20"/>
                <w:lang w:val="fr-CA"/>
              </w:rPr>
              <w:t>Cour d’appel de l’Ontario</w:t>
            </w:r>
          </w:p>
          <w:p w:rsidR="00197F36" w:rsidRPr="006F7A67" w:rsidRDefault="00197F36" w:rsidP="0019255A">
            <w:pPr>
              <w:jc w:val="both"/>
              <w:rPr>
                <w:sz w:val="20"/>
                <w:lang w:val="fr-CA"/>
              </w:rPr>
            </w:pPr>
            <w:r w:rsidRPr="006F7A67">
              <w:rPr>
                <w:sz w:val="20"/>
                <w:lang w:val="fr-CA"/>
              </w:rPr>
              <w:t xml:space="preserve">(Juges </w:t>
            </w:r>
            <w:proofErr w:type="spellStart"/>
            <w:r w:rsidRPr="006F7A67">
              <w:rPr>
                <w:sz w:val="20"/>
                <w:lang w:val="fr-CA"/>
              </w:rPr>
              <w:t>Feldman</w:t>
            </w:r>
            <w:proofErr w:type="spellEnd"/>
            <w:r w:rsidRPr="006F7A67">
              <w:rPr>
                <w:sz w:val="20"/>
                <w:lang w:val="fr-CA"/>
              </w:rPr>
              <w:t xml:space="preserve">, </w:t>
            </w:r>
            <w:proofErr w:type="spellStart"/>
            <w:r w:rsidRPr="006F7A67">
              <w:rPr>
                <w:sz w:val="20"/>
                <w:lang w:val="fr-CA"/>
              </w:rPr>
              <w:t>MacPherson</w:t>
            </w:r>
            <w:proofErr w:type="spellEnd"/>
            <w:r w:rsidRPr="006F7A67">
              <w:rPr>
                <w:sz w:val="20"/>
                <w:lang w:val="fr-CA"/>
              </w:rPr>
              <w:t xml:space="preserve"> et Simmons)</w:t>
            </w:r>
          </w:p>
          <w:p w:rsidR="00197F36" w:rsidRPr="006F7A67" w:rsidRDefault="00300F06" w:rsidP="0019255A">
            <w:pPr>
              <w:jc w:val="both"/>
              <w:rPr>
                <w:sz w:val="20"/>
                <w:lang w:val="fr-CA"/>
              </w:rPr>
            </w:pPr>
            <w:hyperlink r:id="rId66" w:history="1">
              <w:r w:rsidR="00197F36" w:rsidRPr="006F7A67">
                <w:rPr>
                  <w:rStyle w:val="Hyperlink"/>
                  <w:sz w:val="20"/>
                  <w:lang w:val="fr-CA"/>
                </w:rPr>
                <w:t>2019 ONCA 840</w:t>
              </w:r>
            </w:hyperlink>
            <w:r w:rsidR="00197F36" w:rsidRPr="006F7A67">
              <w:rPr>
                <w:sz w:val="20"/>
                <w:lang w:val="fr-CA"/>
              </w:rPr>
              <w:t>; C65918</w:t>
            </w:r>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Arrêt accueillant l’appel</w:t>
            </w:r>
          </w:p>
          <w:p w:rsidR="00197F36" w:rsidRPr="006F7A67" w:rsidRDefault="00197F36" w:rsidP="0019255A">
            <w:pPr>
              <w:jc w:val="both"/>
              <w:rPr>
                <w:sz w:val="20"/>
                <w:lang w:val="fr-CA"/>
              </w:rPr>
            </w:pPr>
          </w:p>
        </w:tc>
      </w:tr>
      <w:tr w:rsidR="00197F36" w:rsidRPr="00DB0D35" w:rsidTr="0019255A">
        <w:tc>
          <w:tcPr>
            <w:tcW w:w="2427" w:type="pct"/>
          </w:tcPr>
          <w:p w:rsidR="00197F36" w:rsidRPr="006F7A67" w:rsidRDefault="00197F36" w:rsidP="0019255A">
            <w:pPr>
              <w:jc w:val="both"/>
              <w:rPr>
                <w:sz w:val="20"/>
                <w:lang w:val="fr-CA"/>
              </w:rPr>
            </w:pPr>
            <w:r w:rsidRPr="006F7A67">
              <w:rPr>
                <w:sz w:val="20"/>
                <w:lang w:val="fr-CA"/>
              </w:rPr>
              <w:t>24 décembre 2019</w:t>
            </w:r>
          </w:p>
          <w:p w:rsidR="00197F36" w:rsidRPr="006F7A67" w:rsidRDefault="00197F36" w:rsidP="0019255A">
            <w:pPr>
              <w:jc w:val="both"/>
              <w:rPr>
                <w:sz w:val="20"/>
                <w:lang w:val="fr-CA"/>
              </w:rPr>
            </w:pPr>
            <w:r w:rsidRPr="006F7A67">
              <w:rPr>
                <w:sz w:val="20"/>
                <w:lang w:val="fr-CA"/>
              </w:rPr>
              <w:t>Cour suprême du Canada</w:t>
            </w: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Dépôt de la demande d’autorisation d’appel</w:t>
            </w:r>
          </w:p>
          <w:p w:rsidR="00197F36" w:rsidRPr="006F7A67" w:rsidRDefault="00197F36" w:rsidP="0019255A">
            <w:pPr>
              <w:jc w:val="both"/>
              <w:rPr>
                <w:sz w:val="20"/>
                <w:lang w:val="fr-CA"/>
              </w:rPr>
            </w:pPr>
          </w:p>
        </w:tc>
      </w:tr>
    </w:tbl>
    <w:p w:rsidR="00197F36" w:rsidRPr="006F7A67" w:rsidRDefault="00197F36" w:rsidP="00197F36">
      <w:pPr>
        <w:jc w:val="both"/>
        <w:rPr>
          <w:sz w:val="20"/>
          <w:lang w:val="fr-CA"/>
        </w:rPr>
      </w:pPr>
    </w:p>
    <w:p w:rsidR="00197F36" w:rsidRPr="006F7A67" w:rsidRDefault="00300F06" w:rsidP="00197F36">
      <w:pPr>
        <w:ind w:left="142" w:hanging="142"/>
        <w:jc w:val="both"/>
        <w:rPr>
          <w:sz w:val="20"/>
          <w:lang w:val="fr-CA"/>
        </w:rPr>
      </w:pPr>
      <w:r>
        <w:rPr>
          <w:sz w:val="20"/>
        </w:rPr>
        <w:pict>
          <v:rect id="_x0000_i1054" style="width:2in;height:1pt" o:hrpct="0" o:hralign="center" o:hrstd="t" o:hrnoshade="t" o:hr="t" fillcolor="black [3213]" stroked="f"/>
        </w:pict>
      </w:r>
    </w:p>
    <w:p w:rsidR="00197F36" w:rsidRPr="006F7A67" w:rsidRDefault="00197F36" w:rsidP="00197F3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38888</w:t>
            </w:r>
          </w:p>
        </w:tc>
        <w:tc>
          <w:tcPr>
            <w:tcW w:w="4457" w:type="pct"/>
          </w:tcPr>
          <w:p w:rsidR="00197F36" w:rsidRPr="006F7A67" w:rsidRDefault="00197F36" w:rsidP="0019255A">
            <w:pPr>
              <w:pStyle w:val="SCCLsocParty"/>
              <w:jc w:val="both"/>
              <w:rPr>
                <w:b/>
                <w:sz w:val="20"/>
                <w:szCs w:val="20"/>
              </w:rPr>
            </w:pPr>
            <w:r w:rsidRPr="006F7A67">
              <w:rPr>
                <w:b/>
                <w:sz w:val="20"/>
                <w:szCs w:val="20"/>
              </w:rPr>
              <w:t>Marc Elie Ostainvil v. Conseil des écoles publiques de l'Est de l'Ontario</w:t>
            </w:r>
          </w:p>
          <w:p w:rsidR="00197F36" w:rsidRPr="006F7A67" w:rsidRDefault="00197F36" w:rsidP="0019255A">
            <w:pPr>
              <w:jc w:val="both"/>
              <w:rPr>
                <w:sz w:val="20"/>
              </w:rPr>
            </w:pPr>
            <w:r w:rsidRPr="006F7A67">
              <w:rPr>
                <w:sz w:val="20"/>
              </w:rPr>
              <w:t>(Ont.) (Civil) (By Leave)</w:t>
            </w:r>
          </w:p>
        </w:tc>
      </w:tr>
      <w:tr w:rsidR="00614215" w:rsidRPr="006F7A67" w:rsidTr="00614215">
        <w:trPr>
          <w:trHeight w:val="210"/>
        </w:trPr>
        <w:tc>
          <w:tcPr>
            <w:tcW w:w="5000" w:type="pct"/>
            <w:gridSpan w:val="2"/>
          </w:tcPr>
          <w:p w:rsidR="00614215" w:rsidRPr="00616FA4" w:rsidRDefault="00616FA4" w:rsidP="00614215">
            <w:pPr>
              <w:jc w:val="both"/>
              <w:rPr>
                <w:rFonts w:cs="Times New Roman"/>
                <w:sz w:val="20"/>
                <w:szCs w:val="20"/>
                <w:lang w:val="en-US"/>
              </w:rPr>
            </w:pPr>
            <w:r w:rsidRPr="00616FA4">
              <w:rPr>
                <w:rFonts w:cs="Times New Roman"/>
                <w:sz w:val="20"/>
                <w:szCs w:val="20"/>
                <w:lang w:val="en-US"/>
              </w:rPr>
              <w:t xml:space="preserve">The motion for an extension of time to serve the application for leave to appeal is granted. </w:t>
            </w:r>
            <w:r w:rsidRPr="00616FA4">
              <w:rPr>
                <w:sz w:val="20"/>
                <w:szCs w:val="20"/>
              </w:rPr>
              <w:t xml:space="preserve">The application for leave to appeal from the judgment of the </w:t>
            </w:r>
            <w:r w:rsidRPr="00616FA4">
              <w:rPr>
                <w:sz w:val="20"/>
                <w:szCs w:val="20"/>
                <w:lang w:val="en-US"/>
              </w:rPr>
              <w:t>Court of Appeal for Ontario</w:t>
            </w:r>
            <w:r w:rsidRPr="00616FA4">
              <w:rPr>
                <w:sz w:val="20"/>
                <w:szCs w:val="20"/>
              </w:rPr>
              <w:t xml:space="preserve">, Number </w:t>
            </w:r>
            <w:r w:rsidRPr="00616FA4">
              <w:rPr>
                <w:sz w:val="20"/>
                <w:szCs w:val="20"/>
                <w:lang w:val="en-US"/>
              </w:rPr>
              <w:t>M50019, 2019 ONCA 460</w:t>
            </w:r>
            <w:r w:rsidRPr="00616FA4">
              <w:rPr>
                <w:sz w:val="20"/>
                <w:szCs w:val="20"/>
              </w:rPr>
              <w:t xml:space="preserve">, dated </w:t>
            </w:r>
            <w:r w:rsidRPr="00616FA4">
              <w:rPr>
                <w:sz w:val="20"/>
                <w:szCs w:val="20"/>
                <w:lang w:val="en-US"/>
              </w:rPr>
              <w:t>May 27, 2019,</w:t>
            </w:r>
            <w:r w:rsidRPr="00616FA4">
              <w:rPr>
                <w:sz w:val="20"/>
                <w:szCs w:val="20"/>
              </w:rPr>
              <w:t xml:space="preserve"> is dismissed with costs.</w:t>
            </w:r>
          </w:p>
          <w:p w:rsidR="00614215" w:rsidRPr="00616FA4" w:rsidRDefault="00614215" w:rsidP="0019255A">
            <w:pPr>
              <w:jc w:val="both"/>
              <w:rPr>
                <w:sz w:val="20"/>
                <w:lang w:val="en-US"/>
              </w:rPr>
            </w:pPr>
          </w:p>
        </w:tc>
      </w:tr>
      <w:tr w:rsidR="00197F36" w:rsidRPr="006F7A67" w:rsidTr="0019255A">
        <w:trPr>
          <w:trHeight w:val="1012"/>
        </w:trPr>
        <w:tc>
          <w:tcPr>
            <w:tcW w:w="5000" w:type="pct"/>
            <w:gridSpan w:val="2"/>
          </w:tcPr>
          <w:p w:rsidR="00197F36" w:rsidRPr="006F7A67" w:rsidRDefault="00197F36" w:rsidP="0019255A">
            <w:pPr>
              <w:jc w:val="both"/>
              <w:rPr>
                <w:sz w:val="20"/>
              </w:rPr>
            </w:pPr>
            <w:r w:rsidRPr="006F7A67">
              <w:rPr>
                <w:sz w:val="20"/>
              </w:rPr>
              <w:t>Employment law — Unjust dismissal — Labour relations —Collective agreements — Grievances — Arbitration — Courts — Jurisdiction — Civil procedure — Appeals — Time — Dismissed teacher — Grievance settled out of court — Trial court striking teacher’s allegations and dismissing action for want of jurisdiction — Court of Appeal judge dismissing motion to extend time to file notice of appeal — Court of Appeal dismissing motion to set aside its judge’s decision  — Whether application raises question of public importance.</w:t>
            </w:r>
          </w:p>
          <w:p w:rsidR="00197F36" w:rsidRPr="006F7A67" w:rsidRDefault="00197F36" w:rsidP="0019255A">
            <w:pPr>
              <w:jc w:val="both"/>
              <w:rPr>
                <w:sz w:val="20"/>
              </w:rPr>
            </w:pPr>
          </w:p>
        </w:tc>
      </w:tr>
    </w:tbl>
    <w:p w:rsidR="001A0C1D" w:rsidRPr="006F7A67" w:rsidRDefault="001A0C1D">
      <w:r w:rsidRPr="006F7A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7F36" w:rsidRPr="006F7A67" w:rsidTr="0019255A">
        <w:tc>
          <w:tcPr>
            <w:tcW w:w="5000" w:type="pct"/>
            <w:gridSpan w:val="3"/>
          </w:tcPr>
          <w:p w:rsidR="00197F36" w:rsidRPr="006F7A67" w:rsidRDefault="00197F36" w:rsidP="0019255A">
            <w:pPr>
              <w:jc w:val="both"/>
              <w:rPr>
                <w:sz w:val="20"/>
              </w:rPr>
            </w:pPr>
            <w:r w:rsidRPr="006F7A67">
              <w:rPr>
                <w:sz w:val="20"/>
              </w:rPr>
              <w:t xml:space="preserve">Marc </w:t>
            </w:r>
            <w:proofErr w:type="spellStart"/>
            <w:r w:rsidRPr="006F7A67">
              <w:rPr>
                <w:sz w:val="20"/>
              </w:rPr>
              <w:t>Elie</w:t>
            </w:r>
            <w:proofErr w:type="spellEnd"/>
            <w:r w:rsidRPr="006F7A67">
              <w:rPr>
                <w:sz w:val="20"/>
              </w:rPr>
              <w:t xml:space="preserve"> Ostainvil was a unionized employee of the Conseil des écoles publiques de </w:t>
            </w:r>
            <w:proofErr w:type="spellStart"/>
            <w:r w:rsidRPr="006F7A67">
              <w:rPr>
                <w:sz w:val="20"/>
              </w:rPr>
              <w:t>l’Est</w:t>
            </w:r>
            <w:proofErr w:type="spellEnd"/>
            <w:r w:rsidRPr="006F7A67">
              <w:rPr>
                <w:sz w:val="20"/>
              </w:rPr>
              <w:t xml:space="preserve"> de l’Ontario. He filed a grievance (through his union) for wrongful dismissal. The grievance was withdrawn after an out</w:t>
            </w:r>
            <w:r w:rsidRPr="006F7A67">
              <w:rPr>
                <w:sz w:val="20"/>
              </w:rPr>
              <w:noBreakHyphen/>
              <w:t>of</w:t>
            </w:r>
            <w:r w:rsidRPr="006F7A67">
              <w:rPr>
                <w:sz w:val="20"/>
              </w:rPr>
              <w:noBreakHyphen/>
              <w:t>court settlement. Mr. Ostainvil then brought proceedings against the Conseil, alleging that it had violated the conditions of the settlement.</w:t>
            </w:r>
          </w:p>
          <w:p w:rsidR="00197F36" w:rsidRPr="006F7A67" w:rsidRDefault="00197F36" w:rsidP="0019255A">
            <w:pPr>
              <w:jc w:val="both"/>
              <w:rPr>
                <w:sz w:val="20"/>
              </w:rPr>
            </w:pPr>
          </w:p>
          <w:p w:rsidR="00197F36" w:rsidRPr="006F7A67" w:rsidRDefault="00197F36" w:rsidP="0019255A">
            <w:pPr>
              <w:jc w:val="both"/>
              <w:rPr>
                <w:sz w:val="20"/>
              </w:rPr>
            </w:pPr>
            <w:r w:rsidRPr="006F7A67">
              <w:rPr>
                <w:sz w:val="20"/>
              </w:rPr>
              <w:t>The trial judge, Gomery J. of the Ontario Superior Court of Justice, granted a motion by the Conseil to strike Mr. </w:t>
            </w:r>
            <w:proofErr w:type="spellStart"/>
            <w:r w:rsidRPr="006F7A67">
              <w:rPr>
                <w:sz w:val="20"/>
              </w:rPr>
              <w:t>Ostainvil’s</w:t>
            </w:r>
            <w:proofErr w:type="spellEnd"/>
            <w:r w:rsidRPr="006F7A67">
              <w:rPr>
                <w:sz w:val="20"/>
              </w:rPr>
              <w:t xml:space="preserve"> allegations, and dismissed his action. Pardu J.A. of the Ontario Court of Appeal dismissed a motion filed by Mr. Ostainvil to extend the time to file a notice of appeal. The Court of Appeal then dismissed an application by Mr. Ostainvil to set aside Pardu J.A.’s decision.</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June 27, 2018</w:t>
            </w:r>
          </w:p>
          <w:p w:rsidR="00197F36" w:rsidRPr="006F7A67" w:rsidRDefault="00197F36" w:rsidP="0019255A">
            <w:pPr>
              <w:jc w:val="both"/>
              <w:rPr>
                <w:sz w:val="20"/>
              </w:rPr>
            </w:pPr>
            <w:r w:rsidRPr="006F7A67">
              <w:rPr>
                <w:sz w:val="20"/>
              </w:rPr>
              <w:t>Ontario Superior Court of Justice</w:t>
            </w:r>
          </w:p>
          <w:p w:rsidR="00197F36" w:rsidRPr="006F7A67" w:rsidRDefault="00197F36" w:rsidP="0019255A">
            <w:pPr>
              <w:jc w:val="both"/>
              <w:rPr>
                <w:sz w:val="20"/>
              </w:rPr>
            </w:pPr>
            <w:r w:rsidRPr="006F7A67">
              <w:rPr>
                <w:sz w:val="20"/>
              </w:rPr>
              <w:t>(Gomery J.A.)</w:t>
            </w:r>
          </w:p>
          <w:p w:rsidR="00197F36" w:rsidRPr="006F7A67" w:rsidRDefault="00197F36" w:rsidP="0019255A">
            <w:pPr>
              <w:jc w:val="both"/>
              <w:rPr>
                <w:sz w:val="20"/>
              </w:rPr>
            </w:pPr>
            <w:r w:rsidRPr="006F7A67">
              <w:rPr>
                <w:sz w:val="20"/>
              </w:rPr>
              <w:t>File No.: 17</w:t>
            </w:r>
            <w:r w:rsidRPr="006F7A67">
              <w:rPr>
                <w:sz w:val="20"/>
              </w:rPr>
              <w:noBreakHyphen/>
              <w:t>72823</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Allegations of applicants (including Mr. Ostainvil) struck, and action dismissed.</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December 21, 2018</w:t>
            </w:r>
          </w:p>
          <w:p w:rsidR="00197F36" w:rsidRPr="006F7A67" w:rsidRDefault="00197F36" w:rsidP="0019255A">
            <w:pPr>
              <w:jc w:val="both"/>
              <w:rPr>
                <w:sz w:val="20"/>
              </w:rPr>
            </w:pPr>
            <w:r w:rsidRPr="006F7A67">
              <w:rPr>
                <w:sz w:val="20"/>
              </w:rPr>
              <w:t>Ontario Court of Appeal</w:t>
            </w:r>
          </w:p>
          <w:p w:rsidR="00197F36" w:rsidRPr="006F7A67" w:rsidRDefault="00197F36" w:rsidP="0019255A">
            <w:pPr>
              <w:jc w:val="both"/>
              <w:rPr>
                <w:sz w:val="20"/>
              </w:rPr>
            </w:pPr>
            <w:r w:rsidRPr="006F7A67">
              <w:rPr>
                <w:sz w:val="20"/>
              </w:rPr>
              <w:t>(Pardu J.A.)</w:t>
            </w:r>
          </w:p>
          <w:p w:rsidR="00197F36" w:rsidRPr="006F7A67" w:rsidRDefault="00197F36" w:rsidP="0019255A">
            <w:pPr>
              <w:jc w:val="both"/>
              <w:rPr>
                <w:sz w:val="20"/>
              </w:rPr>
            </w:pPr>
            <w:r w:rsidRPr="006F7A67">
              <w:rPr>
                <w:sz w:val="20"/>
              </w:rPr>
              <w:t>File No.: M49916</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of Mr. Ostainvil for order to extend time to file notice of appeal dismissed.</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May 27, 2019</w:t>
            </w:r>
          </w:p>
          <w:p w:rsidR="00197F36" w:rsidRPr="006F7A67" w:rsidRDefault="00197F36" w:rsidP="0019255A">
            <w:pPr>
              <w:jc w:val="both"/>
              <w:rPr>
                <w:sz w:val="20"/>
              </w:rPr>
            </w:pPr>
            <w:r w:rsidRPr="006F7A67">
              <w:rPr>
                <w:sz w:val="20"/>
              </w:rPr>
              <w:t>Ontario Court of Appeal</w:t>
            </w:r>
          </w:p>
          <w:p w:rsidR="00197F36" w:rsidRPr="006F7A67" w:rsidRDefault="00197F36" w:rsidP="0019255A">
            <w:pPr>
              <w:jc w:val="both"/>
              <w:rPr>
                <w:sz w:val="20"/>
              </w:rPr>
            </w:pPr>
            <w:r w:rsidRPr="006F7A67">
              <w:rPr>
                <w:sz w:val="20"/>
              </w:rPr>
              <w:t xml:space="preserve">(Sharpe, van </w:t>
            </w:r>
            <w:proofErr w:type="spellStart"/>
            <w:r w:rsidRPr="006F7A67">
              <w:rPr>
                <w:sz w:val="20"/>
              </w:rPr>
              <w:t>Rensburg</w:t>
            </w:r>
            <w:proofErr w:type="spellEnd"/>
            <w:r w:rsidRPr="006F7A67">
              <w:rPr>
                <w:sz w:val="20"/>
              </w:rPr>
              <w:t xml:space="preserve"> and Harvison </w:t>
            </w:r>
          </w:p>
          <w:p w:rsidR="00197F36" w:rsidRPr="006F7A67" w:rsidRDefault="00197F36" w:rsidP="0019255A">
            <w:pPr>
              <w:jc w:val="both"/>
              <w:rPr>
                <w:sz w:val="20"/>
              </w:rPr>
            </w:pPr>
            <w:r w:rsidRPr="006F7A67">
              <w:rPr>
                <w:sz w:val="20"/>
              </w:rPr>
              <w:t>Young JJ.A.)</w:t>
            </w:r>
          </w:p>
          <w:p w:rsidR="00197F36" w:rsidRPr="006F7A67" w:rsidRDefault="00300F06" w:rsidP="0019255A">
            <w:pPr>
              <w:jc w:val="both"/>
              <w:rPr>
                <w:sz w:val="20"/>
              </w:rPr>
            </w:pPr>
            <w:hyperlink r:id="rId67" w:history="1">
              <w:r w:rsidR="00197F36" w:rsidRPr="006F7A67">
                <w:rPr>
                  <w:rStyle w:val="Hyperlink"/>
                  <w:sz w:val="20"/>
                </w:rPr>
                <w:t>2019 ONCA 460</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of Mr. Ostainvil for order setting aside decision of Pardu J.A. dismissed.</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August 26, 2019</w:t>
            </w:r>
          </w:p>
          <w:p w:rsidR="00197F36" w:rsidRPr="006F7A67" w:rsidRDefault="00197F36" w:rsidP="0019255A">
            <w:pPr>
              <w:jc w:val="both"/>
              <w:rPr>
                <w:sz w:val="20"/>
              </w:rPr>
            </w:pPr>
            <w:r w:rsidRPr="006F7A67">
              <w:rPr>
                <w:sz w:val="20"/>
              </w:rPr>
              <w:t>Supreme Court of Canada</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leave to appeal filed by Mr. Ostainvil</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December 6, 2019</w:t>
            </w:r>
          </w:p>
          <w:p w:rsidR="00197F36" w:rsidRPr="006F7A67" w:rsidRDefault="00197F36" w:rsidP="0019255A">
            <w:pPr>
              <w:jc w:val="both"/>
              <w:rPr>
                <w:sz w:val="20"/>
              </w:rPr>
            </w:pPr>
            <w:r w:rsidRPr="006F7A67">
              <w:rPr>
                <w:sz w:val="20"/>
              </w:rPr>
              <w:t>Supreme Court of Canada</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Motion to extend time to serve application for leave to appeal filed by Mr. Ostainvil</w:t>
            </w: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55"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38888</w:t>
            </w:r>
          </w:p>
        </w:tc>
        <w:tc>
          <w:tcPr>
            <w:tcW w:w="4457" w:type="pct"/>
            <w:gridSpan w:val="3"/>
          </w:tcPr>
          <w:p w:rsidR="00197F36" w:rsidRPr="006F7A67" w:rsidRDefault="00197F36" w:rsidP="0019255A">
            <w:pPr>
              <w:pStyle w:val="SCCLsocParty"/>
              <w:jc w:val="both"/>
              <w:rPr>
                <w:b/>
                <w:sz w:val="20"/>
                <w:szCs w:val="20"/>
              </w:rPr>
            </w:pPr>
            <w:r w:rsidRPr="006F7A67">
              <w:rPr>
                <w:b/>
                <w:sz w:val="20"/>
                <w:szCs w:val="20"/>
              </w:rPr>
              <w:t>Marc Elie Ostainvil c. Conseil des écoles publiques de l'est de l'Ontario</w:t>
            </w:r>
          </w:p>
          <w:p w:rsidR="00197F36" w:rsidRPr="006F7A67" w:rsidRDefault="00197F36" w:rsidP="0019255A">
            <w:pPr>
              <w:jc w:val="both"/>
              <w:rPr>
                <w:sz w:val="20"/>
              </w:rPr>
            </w:pPr>
            <w:r w:rsidRPr="006F7A67">
              <w:rPr>
                <w:sz w:val="20"/>
              </w:rPr>
              <w:t>(Ont.) (Civile) (Autorisation)</w:t>
            </w:r>
          </w:p>
        </w:tc>
      </w:tr>
      <w:tr w:rsidR="00614215" w:rsidRPr="00DB0D35" w:rsidTr="00614215">
        <w:trPr>
          <w:trHeight w:val="62"/>
        </w:trPr>
        <w:tc>
          <w:tcPr>
            <w:tcW w:w="5000" w:type="pct"/>
            <w:gridSpan w:val="4"/>
          </w:tcPr>
          <w:p w:rsidR="00614215" w:rsidRPr="006F7A67" w:rsidRDefault="00614215" w:rsidP="00614215">
            <w:pPr>
              <w:jc w:val="both"/>
              <w:rPr>
                <w:rFonts w:cs="Times New Roman"/>
                <w:sz w:val="20"/>
                <w:szCs w:val="20"/>
                <w:lang w:val="fr-CA"/>
              </w:rPr>
            </w:pPr>
            <w:r w:rsidRPr="006F7A67">
              <w:rPr>
                <w:rFonts w:cs="Times New Roman"/>
                <w:sz w:val="20"/>
                <w:szCs w:val="20"/>
                <w:lang w:val="fr-CA"/>
              </w:rPr>
              <w:t xml:space="preserve">La requête en prorogation du délai de signification de la demande d’autorisation d’appel est accueillie. La </w:t>
            </w:r>
            <w:r w:rsidRPr="006F7A67">
              <w:rPr>
                <w:sz w:val="20"/>
                <w:szCs w:val="20"/>
                <w:lang w:val="fr-CA"/>
              </w:rPr>
              <w:t>demande d’autorisation d’appel de l’arrêt de la Cour d’appel de l’Ontario, numéro M50019, 2019 ONCA 460, daté du 27 mai 2019, est rejetée avec dépens.</w:t>
            </w:r>
          </w:p>
          <w:p w:rsidR="00614215" w:rsidRPr="006F7A67" w:rsidRDefault="00614215" w:rsidP="0019255A">
            <w:pPr>
              <w:jc w:val="both"/>
              <w:rPr>
                <w:sz w:val="20"/>
                <w:lang w:val="fr-CA"/>
              </w:rPr>
            </w:pPr>
          </w:p>
        </w:tc>
      </w:tr>
      <w:tr w:rsidR="00197F36" w:rsidRPr="00DB0D35" w:rsidTr="0019255A">
        <w:trPr>
          <w:trHeight w:val="1556"/>
        </w:trPr>
        <w:tc>
          <w:tcPr>
            <w:tcW w:w="5000" w:type="pct"/>
            <w:gridSpan w:val="4"/>
          </w:tcPr>
          <w:p w:rsidR="00197F36" w:rsidRPr="006F7A67" w:rsidRDefault="00197F36" w:rsidP="0019255A">
            <w:pPr>
              <w:jc w:val="both"/>
              <w:rPr>
                <w:sz w:val="20"/>
                <w:lang w:val="fr-CA"/>
              </w:rPr>
            </w:pPr>
            <w:r w:rsidRPr="006F7A67">
              <w:rPr>
                <w:sz w:val="20"/>
                <w:lang w:val="fr-CA"/>
              </w:rPr>
              <w:t>Droit de l’emploi — Congédiement injustifié — Relations du travail — Conventions collectives — Griefs — Arbitrage — Tribunaux — Compétence — Procédure civile — Appels — Délais — Enseignant congédié — Règlement de grief hors</w:t>
            </w:r>
            <w:r w:rsidRPr="006F7A67">
              <w:rPr>
                <w:sz w:val="20"/>
                <w:lang w:val="fr-CA"/>
              </w:rPr>
              <w:noBreakHyphen/>
              <w:t>cours — Tribunal de première instance radiant déclarations de l’enseignant et rejetant l’action pour défaut de compétence — Juge d’appel rejetant requête en prorogation de délai pour déposer avis d’appel — Cour d’appel rejetant requête en annulation de la décision du juge d’appel — La demande soulève</w:t>
            </w:r>
            <w:r w:rsidRPr="006F7A67">
              <w:rPr>
                <w:sz w:val="20"/>
                <w:lang w:val="fr-CA"/>
              </w:rPr>
              <w:noBreakHyphen/>
              <w:t>t</w:t>
            </w:r>
            <w:r w:rsidRPr="006F7A67">
              <w:rPr>
                <w:sz w:val="20"/>
                <w:lang w:val="fr-CA"/>
              </w:rPr>
              <w:noBreakHyphen/>
              <w:t>elle une question d’importance pour le public?</w:t>
            </w:r>
          </w:p>
          <w:p w:rsidR="00197F36" w:rsidRPr="006F7A67" w:rsidRDefault="00197F36" w:rsidP="0019255A">
            <w:pPr>
              <w:jc w:val="both"/>
              <w:rPr>
                <w:sz w:val="20"/>
                <w:lang w:val="fr-CA"/>
              </w:rPr>
            </w:pPr>
          </w:p>
        </w:tc>
      </w:tr>
      <w:tr w:rsidR="00197F36" w:rsidRPr="00DB0D35" w:rsidTr="0019255A">
        <w:tc>
          <w:tcPr>
            <w:tcW w:w="5000" w:type="pct"/>
            <w:gridSpan w:val="4"/>
          </w:tcPr>
          <w:p w:rsidR="00197F36" w:rsidRPr="006F7A67" w:rsidRDefault="00197F36" w:rsidP="0019255A">
            <w:pPr>
              <w:jc w:val="both"/>
              <w:rPr>
                <w:sz w:val="20"/>
                <w:lang w:val="fr-CA"/>
              </w:rPr>
            </w:pPr>
            <w:r w:rsidRPr="006F7A67">
              <w:rPr>
                <w:sz w:val="20"/>
                <w:lang w:val="fr-CA"/>
              </w:rPr>
              <w:t>Monsieur Marc Elie Ostainvil, était un employé syndiqué auprès du Conseil des écoles publiques de l’Est de l’Ontario. Il dépose un grief (par voie de son syndicat) pour congédiement abusif. Le grief est retiré après un règlement hors</w:t>
            </w:r>
            <w:r w:rsidRPr="006F7A67">
              <w:rPr>
                <w:sz w:val="20"/>
                <w:lang w:val="fr-CA"/>
              </w:rPr>
              <w:noBreakHyphen/>
              <w:t>cour. Monsieur Ostainvil intente ensuite une poursuite contre le Conseil, prétendant que ce dernier n’a pas respecté les conditions du règlement.</w:t>
            </w:r>
          </w:p>
          <w:p w:rsidR="00197F36" w:rsidRPr="006F7A67" w:rsidRDefault="00197F36" w:rsidP="0019255A">
            <w:pPr>
              <w:jc w:val="both"/>
              <w:rPr>
                <w:sz w:val="20"/>
                <w:lang w:val="fr-CA"/>
              </w:rPr>
            </w:pPr>
          </w:p>
          <w:p w:rsidR="00197F36" w:rsidRPr="006F7A67" w:rsidRDefault="00197F36" w:rsidP="0019255A">
            <w:pPr>
              <w:jc w:val="both"/>
              <w:rPr>
                <w:sz w:val="20"/>
                <w:lang w:val="fr-CA"/>
              </w:rPr>
            </w:pPr>
            <w:r w:rsidRPr="006F7A67">
              <w:rPr>
                <w:sz w:val="20"/>
                <w:lang w:val="fr-CA"/>
              </w:rPr>
              <w:t>La juge de première instance, la juge Gomery de la Cour supérieure de justice de l’Ontario, accueille une requête déposée par le Conseil en radiation des allégations de M. Ostainvil, et rejette son action. La juge Pardu de la Cour d’appel de l’Ontario rejette une requête déposée par M. Ostainvil en prorogation de délai pour déposer un avis d’appel. La Cour d’appel rejette ensuite une demande de M. Ostainvil visant l’annulation de la décision de la juge Pardu.</w:t>
            </w:r>
          </w:p>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Le 27 juin 2018</w:t>
            </w:r>
          </w:p>
          <w:p w:rsidR="00197F36" w:rsidRPr="006F7A67" w:rsidRDefault="00197F36" w:rsidP="0019255A">
            <w:pPr>
              <w:jc w:val="both"/>
              <w:rPr>
                <w:sz w:val="20"/>
                <w:lang w:val="fr-CA"/>
              </w:rPr>
            </w:pPr>
            <w:r w:rsidRPr="006F7A67">
              <w:rPr>
                <w:sz w:val="20"/>
                <w:lang w:val="fr-CA"/>
              </w:rPr>
              <w:t>Cour supérieure de justice de l’Ontario</w:t>
            </w:r>
          </w:p>
          <w:p w:rsidR="00197F36" w:rsidRPr="006F7A67" w:rsidRDefault="00197F36" w:rsidP="0019255A">
            <w:pPr>
              <w:jc w:val="both"/>
              <w:rPr>
                <w:sz w:val="20"/>
                <w:lang w:val="fr-CA"/>
              </w:rPr>
            </w:pPr>
            <w:r w:rsidRPr="006F7A67">
              <w:rPr>
                <w:sz w:val="20"/>
                <w:lang w:val="fr-CA"/>
              </w:rPr>
              <w:t>(la juge Gomery)</w:t>
            </w:r>
          </w:p>
          <w:p w:rsidR="00197F36" w:rsidRPr="006F7A67" w:rsidRDefault="00197F36" w:rsidP="0019255A">
            <w:pPr>
              <w:jc w:val="both"/>
              <w:rPr>
                <w:sz w:val="20"/>
                <w:lang w:val="fr-CA"/>
              </w:rPr>
            </w:pPr>
            <w:r w:rsidRPr="006F7A67">
              <w:rPr>
                <w:sz w:val="20"/>
                <w:lang w:val="fr-CA"/>
              </w:rPr>
              <w:t>N</w:t>
            </w:r>
            <w:r w:rsidRPr="006F7A67">
              <w:rPr>
                <w:sz w:val="20"/>
                <w:vertAlign w:val="superscript"/>
                <w:lang w:val="fr-CA"/>
              </w:rPr>
              <w:t>o</w:t>
            </w:r>
            <w:r w:rsidRPr="006F7A67">
              <w:rPr>
                <w:sz w:val="20"/>
                <w:lang w:val="fr-CA"/>
              </w:rPr>
              <w:t xml:space="preserve"> de dossier : 17</w:t>
            </w:r>
            <w:r w:rsidRPr="006F7A67">
              <w:rPr>
                <w:sz w:val="20"/>
                <w:lang w:val="fr-CA"/>
              </w:rPr>
              <w:noBreakHyphen/>
              <w:t>72823</w:t>
            </w:r>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Radiation des allégations des demandeurs (y compris M. Ostainvil), et rejet de l’action.</w:t>
            </w:r>
          </w:p>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Le 21 décembre 2018</w:t>
            </w:r>
          </w:p>
          <w:p w:rsidR="00197F36" w:rsidRPr="006F7A67" w:rsidRDefault="00197F36" w:rsidP="0019255A">
            <w:pPr>
              <w:jc w:val="both"/>
              <w:rPr>
                <w:sz w:val="20"/>
                <w:lang w:val="fr-CA"/>
              </w:rPr>
            </w:pPr>
            <w:r w:rsidRPr="006F7A67">
              <w:rPr>
                <w:sz w:val="20"/>
                <w:lang w:val="fr-CA"/>
              </w:rPr>
              <w:t>Cour d’appel de l’Ontario</w:t>
            </w:r>
          </w:p>
          <w:p w:rsidR="00197F36" w:rsidRPr="006F7A67" w:rsidRDefault="00197F36" w:rsidP="0019255A">
            <w:pPr>
              <w:jc w:val="both"/>
              <w:rPr>
                <w:sz w:val="20"/>
                <w:lang w:val="fr-CA"/>
              </w:rPr>
            </w:pPr>
            <w:r w:rsidRPr="006F7A67">
              <w:rPr>
                <w:sz w:val="20"/>
                <w:lang w:val="fr-CA"/>
              </w:rPr>
              <w:t>(la juge Pardu)</w:t>
            </w:r>
          </w:p>
          <w:p w:rsidR="00197F36" w:rsidRPr="006F7A67" w:rsidRDefault="00197F36" w:rsidP="0019255A">
            <w:pPr>
              <w:jc w:val="both"/>
              <w:rPr>
                <w:sz w:val="20"/>
                <w:lang w:val="fr-CA"/>
              </w:rPr>
            </w:pPr>
            <w:r w:rsidRPr="006F7A67">
              <w:rPr>
                <w:sz w:val="20"/>
                <w:lang w:val="fr-CA"/>
              </w:rPr>
              <w:t>N</w:t>
            </w:r>
            <w:r w:rsidRPr="006F7A67">
              <w:rPr>
                <w:sz w:val="20"/>
                <w:vertAlign w:val="superscript"/>
                <w:lang w:val="fr-CA"/>
              </w:rPr>
              <w:t>o</w:t>
            </w:r>
            <w:r w:rsidRPr="006F7A67">
              <w:rPr>
                <w:sz w:val="20"/>
                <w:lang w:val="fr-CA"/>
              </w:rPr>
              <w:t xml:space="preserve"> de dossier : M49916</w:t>
            </w:r>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Rejet de la demande de M. Ostainvil pour une ordonnance visant à proroger le délai pour déposer un avis d’appel.</w:t>
            </w:r>
          </w:p>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Le 27 mai 2019</w:t>
            </w:r>
          </w:p>
          <w:p w:rsidR="00197F36" w:rsidRPr="006F7A67" w:rsidRDefault="00197F36" w:rsidP="0019255A">
            <w:pPr>
              <w:jc w:val="both"/>
              <w:rPr>
                <w:sz w:val="20"/>
                <w:lang w:val="fr-CA"/>
              </w:rPr>
            </w:pPr>
            <w:r w:rsidRPr="006F7A67">
              <w:rPr>
                <w:sz w:val="20"/>
                <w:lang w:val="fr-CA"/>
              </w:rPr>
              <w:t>Cour d’appel de l’Ontario</w:t>
            </w:r>
          </w:p>
          <w:p w:rsidR="00197F36" w:rsidRPr="006F7A67" w:rsidRDefault="00197F36" w:rsidP="0019255A">
            <w:pPr>
              <w:jc w:val="both"/>
              <w:rPr>
                <w:sz w:val="20"/>
              </w:rPr>
            </w:pPr>
            <w:r w:rsidRPr="006F7A67">
              <w:rPr>
                <w:sz w:val="20"/>
              </w:rPr>
              <w:t xml:space="preserve">(les juges Sharpe, van </w:t>
            </w:r>
            <w:proofErr w:type="spellStart"/>
            <w:r w:rsidRPr="006F7A67">
              <w:rPr>
                <w:sz w:val="20"/>
              </w:rPr>
              <w:t>Rensburg</w:t>
            </w:r>
            <w:proofErr w:type="spellEnd"/>
            <w:r w:rsidRPr="006F7A67">
              <w:rPr>
                <w:sz w:val="20"/>
              </w:rPr>
              <w:t xml:space="preserve"> et Harvison </w:t>
            </w:r>
          </w:p>
          <w:p w:rsidR="00197F36" w:rsidRPr="006F7A67" w:rsidRDefault="00197F36" w:rsidP="0019255A">
            <w:pPr>
              <w:jc w:val="both"/>
              <w:rPr>
                <w:sz w:val="20"/>
              </w:rPr>
            </w:pPr>
            <w:r w:rsidRPr="006F7A67">
              <w:rPr>
                <w:sz w:val="20"/>
              </w:rPr>
              <w:t>Young)</w:t>
            </w:r>
          </w:p>
          <w:p w:rsidR="00197F36" w:rsidRPr="006F7A67" w:rsidRDefault="00300F06" w:rsidP="0019255A">
            <w:pPr>
              <w:jc w:val="both"/>
              <w:rPr>
                <w:sz w:val="20"/>
              </w:rPr>
            </w:pPr>
            <w:hyperlink r:id="rId68" w:history="1">
              <w:r w:rsidR="00197F36" w:rsidRPr="006F7A67">
                <w:rPr>
                  <w:rStyle w:val="Hyperlink"/>
                  <w:sz w:val="20"/>
                </w:rPr>
                <w:t>2019 ONCA 460</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lang w:val="fr-CA"/>
              </w:rPr>
            </w:pPr>
            <w:r w:rsidRPr="006F7A67">
              <w:rPr>
                <w:sz w:val="20"/>
                <w:lang w:val="fr-CA"/>
              </w:rPr>
              <w:t>Rejet de la demande de M. Ostainvil pour une ordonnance en annulation de la décision de la juge Pardu.</w:t>
            </w:r>
          </w:p>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Le 26 août 2019</w:t>
            </w:r>
          </w:p>
          <w:p w:rsidR="00197F36" w:rsidRPr="006F7A67" w:rsidRDefault="00197F36" w:rsidP="0019255A">
            <w:pPr>
              <w:jc w:val="both"/>
              <w:rPr>
                <w:sz w:val="20"/>
                <w:lang w:val="fr-CA"/>
              </w:rPr>
            </w:pPr>
            <w:r w:rsidRPr="006F7A67">
              <w:rPr>
                <w:sz w:val="20"/>
                <w:lang w:val="fr-CA"/>
              </w:rPr>
              <w:t>Cour suprême du Canada</w:t>
            </w:r>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Demande d’autorisation d’appel déposée par M. Ostainvil</w:t>
            </w:r>
          </w:p>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Le 6 décembre 2019</w:t>
            </w:r>
          </w:p>
          <w:p w:rsidR="00197F36" w:rsidRPr="006F7A67" w:rsidRDefault="00197F36" w:rsidP="0019255A">
            <w:pPr>
              <w:jc w:val="both"/>
              <w:rPr>
                <w:sz w:val="20"/>
                <w:lang w:val="fr-CA"/>
              </w:rPr>
            </w:pPr>
            <w:r w:rsidRPr="006F7A67">
              <w:rPr>
                <w:sz w:val="20"/>
                <w:lang w:val="fr-CA"/>
              </w:rPr>
              <w:t>Cour suprême du Canada</w:t>
            </w: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Requête en prorogation pour signifier la demande d’autorisation d’appel déposée par M. Ostainvil</w:t>
            </w:r>
          </w:p>
        </w:tc>
      </w:tr>
    </w:tbl>
    <w:p w:rsidR="00197F36" w:rsidRPr="006F7A67" w:rsidRDefault="00197F36" w:rsidP="00197F36">
      <w:pPr>
        <w:jc w:val="both"/>
        <w:rPr>
          <w:sz w:val="20"/>
          <w:lang w:val="fr-CA"/>
        </w:rPr>
      </w:pPr>
    </w:p>
    <w:p w:rsidR="00197F36" w:rsidRPr="006F7A67" w:rsidRDefault="00300F06" w:rsidP="00197F36">
      <w:pPr>
        <w:jc w:val="both"/>
        <w:rPr>
          <w:sz w:val="20"/>
          <w:lang w:val="fr-CA"/>
        </w:rPr>
      </w:pPr>
      <w:r>
        <w:rPr>
          <w:sz w:val="20"/>
        </w:rPr>
        <w:pict>
          <v:rect id="_x0000_i1056" style="width:2in;height:1pt" o:hrpct="0" o:hralign="center" o:hrstd="t" o:hrnoshade="t" o:hr="t" fillcolor="black [3213]" stroked="f"/>
        </w:pict>
      </w:r>
    </w:p>
    <w:p w:rsidR="00197F36" w:rsidRPr="006F7A67" w:rsidRDefault="00197F36" w:rsidP="00197F3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38876</w:t>
            </w:r>
          </w:p>
        </w:tc>
        <w:tc>
          <w:tcPr>
            <w:tcW w:w="4457" w:type="pct"/>
          </w:tcPr>
          <w:p w:rsidR="00197F36" w:rsidRPr="006F7A67" w:rsidRDefault="00197F36" w:rsidP="0019255A">
            <w:pPr>
              <w:pStyle w:val="SCCLsocParty"/>
              <w:jc w:val="both"/>
              <w:rPr>
                <w:b/>
                <w:sz w:val="20"/>
                <w:szCs w:val="20"/>
                <w:lang w:val="en-CA"/>
              </w:rPr>
            </w:pPr>
            <w:r w:rsidRPr="006F7A67">
              <w:rPr>
                <w:b/>
                <w:sz w:val="20"/>
                <w:szCs w:val="20"/>
                <w:lang w:val="en-CA"/>
              </w:rPr>
              <w:t>Yvon Durand v. Her Majesty the Queen</w:t>
            </w:r>
          </w:p>
          <w:p w:rsidR="00197F36" w:rsidRPr="006F7A67" w:rsidRDefault="00197F36" w:rsidP="0019255A">
            <w:pPr>
              <w:jc w:val="both"/>
              <w:rPr>
                <w:sz w:val="20"/>
              </w:rPr>
            </w:pPr>
            <w:r w:rsidRPr="006F7A67">
              <w:rPr>
                <w:sz w:val="20"/>
              </w:rPr>
              <w:t>(Que.) (Criminal) (By Leave)</w:t>
            </w:r>
          </w:p>
        </w:tc>
      </w:tr>
      <w:tr w:rsidR="00BE450A" w:rsidRPr="006F7A67" w:rsidTr="0019255A">
        <w:tc>
          <w:tcPr>
            <w:tcW w:w="5000" w:type="pct"/>
            <w:gridSpan w:val="2"/>
          </w:tcPr>
          <w:p w:rsidR="00BE450A" w:rsidRPr="006F7A67" w:rsidRDefault="00BE450A" w:rsidP="00BE450A">
            <w:pPr>
              <w:jc w:val="both"/>
              <w:rPr>
                <w:sz w:val="20"/>
                <w:szCs w:val="20"/>
              </w:rPr>
            </w:pPr>
            <w:r w:rsidRPr="006F7A67">
              <w:rPr>
                <w:sz w:val="20"/>
                <w:szCs w:val="20"/>
              </w:rPr>
              <w:t xml:space="preserve">The application for leave to appeal from the judgment of the </w:t>
            </w:r>
            <w:r w:rsidRPr="006F7A67">
              <w:rPr>
                <w:sz w:val="20"/>
                <w:szCs w:val="20"/>
                <w:lang w:val="en-US"/>
              </w:rPr>
              <w:t>Court of Appeal of Quebec (Montréal)</w:t>
            </w:r>
            <w:r w:rsidRPr="006F7A67">
              <w:rPr>
                <w:sz w:val="20"/>
                <w:szCs w:val="20"/>
              </w:rPr>
              <w:t xml:space="preserve">, Number </w:t>
            </w:r>
            <w:r w:rsidRPr="006F7A67">
              <w:rPr>
                <w:sz w:val="20"/>
                <w:szCs w:val="20"/>
                <w:lang w:val="en-US"/>
              </w:rPr>
              <w:t>500</w:t>
            </w:r>
            <w:r w:rsidRPr="006F7A67">
              <w:rPr>
                <w:sz w:val="20"/>
                <w:szCs w:val="20"/>
                <w:lang w:val="en-US"/>
              </w:rPr>
              <w:noBreakHyphen/>
              <w:t>10</w:t>
            </w:r>
            <w:r w:rsidRPr="006F7A67">
              <w:rPr>
                <w:sz w:val="20"/>
                <w:szCs w:val="20"/>
                <w:lang w:val="en-US"/>
              </w:rPr>
              <w:noBreakHyphen/>
              <w:t>005072</w:t>
            </w:r>
            <w:r w:rsidRPr="006F7A67">
              <w:rPr>
                <w:sz w:val="20"/>
                <w:szCs w:val="20"/>
                <w:lang w:val="en-US"/>
              </w:rPr>
              <w:noBreakHyphen/>
              <w:t>127</w:t>
            </w:r>
            <w:r w:rsidRPr="006F7A67">
              <w:rPr>
                <w:sz w:val="20"/>
                <w:szCs w:val="20"/>
              </w:rPr>
              <w:t xml:space="preserve">, </w:t>
            </w:r>
            <w:r w:rsidRPr="006F7A67">
              <w:rPr>
                <w:sz w:val="20"/>
                <w:szCs w:val="20"/>
                <w:lang w:val="en-US"/>
              </w:rPr>
              <w:t xml:space="preserve">2019 QCCA 1416, </w:t>
            </w:r>
            <w:r w:rsidRPr="006F7A67">
              <w:rPr>
                <w:sz w:val="20"/>
                <w:szCs w:val="20"/>
              </w:rPr>
              <w:t xml:space="preserve">dated </w:t>
            </w:r>
            <w:r w:rsidRPr="006F7A67">
              <w:rPr>
                <w:sz w:val="20"/>
                <w:szCs w:val="20"/>
                <w:lang w:val="en-US"/>
              </w:rPr>
              <w:t>August 29, 2019,</w:t>
            </w:r>
            <w:r w:rsidRPr="006F7A67">
              <w:rPr>
                <w:sz w:val="20"/>
                <w:szCs w:val="20"/>
              </w:rPr>
              <w:t xml:space="preserve"> is dismissed without costs. </w:t>
            </w:r>
          </w:p>
          <w:p w:rsidR="00BE450A" w:rsidRPr="006F7A67" w:rsidRDefault="00BE450A" w:rsidP="0019255A">
            <w:pPr>
              <w:jc w:val="both"/>
              <w:rPr>
                <w:sz w:val="20"/>
              </w:rPr>
            </w:pPr>
          </w:p>
        </w:tc>
      </w:tr>
      <w:tr w:rsidR="00197F36" w:rsidRPr="006F7A67" w:rsidTr="0019255A">
        <w:tc>
          <w:tcPr>
            <w:tcW w:w="5000" w:type="pct"/>
            <w:gridSpan w:val="2"/>
          </w:tcPr>
          <w:p w:rsidR="00197F36" w:rsidRPr="006F7A67" w:rsidRDefault="00197F36" w:rsidP="0019255A">
            <w:pPr>
              <w:jc w:val="both"/>
              <w:rPr>
                <w:sz w:val="20"/>
              </w:rPr>
            </w:pPr>
            <w:r w:rsidRPr="006F7A67">
              <w:rPr>
                <w:sz w:val="20"/>
              </w:rPr>
              <w:t>Criminal law — Charge to jury —</w:t>
            </w:r>
            <w:r w:rsidRPr="006F7A67">
              <w:rPr>
                <w:i/>
                <w:sz w:val="20"/>
              </w:rPr>
              <w:t>Vetrovec</w:t>
            </w:r>
            <w:r w:rsidRPr="006F7A67">
              <w:rPr>
                <w:sz w:val="20"/>
              </w:rPr>
              <w:t xml:space="preserve"> instruction — Testimony of accomplice having heard confession — Application of curative proviso — Instruction with respect to motive — Need for and phrasing of instruction — Whether Quebec Court of Appeal erred in law in finding that error of law had been made given absence of </w:t>
            </w:r>
            <w:r w:rsidRPr="006F7A67">
              <w:rPr>
                <w:i/>
                <w:sz w:val="20"/>
              </w:rPr>
              <w:t>Vetrovec</w:t>
            </w:r>
            <w:r w:rsidRPr="006F7A67">
              <w:rPr>
                <w:sz w:val="20"/>
              </w:rPr>
              <w:t xml:space="preserve"> instruction, but applying curative proviso in section 686(1)(b)(iii) of </w:t>
            </w:r>
            <w:r w:rsidRPr="006F7A67">
              <w:rPr>
                <w:i/>
                <w:sz w:val="20"/>
              </w:rPr>
              <w:t>Criminal Code</w:t>
            </w:r>
            <w:r w:rsidRPr="006F7A67">
              <w:rPr>
                <w:sz w:val="20"/>
              </w:rPr>
              <w:t xml:space="preserve"> — Whether Quebec Court of Appeal erred in law in applying legal framework on instruction with respect to motive.</w:t>
            </w:r>
          </w:p>
        </w:tc>
      </w:tr>
      <w:tr w:rsidR="00197F36" w:rsidRPr="006F7A67" w:rsidTr="0019255A">
        <w:tc>
          <w:tcPr>
            <w:tcW w:w="5000" w:type="pct"/>
            <w:gridSpan w:val="2"/>
          </w:tcPr>
          <w:p w:rsidR="00197F36" w:rsidRPr="006F7A67" w:rsidRDefault="00197F36" w:rsidP="0019255A">
            <w:pPr>
              <w:jc w:val="both"/>
              <w:rPr>
                <w:sz w:val="20"/>
              </w:rPr>
            </w:pPr>
          </w:p>
        </w:tc>
      </w:tr>
      <w:tr w:rsidR="00197F36" w:rsidRPr="006F7A67" w:rsidTr="0019255A">
        <w:tc>
          <w:tcPr>
            <w:tcW w:w="5000" w:type="pct"/>
            <w:gridSpan w:val="2"/>
          </w:tcPr>
          <w:p w:rsidR="00197F36" w:rsidRPr="006F7A67" w:rsidRDefault="00197F36" w:rsidP="0019255A">
            <w:pPr>
              <w:jc w:val="both"/>
              <w:rPr>
                <w:sz w:val="20"/>
              </w:rPr>
            </w:pPr>
            <w:r w:rsidRPr="006F7A67">
              <w:rPr>
                <w:sz w:val="20"/>
              </w:rPr>
              <w:t xml:space="preserve">The wife of the applicant, Yvon Durand, disappeared in August 2008. Her car was found a few days later. It was not until October 9, 2008 that her body was found. More than six months after the body was found, a friend of Mr. Durand made a statement to the police in which he alleged that Mr. Durand had murdered his wife, and admitted that he had helped Mr. Durand hide the victim’s car. Following a jury trial, Mr. Durand was found guilty of the second degree murder of his wife. The Court of Appeal unanimously dismissed his appeal, finding in particular that the trial judge had not erred in phrasing her instruction with respect to motive and that the real possibility that the verdict would have been different without the failure to give the jury a </w:t>
            </w:r>
            <w:r w:rsidRPr="006F7A67">
              <w:rPr>
                <w:i/>
                <w:sz w:val="20"/>
              </w:rPr>
              <w:t>Vetrovec</w:t>
            </w:r>
            <w:r w:rsidRPr="006F7A67">
              <w:rPr>
                <w:sz w:val="20"/>
              </w:rPr>
              <w:t xml:space="preserve"> instruction was slim, if not non</w:t>
            </w:r>
            <w:r w:rsidRPr="006F7A67">
              <w:rPr>
                <w:sz w:val="20"/>
              </w:rPr>
              <w:noBreakHyphen/>
              <w:t>existent.</w:t>
            </w:r>
          </w:p>
          <w:p w:rsidR="00197F36" w:rsidRPr="006F7A67" w:rsidRDefault="00197F36" w:rsidP="0019255A">
            <w:pPr>
              <w:jc w:val="both"/>
              <w:rPr>
                <w:sz w:val="20"/>
              </w:rPr>
            </w:pPr>
          </w:p>
        </w:tc>
      </w:tr>
    </w:tbl>
    <w:p w:rsidR="001A0C1D" w:rsidRPr="006F7A67" w:rsidRDefault="001A0C1D">
      <w:r w:rsidRPr="006F7A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7F36" w:rsidRPr="006F7A67" w:rsidTr="0019255A">
        <w:tc>
          <w:tcPr>
            <w:tcW w:w="2427" w:type="pct"/>
          </w:tcPr>
          <w:p w:rsidR="00197F36" w:rsidRPr="006F7A67" w:rsidRDefault="00197F36" w:rsidP="0019255A">
            <w:pPr>
              <w:jc w:val="both"/>
              <w:rPr>
                <w:sz w:val="20"/>
              </w:rPr>
            </w:pPr>
            <w:r w:rsidRPr="006F7A67">
              <w:rPr>
                <w:sz w:val="20"/>
              </w:rPr>
              <w:t>December 11, 2011</w:t>
            </w:r>
          </w:p>
          <w:p w:rsidR="00197F36" w:rsidRPr="006F7A67" w:rsidRDefault="00197F36" w:rsidP="0019255A">
            <w:pPr>
              <w:jc w:val="both"/>
              <w:rPr>
                <w:sz w:val="20"/>
              </w:rPr>
            </w:pPr>
            <w:r w:rsidRPr="006F7A67">
              <w:rPr>
                <w:sz w:val="20"/>
              </w:rPr>
              <w:t>Quebec Superior Court</w:t>
            </w:r>
          </w:p>
          <w:p w:rsidR="00197F36" w:rsidRPr="006F7A67" w:rsidRDefault="00197F36" w:rsidP="0019255A">
            <w:pPr>
              <w:jc w:val="both"/>
              <w:rPr>
                <w:sz w:val="20"/>
              </w:rPr>
            </w:pPr>
            <w:r w:rsidRPr="006F7A67">
              <w:rPr>
                <w:sz w:val="20"/>
              </w:rPr>
              <w:t>(St</w:t>
            </w:r>
            <w:r w:rsidRPr="006F7A67">
              <w:rPr>
                <w:sz w:val="20"/>
              </w:rPr>
              <w:noBreakHyphen/>
            </w:r>
            <w:proofErr w:type="spellStart"/>
            <w:r w:rsidRPr="006F7A67">
              <w:rPr>
                <w:sz w:val="20"/>
              </w:rPr>
              <w:t>Gelais</w:t>
            </w:r>
            <w:proofErr w:type="spellEnd"/>
            <w:r w:rsidRPr="006F7A67">
              <w:rPr>
                <w:sz w:val="20"/>
              </w:rPr>
              <w:t xml:space="preserve"> J.)</w:t>
            </w:r>
          </w:p>
          <w:p w:rsidR="00197F36" w:rsidRPr="006F7A67" w:rsidRDefault="00197F36" w:rsidP="0019255A">
            <w:pPr>
              <w:jc w:val="both"/>
              <w:rPr>
                <w:sz w:val="20"/>
              </w:rPr>
            </w:pPr>
            <w:r w:rsidRPr="006F7A67">
              <w:rPr>
                <w:sz w:val="20"/>
              </w:rPr>
              <w:t>705</w:t>
            </w:r>
            <w:r w:rsidRPr="006F7A67">
              <w:rPr>
                <w:sz w:val="20"/>
              </w:rPr>
              <w:noBreakHyphen/>
              <w:t>01</w:t>
            </w:r>
            <w:r w:rsidRPr="006F7A67">
              <w:rPr>
                <w:sz w:val="20"/>
              </w:rPr>
              <w:noBreakHyphen/>
              <w:t>059227</w:t>
            </w:r>
            <w:r w:rsidRPr="006F7A67">
              <w:rPr>
                <w:sz w:val="20"/>
              </w:rPr>
              <w:noBreakHyphen/>
              <w:t>092</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Jury finding applicant guilty of second degree murder</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August 29, 2019</w:t>
            </w:r>
          </w:p>
          <w:p w:rsidR="00197F36" w:rsidRPr="006F7A67" w:rsidRDefault="00197F36" w:rsidP="0019255A">
            <w:pPr>
              <w:jc w:val="both"/>
              <w:rPr>
                <w:sz w:val="20"/>
              </w:rPr>
            </w:pPr>
            <w:r w:rsidRPr="006F7A67">
              <w:rPr>
                <w:sz w:val="20"/>
              </w:rPr>
              <w:t>Quebec Court of Appeal (Montréal)</w:t>
            </w:r>
          </w:p>
          <w:p w:rsidR="00197F36" w:rsidRPr="006F7A67" w:rsidRDefault="00197F36" w:rsidP="0019255A">
            <w:pPr>
              <w:jc w:val="both"/>
              <w:rPr>
                <w:sz w:val="20"/>
              </w:rPr>
            </w:pPr>
            <w:r w:rsidRPr="006F7A67">
              <w:rPr>
                <w:sz w:val="20"/>
              </w:rPr>
              <w:t xml:space="preserve">(Hilton, </w:t>
            </w:r>
            <w:proofErr w:type="spellStart"/>
            <w:r w:rsidRPr="006F7A67">
              <w:rPr>
                <w:sz w:val="20"/>
              </w:rPr>
              <w:t>Vauclair</w:t>
            </w:r>
            <w:proofErr w:type="spellEnd"/>
            <w:r w:rsidRPr="006F7A67">
              <w:rPr>
                <w:sz w:val="20"/>
              </w:rPr>
              <w:t xml:space="preserve"> and </w:t>
            </w:r>
            <w:proofErr w:type="spellStart"/>
            <w:r w:rsidRPr="006F7A67">
              <w:rPr>
                <w:sz w:val="20"/>
              </w:rPr>
              <w:t>Beaupré</w:t>
            </w:r>
            <w:proofErr w:type="spellEnd"/>
            <w:r w:rsidRPr="006F7A67">
              <w:rPr>
                <w:sz w:val="20"/>
              </w:rPr>
              <w:t xml:space="preserve"> JJ.A.)</w:t>
            </w:r>
          </w:p>
          <w:p w:rsidR="00197F36" w:rsidRPr="006F7A67" w:rsidRDefault="00300F06" w:rsidP="0019255A">
            <w:pPr>
              <w:jc w:val="both"/>
              <w:rPr>
                <w:sz w:val="20"/>
              </w:rPr>
            </w:pPr>
            <w:hyperlink r:id="rId69" w:history="1">
              <w:r w:rsidR="00197F36" w:rsidRPr="006F7A67">
                <w:rPr>
                  <w:rStyle w:val="Hyperlink"/>
                  <w:sz w:val="20"/>
                </w:rPr>
                <w:t>2019 QCCA 1416</w:t>
              </w:r>
            </w:hyperlink>
            <w:r w:rsidR="00197F36" w:rsidRPr="006F7A67">
              <w:rPr>
                <w:sz w:val="20"/>
              </w:rPr>
              <w:t xml:space="preserve"> (500</w:t>
            </w:r>
            <w:r w:rsidR="00197F36" w:rsidRPr="006F7A67">
              <w:rPr>
                <w:sz w:val="20"/>
              </w:rPr>
              <w:noBreakHyphen/>
              <w:t>10</w:t>
            </w:r>
            <w:r w:rsidR="00197F36" w:rsidRPr="006F7A67">
              <w:rPr>
                <w:sz w:val="20"/>
              </w:rPr>
              <w:noBreakHyphen/>
              <w:t>005072</w:t>
            </w:r>
            <w:r w:rsidR="00197F36" w:rsidRPr="006F7A67">
              <w:rPr>
                <w:sz w:val="20"/>
              </w:rPr>
              <w:noBreakHyphen/>
              <w:t>127)</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Appeal dismissed</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October 28, 2019</w:t>
            </w:r>
          </w:p>
          <w:p w:rsidR="00197F36" w:rsidRPr="006F7A67" w:rsidRDefault="00197F36" w:rsidP="0019255A">
            <w:pPr>
              <w:jc w:val="both"/>
              <w:rPr>
                <w:sz w:val="20"/>
              </w:rPr>
            </w:pPr>
            <w:r w:rsidRPr="006F7A67">
              <w:rPr>
                <w:sz w:val="20"/>
              </w:rPr>
              <w:t>Supreme Court of Canada</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leave to appeal filed</w:t>
            </w:r>
          </w:p>
          <w:p w:rsidR="00197F36" w:rsidRPr="006F7A67" w:rsidRDefault="00197F36" w:rsidP="0019255A">
            <w:pPr>
              <w:jc w:val="both"/>
              <w:rPr>
                <w:sz w:val="20"/>
              </w:rPr>
            </w:pP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57"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38876</w:t>
            </w:r>
          </w:p>
        </w:tc>
        <w:tc>
          <w:tcPr>
            <w:tcW w:w="4457" w:type="pct"/>
            <w:gridSpan w:val="3"/>
          </w:tcPr>
          <w:p w:rsidR="00197F36" w:rsidRPr="006F7A67" w:rsidRDefault="00197F36" w:rsidP="0019255A">
            <w:pPr>
              <w:pStyle w:val="SCCLsocParty"/>
              <w:jc w:val="both"/>
              <w:rPr>
                <w:b/>
                <w:sz w:val="20"/>
                <w:szCs w:val="20"/>
              </w:rPr>
            </w:pPr>
            <w:r w:rsidRPr="006F7A67">
              <w:rPr>
                <w:b/>
                <w:sz w:val="20"/>
                <w:szCs w:val="20"/>
              </w:rPr>
              <w:t>Yvon Durand c. Sa Majesté la Reine</w:t>
            </w:r>
          </w:p>
          <w:p w:rsidR="00197F36" w:rsidRPr="006F7A67" w:rsidRDefault="00197F36" w:rsidP="0019255A">
            <w:pPr>
              <w:jc w:val="both"/>
              <w:rPr>
                <w:sz w:val="20"/>
              </w:rPr>
            </w:pPr>
            <w:r w:rsidRPr="006F7A67">
              <w:rPr>
                <w:sz w:val="20"/>
              </w:rPr>
              <w:t>(Qc) (Criminelle) (Autorisation)</w:t>
            </w:r>
          </w:p>
        </w:tc>
      </w:tr>
      <w:tr w:rsidR="00BE450A" w:rsidRPr="00DB0D35" w:rsidTr="0019255A">
        <w:tc>
          <w:tcPr>
            <w:tcW w:w="5000" w:type="pct"/>
            <w:gridSpan w:val="4"/>
          </w:tcPr>
          <w:p w:rsidR="00BE450A" w:rsidRPr="006F7A67" w:rsidRDefault="00BE450A" w:rsidP="00BE450A">
            <w:pPr>
              <w:jc w:val="both"/>
              <w:rPr>
                <w:sz w:val="20"/>
                <w:szCs w:val="20"/>
                <w:lang w:val="fr-CA"/>
              </w:rPr>
            </w:pPr>
            <w:r w:rsidRPr="006F7A67">
              <w:rPr>
                <w:sz w:val="20"/>
                <w:szCs w:val="20"/>
                <w:lang w:val="fr-CA"/>
              </w:rPr>
              <w:t>La demande d’autorisation d’appel de l’arrêt de la Cour d’appel du Québec (Montréal), numéro 500</w:t>
            </w:r>
            <w:r w:rsidRPr="006F7A67">
              <w:rPr>
                <w:sz w:val="20"/>
                <w:szCs w:val="20"/>
                <w:lang w:val="fr-CA"/>
              </w:rPr>
              <w:noBreakHyphen/>
              <w:t>10</w:t>
            </w:r>
            <w:r w:rsidRPr="006F7A67">
              <w:rPr>
                <w:sz w:val="20"/>
                <w:szCs w:val="20"/>
                <w:lang w:val="fr-CA"/>
              </w:rPr>
              <w:noBreakHyphen/>
              <w:t>005072</w:t>
            </w:r>
            <w:r w:rsidRPr="006F7A67">
              <w:rPr>
                <w:sz w:val="20"/>
                <w:szCs w:val="20"/>
                <w:lang w:val="fr-CA"/>
              </w:rPr>
              <w:noBreakHyphen/>
              <w:t>127, 2019 QCCA 1416, daté du 29 août 2019, est rejetée sans dépens.</w:t>
            </w:r>
          </w:p>
          <w:p w:rsidR="00BE450A" w:rsidRPr="006F7A67" w:rsidRDefault="00BE450A" w:rsidP="0019255A">
            <w:pPr>
              <w:jc w:val="both"/>
              <w:rPr>
                <w:sz w:val="20"/>
                <w:lang w:val="fr-CA"/>
              </w:rPr>
            </w:pPr>
          </w:p>
        </w:tc>
      </w:tr>
      <w:tr w:rsidR="00197F36" w:rsidRPr="00DB0D35" w:rsidTr="0019255A">
        <w:tc>
          <w:tcPr>
            <w:tcW w:w="5000" w:type="pct"/>
            <w:gridSpan w:val="4"/>
          </w:tcPr>
          <w:p w:rsidR="00197F36" w:rsidRPr="006F7A67" w:rsidRDefault="00197F36" w:rsidP="0019255A">
            <w:pPr>
              <w:jc w:val="both"/>
              <w:rPr>
                <w:sz w:val="20"/>
                <w:lang w:val="fr-CA"/>
              </w:rPr>
            </w:pPr>
            <w:r w:rsidRPr="006F7A67">
              <w:rPr>
                <w:sz w:val="20"/>
                <w:lang w:val="fr-CA"/>
              </w:rPr>
              <w:t xml:space="preserve">Droit criminel — Exposé au jury — Directive de type </w:t>
            </w:r>
            <w:r w:rsidRPr="006F7A67">
              <w:rPr>
                <w:i/>
                <w:sz w:val="20"/>
                <w:lang w:val="fr-CA"/>
              </w:rPr>
              <w:t xml:space="preserve">Vetrovec </w:t>
            </w:r>
            <w:r w:rsidRPr="006F7A67">
              <w:rPr>
                <w:sz w:val="20"/>
                <w:lang w:val="fr-CA"/>
              </w:rPr>
              <w:t>— Témoignage d’un complice ayant reçu des aveux — Application de la disposition réparatrice — Directive sur le mobile — Nécessité et formulation de la directive — La Cour d’appel du Québec a</w:t>
            </w:r>
            <w:r w:rsidRPr="006F7A67">
              <w:rPr>
                <w:sz w:val="20"/>
                <w:lang w:val="fr-CA"/>
              </w:rPr>
              <w:noBreakHyphen/>
              <w:t>t</w:t>
            </w:r>
            <w:r w:rsidRPr="006F7A67">
              <w:rPr>
                <w:sz w:val="20"/>
                <w:lang w:val="fr-CA"/>
              </w:rPr>
              <w:noBreakHyphen/>
              <w:t xml:space="preserve">elle erré en droit alors qu’elle a reconnu qu’une erreur en droit avait été commise vu l’absence d’une directive de type </w:t>
            </w:r>
            <w:r w:rsidRPr="006F7A67">
              <w:rPr>
                <w:i/>
                <w:sz w:val="20"/>
                <w:lang w:val="fr-CA"/>
              </w:rPr>
              <w:t>Vetrovec</w:t>
            </w:r>
            <w:r w:rsidRPr="006F7A67">
              <w:rPr>
                <w:sz w:val="20"/>
                <w:lang w:val="fr-CA"/>
              </w:rPr>
              <w:t xml:space="preserve"> mais applique la disposition réparatrice prévue au sous</w:t>
            </w:r>
            <w:r w:rsidRPr="006F7A67">
              <w:rPr>
                <w:sz w:val="20"/>
                <w:lang w:val="fr-CA"/>
              </w:rPr>
              <w:noBreakHyphen/>
              <w:t xml:space="preserve">alinéa 686(1)b)(iii) du </w:t>
            </w:r>
            <w:r w:rsidRPr="006F7A67">
              <w:rPr>
                <w:i/>
                <w:sz w:val="20"/>
                <w:lang w:val="fr-CA"/>
              </w:rPr>
              <w:t>Code criminel</w:t>
            </w:r>
            <w:r w:rsidRPr="006F7A67">
              <w:rPr>
                <w:sz w:val="20"/>
                <w:lang w:val="fr-CA"/>
              </w:rPr>
              <w:t>? — La Cour d’appel du Québec a</w:t>
            </w:r>
            <w:r w:rsidRPr="006F7A67">
              <w:rPr>
                <w:sz w:val="20"/>
                <w:lang w:val="fr-CA"/>
              </w:rPr>
              <w:noBreakHyphen/>
              <w:t>t</w:t>
            </w:r>
            <w:r w:rsidRPr="006F7A67">
              <w:rPr>
                <w:sz w:val="20"/>
                <w:lang w:val="fr-CA"/>
              </w:rPr>
              <w:noBreakHyphen/>
              <w:t>elle erré en droit dans son application du cadre juridique portant sur la directive du mobile?</w:t>
            </w:r>
          </w:p>
        </w:tc>
      </w:tr>
      <w:tr w:rsidR="00197F36" w:rsidRPr="00DB0D35" w:rsidTr="0019255A">
        <w:tc>
          <w:tcPr>
            <w:tcW w:w="5000" w:type="pct"/>
            <w:gridSpan w:val="4"/>
          </w:tcPr>
          <w:p w:rsidR="00197F36" w:rsidRPr="006F7A67" w:rsidRDefault="00197F36" w:rsidP="0019255A">
            <w:pPr>
              <w:jc w:val="both"/>
              <w:rPr>
                <w:sz w:val="20"/>
                <w:lang w:val="fr-CA"/>
              </w:rPr>
            </w:pPr>
          </w:p>
        </w:tc>
      </w:tr>
      <w:tr w:rsidR="00197F36" w:rsidRPr="00DB0D35" w:rsidTr="0019255A">
        <w:tc>
          <w:tcPr>
            <w:tcW w:w="5000" w:type="pct"/>
            <w:gridSpan w:val="4"/>
          </w:tcPr>
          <w:p w:rsidR="00197F36" w:rsidRPr="006F7A67" w:rsidRDefault="00197F36" w:rsidP="0019255A">
            <w:pPr>
              <w:jc w:val="both"/>
              <w:rPr>
                <w:sz w:val="20"/>
                <w:lang w:val="fr-CA"/>
              </w:rPr>
            </w:pPr>
            <w:r w:rsidRPr="006F7A67">
              <w:rPr>
                <w:sz w:val="20"/>
                <w:lang w:val="fr-CA"/>
              </w:rPr>
              <w:t xml:space="preserve">En août 2008, la femme du demandeur Yvon Durand est portée disparue. Sa voiture est retrouvée quelques jours plus tard. Ce n’est qu’en octobre 2008 que son corps est retrouvé. Plus de six mois après la découverte du corps, un ami de M. Durand fait une déclaration aux policiers dans laquelle il dénonce M. Durand pour le meurtre de sa conjointe et admet l’avoir aidé à dissimuler la voiture de la victime. Au terme d’un procès devant jury, M. Durand est déclaré coupable de meurtre au deuxième degré de sa conjointe. La Cour d’appel rejette son appel à l’unanimité, estimant notamment que la juge du procès n’a pas commis d’erreur de droit dans la formulation de la directive quant à la notion de mobile et que la possibilité réelle qu’un verdict ait été différent s’il n’y avait pas eu omission de donner au jury une directive de type </w:t>
            </w:r>
            <w:r w:rsidRPr="006F7A67">
              <w:rPr>
                <w:i/>
                <w:sz w:val="20"/>
                <w:lang w:val="fr-CA"/>
              </w:rPr>
              <w:t>Vetrovec</w:t>
            </w:r>
            <w:r w:rsidRPr="006F7A67">
              <w:rPr>
                <w:sz w:val="20"/>
                <w:lang w:val="fr-CA"/>
              </w:rPr>
              <w:t xml:space="preserve"> est mince, voire inexistante.</w:t>
            </w:r>
          </w:p>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Le 11 décembre 2011</w:t>
            </w:r>
          </w:p>
          <w:p w:rsidR="00197F36" w:rsidRPr="006F7A67" w:rsidRDefault="00197F36" w:rsidP="0019255A">
            <w:pPr>
              <w:jc w:val="both"/>
              <w:rPr>
                <w:sz w:val="20"/>
                <w:lang w:val="fr-CA"/>
              </w:rPr>
            </w:pPr>
            <w:r w:rsidRPr="006F7A67">
              <w:rPr>
                <w:sz w:val="20"/>
                <w:lang w:val="fr-CA"/>
              </w:rPr>
              <w:t>Cour supérieure du Québec</w:t>
            </w:r>
          </w:p>
          <w:p w:rsidR="00197F36" w:rsidRPr="006F7A67" w:rsidRDefault="00197F36" w:rsidP="0019255A">
            <w:pPr>
              <w:jc w:val="both"/>
              <w:rPr>
                <w:sz w:val="20"/>
              </w:rPr>
            </w:pPr>
            <w:r w:rsidRPr="006F7A67">
              <w:rPr>
                <w:sz w:val="20"/>
              </w:rPr>
              <w:t>(La juge St-</w:t>
            </w:r>
            <w:proofErr w:type="spellStart"/>
            <w:r w:rsidRPr="006F7A67">
              <w:rPr>
                <w:sz w:val="20"/>
              </w:rPr>
              <w:t>Gelais</w:t>
            </w:r>
            <w:proofErr w:type="spellEnd"/>
            <w:r w:rsidRPr="006F7A67">
              <w:rPr>
                <w:sz w:val="20"/>
              </w:rPr>
              <w:t>)</w:t>
            </w:r>
          </w:p>
          <w:p w:rsidR="00197F36" w:rsidRPr="006F7A67" w:rsidRDefault="00197F36" w:rsidP="0019255A">
            <w:pPr>
              <w:jc w:val="both"/>
              <w:rPr>
                <w:sz w:val="20"/>
              </w:rPr>
            </w:pPr>
            <w:r w:rsidRPr="006F7A67">
              <w:rPr>
                <w:sz w:val="20"/>
              </w:rPr>
              <w:t>705</w:t>
            </w:r>
            <w:r w:rsidRPr="006F7A67">
              <w:rPr>
                <w:sz w:val="20"/>
              </w:rPr>
              <w:noBreakHyphen/>
              <w:t>01</w:t>
            </w:r>
            <w:r w:rsidRPr="006F7A67">
              <w:rPr>
                <w:sz w:val="20"/>
              </w:rPr>
              <w:noBreakHyphen/>
              <w:t>059227</w:t>
            </w:r>
            <w:r w:rsidRPr="006F7A67">
              <w:rPr>
                <w:sz w:val="20"/>
              </w:rPr>
              <w:noBreakHyphen/>
              <w:t>092</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lang w:val="fr-CA"/>
              </w:rPr>
            </w:pPr>
            <w:r w:rsidRPr="006F7A67">
              <w:rPr>
                <w:sz w:val="20"/>
                <w:lang w:val="fr-CA"/>
              </w:rPr>
              <w:t>Déclaration de culpabilité pour meurtre au second degré par un jury</w:t>
            </w:r>
          </w:p>
          <w:p w:rsidR="00197F36" w:rsidRPr="006F7A67" w:rsidRDefault="00197F36" w:rsidP="0019255A">
            <w:pPr>
              <w:jc w:val="both"/>
              <w:rPr>
                <w:sz w:val="20"/>
                <w:lang w:val="fr-CA"/>
              </w:rPr>
            </w:pPr>
          </w:p>
        </w:tc>
      </w:tr>
      <w:tr w:rsidR="00197F36" w:rsidRPr="006F7A67" w:rsidTr="0019255A">
        <w:tc>
          <w:tcPr>
            <w:tcW w:w="2427" w:type="pct"/>
            <w:gridSpan w:val="2"/>
          </w:tcPr>
          <w:p w:rsidR="00197F36" w:rsidRPr="006F7A67" w:rsidRDefault="00197F36" w:rsidP="0019255A">
            <w:pPr>
              <w:jc w:val="both"/>
              <w:rPr>
                <w:sz w:val="20"/>
                <w:lang w:val="fr-CA"/>
              </w:rPr>
            </w:pPr>
            <w:r w:rsidRPr="006F7A67">
              <w:rPr>
                <w:sz w:val="20"/>
                <w:lang w:val="fr-CA"/>
              </w:rPr>
              <w:t>Le 29 août 2019</w:t>
            </w:r>
          </w:p>
          <w:p w:rsidR="00197F36" w:rsidRPr="006F7A67" w:rsidRDefault="00197F36" w:rsidP="0019255A">
            <w:pPr>
              <w:jc w:val="both"/>
              <w:rPr>
                <w:sz w:val="20"/>
                <w:lang w:val="fr-CA"/>
              </w:rPr>
            </w:pPr>
            <w:r w:rsidRPr="006F7A67">
              <w:rPr>
                <w:sz w:val="20"/>
                <w:lang w:val="fr-CA"/>
              </w:rPr>
              <w:t>Cour d’appel du Québec (Montréal)</w:t>
            </w:r>
          </w:p>
          <w:p w:rsidR="00197F36" w:rsidRPr="006F7A67" w:rsidRDefault="00197F36" w:rsidP="0019255A">
            <w:pPr>
              <w:jc w:val="both"/>
              <w:rPr>
                <w:sz w:val="20"/>
                <w:lang w:val="fr-CA"/>
              </w:rPr>
            </w:pPr>
            <w:r w:rsidRPr="006F7A67">
              <w:rPr>
                <w:sz w:val="20"/>
                <w:lang w:val="fr-CA"/>
              </w:rPr>
              <w:t xml:space="preserve">(Les juges Hilton, </w:t>
            </w:r>
            <w:proofErr w:type="spellStart"/>
            <w:r w:rsidRPr="006F7A67">
              <w:rPr>
                <w:sz w:val="20"/>
                <w:lang w:val="fr-CA"/>
              </w:rPr>
              <w:t>Vauclair</w:t>
            </w:r>
            <w:proofErr w:type="spellEnd"/>
            <w:r w:rsidRPr="006F7A67">
              <w:rPr>
                <w:sz w:val="20"/>
                <w:lang w:val="fr-CA"/>
              </w:rPr>
              <w:t xml:space="preserve"> et Beaupré)</w:t>
            </w:r>
          </w:p>
          <w:p w:rsidR="00197F36" w:rsidRPr="006F7A67" w:rsidRDefault="00300F06" w:rsidP="0019255A">
            <w:pPr>
              <w:jc w:val="both"/>
              <w:rPr>
                <w:sz w:val="20"/>
              </w:rPr>
            </w:pPr>
            <w:hyperlink r:id="rId70" w:history="1">
              <w:r w:rsidR="00197F36" w:rsidRPr="006F7A67">
                <w:rPr>
                  <w:rStyle w:val="Hyperlink"/>
                  <w:sz w:val="20"/>
                </w:rPr>
                <w:t>2019 QCCA 1416</w:t>
              </w:r>
            </w:hyperlink>
            <w:r w:rsidR="00197F36" w:rsidRPr="006F7A67">
              <w:rPr>
                <w:sz w:val="20"/>
              </w:rPr>
              <w:t xml:space="preserve"> (500</w:t>
            </w:r>
            <w:r w:rsidR="00197F36" w:rsidRPr="006F7A67">
              <w:rPr>
                <w:sz w:val="20"/>
              </w:rPr>
              <w:noBreakHyphen/>
              <w:t>10</w:t>
            </w:r>
            <w:r w:rsidR="00197F36" w:rsidRPr="006F7A67">
              <w:rPr>
                <w:sz w:val="20"/>
              </w:rPr>
              <w:noBreakHyphen/>
              <w:t>005072</w:t>
            </w:r>
            <w:r w:rsidR="00197F36" w:rsidRPr="006F7A67">
              <w:rPr>
                <w:sz w:val="20"/>
              </w:rPr>
              <w:noBreakHyphen/>
              <w:t>127)</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Appel rejeté</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lang w:val="fr-CA"/>
              </w:rPr>
            </w:pPr>
            <w:r w:rsidRPr="006F7A67">
              <w:rPr>
                <w:sz w:val="20"/>
                <w:lang w:val="fr-CA"/>
              </w:rPr>
              <w:t>Le 28 octobre 2019</w:t>
            </w:r>
          </w:p>
          <w:p w:rsidR="00197F36" w:rsidRPr="006F7A67" w:rsidRDefault="00197F36" w:rsidP="0019255A">
            <w:pPr>
              <w:jc w:val="both"/>
              <w:rPr>
                <w:sz w:val="20"/>
                <w:lang w:val="fr-CA"/>
              </w:rPr>
            </w:pPr>
            <w:r w:rsidRPr="006F7A67">
              <w:rPr>
                <w:sz w:val="20"/>
                <w:lang w:val="fr-CA"/>
              </w:rPr>
              <w:t>Cour suprême du Canada</w:t>
            </w: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rPr>
            </w:pPr>
            <w:r w:rsidRPr="006F7A67">
              <w:rPr>
                <w:sz w:val="20"/>
              </w:rPr>
              <w:t>Demande d’autorisation d’appel déposée</w:t>
            </w:r>
          </w:p>
          <w:p w:rsidR="00197F36" w:rsidRPr="006F7A67" w:rsidRDefault="00197F36" w:rsidP="0019255A">
            <w:pPr>
              <w:jc w:val="both"/>
              <w:rPr>
                <w:sz w:val="20"/>
              </w:rPr>
            </w:pP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58" style="width:2in;height:1pt" o:hrpct="0" o:hralign="center" o:hrstd="t" o:hrnoshade="t" o:hr="t" fillcolor="black [3213]" stroked="f"/>
        </w:pict>
      </w:r>
    </w:p>
    <w:p w:rsidR="00197F36" w:rsidRPr="006F7A67" w:rsidRDefault="00197F36" w:rsidP="00197F3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38953</w:t>
            </w:r>
          </w:p>
        </w:tc>
        <w:tc>
          <w:tcPr>
            <w:tcW w:w="4457" w:type="pct"/>
            <w:gridSpan w:val="3"/>
          </w:tcPr>
          <w:p w:rsidR="00197F36" w:rsidRPr="006F7A67" w:rsidRDefault="00197F36" w:rsidP="0019255A">
            <w:pPr>
              <w:pStyle w:val="SCCLsocParty"/>
              <w:jc w:val="both"/>
              <w:rPr>
                <w:b/>
                <w:sz w:val="20"/>
                <w:szCs w:val="20"/>
                <w:lang w:val="en-US"/>
              </w:rPr>
            </w:pPr>
            <w:r w:rsidRPr="006F7A67">
              <w:rPr>
                <w:b/>
                <w:sz w:val="20"/>
                <w:szCs w:val="20"/>
                <w:lang w:val="en-US"/>
              </w:rPr>
              <w:t>Alexander Davidoff v. Sobeys Ontario</w:t>
            </w:r>
          </w:p>
          <w:p w:rsidR="00197F36" w:rsidRPr="006F7A67" w:rsidRDefault="00197F36" w:rsidP="0019255A">
            <w:pPr>
              <w:jc w:val="both"/>
              <w:rPr>
                <w:sz w:val="20"/>
              </w:rPr>
            </w:pPr>
            <w:r w:rsidRPr="006F7A67">
              <w:rPr>
                <w:sz w:val="20"/>
              </w:rPr>
              <w:t>(Ont.) (Civil) (By Leave)</w:t>
            </w:r>
          </w:p>
        </w:tc>
      </w:tr>
      <w:tr w:rsidR="008142EB" w:rsidRPr="006F7A67" w:rsidTr="0019255A">
        <w:tc>
          <w:tcPr>
            <w:tcW w:w="5000" w:type="pct"/>
            <w:gridSpan w:val="4"/>
          </w:tcPr>
          <w:p w:rsidR="008142EB" w:rsidRPr="006F7A67" w:rsidRDefault="008142EB" w:rsidP="008142EB">
            <w:pPr>
              <w:jc w:val="both"/>
              <w:rPr>
                <w:sz w:val="20"/>
                <w:szCs w:val="20"/>
              </w:rPr>
            </w:pPr>
            <w:r w:rsidRPr="006F7A67">
              <w:rPr>
                <w:sz w:val="20"/>
                <w:szCs w:val="20"/>
              </w:rPr>
              <w:t>The application for leave to appeal from the judgment of the Court of Appeal for Ontario, Number C65664, 2019 ONCA 684, dated September 4, 2019, is dismissed without costs.</w:t>
            </w:r>
          </w:p>
          <w:p w:rsidR="008142EB" w:rsidRPr="006F7A67" w:rsidRDefault="008142EB" w:rsidP="0019255A">
            <w:pPr>
              <w:jc w:val="both"/>
              <w:rPr>
                <w:sz w:val="20"/>
              </w:rPr>
            </w:pPr>
          </w:p>
        </w:tc>
      </w:tr>
      <w:tr w:rsidR="00197F36" w:rsidRPr="006F7A67" w:rsidTr="0019255A">
        <w:tc>
          <w:tcPr>
            <w:tcW w:w="5000" w:type="pct"/>
            <w:gridSpan w:val="4"/>
          </w:tcPr>
          <w:p w:rsidR="00197F36" w:rsidRPr="006F7A67" w:rsidRDefault="00197F36" w:rsidP="0019255A">
            <w:pPr>
              <w:jc w:val="both"/>
              <w:rPr>
                <w:sz w:val="20"/>
              </w:rPr>
            </w:pPr>
            <w:r w:rsidRPr="006F7A67">
              <w:rPr>
                <w:sz w:val="20"/>
              </w:rPr>
              <w:t xml:space="preserve">Civil procedure — Commencement of proceedings — Plaintiff issued statement of claim outside limitation period but provided defendant with document purporting to be notice of action before end of limitation period — Defendant moving to dismiss statement of claim as being outside limitation period — Motion judge finding document not notice of action issued pursuant to </w:t>
            </w:r>
            <w:r w:rsidRPr="006F7A67">
              <w:rPr>
                <w:i/>
                <w:sz w:val="20"/>
              </w:rPr>
              <w:t xml:space="preserve">Rules of Civil Procedure </w:t>
            </w:r>
            <w:r w:rsidRPr="006F7A67">
              <w:rPr>
                <w:sz w:val="20"/>
              </w:rPr>
              <w:t>and striking statement of claim</w:t>
            </w:r>
            <w:r w:rsidRPr="006F7A67">
              <w:rPr>
                <w:i/>
                <w:sz w:val="20"/>
              </w:rPr>
              <w:t xml:space="preserve"> </w:t>
            </w:r>
            <w:r w:rsidRPr="006F7A67">
              <w:rPr>
                <w:sz w:val="20"/>
              </w:rPr>
              <w:t>— Appeal dismissed — Whether plaintiff’s right to full answer and defence on motion to strike was removed when defendant’s counsel omitted material fact relating to existence of notice of action — Whether the Courts below contravened the rules of procedural fairness.</w:t>
            </w:r>
          </w:p>
        </w:tc>
      </w:tr>
      <w:tr w:rsidR="00197F36" w:rsidRPr="006F7A67" w:rsidTr="0019255A">
        <w:tc>
          <w:tcPr>
            <w:tcW w:w="5000" w:type="pct"/>
            <w:gridSpan w:val="4"/>
          </w:tcPr>
          <w:p w:rsidR="00197F36" w:rsidRPr="006F7A67" w:rsidRDefault="00197F36" w:rsidP="0019255A">
            <w:pPr>
              <w:jc w:val="both"/>
              <w:rPr>
                <w:sz w:val="20"/>
              </w:rPr>
            </w:pPr>
          </w:p>
        </w:tc>
      </w:tr>
      <w:tr w:rsidR="00197F36" w:rsidRPr="006F7A67" w:rsidTr="0019255A">
        <w:tc>
          <w:tcPr>
            <w:tcW w:w="5000" w:type="pct"/>
            <w:gridSpan w:val="4"/>
          </w:tcPr>
          <w:p w:rsidR="00197F36" w:rsidRPr="006F7A67" w:rsidRDefault="00197F36" w:rsidP="0019255A">
            <w:pPr>
              <w:jc w:val="both"/>
              <w:rPr>
                <w:sz w:val="20"/>
              </w:rPr>
            </w:pPr>
            <w:r w:rsidRPr="006F7A67">
              <w:rPr>
                <w:sz w:val="20"/>
              </w:rPr>
              <w:t xml:space="preserve">Mr. Davidoff issued a statement of claim on November 1, 2017, intending to sue Sobeys Ontario (“Sobeys”) for wrongful termination. The parties agreed that the date of his termination was October 6, 2015, and that the applicable limitation period was two-years, as prescribed by s. 4 of the </w:t>
            </w:r>
            <w:r w:rsidRPr="006F7A67">
              <w:rPr>
                <w:i/>
                <w:sz w:val="20"/>
              </w:rPr>
              <w:t>Limitations Act</w:t>
            </w:r>
            <w:r w:rsidRPr="006F7A67">
              <w:rPr>
                <w:sz w:val="20"/>
              </w:rPr>
              <w:t xml:space="preserve">, S.O. 2002, </w:t>
            </w:r>
            <w:proofErr w:type="gramStart"/>
            <w:r w:rsidRPr="006F7A67">
              <w:rPr>
                <w:sz w:val="20"/>
              </w:rPr>
              <w:t>c</w:t>
            </w:r>
            <w:proofErr w:type="gramEnd"/>
            <w:r w:rsidRPr="006F7A67">
              <w:rPr>
                <w:sz w:val="20"/>
              </w:rPr>
              <w:t>. 24, Sched. B. Prior to issuing the statement of claim and within the two</w:t>
            </w:r>
            <w:r w:rsidRPr="006F7A67">
              <w:rPr>
                <w:sz w:val="20"/>
              </w:rPr>
              <w:noBreakHyphen/>
              <w:t>year limitation period, on September 29, 2017, Mr. Davidoff had mailed a letter to Sobeys’ Director of Human Resources purporting to be a notice of action.</w:t>
            </w:r>
          </w:p>
          <w:p w:rsidR="00197F36" w:rsidRPr="006F7A67" w:rsidRDefault="00197F36" w:rsidP="0019255A">
            <w:pPr>
              <w:jc w:val="both"/>
              <w:rPr>
                <w:sz w:val="20"/>
              </w:rPr>
            </w:pPr>
          </w:p>
          <w:p w:rsidR="00197F36" w:rsidRPr="006F7A67" w:rsidRDefault="00197F36" w:rsidP="0019255A">
            <w:pPr>
              <w:jc w:val="both"/>
              <w:rPr>
                <w:sz w:val="20"/>
              </w:rPr>
            </w:pPr>
            <w:r w:rsidRPr="006F7A67">
              <w:rPr>
                <w:sz w:val="20"/>
              </w:rPr>
              <w:t xml:space="preserve">Sobeys moved to strike the claim on the basis that it was barred by the statutory limitation period. Mr. Davidoff opposed the motion on the basis that his September 29 letter was a notice of action, and therefore that he had commenced his action within the limitation period. The motions judge concluded that the September 29 letter was not a notice of action and granted Sobeys’ motion. The Court of Appeal affirmed the judgment, agreeing that Mr. Davidoff’s letter did not follow the format prescribed for notices of action in the </w:t>
            </w:r>
            <w:r w:rsidRPr="006F7A67">
              <w:rPr>
                <w:i/>
                <w:sz w:val="20"/>
              </w:rPr>
              <w:t>Rules of Civil Procedure</w:t>
            </w:r>
            <w:r w:rsidRPr="006F7A67">
              <w:rPr>
                <w:sz w:val="20"/>
              </w:rPr>
              <w:t>.</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June 20, 2018</w:t>
            </w:r>
          </w:p>
          <w:p w:rsidR="00197F36" w:rsidRPr="006F7A67" w:rsidRDefault="00197F36" w:rsidP="0019255A">
            <w:pPr>
              <w:jc w:val="both"/>
              <w:rPr>
                <w:sz w:val="20"/>
              </w:rPr>
            </w:pPr>
            <w:r w:rsidRPr="006F7A67">
              <w:rPr>
                <w:sz w:val="20"/>
              </w:rPr>
              <w:t>Ontario Superior Court of Justice</w:t>
            </w:r>
          </w:p>
          <w:p w:rsidR="00197F36" w:rsidRPr="006F7A67" w:rsidRDefault="00197F36" w:rsidP="0019255A">
            <w:pPr>
              <w:jc w:val="both"/>
              <w:rPr>
                <w:sz w:val="20"/>
              </w:rPr>
            </w:pPr>
            <w:r w:rsidRPr="006F7A67">
              <w:rPr>
                <w:sz w:val="20"/>
              </w:rPr>
              <w:t>(Donohue, J.)</w:t>
            </w:r>
          </w:p>
          <w:p w:rsidR="00197F36" w:rsidRPr="006F7A67" w:rsidRDefault="00197F36" w:rsidP="0019255A">
            <w:pPr>
              <w:jc w:val="both"/>
              <w:rPr>
                <w:sz w:val="20"/>
              </w:rPr>
            </w:pPr>
            <w:r w:rsidRPr="006F7A67">
              <w:rPr>
                <w:sz w:val="20"/>
              </w:rPr>
              <w:t>Unreported</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 xml:space="preserve">Respondent’s motion to strike statement of claim granted </w:t>
            </w:r>
          </w:p>
        </w:tc>
      </w:tr>
      <w:tr w:rsidR="00197F36" w:rsidRPr="006F7A67" w:rsidTr="0019255A">
        <w:tc>
          <w:tcPr>
            <w:tcW w:w="2427" w:type="pct"/>
            <w:gridSpan w:val="2"/>
          </w:tcPr>
          <w:p w:rsidR="00197F36" w:rsidRPr="006F7A67" w:rsidRDefault="00197F36" w:rsidP="0019255A">
            <w:pPr>
              <w:jc w:val="both"/>
              <w:rPr>
                <w:sz w:val="20"/>
              </w:rPr>
            </w:pPr>
            <w:r w:rsidRPr="006F7A67">
              <w:rPr>
                <w:sz w:val="20"/>
              </w:rPr>
              <w:t>September 4, 2019</w:t>
            </w:r>
          </w:p>
          <w:p w:rsidR="00197F36" w:rsidRPr="006F7A67" w:rsidRDefault="00197F36" w:rsidP="0019255A">
            <w:pPr>
              <w:jc w:val="both"/>
              <w:rPr>
                <w:sz w:val="20"/>
              </w:rPr>
            </w:pPr>
            <w:r w:rsidRPr="006F7A67">
              <w:rPr>
                <w:sz w:val="20"/>
              </w:rPr>
              <w:t>Court of Appeal for Ontario</w:t>
            </w:r>
          </w:p>
          <w:p w:rsidR="00197F36" w:rsidRPr="006F7A67" w:rsidRDefault="00197F36" w:rsidP="0019255A">
            <w:pPr>
              <w:jc w:val="both"/>
              <w:rPr>
                <w:sz w:val="20"/>
              </w:rPr>
            </w:pPr>
            <w:r w:rsidRPr="006F7A67">
              <w:rPr>
                <w:sz w:val="20"/>
              </w:rPr>
              <w:t xml:space="preserve">(Tulloch, </w:t>
            </w:r>
            <w:proofErr w:type="spellStart"/>
            <w:r w:rsidRPr="006F7A67">
              <w:rPr>
                <w:sz w:val="20"/>
              </w:rPr>
              <w:t>Benotto</w:t>
            </w:r>
            <w:proofErr w:type="spellEnd"/>
            <w:r w:rsidRPr="006F7A67">
              <w:rPr>
                <w:sz w:val="20"/>
              </w:rPr>
              <w:t>, Huscroft JJ.A.)</w:t>
            </w:r>
          </w:p>
          <w:p w:rsidR="00197F36" w:rsidRPr="006F7A67" w:rsidRDefault="00300F06" w:rsidP="0019255A">
            <w:pPr>
              <w:jc w:val="both"/>
              <w:rPr>
                <w:sz w:val="20"/>
              </w:rPr>
            </w:pPr>
            <w:hyperlink r:id="rId71" w:history="1">
              <w:r w:rsidR="00197F36" w:rsidRPr="006F7A67">
                <w:rPr>
                  <w:rStyle w:val="Hyperlink"/>
                  <w:sz w:val="20"/>
                </w:rPr>
                <w:t>2019 ONCA 684</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Appeal dismissed</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November 4, 2019</w:t>
            </w:r>
          </w:p>
          <w:p w:rsidR="00197F36" w:rsidRPr="006F7A67" w:rsidRDefault="00197F36" w:rsidP="0019255A">
            <w:pPr>
              <w:jc w:val="both"/>
              <w:rPr>
                <w:sz w:val="20"/>
              </w:rPr>
            </w:pPr>
            <w:r w:rsidRPr="006F7A67">
              <w:rPr>
                <w:sz w:val="20"/>
              </w:rPr>
              <w:t>Supreme Court of Canada</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leave to appeal filed</w:t>
            </w:r>
          </w:p>
          <w:p w:rsidR="00197F36" w:rsidRPr="006F7A67" w:rsidRDefault="00197F36" w:rsidP="0019255A">
            <w:pPr>
              <w:jc w:val="both"/>
              <w:rPr>
                <w:sz w:val="20"/>
              </w:rPr>
            </w:pP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59"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DB0D35" w:rsidTr="0019255A">
        <w:tc>
          <w:tcPr>
            <w:tcW w:w="543" w:type="pct"/>
          </w:tcPr>
          <w:p w:rsidR="00197F36" w:rsidRPr="006F7A67" w:rsidRDefault="00197F36" w:rsidP="0019255A">
            <w:pPr>
              <w:jc w:val="both"/>
              <w:rPr>
                <w:sz w:val="20"/>
                <w:lang w:val="fr-CA"/>
              </w:rPr>
            </w:pPr>
            <w:r w:rsidRPr="006F7A67">
              <w:rPr>
                <w:rStyle w:val="SCCFileNumberChar"/>
                <w:sz w:val="20"/>
                <w:szCs w:val="20"/>
                <w:lang w:val="fr-CA"/>
              </w:rPr>
              <w:t>38953</w:t>
            </w:r>
          </w:p>
        </w:tc>
        <w:tc>
          <w:tcPr>
            <w:tcW w:w="4457" w:type="pct"/>
            <w:gridSpan w:val="3"/>
          </w:tcPr>
          <w:p w:rsidR="00197F36" w:rsidRPr="006F7A67" w:rsidRDefault="00197F36" w:rsidP="0019255A">
            <w:pPr>
              <w:pStyle w:val="SCCLsocParty"/>
              <w:jc w:val="both"/>
              <w:rPr>
                <w:b/>
                <w:sz w:val="20"/>
                <w:szCs w:val="20"/>
              </w:rPr>
            </w:pPr>
            <w:r w:rsidRPr="006F7A67">
              <w:rPr>
                <w:b/>
                <w:sz w:val="20"/>
                <w:szCs w:val="20"/>
              </w:rPr>
              <w:t>Alexander Davidoff c. Sobeys Ontario</w:t>
            </w:r>
          </w:p>
          <w:p w:rsidR="00197F36" w:rsidRPr="006F7A67" w:rsidRDefault="00197F36" w:rsidP="0019255A">
            <w:pPr>
              <w:jc w:val="both"/>
              <w:rPr>
                <w:sz w:val="20"/>
                <w:lang w:val="fr-CA"/>
              </w:rPr>
            </w:pPr>
            <w:r w:rsidRPr="006F7A67">
              <w:rPr>
                <w:sz w:val="20"/>
                <w:lang w:val="fr-CA"/>
              </w:rPr>
              <w:t>(Ont.) (Civile) (Autorisation)</w:t>
            </w:r>
          </w:p>
        </w:tc>
      </w:tr>
      <w:tr w:rsidR="008142EB" w:rsidRPr="00DB0D35" w:rsidTr="0019255A">
        <w:tc>
          <w:tcPr>
            <w:tcW w:w="5000" w:type="pct"/>
            <w:gridSpan w:val="4"/>
          </w:tcPr>
          <w:p w:rsidR="008142EB" w:rsidRPr="006F7A67" w:rsidRDefault="008142EB" w:rsidP="0019255A">
            <w:pPr>
              <w:jc w:val="both"/>
              <w:rPr>
                <w:sz w:val="20"/>
                <w:szCs w:val="20"/>
                <w:lang w:val="fr-CA"/>
              </w:rPr>
            </w:pPr>
            <w:r w:rsidRPr="006F7A67">
              <w:rPr>
                <w:sz w:val="20"/>
                <w:szCs w:val="20"/>
                <w:lang w:val="fr-CA"/>
              </w:rPr>
              <w:t>La demande d’autorisation d’appel de l’arrêt de la Cour d’appel de l’Ontario, numéro C65664, 2019 ONCA 684, daté du 4 septembre 2019, est rejetée sans dépens.</w:t>
            </w:r>
          </w:p>
          <w:p w:rsidR="008142EB" w:rsidRPr="006F7A67" w:rsidRDefault="008142EB" w:rsidP="0019255A">
            <w:pPr>
              <w:jc w:val="both"/>
              <w:rPr>
                <w:sz w:val="20"/>
                <w:lang w:val="fr-CA"/>
              </w:rPr>
            </w:pPr>
          </w:p>
        </w:tc>
      </w:tr>
      <w:tr w:rsidR="00197F36" w:rsidRPr="00DB0D35" w:rsidTr="0019255A">
        <w:tc>
          <w:tcPr>
            <w:tcW w:w="5000" w:type="pct"/>
            <w:gridSpan w:val="4"/>
          </w:tcPr>
          <w:p w:rsidR="00197F36" w:rsidRPr="006F7A67" w:rsidRDefault="00197F36" w:rsidP="0019255A">
            <w:pPr>
              <w:jc w:val="both"/>
              <w:rPr>
                <w:sz w:val="20"/>
                <w:lang w:val="fr-CA"/>
              </w:rPr>
            </w:pPr>
            <w:r w:rsidRPr="006F7A67">
              <w:rPr>
                <w:sz w:val="20"/>
                <w:lang w:val="fr-CA"/>
              </w:rPr>
              <w:t xml:space="preserve">Procédure civile — Introduction de l’instance — Le demandeur a produit une déclaration en dehors du délai de prescription, mais a fourni à la défenderesse un document qui se voulait un avis d’action avant la fin du délai de prescription — La défenderesse a présenté une motion en rejet de la déclaration pour cause de prescription — Le juge de première instance a statué que le document n’était pas un avis d’action établi en vertu des </w:t>
            </w:r>
            <w:r w:rsidRPr="006F7A67">
              <w:rPr>
                <w:i/>
                <w:sz w:val="20"/>
                <w:lang w:val="fr-CA"/>
              </w:rPr>
              <w:t xml:space="preserve">Règles de procédure civile </w:t>
            </w:r>
            <w:r w:rsidRPr="006F7A67">
              <w:rPr>
                <w:sz w:val="20"/>
                <w:lang w:val="fr-CA"/>
              </w:rPr>
              <w:t>et a radié la déclaration</w:t>
            </w:r>
            <w:r w:rsidRPr="006F7A67">
              <w:rPr>
                <w:i/>
                <w:sz w:val="20"/>
                <w:lang w:val="fr-CA"/>
              </w:rPr>
              <w:t xml:space="preserve"> </w:t>
            </w:r>
            <w:r w:rsidRPr="006F7A67">
              <w:rPr>
                <w:sz w:val="20"/>
                <w:lang w:val="fr-CA"/>
              </w:rPr>
              <w:t>— Rejet de l’appel — Le demandeur s’est</w:t>
            </w:r>
            <w:r w:rsidRPr="006F7A67">
              <w:rPr>
                <w:sz w:val="20"/>
                <w:lang w:val="fr-CA"/>
              </w:rPr>
              <w:noBreakHyphen/>
              <w:t>il vu enlever son droit à une défense pleine et entière en ce qui concerne la motion en radiation lorsque l’avocat de la défenderesse a omis un fait important lié à l’existence de l’avis d’action? — Les juridictions inférieures ont</w:t>
            </w:r>
            <w:r w:rsidRPr="006F7A67">
              <w:rPr>
                <w:sz w:val="20"/>
                <w:lang w:val="fr-CA"/>
              </w:rPr>
              <w:noBreakHyphen/>
              <w:t>elles contrevenu aux règles d’équité procédurale?</w:t>
            </w:r>
          </w:p>
        </w:tc>
      </w:tr>
      <w:tr w:rsidR="00197F36" w:rsidRPr="00DB0D35" w:rsidTr="0019255A">
        <w:tc>
          <w:tcPr>
            <w:tcW w:w="5000" w:type="pct"/>
            <w:gridSpan w:val="4"/>
          </w:tcPr>
          <w:p w:rsidR="00197F36" w:rsidRPr="006F7A67" w:rsidRDefault="00197F36" w:rsidP="0019255A">
            <w:pPr>
              <w:jc w:val="both"/>
              <w:rPr>
                <w:sz w:val="20"/>
                <w:lang w:val="fr-CA"/>
              </w:rPr>
            </w:pPr>
          </w:p>
        </w:tc>
      </w:tr>
      <w:tr w:rsidR="00197F36" w:rsidRPr="00DB0D35" w:rsidTr="0019255A">
        <w:tc>
          <w:tcPr>
            <w:tcW w:w="5000" w:type="pct"/>
            <w:gridSpan w:val="4"/>
          </w:tcPr>
          <w:p w:rsidR="00197F36" w:rsidRPr="006F7A67" w:rsidRDefault="00197F36" w:rsidP="0019255A">
            <w:pPr>
              <w:jc w:val="both"/>
              <w:rPr>
                <w:sz w:val="20"/>
                <w:lang w:val="fr-CA"/>
              </w:rPr>
            </w:pPr>
            <w:r w:rsidRPr="006F7A67">
              <w:rPr>
                <w:sz w:val="20"/>
                <w:lang w:val="fr-CA"/>
              </w:rPr>
              <w:t>Monsieur Davidoff a produit une déclaration le 1</w:t>
            </w:r>
            <w:r w:rsidRPr="006F7A67">
              <w:rPr>
                <w:sz w:val="20"/>
                <w:vertAlign w:val="superscript"/>
                <w:lang w:val="fr-CA"/>
              </w:rPr>
              <w:t>er</w:t>
            </w:r>
            <w:r w:rsidRPr="006F7A67">
              <w:rPr>
                <w:sz w:val="20"/>
                <w:lang w:val="fr-CA"/>
              </w:rPr>
              <w:t xml:space="preserve"> novembre 2017 en vue de poursuivre Sobeys Ontario (« Sobeys ») pour congédiement abusif. Les parties se sont entendues pour dire que la date du congédiement était le 6 octobre 2015, et que le délai de prescription était de deux ans, comme le prescrit l’art. 4 de la </w:t>
            </w:r>
            <w:r w:rsidRPr="006F7A67">
              <w:rPr>
                <w:i/>
                <w:sz w:val="20"/>
                <w:lang w:val="fr-CA"/>
              </w:rPr>
              <w:t>Loi sur la prescription des actions</w:t>
            </w:r>
            <w:r w:rsidRPr="006F7A67">
              <w:rPr>
                <w:sz w:val="20"/>
                <w:lang w:val="fr-CA"/>
              </w:rPr>
              <w:t>, L.O. 2002, ch. 24, ann. B. Avant de produire la déclaration, et à l’intérieur du délai de prescription de deux ans, le 29 septembre 2017, M. Davidoff avait envoyé au directeur des ressources humaines de Sobeys une lettre qui se voulait un avis d’action.</w:t>
            </w:r>
          </w:p>
          <w:p w:rsidR="00197F36" w:rsidRPr="006F7A67" w:rsidRDefault="00197F36" w:rsidP="0019255A">
            <w:pPr>
              <w:jc w:val="both"/>
              <w:rPr>
                <w:sz w:val="20"/>
                <w:lang w:val="fr-CA"/>
              </w:rPr>
            </w:pPr>
          </w:p>
          <w:p w:rsidR="00197F36" w:rsidRPr="006F7A67" w:rsidRDefault="00197F36" w:rsidP="0019255A">
            <w:pPr>
              <w:jc w:val="both"/>
              <w:rPr>
                <w:sz w:val="20"/>
                <w:lang w:val="fr-CA"/>
              </w:rPr>
            </w:pPr>
            <w:r w:rsidRPr="006F7A67">
              <w:rPr>
                <w:sz w:val="20"/>
                <w:lang w:val="fr-CA"/>
              </w:rPr>
              <w:t xml:space="preserve">Par motion, Sobeys a demandé la radiation de la demande, plaidant qu’elle était irrecevable en raison du délai de prescription légal. Monsieur Davidoff s’est opposé à la motion, plaidant que sa lettre du 29 septembre était un avis d’action, si bien qu’il avait intenté son action à l’intérieur du délai de prescription. Le juge de première instance a conclu que la lettre du 29 septembre n’était pas un avis d’action et a accueilli la motion de Sobeys. La Cour d’appel a confirmé le jugement, souscrivant à la conclusion selon laquelle la lettre de M. Davidoff ne respectait pas le format prescrit dans les </w:t>
            </w:r>
            <w:r w:rsidRPr="006F7A67">
              <w:rPr>
                <w:i/>
                <w:sz w:val="20"/>
                <w:lang w:val="fr-CA"/>
              </w:rPr>
              <w:t>Règles de procédure civile</w:t>
            </w:r>
            <w:r w:rsidRPr="006F7A67">
              <w:rPr>
                <w:sz w:val="20"/>
                <w:lang w:val="fr-CA"/>
              </w:rPr>
              <w:t xml:space="preserve"> en matière d’avis d’action.</w:t>
            </w:r>
          </w:p>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20 juin 2018</w:t>
            </w:r>
          </w:p>
          <w:p w:rsidR="00197F36" w:rsidRPr="006F7A67" w:rsidRDefault="00197F36" w:rsidP="0019255A">
            <w:pPr>
              <w:jc w:val="both"/>
              <w:rPr>
                <w:sz w:val="20"/>
                <w:lang w:val="fr-CA"/>
              </w:rPr>
            </w:pPr>
            <w:r w:rsidRPr="006F7A67">
              <w:rPr>
                <w:sz w:val="20"/>
                <w:lang w:val="fr-CA"/>
              </w:rPr>
              <w:t>Cour supérieure de justice de l’Ontario</w:t>
            </w:r>
          </w:p>
          <w:p w:rsidR="00197F36" w:rsidRPr="006F7A67" w:rsidRDefault="00197F36" w:rsidP="0019255A">
            <w:pPr>
              <w:jc w:val="both"/>
              <w:rPr>
                <w:sz w:val="20"/>
                <w:lang w:val="fr-CA"/>
              </w:rPr>
            </w:pPr>
            <w:r w:rsidRPr="006F7A67">
              <w:rPr>
                <w:sz w:val="20"/>
                <w:lang w:val="fr-CA"/>
              </w:rPr>
              <w:t>(Juge Donohue)</w:t>
            </w:r>
          </w:p>
          <w:p w:rsidR="00197F36" w:rsidRPr="006F7A67" w:rsidRDefault="00197F36" w:rsidP="0019255A">
            <w:pPr>
              <w:jc w:val="both"/>
              <w:rPr>
                <w:sz w:val="20"/>
                <w:lang w:val="fr-CA"/>
              </w:rPr>
            </w:pPr>
            <w:r w:rsidRPr="006F7A67">
              <w:rPr>
                <w:sz w:val="20"/>
                <w:lang w:val="fr-CA"/>
              </w:rPr>
              <w:t>Non publié</w:t>
            </w:r>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 xml:space="preserve">Jugement accueillant la motion de l’intimée en radiation de la déclaration </w:t>
            </w:r>
          </w:p>
        </w:tc>
      </w:tr>
      <w:tr w:rsidR="00197F36" w:rsidRPr="006F7A67" w:rsidTr="0019255A">
        <w:tc>
          <w:tcPr>
            <w:tcW w:w="2427" w:type="pct"/>
            <w:gridSpan w:val="2"/>
          </w:tcPr>
          <w:p w:rsidR="00197F36" w:rsidRPr="006F7A67" w:rsidRDefault="00197F36" w:rsidP="0019255A">
            <w:pPr>
              <w:jc w:val="both"/>
              <w:rPr>
                <w:sz w:val="20"/>
                <w:lang w:val="fr-CA"/>
              </w:rPr>
            </w:pPr>
            <w:r w:rsidRPr="006F7A67">
              <w:rPr>
                <w:sz w:val="20"/>
                <w:lang w:val="fr-CA"/>
              </w:rPr>
              <w:t>4 septembre 2019</w:t>
            </w:r>
          </w:p>
          <w:p w:rsidR="00197F36" w:rsidRPr="006F7A67" w:rsidRDefault="00197F36" w:rsidP="0019255A">
            <w:pPr>
              <w:jc w:val="both"/>
              <w:rPr>
                <w:sz w:val="20"/>
                <w:lang w:val="fr-CA"/>
              </w:rPr>
            </w:pPr>
            <w:r w:rsidRPr="006F7A67">
              <w:rPr>
                <w:sz w:val="20"/>
                <w:lang w:val="fr-CA"/>
              </w:rPr>
              <w:t>Cour d’appel de l’Ontario</w:t>
            </w:r>
          </w:p>
          <w:p w:rsidR="00197F36" w:rsidRPr="006F7A67" w:rsidRDefault="00197F36" w:rsidP="0019255A">
            <w:pPr>
              <w:jc w:val="both"/>
              <w:rPr>
                <w:sz w:val="20"/>
                <w:lang w:val="fr-CA"/>
              </w:rPr>
            </w:pPr>
            <w:r w:rsidRPr="006F7A67">
              <w:rPr>
                <w:sz w:val="20"/>
                <w:lang w:val="fr-CA"/>
              </w:rPr>
              <w:t xml:space="preserve">(Juges </w:t>
            </w:r>
            <w:proofErr w:type="spellStart"/>
            <w:r w:rsidRPr="006F7A67">
              <w:rPr>
                <w:sz w:val="20"/>
                <w:lang w:val="fr-CA"/>
              </w:rPr>
              <w:t>Tulloch</w:t>
            </w:r>
            <w:proofErr w:type="spellEnd"/>
            <w:r w:rsidRPr="006F7A67">
              <w:rPr>
                <w:sz w:val="20"/>
                <w:lang w:val="fr-CA"/>
              </w:rPr>
              <w:t xml:space="preserve">, </w:t>
            </w:r>
            <w:proofErr w:type="spellStart"/>
            <w:r w:rsidRPr="006F7A67">
              <w:rPr>
                <w:sz w:val="20"/>
                <w:lang w:val="fr-CA"/>
              </w:rPr>
              <w:t>Benotto</w:t>
            </w:r>
            <w:proofErr w:type="spellEnd"/>
            <w:r w:rsidRPr="006F7A67">
              <w:rPr>
                <w:sz w:val="20"/>
                <w:lang w:val="fr-CA"/>
              </w:rPr>
              <w:t xml:space="preserve"> et Huscroft)</w:t>
            </w:r>
          </w:p>
          <w:p w:rsidR="00197F36" w:rsidRPr="006F7A67" w:rsidRDefault="00300F06" w:rsidP="0019255A">
            <w:pPr>
              <w:jc w:val="both"/>
              <w:rPr>
                <w:sz w:val="20"/>
                <w:lang w:val="fr-CA"/>
              </w:rPr>
            </w:pPr>
            <w:hyperlink r:id="rId72" w:history="1">
              <w:r w:rsidR="00197F36" w:rsidRPr="006F7A67">
                <w:rPr>
                  <w:rStyle w:val="Hyperlink"/>
                  <w:sz w:val="20"/>
                  <w:lang w:val="fr-CA"/>
                </w:rPr>
                <w:t>2019 ONCA 684</w:t>
              </w:r>
            </w:hyperlink>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Rejet de l’appel</w:t>
            </w:r>
          </w:p>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4 novembre 2019</w:t>
            </w:r>
          </w:p>
          <w:p w:rsidR="00197F36" w:rsidRPr="006F7A67" w:rsidRDefault="00197F36" w:rsidP="0019255A">
            <w:pPr>
              <w:jc w:val="both"/>
              <w:rPr>
                <w:sz w:val="20"/>
                <w:lang w:val="fr-CA"/>
              </w:rPr>
            </w:pPr>
            <w:r w:rsidRPr="006F7A67">
              <w:rPr>
                <w:sz w:val="20"/>
                <w:lang w:val="fr-CA"/>
              </w:rPr>
              <w:t>Cour suprême du Canada</w:t>
            </w: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Dépôt de la demande d’autorisation d’appel</w:t>
            </w:r>
          </w:p>
          <w:p w:rsidR="00197F36" w:rsidRPr="006F7A67" w:rsidRDefault="00197F36" w:rsidP="0019255A">
            <w:pPr>
              <w:jc w:val="both"/>
              <w:rPr>
                <w:sz w:val="20"/>
                <w:lang w:val="fr-CA"/>
              </w:rPr>
            </w:pPr>
          </w:p>
        </w:tc>
      </w:tr>
    </w:tbl>
    <w:p w:rsidR="00197F36" w:rsidRPr="006F7A67" w:rsidRDefault="00197F36" w:rsidP="00197F36">
      <w:pPr>
        <w:jc w:val="both"/>
        <w:rPr>
          <w:sz w:val="20"/>
          <w:lang w:val="fr-CA"/>
        </w:rPr>
      </w:pPr>
    </w:p>
    <w:p w:rsidR="00197F36" w:rsidRPr="006F7A67" w:rsidRDefault="00300F06" w:rsidP="00197F36">
      <w:pPr>
        <w:jc w:val="both"/>
        <w:rPr>
          <w:sz w:val="20"/>
          <w:lang w:val="fr-CA"/>
        </w:rPr>
      </w:pPr>
      <w:r>
        <w:rPr>
          <w:sz w:val="20"/>
        </w:rPr>
        <w:pict>
          <v:rect id="_x0000_i1060" style="width:2in;height:1pt" o:hrpct="0" o:hralign="center" o:hrstd="t" o:hrnoshade="t" o:hr="t" fillcolor="black [3213]" stroked="f"/>
        </w:pict>
      </w:r>
    </w:p>
    <w:p w:rsidR="00197F36" w:rsidRPr="006F7A67" w:rsidRDefault="00197F36" w:rsidP="00197F3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38987</w:t>
            </w:r>
          </w:p>
        </w:tc>
        <w:tc>
          <w:tcPr>
            <w:tcW w:w="4457" w:type="pct"/>
          </w:tcPr>
          <w:p w:rsidR="00197F36" w:rsidRPr="006F7A67" w:rsidRDefault="00197F36" w:rsidP="0019255A">
            <w:pPr>
              <w:pStyle w:val="SCCLsocParty"/>
              <w:jc w:val="both"/>
              <w:rPr>
                <w:b/>
                <w:sz w:val="20"/>
                <w:szCs w:val="20"/>
                <w:lang w:val="en-US"/>
              </w:rPr>
            </w:pPr>
            <w:r w:rsidRPr="006F7A67">
              <w:rPr>
                <w:b/>
                <w:sz w:val="20"/>
                <w:szCs w:val="20"/>
                <w:lang w:val="en-US"/>
              </w:rPr>
              <w:t>Talon International Inc. v. Henry Jung</w:t>
            </w:r>
            <w:r w:rsidR="00E16B2A" w:rsidRPr="006F7A67">
              <w:rPr>
                <w:b/>
                <w:sz w:val="20"/>
                <w:szCs w:val="20"/>
                <w:lang w:val="en-US"/>
              </w:rPr>
              <w:t xml:space="preserve"> and</w:t>
            </w:r>
            <w:r w:rsidRPr="006F7A67">
              <w:rPr>
                <w:b/>
                <w:sz w:val="20"/>
                <w:szCs w:val="20"/>
                <w:lang w:val="en-US"/>
              </w:rPr>
              <w:t xml:space="preserve"> Long Ocean Holding Ltd.</w:t>
            </w:r>
          </w:p>
          <w:p w:rsidR="00197F36" w:rsidRPr="006F7A67" w:rsidRDefault="00197F36" w:rsidP="0019255A">
            <w:pPr>
              <w:jc w:val="both"/>
              <w:rPr>
                <w:sz w:val="20"/>
              </w:rPr>
            </w:pPr>
            <w:r w:rsidRPr="006F7A67">
              <w:rPr>
                <w:sz w:val="20"/>
              </w:rPr>
              <w:t>(Ont.) (Civil) (By Leave)</w:t>
            </w:r>
          </w:p>
        </w:tc>
      </w:tr>
      <w:tr w:rsidR="00E16B2A" w:rsidRPr="006F7A67" w:rsidTr="0019255A">
        <w:tc>
          <w:tcPr>
            <w:tcW w:w="5000" w:type="pct"/>
            <w:gridSpan w:val="2"/>
          </w:tcPr>
          <w:p w:rsidR="00E16B2A" w:rsidRPr="006F7A67" w:rsidRDefault="00E16B2A" w:rsidP="00E16B2A">
            <w:pPr>
              <w:jc w:val="both"/>
              <w:rPr>
                <w:sz w:val="20"/>
                <w:szCs w:val="20"/>
              </w:rPr>
            </w:pPr>
            <w:r w:rsidRPr="006F7A67">
              <w:rPr>
                <w:sz w:val="20"/>
                <w:szCs w:val="20"/>
              </w:rPr>
              <w:t xml:space="preserve">The motion for an extension of time to serve and file the application for leave to appeal is granted. The application for leave to appeal from the judgment of the Court of Appeal for Ontario, Numbers C66092 and C66093,  2019 ONCA 644, dated August 7, 2019, is dismissed with costs fixed at $3,000.00, as agreed by the parties. </w:t>
            </w:r>
          </w:p>
          <w:p w:rsidR="00E16B2A" w:rsidRPr="006F7A67" w:rsidRDefault="00E16B2A" w:rsidP="0019255A">
            <w:pPr>
              <w:jc w:val="both"/>
              <w:rPr>
                <w:sz w:val="20"/>
              </w:rPr>
            </w:pPr>
          </w:p>
        </w:tc>
      </w:tr>
      <w:tr w:rsidR="00197F36" w:rsidRPr="006F7A67" w:rsidTr="0019255A">
        <w:tc>
          <w:tcPr>
            <w:tcW w:w="5000" w:type="pct"/>
            <w:gridSpan w:val="2"/>
          </w:tcPr>
          <w:p w:rsidR="00197F36" w:rsidRPr="006F7A67" w:rsidRDefault="00197F36" w:rsidP="0019255A">
            <w:pPr>
              <w:jc w:val="both"/>
              <w:rPr>
                <w:sz w:val="20"/>
              </w:rPr>
            </w:pPr>
            <w:r w:rsidRPr="006F7A67">
              <w:rPr>
                <w:sz w:val="20"/>
              </w:rPr>
              <w:t>Contracts — Real property — Purchase and sale — Termination — Abatement — Whether party can maintain inconsistent rights — When agreement of purchase and sale is at an end and no longer exists — Whether, by attempting to accommodate potential purchaser, vendor has elected to affirm agreement of purchase and sale — How to address closing of agreement of purchase and sale where potential purchaser claims abatement not agreed upon by vendor.</w:t>
            </w:r>
          </w:p>
        </w:tc>
      </w:tr>
      <w:tr w:rsidR="00197F36" w:rsidRPr="006F7A67" w:rsidTr="0019255A">
        <w:tc>
          <w:tcPr>
            <w:tcW w:w="5000" w:type="pct"/>
            <w:gridSpan w:val="2"/>
          </w:tcPr>
          <w:p w:rsidR="00197F36" w:rsidRPr="006F7A67" w:rsidRDefault="00197F36" w:rsidP="0019255A">
            <w:pPr>
              <w:jc w:val="both"/>
              <w:rPr>
                <w:sz w:val="20"/>
              </w:rPr>
            </w:pPr>
          </w:p>
        </w:tc>
      </w:tr>
    </w:tbl>
    <w:p w:rsidR="001A0C1D" w:rsidRPr="006F7A67" w:rsidRDefault="001A0C1D">
      <w:r w:rsidRPr="006F7A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7F36" w:rsidRPr="006F7A67" w:rsidTr="0019255A">
        <w:tc>
          <w:tcPr>
            <w:tcW w:w="5000" w:type="pct"/>
            <w:gridSpan w:val="3"/>
          </w:tcPr>
          <w:p w:rsidR="00197F36" w:rsidRPr="006F7A67" w:rsidRDefault="00197F36" w:rsidP="0019255A">
            <w:pPr>
              <w:jc w:val="both"/>
              <w:rPr>
                <w:sz w:val="20"/>
              </w:rPr>
            </w:pPr>
            <w:r w:rsidRPr="006F7A67">
              <w:rPr>
                <w:sz w:val="20"/>
              </w:rPr>
              <w:t>In 2005, Mr. Jung and Long Ocean Holding Ltd. entered into an agreement to purchase two commercial condominium units in the former Trump International Hotel from Talon International Inc. Mr. Jung and Long Ocean delivered notices of rescission due to what they believed were material changes to the building. The parties agreed to a unit transfer date of August 29, 2014. Mr. Jung and Long Ocean objected to the statements of adjustments and sought abatements of the purchase price to reflect the changes to the building. When the purchase price was not amended to their satisfaction, they sued for specific performance with appropriate revisions to the statements of adjustment, abatement to the purchase prices, and return of the deposits. Talon defended and counterclaimed.</w:t>
            </w:r>
          </w:p>
          <w:p w:rsidR="00197F36" w:rsidRPr="006F7A67" w:rsidRDefault="00197F36" w:rsidP="0019255A">
            <w:pPr>
              <w:jc w:val="both"/>
              <w:rPr>
                <w:sz w:val="20"/>
              </w:rPr>
            </w:pPr>
          </w:p>
          <w:p w:rsidR="00197F36" w:rsidRPr="006F7A67" w:rsidRDefault="00197F36" w:rsidP="0019255A">
            <w:pPr>
              <w:jc w:val="both"/>
              <w:rPr>
                <w:sz w:val="20"/>
              </w:rPr>
            </w:pPr>
            <w:r w:rsidRPr="006F7A67">
              <w:rPr>
                <w:sz w:val="20"/>
              </w:rPr>
              <w:t xml:space="preserve">In 2006, Mr. Jung entered into an agreement to purchase a residential unit in the same building. He took interim occupancy in July 2012, and the unit transfer date was set for February 7, 2013. As Talon had not delivered a current disclosure, Mr. Jung claimed that the agreement was not binding and, in the alternative, provided a notice of rescission under s. 74(7) for failure to disclose material changes. Talon applied under the </w:t>
            </w:r>
            <w:r w:rsidRPr="006F7A67">
              <w:rPr>
                <w:i/>
                <w:sz w:val="20"/>
              </w:rPr>
              <w:t>Condominium Act, 1998</w:t>
            </w:r>
            <w:r w:rsidRPr="006F7A67">
              <w:rPr>
                <w:sz w:val="20"/>
              </w:rPr>
              <w:t xml:space="preserve">, S.O. 1998, c. 19, s. 74(8) for a determination of whether the changes were material. In 2013, the changes were found not to be material and the rescission was declared void: </w:t>
            </w:r>
            <w:r w:rsidRPr="006F7A67">
              <w:rPr>
                <w:i/>
                <w:sz w:val="20"/>
              </w:rPr>
              <w:t>Talon International Inc. v. Jung</w:t>
            </w:r>
            <w:r w:rsidRPr="006F7A67">
              <w:rPr>
                <w:sz w:val="20"/>
              </w:rPr>
              <w:t xml:space="preserve">, 2013 ONSC 2466, </w:t>
            </w:r>
            <w:proofErr w:type="spellStart"/>
            <w:r w:rsidRPr="006F7A67">
              <w:rPr>
                <w:sz w:val="20"/>
              </w:rPr>
              <w:t>aff;d</w:t>
            </w:r>
            <w:proofErr w:type="spellEnd"/>
            <w:r w:rsidRPr="006F7A67">
              <w:rPr>
                <w:sz w:val="20"/>
              </w:rPr>
              <w:t xml:space="preserve"> 2014 ONCA 137, leave ref’d [2014] S.C.C.A. No. 179. Mr. Jung then issued a claim arguing that the material changes entitled him to rescind the agreement and have his deposit returned. Talon defended and counterclaimed.</w:t>
            </w:r>
          </w:p>
          <w:p w:rsidR="00197F36" w:rsidRPr="006F7A67" w:rsidRDefault="00197F36" w:rsidP="0019255A">
            <w:pPr>
              <w:jc w:val="both"/>
              <w:rPr>
                <w:sz w:val="20"/>
              </w:rPr>
            </w:pPr>
          </w:p>
          <w:p w:rsidR="00197F36" w:rsidRPr="006F7A67" w:rsidRDefault="00197F36" w:rsidP="0019255A">
            <w:pPr>
              <w:jc w:val="both"/>
              <w:rPr>
                <w:sz w:val="20"/>
              </w:rPr>
            </w:pPr>
            <w:r w:rsidRPr="006F7A67">
              <w:rPr>
                <w:sz w:val="20"/>
              </w:rPr>
              <w:t>Both sets of litigation were stayed when a receiver was appointed for Talon. The receiver conveyed the residential unit to Talon’s main creditor. When the stay expired, Mr. Jung made a second motion for summary judgment, asking for return of his deposit, plus interest.</w:t>
            </w:r>
          </w:p>
          <w:p w:rsidR="00197F36" w:rsidRPr="006F7A67" w:rsidRDefault="00197F36" w:rsidP="0019255A">
            <w:pPr>
              <w:jc w:val="both"/>
              <w:rPr>
                <w:sz w:val="20"/>
              </w:rPr>
            </w:pPr>
          </w:p>
          <w:p w:rsidR="00197F36" w:rsidRPr="006F7A67" w:rsidRDefault="00197F36" w:rsidP="0019255A">
            <w:pPr>
              <w:jc w:val="both"/>
              <w:rPr>
                <w:sz w:val="20"/>
              </w:rPr>
            </w:pPr>
            <w:r w:rsidRPr="006F7A67">
              <w:rPr>
                <w:sz w:val="20"/>
              </w:rPr>
              <w:t xml:space="preserve">Dietrich J. granted summary judgment in both cases. Talon appealed both summary judgments. </w:t>
            </w:r>
            <w:proofErr w:type="spellStart"/>
            <w:r w:rsidRPr="006F7A67">
              <w:rPr>
                <w:sz w:val="20"/>
              </w:rPr>
              <w:t>Juriansz</w:t>
            </w:r>
            <w:proofErr w:type="spellEnd"/>
            <w:r w:rsidRPr="006F7A67">
              <w:rPr>
                <w:sz w:val="20"/>
              </w:rPr>
              <w:t xml:space="preserve"> J.A. dismissed the appeals, finding that, in both cases, the purchasers were entitled to return of the deposit, plus interest.</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October 5, 2018</w:t>
            </w:r>
          </w:p>
          <w:p w:rsidR="00197F36" w:rsidRPr="006F7A67" w:rsidRDefault="00197F36" w:rsidP="0019255A">
            <w:pPr>
              <w:jc w:val="both"/>
              <w:rPr>
                <w:sz w:val="20"/>
              </w:rPr>
            </w:pPr>
            <w:r w:rsidRPr="006F7A67">
              <w:rPr>
                <w:sz w:val="20"/>
              </w:rPr>
              <w:t>Ontario Superior Court of Justice</w:t>
            </w:r>
          </w:p>
          <w:p w:rsidR="00197F36" w:rsidRPr="006F7A67" w:rsidRDefault="00197F36" w:rsidP="0019255A">
            <w:pPr>
              <w:jc w:val="both"/>
              <w:rPr>
                <w:sz w:val="20"/>
              </w:rPr>
            </w:pPr>
            <w:r w:rsidRPr="006F7A67">
              <w:rPr>
                <w:sz w:val="20"/>
              </w:rPr>
              <w:t>(Dietrich J.)</w:t>
            </w:r>
          </w:p>
          <w:p w:rsidR="00197F36" w:rsidRPr="006F7A67" w:rsidRDefault="00300F06" w:rsidP="0019255A">
            <w:pPr>
              <w:jc w:val="both"/>
              <w:rPr>
                <w:sz w:val="20"/>
              </w:rPr>
            </w:pPr>
            <w:hyperlink r:id="rId73" w:history="1">
              <w:r w:rsidR="00197F36" w:rsidRPr="006F7A67">
                <w:rPr>
                  <w:rStyle w:val="Hyperlink"/>
                  <w:sz w:val="20"/>
                </w:rPr>
                <w:t>2018 ONSC 4245</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Summary judgment motions granted; Mr. Jung and Long Ocean Holding Inc. entitled to return of deposits paid for two commercial condominium units; Mr. Jung entitled to the return of deposit paid for purchase of residential condominium unit</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August 7, 2019</w:t>
            </w:r>
          </w:p>
          <w:p w:rsidR="00197F36" w:rsidRPr="006F7A67" w:rsidRDefault="00197F36" w:rsidP="0019255A">
            <w:pPr>
              <w:jc w:val="both"/>
              <w:rPr>
                <w:sz w:val="20"/>
              </w:rPr>
            </w:pPr>
            <w:r w:rsidRPr="006F7A67">
              <w:rPr>
                <w:sz w:val="20"/>
              </w:rPr>
              <w:t>Court of Appeal for Ontario</w:t>
            </w:r>
          </w:p>
          <w:p w:rsidR="00197F36" w:rsidRPr="006F7A67" w:rsidRDefault="00197F36" w:rsidP="0019255A">
            <w:pPr>
              <w:jc w:val="both"/>
              <w:rPr>
                <w:sz w:val="20"/>
              </w:rPr>
            </w:pPr>
            <w:r w:rsidRPr="006F7A67">
              <w:rPr>
                <w:sz w:val="20"/>
              </w:rPr>
              <w:t>(</w:t>
            </w:r>
            <w:proofErr w:type="spellStart"/>
            <w:r w:rsidRPr="006F7A67">
              <w:rPr>
                <w:sz w:val="20"/>
              </w:rPr>
              <w:t>Juriansz</w:t>
            </w:r>
            <w:proofErr w:type="spellEnd"/>
            <w:r w:rsidRPr="006F7A67">
              <w:rPr>
                <w:sz w:val="20"/>
              </w:rPr>
              <w:t xml:space="preserve">, van </w:t>
            </w:r>
            <w:proofErr w:type="spellStart"/>
            <w:r w:rsidRPr="006F7A67">
              <w:rPr>
                <w:sz w:val="20"/>
              </w:rPr>
              <w:t>Rensburg</w:t>
            </w:r>
            <w:proofErr w:type="spellEnd"/>
            <w:r w:rsidRPr="006F7A67">
              <w:rPr>
                <w:sz w:val="20"/>
              </w:rPr>
              <w:t xml:space="preserve">, </w:t>
            </w:r>
            <w:proofErr w:type="spellStart"/>
            <w:r w:rsidRPr="006F7A67">
              <w:rPr>
                <w:sz w:val="20"/>
              </w:rPr>
              <w:t>Paciocco</w:t>
            </w:r>
            <w:proofErr w:type="spellEnd"/>
            <w:r w:rsidRPr="006F7A67">
              <w:rPr>
                <w:sz w:val="20"/>
              </w:rPr>
              <w:t xml:space="preserve"> JJ.A.)</w:t>
            </w:r>
          </w:p>
          <w:p w:rsidR="00197F36" w:rsidRPr="006F7A67" w:rsidRDefault="00300F06" w:rsidP="0019255A">
            <w:pPr>
              <w:jc w:val="both"/>
              <w:rPr>
                <w:sz w:val="20"/>
              </w:rPr>
            </w:pPr>
            <w:hyperlink r:id="rId74" w:history="1">
              <w:r w:rsidR="00197F36" w:rsidRPr="006F7A67">
                <w:rPr>
                  <w:rStyle w:val="Hyperlink"/>
                  <w:sz w:val="20"/>
                </w:rPr>
                <w:t>2019 ONCA 644</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Appeal of both summary judgments dismissed</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December 20, 2019</w:t>
            </w:r>
          </w:p>
          <w:p w:rsidR="00197F36" w:rsidRPr="006F7A67" w:rsidRDefault="00197F36" w:rsidP="0019255A">
            <w:pPr>
              <w:jc w:val="both"/>
              <w:rPr>
                <w:sz w:val="20"/>
              </w:rPr>
            </w:pPr>
            <w:r w:rsidRPr="006F7A67">
              <w:rPr>
                <w:sz w:val="20"/>
              </w:rPr>
              <w:t>Supreme Court of Canada</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Motion to extend time and application for leave to appeal filed</w:t>
            </w: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61"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lang w:val="fr-CA"/>
              </w:rPr>
            </w:pPr>
            <w:r w:rsidRPr="006F7A67">
              <w:rPr>
                <w:rStyle w:val="SCCFileNumberChar"/>
                <w:sz w:val="20"/>
                <w:szCs w:val="20"/>
                <w:lang w:val="fr-CA"/>
              </w:rPr>
              <w:t>38987</w:t>
            </w:r>
          </w:p>
        </w:tc>
        <w:tc>
          <w:tcPr>
            <w:tcW w:w="4457" w:type="pct"/>
            <w:gridSpan w:val="3"/>
          </w:tcPr>
          <w:p w:rsidR="00197F36" w:rsidRPr="006F7A67" w:rsidRDefault="00197F36" w:rsidP="0019255A">
            <w:pPr>
              <w:pStyle w:val="SCCLsocParty"/>
              <w:jc w:val="both"/>
              <w:rPr>
                <w:b/>
                <w:sz w:val="20"/>
                <w:szCs w:val="20"/>
                <w:lang w:val="en-US"/>
              </w:rPr>
            </w:pPr>
            <w:r w:rsidRPr="006F7A67">
              <w:rPr>
                <w:b/>
                <w:sz w:val="20"/>
                <w:szCs w:val="20"/>
                <w:lang w:val="en-US"/>
              </w:rPr>
              <w:t>Talon International Inc. c. Henry Jung</w:t>
            </w:r>
            <w:r w:rsidR="00E16B2A" w:rsidRPr="006F7A67">
              <w:rPr>
                <w:b/>
                <w:sz w:val="20"/>
                <w:szCs w:val="20"/>
                <w:lang w:val="en-US"/>
              </w:rPr>
              <w:t xml:space="preserve"> et</w:t>
            </w:r>
            <w:r w:rsidRPr="006F7A67">
              <w:rPr>
                <w:b/>
                <w:sz w:val="20"/>
                <w:szCs w:val="20"/>
                <w:lang w:val="en-US"/>
              </w:rPr>
              <w:t xml:space="preserve"> Long Ocean Holding Ltd.</w:t>
            </w:r>
          </w:p>
          <w:p w:rsidR="00197F36" w:rsidRPr="006F7A67" w:rsidRDefault="00197F36" w:rsidP="0019255A">
            <w:pPr>
              <w:jc w:val="both"/>
              <w:rPr>
                <w:sz w:val="20"/>
                <w:lang w:val="fr-CA"/>
              </w:rPr>
            </w:pPr>
            <w:r w:rsidRPr="006F7A67">
              <w:rPr>
                <w:sz w:val="20"/>
                <w:lang w:val="fr-CA"/>
              </w:rPr>
              <w:t>(Ont.) (Civile) (Autorisation)</w:t>
            </w:r>
          </w:p>
        </w:tc>
      </w:tr>
      <w:tr w:rsidR="00E16B2A" w:rsidRPr="00DB0D35" w:rsidTr="0019255A">
        <w:tc>
          <w:tcPr>
            <w:tcW w:w="5000" w:type="pct"/>
            <w:gridSpan w:val="4"/>
          </w:tcPr>
          <w:p w:rsidR="00E16B2A" w:rsidRPr="006F7A67" w:rsidRDefault="00E16B2A" w:rsidP="0019255A">
            <w:pPr>
              <w:jc w:val="both"/>
              <w:rPr>
                <w:sz w:val="20"/>
                <w:szCs w:val="20"/>
                <w:lang w:val="fr-CA"/>
              </w:rPr>
            </w:pPr>
            <w:r w:rsidRPr="006F7A67">
              <w:rPr>
                <w:sz w:val="20"/>
                <w:szCs w:val="20"/>
                <w:lang w:val="fr-CA"/>
              </w:rPr>
              <w:t>La requête en prorogation du délai de signification et de dépôt de la demande d’autorisation d’appel est accueillie. La demande d’autorisation d’appel de l’arrêt de la Cour d’appel de l’Ontario, numéros C66092 et C66093, 2019 ONCA 644, daté du 7 août 2019, est rejetée avec dépens au montant de 3 000,00$, comme convenu entre les parties.</w:t>
            </w:r>
          </w:p>
          <w:p w:rsidR="00E16B2A" w:rsidRPr="006F7A67" w:rsidRDefault="00E16B2A" w:rsidP="0019255A">
            <w:pPr>
              <w:jc w:val="both"/>
              <w:rPr>
                <w:sz w:val="20"/>
                <w:lang w:val="fr-CA"/>
              </w:rPr>
            </w:pPr>
          </w:p>
        </w:tc>
      </w:tr>
      <w:tr w:rsidR="00197F36" w:rsidRPr="00DB0D35" w:rsidTr="0019255A">
        <w:tc>
          <w:tcPr>
            <w:tcW w:w="5000" w:type="pct"/>
            <w:gridSpan w:val="4"/>
          </w:tcPr>
          <w:p w:rsidR="00197F36" w:rsidRPr="006F7A67" w:rsidRDefault="00197F36" w:rsidP="0019255A">
            <w:pPr>
              <w:jc w:val="both"/>
              <w:rPr>
                <w:sz w:val="20"/>
                <w:lang w:val="fr-CA"/>
              </w:rPr>
            </w:pPr>
            <w:r w:rsidRPr="006F7A67">
              <w:rPr>
                <w:sz w:val="20"/>
                <w:lang w:val="fr-CA"/>
              </w:rPr>
              <w:t>Contrats — Biens réels — Achat et vente — Résiliation — Réduction — Une partie peut</w:t>
            </w:r>
            <w:r w:rsidRPr="006F7A67">
              <w:rPr>
                <w:sz w:val="20"/>
                <w:lang w:val="fr-CA"/>
              </w:rPr>
              <w:noBreakHyphen/>
              <w:t>elle conserver des droits incompatibles? — Moment qui marque la fin et l’extinction d’une convention d’achat</w:t>
            </w:r>
            <w:r w:rsidRPr="006F7A67">
              <w:rPr>
                <w:sz w:val="20"/>
                <w:lang w:val="fr-CA"/>
              </w:rPr>
              <w:noBreakHyphen/>
              <w:t>vente — En tenant d’accommoder un acheteur éventuel, le vendeur a</w:t>
            </w:r>
            <w:r w:rsidRPr="006F7A67">
              <w:rPr>
                <w:sz w:val="20"/>
                <w:lang w:val="fr-CA"/>
              </w:rPr>
              <w:noBreakHyphen/>
              <w:t>t</w:t>
            </w:r>
            <w:r w:rsidRPr="006F7A67">
              <w:rPr>
                <w:sz w:val="20"/>
                <w:lang w:val="fr-CA"/>
              </w:rPr>
              <w:noBreakHyphen/>
              <w:t>il choisi de confirmer une convention d’achat</w:t>
            </w:r>
            <w:r w:rsidRPr="006F7A67">
              <w:rPr>
                <w:sz w:val="20"/>
                <w:lang w:val="fr-CA"/>
              </w:rPr>
              <w:noBreakHyphen/>
              <w:t>vente? — Comment convient</w:t>
            </w:r>
            <w:r w:rsidRPr="006F7A67">
              <w:rPr>
                <w:sz w:val="20"/>
                <w:lang w:val="fr-CA"/>
              </w:rPr>
              <w:noBreakHyphen/>
              <w:t>il de traiter la clôture d’une convention d’achat</w:t>
            </w:r>
            <w:r w:rsidRPr="006F7A67">
              <w:rPr>
                <w:sz w:val="20"/>
                <w:lang w:val="fr-CA"/>
              </w:rPr>
              <w:noBreakHyphen/>
              <w:t>vente lorsque l’acheteur éventuel réclame une réduction à laquelle le vendeur n’a pas donné son accord?</w:t>
            </w:r>
          </w:p>
        </w:tc>
      </w:tr>
      <w:tr w:rsidR="00197F36" w:rsidRPr="00DB0D35" w:rsidTr="0019255A">
        <w:tc>
          <w:tcPr>
            <w:tcW w:w="5000" w:type="pct"/>
            <w:gridSpan w:val="4"/>
          </w:tcPr>
          <w:p w:rsidR="00197F36" w:rsidRPr="006F7A67" w:rsidRDefault="00197F36" w:rsidP="0019255A">
            <w:pPr>
              <w:jc w:val="both"/>
              <w:rPr>
                <w:sz w:val="20"/>
                <w:lang w:val="fr-CA"/>
              </w:rPr>
            </w:pPr>
          </w:p>
        </w:tc>
      </w:tr>
      <w:tr w:rsidR="00197F36" w:rsidRPr="00DB0D35" w:rsidTr="0019255A">
        <w:tc>
          <w:tcPr>
            <w:tcW w:w="5000" w:type="pct"/>
            <w:gridSpan w:val="4"/>
          </w:tcPr>
          <w:p w:rsidR="00197F36" w:rsidRPr="006F7A67" w:rsidRDefault="00197F36" w:rsidP="0019255A">
            <w:pPr>
              <w:jc w:val="both"/>
              <w:rPr>
                <w:sz w:val="20"/>
                <w:lang w:val="fr-CA"/>
              </w:rPr>
            </w:pPr>
            <w:r w:rsidRPr="006F7A67">
              <w:rPr>
                <w:sz w:val="20"/>
                <w:lang w:val="fr-CA"/>
              </w:rPr>
              <w:t xml:space="preserve">En 2005, M. Jung et Long Ocean Holding Ltd. ont conclu une convention d’achat de deux parties privatives commerciales d’un condominium aménagé dans l’ancien </w:t>
            </w:r>
            <w:proofErr w:type="spellStart"/>
            <w:r w:rsidRPr="006F7A67">
              <w:rPr>
                <w:sz w:val="20"/>
                <w:lang w:val="fr-CA"/>
              </w:rPr>
              <w:t>Trump</w:t>
            </w:r>
            <w:proofErr w:type="spellEnd"/>
            <w:r w:rsidRPr="006F7A67">
              <w:rPr>
                <w:sz w:val="20"/>
                <w:lang w:val="fr-CA"/>
              </w:rPr>
              <w:t xml:space="preserve"> International </w:t>
            </w:r>
            <w:proofErr w:type="spellStart"/>
            <w:r w:rsidRPr="006F7A67">
              <w:rPr>
                <w:sz w:val="20"/>
                <w:lang w:val="fr-CA"/>
              </w:rPr>
              <w:t>Hotel</w:t>
            </w:r>
            <w:proofErr w:type="spellEnd"/>
            <w:r w:rsidRPr="006F7A67">
              <w:rPr>
                <w:sz w:val="20"/>
                <w:lang w:val="fr-CA"/>
              </w:rPr>
              <w:t xml:space="preserve"> de Talon International Inc. Monsieur Jung et Long Ocean ont donné des avis de résolution fondés sur ce qu’ils estimaient être des changements importants à l’édifice. Les parties ont convenu d’une date de transfert des parties privatives du 29 août 2014. Monsieur Jung et Long Ocean se sont opposés aux états des rajustements et ont demandé des réductions du prix d’achat pour refléter les changements à l’édifice. Lorsque le prix d’achat n’a pas été modifié à leur satisfaction, ils ont poursuivi pour obtenir l’exécution en nature avec les révisions appropriées aux états des rajustements, la réduction des prix d’achat et le retour des acomptes. Talon a opposé une défense et a introduit une demande reconventionnelle.</w:t>
            </w:r>
          </w:p>
          <w:p w:rsidR="00197F36" w:rsidRPr="006F7A67" w:rsidRDefault="00197F36" w:rsidP="0019255A">
            <w:pPr>
              <w:jc w:val="both"/>
              <w:rPr>
                <w:sz w:val="20"/>
                <w:lang w:val="fr-CA"/>
              </w:rPr>
            </w:pPr>
          </w:p>
          <w:p w:rsidR="00197F36" w:rsidRPr="006F7A67" w:rsidRDefault="00197F36" w:rsidP="0019255A">
            <w:pPr>
              <w:jc w:val="both"/>
              <w:rPr>
                <w:sz w:val="20"/>
                <w:lang w:val="fr-CA"/>
              </w:rPr>
            </w:pPr>
            <w:r w:rsidRPr="006F7A67">
              <w:rPr>
                <w:sz w:val="20"/>
                <w:lang w:val="fr-CA"/>
              </w:rPr>
              <w:t>En 2006, M. Jung a conclu une convention d’achat d’une partie privative résidentielle dans le même édifice. Il a pris possession provisoire en juillet 2012, et la date de transfert de la partie privative a été fixée au 7 février 2013. Parce que Talon n’avait pas remis de document d’information à jour, M. Jung a prétendu que la convention n’avait pas force obligatoire et, subsidiairement, il a remis un avis de résolution en vertu du par. 74(7) pour non</w:t>
            </w:r>
            <w:r w:rsidRPr="006F7A67">
              <w:rPr>
                <w:sz w:val="20"/>
                <w:lang w:val="fr-CA"/>
              </w:rPr>
              <w:noBreakHyphen/>
              <w:t xml:space="preserve">divulgation de changements importants. Talon a présenté une demande fondée sur le par. 74(8) pour que la cour décide si les changements étaient importants. En 2013, le tribunal a décidé que les changements n’étaient pas importants et il a déclaré nulle la résolution : </w:t>
            </w:r>
            <w:r w:rsidRPr="006F7A67">
              <w:rPr>
                <w:i/>
                <w:sz w:val="20"/>
                <w:lang w:val="fr-CA"/>
              </w:rPr>
              <w:t>Talon International Inc. c. Jung</w:t>
            </w:r>
            <w:r w:rsidRPr="006F7A67">
              <w:rPr>
                <w:sz w:val="20"/>
                <w:lang w:val="fr-CA"/>
              </w:rPr>
              <w:t xml:space="preserve">, 2013 ONSC 2466, </w:t>
            </w:r>
            <w:proofErr w:type="spellStart"/>
            <w:r w:rsidRPr="006F7A67">
              <w:rPr>
                <w:sz w:val="20"/>
                <w:lang w:val="fr-CA"/>
              </w:rPr>
              <w:t>conf</w:t>
            </w:r>
            <w:proofErr w:type="spellEnd"/>
            <w:r w:rsidRPr="006F7A67">
              <w:rPr>
                <w:sz w:val="20"/>
                <w:lang w:val="fr-CA"/>
              </w:rPr>
              <w:t>. par 2014 ONCA 137, autorisation de pourvoi refusée [2014] C.S.C.R. n</w:t>
            </w:r>
            <w:r w:rsidRPr="006F7A67">
              <w:rPr>
                <w:sz w:val="20"/>
                <w:vertAlign w:val="superscript"/>
                <w:lang w:val="fr-CA"/>
              </w:rPr>
              <w:t>o</w:t>
            </w:r>
            <w:r w:rsidRPr="006F7A67">
              <w:rPr>
                <w:sz w:val="20"/>
                <w:lang w:val="fr-CA"/>
              </w:rPr>
              <w:t xml:space="preserve"> 179. Monsieur Jung a ensuite introduit une demande plaidant que les changements importants lui donnaient le droit de résoudre la convention et d’obtenir le remboursement de son acompte. Talon a opposé une défense et a introduit une demande reconventionnelle.</w:t>
            </w:r>
          </w:p>
          <w:p w:rsidR="00197F36" w:rsidRPr="006F7A67" w:rsidRDefault="00197F36" w:rsidP="0019255A">
            <w:pPr>
              <w:jc w:val="both"/>
              <w:rPr>
                <w:sz w:val="20"/>
                <w:lang w:val="fr-CA"/>
              </w:rPr>
            </w:pPr>
          </w:p>
          <w:p w:rsidR="00197F36" w:rsidRPr="006F7A67" w:rsidRDefault="00197F36" w:rsidP="0019255A">
            <w:pPr>
              <w:jc w:val="both"/>
              <w:rPr>
                <w:sz w:val="20"/>
                <w:lang w:val="fr-CA"/>
              </w:rPr>
            </w:pPr>
            <w:r w:rsidRPr="006F7A67">
              <w:rPr>
                <w:sz w:val="20"/>
                <w:lang w:val="fr-CA"/>
              </w:rPr>
              <w:t>Les deux ensembles de procédures judiciaires ont été suspendus lorsqu’un séquestre a été nommé pour Talon. Le séquestre a transporté la partie privative résidentielle au principal créancier de Talon. À l’expiration de la suspension, M. Jung a présenté une deuxième motion en jugement sommaire, sollicitant le remboursement de son acompte, plus les intérêts.</w:t>
            </w:r>
          </w:p>
          <w:p w:rsidR="00197F36" w:rsidRPr="006F7A67" w:rsidRDefault="00197F36" w:rsidP="0019255A">
            <w:pPr>
              <w:jc w:val="both"/>
              <w:rPr>
                <w:sz w:val="20"/>
                <w:lang w:val="fr-CA"/>
              </w:rPr>
            </w:pPr>
          </w:p>
          <w:p w:rsidR="00197F36" w:rsidRPr="006F7A67" w:rsidRDefault="00197F36" w:rsidP="0019255A">
            <w:pPr>
              <w:jc w:val="both"/>
              <w:rPr>
                <w:sz w:val="20"/>
                <w:lang w:val="fr-CA"/>
              </w:rPr>
            </w:pPr>
            <w:r w:rsidRPr="006F7A67">
              <w:rPr>
                <w:sz w:val="20"/>
                <w:lang w:val="fr-CA"/>
              </w:rPr>
              <w:t xml:space="preserve">La juge Dietrich a prononcé un jugement sommaire dans les deux dossiers. Talon a interjeté appel des deux jugements sommaires. Le juge </w:t>
            </w:r>
            <w:proofErr w:type="spellStart"/>
            <w:r w:rsidRPr="006F7A67">
              <w:rPr>
                <w:sz w:val="20"/>
                <w:lang w:val="fr-CA"/>
              </w:rPr>
              <w:t>Juriansz</w:t>
            </w:r>
            <w:proofErr w:type="spellEnd"/>
            <w:r w:rsidRPr="006F7A67">
              <w:rPr>
                <w:sz w:val="20"/>
                <w:lang w:val="fr-CA"/>
              </w:rPr>
              <w:t xml:space="preserve"> a rejeté les deux appels, concluant, dans les deux dossiers, que les acheteurs avaient droit au remboursement de l’acompte, plus les intérêts.</w:t>
            </w:r>
          </w:p>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5 octobre 2018</w:t>
            </w:r>
          </w:p>
          <w:p w:rsidR="00197F36" w:rsidRPr="006F7A67" w:rsidRDefault="00197F36" w:rsidP="0019255A">
            <w:pPr>
              <w:jc w:val="both"/>
              <w:rPr>
                <w:sz w:val="20"/>
                <w:lang w:val="fr-CA"/>
              </w:rPr>
            </w:pPr>
            <w:r w:rsidRPr="006F7A67">
              <w:rPr>
                <w:sz w:val="20"/>
                <w:lang w:val="fr-CA"/>
              </w:rPr>
              <w:t>Cour supérieure de justice de l’Ontario</w:t>
            </w:r>
          </w:p>
          <w:p w:rsidR="00197F36" w:rsidRPr="006F7A67" w:rsidRDefault="00197F36" w:rsidP="0019255A">
            <w:pPr>
              <w:jc w:val="both"/>
              <w:rPr>
                <w:sz w:val="20"/>
                <w:lang w:val="fr-CA"/>
              </w:rPr>
            </w:pPr>
            <w:r w:rsidRPr="006F7A67">
              <w:rPr>
                <w:sz w:val="20"/>
                <w:lang w:val="fr-CA"/>
              </w:rPr>
              <w:t>(Juge Dietrich)</w:t>
            </w:r>
          </w:p>
          <w:p w:rsidR="00197F36" w:rsidRPr="006F7A67" w:rsidRDefault="00300F06" w:rsidP="0019255A">
            <w:pPr>
              <w:jc w:val="both"/>
              <w:rPr>
                <w:sz w:val="20"/>
                <w:lang w:val="fr-CA"/>
              </w:rPr>
            </w:pPr>
            <w:hyperlink r:id="rId75" w:history="1">
              <w:r w:rsidR="00197F36" w:rsidRPr="006F7A67">
                <w:rPr>
                  <w:rStyle w:val="Hyperlink"/>
                  <w:sz w:val="20"/>
                  <w:lang w:val="fr-CA"/>
                </w:rPr>
                <w:t>2018 ONSC 4245</w:t>
              </w:r>
            </w:hyperlink>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Jugement accueillant les motions en jugement sommaire, statuant que M. Jung et Long Ocean Holding Inc. ont droit au remboursement d’acomptes versés pour deux parties privatives commerciales d’un condominium et que M. Jung a droit au remboursement de l’acompte versé pour une partie privative résidentielle du condominium</w:t>
            </w:r>
          </w:p>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7 août 2019</w:t>
            </w:r>
          </w:p>
          <w:p w:rsidR="00197F36" w:rsidRPr="006F7A67" w:rsidRDefault="00197F36" w:rsidP="0019255A">
            <w:pPr>
              <w:jc w:val="both"/>
              <w:rPr>
                <w:sz w:val="20"/>
                <w:lang w:val="fr-CA"/>
              </w:rPr>
            </w:pPr>
            <w:r w:rsidRPr="006F7A67">
              <w:rPr>
                <w:sz w:val="20"/>
                <w:lang w:val="fr-CA"/>
              </w:rPr>
              <w:t>Cour d’appel de l’Ontario</w:t>
            </w:r>
          </w:p>
          <w:p w:rsidR="00197F36" w:rsidRPr="006F7A67" w:rsidRDefault="00197F36" w:rsidP="0019255A">
            <w:pPr>
              <w:jc w:val="both"/>
              <w:rPr>
                <w:sz w:val="20"/>
                <w:lang w:val="fr-CA"/>
              </w:rPr>
            </w:pPr>
            <w:r w:rsidRPr="006F7A67">
              <w:rPr>
                <w:sz w:val="20"/>
                <w:lang w:val="fr-CA"/>
              </w:rPr>
              <w:t xml:space="preserve">(Juges </w:t>
            </w:r>
            <w:proofErr w:type="spellStart"/>
            <w:r w:rsidRPr="006F7A67">
              <w:rPr>
                <w:sz w:val="20"/>
                <w:lang w:val="fr-CA"/>
              </w:rPr>
              <w:t>Juriansz</w:t>
            </w:r>
            <w:proofErr w:type="spellEnd"/>
            <w:r w:rsidRPr="006F7A67">
              <w:rPr>
                <w:sz w:val="20"/>
                <w:lang w:val="fr-CA"/>
              </w:rPr>
              <w:t xml:space="preserve">, van </w:t>
            </w:r>
            <w:proofErr w:type="spellStart"/>
            <w:r w:rsidRPr="006F7A67">
              <w:rPr>
                <w:sz w:val="20"/>
                <w:lang w:val="fr-CA"/>
              </w:rPr>
              <w:t>Rensburg</w:t>
            </w:r>
            <w:proofErr w:type="spellEnd"/>
            <w:r w:rsidRPr="006F7A67">
              <w:rPr>
                <w:sz w:val="20"/>
                <w:lang w:val="fr-CA"/>
              </w:rPr>
              <w:t xml:space="preserve"> et </w:t>
            </w:r>
            <w:proofErr w:type="spellStart"/>
            <w:r w:rsidRPr="006F7A67">
              <w:rPr>
                <w:sz w:val="20"/>
                <w:lang w:val="fr-CA"/>
              </w:rPr>
              <w:t>Paciocco</w:t>
            </w:r>
            <w:proofErr w:type="spellEnd"/>
            <w:r w:rsidRPr="006F7A67">
              <w:rPr>
                <w:sz w:val="20"/>
                <w:lang w:val="fr-CA"/>
              </w:rPr>
              <w:t>)</w:t>
            </w:r>
          </w:p>
          <w:p w:rsidR="00197F36" w:rsidRPr="006F7A67" w:rsidRDefault="00300F06" w:rsidP="0019255A">
            <w:pPr>
              <w:jc w:val="both"/>
              <w:rPr>
                <w:sz w:val="20"/>
                <w:lang w:val="fr-CA"/>
              </w:rPr>
            </w:pPr>
            <w:hyperlink r:id="rId76" w:history="1">
              <w:r w:rsidR="00197F36" w:rsidRPr="006F7A67">
                <w:rPr>
                  <w:rStyle w:val="Hyperlink"/>
                  <w:sz w:val="20"/>
                  <w:lang w:val="fr-CA"/>
                </w:rPr>
                <w:t>2019 ONCA 644</w:t>
              </w:r>
            </w:hyperlink>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Rejet de l’appel des deux jugements sommaires</w:t>
            </w:r>
          </w:p>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20 décembre 2019</w:t>
            </w:r>
          </w:p>
          <w:p w:rsidR="00197F36" w:rsidRPr="006F7A67" w:rsidRDefault="00197F36" w:rsidP="0019255A">
            <w:pPr>
              <w:jc w:val="both"/>
              <w:rPr>
                <w:sz w:val="20"/>
                <w:lang w:val="fr-CA"/>
              </w:rPr>
            </w:pPr>
            <w:r w:rsidRPr="006F7A67">
              <w:rPr>
                <w:sz w:val="20"/>
                <w:lang w:val="fr-CA"/>
              </w:rPr>
              <w:t>Cour suprême du Canada</w:t>
            </w: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Dépôt de la requête en prorogation de délai et de la demande d’autorisation d’appel</w:t>
            </w:r>
          </w:p>
        </w:tc>
      </w:tr>
    </w:tbl>
    <w:p w:rsidR="00197F36" w:rsidRPr="006F7A67" w:rsidRDefault="00197F36" w:rsidP="00197F36">
      <w:pPr>
        <w:jc w:val="both"/>
        <w:rPr>
          <w:sz w:val="20"/>
          <w:lang w:val="fr-CA"/>
        </w:rPr>
      </w:pPr>
    </w:p>
    <w:p w:rsidR="00197F36" w:rsidRPr="006F7A67" w:rsidRDefault="00300F06" w:rsidP="00197F36">
      <w:pPr>
        <w:jc w:val="both"/>
        <w:rPr>
          <w:sz w:val="20"/>
          <w:lang w:val="fr-CA"/>
        </w:rPr>
      </w:pPr>
      <w:r>
        <w:rPr>
          <w:sz w:val="20"/>
        </w:rPr>
        <w:pict>
          <v:rect id="_x0000_i1062" style="width:2in;height:1pt" o:hrpct="0" o:hralign="center" o:hrstd="t" o:hrnoshade="t" o:hr="t" fillcolor="black [3213]" stroked="f"/>
        </w:pict>
      </w:r>
    </w:p>
    <w:p w:rsidR="00197F36" w:rsidRPr="006F7A67" w:rsidRDefault="00197F36" w:rsidP="00197F3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39012</w:t>
            </w:r>
          </w:p>
        </w:tc>
        <w:tc>
          <w:tcPr>
            <w:tcW w:w="4457" w:type="pct"/>
            <w:gridSpan w:val="3"/>
          </w:tcPr>
          <w:p w:rsidR="00197F36" w:rsidRPr="006F7A67" w:rsidRDefault="00197F36" w:rsidP="0019255A">
            <w:pPr>
              <w:pStyle w:val="SCCLsocParty"/>
              <w:jc w:val="both"/>
              <w:rPr>
                <w:b/>
                <w:sz w:val="20"/>
                <w:szCs w:val="20"/>
                <w:lang w:val="en-US"/>
              </w:rPr>
            </w:pPr>
            <w:r w:rsidRPr="006F7A67">
              <w:rPr>
                <w:b/>
                <w:sz w:val="20"/>
                <w:szCs w:val="20"/>
                <w:lang w:val="en-US"/>
              </w:rPr>
              <w:t>Bob Brown</w:t>
            </w:r>
            <w:r w:rsidR="00B00F37" w:rsidRPr="006F7A67">
              <w:rPr>
                <w:b/>
                <w:sz w:val="20"/>
                <w:szCs w:val="20"/>
                <w:lang w:val="en-US"/>
              </w:rPr>
              <w:t xml:space="preserve"> and</w:t>
            </w:r>
            <w:r w:rsidRPr="006F7A67">
              <w:rPr>
                <w:b/>
                <w:sz w:val="20"/>
                <w:szCs w:val="20"/>
                <w:lang w:val="en-US"/>
              </w:rPr>
              <w:t xml:space="preserve"> Gábor Lukács v. Canadian Transportation Agency</w:t>
            </w:r>
          </w:p>
          <w:p w:rsidR="00197F36" w:rsidRPr="006F7A67" w:rsidRDefault="00197F36" w:rsidP="0019255A">
            <w:pPr>
              <w:jc w:val="both"/>
              <w:rPr>
                <w:sz w:val="20"/>
              </w:rPr>
            </w:pPr>
            <w:r w:rsidRPr="006F7A67">
              <w:rPr>
                <w:sz w:val="20"/>
              </w:rPr>
              <w:t>(F.C.) (Civil) (By Leave)</w:t>
            </w:r>
          </w:p>
        </w:tc>
      </w:tr>
      <w:tr w:rsidR="00B00F37" w:rsidRPr="006F7A67" w:rsidTr="0019255A">
        <w:tc>
          <w:tcPr>
            <w:tcW w:w="5000" w:type="pct"/>
            <w:gridSpan w:val="4"/>
          </w:tcPr>
          <w:p w:rsidR="00B00F37" w:rsidRPr="006F7A67" w:rsidRDefault="00B00F37" w:rsidP="00B00F37">
            <w:pPr>
              <w:jc w:val="both"/>
              <w:rPr>
                <w:sz w:val="20"/>
                <w:szCs w:val="20"/>
              </w:rPr>
            </w:pPr>
            <w:r w:rsidRPr="006F7A67">
              <w:rPr>
                <w:sz w:val="20"/>
                <w:szCs w:val="20"/>
              </w:rPr>
              <w:t>The application for leave to appeal from the judgment of the Federal Court of Appeal, Number 19</w:t>
            </w:r>
            <w:r w:rsidRPr="006F7A67">
              <w:rPr>
                <w:sz w:val="20"/>
                <w:szCs w:val="20"/>
              </w:rPr>
              <w:noBreakHyphen/>
              <w:t>A</w:t>
            </w:r>
            <w:r w:rsidRPr="006F7A67">
              <w:rPr>
                <w:sz w:val="20"/>
                <w:szCs w:val="20"/>
              </w:rPr>
              <w:noBreakHyphen/>
              <w:t>28, dated August 15, 2019, is dismissed without costs.</w:t>
            </w:r>
          </w:p>
          <w:p w:rsidR="00B00F37" w:rsidRPr="006F7A67" w:rsidRDefault="00B00F37" w:rsidP="0019255A">
            <w:pPr>
              <w:jc w:val="both"/>
              <w:rPr>
                <w:sz w:val="20"/>
              </w:rPr>
            </w:pPr>
          </w:p>
        </w:tc>
      </w:tr>
      <w:tr w:rsidR="00197F36" w:rsidRPr="006F7A67" w:rsidTr="0019255A">
        <w:tc>
          <w:tcPr>
            <w:tcW w:w="5000" w:type="pct"/>
            <w:gridSpan w:val="4"/>
          </w:tcPr>
          <w:p w:rsidR="00197F36" w:rsidRPr="006F7A67" w:rsidRDefault="00197F36" w:rsidP="0019255A">
            <w:pPr>
              <w:jc w:val="both"/>
              <w:rPr>
                <w:sz w:val="20"/>
              </w:rPr>
            </w:pPr>
            <w:r w:rsidRPr="006F7A67">
              <w:rPr>
                <w:i/>
                <w:sz w:val="20"/>
              </w:rPr>
              <w:t>Charter of Rights</w:t>
            </w:r>
            <w:r w:rsidRPr="006F7A67">
              <w:rPr>
                <w:sz w:val="20"/>
              </w:rPr>
              <w:t xml:space="preserve"> — Right to equality — Transportation law — Air Transport — Whether ss. 9(1) and 9(2) of the </w:t>
            </w:r>
            <w:r w:rsidRPr="006F7A67">
              <w:rPr>
                <w:i/>
                <w:sz w:val="20"/>
              </w:rPr>
              <w:t>Air Passenger Protection Regulations</w:t>
            </w:r>
            <w:r w:rsidRPr="006F7A67">
              <w:rPr>
                <w:sz w:val="20"/>
              </w:rPr>
              <w:t xml:space="preserve"> have unintended adverse effects on Mr. Brown and those similarly situated – Whether ss. 9(1) and 9(2) of the </w:t>
            </w:r>
            <w:r w:rsidRPr="006F7A67">
              <w:rPr>
                <w:i/>
                <w:sz w:val="20"/>
              </w:rPr>
              <w:t>Air Passenger Protection Regulations</w:t>
            </w:r>
            <w:r w:rsidRPr="006F7A67">
              <w:rPr>
                <w:sz w:val="20"/>
              </w:rPr>
              <w:t xml:space="preserve"> significantly limit the ability of Mr. Brown and those similarly situated to travel by air because of their disabilities contrary to s. 15(1) of the </w:t>
            </w:r>
            <w:r w:rsidRPr="006F7A67">
              <w:rPr>
                <w:i/>
                <w:sz w:val="20"/>
              </w:rPr>
              <w:t xml:space="preserve">Charter of Rights </w:t>
            </w:r>
            <w:r w:rsidRPr="006F7A67">
              <w:rPr>
                <w:sz w:val="20"/>
              </w:rPr>
              <w:t xml:space="preserve">and s. 5(d) of the </w:t>
            </w:r>
            <w:r w:rsidRPr="006F7A67">
              <w:rPr>
                <w:i/>
                <w:sz w:val="20"/>
              </w:rPr>
              <w:t>Canada Transportation Act</w:t>
            </w:r>
            <w:r w:rsidRPr="006F7A67">
              <w:rPr>
                <w:sz w:val="20"/>
              </w:rPr>
              <w:t xml:space="preserve"> — Whether the Federal Court of Appeal erred in denying leave to appeal — Whether the Federal Court of Appeal, being an intermediate appellate court, erred and/or denied the applicants procedural fairness by failing to provide any reasons for its judgment — s. 15(1) of the </w:t>
            </w:r>
            <w:r w:rsidRPr="006F7A67">
              <w:rPr>
                <w:i/>
                <w:sz w:val="20"/>
              </w:rPr>
              <w:t>Canadian Charter of Rights and Freedoms</w:t>
            </w:r>
            <w:r w:rsidRPr="006F7A67">
              <w:rPr>
                <w:sz w:val="20"/>
              </w:rPr>
              <w:t>.</w:t>
            </w:r>
          </w:p>
        </w:tc>
      </w:tr>
      <w:tr w:rsidR="00197F36" w:rsidRPr="006F7A67" w:rsidTr="0019255A">
        <w:tc>
          <w:tcPr>
            <w:tcW w:w="5000" w:type="pct"/>
            <w:gridSpan w:val="4"/>
          </w:tcPr>
          <w:p w:rsidR="00197F36" w:rsidRPr="006F7A67" w:rsidRDefault="00197F36" w:rsidP="0019255A">
            <w:pPr>
              <w:jc w:val="both"/>
              <w:rPr>
                <w:sz w:val="20"/>
              </w:rPr>
            </w:pPr>
          </w:p>
          <w:p w:rsidR="00197F36" w:rsidRPr="006F7A67" w:rsidRDefault="00197F36" w:rsidP="0019255A">
            <w:pPr>
              <w:jc w:val="both"/>
              <w:rPr>
                <w:sz w:val="20"/>
              </w:rPr>
            </w:pPr>
            <w:r w:rsidRPr="006F7A67">
              <w:rPr>
                <w:sz w:val="20"/>
              </w:rPr>
              <w:t xml:space="preserve">Mr. Brown is a quadriplegic, and he requires an electric wheelchair for mobility in his daily activities. Dr. Gábor Lukács is a Canadian air passenger rights advocate. Subsections 9(1) and 9(2) of the </w:t>
            </w:r>
            <w:r w:rsidRPr="006F7A67">
              <w:rPr>
                <w:i/>
                <w:sz w:val="20"/>
              </w:rPr>
              <w:t>Air Passenger Protection Regulations,</w:t>
            </w:r>
            <w:r w:rsidRPr="006F7A67">
              <w:rPr>
                <w:sz w:val="20"/>
              </w:rPr>
              <w:t xml:space="preserve"> SOR/2019</w:t>
            </w:r>
            <w:r w:rsidRPr="006F7A67">
              <w:rPr>
                <w:sz w:val="20"/>
              </w:rPr>
              <w:noBreakHyphen/>
              <w:t>150, provides for passenger disembarkation if their aircraft is delayed on the tarmac. The applicants challenged ss. 9(1) and 9(2) by way of motion for leave to appeal to the Federal Court of Appeal. The Federal Court of Appeal dismissed the motion.</w:t>
            </w:r>
          </w:p>
        </w:tc>
      </w:tr>
      <w:tr w:rsidR="00197F36" w:rsidRPr="006F7A67" w:rsidTr="0019255A">
        <w:tc>
          <w:tcPr>
            <w:tcW w:w="5000" w:type="pct"/>
            <w:gridSpan w:val="4"/>
          </w:tcPr>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August 15, 2019</w:t>
            </w:r>
          </w:p>
          <w:p w:rsidR="00197F36" w:rsidRPr="006F7A67" w:rsidRDefault="00197F36" w:rsidP="0019255A">
            <w:pPr>
              <w:jc w:val="both"/>
              <w:rPr>
                <w:sz w:val="20"/>
              </w:rPr>
            </w:pPr>
            <w:r w:rsidRPr="006F7A67">
              <w:rPr>
                <w:sz w:val="20"/>
              </w:rPr>
              <w:t>Federal Court of Appeal</w:t>
            </w:r>
          </w:p>
          <w:p w:rsidR="00197F36" w:rsidRPr="006F7A67" w:rsidRDefault="00197F36" w:rsidP="0019255A">
            <w:pPr>
              <w:jc w:val="both"/>
              <w:rPr>
                <w:sz w:val="20"/>
              </w:rPr>
            </w:pPr>
            <w:r w:rsidRPr="006F7A67">
              <w:rPr>
                <w:sz w:val="20"/>
              </w:rPr>
              <w:t>(</w:t>
            </w:r>
            <w:proofErr w:type="spellStart"/>
            <w:r w:rsidRPr="006F7A67">
              <w:rPr>
                <w:sz w:val="20"/>
              </w:rPr>
              <w:t>Stratas</w:t>
            </w:r>
            <w:proofErr w:type="spellEnd"/>
            <w:r w:rsidRPr="006F7A67">
              <w:rPr>
                <w:sz w:val="20"/>
              </w:rPr>
              <w:t>, de Montigny, Woods JJ.A.)</w:t>
            </w:r>
          </w:p>
          <w:p w:rsidR="00197F36" w:rsidRPr="006F7A67" w:rsidRDefault="00197F36" w:rsidP="0019255A">
            <w:pPr>
              <w:jc w:val="both"/>
              <w:rPr>
                <w:sz w:val="20"/>
              </w:rPr>
            </w:pPr>
            <w:r w:rsidRPr="006F7A67">
              <w:rPr>
                <w:sz w:val="20"/>
              </w:rPr>
              <w:t>(unreported)</w:t>
            </w:r>
          </w:p>
          <w:p w:rsidR="00197F36" w:rsidRPr="006F7A67" w:rsidRDefault="00197F36" w:rsidP="0019255A">
            <w:pPr>
              <w:jc w:val="both"/>
              <w:rPr>
                <w:sz w:val="20"/>
              </w:rPr>
            </w:pPr>
            <w:r w:rsidRPr="006F7A67">
              <w:rPr>
                <w:sz w:val="20"/>
              </w:rPr>
              <w:t>19</w:t>
            </w:r>
            <w:r w:rsidRPr="006F7A67">
              <w:rPr>
                <w:sz w:val="20"/>
              </w:rPr>
              <w:noBreakHyphen/>
              <w:t>A</w:t>
            </w:r>
            <w:r w:rsidRPr="006F7A67">
              <w:rPr>
                <w:sz w:val="20"/>
              </w:rPr>
              <w:noBreakHyphen/>
              <w:t>28</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Motion for leave to appeal dismissed</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October 11, 2019</w:t>
            </w:r>
          </w:p>
          <w:p w:rsidR="00197F36" w:rsidRPr="006F7A67" w:rsidRDefault="00197F36" w:rsidP="0019255A">
            <w:pPr>
              <w:jc w:val="both"/>
              <w:rPr>
                <w:sz w:val="20"/>
              </w:rPr>
            </w:pPr>
            <w:r w:rsidRPr="006F7A67">
              <w:rPr>
                <w:sz w:val="20"/>
              </w:rPr>
              <w:t>Supreme Court of Canada</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leave to appeal filed</w:t>
            </w:r>
          </w:p>
          <w:p w:rsidR="00197F36" w:rsidRPr="006F7A67" w:rsidRDefault="00197F36" w:rsidP="0019255A">
            <w:pPr>
              <w:jc w:val="both"/>
              <w:rPr>
                <w:sz w:val="20"/>
              </w:rPr>
            </w:pP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63"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97F36" w:rsidRPr="006F7A67" w:rsidTr="0019255A">
        <w:tc>
          <w:tcPr>
            <w:tcW w:w="543" w:type="pct"/>
          </w:tcPr>
          <w:p w:rsidR="00197F36" w:rsidRPr="006F7A67" w:rsidRDefault="00197F36" w:rsidP="0019255A">
            <w:pPr>
              <w:jc w:val="both"/>
              <w:rPr>
                <w:sz w:val="20"/>
                <w:lang w:val="fr-CA"/>
              </w:rPr>
            </w:pPr>
            <w:r w:rsidRPr="006F7A67">
              <w:rPr>
                <w:rStyle w:val="SCCFileNumberChar"/>
                <w:sz w:val="20"/>
                <w:szCs w:val="20"/>
                <w:lang w:val="fr-CA"/>
              </w:rPr>
              <w:t>39012</w:t>
            </w:r>
          </w:p>
        </w:tc>
        <w:tc>
          <w:tcPr>
            <w:tcW w:w="4457" w:type="pct"/>
          </w:tcPr>
          <w:p w:rsidR="00197F36" w:rsidRPr="006F7A67" w:rsidRDefault="00197F36" w:rsidP="0019255A">
            <w:pPr>
              <w:pStyle w:val="SCCLsocParty"/>
              <w:jc w:val="both"/>
              <w:rPr>
                <w:b/>
                <w:sz w:val="20"/>
                <w:szCs w:val="20"/>
              </w:rPr>
            </w:pPr>
            <w:r w:rsidRPr="006F7A67">
              <w:rPr>
                <w:b/>
                <w:sz w:val="20"/>
                <w:szCs w:val="20"/>
              </w:rPr>
              <w:t>Bob Brown</w:t>
            </w:r>
            <w:r w:rsidR="00F751C7" w:rsidRPr="006F7A67">
              <w:rPr>
                <w:b/>
                <w:sz w:val="20"/>
                <w:szCs w:val="20"/>
              </w:rPr>
              <w:t xml:space="preserve"> et</w:t>
            </w:r>
            <w:r w:rsidRPr="006F7A67">
              <w:rPr>
                <w:b/>
                <w:sz w:val="20"/>
                <w:szCs w:val="20"/>
              </w:rPr>
              <w:t xml:space="preserve"> Gábor Lukács c. Office des transports du Canada</w:t>
            </w:r>
          </w:p>
          <w:p w:rsidR="00197F36" w:rsidRPr="006F7A67" w:rsidRDefault="00197F36" w:rsidP="0019255A">
            <w:pPr>
              <w:jc w:val="both"/>
              <w:rPr>
                <w:sz w:val="20"/>
                <w:lang w:val="fr-CA"/>
              </w:rPr>
            </w:pPr>
            <w:r w:rsidRPr="006F7A67">
              <w:rPr>
                <w:sz w:val="20"/>
                <w:lang w:val="fr-CA"/>
              </w:rPr>
              <w:t>(C.F.) (Civile) (Autorisation)</w:t>
            </w:r>
          </w:p>
        </w:tc>
      </w:tr>
      <w:tr w:rsidR="00B00F37" w:rsidRPr="00DB0D35" w:rsidTr="0019255A">
        <w:tc>
          <w:tcPr>
            <w:tcW w:w="5000" w:type="pct"/>
            <w:gridSpan w:val="2"/>
          </w:tcPr>
          <w:p w:rsidR="00B00F37" w:rsidRPr="006F7A67" w:rsidRDefault="00B00F37" w:rsidP="0019255A">
            <w:pPr>
              <w:jc w:val="both"/>
              <w:rPr>
                <w:sz w:val="20"/>
                <w:szCs w:val="20"/>
                <w:lang w:val="fr-CA"/>
              </w:rPr>
            </w:pPr>
            <w:r w:rsidRPr="006F7A67">
              <w:rPr>
                <w:sz w:val="20"/>
                <w:szCs w:val="20"/>
                <w:lang w:val="fr-CA"/>
              </w:rPr>
              <w:t>La demande d’autorisation d’appel de l’arrêt de la Cour d’appel fédérale, numéro 19</w:t>
            </w:r>
            <w:r w:rsidRPr="006F7A67">
              <w:rPr>
                <w:sz w:val="20"/>
                <w:szCs w:val="20"/>
                <w:lang w:val="fr-CA"/>
              </w:rPr>
              <w:noBreakHyphen/>
              <w:t>A</w:t>
            </w:r>
            <w:r w:rsidRPr="006F7A67">
              <w:rPr>
                <w:sz w:val="20"/>
                <w:szCs w:val="20"/>
                <w:lang w:val="fr-CA"/>
              </w:rPr>
              <w:noBreakHyphen/>
              <w:t>28, daté du 15 août 2019, est rejetée sans dépens.</w:t>
            </w:r>
          </w:p>
          <w:p w:rsidR="00B00F37" w:rsidRPr="006F7A67" w:rsidRDefault="00B00F37" w:rsidP="0019255A">
            <w:pPr>
              <w:jc w:val="both"/>
              <w:rPr>
                <w:sz w:val="20"/>
                <w:lang w:val="fr-CA"/>
              </w:rPr>
            </w:pPr>
          </w:p>
        </w:tc>
      </w:tr>
      <w:tr w:rsidR="00197F36" w:rsidRPr="00DB0D35" w:rsidTr="0019255A">
        <w:tc>
          <w:tcPr>
            <w:tcW w:w="5000" w:type="pct"/>
            <w:gridSpan w:val="2"/>
          </w:tcPr>
          <w:p w:rsidR="00197F36" w:rsidRPr="006F7A67" w:rsidRDefault="00197F36" w:rsidP="0019255A">
            <w:pPr>
              <w:jc w:val="both"/>
              <w:rPr>
                <w:iCs/>
                <w:sz w:val="20"/>
                <w:lang w:val="fr-CA"/>
              </w:rPr>
            </w:pPr>
            <w:r w:rsidRPr="006F7A67">
              <w:rPr>
                <w:i/>
                <w:sz w:val="20"/>
                <w:lang w:val="fr-CA"/>
              </w:rPr>
              <w:t>Charte des droits</w:t>
            </w:r>
            <w:r w:rsidRPr="006F7A67">
              <w:rPr>
                <w:sz w:val="20"/>
                <w:lang w:val="fr-CA"/>
              </w:rPr>
              <w:t xml:space="preserve"> — Droit à l’égalité — Droit des transports — Transport aérien — Les par. 9(1) et 9(2) du </w:t>
            </w:r>
            <w:r w:rsidRPr="006F7A67">
              <w:rPr>
                <w:i/>
                <w:sz w:val="20"/>
                <w:lang w:val="fr-CA"/>
              </w:rPr>
              <w:t>Règlement sur la protection des passagers aériens</w:t>
            </w:r>
            <w:r w:rsidRPr="006F7A67">
              <w:rPr>
                <w:sz w:val="20"/>
                <w:lang w:val="fr-CA"/>
              </w:rPr>
              <w:t xml:space="preserve"> ont</w:t>
            </w:r>
            <w:r w:rsidRPr="006F7A67">
              <w:rPr>
                <w:sz w:val="20"/>
                <w:lang w:val="fr-CA"/>
              </w:rPr>
              <w:noBreakHyphen/>
              <w:t xml:space="preserve">ils des effets néfastes inattendus sur M. Brown et les personnes dans une situation semblable? — Les par. 9(1) et 9(2) du </w:t>
            </w:r>
            <w:r w:rsidRPr="006F7A67">
              <w:rPr>
                <w:i/>
                <w:sz w:val="20"/>
                <w:lang w:val="fr-CA"/>
              </w:rPr>
              <w:t>Règlement sur la protection des passagers aériens</w:t>
            </w:r>
            <w:r w:rsidRPr="006F7A67">
              <w:rPr>
                <w:sz w:val="20"/>
                <w:lang w:val="fr-CA"/>
              </w:rPr>
              <w:t xml:space="preserve"> restreignent-ils de façon appréciable la capacité de M. Brown et des personnes dans une situation semblable de faire des voyages aériens en raison de leurs déficiences, en contravention du par. 15(1) de la </w:t>
            </w:r>
            <w:r w:rsidRPr="006F7A67">
              <w:rPr>
                <w:i/>
                <w:sz w:val="20"/>
                <w:lang w:val="fr-CA"/>
              </w:rPr>
              <w:t xml:space="preserve">Charte des droits </w:t>
            </w:r>
            <w:r w:rsidRPr="006F7A67">
              <w:rPr>
                <w:sz w:val="20"/>
                <w:lang w:val="fr-CA"/>
              </w:rPr>
              <w:t xml:space="preserve">et de l’al. 5d) de la </w:t>
            </w:r>
            <w:r w:rsidRPr="006F7A67">
              <w:rPr>
                <w:i/>
                <w:sz w:val="20"/>
                <w:lang w:val="fr-CA"/>
              </w:rPr>
              <w:t>Loi sur les transports au Canada</w:t>
            </w:r>
            <w:r w:rsidRPr="006F7A67">
              <w:rPr>
                <w:iCs/>
                <w:sz w:val="20"/>
                <w:lang w:val="fr-CA"/>
              </w:rPr>
              <w:t>?</w:t>
            </w:r>
            <w:r w:rsidRPr="006F7A67">
              <w:rPr>
                <w:sz w:val="20"/>
                <w:lang w:val="fr-CA"/>
              </w:rPr>
              <w:t xml:space="preserve"> — La Cour d’appel fédérale a</w:t>
            </w:r>
            <w:r w:rsidRPr="006F7A67">
              <w:rPr>
                <w:sz w:val="20"/>
                <w:lang w:val="fr-CA"/>
              </w:rPr>
              <w:noBreakHyphen/>
              <w:t>t</w:t>
            </w:r>
            <w:r w:rsidRPr="006F7A67">
              <w:rPr>
                <w:sz w:val="20"/>
                <w:lang w:val="fr-CA"/>
              </w:rPr>
              <w:noBreakHyphen/>
              <w:t>elle eu tort de refuser l’autorisation d’interjeter appel? — La Cour d’appel fédérale, étant une cour d’appel intermédiaire, a</w:t>
            </w:r>
            <w:r w:rsidRPr="006F7A67">
              <w:rPr>
                <w:sz w:val="20"/>
                <w:lang w:val="fr-CA"/>
              </w:rPr>
              <w:noBreakHyphen/>
              <w:t>t</w:t>
            </w:r>
            <w:r w:rsidRPr="006F7A67">
              <w:rPr>
                <w:sz w:val="20"/>
                <w:lang w:val="fr-CA"/>
              </w:rPr>
              <w:noBreakHyphen/>
              <w:t xml:space="preserve">elle commis une erreur ou omis de faire preuve d’équité procédurale envers les demandeurs en ne fournissant pas de motifs de son jugement? — Par. 15(1) de la </w:t>
            </w:r>
            <w:r w:rsidRPr="006F7A67">
              <w:rPr>
                <w:i/>
                <w:sz w:val="20"/>
                <w:lang w:val="fr-CA"/>
              </w:rPr>
              <w:t>Charte canadienne des droits et libertés</w:t>
            </w:r>
            <w:r w:rsidRPr="006F7A67">
              <w:rPr>
                <w:iCs/>
                <w:sz w:val="20"/>
                <w:lang w:val="fr-CA"/>
              </w:rPr>
              <w:t>.</w:t>
            </w:r>
          </w:p>
        </w:tc>
      </w:tr>
      <w:tr w:rsidR="00197F36" w:rsidRPr="006F7A67" w:rsidTr="0019255A">
        <w:tc>
          <w:tcPr>
            <w:tcW w:w="5000" w:type="pct"/>
            <w:gridSpan w:val="2"/>
          </w:tcPr>
          <w:p w:rsidR="00197F36" w:rsidRPr="006F7A67" w:rsidRDefault="00197F36" w:rsidP="0019255A">
            <w:pPr>
              <w:jc w:val="both"/>
              <w:rPr>
                <w:sz w:val="20"/>
                <w:lang w:val="fr-CA"/>
              </w:rPr>
            </w:pPr>
          </w:p>
          <w:p w:rsidR="00197F36" w:rsidRPr="006F7A67" w:rsidRDefault="00197F36" w:rsidP="0019255A">
            <w:pPr>
              <w:jc w:val="both"/>
              <w:rPr>
                <w:sz w:val="20"/>
                <w:lang w:val="fr-CA"/>
              </w:rPr>
            </w:pPr>
            <w:r w:rsidRPr="006F7A67">
              <w:rPr>
                <w:sz w:val="20"/>
                <w:lang w:val="fr-CA"/>
              </w:rPr>
              <w:t xml:space="preserve">Monsieur Brown est quadriplégique, et il a besoin d’un fauteuil roulant électrique pour se déplacer dans ses activités quotidiennes. Monsieur Gábor Lukács est un défenseur des droits des passagers canadiens du transport aérien. Les paragraphes 9(1) et 9(2) du </w:t>
            </w:r>
            <w:r w:rsidRPr="006F7A67">
              <w:rPr>
                <w:i/>
                <w:sz w:val="20"/>
                <w:lang w:val="fr-CA"/>
              </w:rPr>
              <w:t>Règlement sur la protection des passagers aériens,</w:t>
            </w:r>
            <w:r w:rsidRPr="006F7A67">
              <w:rPr>
                <w:sz w:val="20"/>
                <w:lang w:val="fr-CA"/>
              </w:rPr>
              <w:t xml:space="preserve"> DORS/2019</w:t>
            </w:r>
            <w:r w:rsidRPr="006F7A67">
              <w:rPr>
                <w:sz w:val="20"/>
                <w:lang w:val="fr-CA"/>
              </w:rPr>
              <w:noBreakHyphen/>
              <w:t>150, prévoient le débarquement des passagers si leur aéronef est retardé sur l’aire de trafic. Les demandeurs ont contesté les par. 9(1) et 9(2) par voie de requête en autorisation d’interjeter appel à la Cour d’appel fédérale. La Cour d’appel fédérale a rejeté la requête.</w:t>
            </w:r>
          </w:p>
        </w:tc>
      </w:tr>
      <w:tr w:rsidR="00197F36" w:rsidRPr="006F7A67" w:rsidTr="0019255A">
        <w:tc>
          <w:tcPr>
            <w:tcW w:w="5000" w:type="pct"/>
            <w:gridSpan w:val="2"/>
          </w:tcPr>
          <w:p w:rsidR="00197F36" w:rsidRPr="006F7A67" w:rsidRDefault="00197F36" w:rsidP="0019255A">
            <w:pPr>
              <w:jc w:val="both"/>
              <w:rPr>
                <w:sz w:val="20"/>
                <w:lang w:val="fr-CA"/>
              </w:rPr>
            </w:pPr>
          </w:p>
        </w:tc>
      </w:tr>
    </w:tbl>
    <w:p w:rsidR="001A0C1D" w:rsidRPr="006F7A67" w:rsidRDefault="001A0C1D">
      <w:r w:rsidRPr="006F7A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7F36" w:rsidRPr="00DB0D35" w:rsidTr="0019255A">
        <w:tc>
          <w:tcPr>
            <w:tcW w:w="2427" w:type="pct"/>
          </w:tcPr>
          <w:p w:rsidR="00197F36" w:rsidRPr="006F7A67" w:rsidRDefault="00197F36" w:rsidP="0019255A">
            <w:pPr>
              <w:jc w:val="both"/>
              <w:rPr>
                <w:sz w:val="20"/>
                <w:lang w:val="fr-CA"/>
              </w:rPr>
            </w:pPr>
            <w:r w:rsidRPr="006F7A67">
              <w:rPr>
                <w:sz w:val="20"/>
                <w:lang w:val="fr-CA"/>
              </w:rPr>
              <w:t>15 août 2019</w:t>
            </w:r>
          </w:p>
          <w:p w:rsidR="00197F36" w:rsidRPr="006F7A67" w:rsidRDefault="00197F36" w:rsidP="0019255A">
            <w:pPr>
              <w:jc w:val="both"/>
              <w:rPr>
                <w:sz w:val="20"/>
                <w:lang w:val="fr-CA"/>
              </w:rPr>
            </w:pPr>
            <w:r w:rsidRPr="006F7A67">
              <w:rPr>
                <w:sz w:val="20"/>
                <w:lang w:val="fr-CA"/>
              </w:rPr>
              <w:t>Cour d’appel fédérale</w:t>
            </w:r>
          </w:p>
          <w:p w:rsidR="00197F36" w:rsidRPr="006F7A67" w:rsidRDefault="00197F36" w:rsidP="0019255A">
            <w:pPr>
              <w:jc w:val="both"/>
              <w:rPr>
                <w:sz w:val="20"/>
                <w:lang w:val="fr-CA"/>
              </w:rPr>
            </w:pPr>
            <w:r w:rsidRPr="006F7A67">
              <w:rPr>
                <w:sz w:val="20"/>
                <w:lang w:val="fr-CA"/>
              </w:rPr>
              <w:t xml:space="preserve">(Juges </w:t>
            </w:r>
            <w:proofErr w:type="spellStart"/>
            <w:r w:rsidRPr="006F7A67">
              <w:rPr>
                <w:sz w:val="20"/>
                <w:lang w:val="fr-CA"/>
              </w:rPr>
              <w:t>Stratas</w:t>
            </w:r>
            <w:proofErr w:type="spellEnd"/>
            <w:r w:rsidRPr="006F7A67">
              <w:rPr>
                <w:sz w:val="20"/>
                <w:lang w:val="fr-CA"/>
              </w:rPr>
              <w:t>, de Montigny et Woods)</w:t>
            </w:r>
          </w:p>
          <w:p w:rsidR="00197F36" w:rsidRPr="006F7A67" w:rsidRDefault="00197F36" w:rsidP="0019255A">
            <w:pPr>
              <w:jc w:val="both"/>
              <w:rPr>
                <w:sz w:val="20"/>
                <w:lang w:val="fr-CA"/>
              </w:rPr>
            </w:pPr>
            <w:r w:rsidRPr="006F7A67">
              <w:rPr>
                <w:sz w:val="20"/>
                <w:lang w:val="fr-CA"/>
              </w:rPr>
              <w:t>(non publié)</w:t>
            </w:r>
          </w:p>
          <w:p w:rsidR="00197F36" w:rsidRPr="006F7A67" w:rsidRDefault="00197F36" w:rsidP="0019255A">
            <w:pPr>
              <w:jc w:val="both"/>
              <w:rPr>
                <w:sz w:val="20"/>
                <w:lang w:val="fr-CA"/>
              </w:rPr>
            </w:pPr>
            <w:r w:rsidRPr="006F7A67">
              <w:rPr>
                <w:sz w:val="20"/>
                <w:lang w:val="fr-CA"/>
              </w:rPr>
              <w:t>19</w:t>
            </w:r>
            <w:r w:rsidRPr="006F7A67">
              <w:rPr>
                <w:sz w:val="20"/>
                <w:lang w:val="fr-CA"/>
              </w:rPr>
              <w:noBreakHyphen/>
              <w:t>A</w:t>
            </w:r>
            <w:r w:rsidRPr="006F7A67">
              <w:rPr>
                <w:sz w:val="20"/>
                <w:lang w:val="fr-CA"/>
              </w:rPr>
              <w:noBreakHyphen/>
              <w:t>28</w:t>
            </w:r>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Rejet de la requête en autorisation d’interjeter appel</w:t>
            </w:r>
          </w:p>
          <w:p w:rsidR="00197F36" w:rsidRPr="006F7A67" w:rsidRDefault="00197F36" w:rsidP="0019255A">
            <w:pPr>
              <w:jc w:val="both"/>
              <w:rPr>
                <w:sz w:val="20"/>
                <w:lang w:val="fr-CA"/>
              </w:rPr>
            </w:pPr>
          </w:p>
        </w:tc>
      </w:tr>
      <w:tr w:rsidR="00197F36" w:rsidRPr="00DB0D35" w:rsidTr="0019255A">
        <w:tc>
          <w:tcPr>
            <w:tcW w:w="2427" w:type="pct"/>
          </w:tcPr>
          <w:p w:rsidR="00197F36" w:rsidRPr="006F7A67" w:rsidRDefault="00197F36" w:rsidP="0019255A">
            <w:pPr>
              <w:jc w:val="both"/>
              <w:rPr>
                <w:sz w:val="20"/>
                <w:lang w:val="fr-CA"/>
              </w:rPr>
            </w:pPr>
            <w:r w:rsidRPr="006F7A67">
              <w:rPr>
                <w:sz w:val="20"/>
                <w:lang w:val="fr-CA"/>
              </w:rPr>
              <w:t>11 octobre 2019</w:t>
            </w:r>
          </w:p>
          <w:p w:rsidR="00197F36" w:rsidRPr="006F7A67" w:rsidRDefault="00197F36" w:rsidP="0019255A">
            <w:pPr>
              <w:jc w:val="both"/>
              <w:rPr>
                <w:sz w:val="20"/>
                <w:lang w:val="fr-CA"/>
              </w:rPr>
            </w:pPr>
            <w:r w:rsidRPr="006F7A67">
              <w:rPr>
                <w:sz w:val="20"/>
                <w:lang w:val="fr-CA"/>
              </w:rPr>
              <w:t>Cour suprême du Canada</w:t>
            </w: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Dépôt de la demande d’autorisation d’appel</w:t>
            </w:r>
          </w:p>
          <w:p w:rsidR="00197F36" w:rsidRPr="006F7A67" w:rsidRDefault="00197F36" w:rsidP="0019255A">
            <w:pPr>
              <w:jc w:val="both"/>
              <w:rPr>
                <w:sz w:val="20"/>
                <w:lang w:val="fr-CA"/>
              </w:rPr>
            </w:pPr>
          </w:p>
        </w:tc>
      </w:tr>
    </w:tbl>
    <w:p w:rsidR="00197F36" w:rsidRPr="006F7A67" w:rsidRDefault="00197F36" w:rsidP="00197F36">
      <w:pPr>
        <w:jc w:val="both"/>
        <w:rPr>
          <w:sz w:val="20"/>
          <w:lang w:val="fr-CA"/>
        </w:rPr>
      </w:pPr>
    </w:p>
    <w:p w:rsidR="00197F36" w:rsidRPr="006F7A67" w:rsidRDefault="00300F06" w:rsidP="00197F36">
      <w:pPr>
        <w:jc w:val="both"/>
        <w:rPr>
          <w:sz w:val="20"/>
          <w:lang w:val="fr-CA"/>
        </w:rPr>
      </w:pPr>
      <w:r>
        <w:rPr>
          <w:sz w:val="20"/>
        </w:rPr>
        <w:pict>
          <v:rect id="_x0000_i1064" style="width:2in;height:1pt" o:hrpct="0" o:hralign="center" o:hrstd="t" o:hrnoshade="t" o:hr="t" fillcolor="black [3213]" stroked="f"/>
        </w:pict>
      </w:r>
    </w:p>
    <w:p w:rsidR="00197F36" w:rsidRPr="006F7A67" w:rsidRDefault="00197F36" w:rsidP="00197F3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38952</w:t>
            </w:r>
          </w:p>
        </w:tc>
        <w:tc>
          <w:tcPr>
            <w:tcW w:w="4457" w:type="pct"/>
            <w:gridSpan w:val="3"/>
          </w:tcPr>
          <w:p w:rsidR="00197F36" w:rsidRPr="006F7A67" w:rsidRDefault="00197F36" w:rsidP="0019255A">
            <w:pPr>
              <w:pStyle w:val="SCCLsocParty"/>
              <w:jc w:val="both"/>
              <w:rPr>
                <w:b/>
                <w:sz w:val="20"/>
                <w:szCs w:val="20"/>
                <w:lang w:val="en-US"/>
              </w:rPr>
            </w:pPr>
            <w:r w:rsidRPr="006F7A67">
              <w:rPr>
                <w:b/>
                <w:sz w:val="20"/>
                <w:szCs w:val="20"/>
                <w:lang w:val="en-US"/>
              </w:rPr>
              <w:t>Songja Hasselsjo v. Dan Arcand</w:t>
            </w:r>
            <w:r w:rsidR="00F751C7" w:rsidRPr="006F7A67">
              <w:rPr>
                <w:b/>
                <w:sz w:val="20"/>
                <w:szCs w:val="20"/>
                <w:lang w:val="en-US"/>
              </w:rPr>
              <w:t xml:space="preserve"> and</w:t>
            </w:r>
            <w:r w:rsidRPr="006F7A67">
              <w:rPr>
                <w:b/>
                <w:sz w:val="20"/>
                <w:szCs w:val="20"/>
                <w:lang w:val="en-US"/>
              </w:rPr>
              <w:t xml:space="preserve"> TD Canada Trust</w:t>
            </w:r>
          </w:p>
          <w:p w:rsidR="00197F36" w:rsidRPr="006F7A67" w:rsidRDefault="00197F36" w:rsidP="0019255A">
            <w:pPr>
              <w:jc w:val="both"/>
              <w:rPr>
                <w:sz w:val="20"/>
              </w:rPr>
            </w:pPr>
            <w:r w:rsidRPr="006F7A67">
              <w:rPr>
                <w:sz w:val="20"/>
              </w:rPr>
              <w:t>(Ont.) (Civil) (By Leave)</w:t>
            </w:r>
          </w:p>
        </w:tc>
      </w:tr>
      <w:tr w:rsidR="00F751C7" w:rsidRPr="006F7A67" w:rsidTr="0019255A">
        <w:tc>
          <w:tcPr>
            <w:tcW w:w="5000" w:type="pct"/>
            <w:gridSpan w:val="4"/>
          </w:tcPr>
          <w:p w:rsidR="00F751C7" w:rsidRPr="006F7A67" w:rsidRDefault="00F751C7" w:rsidP="00F751C7">
            <w:pPr>
              <w:jc w:val="both"/>
              <w:rPr>
                <w:sz w:val="20"/>
                <w:szCs w:val="20"/>
              </w:rPr>
            </w:pPr>
            <w:r w:rsidRPr="006F7A67">
              <w:rPr>
                <w:sz w:val="20"/>
                <w:szCs w:val="20"/>
              </w:rPr>
              <w:t>The motion for an extension of time to serve and file the reply is granted. The application for leave to appeal from the judgment of the Court of Appeal for Ontario, Number C66841, 2019 ONCA 735, dated September 13, 2019, is dismissed with costs.</w:t>
            </w:r>
          </w:p>
          <w:p w:rsidR="00F751C7" w:rsidRPr="006F7A67" w:rsidRDefault="00F751C7" w:rsidP="0019255A">
            <w:pPr>
              <w:jc w:val="both"/>
              <w:rPr>
                <w:sz w:val="20"/>
              </w:rPr>
            </w:pPr>
          </w:p>
        </w:tc>
      </w:tr>
      <w:tr w:rsidR="00197F36" w:rsidRPr="006F7A67" w:rsidTr="0019255A">
        <w:tc>
          <w:tcPr>
            <w:tcW w:w="5000" w:type="pct"/>
            <w:gridSpan w:val="4"/>
          </w:tcPr>
          <w:p w:rsidR="00197F36" w:rsidRPr="006F7A67" w:rsidRDefault="00197F36" w:rsidP="0019255A">
            <w:pPr>
              <w:jc w:val="both"/>
              <w:rPr>
                <w:sz w:val="20"/>
              </w:rPr>
            </w:pPr>
            <w:r w:rsidRPr="006F7A67">
              <w:rPr>
                <w:sz w:val="20"/>
              </w:rPr>
              <w:t>Judgments and summary orders — Summary judgment — Bank gave client notice that it was closing her accounts — Bank accounts closed — Whether the lower courts misapprehended or ignored the evidence — Whether bank was contractually permitted to close client’s accounts — Whether bank was shown to have behaved improperly.</w:t>
            </w:r>
          </w:p>
        </w:tc>
      </w:tr>
      <w:tr w:rsidR="00197F36" w:rsidRPr="006F7A67" w:rsidTr="0019255A">
        <w:tc>
          <w:tcPr>
            <w:tcW w:w="5000" w:type="pct"/>
            <w:gridSpan w:val="4"/>
          </w:tcPr>
          <w:p w:rsidR="00197F36" w:rsidRPr="006F7A67" w:rsidRDefault="00197F36" w:rsidP="0019255A">
            <w:pPr>
              <w:jc w:val="both"/>
              <w:rPr>
                <w:sz w:val="20"/>
              </w:rPr>
            </w:pPr>
          </w:p>
        </w:tc>
      </w:tr>
      <w:tr w:rsidR="00197F36" w:rsidRPr="006F7A67" w:rsidTr="0019255A">
        <w:tc>
          <w:tcPr>
            <w:tcW w:w="5000" w:type="pct"/>
            <w:gridSpan w:val="4"/>
          </w:tcPr>
          <w:p w:rsidR="00197F36" w:rsidRPr="006F7A67" w:rsidRDefault="00197F36" w:rsidP="0019255A">
            <w:pPr>
              <w:jc w:val="both"/>
              <w:rPr>
                <w:sz w:val="20"/>
              </w:rPr>
            </w:pPr>
            <w:r w:rsidRPr="006F7A67">
              <w:rPr>
                <w:sz w:val="20"/>
              </w:rPr>
              <w:t>Ms. </w:t>
            </w:r>
            <w:proofErr w:type="spellStart"/>
            <w:r w:rsidRPr="006F7A67">
              <w:rPr>
                <w:sz w:val="20"/>
              </w:rPr>
              <w:t>Hasseljo</w:t>
            </w:r>
            <w:proofErr w:type="spellEnd"/>
            <w:r w:rsidRPr="006F7A67">
              <w:rPr>
                <w:sz w:val="20"/>
              </w:rPr>
              <w:t xml:space="preserve"> held a number of accounts with TD Canada Trust. Having provided Ms. </w:t>
            </w:r>
            <w:proofErr w:type="spellStart"/>
            <w:r w:rsidRPr="006F7A67">
              <w:rPr>
                <w:sz w:val="20"/>
              </w:rPr>
              <w:t>Hasseljo</w:t>
            </w:r>
            <w:proofErr w:type="spellEnd"/>
            <w:r w:rsidRPr="006F7A67">
              <w:rPr>
                <w:sz w:val="20"/>
              </w:rPr>
              <w:t xml:space="preserve"> with between 10 and 12 weeks’ notice of its intention to terminate her accounts, TD Canada Trust closed her accounts and terminated their banking relationship. Ms. </w:t>
            </w:r>
            <w:proofErr w:type="spellStart"/>
            <w:r w:rsidRPr="006F7A67">
              <w:rPr>
                <w:sz w:val="20"/>
              </w:rPr>
              <w:t>Hasslejo</w:t>
            </w:r>
            <w:proofErr w:type="spellEnd"/>
            <w:r w:rsidRPr="006F7A67">
              <w:rPr>
                <w:sz w:val="20"/>
              </w:rPr>
              <w:t xml:space="preserve"> initiated a claim for general, specific, punitive and exemplary damages for breach of contract, breach of consumer protection acts, negligent closure of accounts due to libellous and malicious accusations concerning her behaviour, serious defamation causing harm, unjust enrichment, and waiver of tort.</w:t>
            </w:r>
          </w:p>
          <w:p w:rsidR="00197F36" w:rsidRPr="006F7A67" w:rsidRDefault="00197F36" w:rsidP="0019255A">
            <w:pPr>
              <w:jc w:val="both"/>
              <w:rPr>
                <w:sz w:val="20"/>
              </w:rPr>
            </w:pPr>
          </w:p>
          <w:p w:rsidR="00197F36" w:rsidRPr="006F7A67" w:rsidRDefault="00197F36" w:rsidP="0019255A">
            <w:pPr>
              <w:jc w:val="both"/>
              <w:rPr>
                <w:sz w:val="20"/>
              </w:rPr>
            </w:pPr>
            <w:r w:rsidRPr="006F7A67">
              <w:rPr>
                <w:sz w:val="20"/>
              </w:rPr>
              <w:t>By endorsement, the motions judge found that there was no genuine issue for trial and granted summary judgment. The Court of Appeal dismissed Ms. </w:t>
            </w:r>
            <w:proofErr w:type="spellStart"/>
            <w:r w:rsidRPr="006F7A67">
              <w:rPr>
                <w:sz w:val="20"/>
              </w:rPr>
              <w:t>Hasseljo’s</w:t>
            </w:r>
            <w:proofErr w:type="spellEnd"/>
            <w:r w:rsidRPr="006F7A67">
              <w:rPr>
                <w:sz w:val="20"/>
              </w:rPr>
              <w:t xml:space="preserve"> motion for leave to appeal the award of costs and the appeal itself.</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April 16, 2019</w:t>
            </w:r>
          </w:p>
          <w:p w:rsidR="00197F36" w:rsidRPr="006F7A67" w:rsidRDefault="00197F36" w:rsidP="0019255A">
            <w:pPr>
              <w:jc w:val="both"/>
              <w:rPr>
                <w:sz w:val="20"/>
              </w:rPr>
            </w:pPr>
            <w:r w:rsidRPr="006F7A67">
              <w:rPr>
                <w:sz w:val="20"/>
              </w:rPr>
              <w:t>Ontario Superior Court of Justice</w:t>
            </w:r>
          </w:p>
          <w:p w:rsidR="00197F36" w:rsidRPr="006F7A67" w:rsidRDefault="00197F36" w:rsidP="0019255A">
            <w:pPr>
              <w:jc w:val="both"/>
              <w:rPr>
                <w:sz w:val="20"/>
              </w:rPr>
            </w:pPr>
            <w:r w:rsidRPr="006F7A67">
              <w:rPr>
                <w:sz w:val="20"/>
              </w:rPr>
              <w:t>(Goodman J.)</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Motion for summary judgment granted with costs fixes at $2,500</w:t>
            </w:r>
          </w:p>
        </w:tc>
      </w:tr>
      <w:tr w:rsidR="00197F36" w:rsidRPr="006F7A67" w:rsidTr="0019255A">
        <w:tc>
          <w:tcPr>
            <w:tcW w:w="2427" w:type="pct"/>
            <w:gridSpan w:val="2"/>
          </w:tcPr>
          <w:p w:rsidR="00197F36" w:rsidRPr="006F7A67" w:rsidRDefault="00197F36" w:rsidP="0019255A">
            <w:pPr>
              <w:jc w:val="both"/>
              <w:rPr>
                <w:sz w:val="20"/>
              </w:rPr>
            </w:pPr>
            <w:r w:rsidRPr="006F7A67">
              <w:rPr>
                <w:sz w:val="20"/>
              </w:rPr>
              <w:t>September 13, 2019</w:t>
            </w:r>
          </w:p>
          <w:p w:rsidR="00197F36" w:rsidRPr="006F7A67" w:rsidRDefault="00197F36" w:rsidP="0019255A">
            <w:pPr>
              <w:jc w:val="both"/>
              <w:rPr>
                <w:sz w:val="20"/>
              </w:rPr>
            </w:pPr>
            <w:r w:rsidRPr="006F7A67">
              <w:rPr>
                <w:sz w:val="20"/>
              </w:rPr>
              <w:t>Court of Appeal for Ontario</w:t>
            </w:r>
          </w:p>
          <w:p w:rsidR="00197F36" w:rsidRPr="006F7A67" w:rsidRDefault="00197F36" w:rsidP="0019255A">
            <w:pPr>
              <w:jc w:val="both"/>
              <w:rPr>
                <w:sz w:val="20"/>
              </w:rPr>
            </w:pPr>
            <w:r w:rsidRPr="006F7A67">
              <w:rPr>
                <w:sz w:val="20"/>
              </w:rPr>
              <w:t>(Hoy A.C.J.O., Nordheimer and Jamal JJ.A.)</w:t>
            </w:r>
          </w:p>
          <w:p w:rsidR="00197F36" w:rsidRPr="006F7A67" w:rsidRDefault="00300F06" w:rsidP="0019255A">
            <w:pPr>
              <w:jc w:val="both"/>
              <w:rPr>
                <w:sz w:val="20"/>
              </w:rPr>
            </w:pPr>
            <w:hyperlink r:id="rId77" w:history="1">
              <w:r w:rsidR="00197F36" w:rsidRPr="006F7A67">
                <w:rPr>
                  <w:rStyle w:val="Hyperlink"/>
                  <w:sz w:val="20"/>
                </w:rPr>
                <w:t>2019 ONCA 735</w:t>
              </w:r>
            </w:hyperlink>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rPr>
            </w:pPr>
            <w:r w:rsidRPr="006F7A67">
              <w:rPr>
                <w:sz w:val="20"/>
              </w:rPr>
              <w:t>Motion for leave to appeal order of costs dismissed; appeal dismissed</w:t>
            </w:r>
          </w:p>
        </w:tc>
      </w:tr>
      <w:tr w:rsidR="00197F36" w:rsidRPr="006F7A67" w:rsidTr="0019255A">
        <w:tc>
          <w:tcPr>
            <w:tcW w:w="2427" w:type="pct"/>
            <w:gridSpan w:val="2"/>
          </w:tcPr>
          <w:p w:rsidR="00197F36" w:rsidRPr="006F7A67" w:rsidRDefault="00197F36" w:rsidP="0019255A">
            <w:pPr>
              <w:jc w:val="both"/>
              <w:rPr>
                <w:sz w:val="20"/>
              </w:rPr>
            </w:pPr>
            <w:r w:rsidRPr="006F7A67">
              <w:rPr>
                <w:sz w:val="20"/>
              </w:rPr>
              <w:t>November 7, 2019</w:t>
            </w:r>
          </w:p>
          <w:p w:rsidR="00197F36" w:rsidRPr="006F7A67" w:rsidRDefault="00197F36" w:rsidP="0019255A">
            <w:pPr>
              <w:jc w:val="both"/>
              <w:rPr>
                <w:sz w:val="20"/>
              </w:rPr>
            </w:pPr>
            <w:r w:rsidRPr="006F7A67">
              <w:rPr>
                <w:sz w:val="20"/>
              </w:rPr>
              <w:t>Supreme Court of Canada</w:t>
            </w:r>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leave to appeal filed</w:t>
            </w:r>
          </w:p>
          <w:p w:rsidR="00197F36" w:rsidRPr="006F7A67" w:rsidRDefault="00197F36" w:rsidP="0019255A">
            <w:pPr>
              <w:jc w:val="both"/>
              <w:rPr>
                <w:sz w:val="20"/>
              </w:rPr>
            </w:pPr>
          </w:p>
        </w:tc>
      </w:tr>
      <w:tr w:rsidR="00197F36" w:rsidRPr="006F7A67" w:rsidTr="0019255A">
        <w:tc>
          <w:tcPr>
            <w:tcW w:w="2427" w:type="pct"/>
            <w:gridSpan w:val="2"/>
          </w:tcPr>
          <w:p w:rsidR="00197F36" w:rsidRPr="006F7A67" w:rsidRDefault="00197F36" w:rsidP="0019255A">
            <w:pPr>
              <w:jc w:val="both"/>
              <w:rPr>
                <w:sz w:val="20"/>
              </w:rPr>
            </w:pPr>
            <w:r w:rsidRPr="006F7A67">
              <w:rPr>
                <w:sz w:val="20"/>
              </w:rPr>
              <w:t>March 3, 2020</w:t>
            </w:r>
          </w:p>
          <w:p w:rsidR="00197F36" w:rsidRPr="006F7A67" w:rsidRDefault="00197F36" w:rsidP="0019255A">
            <w:pPr>
              <w:jc w:val="both"/>
              <w:rPr>
                <w:sz w:val="20"/>
              </w:rPr>
            </w:pPr>
            <w:r w:rsidRPr="006F7A67">
              <w:rPr>
                <w:sz w:val="20"/>
              </w:rPr>
              <w:t>Supreme Court of Canada</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Motion to extend time to serve and file reply filed</w:t>
            </w: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65" style="width:2in;height:1pt" o:hrpct="0" o:hralign="center" o:hrstd="t" o:hrnoshade="t" o:hr="t" fillcolor="black [3213]" stroked="f"/>
        </w:pict>
      </w:r>
    </w:p>
    <w:p w:rsidR="00197F36" w:rsidRPr="006F7A67" w:rsidRDefault="00197F36" w:rsidP="00197F36">
      <w:pPr>
        <w:jc w:val="both"/>
        <w:rPr>
          <w:sz w:val="20"/>
        </w:rPr>
      </w:pPr>
    </w:p>
    <w:p w:rsidR="001A0C1D" w:rsidRPr="006F7A67" w:rsidRDefault="001A0C1D">
      <w:r w:rsidRPr="006F7A6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DB0D35" w:rsidTr="0019255A">
        <w:tc>
          <w:tcPr>
            <w:tcW w:w="543" w:type="pct"/>
          </w:tcPr>
          <w:p w:rsidR="00197F36" w:rsidRPr="006F7A67" w:rsidRDefault="00197F36" w:rsidP="0019255A">
            <w:pPr>
              <w:jc w:val="both"/>
              <w:rPr>
                <w:sz w:val="20"/>
                <w:lang w:val="fr-CA"/>
              </w:rPr>
            </w:pPr>
            <w:r w:rsidRPr="006F7A67">
              <w:rPr>
                <w:rStyle w:val="SCCFileNumberChar"/>
                <w:sz w:val="20"/>
                <w:szCs w:val="20"/>
                <w:lang w:val="fr-CA"/>
              </w:rPr>
              <w:t>38952</w:t>
            </w:r>
          </w:p>
        </w:tc>
        <w:tc>
          <w:tcPr>
            <w:tcW w:w="4457" w:type="pct"/>
            <w:gridSpan w:val="3"/>
          </w:tcPr>
          <w:p w:rsidR="00197F36" w:rsidRPr="006F7A67" w:rsidRDefault="00197F36" w:rsidP="0019255A">
            <w:pPr>
              <w:pStyle w:val="SCCLsocParty"/>
              <w:jc w:val="both"/>
              <w:rPr>
                <w:b/>
                <w:sz w:val="20"/>
                <w:szCs w:val="20"/>
              </w:rPr>
            </w:pPr>
            <w:r w:rsidRPr="006F7A67">
              <w:rPr>
                <w:b/>
                <w:sz w:val="20"/>
                <w:szCs w:val="20"/>
              </w:rPr>
              <w:t>Songja Hasselsjo c. Dan Arcand</w:t>
            </w:r>
            <w:r w:rsidR="00F751C7" w:rsidRPr="006F7A67">
              <w:rPr>
                <w:b/>
                <w:sz w:val="20"/>
                <w:szCs w:val="20"/>
              </w:rPr>
              <w:t xml:space="preserve"> et</w:t>
            </w:r>
            <w:r w:rsidRPr="006F7A67">
              <w:rPr>
                <w:b/>
                <w:sz w:val="20"/>
                <w:szCs w:val="20"/>
              </w:rPr>
              <w:t xml:space="preserve"> TD Canada Trust</w:t>
            </w:r>
          </w:p>
          <w:p w:rsidR="00197F36" w:rsidRPr="006F7A67" w:rsidRDefault="00197F36" w:rsidP="0019255A">
            <w:pPr>
              <w:jc w:val="both"/>
              <w:rPr>
                <w:sz w:val="20"/>
                <w:lang w:val="fr-CA"/>
              </w:rPr>
            </w:pPr>
            <w:r w:rsidRPr="006F7A67">
              <w:rPr>
                <w:sz w:val="20"/>
                <w:lang w:val="fr-CA"/>
              </w:rPr>
              <w:t>(Ont.) (Civile) (Autorisation)</w:t>
            </w:r>
          </w:p>
        </w:tc>
      </w:tr>
      <w:tr w:rsidR="00F751C7" w:rsidRPr="00DB0D35" w:rsidTr="0019255A">
        <w:tc>
          <w:tcPr>
            <w:tcW w:w="5000" w:type="pct"/>
            <w:gridSpan w:val="4"/>
          </w:tcPr>
          <w:p w:rsidR="00F751C7" w:rsidRPr="006F7A67" w:rsidRDefault="00F751C7" w:rsidP="0019255A">
            <w:pPr>
              <w:jc w:val="both"/>
              <w:rPr>
                <w:sz w:val="20"/>
                <w:szCs w:val="20"/>
                <w:lang w:val="fr-CA"/>
              </w:rPr>
            </w:pPr>
            <w:r w:rsidRPr="006F7A67">
              <w:rPr>
                <w:sz w:val="20"/>
                <w:szCs w:val="20"/>
                <w:lang w:val="fr-CA"/>
              </w:rPr>
              <w:t>La requête en prorogation du délai de signification et de dépôt de la réplique est accueillie. La demande d’autorisation d’appel de l’arrêt de la Cour d’appel de l’Ontario, numéro C66841, 2019 ONCA 735, daté du 13 septembre 2019, est rejetée avec dépens.</w:t>
            </w:r>
          </w:p>
          <w:p w:rsidR="00F751C7" w:rsidRPr="006F7A67" w:rsidRDefault="00F751C7" w:rsidP="0019255A">
            <w:pPr>
              <w:jc w:val="both"/>
              <w:rPr>
                <w:sz w:val="20"/>
                <w:lang w:val="fr-CA"/>
              </w:rPr>
            </w:pPr>
          </w:p>
        </w:tc>
      </w:tr>
      <w:tr w:rsidR="00197F36" w:rsidRPr="00DB0D35" w:rsidTr="0019255A">
        <w:tc>
          <w:tcPr>
            <w:tcW w:w="5000" w:type="pct"/>
            <w:gridSpan w:val="4"/>
          </w:tcPr>
          <w:p w:rsidR="00197F36" w:rsidRPr="006F7A67" w:rsidRDefault="00197F36" w:rsidP="0019255A">
            <w:pPr>
              <w:jc w:val="both"/>
              <w:rPr>
                <w:sz w:val="20"/>
                <w:lang w:val="fr-CA"/>
              </w:rPr>
            </w:pPr>
            <w:r w:rsidRPr="006F7A67">
              <w:rPr>
                <w:sz w:val="20"/>
                <w:lang w:val="fr-CA"/>
              </w:rPr>
              <w:t>Jugements et ordonnances sommaires — Jugement sommaire — La banque a avisé sa cliente qu’elle fermait ses comptes — Les comptes bancaires ont été fermés — Les juridictions inférieures ont</w:t>
            </w:r>
            <w:r w:rsidRPr="006F7A67">
              <w:rPr>
                <w:sz w:val="20"/>
                <w:lang w:val="fr-CA"/>
              </w:rPr>
              <w:noBreakHyphen/>
              <w:t>elles mal interprété la preuve ou fait abstraction de celle</w:t>
            </w:r>
            <w:r w:rsidRPr="006F7A67">
              <w:rPr>
                <w:sz w:val="20"/>
                <w:lang w:val="fr-CA"/>
              </w:rPr>
              <w:noBreakHyphen/>
              <w:t>ci? — La banque était</w:t>
            </w:r>
            <w:r w:rsidRPr="006F7A67">
              <w:rPr>
                <w:sz w:val="20"/>
                <w:lang w:val="fr-CA"/>
              </w:rPr>
              <w:noBreakHyphen/>
              <w:t>elle contractuellement autorisée à fermer les comptes de la cliente? — A</w:t>
            </w:r>
            <w:r w:rsidRPr="006F7A67">
              <w:rPr>
                <w:sz w:val="20"/>
                <w:lang w:val="fr-CA"/>
              </w:rPr>
              <w:noBreakHyphen/>
              <w:t>t</w:t>
            </w:r>
            <w:r w:rsidRPr="006F7A67">
              <w:rPr>
                <w:sz w:val="20"/>
                <w:lang w:val="fr-CA"/>
              </w:rPr>
              <w:noBreakHyphen/>
              <w:t>on fait la preuve que la banque a mal agi?</w:t>
            </w:r>
          </w:p>
        </w:tc>
      </w:tr>
      <w:tr w:rsidR="00197F36" w:rsidRPr="00DB0D35" w:rsidTr="0019255A">
        <w:tc>
          <w:tcPr>
            <w:tcW w:w="5000" w:type="pct"/>
            <w:gridSpan w:val="4"/>
          </w:tcPr>
          <w:p w:rsidR="00197F36" w:rsidRPr="006F7A67" w:rsidRDefault="00197F36" w:rsidP="0019255A">
            <w:pPr>
              <w:jc w:val="both"/>
              <w:rPr>
                <w:sz w:val="20"/>
                <w:lang w:val="fr-CA"/>
              </w:rPr>
            </w:pPr>
          </w:p>
        </w:tc>
      </w:tr>
      <w:tr w:rsidR="00197F36" w:rsidRPr="00DB0D35" w:rsidTr="0019255A">
        <w:tc>
          <w:tcPr>
            <w:tcW w:w="5000" w:type="pct"/>
            <w:gridSpan w:val="4"/>
          </w:tcPr>
          <w:p w:rsidR="00197F36" w:rsidRPr="006F7A67" w:rsidRDefault="00197F36" w:rsidP="0019255A">
            <w:pPr>
              <w:jc w:val="both"/>
              <w:rPr>
                <w:sz w:val="20"/>
                <w:lang w:val="fr-CA"/>
              </w:rPr>
            </w:pPr>
            <w:r w:rsidRPr="006F7A67">
              <w:rPr>
                <w:sz w:val="20"/>
                <w:lang w:val="fr-CA"/>
              </w:rPr>
              <w:t>Madame </w:t>
            </w:r>
            <w:proofErr w:type="spellStart"/>
            <w:r w:rsidRPr="006F7A67">
              <w:rPr>
                <w:sz w:val="20"/>
                <w:lang w:val="fr-CA"/>
              </w:rPr>
              <w:t>Hasseljo</w:t>
            </w:r>
            <w:proofErr w:type="spellEnd"/>
            <w:r w:rsidRPr="006F7A67">
              <w:rPr>
                <w:sz w:val="20"/>
                <w:lang w:val="fr-CA"/>
              </w:rPr>
              <w:t xml:space="preserve"> était titulaire d’un certain nombre de comptes chez TD Canada Trust. Ayant donné à Mme </w:t>
            </w:r>
            <w:proofErr w:type="spellStart"/>
            <w:r w:rsidRPr="006F7A67">
              <w:rPr>
                <w:sz w:val="20"/>
                <w:lang w:val="fr-CA"/>
              </w:rPr>
              <w:t>Hasseljo</w:t>
            </w:r>
            <w:proofErr w:type="spellEnd"/>
            <w:r w:rsidRPr="006F7A67">
              <w:rPr>
                <w:sz w:val="20"/>
                <w:lang w:val="fr-CA"/>
              </w:rPr>
              <w:t xml:space="preserve"> un préavis de 10 à 12 semaines de son intention de fermer ses comptes, TD Canada Trust a fermé ses comptes et mis fin à leur relation bancaire. Madame </w:t>
            </w:r>
            <w:proofErr w:type="spellStart"/>
            <w:r w:rsidRPr="006F7A67">
              <w:rPr>
                <w:sz w:val="20"/>
                <w:lang w:val="fr-CA"/>
              </w:rPr>
              <w:t>Hasseljo</w:t>
            </w:r>
            <w:proofErr w:type="spellEnd"/>
            <w:r w:rsidRPr="006F7A67">
              <w:rPr>
                <w:sz w:val="20"/>
                <w:lang w:val="fr-CA"/>
              </w:rPr>
              <w:t xml:space="preserve"> a introduit une demande en dommages</w:t>
            </w:r>
            <w:r w:rsidRPr="006F7A67">
              <w:rPr>
                <w:sz w:val="20"/>
                <w:lang w:val="fr-CA"/>
              </w:rPr>
              <w:noBreakHyphen/>
              <w:t>intérêts généraux, spécifiques, punitifs et exemplaires pour violation de contrat, violations de lois sur la protection du consommateur, fermeture par négligence de comptes fondée sur des accusations diffamatoires et malveillantes concernant son comportement, diffamation grave causant un préjudice, enrichissement injustifié et renonciation au recours délictuel.</w:t>
            </w:r>
          </w:p>
          <w:p w:rsidR="00197F36" w:rsidRPr="006F7A67" w:rsidRDefault="00197F36" w:rsidP="0019255A">
            <w:pPr>
              <w:jc w:val="both"/>
              <w:rPr>
                <w:sz w:val="20"/>
                <w:lang w:val="fr-CA"/>
              </w:rPr>
            </w:pPr>
          </w:p>
          <w:p w:rsidR="00197F36" w:rsidRPr="006F7A67" w:rsidRDefault="00197F36" w:rsidP="0019255A">
            <w:pPr>
              <w:jc w:val="both"/>
              <w:rPr>
                <w:sz w:val="20"/>
                <w:lang w:val="fr-CA"/>
              </w:rPr>
            </w:pPr>
            <w:r w:rsidRPr="006F7A67">
              <w:rPr>
                <w:sz w:val="20"/>
                <w:lang w:val="fr-CA"/>
              </w:rPr>
              <w:t>Par certificat, le juge de première instance a conclu que la demande ne soulevait aucune question litigieuse nécessitant la tenue d’une instruction et a prononcé un jugement sommaire. La Cour d’appel a rejeté la motion de Mme </w:t>
            </w:r>
            <w:proofErr w:type="spellStart"/>
            <w:r w:rsidRPr="006F7A67">
              <w:rPr>
                <w:sz w:val="20"/>
                <w:lang w:val="fr-CA"/>
              </w:rPr>
              <w:t>Hasseljo</w:t>
            </w:r>
            <w:proofErr w:type="spellEnd"/>
            <w:r w:rsidRPr="006F7A67">
              <w:rPr>
                <w:sz w:val="20"/>
                <w:lang w:val="fr-CA"/>
              </w:rPr>
              <w:t xml:space="preserve"> en autorisation d’interjeter appel de la condamnation aux dépens et l’appel lui</w:t>
            </w:r>
            <w:r w:rsidRPr="006F7A67">
              <w:rPr>
                <w:sz w:val="20"/>
                <w:lang w:val="fr-CA"/>
              </w:rPr>
              <w:noBreakHyphen/>
              <w:t>même.</w:t>
            </w:r>
          </w:p>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16 avril 2019</w:t>
            </w:r>
          </w:p>
          <w:p w:rsidR="00197F36" w:rsidRPr="006F7A67" w:rsidRDefault="00197F36" w:rsidP="0019255A">
            <w:pPr>
              <w:jc w:val="both"/>
              <w:rPr>
                <w:sz w:val="20"/>
                <w:lang w:val="fr-CA"/>
              </w:rPr>
            </w:pPr>
            <w:r w:rsidRPr="006F7A67">
              <w:rPr>
                <w:sz w:val="20"/>
                <w:lang w:val="fr-CA"/>
              </w:rPr>
              <w:t>Cour supérieure de justice de l’Ontario</w:t>
            </w:r>
          </w:p>
          <w:p w:rsidR="00197F36" w:rsidRPr="006F7A67" w:rsidRDefault="00197F36" w:rsidP="0019255A">
            <w:pPr>
              <w:jc w:val="both"/>
              <w:rPr>
                <w:sz w:val="20"/>
                <w:lang w:val="fr-CA"/>
              </w:rPr>
            </w:pPr>
            <w:r w:rsidRPr="006F7A67">
              <w:rPr>
                <w:sz w:val="20"/>
                <w:lang w:val="fr-CA"/>
              </w:rPr>
              <w:t>(Juge Goodman)</w:t>
            </w:r>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Jugement accueillant la motion en jugement sommaire avec dépens fixés à 2 500 $</w:t>
            </w: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13 septembre 2019</w:t>
            </w:r>
          </w:p>
          <w:p w:rsidR="00197F36" w:rsidRPr="006F7A67" w:rsidRDefault="00197F36" w:rsidP="0019255A">
            <w:pPr>
              <w:jc w:val="both"/>
              <w:rPr>
                <w:sz w:val="20"/>
                <w:lang w:val="fr-CA"/>
              </w:rPr>
            </w:pPr>
            <w:r w:rsidRPr="006F7A67">
              <w:rPr>
                <w:sz w:val="20"/>
                <w:lang w:val="fr-CA"/>
              </w:rPr>
              <w:t>Cour d’appel de l’Ontario</w:t>
            </w:r>
          </w:p>
          <w:p w:rsidR="00197F36" w:rsidRPr="006F7A67" w:rsidRDefault="00197F36" w:rsidP="0019255A">
            <w:pPr>
              <w:jc w:val="both"/>
              <w:rPr>
                <w:sz w:val="20"/>
                <w:lang w:val="fr-CA"/>
              </w:rPr>
            </w:pPr>
            <w:r w:rsidRPr="006F7A67">
              <w:rPr>
                <w:sz w:val="20"/>
                <w:lang w:val="fr-CA"/>
              </w:rPr>
              <w:t>(Juge en chef adjointe Hoy, juges Nordheimer et Jamal)</w:t>
            </w:r>
          </w:p>
          <w:p w:rsidR="00197F36" w:rsidRPr="006F7A67" w:rsidRDefault="00300F06" w:rsidP="0019255A">
            <w:pPr>
              <w:jc w:val="both"/>
              <w:rPr>
                <w:sz w:val="20"/>
                <w:lang w:val="fr-CA"/>
              </w:rPr>
            </w:pPr>
            <w:hyperlink r:id="rId78" w:history="1">
              <w:r w:rsidR="00197F36" w:rsidRPr="006F7A67">
                <w:rPr>
                  <w:rStyle w:val="Hyperlink"/>
                  <w:sz w:val="20"/>
                  <w:lang w:val="fr-CA"/>
                </w:rPr>
                <w:t>2019 ONCA 735</w:t>
              </w:r>
            </w:hyperlink>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Rejet de la motion en autorisation d’interjeter appel et de l’appel</w:t>
            </w: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7 novembre 2019</w:t>
            </w:r>
          </w:p>
          <w:p w:rsidR="00197F36" w:rsidRPr="006F7A67" w:rsidRDefault="00197F36" w:rsidP="0019255A">
            <w:pPr>
              <w:jc w:val="both"/>
              <w:rPr>
                <w:sz w:val="20"/>
                <w:lang w:val="fr-CA"/>
              </w:rPr>
            </w:pPr>
            <w:r w:rsidRPr="006F7A67">
              <w:rPr>
                <w:sz w:val="20"/>
                <w:lang w:val="fr-CA"/>
              </w:rPr>
              <w:t>Cour suprême du Canada</w:t>
            </w:r>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Dépôt de la demande d’autorisation d’appel</w:t>
            </w:r>
          </w:p>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3 mars 2020</w:t>
            </w:r>
          </w:p>
          <w:p w:rsidR="00197F36" w:rsidRPr="006F7A67" w:rsidRDefault="00197F36" w:rsidP="0019255A">
            <w:pPr>
              <w:jc w:val="both"/>
              <w:rPr>
                <w:sz w:val="20"/>
                <w:lang w:val="fr-CA"/>
              </w:rPr>
            </w:pPr>
            <w:r w:rsidRPr="006F7A67">
              <w:rPr>
                <w:sz w:val="20"/>
                <w:lang w:val="fr-CA"/>
              </w:rPr>
              <w:t>Cour suprême du Canada</w:t>
            </w: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Dépôt de la requête en prorogation du délai de signification et de dépôt de la réplique</w:t>
            </w:r>
          </w:p>
        </w:tc>
      </w:tr>
    </w:tbl>
    <w:p w:rsidR="00197F36" w:rsidRPr="006F7A67" w:rsidRDefault="00197F36" w:rsidP="00197F36">
      <w:pPr>
        <w:jc w:val="both"/>
        <w:rPr>
          <w:sz w:val="20"/>
          <w:lang w:val="fr-CA"/>
        </w:rPr>
      </w:pPr>
    </w:p>
    <w:p w:rsidR="00197F36" w:rsidRPr="006F7A67" w:rsidRDefault="00300F06" w:rsidP="00197F36">
      <w:pPr>
        <w:ind w:left="142" w:hanging="142"/>
        <w:jc w:val="both"/>
        <w:rPr>
          <w:sz w:val="20"/>
          <w:lang w:val="fr-CA"/>
        </w:rPr>
      </w:pPr>
      <w:r>
        <w:rPr>
          <w:sz w:val="20"/>
        </w:rPr>
        <w:pict>
          <v:rect id="_x0000_i1066" style="width:2in;height:1pt" o:hrpct="0" o:hralign="center" o:hrstd="t" o:hrnoshade="t" o:hr="t" fillcolor="black [3213]" stroked="f"/>
        </w:pict>
      </w:r>
    </w:p>
    <w:p w:rsidR="00197F36" w:rsidRPr="006F7A67" w:rsidRDefault="00197F36" w:rsidP="00197F3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97F36" w:rsidRPr="006F7A67" w:rsidTr="0019255A">
        <w:tc>
          <w:tcPr>
            <w:tcW w:w="543" w:type="pct"/>
          </w:tcPr>
          <w:p w:rsidR="00197F36" w:rsidRPr="006F7A67" w:rsidRDefault="00197F36" w:rsidP="0019255A">
            <w:pPr>
              <w:jc w:val="both"/>
              <w:rPr>
                <w:sz w:val="20"/>
              </w:rPr>
            </w:pPr>
            <w:r w:rsidRPr="006F7A67">
              <w:rPr>
                <w:rStyle w:val="SCCFileNumberChar"/>
                <w:sz w:val="20"/>
                <w:szCs w:val="20"/>
              </w:rPr>
              <w:t>38959</w:t>
            </w:r>
          </w:p>
        </w:tc>
        <w:tc>
          <w:tcPr>
            <w:tcW w:w="4457" w:type="pct"/>
          </w:tcPr>
          <w:p w:rsidR="00197F36" w:rsidRPr="006F7A67" w:rsidRDefault="00197F36" w:rsidP="0019255A">
            <w:pPr>
              <w:pStyle w:val="SCCLsocParty"/>
              <w:jc w:val="both"/>
              <w:rPr>
                <w:b/>
                <w:sz w:val="20"/>
                <w:szCs w:val="20"/>
                <w:lang w:val="en-US"/>
              </w:rPr>
            </w:pPr>
            <w:r w:rsidRPr="006F7A67">
              <w:rPr>
                <w:b/>
                <w:sz w:val="20"/>
                <w:szCs w:val="20"/>
                <w:lang w:val="en-US"/>
              </w:rPr>
              <w:t xml:space="preserve">John (Jack) Wright v. </w:t>
            </w:r>
            <w:r w:rsidR="00D939BB" w:rsidRPr="006F7A67">
              <w:rPr>
                <w:b/>
                <w:sz w:val="20"/>
                <w:szCs w:val="20"/>
                <w:lang w:val="en-US"/>
              </w:rPr>
              <w:t>Anne Urbanek on her own behalf and as Trustee of the Wright Family Trust; as Trustee for the A. Urbanek Family Trust and as Estate Trustee for the Estate of Anne Wright, Jacqueline Strauss on her own behalf and as Trustee of the Wright Family Trust; as Trustee for the J. Strauss Family Trust and as Estate Trustee for the Estate of Anne Wright and Anjay Limited</w:t>
            </w:r>
          </w:p>
          <w:p w:rsidR="00197F36" w:rsidRPr="006F7A67" w:rsidRDefault="00197F36" w:rsidP="0019255A">
            <w:pPr>
              <w:jc w:val="both"/>
              <w:rPr>
                <w:sz w:val="20"/>
              </w:rPr>
            </w:pPr>
            <w:r w:rsidRPr="006F7A67">
              <w:rPr>
                <w:sz w:val="20"/>
              </w:rPr>
              <w:t>(Ont.) (Civil) (By Leave)</w:t>
            </w:r>
          </w:p>
        </w:tc>
      </w:tr>
      <w:tr w:rsidR="00D939BB" w:rsidRPr="006F7A67" w:rsidTr="0019255A">
        <w:tc>
          <w:tcPr>
            <w:tcW w:w="5000" w:type="pct"/>
            <w:gridSpan w:val="2"/>
          </w:tcPr>
          <w:p w:rsidR="00D939BB" w:rsidRPr="006F7A67" w:rsidRDefault="00D939BB" w:rsidP="00D939BB">
            <w:pPr>
              <w:jc w:val="both"/>
              <w:rPr>
                <w:sz w:val="20"/>
                <w:szCs w:val="20"/>
              </w:rPr>
            </w:pPr>
            <w:r w:rsidRPr="006F7A67">
              <w:rPr>
                <w:sz w:val="20"/>
                <w:szCs w:val="20"/>
              </w:rPr>
              <w:t>The application for leave to appeal from the judgment of the Court of Appeal for Ontario, Number C66581, 2019 ONCA 823, dated October 17, 2019, is dismissed.</w:t>
            </w:r>
          </w:p>
          <w:p w:rsidR="00D939BB" w:rsidRPr="006F7A67" w:rsidRDefault="00D939BB" w:rsidP="0019255A">
            <w:pPr>
              <w:jc w:val="both"/>
              <w:rPr>
                <w:spacing w:val="-2"/>
                <w:sz w:val="20"/>
              </w:rPr>
            </w:pPr>
          </w:p>
        </w:tc>
      </w:tr>
    </w:tbl>
    <w:p w:rsidR="001A0C1D" w:rsidRPr="006F7A67" w:rsidRDefault="001A0C1D">
      <w:r w:rsidRPr="006F7A6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97F36" w:rsidRPr="006F7A67" w:rsidTr="0019255A">
        <w:tc>
          <w:tcPr>
            <w:tcW w:w="5000" w:type="pct"/>
            <w:gridSpan w:val="3"/>
          </w:tcPr>
          <w:p w:rsidR="00197F36" w:rsidRPr="006F7A67" w:rsidRDefault="00197F36" w:rsidP="0019255A">
            <w:pPr>
              <w:jc w:val="both"/>
              <w:rPr>
                <w:spacing w:val="-2"/>
                <w:sz w:val="20"/>
              </w:rPr>
            </w:pPr>
            <w:r w:rsidRPr="006F7A67">
              <w:rPr>
                <w:spacing w:val="-2"/>
                <w:sz w:val="20"/>
              </w:rPr>
              <w:t xml:space="preserve">Civil procedure — Abuse of process — Whether the Court of Appeal extended the doctrine of abuse of process by </w:t>
            </w:r>
            <w:proofErr w:type="spellStart"/>
            <w:r w:rsidRPr="006F7A67">
              <w:rPr>
                <w:spacing w:val="-2"/>
                <w:sz w:val="20"/>
              </w:rPr>
              <w:t>relitigation</w:t>
            </w:r>
            <w:proofErr w:type="spellEnd"/>
            <w:r w:rsidRPr="006F7A67">
              <w:rPr>
                <w:spacing w:val="-2"/>
                <w:sz w:val="20"/>
              </w:rPr>
              <w:t xml:space="preserve"> beyond its proper confines — If so, whether it erred in law by so doing.</w:t>
            </w:r>
          </w:p>
        </w:tc>
      </w:tr>
      <w:tr w:rsidR="00197F36" w:rsidRPr="006F7A67" w:rsidTr="0019255A">
        <w:tc>
          <w:tcPr>
            <w:tcW w:w="5000" w:type="pct"/>
            <w:gridSpan w:val="3"/>
          </w:tcPr>
          <w:p w:rsidR="00197F36" w:rsidRPr="006F7A67" w:rsidRDefault="00197F36" w:rsidP="0019255A">
            <w:pPr>
              <w:jc w:val="both"/>
              <w:rPr>
                <w:sz w:val="20"/>
              </w:rPr>
            </w:pPr>
          </w:p>
        </w:tc>
      </w:tr>
      <w:tr w:rsidR="00197F36" w:rsidRPr="006F7A67" w:rsidTr="0019255A">
        <w:tc>
          <w:tcPr>
            <w:tcW w:w="5000" w:type="pct"/>
            <w:gridSpan w:val="3"/>
          </w:tcPr>
          <w:p w:rsidR="00197F36" w:rsidRPr="006F7A67" w:rsidRDefault="00197F36" w:rsidP="0019255A">
            <w:pPr>
              <w:jc w:val="both"/>
              <w:rPr>
                <w:sz w:val="20"/>
              </w:rPr>
            </w:pPr>
            <w:r w:rsidRPr="006F7A67">
              <w:rPr>
                <w:sz w:val="20"/>
              </w:rPr>
              <w:t xml:space="preserve">Mr. Wright and his wife (now deceased) instated an estate freeze in 2007 and instituted the Wright Family Trust (the “Trust”). It became owner of </w:t>
            </w:r>
            <w:proofErr w:type="spellStart"/>
            <w:r w:rsidRPr="006F7A67">
              <w:rPr>
                <w:sz w:val="20"/>
              </w:rPr>
              <w:t>Anjay’s</w:t>
            </w:r>
            <w:proofErr w:type="spellEnd"/>
            <w:r w:rsidRPr="006F7A67">
              <w:rPr>
                <w:sz w:val="20"/>
              </w:rPr>
              <w:t xml:space="preserve"> common shares, with Mr. Wright and his daughters, the respondents Ms. Urbanek and Ms. Strauss, as trustees. They were also officers and directors of Anjay. Ms. Urbanek and Ms. Strauss were beneficiaries of the trust, but Mr. Wright was not. Mr. Wright, Ms. Urbanek and Ms. Strauss held fixed value preference shares.</w:t>
            </w:r>
          </w:p>
          <w:p w:rsidR="00197F36" w:rsidRPr="006F7A67" w:rsidRDefault="00197F36" w:rsidP="0019255A">
            <w:pPr>
              <w:jc w:val="both"/>
              <w:rPr>
                <w:sz w:val="20"/>
              </w:rPr>
            </w:pPr>
          </w:p>
          <w:p w:rsidR="00197F36" w:rsidRPr="006F7A67" w:rsidRDefault="00197F36" w:rsidP="0019255A">
            <w:pPr>
              <w:jc w:val="both"/>
              <w:rPr>
                <w:sz w:val="20"/>
              </w:rPr>
            </w:pPr>
            <w:r w:rsidRPr="006F7A67">
              <w:rPr>
                <w:sz w:val="20"/>
              </w:rPr>
              <w:t>In 2017, Ms. Urbanek and Ms. Strauss brought an oppression application due to Mr. Wright’s conduct. The application judge found that there had been oppression and ordered that Mr. Wright be removed as a trustee of the family trust and as an officer and director of Anjay, steps be taken to determine the number of preference shares held by Mr. Wright, his preference shares be redeemed; and a half day mini-trial be scheduled to determine a mortgage issue. Mr. Wright’s appeals to the Divisional Court and the Court of Appeal were dismissed.</w:t>
            </w:r>
          </w:p>
          <w:p w:rsidR="00197F36" w:rsidRPr="006F7A67" w:rsidRDefault="00197F36" w:rsidP="0019255A">
            <w:pPr>
              <w:jc w:val="both"/>
              <w:rPr>
                <w:sz w:val="20"/>
              </w:rPr>
            </w:pPr>
          </w:p>
          <w:p w:rsidR="00197F36" w:rsidRPr="006F7A67" w:rsidRDefault="00197F36" w:rsidP="0019255A">
            <w:pPr>
              <w:jc w:val="both"/>
              <w:rPr>
                <w:sz w:val="20"/>
              </w:rPr>
            </w:pPr>
            <w:r w:rsidRPr="006F7A67">
              <w:rPr>
                <w:sz w:val="20"/>
              </w:rPr>
              <w:t>Meanwhile, Mr. Wright commenced this action. In it, he alleged that he owns all of the common shares in Anjay and none of its preference shares, the Trust is void, and that the transfer of his interest in the mortgage was void and of no force and effect. The action also sought relief against various professional advisors (lawyers and accountants) who he had retained to implement the estate freeze in 2007. He also initiated an oppression application against Ms. Urbanek and Ms. Strauss in which he sought a declaration that the mortgage was the property of Anjay because it had been improperly transferred from Anjay to the Trust by Ms. Urbanek and Ms. Strauss.</w:t>
            </w:r>
          </w:p>
          <w:p w:rsidR="00197F36" w:rsidRPr="006F7A67" w:rsidRDefault="00197F36" w:rsidP="0019255A">
            <w:pPr>
              <w:jc w:val="both"/>
              <w:rPr>
                <w:sz w:val="20"/>
              </w:rPr>
            </w:pPr>
          </w:p>
          <w:p w:rsidR="00197F36" w:rsidRPr="006F7A67" w:rsidRDefault="00197F36" w:rsidP="0019255A">
            <w:pPr>
              <w:jc w:val="both"/>
              <w:rPr>
                <w:sz w:val="20"/>
              </w:rPr>
            </w:pPr>
            <w:r w:rsidRPr="006F7A67">
              <w:rPr>
                <w:sz w:val="20"/>
              </w:rPr>
              <w:t>The motion judge struck Mr. Wright’s statement of claim and dismissed his action against Ms. Urbanek, Ms. Strauss and Anjay. The Court of Appeal dismissed the appeal.</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January 15, 2019</w:t>
            </w:r>
          </w:p>
          <w:p w:rsidR="00197F36" w:rsidRPr="006F7A67" w:rsidRDefault="00197F36" w:rsidP="0019255A">
            <w:pPr>
              <w:jc w:val="both"/>
              <w:rPr>
                <w:sz w:val="20"/>
              </w:rPr>
            </w:pPr>
            <w:r w:rsidRPr="006F7A67">
              <w:rPr>
                <w:sz w:val="20"/>
              </w:rPr>
              <w:t>Ontario Superior Court of Justice</w:t>
            </w:r>
          </w:p>
          <w:p w:rsidR="00197F36" w:rsidRPr="006F7A67" w:rsidRDefault="00197F36" w:rsidP="0019255A">
            <w:pPr>
              <w:jc w:val="both"/>
              <w:rPr>
                <w:sz w:val="20"/>
              </w:rPr>
            </w:pPr>
            <w:r w:rsidRPr="006F7A67">
              <w:rPr>
                <w:sz w:val="20"/>
              </w:rPr>
              <w:t>(Penny J.)</w:t>
            </w:r>
          </w:p>
          <w:p w:rsidR="00197F36" w:rsidRPr="006F7A67" w:rsidRDefault="00197F36" w:rsidP="0019255A">
            <w:pPr>
              <w:jc w:val="both"/>
              <w:rPr>
                <w:sz w:val="20"/>
              </w:rPr>
            </w:pPr>
            <w:r w:rsidRPr="006F7A67">
              <w:rPr>
                <w:sz w:val="20"/>
              </w:rPr>
              <w:t xml:space="preserve"> </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Statement of claim struck; action dismissed; oppression application dismissed</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October 17, 2019</w:t>
            </w:r>
          </w:p>
          <w:p w:rsidR="00197F36" w:rsidRPr="006F7A67" w:rsidRDefault="00197F36" w:rsidP="0019255A">
            <w:pPr>
              <w:jc w:val="both"/>
              <w:rPr>
                <w:sz w:val="20"/>
              </w:rPr>
            </w:pPr>
            <w:r w:rsidRPr="006F7A67">
              <w:rPr>
                <w:sz w:val="20"/>
              </w:rPr>
              <w:t>Court of Appeal for Ontario</w:t>
            </w:r>
          </w:p>
          <w:p w:rsidR="00197F36" w:rsidRPr="006F7A67" w:rsidRDefault="00197F36" w:rsidP="0019255A">
            <w:pPr>
              <w:jc w:val="both"/>
              <w:rPr>
                <w:sz w:val="20"/>
              </w:rPr>
            </w:pPr>
            <w:r w:rsidRPr="006F7A67">
              <w:rPr>
                <w:sz w:val="20"/>
              </w:rPr>
              <w:t xml:space="preserve">(Hoy, van </w:t>
            </w:r>
            <w:proofErr w:type="spellStart"/>
            <w:r w:rsidRPr="006F7A67">
              <w:rPr>
                <w:sz w:val="20"/>
              </w:rPr>
              <w:t>Rensburg</w:t>
            </w:r>
            <w:proofErr w:type="spellEnd"/>
            <w:r w:rsidRPr="006F7A67">
              <w:rPr>
                <w:sz w:val="20"/>
              </w:rPr>
              <w:t>, Roberts JJ.A.)</w:t>
            </w:r>
          </w:p>
          <w:p w:rsidR="00197F36" w:rsidRPr="006F7A67" w:rsidRDefault="00300F06" w:rsidP="0019255A">
            <w:pPr>
              <w:jc w:val="both"/>
              <w:rPr>
                <w:sz w:val="20"/>
              </w:rPr>
            </w:pPr>
            <w:hyperlink r:id="rId79" w:history="1">
              <w:r w:rsidR="00197F36" w:rsidRPr="006F7A67">
                <w:rPr>
                  <w:rStyle w:val="Hyperlink"/>
                  <w:sz w:val="20"/>
                </w:rPr>
                <w:t>2019 ONCA 823</w:t>
              </w:r>
            </w:hyperlink>
          </w:p>
          <w:p w:rsidR="00197F36" w:rsidRPr="006F7A67" w:rsidRDefault="00197F36" w:rsidP="0019255A">
            <w:pPr>
              <w:jc w:val="both"/>
              <w:rPr>
                <w:sz w:val="20"/>
              </w:rPr>
            </w:pP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Appeal dismissed</w:t>
            </w:r>
          </w:p>
          <w:p w:rsidR="00197F36" w:rsidRPr="006F7A67" w:rsidRDefault="00197F36" w:rsidP="0019255A">
            <w:pPr>
              <w:jc w:val="both"/>
              <w:rPr>
                <w:sz w:val="20"/>
              </w:rPr>
            </w:pPr>
          </w:p>
        </w:tc>
      </w:tr>
      <w:tr w:rsidR="00197F36" w:rsidRPr="006F7A67" w:rsidTr="0019255A">
        <w:tc>
          <w:tcPr>
            <w:tcW w:w="2427" w:type="pct"/>
          </w:tcPr>
          <w:p w:rsidR="00197F36" w:rsidRPr="006F7A67" w:rsidRDefault="00197F36" w:rsidP="0019255A">
            <w:pPr>
              <w:jc w:val="both"/>
              <w:rPr>
                <w:sz w:val="20"/>
              </w:rPr>
            </w:pPr>
            <w:r w:rsidRPr="006F7A67">
              <w:rPr>
                <w:sz w:val="20"/>
              </w:rPr>
              <w:t>December 12, 2019</w:t>
            </w:r>
          </w:p>
          <w:p w:rsidR="00197F36" w:rsidRPr="006F7A67" w:rsidRDefault="00197F36" w:rsidP="0019255A">
            <w:pPr>
              <w:jc w:val="both"/>
              <w:rPr>
                <w:sz w:val="20"/>
              </w:rPr>
            </w:pPr>
            <w:r w:rsidRPr="006F7A67">
              <w:rPr>
                <w:sz w:val="20"/>
              </w:rPr>
              <w:t>Supreme Court of Canada</w:t>
            </w:r>
          </w:p>
        </w:tc>
        <w:tc>
          <w:tcPr>
            <w:tcW w:w="243" w:type="pct"/>
          </w:tcPr>
          <w:p w:rsidR="00197F36" w:rsidRPr="006F7A67" w:rsidRDefault="00197F36" w:rsidP="0019255A">
            <w:pPr>
              <w:jc w:val="both"/>
              <w:rPr>
                <w:sz w:val="20"/>
              </w:rPr>
            </w:pPr>
          </w:p>
        </w:tc>
        <w:tc>
          <w:tcPr>
            <w:tcW w:w="2330" w:type="pct"/>
          </w:tcPr>
          <w:p w:rsidR="00197F36" w:rsidRPr="006F7A67" w:rsidRDefault="00197F36" w:rsidP="0019255A">
            <w:pPr>
              <w:jc w:val="both"/>
              <w:rPr>
                <w:sz w:val="20"/>
              </w:rPr>
            </w:pPr>
            <w:r w:rsidRPr="006F7A67">
              <w:rPr>
                <w:sz w:val="20"/>
              </w:rPr>
              <w:t>Application for leave to appeal filed</w:t>
            </w:r>
          </w:p>
          <w:p w:rsidR="00197F36" w:rsidRPr="006F7A67" w:rsidRDefault="00197F36" w:rsidP="0019255A">
            <w:pPr>
              <w:jc w:val="both"/>
              <w:rPr>
                <w:sz w:val="20"/>
              </w:rPr>
            </w:pPr>
          </w:p>
        </w:tc>
      </w:tr>
    </w:tbl>
    <w:p w:rsidR="00197F36" w:rsidRPr="006F7A67" w:rsidRDefault="00197F36" w:rsidP="00197F36">
      <w:pPr>
        <w:jc w:val="both"/>
        <w:rPr>
          <w:sz w:val="20"/>
        </w:rPr>
      </w:pPr>
    </w:p>
    <w:p w:rsidR="00197F36" w:rsidRPr="006F7A67" w:rsidRDefault="00300F06" w:rsidP="00197F36">
      <w:pPr>
        <w:jc w:val="both"/>
        <w:rPr>
          <w:sz w:val="20"/>
        </w:rPr>
      </w:pPr>
      <w:r>
        <w:rPr>
          <w:sz w:val="20"/>
        </w:rPr>
        <w:pict>
          <v:rect id="_x0000_i1067" style="width:2in;height:1pt" o:hrpct="0" o:hralign="center" o:hrstd="t" o:hrnoshade="t" o:hr="t" fillcolor="black [3213]" stroked="f"/>
        </w:pict>
      </w:r>
    </w:p>
    <w:p w:rsidR="00197F36" w:rsidRPr="006F7A67" w:rsidRDefault="00197F36" w:rsidP="00197F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97F36" w:rsidRPr="00DB0D35" w:rsidTr="0019255A">
        <w:tc>
          <w:tcPr>
            <w:tcW w:w="543" w:type="pct"/>
          </w:tcPr>
          <w:p w:rsidR="00197F36" w:rsidRPr="006F7A67" w:rsidRDefault="00197F36" w:rsidP="0019255A">
            <w:pPr>
              <w:jc w:val="both"/>
              <w:rPr>
                <w:sz w:val="20"/>
                <w:lang w:val="fr-CA"/>
              </w:rPr>
            </w:pPr>
            <w:r w:rsidRPr="006F7A67">
              <w:rPr>
                <w:rStyle w:val="SCCFileNumberChar"/>
                <w:sz w:val="20"/>
                <w:szCs w:val="20"/>
                <w:lang w:val="fr-CA"/>
              </w:rPr>
              <w:t>38959</w:t>
            </w:r>
          </w:p>
        </w:tc>
        <w:tc>
          <w:tcPr>
            <w:tcW w:w="4457" w:type="pct"/>
            <w:gridSpan w:val="3"/>
          </w:tcPr>
          <w:p w:rsidR="00D939BB" w:rsidRPr="006F7A67" w:rsidRDefault="00197F36" w:rsidP="00D939BB">
            <w:pPr>
              <w:pStyle w:val="SCCLsocParty"/>
              <w:jc w:val="both"/>
              <w:rPr>
                <w:b/>
                <w:sz w:val="20"/>
                <w:szCs w:val="20"/>
              </w:rPr>
            </w:pPr>
            <w:r w:rsidRPr="006F7A67">
              <w:rPr>
                <w:b/>
                <w:sz w:val="20"/>
                <w:szCs w:val="20"/>
              </w:rPr>
              <w:t xml:space="preserve">John (Jack) Wright c. </w:t>
            </w:r>
            <w:r w:rsidR="00D939BB" w:rsidRPr="006F7A67">
              <w:rPr>
                <w:b/>
                <w:sz w:val="20"/>
                <w:szCs w:val="20"/>
              </w:rPr>
              <w:t>Anne Urbanek en son propre nom et en sa qualité de fiduciaire de la fiducie familiale Wright, en sa qualité de fiduciaire de la fiducie familiale A. Urbanek et en sa qualité de fiduciaire testamentaire de la succession d’Anne Wright, Jacqueline Strauss en son propre nom et en sa qualité de fiduciaire de la fiducie familiale Wright, en sa qualité de fiduciaire de la fiducie familiale A. Urbanek et en sa qualité de fiduciaire testamentaire de la succession d’Anne Wright</w:t>
            </w:r>
          </w:p>
          <w:p w:rsidR="00197F36" w:rsidRPr="006F7A67" w:rsidRDefault="00D939BB" w:rsidP="00D939BB">
            <w:pPr>
              <w:pStyle w:val="SCCLsocParty"/>
              <w:jc w:val="both"/>
              <w:rPr>
                <w:b/>
                <w:sz w:val="20"/>
                <w:szCs w:val="20"/>
              </w:rPr>
            </w:pPr>
            <w:r w:rsidRPr="006F7A67">
              <w:rPr>
                <w:b/>
                <w:sz w:val="20"/>
                <w:szCs w:val="20"/>
              </w:rPr>
              <w:t>et Anjay Limited</w:t>
            </w:r>
          </w:p>
          <w:p w:rsidR="00197F36" w:rsidRPr="006F7A67" w:rsidRDefault="00197F36" w:rsidP="0019255A">
            <w:pPr>
              <w:jc w:val="both"/>
              <w:rPr>
                <w:sz w:val="20"/>
                <w:lang w:val="fr-CA"/>
              </w:rPr>
            </w:pPr>
            <w:r w:rsidRPr="006F7A67">
              <w:rPr>
                <w:sz w:val="20"/>
                <w:lang w:val="fr-CA"/>
              </w:rPr>
              <w:t>(Ont.) (Civile) (Autorisation)</w:t>
            </w:r>
          </w:p>
        </w:tc>
      </w:tr>
      <w:tr w:rsidR="00D939BB" w:rsidRPr="00DB0D35" w:rsidTr="0019255A">
        <w:tc>
          <w:tcPr>
            <w:tcW w:w="5000" w:type="pct"/>
            <w:gridSpan w:val="4"/>
          </w:tcPr>
          <w:p w:rsidR="00D939BB" w:rsidRPr="006F7A67" w:rsidRDefault="00D939BB" w:rsidP="0019255A">
            <w:pPr>
              <w:jc w:val="both"/>
              <w:rPr>
                <w:sz w:val="20"/>
                <w:szCs w:val="20"/>
                <w:lang w:val="fr-CA"/>
              </w:rPr>
            </w:pPr>
            <w:r w:rsidRPr="006F7A67">
              <w:rPr>
                <w:sz w:val="20"/>
                <w:szCs w:val="20"/>
                <w:lang w:val="fr-CA"/>
              </w:rPr>
              <w:t>La demande d’autorisation d’appel de l’arrêt de la Cour d’appel de l’Ontario, numéro C66581, 2019 ONCA 823, daté du 17 octobre 2019, est rejetée.</w:t>
            </w:r>
          </w:p>
          <w:p w:rsidR="00D939BB" w:rsidRPr="006F7A67" w:rsidRDefault="00D939BB" w:rsidP="0019255A">
            <w:pPr>
              <w:jc w:val="both"/>
              <w:rPr>
                <w:spacing w:val="-2"/>
                <w:sz w:val="20"/>
                <w:lang w:val="fr-CA"/>
              </w:rPr>
            </w:pPr>
          </w:p>
        </w:tc>
      </w:tr>
      <w:tr w:rsidR="00197F36" w:rsidRPr="00DB0D35" w:rsidTr="0019255A">
        <w:tc>
          <w:tcPr>
            <w:tcW w:w="5000" w:type="pct"/>
            <w:gridSpan w:val="4"/>
          </w:tcPr>
          <w:p w:rsidR="00197F36" w:rsidRPr="006F7A67" w:rsidRDefault="00197F36" w:rsidP="0019255A">
            <w:pPr>
              <w:jc w:val="both"/>
              <w:rPr>
                <w:spacing w:val="-2"/>
                <w:sz w:val="20"/>
                <w:lang w:val="fr-CA"/>
              </w:rPr>
            </w:pPr>
            <w:r w:rsidRPr="006F7A67">
              <w:rPr>
                <w:spacing w:val="-2"/>
                <w:sz w:val="20"/>
                <w:lang w:val="fr-CA"/>
              </w:rPr>
              <w:t>Procédure civile — Abus de procédure — La Cour d’appel a</w:t>
            </w:r>
            <w:r w:rsidRPr="006F7A67">
              <w:rPr>
                <w:spacing w:val="-2"/>
                <w:sz w:val="20"/>
                <w:lang w:val="fr-CA"/>
              </w:rPr>
              <w:noBreakHyphen/>
              <w:t>t</w:t>
            </w:r>
            <w:r w:rsidRPr="006F7A67">
              <w:rPr>
                <w:spacing w:val="-2"/>
                <w:sz w:val="20"/>
                <w:lang w:val="fr-CA"/>
              </w:rPr>
              <w:noBreakHyphen/>
              <w:t>elle élargi indûment la doctrine de l’abus de procédure pour remise en cause? — Dans l’affirmative, a</w:t>
            </w:r>
            <w:r w:rsidRPr="006F7A67">
              <w:rPr>
                <w:spacing w:val="-2"/>
                <w:sz w:val="20"/>
                <w:lang w:val="fr-CA"/>
              </w:rPr>
              <w:noBreakHyphen/>
              <w:t>t</w:t>
            </w:r>
            <w:r w:rsidRPr="006F7A67">
              <w:rPr>
                <w:spacing w:val="-2"/>
                <w:sz w:val="20"/>
                <w:lang w:val="fr-CA"/>
              </w:rPr>
              <w:noBreakHyphen/>
              <w:t>elle commis une erreur de droit ce faisant?</w:t>
            </w:r>
          </w:p>
        </w:tc>
      </w:tr>
      <w:tr w:rsidR="00197F36" w:rsidRPr="00DB0D35" w:rsidTr="0019255A">
        <w:tc>
          <w:tcPr>
            <w:tcW w:w="5000" w:type="pct"/>
            <w:gridSpan w:val="4"/>
          </w:tcPr>
          <w:p w:rsidR="00197F36" w:rsidRPr="006F7A67" w:rsidRDefault="00197F36" w:rsidP="0019255A">
            <w:pPr>
              <w:jc w:val="both"/>
              <w:rPr>
                <w:sz w:val="20"/>
                <w:lang w:val="fr-CA"/>
              </w:rPr>
            </w:pPr>
          </w:p>
        </w:tc>
      </w:tr>
      <w:tr w:rsidR="00197F36" w:rsidRPr="006F7A67" w:rsidTr="0019255A">
        <w:tc>
          <w:tcPr>
            <w:tcW w:w="5000" w:type="pct"/>
            <w:gridSpan w:val="4"/>
          </w:tcPr>
          <w:p w:rsidR="00197F36" w:rsidRPr="006F7A67" w:rsidRDefault="00197F36" w:rsidP="0019255A">
            <w:pPr>
              <w:jc w:val="both"/>
              <w:rPr>
                <w:sz w:val="20"/>
                <w:lang w:val="fr-CA"/>
              </w:rPr>
            </w:pPr>
            <w:r w:rsidRPr="006F7A67">
              <w:rPr>
                <w:sz w:val="20"/>
                <w:lang w:val="fr-CA"/>
              </w:rPr>
              <w:t>Monsieur Wright et son épouse (maintenant décédée) ont effectué un gel successoral en 2007 et ont établi la fiducie familiale Wright (la « fiducie »). Celle</w:t>
            </w:r>
            <w:r w:rsidRPr="006F7A67">
              <w:rPr>
                <w:sz w:val="20"/>
                <w:lang w:val="fr-CA"/>
              </w:rPr>
              <w:noBreakHyphen/>
              <w:t>ci est devenue propriétaire des actions ordinaires d’Anjay, avec M. Wright et ses filles, les intimées Mme Urbanek et Mme Strauss, en qualité de fiduciaires. Ils étaient également dirigeants et administrateurs d’Anjay. Mesdames Urbanek et Strauss étaient bénéficiaires de la fiducie, mais M. Wright ne l’était pas. Monsieur Wright, Mme Urbanek et Mme Strauss étaient titulaires d’actions privilégiées à valeur fixe.</w:t>
            </w:r>
          </w:p>
          <w:p w:rsidR="00197F36" w:rsidRPr="006F7A67" w:rsidRDefault="00197F36" w:rsidP="0019255A">
            <w:pPr>
              <w:jc w:val="both"/>
              <w:rPr>
                <w:sz w:val="20"/>
                <w:lang w:val="fr-CA"/>
              </w:rPr>
            </w:pPr>
          </w:p>
          <w:p w:rsidR="00197F36" w:rsidRPr="006F7A67" w:rsidRDefault="00197F36" w:rsidP="0019255A">
            <w:pPr>
              <w:jc w:val="both"/>
              <w:rPr>
                <w:sz w:val="20"/>
                <w:lang w:val="fr-CA"/>
              </w:rPr>
            </w:pPr>
            <w:r w:rsidRPr="006F7A67">
              <w:rPr>
                <w:sz w:val="20"/>
                <w:lang w:val="fr-CA"/>
              </w:rPr>
              <w:t>En 2017, Mmes Urbanek et Strauss ont introduit une demande de redressement pour abus en raison de la conduite de M. Wright. Le juge de première instance a conclu qu’il y avait eu abus et a ordonné que M. Wright soit destitué comme fiduciaire de la fiducie familiale et comme dirigeant et administrateur d’Anjay, que des mesures soient prises pour déterminer le nombre d’actions privilégiées détenues par M. Wright, que ses actions privilégiées soient rachetées et qu’un mini</w:t>
            </w:r>
            <w:r w:rsidRPr="006F7A67">
              <w:rPr>
                <w:sz w:val="20"/>
                <w:lang w:val="fr-CA"/>
              </w:rPr>
              <w:noBreakHyphen/>
              <w:t>procès d’une demi</w:t>
            </w:r>
            <w:r w:rsidRPr="006F7A67">
              <w:rPr>
                <w:sz w:val="20"/>
                <w:lang w:val="fr-CA"/>
              </w:rPr>
              <w:noBreakHyphen/>
              <w:t>journée soit tenu pour trancher la question de la créance hypothécaire. Les appels de M. Wright à la Cour divisionnaire et à la Cour d’appel ont été rejetés.</w:t>
            </w:r>
          </w:p>
          <w:p w:rsidR="00197F36" w:rsidRPr="006F7A67" w:rsidRDefault="00197F36" w:rsidP="0019255A">
            <w:pPr>
              <w:jc w:val="both"/>
              <w:rPr>
                <w:sz w:val="20"/>
                <w:lang w:val="fr-CA"/>
              </w:rPr>
            </w:pPr>
          </w:p>
          <w:p w:rsidR="00197F36" w:rsidRPr="006F7A67" w:rsidRDefault="00197F36" w:rsidP="0019255A">
            <w:pPr>
              <w:jc w:val="both"/>
              <w:rPr>
                <w:sz w:val="20"/>
                <w:lang w:val="fr-CA"/>
              </w:rPr>
            </w:pPr>
            <w:r w:rsidRPr="006F7A67">
              <w:rPr>
                <w:sz w:val="20"/>
                <w:lang w:val="fr-CA"/>
              </w:rPr>
              <w:t>Entretemps, M. Wright a intenté la présente action. Dans son action, il a allégué être propriétaire de toutes les actions ordinaires d’Anjay et n’être propriétaire d’aucune de ses actions privilégiées, que la fiducie était nulle et que le transfert de ses droits à l’égard de la créance hypothécaire était nulle et sans effet. L’action était en outre dirigée contre divers conseillers professionnels (avocats et comptables) dont il avait retenu les services pour mettre en œuvre le gel successoral en 2007. Il a de plus introduit une demande de redressement pour abus contre Mmes Urbanek et Strauss dans laquelle il demandait un jugement déclarant que la créance hypothécaire appartenait à Anjay parce qu’elle avait été irrégulièrement transférée d’Anjay à la fiducie par Mmes Urbanek et Strauss.</w:t>
            </w:r>
          </w:p>
          <w:p w:rsidR="00197F36" w:rsidRPr="006F7A67" w:rsidRDefault="00197F36" w:rsidP="0019255A">
            <w:pPr>
              <w:jc w:val="both"/>
              <w:rPr>
                <w:sz w:val="20"/>
                <w:lang w:val="fr-CA"/>
              </w:rPr>
            </w:pPr>
          </w:p>
          <w:p w:rsidR="00197F36" w:rsidRPr="006F7A67" w:rsidRDefault="00197F36" w:rsidP="0019255A">
            <w:pPr>
              <w:jc w:val="both"/>
              <w:rPr>
                <w:sz w:val="20"/>
                <w:lang w:val="fr-CA"/>
              </w:rPr>
            </w:pPr>
            <w:r w:rsidRPr="006F7A67">
              <w:rPr>
                <w:sz w:val="20"/>
                <w:lang w:val="fr-CA"/>
              </w:rPr>
              <w:t>Le juge de première instance a radié la déclaration de M. Wright et a rejeté son action contre Mme Urbanek, Mme Strauss et Anjay. La Cour d’appel a rejeté l’appel.</w:t>
            </w:r>
          </w:p>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15 janvier 2019</w:t>
            </w:r>
          </w:p>
          <w:p w:rsidR="00197F36" w:rsidRPr="006F7A67" w:rsidRDefault="00197F36" w:rsidP="0019255A">
            <w:pPr>
              <w:jc w:val="both"/>
              <w:rPr>
                <w:sz w:val="20"/>
                <w:lang w:val="fr-CA"/>
              </w:rPr>
            </w:pPr>
            <w:r w:rsidRPr="006F7A67">
              <w:rPr>
                <w:sz w:val="20"/>
                <w:lang w:val="fr-CA"/>
              </w:rPr>
              <w:t>Cour supérieure de justice de l’Ontario</w:t>
            </w:r>
          </w:p>
          <w:p w:rsidR="00197F36" w:rsidRPr="006F7A67" w:rsidRDefault="00197F36" w:rsidP="0019255A">
            <w:pPr>
              <w:jc w:val="both"/>
              <w:rPr>
                <w:sz w:val="20"/>
                <w:lang w:val="fr-CA"/>
              </w:rPr>
            </w:pPr>
            <w:r w:rsidRPr="006F7A67">
              <w:rPr>
                <w:sz w:val="20"/>
                <w:lang w:val="fr-CA"/>
              </w:rPr>
              <w:t>(Juge Penny)</w:t>
            </w:r>
          </w:p>
          <w:p w:rsidR="00197F36" w:rsidRPr="006F7A67" w:rsidRDefault="00197F36" w:rsidP="0019255A">
            <w:pPr>
              <w:jc w:val="both"/>
              <w:rPr>
                <w:sz w:val="20"/>
                <w:lang w:val="fr-CA"/>
              </w:rPr>
            </w:pPr>
            <w:r w:rsidRPr="006F7A67">
              <w:rPr>
                <w:sz w:val="20"/>
                <w:lang w:val="fr-CA"/>
              </w:rPr>
              <w:t xml:space="preserve"> </w:t>
            </w: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Radiation de la déclaration, rejet de l’action et rejet de la demande de redressement pour abus</w:t>
            </w:r>
          </w:p>
          <w:p w:rsidR="00197F36" w:rsidRPr="006F7A67" w:rsidRDefault="00197F36" w:rsidP="0019255A">
            <w:pPr>
              <w:jc w:val="both"/>
              <w:rPr>
                <w:sz w:val="20"/>
                <w:lang w:val="fr-CA"/>
              </w:rPr>
            </w:pPr>
          </w:p>
        </w:tc>
      </w:tr>
      <w:tr w:rsidR="00197F36" w:rsidRPr="006F7A67" w:rsidTr="0019255A">
        <w:tc>
          <w:tcPr>
            <w:tcW w:w="2427" w:type="pct"/>
            <w:gridSpan w:val="2"/>
          </w:tcPr>
          <w:p w:rsidR="00197F36" w:rsidRPr="006F7A67" w:rsidRDefault="00197F36" w:rsidP="0019255A">
            <w:pPr>
              <w:jc w:val="both"/>
              <w:rPr>
                <w:sz w:val="20"/>
                <w:lang w:val="fr-CA"/>
              </w:rPr>
            </w:pPr>
            <w:r w:rsidRPr="006F7A67">
              <w:rPr>
                <w:sz w:val="20"/>
                <w:lang w:val="fr-CA"/>
              </w:rPr>
              <w:t>17 octobre 2019</w:t>
            </w:r>
          </w:p>
          <w:p w:rsidR="00197F36" w:rsidRPr="006F7A67" w:rsidRDefault="00197F36" w:rsidP="0019255A">
            <w:pPr>
              <w:jc w:val="both"/>
              <w:rPr>
                <w:sz w:val="20"/>
                <w:lang w:val="fr-CA"/>
              </w:rPr>
            </w:pPr>
            <w:r w:rsidRPr="006F7A67">
              <w:rPr>
                <w:sz w:val="20"/>
                <w:lang w:val="fr-CA"/>
              </w:rPr>
              <w:t>Cour d’appel de l’Ontario</w:t>
            </w:r>
          </w:p>
          <w:p w:rsidR="00197F36" w:rsidRPr="006F7A67" w:rsidRDefault="00197F36" w:rsidP="0019255A">
            <w:pPr>
              <w:jc w:val="both"/>
              <w:rPr>
                <w:sz w:val="20"/>
                <w:lang w:val="fr-CA"/>
              </w:rPr>
            </w:pPr>
            <w:r w:rsidRPr="006F7A67">
              <w:rPr>
                <w:sz w:val="20"/>
                <w:lang w:val="fr-CA"/>
              </w:rPr>
              <w:t xml:space="preserve">(Juges Hoy, van </w:t>
            </w:r>
            <w:proofErr w:type="spellStart"/>
            <w:r w:rsidRPr="006F7A67">
              <w:rPr>
                <w:sz w:val="20"/>
                <w:lang w:val="fr-CA"/>
              </w:rPr>
              <w:t>Rensburg</w:t>
            </w:r>
            <w:proofErr w:type="spellEnd"/>
            <w:r w:rsidRPr="006F7A67">
              <w:rPr>
                <w:sz w:val="20"/>
                <w:lang w:val="fr-CA"/>
              </w:rPr>
              <w:t xml:space="preserve"> et Roberts)</w:t>
            </w:r>
          </w:p>
          <w:p w:rsidR="00197F36" w:rsidRPr="006F7A67" w:rsidRDefault="00300F06" w:rsidP="0019255A">
            <w:pPr>
              <w:jc w:val="both"/>
              <w:rPr>
                <w:sz w:val="20"/>
                <w:lang w:val="fr-CA"/>
              </w:rPr>
            </w:pPr>
            <w:hyperlink r:id="rId80" w:history="1">
              <w:r w:rsidR="00197F36" w:rsidRPr="006F7A67">
                <w:rPr>
                  <w:rStyle w:val="Hyperlink"/>
                  <w:sz w:val="20"/>
                  <w:lang w:val="fr-CA"/>
                </w:rPr>
                <w:t>2019 ONCA 823</w:t>
              </w:r>
            </w:hyperlink>
          </w:p>
          <w:p w:rsidR="00197F36" w:rsidRPr="006F7A67" w:rsidRDefault="00197F36" w:rsidP="0019255A">
            <w:pPr>
              <w:jc w:val="both"/>
              <w:rPr>
                <w:sz w:val="20"/>
                <w:lang w:val="fr-CA"/>
              </w:rPr>
            </w:pP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Rejet de l’appel</w:t>
            </w:r>
          </w:p>
          <w:p w:rsidR="00197F36" w:rsidRPr="006F7A67" w:rsidRDefault="00197F36" w:rsidP="0019255A">
            <w:pPr>
              <w:jc w:val="both"/>
              <w:rPr>
                <w:sz w:val="20"/>
                <w:lang w:val="fr-CA"/>
              </w:rPr>
            </w:pPr>
          </w:p>
        </w:tc>
      </w:tr>
      <w:tr w:rsidR="00197F36" w:rsidRPr="00DB0D35" w:rsidTr="0019255A">
        <w:tc>
          <w:tcPr>
            <w:tcW w:w="2427" w:type="pct"/>
            <w:gridSpan w:val="2"/>
          </w:tcPr>
          <w:p w:rsidR="00197F36" w:rsidRPr="006F7A67" w:rsidRDefault="00197F36" w:rsidP="0019255A">
            <w:pPr>
              <w:jc w:val="both"/>
              <w:rPr>
                <w:sz w:val="20"/>
                <w:lang w:val="fr-CA"/>
              </w:rPr>
            </w:pPr>
            <w:r w:rsidRPr="006F7A67">
              <w:rPr>
                <w:sz w:val="20"/>
                <w:lang w:val="fr-CA"/>
              </w:rPr>
              <w:t>12 décembre 2019</w:t>
            </w:r>
          </w:p>
          <w:p w:rsidR="00197F36" w:rsidRPr="006F7A67" w:rsidRDefault="00197F36" w:rsidP="0019255A">
            <w:pPr>
              <w:jc w:val="both"/>
              <w:rPr>
                <w:sz w:val="20"/>
                <w:lang w:val="fr-CA"/>
              </w:rPr>
            </w:pPr>
            <w:r w:rsidRPr="006F7A67">
              <w:rPr>
                <w:sz w:val="20"/>
                <w:lang w:val="fr-CA"/>
              </w:rPr>
              <w:t>Cour suprême du Canada</w:t>
            </w:r>
          </w:p>
        </w:tc>
        <w:tc>
          <w:tcPr>
            <w:tcW w:w="243" w:type="pct"/>
          </w:tcPr>
          <w:p w:rsidR="00197F36" w:rsidRPr="006F7A67" w:rsidRDefault="00197F36" w:rsidP="0019255A">
            <w:pPr>
              <w:jc w:val="both"/>
              <w:rPr>
                <w:sz w:val="20"/>
                <w:lang w:val="fr-CA"/>
              </w:rPr>
            </w:pPr>
          </w:p>
        </w:tc>
        <w:tc>
          <w:tcPr>
            <w:tcW w:w="2330" w:type="pct"/>
          </w:tcPr>
          <w:p w:rsidR="00197F36" w:rsidRPr="006F7A67" w:rsidRDefault="00197F36" w:rsidP="0019255A">
            <w:pPr>
              <w:jc w:val="both"/>
              <w:rPr>
                <w:sz w:val="20"/>
                <w:lang w:val="fr-CA"/>
              </w:rPr>
            </w:pPr>
            <w:r w:rsidRPr="006F7A67">
              <w:rPr>
                <w:sz w:val="20"/>
                <w:lang w:val="fr-CA"/>
              </w:rPr>
              <w:t>Dépôt de la demande d’autorisation d’appel</w:t>
            </w:r>
          </w:p>
          <w:p w:rsidR="00197F36" w:rsidRPr="006F7A67" w:rsidRDefault="00197F36" w:rsidP="0019255A">
            <w:pPr>
              <w:jc w:val="both"/>
              <w:rPr>
                <w:sz w:val="20"/>
                <w:lang w:val="fr-CA"/>
              </w:rPr>
            </w:pPr>
          </w:p>
        </w:tc>
      </w:tr>
    </w:tbl>
    <w:p w:rsidR="00197F36" w:rsidRPr="006F7A67" w:rsidRDefault="00197F36" w:rsidP="00197F36">
      <w:pPr>
        <w:ind w:left="142" w:hanging="142"/>
        <w:jc w:val="both"/>
        <w:rPr>
          <w:sz w:val="20"/>
          <w:lang w:val="fr-CA"/>
        </w:rPr>
      </w:pPr>
    </w:p>
    <w:p w:rsidR="00102792" w:rsidRPr="006F7A67" w:rsidRDefault="00300F06" w:rsidP="004B2E86">
      <w:pPr>
        <w:jc w:val="both"/>
        <w:rPr>
          <w:sz w:val="20"/>
          <w:szCs w:val="20"/>
          <w:lang w:val="fr-CA"/>
        </w:rPr>
      </w:pPr>
      <w:r>
        <w:rPr>
          <w:sz w:val="20"/>
          <w:szCs w:val="20"/>
        </w:rPr>
        <w:pict>
          <v:rect id="_x0000_i1068" style="width:2in;height:1pt" o:hrpct="0" o:hralign="center" o:hrstd="t" o:hrnoshade="t" o:hr="t" fillcolor="black" stroked="f"/>
        </w:pict>
      </w:r>
    </w:p>
    <w:p w:rsidR="00E06F20" w:rsidRPr="006F7A67" w:rsidRDefault="00E06F20" w:rsidP="00102792">
      <w:pPr>
        <w:jc w:val="both"/>
        <w:rPr>
          <w:sz w:val="20"/>
          <w:lang w:val="fr-CA"/>
        </w:rPr>
      </w:pPr>
    </w:p>
    <w:p w:rsidR="00890FEB" w:rsidRPr="006F7A67" w:rsidRDefault="00890FEB" w:rsidP="008D292F">
      <w:pPr>
        <w:rPr>
          <w:sz w:val="20"/>
          <w:szCs w:val="20"/>
          <w:lang w:val="fr-CA"/>
        </w:rPr>
      </w:pPr>
    </w:p>
    <w:p w:rsidR="00890FEB" w:rsidRPr="006F7A67" w:rsidRDefault="00890FEB" w:rsidP="008D292F">
      <w:pPr>
        <w:rPr>
          <w:b/>
          <w:sz w:val="20"/>
          <w:szCs w:val="20"/>
          <w:lang w:val="fr-CA"/>
        </w:rPr>
        <w:sectPr w:rsidR="00890FEB" w:rsidRPr="006F7A67" w:rsidSect="008D292F">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5" w:gutter="0"/>
          <w:cols w:space="720"/>
          <w:titlePg/>
          <w:docGrid w:linePitch="326"/>
        </w:sectPr>
      </w:pPr>
    </w:p>
    <w:p w:rsidR="00693C38" w:rsidRPr="006F7A67" w:rsidRDefault="00DD0BDC" w:rsidP="00567602">
      <w:pPr>
        <w:pStyle w:val="Header1StyleE"/>
        <w:pBdr>
          <w:bottom w:val="single" w:sz="12" w:space="1" w:color="auto"/>
        </w:pBdr>
        <w:rPr>
          <w:lang w:val="fr-CA"/>
        </w:rPr>
      </w:pPr>
      <w:bookmarkStart w:id="6" w:name="_Toc37315376"/>
      <w:r w:rsidRPr="006F7A67">
        <w:rPr>
          <w:lang w:val="fr-CA"/>
        </w:rPr>
        <w:t>Motions</w:t>
      </w:r>
      <w:r w:rsidR="00271E1E" w:rsidRPr="006F7A67">
        <w:rPr>
          <w:lang w:val="fr-CA"/>
        </w:rPr>
        <w:t xml:space="preserve"> / </w:t>
      </w:r>
      <w:r w:rsidR="00693C38" w:rsidRPr="006F7A67">
        <w:rPr>
          <w:lang w:val="fr-CA"/>
        </w:rPr>
        <w:br/>
      </w:r>
      <w:r w:rsidRPr="006F7A67">
        <w:rPr>
          <w:lang w:val="fr-CA"/>
        </w:rPr>
        <w:t>Requêtes</w:t>
      </w:r>
      <w:bookmarkEnd w:id="6"/>
    </w:p>
    <w:p w:rsidR="00890FEB" w:rsidRPr="006F7A67" w:rsidRDefault="00890FEB" w:rsidP="00890FEB">
      <w:pPr>
        <w:rPr>
          <w:sz w:val="20"/>
          <w:szCs w:val="20"/>
          <w:lang w:val="fr-CA"/>
        </w:rPr>
      </w:pPr>
    </w:p>
    <w:p w:rsidR="008859F1" w:rsidRPr="006F7A67" w:rsidRDefault="00691D1D" w:rsidP="008859F1">
      <w:pPr>
        <w:rPr>
          <w:b/>
          <w:sz w:val="20"/>
          <w:szCs w:val="20"/>
          <w:lang w:val="fr-CA"/>
        </w:rPr>
      </w:pPr>
      <w:r w:rsidRPr="006F7A67">
        <w:rPr>
          <w:b/>
          <w:sz w:val="20"/>
          <w:szCs w:val="20"/>
          <w:lang w:val="fr-CA"/>
        </w:rPr>
        <w:t>A</w:t>
      </w:r>
      <w:r w:rsidR="001B43BD" w:rsidRPr="006F7A67">
        <w:rPr>
          <w:b/>
          <w:sz w:val="20"/>
          <w:szCs w:val="20"/>
          <w:lang w:val="fr-CA"/>
        </w:rPr>
        <w:t>PRIL</w:t>
      </w:r>
      <w:r w:rsidR="008859F1" w:rsidRPr="006F7A67">
        <w:rPr>
          <w:b/>
          <w:sz w:val="20"/>
          <w:szCs w:val="20"/>
          <w:lang w:val="fr-CA"/>
        </w:rPr>
        <w:t xml:space="preserve"> </w:t>
      </w:r>
      <w:r w:rsidRPr="006F7A67">
        <w:rPr>
          <w:b/>
          <w:sz w:val="20"/>
          <w:szCs w:val="20"/>
          <w:lang w:val="fr-CA"/>
        </w:rPr>
        <w:t>1</w:t>
      </w:r>
      <w:r w:rsidR="008859F1" w:rsidRPr="006F7A67">
        <w:rPr>
          <w:b/>
          <w:sz w:val="20"/>
          <w:szCs w:val="20"/>
          <w:lang w:val="fr-CA"/>
        </w:rPr>
        <w:t>, 20</w:t>
      </w:r>
      <w:r w:rsidR="005967EF" w:rsidRPr="006F7A67">
        <w:rPr>
          <w:b/>
          <w:sz w:val="20"/>
          <w:szCs w:val="20"/>
          <w:lang w:val="fr-CA"/>
        </w:rPr>
        <w:t>20</w:t>
      </w:r>
      <w:r w:rsidR="008859F1" w:rsidRPr="006F7A67">
        <w:rPr>
          <w:b/>
          <w:sz w:val="20"/>
          <w:szCs w:val="20"/>
          <w:lang w:val="fr-CA"/>
        </w:rPr>
        <w:t xml:space="preserve"> / LE </w:t>
      </w:r>
      <w:r w:rsidRPr="006F7A67">
        <w:rPr>
          <w:b/>
          <w:sz w:val="20"/>
          <w:szCs w:val="20"/>
          <w:lang w:val="fr-CA"/>
        </w:rPr>
        <w:t>1</w:t>
      </w:r>
      <w:r w:rsidR="008859F1" w:rsidRPr="006F7A67">
        <w:rPr>
          <w:b/>
          <w:sz w:val="20"/>
          <w:szCs w:val="20"/>
          <w:lang w:val="fr-CA"/>
        </w:rPr>
        <w:t xml:space="preserve"> </w:t>
      </w:r>
      <w:r w:rsidRPr="006F7A67">
        <w:rPr>
          <w:b/>
          <w:sz w:val="20"/>
          <w:szCs w:val="20"/>
          <w:lang w:val="fr-CA"/>
        </w:rPr>
        <w:t>A</w:t>
      </w:r>
      <w:r w:rsidR="001B43BD" w:rsidRPr="006F7A67">
        <w:rPr>
          <w:b/>
          <w:sz w:val="20"/>
          <w:szCs w:val="20"/>
          <w:lang w:val="fr-CA"/>
        </w:rPr>
        <w:t>VRIL</w:t>
      </w:r>
      <w:r w:rsidR="008859F1" w:rsidRPr="006F7A67">
        <w:rPr>
          <w:b/>
          <w:sz w:val="20"/>
          <w:szCs w:val="20"/>
          <w:lang w:val="fr-CA"/>
        </w:rPr>
        <w:t xml:space="preserve"> 20</w:t>
      </w:r>
      <w:r w:rsidR="005967EF" w:rsidRPr="006F7A67">
        <w:rPr>
          <w:b/>
          <w:sz w:val="20"/>
          <w:szCs w:val="20"/>
          <w:lang w:val="fr-CA"/>
        </w:rPr>
        <w:t>20</w:t>
      </w:r>
    </w:p>
    <w:p w:rsidR="00102792" w:rsidRPr="006F7A67"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DB0D35" w:rsidTr="00691D1D">
        <w:tc>
          <w:tcPr>
            <w:tcW w:w="4410" w:type="dxa"/>
            <w:tcBorders>
              <w:top w:val="nil"/>
              <w:left w:val="nil"/>
              <w:bottom w:val="nil"/>
              <w:right w:val="nil"/>
            </w:tcBorders>
          </w:tcPr>
          <w:p w:rsidR="00D93A6C" w:rsidRPr="006F7A67" w:rsidRDefault="001B43BD" w:rsidP="00691D1D">
            <w:pPr>
              <w:jc w:val="both"/>
              <w:rPr>
                <w:rFonts w:cs="Times New Roman"/>
                <w:b/>
                <w:bCs/>
                <w:sz w:val="20"/>
                <w:szCs w:val="20"/>
                <w:lang w:val="en-US"/>
              </w:rPr>
            </w:pPr>
            <w:r w:rsidRPr="006F7A67">
              <w:rPr>
                <w:rFonts w:eastAsia="Times New Roman" w:cs="Times New Roman"/>
                <w:b/>
                <w:sz w:val="20"/>
                <w:szCs w:val="20"/>
                <w:lang w:val="en-US" w:eastAsia="en-CA"/>
              </w:rPr>
              <w:t>Motion to add or substitute parties</w:t>
            </w:r>
          </w:p>
        </w:tc>
        <w:tc>
          <w:tcPr>
            <w:tcW w:w="810" w:type="dxa"/>
            <w:tcBorders>
              <w:top w:val="nil"/>
              <w:left w:val="nil"/>
              <w:bottom w:val="nil"/>
              <w:right w:val="nil"/>
            </w:tcBorders>
          </w:tcPr>
          <w:p w:rsidR="00D93A6C" w:rsidRPr="006F7A67"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6F7A67" w:rsidRDefault="001B43BD" w:rsidP="00691D1D">
            <w:pPr>
              <w:jc w:val="both"/>
              <w:rPr>
                <w:rFonts w:cs="Times New Roman"/>
                <w:b/>
                <w:bCs/>
                <w:sz w:val="20"/>
                <w:szCs w:val="20"/>
                <w:lang w:val="fr-CA"/>
              </w:rPr>
            </w:pPr>
            <w:r w:rsidRPr="006F7A67">
              <w:rPr>
                <w:rFonts w:eastAsia="Times New Roman" w:cs="Times New Roman"/>
                <w:b/>
                <w:sz w:val="20"/>
                <w:szCs w:val="20"/>
                <w:lang w:val="fr-CA" w:eastAsia="en-CA"/>
              </w:rPr>
              <w:t>Requête en jonction ou substitution de parties</w:t>
            </w:r>
          </w:p>
        </w:tc>
      </w:tr>
    </w:tbl>
    <w:p w:rsidR="00D93A6C" w:rsidRPr="006F7A67" w:rsidRDefault="00D93A6C" w:rsidP="00102792">
      <w:pPr>
        <w:tabs>
          <w:tab w:val="left" w:pos="-1440"/>
          <w:tab w:val="left" w:pos="-720"/>
        </w:tabs>
        <w:jc w:val="both"/>
        <w:rPr>
          <w:rFonts w:eastAsia="Times New Roman" w:cs="Times New Roman"/>
          <w:sz w:val="20"/>
          <w:szCs w:val="20"/>
          <w:lang w:val="fr-CA" w:eastAsia="en-CA"/>
        </w:rPr>
      </w:pPr>
    </w:p>
    <w:p w:rsidR="00D93A6C" w:rsidRPr="006F7A67" w:rsidRDefault="00D93A6C" w:rsidP="00102792">
      <w:pPr>
        <w:tabs>
          <w:tab w:val="left" w:pos="-1440"/>
          <w:tab w:val="left" w:pos="-720"/>
        </w:tabs>
        <w:jc w:val="both"/>
        <w:rPr>
          <w:rFonts w:eastAsia="Times New Roman" w:cs="Times New Roman"/>
          <w:sz w:val="20"/>
          <w:szCs w:val="20"/>
          <w:lang w:val="fr-CA" w:eastAsia="en-CA"/>
        </w:rPr>
      </w:pPr>
    </w:p>
    <w:p w:rsidR="001B43BD" w:rsidRPr="006F7A67" w:rsidRDefault="001B43BD" w:rsidP="001B43BD">
      <w:pPr>
        <w:rPr>
          <w:rFonts w:cs="Times New Roman"/>
          <w:b/>
          <w:bCs/>
          <w:sz w:val="20"/>
          <w:szCs w:val="20"/>
        </w:rPr>
      </w:pPr>
      <w:r w:rsidRPr="006F7A67">
        <w:rPr>
          <w:rFonts w:cs="Times New Roman"/>
          <w:b/>
          <w:bCs/>
          <w:caps/>
          <w:sz w:val="20"/>
          <w:szCs w:val="20"/>
          <w:lang w:val="en-US"/>
        </w:rPr>
        <w:t xml:space="preserve">DePuy International Ltd., DePuy Orthopaedics Inc., DePuy, Inc. </w:t>
      </w:r>
      <w:r w:rsidRPr="006F7A67">
        <w:rPr>
          <w:rFonts w:cs="Times New Roman"/>
          <w:b/>
          <w:bCs/>
          <w:caps/>
          <w:sz w:val="20"/>
          <w:szCs w:val="20"/>
        </w:rPr>
        <w:t xml:space="preserve">and Johnson &amp; Johnson Inc. </w:t>
      </w:r>
      <w:r w:rsidRPr="006F7A67">
        <w:rPr>
          <w:rFonts w:cs="Times New Roman"/>
          <w:b/>
          <w:bCs/>
          <w:sz w:val="20"/>
          <w:szCs w:val="20"/>
        </w:rPr>
        <w:t xml:space="preserve">v. </w:t>
      </w:r>
      <w:r w:rsidRPr="006F7A67">
        <w:rPr>
          <w:rFonts w:cs="Times New Roman"/>
          <w:b/>
          <w:bCs/>
          <w:caps/>
          <w:sz w:val="20"/>
          <w:szCs w:val="20"/>
        </w:rPr>
        <w:t>theodore wilson</w:t>
      </w:r>
    </w:p>
    <w:p w:rsidR="001B43BD" w:rsidRPr="006F7A67" w:rsidRDefault="001B43BD" w:rsidP="001B43BD">
      <w:pPr>
        <w:rPr>
          <w:rFonts w:cs="Times New Roman"/>
          <w:bCs/>
          <w:sz w:val="20"/>
          <w:szCs w:val="20"/>
        </w:rPr>
      </w:pPr>
      <w:r w:rsidRPr="006F7A67">
        <w:rPr>
          <w:rFonts w:cs="Times New Roman"/>
          <w:bCs/>
          <w:sz w:val="20"/>
          <w:szCs w:val="20"/>
        </w:rPr>
        <w:t xml:space="preserve">(B.C.) (39044) </w:t>
      </w:r>
    </w:p>
    <w:p w:rsidR="001B43BD" w:rsidRPr="006F7A67" w:rsidRDefault="001B43BD" w:rsidP="001B43BD">
      <w:pPr>
        <w:rPr>
          <w:rFonts w:cs="Times New Roman"/>
          <w:bCs/>
          <w:sz w:val="20"/>
          <w:szCs w:val="20"/>
        </w:rPr>
      </w:pPr>
    </w:p>
    <w:p w:rsidR="001B43BD" w:rsidRPr="006F7A67" w:rsidRDefault="001B43BD" w:rsidP="001B43BD">
      <w:pPr>
        <w:rPr>
          <w:rFonts w:cs="Times New Roman"/>
          <w:sz w:val="20"/>
          <w:szCs w:val="20"/>
        </w:rPr>
      </w:pPr>
      <w:r w:rsidRPr="006F7A67">
        <w:rPr>
          <w:rFonts w:cs="Times New Roman"/>
          <w:b/>
          <w:bCs/>
          <w:sz w:val="20"/>
          <w:szCs w:val="20"/>
          <w:u w:val="single"/>
        </w:rPr>
        <w:t>KARAKATSANIS J.</w:t>
      </w:r>
      <w:r w:rsidRPr="006F7A67">
        <w:rPr>
          <w:rFonts w:cs="Times New Roman"/>
          <w:b/>
          <w:bCs/>
          <w:sz w:val="20"/>
          <w:szCs w:val="20"/>
        </w:rPr>
        <w:t>:</w:t>
      </w:r>
    </w:p>
    <w:p w:rsidR="001B43BD" w:rsidRPr="006F7A67" w:rsidRDefault="001B43BD" w:rsidP="001B43BD">
      <w:pPr>
        <w:rPr>
          <w:rFonts w:cs="Times New Roman"/>
          <w:sz w:val="20"/>
          <w:szCs w:val="20"/>
        </w:rPr>
      </w:pPr>
    </w:p>
    <w:p w:rsidR="001B43BD" w:rsidRPr="006F7A67" w:rsidRDefault="001B43BD" w:rsidP="001B43BD">
      <w:pPr>
        <w:rPr>
          <w:rFonts w:eastAsia="Times New Roman" w:cs="Times New Roman"/>
          <w:i/>
          <w:sz w:val="20"/>
          <w:szCs w:val="20"/>
          <w:lang w:eastAsia="en-CA"/>
        </w:rPr>
      </w:pPr>
      <w:r w:rsidRPr="006F7A67">
        <w:rPr>
          <w:rFonts w:eastAsia="Times New Roman" w:cs="Times New Roman"/>
          <w:b/>
          <w:bCs/>
          <w:sz w:val="20"/>
          <w:szCs w:val="20"/>
          <w:lang w:eastAsia="en-CA"/>
        </w:rPr>
        <w:t>UPON APPLICATION</w:t>
      </w:r>
      <w:r w:rsidRPr="006F7A67">
        <w:rPr>
          <w:rFonts w:eastAsia="Times New Roman" w:cs="Times New Roman"/>
          <w:sz w:val="20"/>
          <w:szCs w:val="20"/>
          <w:lang w:eastAsia="en-CA"/>
        </w:rPr>
        <w:t xml:space="preserve"> by Joseph Charles Crisante, Lynne Slotek, Katherine Crisante and Larry Slotek, </w:t>
      </w:r>
      <w:r w:rsidRPr="006F7A67">
        <w:rPr>
          <w:rFonts w:cs="Times New Roman"/>
          <w:sz w:val="20"/>
          <w:szCs w:val="20"/>
        </w:rPr>
        <w:t xml:space="preserve">for an order to be added as respondents in the above proceedings and to be permitted to serve and file a response to the application for leave to appeal, pursuant to Rules 18 and 47 of the </w:t>
      </w:r>
      <w:r w:rsidRPr="006F7A67">
        <w:rPr>
          <w:rFonts w:cs="Times New Roman"/>
          <w:i/>
          <w:sz w:val="20"/>
          <w:szCs w:val="20"/>
        </w:rPr>
        <w:t>Rules of the Supreme Court of Canada,</w:t>
      </w:r>
      <w:r w:rsidRPr="006F7A67">
        <w:rPr>
          <w:rFonts w:cs="Times New Roman"/>
          <w:sz w:val="20"/>
          <w:szCs w:val="20"/>
        </w:rPr>
        <w:t xml:space="preserve"> or in the alternative, for an order to be added as interveners in the above application for leave to appeal;</w:t>
      </w:r>
    </w:p>
    <w:p w:rsidR="001B43BD" w:rsidRPr="006F7A67" w:rsidRDefault="001B43BD" w:rsidP="001B43BD">
      <w:pPr>
        <w:rPr>
          <w:rFonts w:eastAsia="Times New Roman" w:cs="Times New Roman"/>
          <w:sz w:val="20"/>
          <w:szCs w:val="20"/>
          <w:lang w:eastAsia="en-CA"/>
        </w:rPr>
      </w:pPr>
    </w:p>
    <w:p w:rsidR="001B43BD" w:rsidRPr="006F7A67" w:rsidRDefault="001B43BD" w:rsidP="001B43BD">
      <w:pPr>
        <w:spacing w:line="233" w:lineRule="auto"/>
        <w:rPr>
          <w:rFonts w:cs="Times New Roman"/>
          <w:sz w:val="20"/>
          <w:szCs w:val="20"/>
        </w:rPr>
      </w:pPr>
      <w:r w:rsidRPr="006F7A67">
        <w:rPr>
          <w:rFonts w:cs="Times New Roman"/>
          <w:b/>
          <w:bCs/>
          <w:sz w:val="20"/>
          <w:szCs w:val="20"/>
        </w:rPr>
        <w:t>AND THE MATERIAL FILED</w:t>
      </w:r>
      <w:r w:rsidRPr="006F7A67">
        <w:rPr>
          <w:rFonts w:cs="Times New Roman"/>
          <w:sz w:val="20"/>
          <w:szCs w:val="20"/>
        </w:rPr>
        <w:t xml:space="preserve"> having been read;</w:t>
      </w:r>
    </w:p>
    <w:p w:rsidR="001B43BD" w:rsidRPr="006F7A67" w:rsidRDefault="001B43BD" w:rsidP="001B43BD">
      <w:pPr>
        <w:spacing w:line="233" w:lineRule="auto"/>
        <w:rPr>
          <w:rFonts w:cs="Times New Roman"/>
          <w:sz w:val="20"/>
          <w:szCs w:val="20"/>
        </w:rPr>
      </w:pPr>
    </w:p>
    <w:p w:rsidR="001B43BD" w:rsidRPr="006F7A67" w:rsidRDefault="001B43BD" w:rsidP="001B43BD">
      <w:pPr>
        <w:spacing w:line="233" w:lineRule="auto"/>
        <w:rPr>
          <w:rFonts w:cs="Times New Roman"/>
          <w:b/>
          <w:bCs/>
          <w:sz w:val="20"/>
          <w:szCs w:val="20"/>
        </w:rPr>
      </w:pPr>
      <w:r w:rsidRPr="006F7A67">
        <w:rPr>
          <w:rFonts w:cs="Times New Roman"/>
          <w:b/>
          <w:bCs/>
          <w:sz w:val="20"/>
          <w:szCs w:val="20"/>
        </w:rPr>
        <w:t>IT IS HEREBY ORDERED THAT:</w:t>
      </w:r>
    </w:p>
    <w:p w:rsidR="001B43BD" w:rsidRPr="006F7A67" w:rsidRDefault="001B43BD" w:rsidP="001B43BD">
      <w:pPr>
        <w:spacing w:line="233" w:lineRule="auto"/>
        <w:rPr>
          <w:rFonts w:cs="Times New Roman"/>
          <w:sz w:val="20"/>
          <w:szCs w:val="20"/>
        </w:rPr>
      </w:pPr>
    </w:p>
    <w:p w:rsidR="001B43BD" w:rsidRPr="006F7A67" w:rsidRDefault="001B43BD" w:rsidP="001B43BD">
      <w:pPr>
        <w:spacing w:line="230" w:lineRule="auto"/>
        <w:rPr>
          <w:rFonts w:cs="Times New Roman"/>
          <w:sz w:val="20"/>
          <w:szCs w:val="20"/>
        </w:rPr>
      </w:pPr>
      <w:r w:rsidRPr="006F7A67">
        <w:rPr>
          <w:rFonts w:cs="Times New Roman"/>
          <w:sz w:val="20"/>
          <w:szCs w:val="20"/>
        </w:rPr>
        <w:t>The motion is granted.</w:t>
      </w:r>
    </w:p>
    <w:p w:rsidR="001B43BD" w:rsidRPr="006F7A67" w:rsidRDefault="001B43BD" w:rsidP="001B43BD">
      <w:pPr>
        <w:spacing w:line="230" w:lineRule="auto"/>
        <w:rPr>
          <w:rFonts w:cs="Times New Roman"/>
          <w:sz w:val="20"/>
          <w:szCs w:val="20"/>
        </w:rPr>
      </w:pPr>
    </w:p>
    <w:p w:rsidR="001B43BD" w:rsidRPr="006F7A67" w:rsidRDefault="001B43BD" w:rsidP="001B43BD">
      <w:pPr>
        <w:spacing w:line="230" w:lineRule="auto"/>
        <w:rPr>
          <w:rFonts w:cs="Times New Roman"/>
          <w:sz w:val="20"/>
          <w:szCs w:val="20"/>
        </w:rPr>
      </w:pPr>
      <w:r w:rsidRPr="006F7A67">
        <w:rPr>
          <w:rFonts w:eastAsia="Times New Roman" w:cs="Times New Roman"/>
          <w:sz w:val="20"/>
          <w:szCs w:val="20"/>
          <w:lang w:eastAsia="en-CA"/>
        </w:rPr>
        <w:t xml:space="preserve">Joseph Charles Crisante, Lynne Slotek, Katherine Crisante and Larry Slotek are added as respondents in the proceedings before this Court pursuant to Rule 18(1) of the </w:t>
      </w:r>
      <w:r w:rsidRPr="006F7A67">
        <w:rPr>
          <w:rFonts w:eastAsia="Times New Roman" w:cs="Times New Roman"/>
          <w:i/>
          <w:sz w:val="20"/>
          <w:szCs w:val="20"/>
          <w:lang w:eastAsia="en-CA"/>
        </w:rPr>
        <w:t>Rules of the Supreme Court of Canada</w:t>
      </w:r>
      <w:r w:rsidRPr="006F7A67">
        <w:rPr>
          <w:rFonts w:eastAsia="Times New Roman" w:cs="Times New Roman"/>
          <w:sz w:val="20"/>
          <w:szCs w:val="20"/>
          <w:lang w:eastAsia="en-CA"/>
        </w:rPr>
        <w:t xml:space="preserve"> and </w:t>
      </w:r>
      <w:r w:rsidRPr="006F7A67">
        <w:rPr>
          <w:rFonts w:cs="Times New Roman"/>
          <w:sz w:val="20"/>
          <w:szCs w:val="20"/>
        </w:rPr>
        <w:t xml:space="preserve">the style of cause shall be modified to reflect this change. </w:t>
      </w:r>
    </w:p>
    <w:p w:rsidR="001B43BD" w:rsidRPr="006F7A67" w:rsidRDefault="001B43BD" w:rsidP="001B43BD">
      <w:pPr>
        <w:spacing w:line="230" w:lineRule="auto"/>
        <w:rPr>
          <w:rFonts w:cs="Times New Roman"/>
          <w:sz w:val="20"/>
          <w:szCs w:val="20"/>
        </w:rPr>
      </w:pPr>
    </w:p>
    <w:p w:rsidR="001B43BD" w:rsidRPr="006F7A67" w:rsidRDefault="001B43BD" w:rsidP="001B43BD">
      <w:pPr>
        <w:rPr>
          <w:rFonts w:cs="Times New Roman"/>
          <w:sz w:val="20"/>
          <w:szCs w:val="20"/>
        </w:rPr>
      </w:pPr>
      <w:r w:rsidRPr="006F7A67">
        <w:rPr>
          <w:rFonts w:cs="Times New Roman"/>
          <w:sz w:val="20"/>
          <w:szCs w:val="20"/>
        </w:rPr>
        <w:t>The deadline to serve and file the response and reply to the application for leave to appeal will be determined by direction of the Registrar once the current suspension of deadlines has ended.</w:t>
      </w:r>
    </w:p>
    <w:p w:rsidR="001B43BD" w:rsidRPr="006F7A67" w:rsidRDefault="001B43BD" w:rsidP="001B43BD">
      <w:pPr>
        <w:spacing w:line="230" w:lineRule="auto"/>
        <w:rPr>
          <w:rFonts w:cs="Times New Roman"/>
          <w:sz w:val="20"/>
          <w:szCs w:val="20"/>
        </w:rPr>
      </w:pPr>
    </w:p>
    <w:p w:rsidR="001B43BD" w:rsidRPr="006F7A67" w:rsidRDefault="001B43BD" w:rsidP="001B43BD">
      <w:pPr>
        <w:spacing w:line="233" w:lineRule="auto"/>
        <w:rPr>
          <w:rFonts w:cs="Times New Roman"/>
          <w:sz w:val="20"/>
          <w:szCs w:val="20"/>
        </w:rPr>
      </w:pPr>
    </w:p>
    <w:p w:rsidR="001B43BD" w:rsidRPr="006F7A67" w:rsidRDefault="001B43BD" w:rsidP="001B43BD">
      <w:pPr>
        <w:rPr>
          <w:rFonts w:eastAsia="Times New Roman" w:cs="Times New Roman"/>
          <w:sz w:val="20"/>
          <w:szCs w:val="20"/>
          <w:lang w:val="fr-CA" w:eastAsia="en-CA"/>
        </w:rPr>
      </w:pPr>
      <w:r w:rsidRPr="006F7A67">
        <w:rPr>
          <w:rFonts w:cs="Times New Roman"/>
          <w:b/>
          <w:sz w:val="20"/>
          <w:szCs w:val="20"/>
          <w:lang w:val="fr-CA"/>
        </w:rPr>
        <w:t>À LA SUITE DE LA DEMANDE</w:t>
      </w:r>
      <w:r w:rsidRPr="006F7A67">
        <w:rPr>
          <w:rFonts w:cs="Times New Roman"/>
          <w:sz w:val="20"/>
          <w:szCs w:val="20"/>
          <w:lang w:val="fr-CA"/>
        </w:rPr>
        <w:t xml:space="preserve"> présentée par </w:t>
      </w:r>
      <w:r w:rsidRPr="006F7A67">
        <w:rPr>
          <w:rFonts w:eastAsia="Times New Roman" w:cs="Times New Roman"/>
          <w:sz w:val="20"/>
          <w:szCs w:val="20"/>
          <w:lang w:val="fr-CA" w:eastAsia="en-CA"/>
        </w:rPr>
        <w:t xml:space="preserve">Charles Crisante, Lynne Slotek, Katherine Crisante et Larry Slotek pour être ajoutés à titre d’intimés dans la présente instance et en autorisation de signifier et de déposer une réponse à la demande en autorisation d’appel en vertu des art. 18 et 47 des </w:t>
      </w:r>
      <w:r w:rsidRPr="006F7A67">
        <w:rPr>
          <w:rFonts w:eastAsia="Times New Roman" w:cs="Times New Roman"/>
          <w:i/>
          <w:sz w:val="20"/>
          <w:szCs w:val="20"/>
          <w:lang w:val="fr-CA" w:eastAsia="en-CA"/>
        </w:rPr>
        <w:t>Règles de la Cour suprême du Canada</w:t>
      </w:r>
      <w:r w:rsidRPr="006F7A67">
        <w:rPr>
          <w:rFonts w:eastAsia="Times New Roman" w:cs="Times New Roman"/>
          <w:sz w:val="20"/>
          <w:szCs w:val="20"/>
          <w:lang w:val="fr-CA" w:eastAsia="en-CA"/>
        </w:rPr>
        <w:t xml:space="preserve"> ou, subsidiairement, pour être ajoutés à titre d’intervenants dans la demande d’autorisation d’appel présentée dans ce dossier;</w:t>
      </w:r>
    </w:p>
    <w:p w:rsidR="001B43BD" w:rsidRPr="006F7A67" w:rsidRDefault="001B43BD" w:rsidP="001B43BD">
      <w:pPr>
        <w:rPr>
          <w:rFonts w:eastAsia="Times New Roman" w:cs="Times New Roman"/>
          <w:sz w:val="20"/>
          <w:szCs w:val="20"/>
          <w:lang w:val="fr-CA" w:eastAsia="en-CA"/>
        </w:rPr>
      </w:pPr>
    </w:p>
    <w:p w:rsidR="001B43BD" w:rsidRPr="006F7A67" w:rsidRDefault="001B43BD" w:rsidP="001B43BD">
      <w:pPr>
        <w:rPr>
          <w:rFonts w:eastAsia="Times New Roman" w:cs="Times New Roman"/>
          <w:sz w:val="20"/>
          <w:szCs w:val="20"/>
          <w:lang w:val="fr-CA" w:eastAsia="en-CA"/>
        </w:rPr>
      </w:pPr>
      <w:r w:rsidRPr="006F7A67">
        <w:rPr>
          <w:rFonts w:eastAsia="Times New Roman" w:cs="Times New Roman"/>
          <w:b/>
          <w:sz w:val="20"/>
          <w:szCs w:val="20"/>
          <w:lang w:val="fr-CA" w:eastAsia="en-CA"/>
        </w:rPr>
        <w:t>ET APRÈS EXAMEN</w:t>
      </w:r>
      <w:r w:rsidRPr="006F7A67">
        <w:rPr>
          <w:rFonts w:eastAsia="Times New Roman" w:cs="Times New Roman"/>
          <w:sz w:val="20"/>
          <w:szCs w:val="20"/>
          <w:lang w:val="fr-CA" w:eastAsia="en-CA"/>
        </w:rPr>
        <w:t xml:space="preserve"> des documents déposés;</w:t>
      </w:r>
    </w:p>
    <w:p w:rsidR="001B43BD" w:rsidRPr="006F7A67" w:rsidRDefault="001B43BD" w:rsidP="001B43BD">
      <w:pPr>
        <w:rPr>
          <w:rFonts w:eastAsia="Times New Roman" w:cs="Times New Roman"/>
          <w:sz w:val="20"/>
          <w:szCs w:val="20"/>
          <w:lang w:val="fr-CA" w:eastAsia="en-CA"/>
        </w:rPr>
      </w:pPr>
    </w:p>
    <w:p w:rsidR="001B43BD" w:rsidRPr="006F7A67" w:rsidRDefault="001B43BD" w:rsidP="001B43BD">
      <w:pPr>
        <w:rPr>
          <w:rFonts w:eastAsia="Times New Roman" w:cs="Times New Roman"/>
          <w:b/>
          <w:sz w:val="20"/>
          <w:szCs w:val="20"/>
          <w:lang w:val="fr-CA" w:eastAsia="en-CA"/>
        </w:rPr>
      </w:pPr>
      <w:r w:rsidRPr="006F7A67">
        <w:rPr>
          <w:rFonts w:eastAsia="Times New Roman" w:cs="Times New Roman"/>
          <w:b/>
          <w:sz w:val="20"/>
          <w:szCs w:val="20"/>
          <w:lang w:val="fr-CA" w:eastAsia="en-CA"/>
        </w:rPr>
        <w:t>IL EST PAR LA PRÉSENTE ORDONNÉ CE QUI SUIT :</w:t>
      </w:r>
    </w:p>
    <w:p w:rsidR="001B43BD" w:rsidRPr="006F7A67" w:rsidRDefault="001B43BD" w:rsidP="001B43BD">
      <w:pPr>
        <w:rPr>
          <w:rFonts w:eastAsia="Times New Roman" w:cs="Times New Roman"/>
          <w:sz w:val="20"/>
          <w:szCs w:val="20"/>
          <w:lang w:val="fr-CA" w:eastAsia="en-CA"/>
        </w:rPr>
      </w:pPr>
    </w:p>
    <w:p w:rsidR="001B43BD" w:rsidRPr="006F7A67" w:rsidRDefault="001B43BD" w:rsidP="001B43BD">
      <w:pPr>
        <w:rPr>
          <w:rFonts w:cs="Times New Roman"/>
          <w:sz w:val="20"/>
          <w:szCs w:val="20"/>
          <w:lang w:val="fr-CA"/>
        </w:rPr>
      </w:pPr>
      <w:r w:rsidRPr="006F7A67">
        <w:rPr>
          <w:rFonts w:cs="Times New Roman"/>
          <w:sz w:val="20"/>
          <w:szCs w:val="20"/>
          <w:lang w:val="fr-CA"/>
        </w:rPr>
        <w:t>La requête est accueillie.</w:t>
      </w:r>
    </w:p>
    <w:p w:rsidR="001B43BD" w:rsidRPr="006F7A67" w:rsidRDefault="001B43BD" w:rsidP="001B43BD">
      <w:pPr>
        <w:rPr>
          <w:rFonts w:cs="Times New Roman"/>
          <w:sz w:val="20"/>
          <w:szCs w:val="20"/>
          <w:lang w:val="fr-CA"/>
        </w:rPr>
      </w:pPr>
    </w:p>
    <w:p w:rsidR="001B43BD" w:rsidRPr="006F7A67" w:rsidRDefault="001B43BD" w:rsidP="001B43BD">
      <w:pPr>
        <w:rPr>
          <w:rFonts w:eastAsia="Times New Roman" w:cs="Times New Roman"/>
          <w:sz w:val="20"/>
          <w:szCs w:val="20"/>
          <w:lang w:val="fr-CA" w:eastAsia="en-CA"/>
        </w:rPr>
      </w:pPr>
      <w:r w:rsidRPr="006F7A67">
        <w:rPr>
          <w:rFonts w:eastAsia="Times New Roman" w:cs="Times New Roman"/>
          <w:sz w:val="20"/>
          <w:szCs w:val="20"/>
          <w:lang w:val="fr-CA" w:eastAsia="en-CA"/>
        </w:rPr>
        <w:t xml:space="preserve">Joseph Charles Crisante, Lynne Slotek, Katherine Crisante et Larry Slotek sont ajoutés à titre d’intimés dans l’instance dont est saisie la Cour, et ce, en vertu du par. 18(1) des </w:t>
      </w:r>
      <w:r w:rsidRPr="006F7A67">
        <w:rPr>
          <w:rFonts w:eastAsia="Times New Roman" w:cs="Times New Roman"/>
          <w:i/>
          <w:sz w:val="20"/>
          <w:szCs w:val="20"/>
          <w:lang w:val="fr-CA" w:eastAsia="en-CA"/>
        </w:rPr>
        <w:t>Règles de la Cour suprême du Canada</w:t>
      </w:r>
      <w:r w:rsidRPr="006F7A67">
        <w:rPr>
          <w:rFonts w:eastAsia="Times New Roman" w:cs="Times New Roman"/>
          <w:sz w:val="20"/>
          <w:szCs w:val="20"/>
          <w:lang w:val="fr-CA" w:eastAsia="en-CA"/>
        </w:rPr>
        <w:t xml:space="preserve"> et l’intitulé de la cause sera modifié en conséquence.</w:t>
      </w:r>
    </w:p>
    <w:p w:rsidR="001B43BD" w:rsidRPr="006F7A67" w:rsidRDefault="001B43BD" w:rsidP="001B43BD">
      <w:pPr>
        <w:rPr>
          <w:rFonts w:eastAsia="Times New Roman" w:cs="Times New Roman"/>
          <w:sz w:val="20"/>
          <w:szCs w:val="20"/>
          <w:lang w:val="fr-CA" w:eastAsia="en-CA"/>
        </w:rPr>
      </w:pPr>
    </w:p>
    <w:p w:rsidR="001B43BD" w:rsidRPr="006F7A67" w:rsidRDefault="001B43BD" w:rsidP="001B43BD">
      <w:pPr>
        <w:rPr>
          <w:rFonts w:cs="Times New Roman"/>
          <w:sz w:val="20"/>
          <w:szCs w:val="20"/>
          <w:lang w:val="fr-CA"/>
        </w:rPr>
      </w:pPr>
      <w:r w:rsidRPr="006F7A67">
        <w:rPr>
          <w:rFonts w:eastAsia="Times New Roman" w:cs="Times New Roman"/>
          <w:sz w:val="20"/>
          <w:szCs w:val="20"/>
          <w:lang w:val="fr-CA" w:eastAsia="en-CA"/>
        </w:rPr>
        <w:t>L’échéance pour signifier et déposer la réponse à la demande d’autorisation d’appel et la réplique sera fixée par la direction du Greffe une fois levée la suspension en cours des délais.</w:t>
      </w:r>
    </w:p>
    <w:p w:rsidR="00102792" w:rsidRPr="006F7A67" w:rsidRDefault="00102792" w:rsidP="00102792">
      <w:pPr>
        <w:spacing w:line="232" w:lineRule="auto"/>
        <w:rPr>
          <w:rFonts w:cs="Times New Roman"/>
          <w:sz w:val="20"/>
          <w:lang w:val="fr-CA"/>
        </w:rPr>
      </w:pPr>
    </w:p>
    <w:p w:rsidR="00102792" w:rsidRPr="006F7A67" w:rsidRDefault="00300F06"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71" style="width:2in;height:1pt" o:hrpct="0" o:hralign="center" o:hrstd="t" o:hrnoshade="t" o:hr="t" fillcolor="black [3213]" stroked="f"/>
        </w:pict>
      </w:r>
    </w:p>
    <w:p w:rsidR="005967EF" w:rsidRPr="006F7A67" w:rsidRDefault="005967EF" w:rsidP="00102792">
      <w:pPr>
        <w:rPr>
          <w:rFonts w:eastAsia="Times New Roman" w:cs="Times New Roman"/>
          <w:sz w:val="20"/>
          <w:szCs w:val="20"/>
          <w:lang w:val="fr-CA" w:eastAsia="en-CA"/>
        </w:rPr>
      </w:pPr>
    </w:p>
    <w:p w:rsidR="007B09D6" w:rsidRPr="006F7A67" w:rsidRDefault="007B09D6" w:rsidP="00102792">
      <w:pPr>
        <w:rPr>
          <w:rFonts w:eastAsia="Times New Roman" w:cs="Times New Roman"/>
          <w:sz w:val="20"/>
          <w:szCs w:val="20"/>
          <w:lang w:val="fr-CA" w:eastAsia="en-CA"/>
        </w:rPr>
      </w:pPr>
    </w:p>
    <w:p w:rsidR="00CA2DEA" w:rsidRPr="006F7A67" w:rsidRDefault="00CA2DEA" w:rsidP="0010587F">
      <w:pPr>
        <w:tabs>
          <w:tab w:val="left" w:pos="-1440"/>
          <w:tab w:val="left" w:pos="-720"/>
        </w:tabs>
        <w:jc w:val="both"/>
        <w:rPr>
          <w:sz w:val="20"/>
          <w:szCs w:val="20"/>
          <w:lang w:val="fr-CA"/>
        </w:rPr>
      </w:pPr>
    </w:p>
    <w:p w:rsidR="00890FEB" w:rsidRPr="006F7A67" w:rsidRDefault="00890FEB" w:rsidP="00831CA9">
      <w:pPr>
        <w:jc w:val="both"/>
        <w:rPr>
          <w:sz w:val="20"/>
          <w:szCs w:val="20"/>
          <w:lang w:val="fr-CA"/>
        </w:rPr>
      </w:pPr>
    </w:p>
    <w:p w:rsidR="00831CA9" w:rsidRPr="006F7A67" w:rsidRDefault="00831CA9" w:rsidP="00831CA9">
      <w:pPr>
        <w:jc w:val="both"/>
        <w:rPr>
          <w:sz w:val="20"/>
          <w:szCs w:val="20"/>
          <w:lang w:val="fr-CA"/>
        </w:rPr>
        <w:sectPr w:rsidR="00831CA9" w:rsidRPr="006F7A67" w:rsidSect="00831CA9">
          <w:headerReference w:type="even" r:id="rId87"/>
          <w:headerReference w:type="default" r:id="rId88"/>
          <w:footerReference w:type="even" r:id="rId89"/>
          <w:footerReference w:type="default" r:id="rId90"/>
          <w:headerReference w:type="first" r:id="rId91"/>
          <w:footerReference w:type="first" r:id="rId92"/>
          <w:pgSz w:w="12240" w:h="15840"/>
          <w:pgMar w:top="720" w:right="965" w:bottom="1080" w:left="1656" w:header="720" w:footer="965" w:gutter="0"/>
          <w:cols w:space="720"/>
          <w:titlePg/>
          <w:docGrid w:linePitch="326"/>
        </w:sectPr>
      </w:pPr>
    </w:p>
    <w:p w:rsidR="00567602" w:rsidRPr="006F7A67" w:rsidRDefault="001434B9" w:rsidP="00567602">
      <w:pPr>
        <w:pStyle w:val="Header1StyleE"/>
        <w:pBdr>
          <w:bottom w:val="single" w:sz="12" w:space="1" w:color="auto"/>
        </w:pBdr>
        <w:rPr>
          <w:sz w:val="20"/>
          <w:lang w:val="en-US"/>
        </w:rPr>
      </w:pPr>
      <w:bookmarkStart w:id="7" w:name="_Toc37315377"/>
      <w:r w:rsidRPr="006F7A67">
        <w:t>Notices of appeal filed since the last issue</w:t>
      </w:r>
      <w:r w:rsidR="00271E1E" w:rsidRPr="006F7A67">
        <w:t xml:space="preserve"> / </w:t>
      </w:r>
      <w:r w:rsidR="00567602" w:rsidRPr="006F7A67">
        <w:br/>
      </w:r>
      <w:r w:rsidRPr="006F7A67">
        <w:rPr>
          <w:lang w:val="fr-CA"/>
        </w:rPr>
        <w:t>Avis d’appel déposés depuis la dernière parution</w:t>
      </w:r>
      <w:bookmarkEnd w:id="7"/>
    </w:p>
    <w:p w:rsidR="00FB1DB6" w:rsidRPr="006F7A67"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6F7A67" w:rsidTr="005F1ED8">
        <w:trPr>
          <w:cantSplit/>
        </w:trPr>
        <w:tc>
          <w:tcPr>
            <w:tcW w:w="2206" w:type="pct"/>
            <w:tcMar>
              <w:left w:w="0" w:type="dxa"/>
              <w:right w:w="0" w:type="dxa"/>
            </w:tcMar>
          </w:tcPr>
          <w:p w:rsidR="0086340B" w:rsidRPr="006F7A67" w:rsidRDefault="001B43BD" w:rsidP="005F1ED8">
            <w:pPr>
              <w:rPr>
                <w:sz w:val="20"/>
                <w:szCs w:val="20"/>
              </w:rPr>
            </w:pPr>
            <w:r w:rsidRPr="006F7A67">
              <w:rPr>
                <w:sz w:val="20"/>
                <w:szCs w:val="20"/>
              </w:rPr>
              <w:t>March</w:t>
            </w:r>
            <w:r w:rsidR="008859F1" w:rsidRPr="006F7A67">
              <w:rPr>
                <w:sz w:val="20"/>
                <w:szCs w:val="20"/>
              </w:rPr>
              <w:t xml:space="preserve"> </w:t>
            </w:r>
            <w:r w:rsidRPr="006F7A67">
              <w:rPr>
                <w:sz w:val="20"/>
                <w:szCs w:val="20"/>
              </w:rPr>
              <w:t>13</w:t>
            </w:r>
            <w:r w:rsidR="008859F1" w:rsidRPr="006F7A67">
              <w:rPr>
                <w:sz w:val="20"/>
                <w:szCs w:val="20"/>
              </w:rPr>
              <w:t>, 20</w:t>
            </w:r>
            <w:r w:rsidR="005967EF" w:rsidRPr="006F7A67">
              <w:rPr>
                <w:sz w:val="20"/>
                <w:szCs w:val="20"/>
              </w:rPr>
              <w:t>20</w:t>
            </w:r>
          </w:p>
          <w:p w:rsidR="001B43BD" w:rsidRPr="006F7A67" w:rsidRDefault="001B43BD" w:rsidP="005F1ED8">
            <w:pPr>
              <w:rPr>
                <w:sz w:val="20"/>
                <w:szCs w:val="20"/>
              </w:rPr>
            </w:pPr>
          </w:p>
          <w:p w:rsidR="0086340B" w:rsidRPr="006F7A67" w:rsidRDefault="001B43BD" w:rsidP="005F1ED8">
            <w:pPr>
              <w:rPr>
                <w:b/>
                <w:sz w:val="20"/>
                <w:szCs w:val="20"/>
              </w:rPr>
            </w:pPr>
            <w:r w:rsidRPr="006F7A67">
              <w:rPr>
                <w:b/>
                <w:sz w:val="20"/>
                <w:szCs w:val="20"/>
              </w:rPr>
              <w:t>Joaquin Alfredo Cortes Rivera</w:t>
            </w:r>
          </w:p>
          <w:p w:rsidR="0086340B" w:rsidRPr="006F7A67" w:rsidRDefault="0086340B" w:rsidP="005F1ED8">
            <w:pPr>
              <w:rPr>
                <w:sz w:val="20"/>
                <w:szCs w:val="20"/>
              </w:rPr>
            </w:pPr>
          </w:p>
          <w:p w:rsidR="0086340B" w:rsidRPr="006F7A67" w:rsidRDefault="0086340B" w:rsidP="005F1ED8">
            <w:pPr>
              <w:rPr>
                <w:b/>
                <w:sz w:val="20"/>
                <w:szCs w:val="20"/>
              </w:rPr>
            </w:pPr>
            <w:r w:rsidRPr="006F7A67">
              <w:rPr>
                <w:b/>
                <w:sz w:val="20"/>
                <w:szCs w:val="20"/>
              </w:rPr>
              <w:tab/>
              <w:t>v. (39</w:t>
            </w:r>
            <w:r w:rsidR="001B43BD" w:rsidRPr="006F7A67">
              <w:rPr>
                <w:b/>
                <w:sz w:val="20"/>
                <w:szCs w:val="20"/>
              </w:rPr>
              <w:t>084</w:t>
            </w:r>
            <w:r w:rsidRPr="006F7A67">
              <w:rPr>
                <w:b/>
                <w:sz w:val="20"/>
                <w:szCs w:val="20"/>
              </w:rPr>
              <w:t>)</w:t>
            </w:r>
          </w:p>
          <w:p w:rsidR="0086340B" w:rsidRPr="006F7A67" w:rsidRDefault="0086340B" w:rsidP="005F1ED8">
            <w:pPr>
              <w:rPr>
                <w:sz w:val="20"/>
                <w:szCs w:val="20"/>
              </w:rPr>
            </w:pPr>
          </w:p>
          <w:p w:rsidR="0086340B" w:rsidRPr="006F7A67" w:rsidRDefault="001B43BD" w:rsidP="005F1ED8">
            <w:pPr>
              <w:rPr>
                <w:b/>
                <w:sz w:val="20"/>
                <w:szCs w:val="20"/>
              </w:rPr>
            </w:pPr>
            <w:r w:rsidRPr="006F7A67">
              <w:rPr>
                <w:b/>
                <w:sz w:val="20"/>
                <w:szCs w:val="20"/>
              </w:rPr>
              <w:t>Her Majesty the Queen</w:t>
            </w:r>
            <w:r w:rsidR="0086340B" w:rsidRPr="006F7A67">
              <w:rPr>
                <w:b/>
                <w:sz w:val="20"/>
                <w:szCs w:val="20"/>
              </w:rPr>
              <w:t xml:space="preserve"> (</w:t>
            </w:r>
            <w:r w:rsidRPr="006F7A67">
              <w:rPr>
                <w:b/>
                <w:sz w:val="20"/>
                <w:szCs w:val="20"/>
              </w:rPr>
              <w:t>Alta.</w:t>
            </w:r>
            <w:r w:rsidR="0086340B" w:rsidRPr="006F7A67">
              <w:rPr>
                <w:b/>
                <w:sz w:val="20"/>
                <w:szCs w:val="20"/>
              </w:rPr>
              <w:t>)</w:t>
            </w:r>
          </w:p>
          <w:p w:rsidR="0086340B" w:rsidRPr="006F7A67" w:rsidRDefault="0086340B" w:rsidP="005F1ED8">
            <w:pPr>
              <w:rPr>
                <w:sz w:val="20"/>
                <w:szCs w:val="20"/>
              </w:rPr>
            </w:pPr>
          </w:p>
          <w:p w:rsidR="0086340B" w:rsidRPr="006F7A67" w:rsidRDefault="0086340B" w:rsidP="005F1ED8">
            <w:pPr>
              <w:rPr>
                <w:sz w:val="20"/>
                <w:szCs w:val="20"/>
              </w:rPr>
            </w:pPr>
            <w:r w:rsidRPr="006F7A67">
              <w:rPr>
                <w:sz w:val="20"/>
                <w:szCs w:val="20"/>
              </w:rPr>
              <w:t>(</w:t>
            </w:r>
            <w:r w:rsidR="001B43BD" w:rsidRPr="006F7A67">
              <w:rPr>
                <w:sz w:val="20"/>
                <w:szCs w:val="20"/>
              </w:rPr>
              <w:t>As of Right</w:t>
            </w:r>
            <w:r w:rsidRPr="006F7A67">
              <w:rPr>
                <w:sz w:val="20"/>
                <w:szCs w:val="20"/>
              </w:rPr>
              <w:t>)</w:t>
            </w:r>
          </w:p>
          <w:p w:rsidR="0086340B" w:rsidRPr="006F7A67" w:rsidRDefault="0086340B" w:rsidP="005F1ED8">
            <w:pPr>
              <w:rPr>
                <w:sz w:val="20"/>
                <w:szCs w:val="20"/>
              </w:rPr>
            </w:pPr>
          </w:p>
          <w:p w:rsidR="0086340B" w:rsidRPr="006F7A67" w:rsidRDefault="00300F06" w:rsidP="005F1ED8">
            <w:pPr>
              <w:rPr>
                <w:sz w:val="20"/>
                <w:szCs w:val="20"/>
                <w:lang w:val="fr-CA"/>
              </w:rPr>
            </w:pPr>
            <w:r>
              <w:rPr>
                <w:sz w:val="20"/>
                <w:szCs w:val="20"/>
                <w:lang w:val="fr-CA"/>
              </w:rPr>
              <w:pict>
                <v:rect id="_x0000_i1074" style="width:106.1pt;height:1pt" o:hrpct="500" o:hrstd="t" o:hrnoshade="t" o:hr="t" fillcolor="black [3213]" stroked="f"/>
              </w:pict>
            </w:r>
          </w:p>
        </w:tc>
        <w:tc>
          <w:tcPr>
            <w:tcW w:w="588" w:type="pct"/>
          </w:tcPr>
          <w:p w:rsidR="0086340B" w:rsidRPr="006F7A67" w:rsidRDefault="0086340B" w:rsidP="005F1ED8">
            <w:pPr>
              <w:jc w:val="center"/>
              <w:rPr>
                <w:sz w:val="20"/>
                <w:szCs w:val="20"/>
              </w:rPr>
            </w:pPr>
          </w:p>
          <w:p w:rsidR="0086340B" w:rsidRPr="006F7A67" w:rsidRDefault="0086340B" w:rsidP="005F1ED8">
            <w:pPr>
              <w:jc w:val="center"/>
              <w:rPr>
                <w:sz w:val="20"/>
                <w:szCs w:val="20"/>
              </w:rPr>
            </w:pPr>
          </w:p>
          <w:p w:rsidR="0086340B" w:rsidRPr="006F7A67" w:rsidRDefault="0086340B" w:rsidP="005F1ED8">
            <w:pPr>
              <w:jc w:val="center"/>
              <w:rPr>
                <w:sz w:val="20"/>
                <w:szCs w:val="20"/>
              </w:rPr>
            </w:pPr>
          </w:p>
          <w:p w:rsidR="0086340B" w:rsidRPr="006F7A67" w:rsidRDefault="0086340B" w:rsidP="005F1ED8">
            <w:pPr>
              <w:jc w:val="center"/>
              <w:rPr>
                <w:sz w:val="20"/>
                <w:szCs w:val="20"/>
              </w:rPr>
            </w:pPr>
          </w:p>
          <w:p w:rsidR="0086340B" w:rsidRPr="006F7A67" w:rsidRDefault="0086340B" w:rsidP="005F1ED8">
            <w:pPr>
              <w:jc w:val="center"/>
              <w:rPr>
                <w:sz w:val="20"/>
                <w:szCs w:val="20"/>
              </w:rPr>
            </w:pPr>
          </w:p>
          <w:p w:rsidR="0086340B" w:rsidRPr="006F7A67" w:rsidRDefault="0086340B" w:rsidP="005F1ED8">
            <w:pPr>
              <w:jc w:val="center"/>
              <w:rPr>
                <w:sz w:val="20"/>
                <w:szCs w:val="20"/>
              </w:rPr>
            </w:pPr>
          </w:p>
          <w:p w:rsidR="0086340B" w:rsidRPr="006F7A67" w:rsidRDefault="0086340B" w:rsidP="005F1ED8">
            <w:pPr>
              <w:jc w:val="center"/>
              <w:rPr>
                <w:sz w:val="20"/>
                <w:szCs w:val="20"/>
              </w:rPr>
            </w:pPr>
          </w:p>
          <w:p w:rsidR="0086340B" w:rsidRPr="006F7A67" w:rsidRDefault="0086340B" w:rsidP="005F1ED8">
            <w:pPr>
              <w:jc w:val="center"/>
              <w:rPr>
                <w:sz w:val="20"/>
                <w:szCs w:val="20"/>
              </w:rPr>
            </w:pPr>
          </w:p>
          <w:p w:rsidR="0086340B" w:rsidRPr="006F7A67" w:rsidRDefault="0086340B" w:rsidP="005F1ED8">
            <w:pPr>
              <w:jc w:val="center"/>
              <w:rPr>
                <w:sz w:val="20"/>
                <w:szCs w:val="20"/>
              </w:rPr>
            </w:pPr>
          </w:p>
          <w:p w:rsidR="0086340B" w:rsidRPr="006F7A67" w:rsidRDefault="0086340B" w:rsidP="005F1ED8">
            <w:pPr>
              <w:jc w:val="center"/>
              <w:rPr>
                <w:sz w:val="20"/>
                <w:szCs w:val="20"/>
              </w:rPr>
            </w:pPr>
          </w:p>
          <w:p w:rsidR="00E06F20" w:rsidRPr="006F7A67" w:rsidRDefault="00E06F20" w:rsidP="005F1ED8">
            <w:pPr>
              <w:jc w:val="center"/>
              <w:rPr>
                <w:sz w:val="20"/>
                <w:szCs w:val="20"/>
              </w:rPr>
            </w:pPr>
          </w:p>
          <w:p w:rsidR="0086340B" w:rsidRPr="006F7A67" w:rsidRDefault="0086340B" w:rsidP="005F1ED8">
            <w:pPr>
              <w:jc w:val="center"/>
              <w:rPr>
                <w:sz w:val="20"/>
                <w:szCs w:val="20"/>
              </w:rPr>
            </w:pPr>
          </w:p>
        </w:tc>
        <w:tc>
          <w:tcPr>
            <w:tcW w:w="2206" w:type="pct"/>
          </w:tcPr>
          <w:p w:rsidR="0086340B" w:rsidRPr="006F7A67" w:rsidRDefault="0086340B" w:rsidP="005F1ED8">
            <w:pPr>
              <w:rPr>
                <w:sz w:val="20"/>
                <w:szCs w:val="20"/>
              </w:rPr>
            </w:pPr>
          </w:p>
        </w:tc>
      </w:tr>
    </w:tbl>
    <w:p w:rsidR="008277C4" w:rsidRPr="006F7A67" w:rsidRDefault="008277C4" w:rsidP="00F40249">
      <w:pPr>
        <w:rPr>
          <w:sz w:val="20"/>
          <w:szCs w:val="20"/>
        </w:rPr>
      </w:pPr>
    </w:p>
    <w:p w:rsidR="008277C4" w:rsidRPr="006F7A67" w:rsidRDefault="008277C4" w:rsidP="00F40249">
      <w:pPr>
        <w:rPr>
          <w:sz w:val="20"/>
          <w:szCs w:val="20"/>
        </w:rPr>
      </w:pPr>
    </w:p>
    <w:p w:rsidR="0010587F" w:rsidRPr="006F7A67" w:rsidRDefault="0010587F" w:rsidP="00F40249">
      <w:pPr>
        <w:rPr>
          <w:sz w:val="20"/>
          <w:szCs w:val="20"/>
        </w:rPr>
      </w:pPr>
    </w:p>
    <w:p w:rsidR="00EB2B90" w:rsidRPr="006F7A67" w:rsidRDefault="00EB2B90" w:rsidP="00F40249">
      <w:pPr>
        <w:rPr>
          <w:sz w:val="20"/>
          <w:szCs w:val="20"/>
        </w:rPr>
        <w:sectPr w:rsidR="00EB2B90" w:rsidRPr="006F7A67" w:rsidSect="00F40249">
          <w:headerReference w:type="even" r:id="rId93"/>
          <w:headerReference w:type="default" r:id="rId94"/>
          <w:footerReference w:type="even" r:id="rId95"/>
          <w:footerReference w:type="default" r:id="rId96"/>
          <w:headerReference w:type="first" r:id="rId97"/>
          <w:footerReference w:type="first" r:id="rId98"/>
          <w:pgSz w:w="12240" w:h="15840"/>
          <w:pgMar w:top="720" w:right="965" w:bottom="1080" w:left="1656" w:header="720" w:footer="965" w:gutter="0"/>
          <w:cols w:space="720"/>
          <w:titlePg/>
          <w:docGrid w:linePitch="326"/>
        </w:sectPr>
      </w:pPr>
    </w:p>
    <w:p w:rsidR="004B2E86" w:rsidRPr="006F7A67" w:rsidRDefault="004B2E86" w:rsidP="004B2E86">
      <w:pPr>
        <w:tabs>
          <w:tab w:val="center" w:pos="5220"/>
          <w:tab w:val="right" w:pos="10800"/>
        </w:tabs>
        <w:jc w:val="center"/>
        <w:rPr>
          <w:rFonts w:ascii="Arial" w:hAnsi="Arial" w:cs="Arial"/>
          <w:sz w:val="16"/>
          <w:szCs w:val="18"/>
          <w:lang w:val="fr-CA"/>
        </w:rPr>
      </w:pPr>
      <w:bookmarkStart w:id="8" w:name="1"/>
      <w:bookmarkStart w:id="9" w:name="QuickMark"/>
      <w:bookmarkEnd w:id="8"/>
      <w:bookmarkEnd w:id="9"/>
      <w:r w:rsidRPr="006F7A67">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6F7A67"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6F7A67"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6F7A67"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DECEMBER – DÉCEMBRE</w:t>
            </w:r>
          </w:p>
        </w:tc>
      </w:tr>
      <w:tr w:rsidR="004B2E86" w:rsidRPr="006F7A67"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4"/>
                <w:szCs w:val="14"/>
                <w:lang w:val="fr-FR"/>
              </w:rPr>
            </w:pPr>
            <w:r w:rsidRPr="006F7A67">
              <w:rPr>
                <w:rFonts w:ascii="Arial" w:hAnsi="Arial" w:cs="Arial"/>
                <w:b/>
                <w:sz w:val="14"/>
                <w:szCs w:val="14"/>
                <w:lang w:val="fr-FR"/>
              </w:rPr>
              <w:t>S</w:t>
            </w:r>
          </w:p>
          <w:p w:rsidR="004B2E86" w:rsidRPr="006F7A67" w:rsidRDefault="004B2E86" w:rsidP="00691D1D">
            <w:pPr>
              <w:tabs>
                <w:tab w:val="center" w:pos="5220"/>
                <w:tab w:val="right" w:pos="10440"/>
              </w:tabs>
              <w:jc w:val="center"/>
              <w:rPr>
                <w:rFonts w:ascii="Arial" w:hAnsi="Arial" w:cs="Arial"/>
                <w:b/>
                <w:sz w:val="14"/>
                <w:szCs w:val="14"/>
                <w:lang w:val="fr-FR"/>
              </w:rPr>
            </w:pPr>
            <w:r w:rsidRPr="006F7A67">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M</w:t>
            </w:r>
          </w:p>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T</w:t>
            </w:r>
          </w:p>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W</w:t>
            </w:r>
          </w:p>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T</w:t>
            </w:r>
          </w:p>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F</w:t>
            </w:r>
          </w:p>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S</w:t>
            </w:r>
          </w:p>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6F7A67"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S</w:t>
            </w:r>
          </w:p>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M</w:t>
            </w:r>
          </w:p>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T</w:t>
            </w:r>
          </w:p>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W</w:t>
            </w:r>
          </w:p>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T</w:t>
            </w:r>
          </w:p>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F</w:t>
            </w:r>
          </w:p>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S</w:t>
            </w:r>
          </w:p>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6F7A67"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S</w:t>
            </w:r>
          </w:p>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M</w:t>
            </w:r>
          </w:p>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lang w:val="fr-FR"/>
              </w:rPr>
            </w:pPr>
            <w:r w:rsidRPr="006F7A67">
              <w:rPr>
                <w:rFonts w:ascii="Arial" w:hAnsi="Arial" w:cs="Arial"/>
                <w:b/>
                <w:sz w:val="13"/>
                <w:szCs w:val="13"/>
                <w:lang w:val="fr-FR"/>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W</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F</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tc>
      </w:tr>
      <w:tr w:rsidR="004B2E86" w:rsidRPr="006F7A67"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RH</w:t>
            </w:r>
          </w:p>
          <w:p w:rsidR="004B2E86" w:rsidRPr="006F7A67" w:rsidRDefault="004B2E86" w:rsidP="00691D1D">
            <w:pPr>
              <w:jc w:val="center"/>
              <w:rPr>
                <w:rFonts w:ascii="Arial" w:hAnsi="Arial" w:cs="Arial"/>
                <w:sz w:val="13"/>
                <w:szCs w:val="13"/>
              </w:rPr>
            </w:pPr>
            <w:r w:rsidRPr="006F7A67">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CC</w:t>
            </w:r>
          </w:p>
          <w:p w:rsidR="004B2E86" w:rsidRPr="006F7A67" w:rsidRDefault="004B2E86" w:rsidP="00691D1D">
            <w:pPr>
              <w:jc w:val="center"/>
              <w:rPr>
                <w:rFonts w:ascii="Arial" w:hAnsi="Arial" w:cs="Arial"/>
                <w:sz w:val="13"/>
                <w:szCs w:val="13"/>
              </w:rPr>
            </w:pPr>
            <w:r w:rsidRPr="006F7A67">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7</w:t>
            </w:r>
          </w:p>
        </w:tc>
      </w:tr>
      <w:tr w:rsidR="004B2E86" w:rsidRPr="006F7A67"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CC</w:t>
            </w:r>
          </w:p>
          <w:p w:rsidR="004B2E86" w:rsidRPr="006F7A67" w:rsidRDefault="004B2E86" w:rsidP="00691D1D">
            <w:pPr>
              <w:jc w:val="center"/>
              <w:rPr>
                <w:rFonts w:ascii="Arial" w:hAnsi="Arial" w:cs="Arial"/>
                <w:sz w:val="13"/>
                <w:szCs w:val="13"/>
              </w:rPr>
            </w:pPr>
            <w:r w:rsidRPr="006F7A67">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YK</w:t>
            </w:r>
          </w:p>
          <w:p w:rsidR="004B2E86" w:rsidRPr="006F7A67" w:rsidRDefault="004B2E86" w:rsidP="00691D1D">
            <w:pPr>
              <w:jc w:val="center"/>
              <w:rPr>
                <w:rFonts w:ascii="Arial" w:hAnsi="Arial" w:cs="Arial"/>
                <w:sz w:val="13"/>
                <w:szCs w:val="13"/>
              </w:rPr>
            </w:pPr>
            <w:r w:rsidRPr="006F7A67">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CC</w:t>
            </w:r>
          </w:p>
          <w:p w:rsidR="004B2E86" w:rsidRPr="006F7A67" w:rsidRDefault="004B2E86" w:rsidP="00691D1D">
            <w:pPr>
              <w:jc w:val="center"/>
              <w:rPr>
                <w:rFonts w:ascii="Arial" w:hAnsi="Arial" w:cs="Arial"/>
                <w:sz w:val="13"/>
                <w:szCs w:val="13"/>
              </w:rPr>
            </w:pPr>
            <w:r w:rsidRPr="006F7A67">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14</w:t>
            </w:r>
          </w:p>
        </w:tc>
      </w:tr>
      <w:tr w:rsidR="004B2E86" w:rsidRPr="006F7A67"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H</w:t>
            </w:r>
          </w:p>
          <w:p w:rsidR="004B2E86" w:rsidRPr="006F7A67" w:rsidRDefault="004B2E86" w:rsidP="00691D1D">
            <w:pPr>
              <w:jc w:val="center"/>
              <w:rPr>
                <w:rFonts w:ascii="Arial" w:hAnsi="Arial" w:cs="Arial"/>
                <w:sz w:val="13"/>
                <w:szCs w:val="13"/>
              </w:rPr>
            </w:pPr>
            <w:r w:rsidRPr="006F7A67">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H</w:t>
            </w:r>
          </w:p>
          <w:p w:rsidR="004B2E86" w:rsidRPr="006F7A67" w:rsidRDefault="004B2E86" w:rsidP="00691D1D">
            <w:pPr>
              <w:jc w:val="center"/>
              <w:rPr>
                <w:rFonts w:ascii="Arial" w:hAnsi="Arial" w:cs="Arial"/>
                <w:sz w:val="13"/>
                <w:szCs w:val="13"/>
              </w:rPr>
            </w:pPr>
            <w:r w:rsidRPr="006F7A67">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21</w:t>
            </w:r>
          </w:p>
        </w:tc>
      </w:tr>
      <w:tr w:rsidR="004B2E86" w:rsidRPr="006F7A67"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H</w:t>
            </w:r>
          </w:p>
          <w:p w:rsidR="004B2E86" w:rsidRPr="006F7A67" w:rsidRDefault="004B2E86" w:rsidP="00691D1D">
            <w:pPr>
              <w:jc w:val="center"/>
              <w:rPr>
                <w:rFonts w:ascii="Arial" w:hAnsi="Arial" w:cs="Arial"/>
                <w:sz w:val="13"/>
                <w:szCs w:val="13"/>
              </w:rPr>
            </w:pPr>
            <w:r w:rsidRPr="006F7A67">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H</w:t>
            </w:r>
          </w:p>
          <w:p w:rsidR="004B2E86" w:rsidRPr="006F7A67" w:rsidRDefault="004B2E86" w:rsidP="00691D1D">
            <w:pPr>
              <w:jc w:val="center"/>
              <w:rPr>
                <w:rFonts w:ascii="Arial" w:hAnsi="Arial" w:cs="Arial"/>
                <w:sz w:val="13"/>
                <w:szCs w:val="13"/>
              </w:rPr>
            </w:pPr>
            <w:r w:rsidRPr="006F7A67">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28</w:t>
            </w:r>
          </w:p>
        </w:tc>
      </w:tr>
      <w:tr w:rsidR="004B2E86" w:rsidRPr="006F7A67"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r>
    </w:tbl>
    <w:p w:rsidR="004B2E86" w:rsidRPr="006F7A67" w:rsidRDefault="004B2E86" w:rsidP="004B2E86">
      <w:pPr>
        <w:tabs>
          <w:tab w:val="center" w:pos="5220"/>
          <w:tab w:val="right" w:pos="10440"/>
        </w:tabs>
        <w:jc w:val="center"/>
        <w:rPr>
          <w:rFonts w:ascii="Arial" w:hAnsi="Arial" w:cs="Arial"/>
          <w:szCs w:val="28"/>
        </w:rPr>
      </w:pPr>
      <w:r w:rsidRPr="006F7A67">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6F7A67"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6F7A67"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6F7A67"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MARCH – MARS</w:t>
            </w:r>
          </w:p>
        </w:tc>
      </w:tr>
      <w:tr w:rsidR="004B2E86" w:rsidRPr="006F7A67"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W</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F</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6F7A67"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W</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F</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6F7A67"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W</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F</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tc>
      </w:tr>
      <w:tr w:rsidR="004B2E86" w:rsidRPr="006F7A67"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H</w:t>
            </w:r>
          </w:p>
          <w:p w:rsidR="004B2E86" w:rsidRPr="006F7A67" w:rsidRDefault="004B2E86" w:rsidP="00691D1D">
            <w:pPr>
              <w:jc w:val="center"/>
              <w:rPr>
                <w:rFonts w:ascii="Arial" w:hAnsi="Arial" w:cs="Arial"/>
                <w:sz w:val="13"/>
                <w:szCs w:val="13"/>
              </w:rPr>
            </w:pPr>
            <w:r w:rsidRPr="006F7A67">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7</w:t>
            </w:r>
          </w:p>
        </w:tc>
      </w:tr>
      <w:tr w:rsidR="004B2E86" w:rsidRPr="006F7A67"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14</w:t>
            </w:r>
          </w:p>
        </w:tc>
      </w:tr>
      <w:tr w:rsidR="004B2E86" w:rsidRPr="006F7A67"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CC</w:t>
            </w:r>
          </w:p>
          <w:p w:rsidR="004B2E86" w:rsidRPr="006F7A67" w:rsidRDefault="004B2E86" w:rsidP="00691D1D">
            <w:pPr>
              <w:jc w:val="center"/>
              <w:rPr>
                <w:rFonts w:ascii="Arial" w:hAnsi="Arial" w:cs="Arial"/>
                <w:sz w:val="13"/>
                <w:szCs w:val="13"/>
              </w:rPr>
            </w:pPr>
            <w:r w:rsidRPr="006F7A67">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CC</w:t>
            </w:r>
          </w:p>
          <w:p w:rsidR="004B2E86" w:rsidRPr="006F7A67" w:rsidRDefault="004B2E86" w:rsidP="00691D1D">
            <w:pPr>
              <w:jc w:val="center"/>
              <w:rPr>
                <w:rFonts w:ascii="Arial" w:hAnsi="Arial" w:cs="Arial"/>
                <w:sz w:val="13"/>
                <w:szCs w:val="13"/>
              </w:rPr>
            </w:pPr>
            <w:r w:rsidRPr="006F7A67">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CC</w:t>
            </w:r>
          </w:p>
          <w:p w:rsidR="004B2E86" w:rsidRPr="006F7A67" w:rsidRDefault="004B2E86" w:rsidP="00691D1D">
            <w:pPr>
              <w:jc w:val="center"/>
              <w:rPr>
                <w:rFonts w:ascii="Arial" w:hAnsi="Arial" w:cs="Arial"/>
                <w:sz w:val="13"/>
                <w:szCs w:val="13"/>
              </w:rPr>
            </w:pPr>
            <w:r w:rsidRPr="006F7A67">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21</w:t>
            </w:r>
          </w:p>
        </w:tc>
      </w:tr>
      <w:tr w:rsidR="004B2E86" w:rsidRPr="006F7A67"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28</w:t>
            </w:r>
          </w:p>
        </w:tc>
      </w:tr>
      <w:tr w:rsidR="004B2E86" w:rsidRPr="006F7A67"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r>
      <w:tr w:rsidR="004B2E86" w:rsidRPr="006F7A67"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6F7A67"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6F7A67"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JUNE – JUIN</w:t>
            </w:r>
          </w:p>
        </w:tc>
      </w:tr>
      <w:tr w:rsidR="004B2E86" w:rsidRPr="006F7A67"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W</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F</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6F7A67"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W</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F</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6F7A67"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W</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F</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tc>
      </w:tr>
      <w:tr w:rsidR="004B2E86" w:rsidRPr="006F7A67"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6</w:t>
            </w:r>
          </w:p>
        </w:tc>
      </w:tr>
      <w:tr w:rsidR="004B2E86" w:rsidRPr="006F7A67"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H</w:t>
            </w:r>
          </w:p>
          <w:p w:rsidR="004B2E86" w:rsidRPr="006F7A67" w:rsidRDefault="004B2E86" w:rsidP="00691D1D">
            <w:pPr>
              <w:jc w:val="center"/>
              <w:rPr>
                <w:rFonts w:ascii="Arial" w:hAnsi="Arial" w:cs="Arial"/>
                <w:sz w:val="13"/>
                <w:szCs w:val="13"/>
              </w:rPr>
            </w:pPr>
            <w:r w:rsidRPr="006F7A67">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CC</w:t>
            </w:r>
          </w:p>
          <w:p w:rsidR="004B2E86" w:rsidRPr="006F7A67" w:rsidRDefault="004B2E86" w:rsidP="00691D1D">
            <w:pPr>
              <w:jc w:val="center"/>
              <w:rPr>
                <w:rFonts w:ascii="Arial" w:hAnsi="Arial" w:cs="Arial"/>
                <w:sz w:val="13"/>
                <w:szCs w:val="13"/>
              </w:rPr>
            </w:pPr>
            <w:r w:rsidRPr="006F7A67">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13</w:t>
            </w:r>
          </w:p>
        </w:tc>
      </w:tr>
      <w:tr w:rsidR="004B2E86" w:rsidRPr="006F7A67"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H</w:t>
            </w:r>
          </w:p>
          <w:p w:rsidR="004B2E86" w:rsidRPr="006F7A67" w:rsidRDefault="004B2E86" w:rsidP="00691D1D">
            <w:pPr>
              <w:jc w:val="center"/>
              <w:rPr>
                <w:rFonts w:ascii="Arial" w:hAnsi="Arial" w:cs="Arial"/>
                <w:sz w:val="13"/>
                <w:szCs w:val="13"/>
              </w:rPr>
            </w:pPr>
            <w:r w:rsidRPr="006F7A67">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CC</w:t>
            </w:r>
          </w:p>
          <w:p w:rsidR="004B2E86" w:rsidRPr="006F7A67" w:rsidRDefault="004B2E86" w:rsidP="00691D1D">
            <w:pPr>
              <w:jc w:val="center"/>
              <w:rPr>
                <w:rFonts w:ascii="Arial" w:hAnsi="Arial" w:cs="Arial"/>
                <w:sz w:val="13"/>
                <w:szCs w:val="13"/>
              </w:rPr>
            </w:pPr>
            <w:r w:rsidRPr="006F7A67">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GO</w:t>
            </w:r>
          </w:p>
          <w:p w:rsidR="004B2E86" w:rsidRPr="006F7A67" w:rsidRDefault="004B2E86" w:rsidP="00691D1D">
            <w:pPr>
              <w:jc w:val="center"/>
              <w:rPr>
                <w:rFonts w:ascii="Arial" w:hAnsi="Arial" w:cs="Arial"/>
                <w:sz w:val="13"/>
                <w:szCs w:val="13"/>
              </w:rPr>
            </w:pPr>
            <w:r w:rsidRPr="006F7A67">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GO</w:t>
            </w:r>
          </w:p>
          <w:p w:rsidR="004B2E86" w:rsidRPr="006F7A67" w:rsidRDefault="004B2E86" w:rsidP="00691D1D">
            <w:pPr>
              <w:jc w:val="center"/>
              <w:rPr>
                <w:rFonts w:ascii="Arial" w:hAnsi="Arial" w:cs="Arial"/>
                <w:sz w:val="13"/>
                <w:szCs w:val="13"/>
              </w:rPr>
            </w:pPr>
            <w:r w:rsidRPr="006F7A67">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CC</w:t>
            </w:r>
          </w:p>
          <w:p w:rsidR="004B2E86" w:rsidRPr="006F7A67" w:rsidRDefault="004B2E86" w:rsidP="00691D1D">
            <w:pPr>
              <w:jc w:val="center"/>
              <w:rPr>
                <w:rFonts w:ascii="Arial" w:hAnsi="Arial" w:cs="Arial"/>
                <w:sz w:val="13"/>
                <w:szCs w:val="13"/>
              </w:rPr>
            </w:pPr>
            <w:r w:rsidRPr="006F7A67">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20</w:t>
            </w:r>
          </w:p>
        </w:tc>
      </w:tr>
      <w:tr w:rsidR="004B2E86" w:rsidRPr="006F7A67"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GO</w:t>
            </w:r>
          </w:p>
          <w:p w:rsidR="004B2E86" w:rsidRPr="006F7A67" w:rsidRDefault="004B2E86" w:rsidP="00691D1D">
            <w:pPr>
              <w:jc w:val="center"/>
              <w:rPr>
                <w:rFonts w:ascii="Arial" w:hAnsi="Arial" w:cs="Arial"/>
                <w:sz w:val="13"/>
                <w:szCs w:val="13"/>
              </w:rPr>
            </w:pPr>
            <w:r w:rsidRPr="006F7A67">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GO</w:t>
            </w:r>
          </w:p>
          <w:p w:rsidR="004B2E86" w:rsidRPr="006F7A67" w:rsidRDefault="004B2E86" w:rsidP="00691D1D">
            <w:pPr>
              <w:jc w:val="center"/>
              <w:rPr>
                <w:rFonts w:ascii="Arial" w:hAnsi="Arial" w:cs="Arial"/>
                <w:sz w:val="13"/>
                <w:szCs w:val="13"/>
              </w:rPr>
            </w:pPr>
            <w:r w:rsidRPr="006F7A67">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H</w:t>
            </w:r>
          </w:p>
          <w:p w:rsidR="004B2E86" w:rsidRPr="006F7A67" w:rsidRDefault="004B2E86" w:rsidP="00691D1D">
            <w:pPr>
              <w:jc w:val="center"/>
              <w:rPr>
                <w:rFonts w:ascii="Arial" w:hAnsi="Arial" w:cs="Arial"/>
                <w:sz w:val="13"/>
                <w:szCs w:val="13"/>
              </w:rPr>
            </w:pPr>
            <w:r w:rsidRPr="006F7A67">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27</w:t>
            </w:r>
          </w:p>
        </w:tc>
      </w:tr>
      <w:tr w:rsidR="004B2E86" w:rsidRPr="006F7A67"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rPr>
                <w:rFonts w:ascii="Arial" w:hAnsi="Arial" w:cs="Arial"/>
                <w:sz w:val="13"/>
                <w:szCs w:val="13"/>
              </w:rPr>
            </w:pPr>
            <w:r w:rsidRPr="006F7A67">
              <w:rPr>
                <w:rFonts w:ascii="Arial" w:hAnsi="Arial" w:cs="Arial"/>
                <w:sz w:val="13"/>
                <w:szCs w:val="13"/>
              </w:rPr>
              <w:t xml:space="preserve"> 24 </w:t>
            </w:r>
            <w:r w:rsidRPr="006F7A67">
              <w:rPr>
                <w:rFonts w:ascii="Arial" w:hAnsi="Arial" w:cs="Arial"/>
                <w:sz w:val="13"/>
                <w:szCs w:val="13"/>
                <w:lang w:val="en-US"/>
              </w:rPr>
              <w:t>/</w:t>
            </w:r>
          </w:p>
          <w:p w:rsidR="004B2E86" w:rsidRPr="006F7A67" w:rsidRDefault="004B2E86" w:rsidP="00691D1D">
            <w:pPr>
              <w:jc w:val="right"/>
              <w:rPr>
                <w:rFonts w:ascii="Arial" w:hAnsi="Arial" w:cs="Arial"/>
                <w:sz w:val="13"/>
                <w:szCs w:val="13"/>
              </w:rPr>
            </w:pPr>
            <w:r w:rsidRPr="006F7A67">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r>
      <w:tr w:rsidR="004B2E86" w:rsidRPr="006F7A67"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6F7A67"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6F7A67"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SEPTEMBER – SEPTEMBRE</w:t>
            </w:r>
          </w:p>
        </w:tc>
      </w:tr>
      <w:tr w:rsidR="004B2E86" w:rsidRPr="006F7A67"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p w:rsidR="004B2E86" w:rsidRPr="006F7A67" w:rsidRDefault="004B2E86" w:rsidP="00691D1D">
            <w:pPr>
              <w:tabs>
                <w:tab w:val="center" w:pos="5220"/>
                <w:tab w:val="right" w:pos="10440"/>
              </w:tabs>
              <w:jc w:val="center"/>
              <w:rPr>
                <w:rFonts w:ascii="Arial" w:hAnsi="Arial" w:cs="Arial"/>
                <w:b/>
                <w:sz w:val="16"/>
                <w:szCs w:val="16"/>
              </w:rPr>
            </w:pPr>
            <w:r w:rsidRPr="006F7A67">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W</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F</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6F7A67"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W</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F</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6F7A67"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W</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T</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F</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p w:rsidR="004B2E86" w:rsidRPr="006F7A67" w:rsidRDefault="004B2E86" w:rsidP="00691D1D">
            <w:pPr>
              <w:tabs>
                <w:tab w:val="center" w:pos="5220"/>
                <w:tab w:val="right" w:pos="10440"/>
              </w:tabs>
              <w:jc w:val="center"/>
              <w:rPr>
                <w:rFonts w:ascii="Arial" w:hAnsi="Arial" w:cs="Arial"/>
                <w:b/>
                <w:sz w:val="13"/>
                <w:szCs w:val="13"/>
              </w:rPr>
            </w:pPr>
            <w:r w:rsidRPr="006F7A67">
              <w:rPr>
                <w:rFonts w:ascii="Arial" w:hAnsi="Arial" w:cs="Arial"/>
                <w:b/>
                <w:sz w:val="13"/>
                <w:szCs w:val="13"/>
              </w:rPr>
              <w:t>S</w:t>
            </w:r>
          </w:p>
        </w:tc>
      </w:tr>
      <w:tr w:rsidR="004B2E86" w:rsidRPr="006F7A67"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H</w:t>
            </w:r>
          </w:p>
          <w:p w:rsidR="004B2E86" w:rsidRPr="006F7A67" w:rsidRDefault="004B2E86" w:rsidP="00691D1D">
            <w:pPr>
              <w:jc w:val="center"/>
              <w:rPr>
                <w:rFonts w:ascii="Arial" w:hAnsi="Arial" w:cs="Arial"/>
                <w:sz w:val="13"/>
                <w:szCs w:val="13"/>
              </w:rPr>
            </w:pPr>
            <w:r w:rsidRPr="006F7A67">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5</w:t>
            </w:r>
          </w:p>
        </w:tc>
      </w:tr>
      <w:tr w:rsidR="004B2E86" w:rsidRPr="006F7A67"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H</w:t>
            </w:r>
          </w:p>
          <w:p w:rsidR="004B2E86" w:rsidRPr="006F7A67" w:rsidRDefault="004B2E86" w:rsidP="00691D1D">
            <w:pPr>
              <w:jc w:val="center"/>
              <w:rPr>
                <w:rFonts w:ascii="Arial" w:hAnsi="Arial" w:cs="Arial"/>
                <w:sz w:val="13"/>
                <w:szCs w:val="13"/>
              </w:rPr>
            </w:pPr>
            <w:r w:rsidRPr="006F7A67">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H</w:t>
            </w:r>
          </w:p>
          <w:p w:rsidR="004B2E86" w:rsidRPr="006F7A67" w:rsidRDefault="004B2E86" w:rsidP="00691D1D">
            <w:pPr>
              <w:jc w:val="center"/>
              <w:rPr>
                <w:rFonts w:ascii="Arial" w:hAnsi="Arial" w:cs="Arial"/>
                <w:sz w:val="13"/>
                <w:szCs w:val="13"/>
              </w:rPr>
            </w:pPr>
            <w:r w:rsidRPr="006F7A67">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12</w:t>
            </w:r>
          </w:p>
        </w:tc>
      </w:tr>
      <w:tr w:rsidR="004B2E86" w:rsidRPr="006F7A67"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RH</w:t>
            </w:r>
          </w:p>
          <w:p w:rsidR="004B2E86" w:rsidRPr="006F7A67" w:rsidRDefault="004B2E86" w:rsidP="00691D1D">
            <w:pPr>
              <w:jc w:val="center"/>
              <w:rPr>
                <w:rFonts w:ascii="Arial" w:hAnsi="Arial" w:cs="Arial"/>
                <w:sz w:val="13"/>
                <w:szCs w:val="13"/>
              </w:rPr>
            </w:pPr>
            <w:r w:rsidRPr="006F7A67">
              <w:rPr>
                <w:rFonts w:ascii="Arial" w:hAnsi="Arial" w:cs="Arial"/>
                <w:sz w:val="13"/>
                <w:szCs w:val="13"/>
              </w:rPr>
              <w:t>19</w:t>
            </w:r>
          </w:p>
        </w:tc>
      </w:tr>
      <w:tr w:rsidR="004B2E86" w:rsidRPr="006F7A67"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RH</w:t>
            </w:r>
          </w:p>
          <w:p w:rsidR="004B2E86" w:rsidRPr="006F7A67" w:rsidRDefault="004B2E86" w:rsidP="00691D1D">
            <w:pPr>
              <w:jc w:val="center"/>
              <w:rPr>
                <w:rFonts w:ascii="Arial" w:hAnsi="Arial" w:cs="Arial"/>
                <w:sz w:val="13"/>
                <w:szCs w:val="13"/>
              </w:rPr>
            </w:pPr>
            <w:r w:rsidRPr="006F7A67">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26</w:t>
            </w:r>
          </w:p>
        </w:tc>
      </w:tr>
      <w:tr w:rsidR="004B2E86" w:rsidRPr="006F7A67"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rPr>
                <w:rFonts w:ascii="Arial" w:hAnsi="Arial" w:cs="Arial"/>
                <w:sz w:val="13"/>
                <w:szCs w:val="13"/>
              </w:rPr>
            </w:pPr>
            <w:r w:rsidRPr="006F7A67">
              <w:rPr>
                <w:rFonts w:ascii="Arial" w:hAnsi="Arial" w:cs="Arial"/>
                <w:sz w:val="13"/>
                <w:szCs w:val="13"/>
              </w:rPr>
              <w:t> 23 /</w:t>
            </w:r>
          </w:p>
          <w:p w:rsidR="004B2E86" w:rsidRPr="006F7A67" w:rsidRDefault="004B2E86" w:rsidP="00691D1D">
            <w:pPr>
              <w:jc w:val="right"/>
              <w:rPr>
                <w:rFonts w:ascii="Arial" w:hAnsi="Arial" w:cs="Arial"/>
                <w:sz w:val="13"/>
                <w:szCs w:val="13"/>
              </w:rPr>
            </w:pPr>
            <w:r w:rsidRPr="006F7A67">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rPr>
                <w:rFonts w:ascii="Arial" w:hAnsi="Arial" w:cs="Arial"/>
                <w:sz w:val="13"/>
                <w:szCs w:val="13"/>
              </w:rPr>
            </w:pPr>
            <w:r w:rsidRPr="006F7A67">
              <w:rPr>
                <w:rFonts w:ascii="Arial" w:hAnsi="Arial" w:cs="Arial"/>
                <w:sz w:val="13"/>
                <w:szCs w:val="13"/>
              </w:rPr>
              <w:t> 24 /</w:t>
            </w:r>
          </w:p>
          <w:p w:rsidR="004B2E86" w:rsidRPr="006F7A67" w:rsidRDefault="004B2E86" w:rsidP="00691D1D">
            <w:pPr>
              <w:jc w:val="right"/>
              <w:rPr>
                <w:rFonts w:ascii="Arial" w:hAnsi="Arial" w:cs="Arial"/>
                <w:sz w:val="13"/>
                <w:szCs w:val="13"/>
              </w:rPr>
            </w:pPr>
            <w:r w:rsidRPr="006F7A67">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F7A67"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b/>
                <w:sz w:val="13"/>
                <w:szCs w:val="13"/>
              </w:rPr>
            </w:pPr>
            <w:r w:rsidRPr="006F7A67">
              <w:rPr>
                <w:rFonts w:ascii="Arial" w:hAnsi="Arial" w:cs="Arial"/>
                <w:b/>
                <w:sz w:val="13"/>
                <w:szCs w:val="13"/>
              </w:rPr>
              <w:t>YK</w:t>
            </w:r>
          </w:p>
          <w:p w:rsidR="004B2E86" w:rsidRPr="006F7A67" w:rsidRDefault="004B2E86" w:rsidP="00691D1D">
            <w:pPr>
              <w:jc w:val="center"/>
              <w:rPr>
                <w:rFonts w:ascii="Arial" w:hAnsi="Arial" w:cs="Arial"/>
                <w:sz w:val="13"/>
                <w:szCs w:val="13"/>
              </w:rPr>
            </w:pPr>
            <w:r w:rsidRPr="006F7A67">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F7A67" w:rsidRDefault="004B2E86" w:rsidP="00691D1D">
            <w:pPr>
              <w:jc w:val="center"/>
              <w:rPr>
                <w:rFonts w:ascii="Arial" w:hAnsi="Arial" w:cs="Arial"/>
                <w:sz w:val="13"/>
                <w:szCs w:val="13"/>
              </w:rPr>
            </w:pPr>
            <w:r w:rsidRPr="006F7A67">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6F7A67" w:rsidRDefault="004B2E86" w:rsidP="00691D1D">
            <w:pPr>
              <w:jc w:val="center"/>
              <w:rPr>
                <w:rFonts w:ascii="Arial" w:hAnsi="Arial" w:cs="Arial"/>
                <w:sz w:val="13"/>
                <w:szCs w:val="13"/>
              </w:rPr>
            </w:pPr>
          </w:p>
        </w:tc>
      </w:tr>
    </w:tbl>
    <w:p w:rsidR="004B2E86" w:rsidRPr="006F7A67"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6F7A67" w:rsidTr="00691D1D">
        <w:tc>
          <w:tcPr>
            <w:tcW w:w="1890" w:type="dxa"/>
            <w:tcBorders>
              <w:top w:val="nil"/>
              <w:left w:val="nil"/>
              <w:bottom w:val="nil"/>
              <w:right w:val="single" w:sz="4" w:space="0" w:color="000000" w:themeColor="text1"/>
            </w:tcBorders>
            <w:vAlign w:val="center"/>
            <w:hideMark/>
          </w:tcPr>
          <w:p w:rsidR="004B2E86" w:rsidRPr="006F7A67" w:rsidRDefault="004B2E86" w:rsidP="00691D1D">
            <w:pPr>
              <w:rPr>
                <w:rFonts w:ascii="Arial" w:hAnsi="Arial" w:cs="Arial"/>
                <w:b/>
                <w:sz w:val="14"/>
                <w:szCs w:val="14"/>
              </w:rPr>
            </w:pPr>
            <w:r w:rsidRPr="006F7A67">
              <w:rPr>
                <w:rFonts w:ascii="Arial" w:hAnsi="Arial" w:cs="Arial"/>
                <w:b/>
                <w:sz w:val="14"/>
                <w:szCs w:val="14"/>
              </w:rPr>
              <w:t>Sitting of the Court /</w:t>
            </w:r>
          </w:p>
          <w:p w:rsidR="004B2E86" w:rsidRPr="006F7A67" w:rsidRDefault="004B2E86" w:rsidP="00691D1D">
            <w:pPr>
              <w:rPr>
                <w:rFonts w:ascii="Arial" w:hAnsi="Arial" w:cs="Arial"/>
                <w:b/>
                <w:sz w:val="14"/>
                <w:szCs w:val="14"/>
              </w:rPr>
            </w:pPr>
            <w:r w:rsidRPr="006F7A67">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6F7A67"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6F7A67" w:rsidRDefault="004B2E86" w:rsidP="00691D1D">
            <w:pPr>
              <w:tabs>
                <w:tab w:val="left" w:pos="203"/>
              </w:tabs>
              <w:spacing w:after="120"/>
              <w:rPr>
                <w:rFonts w:ascii="Arial" w:hAnsi="Arial" w:cs="Arial"/>
                <w:b/>
                <w:sz w:val="14"/>
                <w:szCs w:val="14"/>
                <w:lang w:val="fr-CA"/>
              </w:rPr>
            </w:pPr>
            <w:r w:rsidRPr="006F7A67">
              <w:rPr>
                <w:rFonts w:ascii="Arial" w:hAnsi="Arial" w:cs="Arial"/>
                <w:b/>
                <w:sz w:val="14"/>
                <w:szCs w:val="14"/>
                <w:lang w:val="fr-CA"/>
              </w:rPr>
              <w:t>18</w:t>
            </w:r>
            <w:r w:rsidRPr="006F7A67">
              <w:rPr>
                <w:rFonts w:ascii="Arial" w:hAnsi="Arial" w:cs="Arial"/>
                <w:b/>
                <w:sz w:val="14"/>
                <w:szCs w:val="14"/>
                <w:lang w:val="fr-CA"/>
              </w:rPr>
              <w:tab/>
              <w:t xml:space="preserve"> sitting weeks / semaines séances de la Cour</w:t>
            </w:r>
          </w:p>
          <w:p w:rsidR="004B2E86" w:rsidRPr="006F7A67" w:rsidRDefault="004B2E86" w:rsidP="00691D1D">
            <w:pPr>
              <w:tabs>
                <w:tab w:val="left" w:pos="203"/>
              </w:tabs>
              <w:rPr>
                <w:rFonts w:ascii="Arial" w:hAnsi="Arial" w:cs="Arial"/>
                <w:b/>
                <w:sz w:val="14"/>
                <w:szCs w:val="14"/>
                <w:lang w:val="fr-CA"/>
              </w:rPr>
            </w:pPr>
            <w:r w:rsidRPr="006F7A67">
              <w:rPr>
                <w:rFonts w:ascii="Arial" w:hAnsi="Arial" w:cs="Arial"/>
                <w:b/>
                <w:sz w:val="14"/>
                <w:szCs w:val="14"/>
                <w:lang w:val="fr-CA"/>
              </w:rPr>
              <w:t>86</w:t>
            </w:r>
            <w:r w:rsidRPr="006F7A67">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6F7A67" w:rsidRDefault="004B2E86" w:rsidP="00691D1D">
            <w:pPr>
              <w:spacing w:after="120"/>
              <w:rPr>
                <w:rFonts w:ascii="Arial" w:hAnsi="Arial" w:cs="Arial"/>
                <w:b/>
                <w:sz w:val="14"/>
                <w:szCs w:val="14"/>
                <w:lang w:val="fr-FR"/>
              </w:rPr>
            </w:pPr>
            <w:r w:rsidRPr="006F7A67">
              <w:rPr>
                <w:rFonts w:ascii="Arial" w:hAnsi="Arial" w:cs="Arial"/>
                <w:b/>
                <w:sz w:val="14"/>
                <w:szCs w:val="14"/>
                <w:lang w:val="fr-FR"/>
              </w:rPr>
              <w:t>Rosh Hashanah / Nouvel An juif</w:t>
            </w:r>
          </w:p>
          <w:p w:rsidR="004B2E86" w:rsidRPr="006F7A67" w:rsidRDefault="004B2E86" w:rsidP="00691D1D">
            <w:pPr>
              <w:spacing w:after="120"/>
              <w:rPr>
                <w:rFonts w:ascii="Arial" w:hAnsi="Arial" w:cs="Arial"/>
                <w:b/>
                <w:sz w:val="14"/>
                <w:szCs w:val="14"/>
                <w:lang w:val="fr-CA"/>
              </w:rPr>
            </w:pPr>
            <w:r w:rsidRPr="006F7A67">
              <w:rPr>
                <w:rFonts w:ascii="Arial" w:hAnsi="Arial" w:cs="Arial"/>
                <w:b/>
                <w:sz w:val="14"/>
                <w:szCs w:val="14"/>
                <w:lang w:val="fr-FR"/>
              </w:rPr>
              <w:t>Yom Kippur / Yom Kippour</w:t>
            </w:r>
          </w:p>
        </w:tc>
        <w:tc>
          <w:tcPr>
            <w:tcW w:w="567" w:type="dxa"/>
            <w:hideMark/>
          </w:tcPr>
          <w:p w:rsidR="004B2E86" w:rsidRPr="006F7A67" w:rsidRDefault="004B2E86" w:rsidP="00691D1D">
            <w:pPr>
              <w:spacing w:after="120"/>
              <w:jc w:val="center"/>
              <w:rPr>
                <w:rFonts w:ascii="Arial" w:hAnsi="Arial" w:cs="Arial"/>
                <w:b/>
                <w:sz w:val="14"/>
                <w:szCs w:val="14"/>
                <w:lang w:val="fr-CA"/>
              </w:rPr>
            </w:pPr>
            <w:r w:rsidRPr="006F7A67">
              <w:rPr>
                <w:rFonts w:ascii="Arial" w:hAnsi="Arial" w:cs="Arial"/>
                <w:b/>
                <w:sz w:val="14"/>
                <w:szCs w:val="14"/>
                <w:lang w:val="fr-CA"/>
              </w:rPr>
              <w:t>RH</w:t>
            </w:r>
          </w:p>
          <w:p w:rsidR="004B2E86" w:rsidRPr="006F7A67" w:rsidRDefault="004B2E86" w:rsidP="00691D1D">
            <w:pPr>
              <w:jc w:val="center"/>
              <w:rPr>
                <w:rFonts w:ascii="Arial" w:hAnsi="Arial" w:cs="Arial"/>
                <w:b/>
                <w:sz w:val="14"/>
                <w:szCs w:val="14"/>
                <w:lang w:val="fr-CA"/>
              </w:rPr>
            </w:pPr>
            <w:r w:rsidRPr="006F7A67">
              <w:rPr>
                <w:rFonts w:ascii="Arial" w:hAnsi="Arial" w:cs="Arial"/>
                <w:b/>
                <w:sz w:val="14"/>
                <w:szCs w:val="14"/>
                <w:lang w:val="fr-CA"/>
              </w:rPr>
              <w:t>YK</w:t>
            </w:r>
          </w:p>
        </w:tc>
      </w:tr>
      <w:tr w:rsidR="004B2E86" w:rsidRPr="006F7A67" w:rsidTr="00691D1D">
        <w:tc>
          <w:tcPr>
            <w:tcW w:w="1890" w:type="dxa"/>
            <w:tcBorders>
              <w:top w:val="nil"/>
              <w:left w:val="nil"/>
              <w:bottom w:val="nil"/>
              <w:right w:val="double" w:sz="4" w:space="0" w:color="auto"/>
            </w:tcBorders>
            <w:vAlign w:val="center"/>
            <w:hideMark/>
          </w:tcPr>
          <w:p w:rsidR="004B2E86" w:rsidRPr="006F7A67" w:rsidRDefault="004B2E86" w:rsidP="00691D1D">
            <w:pPr>
              <w:spacing w:before="60"/>
              <w:rPr>
                <w:rFonts w:ascii="Arial" w:hAnsi="Arial" w:cs="Arial"/>
                <w:b/>
                <w:sz w:val="14"/>
                <w:szCs w:val="14"/>
                <w:lang w:val="fr-CA"/>
              </w:rPr>
            </w:pPr>
            <w:r w:rsidRPr="006F7A67">
              <w:rPr>
                <w:rFonts w:ascii="Arial" w:hAnsi="Arial" w:cs="Arial"/>
                <w:b/>
                <w:sz w:val="14"/>
                <w:szCs w:val="14"/>
                <w:lang w:val="fr-CA"/>
              </w:rPr>
              <w:t>Court conference /</w:t>
            </w:r>
          </w:p>
          <w:p w:rsidR="004B2E86" w:rsidRPr="006F7A67" w:rsidRDefault="004B2E86" w:rsidP="00691D1D">
            <w:pPr>
              <w:rPr>
                <w:rFonts w:ascii="Arial" w:hAnsi="Arial" w:cs="Arial"/>
                <w:b/>
                <w:sz w:val="14"/>
                <w:szCs w:val="14"/>
                <w:lang w:val="fr-CA"/>
              </w:rPr>
            </w:pPr>
            <w:r w:rsidRPr="006F7A67">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6F7A67" w:rsidRDefault="004B2E86" w:rsidP="00691D1D">
            <w:pPr>
              <w:jc w:val="center"/>
              <w:rPr>
                <w:rFonts w:ascii="Arial" w:hAnsi="Arial" w:cs="Arial"/>
                <w:b/>
                <w:sz w:val="14"/>
                <w:szCs w:val="14"/>
                <w:lang w:val="fr-FR"/>
              </w:rPr>
            </w:pPr>
            <w:r w:rsidRPr="006F7A67">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6F7A67" w:rsidRDefault="004B2E86" w:rsidP="00691D1D">
            <w:pPr>
              <w:tabs>
                <w:tab w:val="left" w:pos="203"/>
              </w:tabs>
              <w:spacing w:before="120"/>
              <w:rPr>
                <w:rFonts w:ascii="Arial" w:hAnsi="Arial" w:cs="Arial"/>
                <w:b/>
                <w:sz w:val="14"/>
                <w:szCs w:val="14"/>
                <w:lang w:val="fr-CA"/>
              </w:rPr>
            </w:pPr>
            <w:r w:rsidRPr="006F7A67">
              <w:rPr>
                <w:rFonts w:ascii="Arial" w:hAnsi="Arial" w:cs="Arial"/>
                <w:b/>
                <w:sz w:val="14"/>
                <w:szCs w:val="14"/>
                <w:lang w:val="fr-CA"/>
              </w:rPr>
              <w:t>9</w:t>
            </w:r>
            <w:r w:rsidRPr="006F7A67">
              <w:rPr>
                <w:rFonts w:ascii="Arial" w:hAnsi="Arial" w:cs="Arial"/>
                <w:b/>
                <w:sz w:val="14"/>
                <w:szCs w:val="14"/>
                <w:lang w:val="fr-CA"/>
              </w:rPr>
              <w:tab/>
              <w:t>Court conference days /</w:t>
            </w:r>
          </w:p>
          <w:p w:rsidR="004B2E86" w:rsidRPr="006F7A67" w:rsidRDefault="004B2E86" w:rsidP="00691D1D">
            <w:pPr>
              <w:tabs>
                <w:tab w:val="left" w:pos="203"/>
              </w:tabs>
              <w:rPr>
                <w:rFonts w:ascii="Arial" w:hAnsi="Arial" w:cs="Arial"/>
                <w:b/>
                <w:sz w:val="14"/>
                <w:szCs w:val="14"/>
                <w:lang w:val="fr-CA"/>
              </w:rPr>
            </w:pPr>
            <w:r w:rsidRPr="006F7A67">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6F7A67" w:rsidRDefault="004B2E86" w:rsidP="00691D1D">
            <w:pPr>
              <w:rPr>
                <w:rFonts w:ascii="Arial" w:hAnsi="Arial" w:cs="Arial"/>
                <w:b/>
                <w:sz w:val="14"/>
                <w:szCs w:val="14"/>
                <w:lang w:val="en-US"/>
              </w:rPr>
            </w:pPr>
            <w:r w:rsidRPr="006F7A67">
              <w:rPr>
                <w:rFonts w:ascii="Arial" w:hAnsi="Arial" w:cs="Arial"/>
                <w:b/>
                <w:sz w:val="14"/>
                <w:szCs w:val="14"/>
                <w:lang w:val="en-US"/>
              </w:rPr>
              <w:t>Greek Orthodox Easter / Pâques orthodoxe grecque</w:t>
            </w:r>
          </w:p>
        </w:tc>
        <w:tc>
          <w:tcPr>
            <w:tcW w:w="567" w:type="dxa"/>
            <w:hideMark/>
          </w:tcPr>
          <w:p w:rsidR="004B2E86" w:rsidRPr="006F7A67" w:rsidRDefault="004B2E86" w:rsidP="00691D1D">
            <w:pPr>
              <w:jc w:val="center"/>
              <w:rPr>
                <w:rFonts w:ascii="Arial" w:hAnsi="Arial" w:cs="Arial"/>
                <w:b/>
                <w:sz w:val="14"/>
                <w:szCs w:val="14"/>
                <w:lang w:val="en-US"/>
              </w:rPr>
            </w:pPr>
            <w:r w:rsidRPr="006F7A67">
              <w:rPr>
                <w:rFonts w:ascii="Arial" w:hAnsi="Arial" w:cs="Arial"/>
                <w:b/>
                <w:sz w:val="14"/>
                <w:szCs w:val="14"/>
                <w:lang w:val="en-US"/>
              </w:rPr>
              <w:t>GO</w:t>
            </w:r>
          </w:p>
        </w:tc>
      </w:tr>
      <w:tr w:rsidR="004B2E86" w:rsidTr="00691D1D">
        <w:trPr>
          <w:trHeight w:val="420"/>
        </w:trPr>
        <w:tc>
          <w:tcPr>
            <w:tcW w:w="1890" w:type="dxa"/>
            <w:tcBorders>
              <w:top w:val="nil"/>
              <w:left w:val="nil"/>
              <w:bottom w:val="nil"/>
              <w:right w:val="double" w:sz="4" w:space="0" w:color="auto"/>
            </w:tcBorders>
            <w:vAlign w:val="center"/>
            <w:hideMark/>
          </w:tcPr>
          <w:p w:rsidR="004B2E86" w:rsidRPr="006F7A67" w:rsidRDefault="004B2E86" w:rsidP="00691D1D">
            <w:pPr>
              <w:rPr>
                <w:rFonts w:ascii="Arial" w:hAnsi="Arial" w:cs="Arial"/>
                <w:b/>
                <w:sz w:val="14"/>
                <w:szCs w:val="14"/>
              </w:rPr>
            </w:pPr>
            <w:r w:rsidRPr="006F7A67">
              <w:rPr>
                <w:rFonts w:ascii="Arial" w:hAnsi="Arial" w:cs="Arial"/>
                <w:b/>
                <w:sz w:val="14"/>
                <w:szCs w:val="14"/>
              </w:rPr>
              <w:t xml:space="preserve">Holiday / </w:t>
            </w:r>
            <w:r w:rsidRPr="006F7A67">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6F7A67" w:rsidRDefault="004B2E86" w:rsidP="00691D1D">
            <w:pPr>
              <w:jc w:val="center"/>
              <w:rPr>
                <w:rFonts w:ascii="Arial" w:hAnsi="Arial" w:cs="Arial"/>
                <w:b/>
                <w:sz w:val="14"/>
                <w:szCs w:val="14"/>
              </w:rPr>
            </w:pPr>
            <w:r w:rsidRPr="006F7A67">
              <w:rPr>
                <w:rFonts w:ascii="Arial" w:hAnsi="Arial" w:cs="Arial"/>
                <w:b/>
                <w:sz w:val="14"/>
                <w:szCs w:val="14"/>
              </w:rPr>
              <w:t>H</w:t>
            </w:r>
          </w:p>
        </w:tc>
        <w:tc>
          <w:tcPr>
            <w:tcW w:w="3524" w:type="dxa"/>
            <w:tcBorders>
              <w:top w:val="nil"/>
              <w:left w:val="double" w:sz="4" w:space="0" w:color="auto"/>
              <w:bottom w:val="nil"/>
              <w:right w:val="nil"/>
            </w:tcBorders>
            <w:hideMark/>
          </w:tcPr>
          <w:p w:rsidR="004B2E86" w:rsidRPr="006F7A67" w:rsidRDefault="004B2E86" w:rsidP="00691D1D">
            <w:pPr>
              <w:tabs>
                <w:tab w:val="left" w:pos="203"/>
              </w:tabs>
              <w:spacing w:before="120"/>
              <w:rPr>
                <w:rFonts w:ascii="Arial" w:hAnsi="Arial" w:cs="Arial"/>
                <w:b/>
                <w:sz w:val="14"/>
                <w:szCs w:val="14"/>
              </w:rPr>
            </w:pPr>
            <w:r w:rsidRPr="006F7A67">
              <w:rPr>
                <w:rFonts w:ascii="Arial" w:hAnsi="Arial" w:cs="Arial"/>
                <w:b/>
                <w:sz w:val="14"/>
                <w:szCs w:val="14"/>
              </w:rPr>
              <w:t>4</w:t>
            </w:r>
            <w:r w:rsidRPr="006F7A67">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6F7A67">
              <w:rPr>
                <w:rFonts w:ascii="Arial" w:hAnsi="Arial" w:cs="Arial"/>
                <w:b/>
                <w:sz w:val="14"/>
                <w:szCs w:val="14"/>
              </w:rPr>
              <w:tab/>
            </w:r>
            <w:r w:rsidRPr="006F7A67">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99"/>
      <w:footerReference w:type="default" r:id="rId100"/>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17E" w:rsidRDefault="006E417E" w:rsidP="00A87207">
      <w:r>
        <w:separator/>
      </w:r>
    </w:p>
  </w:endnote>
  <w:endnote w:type="continuationSeparator" w:id="0">
    <w:p w:rsidR="006E417E" w:rsidRDefault="006E417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7E" w:rsidRDefault="006E4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E417E" w:rsidRDefault="006E4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E417E" w:rsidRDefault="006E417E">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7E" w:rsidRPr="00924065" w:rsidRDefault="006E417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7E" w:rsidRDefault="00300F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9" style="width:480.95pt;height:1pt" o:hralign="center" o:hrstd="t" o:hrnoshade="t" o:hr="t" fillcolor="black [3213]" stroked="f"/>
      </w:pict>
    </w:r>
  </w:p>
  <w:p w:rsidR="006E417E" w:rsidRPr="0009648D" w:rsidRDefault="006E417E" w:rsidP="00ED7E83">
    <w:pPr>
      <w:tabs>
        <w:tab w:val="center" w:pos="4680"/>
      </w:tabs>
    </w:pPr>
    <w:r>
      <w:tab/>
    </w:r>
    <w:r w:rsidRPr="0009648D">
      <w:t xml:space="preserve">- </w:t>
    </w:r>
    <w:r>
      <w:fldChar w:fldCharType="begin"/>
    </w:r>
    <w:r>
      <w:instrText xml:space="preserve"> PAGE   \* MERGEFORMAT </w:instrText>
    </w:r>
    <w:r>
      <w:fldChar w:fldCharType="separate"/>
    </w:r>
    <w:r w:rsidR="00300F06">
      <w:rPr>
        <w:noProof/>
      </w:rPr>
      <w:t>21</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7E" w:rsidRDefault="00300F06">
    <w:pPr>
      <w:pStyle w:val="Footer"/>
      <w:rPr>
        <w:lang w:val="fr-CA"/>
      </w:rPr>
    </w:pPr>
    <w:r>
      <w:rPr>
        <w:lang w:val="fr-CA"/>
      </w:rPr>
      <w:pict>
        <v:rect id="_x0000_i1070" style="width:480.95pt;height:1pt" o:hralign="center" o:hrstd="t" o:hrnoshade="t" o:hr="t" fillcolor="black [3213]" stroked="f"/>
      </w:pict>
    </w:r>
  </w:p>
  <w:p w:rsidR="006E417E" w:rsidRDefault="006E417E" w:rsidP="00245129">
    <w:pPr>
      <w:tabs>
        <w:tab w:val="center" w:pos="4680"/>
      </w:tabs>
    </w:pPr>
    <w:r>
      <w:tab/>
    </w:r>
    <w:r w:rsidRPr="0009648D">
      <w:t xml:space="preserve">- </w:t>
    </w:r>
    <w:r>
      <w:fldChar w:fldCharType="begin"/>
    </w:r>
    <w:r>
      <w:instrText xml:space="preserve"> PAGE   \* MERGEFORMAT </w:instrText>
    </w:r>
    <w:r>
      <w:fldChar w:fldCharType="separate"/>
    </w:r>
    <w:r w:rsidR="00300F06">
      <w:rPr>
        <w:noProof/>
      </w:rPr>
      <w:t>4</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7E" w:rsidRDefault="006E4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E417E" w:rsidRDefault="006E4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E417E" w:rsidRDefault="006E417E">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7E" w:rsidRDefault="00300F06" w:rsidP="00755F22">
    <w:pPr>
      <w:tabs>
        <w:tab w:val="left" w:pos="-1440"/>
        <w:tab w:val="left" w:pos="-720"/>
      </w:tabs>
    </w:pPr>
    <w:r>
      <w:pict>
        <v:rect id="_x0000_i1072" style="width:480.95pt;height:1pt" o:hralign="center" o:hrstd="t" o:hrnoshade="t" o:hr="t" fillcolor="black [3213]" stroked="f"/>
      </w:pict>
    </w:r>
  </w:p>
  <w:p w:rsidR="006E417E" w:rsidRDefault="006E417E" w:rsidP="00EB2B90">
    <w:pPr>
      <w:tabs>
        <w:tab w:val="center" w:pos="4680"/>
      </w:tabs>
    </w:pPr>
    <w:r>
      <w:tab/>
      <w:t xml:space="preserve">- </w:t>
    </w:r>
    <w:r>
      <w:fldChar w:fldCharType="begin"/>
    </w:r>
    <w:r>
      <w:instrText xml:space="preserve"> PAGE   \* MERGEFORMAT </w:instrText>
    </w:r>
    <w:r>
      <w:fldChar w:fldCharType="separate"/>
    </w:r>
    <w:r>
      <w:rPr>
        <w:noProof/>
      </w:rPr>
      <w:t>41</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7E" w:rsidRDefault="00300F06" w:rsidP="00EB2B90">
    <w:pPr>
      <w:tabs>
        <w:tab w:val="center" w:pos="4680"/>
      </w:tabs>
    </w:pPr>
    <w:r>
      <w:pict>
        <v:rect id="_x0000_i1073" style="width:480.95pt;height:1pt" o:hralign="center" o:hrstd="t" o:hrnoshade="t" o:hr="t" fillcolor="black [3213]" stroked="f"/>
      </w:pict>
    </w:r>
  </w:p>
  <w:p w:rsidR="006E417E" w:rsidRPr="0031432F" w:rsidRDefault="006E417E" w:rsidP="00EB2B90">
    <w:pPr>
      <w:tabs>
        <w:tab w:val="center" w:pos="4680"/>
      </w:tabs>
    </w:pPr>
    <w:r>
      <w:tab/>
      <w:t xml:space="preserve">- </w:t>
    </w:r>
    <w:r>
      <w:fldChar w:fldCharType="begin"/>
    </w:r>
    <w:r>
      <w:instrText xml:space="preserve"> PAGE   \* MERGEFORMAT </w:instrText>
    </w:r>
    <w:r>
      <w:fldChar w:fldCharType="separate"/>
    </w:r>
    <w:r w:rsidR="00300F06">
      <w:rPr>
        <w:noProof/>
      </w:rPr>
      <w:t>44</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7E" w:rsidRDefault="006E4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E417E" w:rsidRDefault="006E4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E417E" w:rsidRDefault="006E417E">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7E" w:rsidRDefault="00300F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5" style="width:480.95pt;height:1pt" o:hralign="center" o:hrstd="t" o:hrnoshade="t" o:hr="t" fillcolor="black [3213]" stroked="f"/>
      </w:pict>
    </w:r>
  </w:p>
  <w:p w:rsidR="006E417E" w:rsidRDefault="006E417E"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7E" w:rsidRDefault="00300F06">
    <w:pPr>
      <w:pStyle w:val="Footer"/>
      <w:rPr>
        <w:lang w:val="fr-CA"/>
      </w:rPr>
    </w:pPr>
    <w:r>
      <w:rPr>
        <w:lang w:val="fr-CA"/>
      </w:rPr>
      <w:pict>
        <v:rect id="_x0000_i1076" style="width:480.95pt;height:1pt" o:hralign="center" o:hrstd="t" o:hrnoshade="t" o:hr="t" fillcolor="black [3213]" stroked="f"/>
      </w:pict>
    </w:r>
  </w:p>
  <w:p w:rsidR="006E417E" w:rsidRDefault="006E417E" w:rsidP="00EB2B90">
    <w:pPr>
      <w:tabs>
        <w:tab w:val="center" w:pos="4680"/>
      </w:tabs>
    </w:pPr>
    <w:r>
      <w:tab/>
      <w:t xml:space="preserve">- </w:t>
    </w:r>
    <w:r>
      <w:fldChar w:fldCharType="begin"/>
    </w:r>
    <w:r>
      <w:instrText xml:space="preserve"> PAGE   \* MERGEFORMAT </w:instrText>
    </w:r>
    <w:r>
      <w:fldChar w:fldCharType="separate"/>
    </w:r>
    <w:r w:rsidR="00300F06">
      <w:rPr>
        <w:noProof/>
      </w:rPr>
      <w:t>45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17E" w:rsidRDefault="006E417E" w:rsidP="00A87207">
      <w:r>
        <w:separator/>
      </w:r>
    </w:p>
  </w:footnote>
  <w:footnote w:type="continuationSeparator" w:id="0">
    <w:p w:rsidR="006E417E" w:rsidRDefault="006E417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E417E" w:rsidRPr="00300F06">
      <w:tc>
        <w:tcPr>
          <w:tcW w:w="4200" w:type="dxa"/>
          <w:tcMar>
            <w:left w:w="0" w:type="dxa"/>
            <w:right w:w="0" w:type="dxa"/>
          </w:tcMar>
        </w:tcPr>
        <w:p w:rsidR="006E417E" w:rsidRDefault="006E41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E417E" w:rsidRDefault="006E41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E417E" w:rsidRDefault="006E41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E417E" w:rsidRPr="00FF6BA5" w:rsidRDefault="006E41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E417E" w:rsidRPr="00FF6BA5" w:rsidRDefault="006E4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E417E" w:rsidRPr="00FF6BA5" w:rsidRDefault="006E4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E417E" w:rsidRPr="00FF6BA5" w:rsidRDefault="006E4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7E" w:rsidRDefault="006E4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E417E" w:rsidRPr="00300F06" w:rsidTr="00245129">
      <w:tc>
        <w:tcPr>
          <w:tcW w:w="4200" w:type="dxa"/>
          <w:tcMar>
            <w:left w:w="0" w:type="dxa"/>
            <w:right w:w="0" w:type="dxa"/>
          </w:tcMar>
        </w:tcPr>
        <w:p w:rsidR="006E417E" w:rsidRPr="00634F42" w:rsidRDefault="006E417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6E417E" w:rsidRPr="00755F22" w:rsidRDefault="006E41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E417E" w:rsidRPr="00755F22" w:rsidRDefault="006E41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E417E" w:rsidRPr="00755F22" w:rsidRDefault="006E41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6E417E" w:rsidRPr="00FF6BA5" w:rsidRDefault="006E417E"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7E" w:rsidRDefault="006E41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E417E">
      <w:tc>
        <w:tcPr>
          <w:tcW w:w="4230" w:type="dxa"/>
          <w:tcMar>
            <w:left w:w="0" w:type="dxa"/>
            <w:right w:w="0" w:type="dxa"/>
          </w:tcMar>
        </w:tcPr>
        <w:p w:rsidR="006E417E" w:rsidRDefault="006E41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E417E" w:rsidRDefault="006E41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E417E" w:rsidRDefault="006E41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E417E">
      <w:trPr>
        <w:gridAfter w:val="2"/>
        <w:wAfter w:w="5250" w:type="dxa"/>
      </w:trPr>
      <w:tc>
        <w:tcPr>
          <w:tcW w:w="4230" w:type="dxa"/>
          <w:tcMar>
            <w:left w:w="0" w:type="dxa"/>
            <w:right w:w="0" w:type="dxa"/>
          </w:tcMar>
        </w:tcPr>
        <w:p w:rsidR="006E417E" w:rsidRDefault="006E4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E417E" w:rsidRDefault="006E4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E417E" w:rsidRPr="00755F22" w:rsidTr="00245129">
      <w:tc>
        <w:tcPr>
          <w:tcW w:w="4230" w:type="dxa"/>
          <w:tcMar>
            <w:left w:w="0" w:type="dxa"/>
            <w:right w:w="0" w:type="dxa"/>
          </w:tcMar>
        </w:tcPr>
        <w:p w:rsidR="006E417E" w:rsidRPr="00755F22" w:rsidRDefault="006E417E" w:rsidP="00831CA9">
          <w:pPr>
            <w:keepNext/>
            <w:keepLines/>
            <w:rPr>
              <w:sz w:val="20"/>
              <w:szCs w:val="20"/>
            </w:rPr>
          </w:pPr>
          <w:r w:rsidRPr="00755F22">
            <w:rPr>
              <w:sz w:val="20"/>
              <w:szCs w:val="20"/>
            </w:rPr>
            <w:t>Motions</w:t>
          </w:r>
        </w:p>
      </w:tc>
      <w:tc>
        <w:tcPr>
          <w:tcW w:w="1170" w:type="dxa"/>
          <w:tcMar>
            <w:left w:w="0" w:type="dxa"/>
            <w:right w:w="0" w:type="dxa"/>
          </w:tcMar>
        </w:tcPr>
        <w:p w:rsidR="006E417E" w:rsidRPr="00755F22" w:rsidRDefault="006E417E" w:rsidP="00831CA9">
          <w:pPr>
            <w:keepLines/>
            <w:jc w:val="center"/>
            <w:rPr>
              <w:sz w:val="20"/>
              <w:szCs w:val="20"/>
            </w:rPr>
          </w:pPr>
        </w:p>
        <w:p w:rsidR="006E417E" w:rsidRPr="00755F22" w:rsidRDefault="006E417E" w:rsidP="00831CA9">
          <w:pPr>
            <w:keepLines/>
            <w:tabs>
              <w:tab w:val="left" w:pos="-1440"/>
              <w:tab w:val="left" w:pos="-720"/>
            </w:tabs>
            <w:jc w:val="center"/>
            <w:rPr>
              <w:sz w:val="20"/>
              <w:szCs w:val="20"/>
            </w:rPr>
          </w:pPr>
        </w:p>
      </w:tc>
      <w:tc>
        <w:tcPr>
          <w:tcW w:w="4080" w:type="dxa"/>
          <w:tcMar>
            <w:left w:w="0" w:type="dxa"/>
            <w:right w:w="0" w:type="dxa"/>
          </w:tcMar>
        </w:tcPr>
        <w:p w:rsidR="006E417E" w:rsidRPr="00BA6468" w:rsidRDefault="006E417E" w:rsidP="00BA6468">
          <w:pPr>
            <w:keepLines/>
            <w:rPr>
              <w:sz w:val="20"/>
              <w:szCs w:val="20"/>
              <w:lang w:val="fr-CA"/>
            </w:rPr>
          </w:pPr>
          <w:r w:rsidRPr="00BA6468">
            <w:rPr>
              <w:sz w:val="20"/>
              <w:szCs w:val="20"/>
              <w:lang w:val="fr-CA"/>
            </w:rPr>
            <w:t>Requêtes</w:t>
          </w:r>
        </w:p>
      </w:tc>
    </w:tr>
  </w:tbl>
  <w:p w:rsidR="006E417E" w:rsidRDefault="006E417E"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7E" w:rsidRDefault="006E417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E417E" w:rsidRPr="00300F06">
      <w:tc>
        <w:tcPr>
          <w:tcW w:w="4200" w:type="dxa"/>
          <w:tcMar>
            <w:left w:w="0" w:type="dxa"/>
            <w:right w:w="0" w:type="dxa"/>
          </w:tcMar>
        </w:tcPr>
        <w:p w:rsidR="006E417E" w:rsidRDefault="006E41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6E417E" w:rsidRDefault="006E41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E417E" w:rsidRPr="00B01A03" w:rsidRDefault="006E41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6E417E" w:rsidRPr="00B01A03" w:rsidRDefault="006E4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E417E" w:rsidRPr="00B01A03" w:rsidRDefault="006E4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6E417E" w:rsidRPr="00300F06" w:rsidTr="00245129">
      <w:tc>
        <w:tcPr>
          <w:tcW w:w="4200" w:type="dxa"/>
          <w:tcMar>
            <w:left w:w="0" w:type="dxa"/>
            <w:right w:w="0" w:type="dxa"/>
          </w:tcMar>
        </w:tcPr>
        <w:p w:rsidR="006E417E" w:rsidRPr="00F40249" w:rsidRDefault="006E417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6E417E" w:rsidRDefault="006E417E" w:rsidP="00102926">
          <w:pPr>
            <w:keepNext/>
            <w:keepLines/>
            <w:tabs>
              <w:tab w:val="left" w:pos="-1440"/>
              <w:tab w:val="left" w:pos="-720"/>
            </w:tabs>
            <w:jc w:val="center"/>
            <w:rPr>
              <w:sz w:val="20"/>
              <w:szCs w:val="20"/>
            </w:rPr>
          </w:pPr>
        </w:p>
        <w:p w:rsidR="006E417E" w:rsidRDefault="006E417E" w:rsidP="00102926">
          <w:pPr>
            <w:keepNext/>
            <w:keepLines/>
            <w:tabs>
              <w:tab w:val="left" w:pos="-1440"/>
              <w:tab w:val="left" w:pos="-720"/>
            </w:tabs>
            <w:jc w:val="center"/>
            <w:rPr>
              <w:sz w:val="20"/>
              <w:szCs w:val="20"/>
            </w:rPr>
          </w:pPr>
        </w:p>
        <w:p w:rsidR="006E417E" w:rsidRPr="00F40249" w:rsidRDefault="006E417E" w:rsidP="00102926">
          <w:pPr>
            <w:keepNext/>
            <w:keepLines/>
            <w:tabs>
              <w:tab w:val="left" w:pos="-1440"/>
              <w:tab w:val="left" w:pos="-720"/>
            </w:tabs>
            <w:jc w:val="center"/>
            <w:rPr>
              <w:sz w:val="20"/>
              <w:szCs w:val="20"/>
            </w:rPr>
          </w:pPr>
        </w:p>
      </w:tc>
      <w:tc>
        <w:tcPr>
          <w:tcW w:w="4230" w:type="dxa"/>
          <w:tcMar>
            <w:left w:w="0" w:type="dxa"/>
            <w:right w:w="0" w:type="dxa"/>
          </w:tcMar>
        </w:tcPr>
        <w:p w:rsidR="006E417E" w:rsidRPr="00F40249" w:rsidRDefault="006E417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6E417E" w:rsidRPr="00B01A03" w:rsidRDefault="006E417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7E" w:rsidRDefault="006E4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5AB2"/>
    <w:multiLevelType w:val="hybridMultilevel"/>
    <w:tmpl w:val="072A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1912BE"/>
    <w:multiLevelType w:val="hybridMultilevel"/>
    <w:tmpl w:val="8AD8F03E"/>
    <w:lvl w:ilvl="0" w:tplc="FFE812E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73A5A"/>
    <w:multiLevelType w:val="hybridMultilevel"/>
    <w:tmpl w:val="C5BA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8515E"/>
    <w:multiLevelType w:val="hybridMultilevel"/>
    <w:tmpl w:val="76F4CDAC"/>
    <w:lvl w:ilvl="0" w:tplc="DD6274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51FEB"/>
    <w:multiLevelType w:val="hybridMultilevel"/>
    <w:tmpl w:val="EFCAA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8C551F"/>
    <w:multiLevelType w:val="hybridMultilevel"/>
    <w:tmpl w:val="2132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A69D2"/>
    <w:multiLevelType w:val="hybridMultilevel"/>
    <w:tmpl w:val="C320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609B5"/>
    <w:multiLevelType w:val="hybridMultilevel"/>
    <w:tmpl w:val="C1CEA048"/>
    <w:lvl w:ilvl="0" w:tplc="58285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352813"/>
    <w:multiLevelType w:val="hybridMultilevel"/>
    <w:tmpl w:val="5A304292"/>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07331"/>
    <w:multiLevelType w:val="hybridMultilevel"/>
    <w:tmpl w:val="A4CE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BB78FE"/>
    <w:multiLevelType w:val="hybridMultilevel"/>
    <w:tmpl w:val="FB5C90D4"/>
    <w:lvl w:ilvl="0" w:tplc="9524F5A0">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9A6F4D"/>
    <w:multiLevelType w:val="hybridMultilevel"/>
    <w:tmpl w:val="DABA93FE"/>
    <w:lvl w:ilvl="0" w:tplc="067ADB4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204254E"/>
    <w:multiLevelType w:val="hybridMultilevel"/>
    <w:tmpl w:val="3B10631A"/>
    <w:lvl w:ilvl="0" w:tplc="3FA87AE8">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FCD0341"/>
    <w:multiLevelType w:val="hybridMultilevel"/>
    <w:tmpl w:val="5E2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1E493D"/>
    <w:multiLevelType w:val="hybridMultilevel"/>
    <w:tmpl w:val="C9A4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62A6D"/>
    <w:multiLevelType w:val="hybridMultilevel"/>
    <w:tmpl w:val="9348979E"/>
    <w:lvl w:ilvl="0" w:tplc="0F324E82">
      <w:start w:val="6"/>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27F23"/>
    <w:multiLevelType w:val="hybridMultilevel"/>
    <w:tmpl w:val="2B9A23CC"/>
    <w:lvl w:ilvl="0" w:tplc="B8DA02A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0"/>
  </w:num>
  <w:num w:numId="9">
    <w:abstractNumId w:val="6"/>
  </w:num>
  <w:num w:numId="10">
    <w:abstractNumId w:val="42"/>
  </w:num>
  <w:num w:numId="11">
    <w:abstractNumId w:val="37"/>
  </w:num>
  <w:num w:numId="12">
    <w:abstractNumId w:val="3"/>
  </w:num>
  <w:num w:numId="13">
    <w:abstractNumId w:val="38"/>
  </w:num>
  <w:num w:numId="14">
    <w:abstractNumId w:val="29"/>
  </w:num>
  <w:num w:numId="15">
    <w:abstractNumId w:val="26"/>
  </w:num>
  <w:num w:numId="16">
    <w:abstractNumId w:val="25"/>
  </w:num>
  <w:num w:numId="17">
    <w:abstractNumId w:val="24"/>
  </w:num>
  <w:num w:numId="18">
    <w:abstractNumId w:val="43"/>
  </w:num>
  <w:num w:numId="19">
    <w:abstractNumId w:val="1"/>
  </w:num>
  <w:num w:numId="20">
    <w:abstractNumId w:val="17"/>
  </w:num>
  <w:num w:numId="21">
    <w:abstractNumId w:val="5"/>
  </w:num>
  <w:num w:numId="22">
    <w:abstractNumId w:val="7"/>
  </w:num>
  <w:num w:numId="23">
    <w:abstractNumId w:val="22"/>
  </w:num>
  <w:num w:numId="24">
    <w:abstractNumId w:val="18"/>
  </w:num>
  <w:num w:numId="25">
    <w:abstractNumId w:val="0"/>
  </w:num>
  <w:num w:numId="26">
    <w:abstractNumId w:val="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1"/>
  </w:num>
  <w:num w:numId="30">
    <w:abstractNumId w:val="2"/>
  </w:num>
  <w:num w:numId="31">
    <w:abstractNumId w:val="12"/>
  </w:num>
  <w:num w:numId="32">
    <w:abstractNumId w:val="10"/>
  </w:num>
  <w:num w:numId="33">
    <w:abstractNumId w:val="34"/>
  </w:num>
  <w:num w:numId="34">
    <w:abstractNumId w:val="36"/>
  </w:num>
  <w:num w:numId="35">
    <w:abstractNumId w:val="15"/>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9"/>
  </w:num>
  <w:num w:numId="39">
    <w:abstractNumId w:val="23"/>
  </w:num>
  <w:num w:numId="40">
    <w:abstractNumId w:val="14"/>
  </w:num>
  <w:num w:numId="41">
    <w:abstractNumId w:val="2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9"/>
  </w:num>
  <w:num w:numId="46">
    <w:abstractNumId w:val="32"/>
  </w:num>
  <w:num w:numId="47">
    <w:abstractNumId w:val="3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A5"/>
    <w:rsid w:val="00002704"/>
    <w:rsid w:val="00016BD4"/>
    <w:rsid w:val="00020AA3"/>
    <w:rsid w:val="00020DC3"/>
    <w:rsid w:val="0003223B"/>
    <w:rsid w:val="000327B2"/>
    <w:rsid w:val="00033A57"/>
    <w:rsid w:val="0004528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E7ADF"/>
    <w:rsid w:val="000F0B60"/>
    <w:rsid w:val="000F2CA3"/>
    <w:rsid w:val="00102792"/>
    <w:rsid w:val="00102926"/>
    <w:rsid w:val="0010587F"/>
    <w:rsid w:val="00111C6B"/>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255A"/>
    <w:rsid w:val="00195F99"/>
    <w:rsid w:val="00197F36"/>
    <w:rsid w:val="001A0C1D"/>
    <w:rsid w:val="001B157C"/>
    <w:rsid w:val="001B1994"/>
    <w:rsid w:val="001B38DF"/>
    <w:rsid w:val="001B4006"/>
    <w:rsid w:val="001B43BD"/>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C594B"/>
    <w:rsid w:val="002D72EB"/>
    <w:rsid w:val="002E2327"/>
    <w:rsid w:val="002E3583"/>
    <w:rsid w:val="002E5576"/>
    <w:rsid w:val="0030050B"/>
    <w:rsid w:val="003008F5"/>
    <w:rsid w:val="00300F06"/>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0186"/>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C65F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6826"/>
    <w:rsid w:val="005C6840"/>
    <w:rsid w:val="005F1ED8"/>
    <w:rsid w:val="005F263E"/>
    <w:rsid w:val="00600252"/>
    <w:rsid w:val="00612A40"/>
    <w:rsid w:val="00614215"/>
    <w:rsid w:val="00616FA4"/>
    <w:rsid w:val="0062714A"/>
    <w:rsid w:val="00634F42"/>
    <w:rsid w:val="00645947"/>
    <w:rsid w:val="006615F4"/>
    <w:rsid w:val="006650B9"/>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E417E"/>
    <w:rsid w:val="006F350F"/>
    <w:rsid w:val="006F7A67"/>
    <w:rsid w:val="00717608"/>
    <w:rsid w:val="007221A5"/>
    <w:rsid w:val="00727571"/>
    <w:rsid w:val="00732DB7"/>
    <w:rsid w:val="0074238B"/>
    <w:rsid w:val="00745EF7"/>
    <w:rsid w:val="00755F22"/>
    <w:rsid w:val="00766E4A"/>
    <w:rsid w:val="007820CE"/>
    <w:rsid w:val="00782AE4"/>
    <w:rsid w:val="0079724F"/>
    <w:rsid w:val="007A3EAE"/>
    <w:rsid w:val="007A4918"/>
    <w:rsid w:val="007B09D6"/>
    <w:rsid w:val="007B4DFF"/>
    <w:rsid w:val="007C04FC"/>
    <w:rsid w:val="007C3D5F"/>
    <w:rsid w:val="007C3DB0"/>
    <w:rsid w:val="007C47C2"/>
    <w:rsid w:val="007D3E0F"/>
    <w:rsid w:val="007E4282"/>
    <w:rsid w:val="007F0728"/>
    <w:rsid w:val="007F387B"/>
    <w:rsid w:val="007F6D28"/>
    <w:rsid w:val="00802863"/>
    <w:rsid w:val="00806B29"/>
    <w:rsid w:val="008112A9"/>
    <w:rsid w:val="008142EB"/>
    <w:rsid w:val="0081473A"/>
    <w:rsid w:val="00815B3C"/>
    <w:rsid w:val="0081610A"/>
    <w:rsid w:val="008277C4"/>
    <w:rsid w:val="0082783A"/>
    <w:rsid w:val="00831CA9"/>
    <w:rsid w:val="00842B6B"/>
    <w:rsid w:val="00844E40"/>
    <w:rsid w:val="00845C2A"/>
    <w:rsid w:val="00850E1F"/>
    <w:rsid w:val="0085476B"/>
    <w:rsid w:val="0086340B"/>
    <w:rsid w:val="00877592"/>
    <w:rsid w:val="008837D3"/>
    <w:rsid w:val="008859F1"/>
    <w:rsid w:val="008902B1"/>
    <w:rsid w:val="00890FEB"/>
    <w:rsid w:val="00893449"/>
    <w:rsid w:val="00895E7E"/>
    <w:rsid w:val="008961FD"/>
    <w:rsid w:val="008A5C1A"/>
    <w:rsid w:val="008C2318"/>
    <w:rsid w:val="008D085E"/>
    <w:rsid w:val="008D292F"/>
    <w:rsid w:val="008D3D4B"/>
    <w:rsid w:val="008E03DC"/>
    <w:rsid w:val="008E1182"/>
    <w:rsid w:val="00902E51"/>
    <w:rsid w:val="0090461F"/>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6510"/>
    <w:rsid w:val="009A75CF"/>
    <w:rsid w:val="009C4E23"/>
    <w:rsid w:val="009D1F15"/>
    <w:rsid w:val="009D555E"/>
    <w:rsid w:val="009E462F"/>
    <w:rsid w:val="009F3024"/>
    <w:rsid w:val="009F39BA"/>
    <w:rsid w:val="00A0355E"/>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0F37"/>
    <w:rsid w:val="00B010C0"/>
    <w:rsid w:val="00B15CBE"/>
    <w:rsid w:val="00B40FD9"/>
    <w:rsid w:val="00B4740D"/>
    <w:rsid w:val="00B61629"/>
    <w:rsid w:val="00B635E0"/>
    <w:rsid w:val="00B67395"/>
    <w:rsid w:val="00B7374B"/>
    <w:rsid w:val="00B90DC0"/>
    <w:rsid w:val="00BA0AA5"/>
    <w:rsid w:val="00BA116A"/>
    <w:rsid w:val="00BA4970"/>
    <w:rsid w:val="00BA5582"/>
    <w:rsid w:val="00BA6468"/>
    <w:rsid w:val="00BB15A8"/>
    <w:rsid w:val="00BB1D44"/>
    <w:rsid w:val="00BC680C"/>
    <w:rsid w:val="00BD06DA"/>
    <w:rsid w:val="00BD264E"/>
    <w:rsid w:val="00BD4217"/>
    <w:rsid w:val="00BE34F7"/>
    <w:rsid w:val="00BE450A"/>
    <w:rsid w:val="00BF25F3"/>
    <w:rsid w:val="00C01FCB"/>
    <w:rsid w:val="00C02188"/>
    <w:rsid w:val="00C1697B"/>
    <w:rsid w:val="00C21644"/>
    <w:rsid w:val="00C21CB5"/>
    <w:rsid w:val="00C257CD"/>
    <w:rsid w:val="00C27015"/>
    <w:rsid w:val="00C406CA"/>
    <w:rsid w:val="00C46376"/>
    <w:rsid w:val="00C50A5C"/>
    <w:rsid w:val="00C50FDF"/>
    <w:rsid w:val="00C56536"/>
    <w:rsid w:val="00C63381"/>
    <w:rsid w:val="00C66EE8"/>
    <w:rsid w:val="00C73D06"/>
    <w:rsid w:val="00C73D76"/>
    <w:rsid w:val="00C73E1B"/>
    <w:rsid w:val="00C73EE8"/>
    <w:rsid w:val="00C7556C"/>
    <w:rsid w:val="00C759B4"/>
    <w:rsid w:val="00C77651"/>
    <w:rsid w:val="00C77713"/>
    <w:rsid w:val="00C8528C"/>
    <w:rsid w:val="00C85BB7"/>
    <w:rsid w:val="00C86E0F"/>
    <w:rsid w:val="00C97DEF"/>
    <w:rsid w:val="00CA2DEA"/>
    <w:rsid w:val="00CB3520"/>
    <w:rsid w:val="00CB43D5"/>
    <w:rsid w:val="00CC4D84"/>
    <w:rsid w:val="00CE198A"/>
    <w:rsid w:val="00CF08C8"/>
    <w:rsid w:val="00D004FC"/>
    <w:rsid w:val="00D22BC0"/>
    <w:rsid w:val="00D31809"/>
    <w:rsid w:val="00D6331A"/>
    <w:rsid w:val="00D64901"/>
    <w:rsid w:val="00D76BDF"/>
    <w:rsid w:val="00D818B6"/>
    <w:rsid w:val="00D82A57"/>
    <w:rsid w:val="00D82BFF"/>
    <w:rsid w:val="00D8443D"/>
    <w:rsid w:val="00D862C1"/>
    <w:rsid w:val="00D939BB"/>
    <w:rsid w:val="00D93A6C"/>
    <w:rsid w:val="00D93B50"/>
    <w:rsid w:val="00D94028"/>
    <w:rsid w:val="00D94670"/>
    <w:rsid w:val="00DA1D48"/>
    <w:rsid w:val="00DA46F6"/>
    <w:rsid w:val="00DA756F"/>
    <w:rsid w:val="00DB0D35"/>
    <w:rsid w:val="00DC0577"/>
    <w:rsid w:val="00DC6B2E"/>
    <w:rsid w:val="00DD0B49"/>
    <w:rsid w:val="00DD0BDC"/>
    <w:rsid w:val="00DE0502"/>
    <w:rsid w:val="00DE349D"/>
    <w:rsid w:val="00E0270C"/>
    <w:rsid w:val="00E06DFA"/>
    <w:rsid w:val="00E06F20"/>
    <w:rsid w:val="00E16B2A"/>
    <w:rsid w:val="00E20A0A"/>
    <w:rsid w:val="00E240C2"/>
    <w:rsid w:val="00E26B49"/>
    <w:rsid w:val="00E356C7"/>
    <w:rsid w:val="00E414CA"/>
    <w:rsid w:val="00E41A5A"/>
    <w:rsid w:val="00E45FE4"/>
    <w:rsid w:val="00E64FA7"/>
    <w:rsid w:val="00E65960"/>
    <w:rsid w:val="00E664DA"/>
    <w:rsid w:val="00E670F7"/>
    <w:rsid w:val="00E71254"/>
    <w:rsid w:val="00E72A81"/>
    <w:rsid w:val="00E75CFD"/>
    <w:rsid w:val="00E770CB"/>
    <w:rsid w:val="00E80D6C"/>
    <w:rsid w:val="00E8544A"/>
    <w:rsid w:val="00E903A1"/>
    <w:rsid w:val="00E92A37"/>
    <w:rsid w:val="00E940EB"/>
    <w:rsid w:val="00E942C2"/>
    <w:rsid w:val="00E9703F"/>
    <w:rsid w:val="00E97984"/>
    <w:rsid w:val="00EA5A77"/>
    <w:rsid w:val="00EB2B90"/>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1C7"/>
    <w:rsid w:val="00F75954"/>
    <w:rsid w:val="00F761A3"/>
    <w:rsid w:val="00F9272D"/>
    <w:rsid w:val="00F9518C"/>
    <w:rsid w:val="00FA316E"/>
    <w:rsid w:val="00FA3373"/>
    <w:rsid w:val="00FA59EF"/>
    <w:rsid w:val="00FB19A2"/>
    <w:rsid w:val="00FB1DB6"/>
    <w:rsid w:val="00FB4A2E"/>
    <w:rsid w:val="00FD053D"/>
    <w:rsid w:val="00FE41B1"/>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197F36"/>
    <w:pPr>
      <w:jc w:val="both"/>
    </w:pPr>
    <w:rPr>
      <w:rFonts w:eastAsia="Calibri" w:cs="Times New Roman"/>
      <w:smallCaps/>
    </w:rPr>
  </w:style>
  <w:style w:type="character" w:customStyle="1" w:styleId="SCCBanSummaryChar">
    <w:name w:val="SCC.BanSummary Char"/>
    <w:basedOn w:val="DefaultParagraphFont"/>
    <w:link w:val="SCCBanSummary0"/>
    <w:rsid w:val="00197F36"/>
    <w:rPr>
      <w:rFonts w:eastAsia="Calibri" w:cs="Times New Roman"/>
      <w:smallCaps/>
      <w:lang w:val="en-CA"/>
    </w:rPr>
  </w:style>
  <w:style w:type="paragraph" w:styleId="NoSpacing">
    <w:name w:val="No Spacing"/>
    <w:uiPriority w:val="1"/>
    <w:qFormat/>
    <w:rsid w:val="00197F36"/>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197F36"/>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197F36"/>
    <w:rPr>
      <w:rFonts w:ascii="Tahoma" w:eastAsia="Times New Roman" w:hAnsi="Tahoma" w:cs="Tahoma"/>
      <w:sz w:val="16"/>
      <w:szCs w:val="16"/>
    </w:rPr>
  </w:style>
  <w:style w:type="paragraph" w:customStyle="1" w:styleId="Style268435469">
    <w:name w:val="Style268435469"/>
    <w:rsid w:val="00197F36"/>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197F36"/>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197F36"/>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197F36"/>
    <w:rPr>
      <w:sz w:val="16"/>
      <w:szCs w:val="16"/>
    </w:rPr>
  </w:style>
  <w:style w:type="paragraph" w:styleId="CommentText">
    <w:name w:val="annotation text"/>
    <w:basedOn w:val="Normal"/>
    <w:link w:val="CommentTextChar"/>
    <w:uiPriority w:val="99"/>
    <w:semiHidden/>
    <w:unhideWhenUsed/>
    <w:rsid w:val="00197F36"/>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197F3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F36"/>
    <w:rPr>
      <w:b/>
      <w:bCs/>
    </w:rPr>
  </w:style>
  <w:style w:type="character" w:customStyle="1" w:styleId="CommentSubjectChar">
    <w:name w:val="Comment Subject Char"/>
    <w:basedOn w:val="CommentTextChar"/>
    <w:link w:val="CommentSubject"/>
    <w:uiPriority w:val="99"/>
    <w:semiHidden/>
    <w:rsid w:val="00197F36"/>
    <w:rPr>
      <w:rFonts w:eastAsia="Times New Roman" w:cs="Times New Roman"/>
      <w:b/>
      <w:bCs/>
      <w:sz w:val="20"/>
      <w:szCs w:val="20"/>
    </w:rPr>
  </w:style>
  <w:style w:type="paragraph" w:customStyle="1" w:styleId="mainparagraph1">
    <w:name w:val="mainparagraph1"/>
    <w:basedOn w:val="Normal"/>
    <w:rsid w:val="00197F36"/>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197F36"/>
    <w:pPr>
      <w:spacing w:before="120" w:after="120"/>
      <w:jc w:val="both"/>
    </w:pPr>
    <w:rPr>
      <w:rFonts w:ascii="Arial" w:eastAsia="Times New Roman" w:hAnsi="Arial" w:cs="Arial"/>
      <w:sz w:val="26"/>
      <w:szCs w:val="26"/>
      <w:lang w:val="en-US"/>
    </w:rPr>
  </w:style>
  <w:style w:type="paragraph" w:customStyle="1" w:styleId="number1">
    <w:name w:val="number1"/>
    <w:basedOn w:val="Normal"/>
    <w:rsid w:val="00197F36"/>
    <w:pPr>
      <w:jc w:val="both"/>
    </w:pPr>
    <w:rPr>
      <w:rFonts w:ascii="Tahoma" w:eastAsia="Times New Roman" w:hAnsi="Tahoma" w:cs="Tahoma"/>
      <w:szCs w:val="24"/>
      <w:lang w:val="en-US"/>
    </w:rPr>
  </w:style>
  <w:style w:type="character" w:customStyle="1" w:styleId="reflex3-block">
    <w:name w:val="reflex3-block"/>
    <w:basedOn w:val="DefaultParagraphFont"/>
    <w:rsid w:val="00197F36"/>
  </w:style>
  <w:style w:type="character" w:customStyle="1" w:styleId="reflex3-alt">
    <w:name w:val="reflex3-alt"/>
    <w:basedOn w:val="DefaultParagraphFont"/>
    <w:rsid w:val="00197F36"/>
  </w:style>
  <w:style w:type="paragraph" w:customStyle="1" w:styleId="scjnumber1">
    <w:name w:val="scjnumber1"/>
    <w:basedOn w:val="Normal"/>
    <w:rsid w:val="00197F36"/>
    <w:pPr>
      <w:spacing w:after="240"/>
    </w:pPr>
    <w:rPr>
      <w:rFonts w:ascii="Arial" w:eastAsia="Times New Roman" w:hAnsi="Arial" w:cs="Arial"/>
      <w:szCs w:val="24"/>
      <w:lang w:val="en-US"/>
    </w:rPr>
  </w:style>
  <w:style w:type="character" w:customStyle="1" w:styleId="reflex">
    <w:name w:val="reflex"/>
    <w:basedOn w:val="DefaultParagraphFont"/>
    <w:rsid w:val="00197F36"/>
  </w:style>
  <w:style w:type="paragraph" w:customStyle="1" w:styleId="paragraphe">
    <w:name w:val="paragraphe"/>
    <w:basedOn w:val="Normal"/>
    <w:rsid w:val="00197F36"/>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197F36"/>
  </w:style>
  <w:style w:type="paragraph" w:customStyle="1" w:styleId="SCCLsocSubfileSeparator0">
    <w:name w:val="SCC.Lsoc.SubfileSeparator"/>
    <w:basedOn w:val="Normal"/>
    <w:next w:val="Normal"/>
    <w:link w:val="SCCLsocSubfileSeparatorChar"/>
    <w:rsid w:val="00197F36"/>
    <w:pPr>
      <w:jc w:val="both"/>
    </w:pPr>
    <w:rPr>
      <w:rFonts w:cs="Times New Roman"/>
      <w:b/>
      <w:szCs w:val="24"/>
    </w:rPr>
  </w:style>
  <w:style w:type="character" w:customStyle="1" w:styleId="SCCLsocSubfileSeparatorChar">
    <w:name w:val="SCC.Lsoc.SubfileSeparator Char"/>
    <w:basedOn w:val="DefaultParagraphFont"/>
    <w:link w:val="SCCLsocSubfileSeparator0"/>
    <w:rsid w:val="00197F36"/>
    <w:rPr>
      <w:rFonts w:cs="Times New Roman"/>
      <w:b/>
      <w:szCs w:val="24"/>
      <w:lang w:val="en-CA"/>
    </w:rPr>
  </w:style>
  <w:style w:type="paragraph" w:customStyle="1" w:styleId="s3">
    <w:name w:val="s3"/>
    <w:basedOn w:val="Normal"/>
    <w:rsid w:val="00197F36"/>
    <w:pPr>
      <w:spacing w:before="100" w:beforeAutospacing="1" w:after="100" w:afterAutospacing="1"/>
    </w:pPr>
    <w:rPr>
      <w:rFonts w:cs="Times New Roman"/>
      <w:szCs w:val="24"/>
      <w:lang w:val="en-US"/>
    </w:rPr>
  </w:style>
  <w:style w:type="character" w:customStyle="1" w:styleId="s4">
    <w:name w:val="s4"/>
    <w:basedOn w:val="DefaultParagraphFont"/>
    <w:rsid w:val="00197F36"/>
  </w:style>
  <w:style w:type="character" w:customStyle="1" w:styleId="s5">
    <w:name w:val="s5"/>
    <w:basedOn w:val="DefaultParagraphFont"/>
    <w:rsid w:val="00197F36"/>
  </w:style>
  <w:style w:type="paragraph" w:customStyle="1" w:styleId="paragraphenumrot">
    <w:name w:val="paragraphenumrot"/>
    <w:basedOn w:val="Normal"/>
    <w:rsid w:val="00197F36"/>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197F36"/>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a/doc/2019/2019canlii83234/2019canlii83234.pdf" TargetMode="External"/><Relationship Id="rId21" Type="http://schemas.openxmlformats.org/officeDocument/2006/relationships/hyperlink" Target="https://www.canlii.org/fr/qc/qccs/doc/2016/2016qccs6302/2016qccs6302.html?autocompleteStr=2016%20qccs%206302&amp;autocompletePos=1" TargetMode="External"/><Relationship Id="rId34" Type="http://schemas.openxmlformats.org/officeDocument/2006/relationships/hyperlink" Target="https://www.canlii.org/fr/qc/qcca/doc/2019/2019qcca2145/2019qcca2145.html" TargetMode="External"/><Relationship Id="rId42" Type="http://schemas.openxmlformats.org/officeDocument/2006/relationships/hyperlink" Target="http://c-doc.domain.scc-csc.gc.ca/L25/01/05/%3c%3e" TargetMode="External"/><Relationship Id="rId47" Type="http://schemas.openxmlformats.org/officeDocument/2006/relationships/hyperlink" Target="https://www.canlii.org/en/on/onsc/doc/2018/2018onsc7074/2018onsc7074.html?searchUrlHash=AAAAAQAOMjAxOCBPTlNDIDcwNzQAAAAAAQ&amp;resultIndex=2" TargetMode="External"/><Relationship Id="rId50" Type="http://schemas.openxmlformats.org/officeDocument/2006/relationships/hyperlink" Target="https://www.canlii.org/en/on/onca/doc/2019/2019onca708/2019onca708.html?searchUrlHash=AAAAAQANMjAxOSBPTkNBIDcwOAAAAAAB&amp;resultIndex=1" TargetMode="External"/><Relationship Id="rId55" Type="http://schemas.openxmlformats.org/officeDocument/2006/relationships/hyperlink" Target="https://www.canlii.org/fr/qc/qccs/doc/2019/2019qccs3189/2019qccs3189.html" TargetMode="External"/><Relationship Id="rId63" Type="http://schemas.openxmlformats.org/officeDocument/2006/relationships/hyperlink" Target="https://www.canlii.org/en/on/onsc/doc/2018/2018onsc2297/2018onsc2297.html" TargetMode="External"/><Relationship Id="rId68" Type="http://schemas.openxmlformats.org/officeDocument/2006/relationships/hyperlink" Target="https://www.canlii.org/fr/on/onca/doc/2019/2019onca460/2019onca460.html?autocompleteStr=2019%20ONCA%20460&amp;autocompletePos=1" TargetMode="External"/><Relationship Id="rId76" Type="http://schemas.openxmlformats.org/officeDocument/2006/relationships/hyperlink" Target="https://www.canlii.org/en/on/onca/doc/2019/2019onca644/2019onca644.html?autocompleteStr=2019%20ONCA%20644&amp;autocompletePos=1" TargetMode="External"/><Relationship Id="rId84" Type="http://schemas.openxmlformats.org/officeDocument/2006/relationships/footer" Target="footer2.xml"/><Relationship Id="rId89" Type="http://schemas.openxmlformats.org/officeDocument/2006/relationships/footer" Target="footer4.xml"/><Relationship Id="rId97"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https://www.canlii.org/en/on/onca/doc/2019/2019onca684/2019onca684.html" TargetMode="External"/><Relationship Id="rId92"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canlii.org/fr/qc/qcca/doc/2019/2019qcca719/2019qcca719.html?autocompleteStr=2019%20qcca%20719&amp;autocompletePos=1" TargetMode="External"/><Relationship Id="rId29" Type="http://schemas.openxmlformats.org/officeDocument/2006/relationships/hyperlink" Target="http://canlii.ca/t/gv8nq" TargetMode="External"/><Relationship Id="rId11" Type="http://schemas.openxmlformats.org/officeDocument/2006/relationships/hyperlink" Target="https://www.canlii.org/fr/qc/qctaq/doc/2017/2017canlii63003/2017canlii63003.html?autocompleteStr=2017%20QCTAQ%200963&amp;autocompletePos=1" TargetMode="External"/><Relationship Id="rId24" Type="http://schemas.openxmlformats.org/officeDocument/2006/relationships/hyperlink" Target="https://www.canlii.org/fr/qc/qcca/doc/2019/2019qcca1678/2019qcca1678.html?autocompleteStr=2019%20qcca%201678&amp;autocompletePos=1" TargetMode="External"/><Relationship Id="rId32" Type="http://schemas.openxmlformats.org/officeDocument/2006/relationships/hyperlink" Target="http://canlii.ca/t/j05n0" TargetMode="External"/><Relationship Id="rId37" Type="http://schemas.openxmlformats.org/officeDocument/2006/relationships/hyperlink" Target="https://www.canlii.org/en/on/onscdc/doc/2018/2018onsc901/2018onsc901.html?autocompleteStr=2018%20ONSC%20901&amp;autocompletePos=1" TargetMode="External"/><Relationship Id="rId40" Type="http://schemas.openxmlformats.org/officeDocument/2006/relationships/hyperlink" Target="https://www.canlii.org/en/on/onscdc/doc/2018/2018onsc6928/2018onsc6928.html?autocompleteStr=2018%20ONSC%206928&amp;autocompletePos=1" TargetMode="External"/><Relationship Id="rId45" Type="http://schemas.openxmlformats.org/officeDocument/2006/relationships/hyperlink" Target="https://www.canlii.org/en/on/onsc/doc/2018/2018onsc7074/2018onsc7074.html?searchUrlHash=AAAAAQAOMjAxOCBPTlNDIDcwNzQAAAAAAQ&amp;resultIndex=2" TargetMode="External"/><Relationship Id="rId53" Type="http://schemas.openxmlformats.org/officeDocument/2006/relationships/hyperlink" Target="https://www.canlii.org/fr/qc/qccs/doc/2017/2017qccs2689/2017qccs2689.html?searchUrlHash=AAAAAQAUam91cm5ldCBnb2xmIGxpcmV0dGUAAAAAAQ&amp;resultIndex=1" TargetMode="External"/><Relationship Id="rId58" Type="http://schemas.openxmlformats.org/officeDocument/2006/relationships/hyperlink" Target="https://www.canlii.org/fr/qc/qcca/doc/2019/2019qcca1405/2019qcca1405.html" TargetMode="External"/><Relationship Id="rId66" Type="http://schemas.openxmlformats.org/officeDocument/2006/relationships/hyperlink" Target="https://www.canlii.org/en/on/onca/doc/2019/2019onca840/2019onca840.html?autocompleteStr=2019%20ONCA%20840&amp;autocompletePos=1" TargetMode="External"/><Relationship Id="rId74" Type="http://schemas.openxmlformats.org/officeDocument/2006/relationships/hyperlink" Target="https://www.canlii.org/en/on/onca/doc/2019/2019onca644/2019onca644.html?autocompleteStr=2019%20ONCA%20644&amp;autocompletePos=1" TargetMode="External"/><Relationship Id="rId79" Type="http://schemas.openxmlformats.org/officeDocument/2006/relationships/hyperlink" Target="https://www.canlii.org/en/on/onca/doc/2019/2019onca823/2019onca823.html?autocompleteStr=2019%20ONCA%20823&amp;autocompletePos=1" TargetMode="External"/><Relationship Id="rId87" Type="http://schemas.openxmlformats.org/officeDocument/2006/relationships/header" Target="header4.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c-doc.domain.scc-csc.gc.ca/L25/01/04/2019%20ONSC%201415.pdf" TargetMode="External"/><Relationship Id="rId82" Type="http://schemas.openxmlformats.org/officeDocument/2006/relationships/header" Target="header2.xml"/><Relationship Id="rId90" Type="http://schemas.openxmlformats.org/officeDocument/2006/relationships/footer" Target="footer5.xml"/><Relationship Id="rId95" Type="http://schemas.openxmlformats.org/officeDocument/2006/relationships/footer" Target="footer7.xml"/><Relationship Id="rId19" Type="http://schemas.openxmlformats.org/officeDocument/2006/relationships/hyperlink" Target="https://www.canlii.org/fr/qc/qccs/doc/2017/2017qccs1675/2017qccs1675.html?autocompleteStr=2017%20qccs%201675&amp;autocompletePos=1" TargetMode="External"/><Relationship Id="rId14" Type="http://schemas.openxmlformats.org/officeDocument/2006/relationships/hyperlink" Target="https://www.canlii.org/fr/qc/qctaq/doc/2017/2017canlii63003/2017canlii63003.html?autocompleteStr=2017%20QCTAQ%200963&amp;autocompletePos=1" TargetMode="External"/><Relationship Id="rId22" Type="http://schemas.openxmlformats.org/officeDocument/2006/relationships/hyperlink" Target="https://www.canlii.org/fr/qc/qcca/doc/2019/2019qcca1678/2019qcca1678.html?autocompleteStr=2019%20qcca%201678&amp;autocompletePos=1" TargetMode="External"/><Relationship Id="rId27" Type="http://schemas.openxmlformats.org/officeDocument/2006/relationships/hyperlink" Target="https://www.canlii.org/fr/qc/qccs/doc/2018/2018qccs5895/2018qccs5895.pdf" TargetMode="External"/><Relationship Id="rId30" Type="http://schemas.openxmlformats.org/officeDocument/2006/relationships/hyperlink" Target="https://www.canlii.org/en/qc/qcca/doc/2019/2019qcca801/2019qcca801.html" TargetMode="External"/><Relationship Id="rId35" Type="http://schemas.openxmlformats.org/officeDocument/2006/relationships/hyperlink" Target="https://www.canlii.org/fr/qc/qccs/doc/2019/2019qccs2989/2019qccs2989.html?autocompleteStr=2019%20qccs%202989&amp;autocompletePos=1" TargetMode="External"/><Relationship Id="rId43" Type="http://schemas.openxmlformats.org/officeDocument/2006/relationships/hyperlink" Target="https://www.canlii.org/fr/ca/cfpi/doc/2018/2018cf1302/2018cf1302.html" TargetMode="External"/><Relationship Id="rId48" Type="http://schemas.openxmlformats.org/officeDocument/2006/relationships/hyperlink" Target="https://www.canlii.org/en/on/onca/doc/2019/2019onca707/2019onca707.html?searchUrlHash=AAAAAQANMjAxOSBPTkNBIDcwNwAAAAAB&amp;resultIndex=1" TargetMode="External"/><Relationship Id="rId56" Type="http://schemas.openxmlformats.org/officeDocument/2006/relationships/hyperlink" Target="https://www.canlii.org/fr/qc/qcca/doc/2019/2019qcca1405/2019qcca1405.html" TargetMode="External"/><Relationship Id="rId64" Type="http://schemas.openxmlformats.org/officeDocument/2006/relationships/hyperlink" Target="https://www.canlii.org/en/on/onca/doc/2019/2019onca840/2019onca840.html?autocompleteStr=2019%20ONCA%20840&amp;autocompletePos=1" TargetMode="External"/><Relationship Id="rId69" Type="http://schemas.openxmlformats.org/officeDocument/2006/relationships/hyperlink" Target="https://www.canlii.org/fr/qc/qcca/doc/2019/2019qcca1416/2019qcca1416.html?autocompleteStr=500-10-005072-12&amp;autocompletePos=2" TargetMode="External"/><Relationship Id="rId77" Type="http://schemas.openxmlformats.org/officeDocument/2006/relationships/hyperlink" Target="https://www.canlii.org/en/on/onca/doc/2019/2019onca735/2019onca735.html?autocompleteStr=2019%20ONCA%20735&amp;autocompletePos=1" TargetMode="External"/><Relationship Id="rId100" Type="http://schemas.openxmlformats.org/officeDocument/2006/relationships/footer" Target="footer10.xml"/><Relationship Id="rId8" Type="http://schemas.openxmlformats.org/officeDocument/2006/relationships/image" Target="media/image1.wmf"/><Relationship Id="rId51" Type="http://schemas.openxmlformats.org/officeDocument/2006/relationships/hyperlink" Target="https://www.canlii.org/fr/qc/qccs/doc/2017/2017qccs2689/2017qccs2689.html?searchUrlHash=AAAAAQAUam91cm5ldCBnb2xmIGxpcmV0dGUAAAAAAQ&amp;resultIndex=1" TargetMode="External"/><Relationship Id="rId72" Type="http://schemas.openxmlformats.org/officeDocument/2006/relationships/hyperlink" Target="https://www.canlii.org/en/on/onca/doc/2019/2019onca684/2019onca684.html" TargetMode="External"/><Relationship Id="rId80" Type="http://schemas.openxmlformats.org/officeDocument/2006/relationships/hyperlink" Target="https://www.canlii.org/en/on/onca/doc/2019/2019onca823/2019onca823.html?autocompleteStr=2019%20ONCA%20823&amp;autocompletePos=1" TargetMode="External"/><Relationship Id="rId85" Type="http://schemas.openxmlformats.org/officeDocument/2006/relationships/header" Target="header3.xml"/><Relationship Id="rId93" Type="http://schemas.openxmlformats.org/officeDocument/2006/relationships/header" Target="header7.xml"/><Relationship Id="rId98" Type="http://schemas.openxmlformats.org/officeDocument/2006/relationships/footer" Target="footer9.xml"/><Relationship Id="rId3" Type="http://schemas.openxmlformats.org/officeDocument/2006/relationships/styles" Target="styles.xml"/><Relationship Id="rId12" Type="http://schemas.openxmlformats.org/officeDocument/2006/relationships/hyperlink" Target="https://www.canlii.org/fr/qc/qccs/doc/2019/2019qccs463/2019qccs463.html?autocompleteStr=2019%20qccs%20463&amp;autocompletePos=1" TargetMode="External"/><Relationship Id="rId17" Type="http://schemas.openxmlformats.org/officeDocument/2006/relationships/hyperlink" Target="https://www.canlii.org/fr/qc/qccs/doc/2017/2017qccs1675/2017qccs1675.html?autocompleteStr=2017%20qccs%201675&amp;autocompletePos=1" TargetMode="External"/><Relationship Id="rId25" Type="http://schemas.openxmlformats.org/officeDocument/2006/relationships/hyperlink" Target="https://www.canlii.org/fr/qc/qccs/doc/2018/2018qccs5895/2018qccs5895.pdf" TargetMode="External"/><Relationship Id="rId33" Type="http://schemas.openxmlformats.org/officeDocument/2006/relationships/hyperlink" Target="https://www.canlii.org/fr/qc/qccs/doc/2019/2019qccs2989/2019qccs2989.html?autocompleteStr=2019%20qccs%202989&amp;autocompletePos=1" TargetMode="External"/><Relationship Id="rId38" Type="http://schemas.openxmlformats.org/officeDocument/2006/relationships/hyperlink" Target="https://www.canlii.org/en/on/onscdc/doc/2018/2018onsc6928/2018onsc6928.html?autocompleteStr=2018%20ONSC%206928&amp;autocompletePos=1" TargetMode="External"/><Relationship Id="rId46" Type="http://schemas.openxmlformats.org/officeDocument/2006/relationships/hyperlink" Target="https://www.canlii.org/en/on/onca/doc/2019/2019onca707/2019onca707.html?searchUrlHash=AAAAAQANMjAxOSBPTkNBIDcwNwAAAAAB&amp;resultIndex=1" TargetMode="External"/><Relationship Id="rId59" Type="http://schemas.openxmlformats.org/officeDocument/2006/relationships/hyperlink" Target="http://c-doc.domain.scc-csc.gc.ca/L25/01/04/2019%20ONSC%201415.pdf" TargetMode="External"/><Relationship Id="rId67" Type="http://schemas.openxmlformats.org/officeDocument/2006/relationships/hyperlink" Target="https://www.canlii.org/fr/on/onca/doc/2019/2019onca460/2019onca460.html?autocompleteStr=2019%20ONCA%20460&amp;autocompletePos=1" TargetMode="External"/><Relationship Id="rId20" Type="http://schemas.openxmlformats.org/officeDocument/2006/relationships/hyperlink" Target="https://www.canlii.org/fr/qc/qcca/doc/2019/2019qcca1106/2019qcca1106.html?autocompleteStr=2019%20qcca%201106&amp;autocompletePos=1" TargetMode="External"/><Relationship Id="rId41" Type="http://schemas.openxmlformats.org/officeDocument/2006/relationships/hyperlink" Target="http://c-doc.domain.scc-csc.gc.ca/L25/01/05/%3c%3e" TargetMode="External"/><Relationship Id="rId54" Type="http://schemas.openxmlformats.org/officeDocument/2006/relationships/hyperlink" Target="https://www.canlii.org/fr/qc/qcca/doc/2019/2019qcca1402/2019qcca1402.html?searchUrlHash=AAAAAQAUam91cm5ldCBnb2xmIGxpcmV0dGUAAAAAAQ&amp;resultIndex=2" TargetMode="External"/><Relationship Id="rId62" Type="http://schemas.openxmlformats.org/officeDocument/2006/relationships/hyperlink" Target="https://www.canlii.org/en/on/onca/doc/2019/2019onca840/2019onca840.html?autocompleteStr=2019%20ONCA%20840&amp;autocompletePos=1" TargetMode="External"/><Relationship Id="rId70" Type="http://schemas.openxmlformats.org/officeDocument/2006/relationships/hyperlink" Target="https://www.canlii.org/fr/qc/qcca/doc/2019/2019qcca1416/2019qcca1416.html?autocompleteStr=500-10-005072-12&amp;autocompletePos=2" TargetMode="External"/><Relationship Id="rId75" Type="http://schemas.openxmlformats.org/officeDocument/2006/relationships/hyperlink" Target="https://www.canlii.org/en/on/onsc/doc/2018/2018onsc4245/2018onsc4245.html?autocompleteStr=2018%20ONSC%204245&amp;autocompletePos=1" TargetMode="External"/><Relationship Id="rId83" Type="http://schemas.openxmlformats.org/officeDocument/2006/relationships/footer" Target="footer1.xml"/><Relationship Id="rId88" Type="http://schemas.openxmlformats.org/officeDocument/2006/relationships/header" Target="header5.xml"/><Relationship Id="rId91" Type="http://schemas.openxmlformats.org/officeDocument/2006/relationships/header" Target="header6.xml"/><Relationship Id="rId9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s/doc/2019/2019qccs463/2019qccs463.html?autocompleteStr=2019%20qccs%20463&amp;autocompletePos=1" TargetMode="External"/><Relationship Id="rId23" Type="http://schemas.openxmlformats.org/officeDocument/2006/relationships/hyperlink" Target="https://www.canlii.org/fr/qc/qccs/doc/2016/2016qccs6302/2016qccs6302.html?autocompleteStr=2016%20qccs%206302&amp;autocompletePos=1" TargetMode="External"/><Relationship Id="rId28" Type="http://schemas.openxmlformats.org/officeDocument/2006/relationships/hyperlink" Target="https://www.canlii.org/fr/qc/qcca/doc/2019/2019canlii83234/2019canlii83234.pdf" TargetMode="External"/><Relationship Id="rId36" Type="http://schemas.openxmlformats.org/officeDocument/2006/relationships/hyperlink" Target="https://www.canlii.org/fr/qc/qcca/doc/2019/2019qcca2145/2019qcca2145.html" TargetMode="External"/><Relationship Id="rId49" Type="http://schemas.openxmlformats.org/officeDocument/2006/relationships/hyperlink" Target="https://www.canlii.org/en/on/onca/doc/2019/2019onca708/2019onca708.html?searchUrlHash=AAAAAQANMjAxOSBPTkNBIDcwOAAAAAAB&amp;resultIndex=1" TargetMode="External"/><Relationship Id="rId57" Type="http://schemas.openxmlformats.org/officeDocument/2006/relationships/hyperlink" Target="https://www.canlii.org/fr/qc/qccs/doc/2019/2019qccs3189/2019qccs3189.html" TargetMode="External"/><Relationship Id="rId10" Type="http://schemas.openxmlformats.org/officeDocument/2006/relationships/hyperlink" Target="https://www.scc-csc.ca" TargetMode="External"/><Relationship Id="rId31" Type="http://schemas.openxmlformats.org/officeDocument/2006/relationships/hyperlink" Target="http://canlii.ca/t/gv8nq" TargetMode="External"/><Relationship Id="rId44" Type="http://schemas.openxmlformats.org/officeDocument/2006/relationships/hyperlink" Target="http://c-doc.domain.scc-csc.gc.ca/L25/01/05/%3c%3e" TargetMode="External"/><Relationship Id="rId52" Type="http://schemas.openxmlformats.org/officeDocument/2006/relationships/hyperlink" Target="https://www.canlii.org/fr/qc/qcca/doc/2019/2019qcca1402/2019qcca1402.html?searchUrlHash=AAAAAQAUam91cm5ldCBnb2xmIGxpcmV0dGUAAAAAAQ&amp;resultIndex=2" TargetMode="External"/><Relationship Id="rId60" Type="http://schemas.openxmlformats.org/officeDocument/2006/relationships/hyperlink" Target="https://www.canlii.org/en/on/onca/doc/2019/2019onca840/2019onca840.html?autocompleteStr=2019%20ONCA%20840&amp;autocompletePos=1" TargetMode="External"/><Relationship Id="rId65" Type="http://schemas.openxmlformats.org/officeDocument/2006/relationships/hyperlink" Target="https://www.canlii.org/en/on/onsc/doc/2018/2018onsc2297/2018onsc2297.html" TargetMode="External"/><Relationship Id="rId73" Type="http://schemas.openxmlformats.org/officeDocument/2006/relationships/hyperlink" Target="https://www.canlii.org/en/on/onsc/doc/2018/2018onsc4245/2018onsc4245.html?autocompleteStr=2018%20ONSC%204245&amp;autocompletePos=1" TargetMode="External"/><Relationship Id="rId78" Type="http://schemas.openxmlformats.org/officeDocument/2006/relationships/hyperlink" Target="https://www.canlii.org/en/on/onca/doc/2019/2019onca735/2019onca735.html?autocompleteStr=2019%20ONCA%20735&amp;autocompletePos=1" TargetMode="External"/><Relationship Id="rId81" Type="http://schemas.openxmlformats.org/officeDocument/2006/relationships/header" Target="header1.xml"/><Relationship Id="rId86" Type="http://schemas.openxmlformats.org/officeDocument/2006/relationships/footer" Target="footer3.xml"/><Relationship Id="rId94" Type="http://schemas.openxmlformats.org/officeDocument/2006/relationships/header" Target="header8.xml"/><Relationship Id="rId99" Type="http://schemas.openxmlformats.org/officeDocument/2006/relationships/header" Target="header10.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yperlink" Target="https://www.canlii.org/fr/qc/qcca/doc/2019/2019qcca719/2019qcca719.html?autocompleteStr=2019%20qcca%20719&amp;autocompletePos=1" TargetMode="External"/><Relationship Id="rId18" Type="http://schemas.openxmlformats.org/officeDocument/2006/relationships/hyperlink" Target="https://www.canlii.org/fr/qc/qcca/doc/2019/2019qcca1106/2019qcca1106.html?autocompleteStr=2019%20qcca%201106&amp;autocompletePos=1" TargetMode="External"/><Relationship Id="rId39" Type="http://schemas.openxmlformats.org/officeDocument/2006/relationships/hyperlink" Target="https://www.canlii.org/en/on/onscdc/doc/2018/2018onsc901/2018onsc901.html?autocompleteStr=2018%20ONSC%20901&amp;autocompletePo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F66C8-73FD-483D-BC90-617C5298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46</Pages>
  <Words>20845</Words>
  <Characters>118821</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2020-04-06T15:11:00Z</dcterms:created>
  <dcterms:modified xsi:type="dcterms:W3CDTF">2020-04-21T12:37:00Z</dcterms:modified>
</cp:coreProperties>
</file>