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AE14EC" w:rsidRDefault="002A192B" w:rsidP="002A192B">
      <w:pPr>
        <w:pStyle w:val="Header"/>
        <w:jc w:val="center"/>
        <w:rPr>
          <w:b/>
          <w:sz w:val="32"/>
        </w:rPr>
      </w:pPr>
      <w:r w:rsidRPr="00AE14EC">
        <w:rPr>
          <w:b/>
          <w:sz w:val="32"/>
        </w:rPr>
        <w:t>Supreme Court of Canada / Cour suprême du Canada</w:t>
      </w:r>
    </w:p>
    <w:p w:rsidR="002A192B" w:rsidRPr="00AE14EC" w:rsidRDefault="002A192B" w:rsidP="002A192B">
      <w:pPr>
        <w:widowControl w:val="0"/>
        <w:rPr>
          <w:i/>
        </w:rPr>
      </w:pPr>
    </w:p>
    <w:p w:rsidR="002A192B" w:rsidRPr="00AE14EC" w:rsidRDefault="002A192B" w:rsidP="002A192B">
      <w:pPr>
        <w:widowControl w:val="0"/>
        <w:rPr>
          <w:i/>
        </w:rPr>
      </w:pPr>
    </w:p>
    <w:p w:rsidR="001C4415" w:rsidRPr="00AE14EC" w:rsidRDefault="001C4415" w:rsidP="001C4415">
      <w:pPr>
        <w:widowControl w:val="0"/>
        <w:rPr>
          <w:i/>
          <w:sz w:val="20"/>
        </w:rPr>
      </w:pPr>
      <w:r w:rsidRPr="00AE14EC">
        <w:rPr>
          <w:i/>
          <w:sz w:val="20"/>
        </w:rPr>
        <w:t>(</w:t>
      </w:r>
      <w:r w:rsidR="003C50BF" w:rsidRPr="00AE14EC">
        <w:rPr>
          <w:i/>
          <w:sz w:val="20"/>
        </w:rPr>
        <w:t>Le</w:t>
      </w:r>
      <w:r w:rsidRPr="00AE14EC">
        <w:rPr>
          <w:i/>
          <w:sz w:val="20"/>
        </w:rPr>
        <w:t xml:space="preserve"> français suit)</w:t>
      </w:r>
    </w:p>
    <w:p w:rsidR="001C4415" w:rsidRPr="00AE14EC" w:rsidRDefault="001C4415" w:rsidP="001C4415">
      <w:pPr>
        <w:widowControl w:val="0"/>
      </w:pPr>
    </w:p>
    <w:p w:rsidR="001C4415" w:rsidRPr="00AE14EC" w:rsidRDefault="000347C1" w:rsidP="00214729">
      <w:pPr>
        <w:widowControl w:val="0"/>
        <w:jc w:val="center"/>
        <w:rPr>
          <w:b/>
        </w:rPr>
      </w:pPr>
      <w:r w:rsidRPr="00AE14EC">
        <w:fldChar w:fldCharType="begin"/>
      </w:r>
      <w:r w:rsidR="00FA7412" w:rsidRPr="00AE14EC">
        <w:instrText xml:space="preserve"> SEQ CHAPTER \h \r 1</w:instrText>
      </w:r>
      <w:r w:rsidRPr="00AE14EC">
        <w:fldChar w:fldCharType="end"/>
      </w:r>
      <w:r w:rsidR="00455BB9" w:rsidRPr="00AE14EC">
        <w:rPr>
          <w:b/>
        </w:rPr>
        <w:t>JUDGMENT</w:t>
      </w:r>
      <w:r w:rsidR="00FA7412" w:rsidRPr="00AE14EC">
        <w:rPr>
          <w:b/>
        </w:rPr>
        <w:t xml:space="preserve"> TO BE RENDERED </w:t>
      </w:r>
      <w:r w:rsidR="00E43F22" w:rsidRPr="00AE14EC">
        <w:rPr>
          <w:b/>
        </w:rPr>
        <w:t>O</w:t>
      </w:r>
      <w:r w:rsidR="00FA7412" w:rsidRPr="00AE14EC">
        <w:rPr>
          <w:b/>
        </w:rPr>
        <w:t>N APPEA</w:t>
      </w:r>
      <w:r w:rsidR="00CC2799" w:rsidRPr="00AE14EC">
        <w:rPr>
          <w:b/>
        </w:rPr>
        <w:t>L</w:t>
      </w:r>
    </w:p>
    <w:p w:rsidR="005A7C1B" w:rsidRPr="00AE14EC" w:rsidRDefault="005A7C1B" w:rsidP="005A7C1B">
      <w:pPr>
        <w:widowControl w:val="0"/>
      </w:pPr>
    </w:p>
    <w:p w:rsidR="00EC79B0" w:rsidRPr="00AE14EC" w:rsidRDefault="00C43B65" w:rsidP="00EC79B0">
      <w:pPr>
        <w:widowControl w:val="0"/>
      </w:pPr>
      <w:r w:rsidRPr="00AE14EC">
        <w:rPr>
          <w:b/>
        </w:rPr>
        <w:t>April</w:t>
      </w:r>
      <w:r w:rsidR="00C86395" w:rsidRPr="00AE14EC">
        <w:rPr>
          <w:b/>
        </w:rPr>
        <w:t xml:space="preserve"> </w:t>
      </w:r>
      <w:r w:rsidR="00A63EE4" w:rsidRPr="00AE14EC">
        <w:rPr>
          <w:b/>
        </w:rPr>
        <w:t>1</w:t>
      </w:r>
      <w:r w:rsidR="002D1B72">
        <w:rPr>
          <w:b/>
        </w:rPr>
        <w:t>6</w:t>
      </w:r>
      <w:r w:rsidR="00EC79B0" w:rsidRPr="00AE14EC">
        <w:rPr>
          <w:b/>
        </w:rPr>
        <w:t>, 2</w:t>
      </w:r>
      <w:r w:rsidR="00E6600C" w:rsidRPr="00AE14EC">
        <w:rPr>
          <w:b/>
        </w:rPr>
        <w:t>0</w:t>
      </w:r>
      <w:r w:rsidR="009544E9" w:rsidRPr="00AE14EC">
        <w:rPr>
          <w:b/>
        </w:rPr>
        <w:t>2</w:t>
      </w:r>
      <w:r w:rsidR="0049454A" w:rsidRPr="00AE14EC">
        <w:rPr>
          <w:b/>
        </w:rPr>
        <w:t>4</w:t>
      </w:r>
    </w:p>
    <w:p w:rsidR="00EC79B0" w:rsidRPr="00AE14EC" w:rsidRDefault="00EC79B0" w:rsidP="00EC79B0">
      <w:pPr>
        <w:widowControl w:val="0"/>
      </w:pPr>
    </w:p>
    <w:p w:rsidR="00EC79B0" w:rsidRPr="00AE14EC" w:rsidRDefault="00EC79B0" w:rsidP="00EC79B0">
      <w:pPr>
        <w:widowControl w:val="0"/>
      </w:pPr>
      <w:r w:rsidRPr="00AE14EC">
        <w:rPr>
          <w:b/>
        </w:rPr>
        <w:t>OTTAWA</w:t>
      </w:r>
      <w:r w:rsidRPr="00AE14EC">
        <w:t xml:space="preserve"> – </w:t>
      </w:r>
      <w:r w:rsidR="0095505F" w:rsidRPr="00AE14EC">
        <w:t xml:space="preserve">The Supreme Court of Canada will deliver its judgment on the following appeal at 9:45 a.m. ET on </w:t>
      </w:r>
      <w:r w:rsidR="002915B5" w:rsidRPr="00AE14EC">
        <w:t>Friday</w:t>
      </w:r>
      <w:r w:rsidR="0095505F" w:rsidRPr="00AE14EC">
        <w:t xml:space="preserve">, </w:t>
      </w:r>
      <w:r w:rsidR="002915B5" w:rsidRPr="00AE14EC">
        <w:t>April</w:t>
      </w:r>
      <w:r w:rsidR="0095505F" w:rsidRPr="00AE14EC">
        <w:t xml:space="preserve"> </w:t>
      </w:r>
      <w:r w:rsidR="00C43B65" w:rsidRPr="00AE14EC">
        <w:t>1</w:t>
      </w:r>
      <w:r w:rsidR="00A63EE4" w:rsidRPr="00AE14EC">
        <w:t>9</w:t>
      </w:r>
      <w:r w:rsidR="0095505F" w:rsidRPr="00AE14EC">
        <w:t>, 202</w:t>
      </w:r>
      <w:r w:rsidR="0049454A" w:rsidRPr="00AE14EC">
        <w:t>4</w:t>
      </w:r>
      <w:r w:rsidR="0095505F" w:rsidRPr="00AE14EC">
        <w:t>.</w:t>
      </w:r>
    </w:p>
    <w:p w:rsidR="001F76DD" w:rsidRPr="00AE14EC" w:rsidRDefault="001F76DD" w:rsidP="001C4415">
      <w:pPr>
        <w:widowControl w:val="0"/>
        <w:rPr>
          <w:szCs w:val="24"/>
        </w:rPr>
      </w:pPr>
    </w:p>
    <w:p w:rsidR="00A97E61" w:rsidRPr="00AE14EC" w:rsidRDefault="00A97E61" w:rsidP="001C4415">
      <w:pPr>
        <w:widowControl w:val="0"/>
        <w:rPr>
          <w:szCs w:val="24"/>
        </w:rPr>
      </w:pPr>
    </w:p>
    <w:p w:rsidR="00A97E61" w:rsidRPr="00AE14EC" w:rsidRDefault="004874F7" w:rsidP="00A97E61">
      <w:pPr>
        <w:jc w:val="both"/>
        <w:rPr>
          <w:szCs w:val="24"/>
        </w:rPr>
      </w:pPr>
      <w:r w:rsidRPr="00AE14EC">
        <w:rPr>
          <w:i/>
          <w:szCs w:val="24"/>
        </w:rPr>
        <w:t>Société des casinos du Québec inc., et al. v. Association des cadres de la Société des casinos du Québec, et al.</w:t>
      </w:r>
      <w:r w:rsidR="00046AF2" w:rsidRPr="00AE14EC">
        <w:rPr>
          <w:i/>
          <w:szCs w:val="24"/>
        </w:rPr>
        <w:t xml:space="preserve"> </w:t>
      </w:r>
      <w:r w:rsidR="00A97E61" w:rsidRPr="00AE14EC">
        <w:rPr>
          <w:szCs w:val="24"/>
        </w:rPr>
        <w:t>(</w:t>
      </w:r>
      <w:r w:rsidR="002915B5" w:rsidRPr="00AE14EC">
        <w:rPr>
          <w:szCs w:val="24"/>
        </w:rPr>
        <w:t>Que</w:t>
      </w:r>
      <w:r w:rsidR="00A97E61" w:rsidRPr="00AE14EC">
        <w:rPr>
          <w:szCs w:val="24"/>
        </w:rPr>
        <w:t xml:space="preserve">.) </w:t>
      </w:r>
      <w:r w:rsidR="00A97E61" w:rsidRPr="00AE14EC">
        <w:t>(</w:t>
      </w:r>
      <w:hyperlink r:id="rId7" w:history="1">
        <w:r w:rsidR="002915B5" w:rsidRPr="00AE14EC">
          <w:rPr>
            <w:rStyle w:val="Hyperlink"/>
          </w:rPr>
          <w:t>4</w:t>
        </w:r>
        <w:r w:rsidR="008E3E95" w:rsidRPr="00AE14EC">
          <w:rPr>
            <w:rStyle w:val="Hyperlink"/>
          </w:rPr>
          <w:t>01</w:t>
        </w:r>
        <w:r w:rsidRPr="00AE14EC">
          <w:rPr>
            <w:rStyle w:val="Hyperlink"/>
          </w:rPr>
          <w:t>2</w:t>
        </w:r>
        <w:r w:rsidR="002915B5" w:rsidRPr="00AE14EC">
          <w:rPr>
            <w:rStyle w:val="Hyperlink"/>
          </w:rPr>
          <w:t>3</w:t>
        </w:r>
      </w:hyperlink>
      <w:r w:rsidR="00A97E61" w:rsidRPr="00AE14EC">
        <w:t>)</w:t>
      </w:r>
    </w:p>
    <w:p w:rsidR="00A97E61" w:rsidRPr="00AE14EC" w:rsidRDefault="00A97E61" w:rsidP="00AC11A6">
      <w:pPr>
        <w:widowControl w:val="0"/>
        <w:jc w:val="both"/>
        <w:rPr>
          <w:sz w:val="20"/>
        </w:rPr>
      </w:pPr>
    </w:p>
    <w:p w:rsidR="004874F7" w:rsidRPr="00AE14EC" w:rsidRDefault="004874F7" w:rsidP="004874F7">
      <w:pPr>
        <w:pStyle w:val="SCCLsocParty"/>
        <w:rPr>
          <w:b/>
          <w:i w:val="0"/>
          <w:sz w:val="20"/>
          <w:szCs w:val="20"/>
        </w:rPr>
      </w:pPr>
      <w:r w:rsidRPr="00AE14EC">
        <w:rPr>
          <w:rStyle w:val="SCCFileNumberChar"/>
          <w:i w:val="0"/>
          <w:sz w:val="20"/>
          <w:szCs w:val="20"/>
        </w:rPr>
        <w:t>40123</w:t>
      </w:r>
      <w:r w:rsidRPr="00AE14EC">
        <w:rPr>
          <w:rStyle w:val="SCCFileNumberChar"/>
          <w:i w:val="0"/>
          <w:sz w:val="20"/>
          <w:szCs w:val="20"/>
        </w:rPr>
        <w:tab/>
      </w:r>
      <w:r w:rsidRPr="00AE14EC">
        <w:rPr>
          <w:b/>
          <w:sz w:val="20"/>
          <w:szCs w:val="20"/>
        </w:rPr>
        <w:t>Société des casinos du Québec inc. v. Association des cadres de la Société des casinos du Québec</w:t>
      </w:r>
    </w:p>
    <w:p w:rsidR="004874F7" w:rsidRPr="00AE14EC" w:rsidRDefault="004874F7" w:rsidP="004874F7">
      <w:pPr>
        <w:pStyle w:val="SCCLsocOtherPartySeparator"/>
        <w:ind w:left="360" w:firstLine="360"/>
        <w:rPr>
          <w:rFonts w:cs="Times New Roman"/>
          <w:i/>
          <w:sz w:val="20"/>
          <w:szCs w:val="20"/>
          <w:lang w:val="en-CA"/>
        </w:rPr>
      </w:pPr>
      <w:r w:rsidRPr="00AE14EC">
        <w:rPr>
          <w:rFonts w:cs="Times New Roman"/>
          <w:i/>
          <w:sz w:val="20"/>
          <w:szCs w:val="20"/>
          <w:lang w:val="en-CA"/>
        </w:rPr>
        <w:t xml:space="preserve">- </w:t>
      </w:r>
      <w:proofErr w:type="gramStart"/>
      <w:r w:rsidRPr="00AE14EC">
        <w:rPr>
          <w:rFonts w:cs="Times New Roman"/>
          <w:i/>
          <w:sz w:val="20"/>
          <w:szCs w:val="20"/>
          <w:lang w:val="en-CA"/>
        </w:rPr>
        <w:t>and</w:t>
      </w:r>
      <w:proofErr w:type="gramEnd"/>
      <w:r w:rsidRPr="00AE14EC">
        <w:rPr>
          <w:rFonts w:cs="Times New Roman"/>
          <w:i/>
          <w:sz w:val="20"/>
          <w:szCs w:val="20"/>
          <w:lang w:val="en-CA"/>
        </w:rPr>
        <w:t xml:space="preserve"> -</w:t>
      </w:r>
    </w:p>
    <w:p w:rsidR="004874F7" w:rsidRPr="00AE14EC" w:rsidRDefault="004874F7" w:rsidP="004874F7">
      <w:pPr>
        <w:pStyle w:val="SCCLsocParty"/>
        <w:ind w:left="720"/>
        <w:rPr>
          <w:b/>
          <w:i w:val="0"/>
          <w:sz w:val="20"/>
          <w:szCs w:val="20"/>
          <w:lang w:val="en-CA"/>
        </w:rPr>
      </w:pPr>
      <w:r w:rsidRPr="00AE14EC">
        <w:rPr>
          <w:b/>
          <w:sz w:val="20"/>
          <w:szCs w:val="20"/>
          <w:lang w:val="en-CA"/>
        </w:rPr>
        <w:t>Administrative Labour Tribunal, Attorney General of Quebec, Attorney General of Canada, Attorney General of Ontario and Attorney General of Alberta</w:t>
      </w:r>
    </w:p>
    <w:p w:rsidR="004874F7" w:rsidRPr="00AE14EC" w:rsidRDefault="004874F7" w:rsidP="004874F7">
      <w:pPr>
        <w:pStyle w:val="SCCLsocSubfileSeparator"/>
        <w:ind w:left="360" w:firstLine="360"/>
        <w:rPr>
          <w:i/>
          <w:sz w:val="20"/>
          <w:szCs w:val="20"/>
        </w:rPr>
      </w:pPr>
      <w:r w:rsidRPr="00AE14EC">
        <w:rPr>
          <w:i/>
          <w:sz w:val="20"/>
          <w:szCs w:val="20"/>
        </w:rPr>
        <w:t>- and between -</w:t>
      </w:r>
    </w:p>
    <w:p w:rsidR="004874F7" w:rsidRPr="00AE14EC" w:rsidRDefault="004874F7" w:rsidP="004874F7">
      <w:pPr>
        <w:pStyle w:val="SCCLsocParty"/>
        <w:ind w:left="360" w:firstLine="360"/>
        <w:rPr>
          <w:b/>
          <w:i w:val="0"/>
          <w:sz w:val="20"/>
          <w:szCs w:val="20"/>
        </w:rPr>
      </w:pPr>
      <w:r w:rsidRPr="00AE14EC">
        <w:rPr>
          <w:b/>
          <w:sz w:val="20"/>
          <w:szCs w:val="20"/>
        </w:rPr>
        <w:t>Attorney General of Quebec v. Association des cadres de la Société des casinos du Québec</w:t>
      </w:r>
    </w:p>
    <w:p w:rsidR="004874F7" w:rsidRPr="00AE14EC" w:rsidRDefault="004874F7" w:rsidP="004874F7">
      <w:pPr>
        <w:pStyle w:val="SCCLsocOtherPartySeparator"/>
        <w:ind w:left="360" w:firstLine="360"/>
        <w:rPr>
          <w:rFonts w:cs="Times New Roman"/>
          <w:i/>
          <w:sz w:val="20"/>
          <w:szCs w:val="20"/>
          <w:lang w:val="en-CA"/>
        </w:rPr>
      </w:pPr>
      <w:r w:rsidRPr="00AE14EC">
        <w:rPr>
          <w:rFonts w:cs="Times New Roman"/>
          <w:i/>
          <w:sz w:val="20"/>
          <w:szCs w:val="20"/>
          <w:lang w:val="en-CA"/>
        </w:rPr>
        <w:t xml:space="preserve">- </w:t>
      </w:r>
      <w:proofErr w:type="gramStart"/>
      <w:r w:rsidRPr="00AE14EC">
        <w:rPr>
          <w:rFonts w:cs="Times New Roman"/>
          <w:i/>
          <w:sz w:val="20"/>
          <w:szCs w:val="20"/>
          <w:lang w:val="en-CA"/>
        </w:rPr>
        <w:t>and</w:t>
      </w:r>
      <w:proofErr w:type="gramEnd"/>
      <w:r w:rsidRPr="00AE14EC">
        <w:rPr>
          <w:rFonts w:cs="Times New Roman"/>
          <w:i/>
          <w:sz w:val="20"/>
          <w:szCs w:val="20"/>
          <w:lang w:val="en-CA"/>
        </w:rPr>
        <w:t xml:space="preserve"> -</w:t>
      </w:r>
    </w:p>
    <w:p w:rsidR="004874F7" w:rsidRPr="00AE14EC" w:rsidRDefault="004874F7" w:rsidP="004874F7">
      <w:pPr>
        <w:pStyle w:val="SCCLsocParty"/>
        <w:ind w:left="720"/>
        <w:rPr>
          <w:b/>
          <w:i w:val="0"/>
          <w:sz w:val="20"/>
          <w:szCs w:val="20"/>
          <w:lang w:val="en-CA"/>
        </w:rPr>
      </w:pPr>
      <w:r w:rsidRPr="00AE14EC">
        <w:rPr>
          <w:b/>
          <w:sz w:val="20"/>
          <w:szCs w:val="20"/>
          <w:lang w:val="en-CA"/>
        </w:rPr>
        <w:t>Administrative Labour Tribunal, Société des casinos du Québec inc., Attorney General of Canada, Attorney General of Ontario and Attorney General of Alberta</w:t>
      </w:r>
    </w:p>
    <w:p w:rsidR="004874F7" w:rsidRPr="00AE14EC" w:rsidRDefault="004874F7" w:rsidP="004874F7">
      <w:pPr>
        <w:widowControl w:val="0"/>
        <w:ind w:left="360" w:firstLine="360"/>
        <w:jc w:val="both"/>
        <w:rPr>
          <w:sz w:val="20"/>
        </w:rPr>
      </w:pPr>
      <w:r w:rsidRPr="00AE14EC">
        <w:rPr>
          <w:sz w:val="20"/>
          <w:lang w:val="en-CA"/>
        </w:rPr>
        <w:t>(Que.) (Civil) (By Leave)</w:t>
      </w:r>
    </w:p>
    <w:p w:rsidR="004874F7" w:rsidRPr="00AE14EC" w:rsidRDefault="004874F7" w:rsidP="00AC11A6">
      <w:pPr>
        <w:widowControl w:val="0"/>
        <w:jc w:val="both"/>
        <w:rPr>
          <w:sz w:val="20"/>
        </w:rPr>
      </w:pPr>
    </w:p>
    <w:p w:rsidR="004874F7" w:rsidRPr="00AE14EC" w:rsidRDefault="004874F7" w:rsidP="004874F7">
      <w:pPr>
        <w:widowControl w:val="0"/>
        <w:jc w:val="both"/>
        <w:rPr>
          <w:sz w:val="20"/>
        </w:rPr>
      </w:pPr>
      <w:r w:rsidRPr="00AE14EC">
        <w:rPr>
          <w:sz w:val="20"/>
          <w:lang w:val="en-CA"/>
        </w:rPr>
        <w:t xml:space="preserve">Charters of Rights ⸺ Freedom of association ⸺ Labour relations ⸺ Certification ⸺ Association of managers ⸺ Casino ⸺ Definition of employee in </w:t>
      </w:r>
      <w:r w:rsidRPr="00AE14EC">
        <w:rPr>
          <w:i/>
          <w:sz w:val="20"/>
          <w:lang w:val="en-CA"/>
        </w:rPr>
        <w:t>Labour Code</w:t>
      </w:r>
      <w:r w:rsidRPr="00AE14EC">
        <w:rPr>
          <w:sz w:val="20"/>
          <w:lang w:val="en-CA"/>
        </w:rPr>
        <w:t xml:space="preserve"> of province of Quebec ⸺ Whether s. 1(</w:t>
      </w:r>
      <w:r w:rsidRPr="00AE14EC">
        <w:rPr>
          <w:i/>
          <w:sz w:val="20"/>
          <w:lang w:val="en-CA"/>
        </w:rPr>
        <w:t>l</w:t>
      </w:r>
      <w:r w:rsidRPr="00AE14EC">
        <w:rPr>
          <w:sz w:val="20"/>
          <w:lang w:val="en-CA"/>
        </w:rPr>
        <w:t xml:space="preserve">)(1) of </w:t>
      </w:r>
      <w:r w:rsidRPr="00AE14EC">
        <w:rPr>
          <w:i/>
          <w:sz w:val="20"/>
          <w:lang w:val="en-CA"/>
        </w:rPr>
        <w:t>Labour Code</w:t>
      </w:r>
      <w:r w:rsidRPr="00AE14EC">
        <w:rPr>
          <w:sz w:val="20"/>
          <w:lang w:val="en-CA"/>
        </w:rPr>
        <w:t xml:space="preserve"> infringes s. 2(d) of </w:t>
      </w:r>
      <w:r w:rsidRPr="00AE14EC">
        <w:rPr>
          <w:i/>
          <w:sz w:val="20"/>
          <w:lang w:val="en-CA"/>
        </w:rPr>
        <w:t>Canadian Charter of Rights and Freedoms</w:t>
      </w:r>
      <w:r w:rsidRPr="00AE14EC">
        <w:rPr>
          <w:sz w:val="20"/>
          <w:lang w:val="en-CA"/>
        </w:rPr>
        <w:t xml:space="preserve"> and s. 3 of </w:t>
      </w:r>
      <w:r w:rsidRPr="00AE14EC">
        <w:rPr>
          <w:i/>
          <w:sz w:val="20"/>
          <w:lang w:val="en-CA"/>
        </w:rPr>
        <w:t>Charter of human rights and freedoms</w:t>
      </w:r>
      <w:r w:rsidRPr="00AE14EC">
        <w:rPr>
          <w:sz w:val="20"/>
          <w:lang w:val="en-CA"/>
        </w:rPr>
        <w:t>, CQLR, c. C-12 (</w:t>
      </w:r>
      <w:r w:rsidRPr="00AE14EC">
        <w:rPr>
          <w:i/>
          <w:sz w:val="20"/>
          <w:lang w:val="en-CA"/>
        </w:rPr>
        <w:t>Quebec Charter</w:t>
      </w:r>
      <w:r w:rsidRPr="00AE14EC">
        <w:rPr>
          <w:sz w:val="20"/>
          <w:lang w:val="en-CA"/>
        </w:rPr>
        <w:t xml:space="preserve">) ⸺ If so, whether infringement constitutes reasonable limit prescribed by law that can be demonstrably justified in free and democratic society within meaning of s. 1 of </w:t>
      </w:r>
      <w:r w:rsidRPr="00AE14EC">
        <w:rPr>
          <w:i/>
          <w:sz w:val="20"/>
          <w:lang w:val="en-CA"/>
        </w:rPr>
        <w:t>Canadian Charter</w:t>
      </w:r>
      <w:r w:rsidRPr="00AE14EC">
        <w:rPr>
          <w:sz w:val="20"/>
          <w:lang w:val="en-CA"/>
        </w:rPr>
        <w:t xml:space="preserve"> and s. 9.1 of </w:t>
      </w:r>
      <w:r w:rsidRPr="00AE14EC">
        <w:rPr>
          <w:i/>
          <w:sz w:val="20"/>
          <w:lang w:val="en-CA"/>
        </w:rPr>
        <w:t>Quebec Charter</w:t>
      </w:r>
      <w:r w:rsidRPr="00AE14EC">
        <w:rPr>
          <w:sz w:val="20"/>
          <w:lang w:val="en-CA"/>
        </w:rPr>
        <w:t xml:space="preserve"> ⸺ Whether reviewing court must defer to administrative tribunal’s findings of mixed fact and law where constitutional validity of statute is challenged ⸺ </w:t>
      </w:r>
      <w:r w:rsidRPr="00AE14EC">
        <w:rPr>
          <w:i/>
          <w:sz w:val="20"/>
          <w:lang w:val="en-CA"/>
        </w:rPr>
        <w:t xml:space="preserve">Labour </w:t>
      </w:r>
      <w:r w:rsidRPr="00AE14EC">
        <w:rPr>
          <w:bCs/>
          <w:i/>
          <w:color w:val="212529"/>
          <w:sz w:val="20"/>
          <w:lang w:val="en-CA"/>
        </w:rPr>
        <w:t>Code</w:t>
      </w:r>
      <w:r w:rsidRPr="00AE14EC">
        <w:rPr>
          <w:bCs/>
          <w:color w:val="212529"/>
          <w:sz w:val="20"/>
          <w:lang w:val="en-CA"/>
        </w:rPr>
        <w:t>, CQLR, c. C-27, s. 1(</w:t>
      </w:r>
      <w:r w:rsidRPr="00AE14EC">
        <w:rPr>
          <w:bCs/>
          <w:i/>
          <w:color w:val="212529"/>
          <w:sz w:val="20"/>
          <w:lang w:val="en-CA"/>
        </w:rPr>
        <w:t>l</w:t>
      </w:r>
      <w:r w:rsidRPr="00AE14EC">
        <w:rPr>
          <w:bCs/>
          <w:color w:val="212529"/>
          <w:sz w:val="20"/>
          <w:lang w:val="en-CA"/>
        </w:rPr>
        <w:t>)(1)</w:t>
      </w:r>
      <w:r w:rsidRPr="00AE14EC">
        <w:rPr>
          <w:sz w:val="20"/>
          <w:vertAlign w:val="superscript"/>
          <w:lang w:val="en-CA"/>
        </w:rPr>
        <w:t xml:space="preserve"> </w:t>
      </w:r>
      <w:r w:rsidRPr="00AE14EC">
        <w:rPr>
          <w:sz w:val="20"/>
          <w:lang w:val="en-CA"/>
        </w:rPr>
        <w:t xml:space="preserve">⸺ </w:t>
      </w:r>
      <w:r w:rsidRPr="00AE14EC">
        <w:rPr>
          <w:i/>
          <w:sz w:val="20"/>
          <w:lang w:val="en-CA"/>
        </w:rPr>
        <w:t>Canadian Charter of Rights and Freedoms</w:t>
      </w:r>
      <w:r w:rsidRPr="00AE14EC">
        <w:rPr>
          <w:sz w:val="20"/>
          <w:lang w:val="en-CA"/>
        </w:rPr>
        <w:t xml:space="preserve">, ss. 1, 2(d) ⸺ </w:t>
      </w:r>
      <w:r w:rsidRPr="00AE14EC">
        <w:rPr>
          <w:i/>
          <w:sz w:val="20"/>
          <w:lang w:val="en-CA"/>
        </w:rPr>
        <w:t>Charter of human rights and freedoms</w:t>
      </w:r>
      <w:r w:rsidRPr="00AE14EC">
        <w:rPr>
          <w:sz w:val="20"/>
          <w:lang w:val="en-CA"/>
        </w:rPr>
        <w:t>,</w:t>
      </w:r>
      <w:r w:rsidRPr="00AE14EC">
        <w:rPr>
          <w:i/>
          <w:sz w:val="20"/>
          <w:lang w:val="en-CA"/>
        </w:rPr>
        <w:t xml:space="preserve"> </w:t>
      </w:r>
      <w:r w:rsidRPr="00AE14EC">
        <w:rPr>
          <w:sz w:val="20"/>
          <w:lang w:val="en-CA"/>
        </w:rPr>
        <w:t>CQLR, c. C-12, ss. 3, 9.1.</w:t>
      </w:r>
    </w:p>
    <w:p w:rsidR="004874F7" w:rsidRPr="00AE14EC" w:rsidRDefault="004874F7" w:rsidP="00AC11A6">
      <w:pPr>
        <w:widowControl w:val="0"/>
        <w:jc w:val="both"/>
        <w:rPr>
          <w:sz w:val="20"/>
        </w:rPr>
      </w:pPr>
    </w:p>
    <w:p w:rsidR="004874F7" w:rsidRPr="00AE14EC" w:rsidRDefault="004874F7" w:rsidP="004874F7">
      <w:pPr>
        <w:jc w:val="both"/>
        <w:rPr>
          <w:sz w:val="20"/>
          <w:lang w:val="en-CA"/>
        </w:rPr>
      </w:pPr>
      <w:r w:rsidRPr="00AE14EC">
        <w:rPr>
          <w:sz w:val="20"/>
        </w:rPr>
        <w:t xml:space="preserve">The respondent, the Association des cadres de la Société des casinos du Québec (Association), was formed in 1997 under the </w:t>
      </w:r>
      <w:r w:rsidRPr="00AE14EC">
        <w:rPr>
          <w:i/>
          <w:sz w:val="20"/>
        </w:rPr>
        <w:t>Professional Syndicates Act</w:t>
      </w:r>
      <w:r w:rsidRPr="00AE14EC">
        <w:rPr>
          <w:sz w:val="20"/>
        </w:rPr>
        <w:t xml:space="preserve">, CQLR, c. S-40. </w:t>
      </w:r>
      <w:r w:rsidRPr="00AE14EC">
        <w:rPr>
          <w:sz w:val="20"/>
          <w:lang w:val="en-CA"/>
        </w:rPr>
        <w:t xml:space="preserve">Seventy percent of the operations supervisors assigned to the gaming tables at Casino de Montréal are members of the Association. The supervisors are the fifth level of management and are front-line managers at the appellant employer, Société des casinos du Québec inc. (Société). The Société is a subsidiary of the Société des loteries du Québec responsible for four casinos, including Casino de Montréal. Given that each casino’s operations are divided into three areas — gaming tables, slot machines and poker rooms — the Association’s members make up a majority of the supervisors in all three areas combined. Since its creation, the Association’s goal has been to secure recognition from the employer so that it can represent the supervisors and negotiate their conditions of employment. In November 2009, the Association filed a petition for certification with the Commission des relations du travail (which in 2016 became the Administrative Labour Tribunal (ALT)) under ss. 25 et seq. of the </w:t>
      </w:r>
      <w:r w:rsidRPr="00AE14EC">
        <w:rPr>
          <w:i/>
          <w:sz w:val="20"/>
          <w:lang w:val="en-CA"/>
        </w:rPr>
        <w:t>Labour Code</w:t>
      </w:r>
      <w:r w:rsidRPr="00AE14EC">
        <w:rPr>
          <w:sz w:val="20"/>
          <w:lang w:val="en-CA"/>
        </w:rPr>
        <w:t xml:space="preserve">, </w:t>
      </w:r>
      <w:r w:rsidRPr="00AE14EC">
        <w:rPr>
          <w:bCs/>
          <w:color w:val="212529"/>
          <w:sz w:val="20"/>
          <w:lang w:val="en-CA"/>
        </w:rPr>
        <w:t xml:space="preserve">CQLR, </w:t>
      </w:r>
      <w:proofErr w:type="gramStart"/>
      <w:r w:rsidRPr="00AE14EC">
        <w:rPr>
          <w:bCs/>
          <w:color w:val="212529"/>
          <w:sz w:val="20"/>
          <w:lang w:val="en-CA"/>
        </w:rPr>
        <w:t>c</w:t>
      </w:r>
      <w:proofErr w:type="gramEnd"/>
      <w:r w:rsidRPr="00AE14EC">
        <w:rPr>
          <w:bCs/>
          <w:color w:val="212529"/>
          <w:sz w:val="20"/>
          <w:lang w:val="en-CA"/>
        </w:rPr>
        <w:t>. C-27</w:t>
      </w:r>
      <w:r w:rsidRPr="00AE14EC">
        <w:rPr>
          <w:sz w:val="20"/>
          <w:lang w:val="en-CA"/>
        </w:rPr>
        <w:t>. The filing of that petition allegedly arose out of numerous failed attempts by the parties to negotiate changes to a memorandum of understanding entered into in 2001. In the petition, the Association also asked that the exclusion of managers from the definition of “employee” in s. 1(</w:t>
      </w:r>
      <w:r w:rsidRPr="00AE14EC">
        <w:rPr>
          <w:i/>
          <w:sz w:val="20"/>
          <w:lang w:val="en-CA"/>
        </w:rPr>
        <w:t>l</w:t>
      </w:r>
      <w:proofErr w:type="gramStart"/>
      <w:r w:rsidRPr="00AE14EC">
        <w:rPr>
          <w:sz w:val="20"/>
          <w:lang w:val="en-CA"/>
        </w:rPr>
        <w:t>)(</w:t>
      </w:r>
      <w:proofErr w:type="gramEnd"/>
      <w:r w:rsidRPr="00AE14EC">
        <w:rPr>
          <w:sz w:val="20"/>
          <w:lang w:val="en-CA"/>
        </w:rPr>
        <w:t xml:space="preserve">1) of the </w:t>
      </w:r>
      <w:r w:rsidRPr="00AE14EC">
        <w:rPr>
          <w:i/>
          <w:sz w:val="20"/>
          <w:lang w:val="en-CA"/>
        </w:rPr>
        <w:t xml:space="preserve">Labour Code </w:t>
      </w:r>
      <w:r w:rsidRPr="00AE14EC">
        <w:rPr>
          <w:sz w:val="20"/>
          <w:lang w:val="en-CA"/>
        </w:rPr>
        <w:t xml:space="preserve">be declared constitutionally inoperable against the Association and its members on the ground that the provision infringed the freedom of association guaranteed in s. 2(d) of the </w:t>
      </w:r>
      <w:r w:rsidRPr="00AE14EC">
        <w:rPr>
          <w:i/>
          <w:sz w:val="20"/>
          <w:lang w:val="en-CA"/>
        </w:rPr>
        <w:t>Canadian Charter</w:t>
      </w:r>
      <w:r w:rsidRPr="00AE14EC">
        <w:rPr>
          <w:sz w:val="20"/>
          <w:lang w:val="en-CA"/>
        </w:rPr>
        <w:t xml:space="preserve"> and s. 3 of the </w:t>
      </w:r>
      <w:r w:rsidRPr="00AE14EC">
        <w:rPr>
          <w:i/>
          <w:sz w:val="20"/>
          <w:lang w:val="en-CA"/>
        </w:rPr>
        <w:t>Charter of human rights and freedoms</w:t>
      </w:r>
      <w:r w:rsidRPr="00AE14EC">
        <w:rPr>
          <w:sz w:val="20"/>
          <w:lang w:val="en-CA"/>
        </w:rPr>
        <w:t>,</w:t>
      </w:r>
      <w:r w:rsidRPr="00AE14EC">
        <w:rPr>
          <w:i/>
          <w:sz w:val="20"/>
          <w:lang w:val="en-CA"/>
        </w:rPr>
        <w:t xml:space="preserve"> </w:t>
      </w:r>
      <w:r w:rsidRPr="00AE14EC">
        <w:rPr>
          <w:sz w:val="20"/>
          <w:lang w:val="en-CA"/>
        </w:rPr>
        <w:t>CQLR, c. C-12 (</w:t>
      </w:r>
      <w:r w:rsidRPr="00AE14EC">
        <w:rPr>
          <w:i/>
          <w:sz w:val="20"/>
          <w:lang w:val="en-CA"/>
        </w:rPr>
        <w:t>Quebec Charter</w:t>
      </w:r>
      <w:r w:rsidRPr="00AE14EC">
        <w:rPr>
          <w:sz w:val="20"/>
          <w:lang w:val="en-CA"/>
        </w:rPr>
        <w:t>). The ALT declared that s. 1(</w:t>
      </w:r>
      <w:r w:rsidRPr="00AE14EC">
        <w:rPr>
          <w:i/>
          <w:sz w:val="20"/>
          <w:lang w:val="en-CA"/>
        </w:rPr>
        <w:t>l</w:t>
      </w:r>
      <w:proofErr w:type="gramStart"/>
      <w:r w:rsidRPr="00AE14EC">
        <w:rPr>
          <w:sz w:val="20"/>
          <w:lang w:val="en-CA"/>
        </w:rPr>
        <w:t>)(</w:t>
      </w:r>
      <w:proofErr w:type="gramEnd"/>
      <w:r w:rsidRPr="00AE14EC">
        <w:rPr>
          <w:sz w:val="20"/>
          <w:lang w:val="en-CA"/>
        </w:rPr>
        <w:t xml:space="preserve">1) infringed the freedom of association guaranteed by the two charters to the persons covered by the Association’s petition for certification and that the section was of no force or effect in the context of the petition. </w:t>
      </w:r>
    </w:p>
    <w:p w:rsidR="004874F7" w:rsidRPr="00AE14EC" w:rsidRDefault="004874F7" w:rsidP="004874F7">
      <w:pPr>
        <w:jc w:val="both"/>
        <w:rPr>
          <w:sz w:val="20"/>
          <w:lang w:val="en-CA"/>
        </w:rPr>
      </w:pPr>
    </w:p>
    <w:p w:rsidR="004874F7" w:rsidRPr="00AE14EC" w:rsidRDefault="004874F7" w:rsidP="004874F7">
      <w:pPr>
        <w:widowControl w:val="0"/>
        <w:jc w:val="both"/>
        <w:rPr>
          <w:sz w:val="20"/>
        </w:rPr>
      </w:pPr>
      <w:r w:rsidRPr="00AE14EC">
        <w:rPr>
          <w:sz w:val="20"/>
          <w:lang w:val="en-CA"/>
        </w:rPr>
        <w:t xml:space="preserve">The Superior Court allowed the application for judicial review filed by the Société, and the Court of Appeal allowed </w:t>
      </w:r>
      <w:r w:rsidRPr="00AE14EC">
        <w:rPr>
          <w:sz w:val="20"/>
          <w:lang w:val="en-CA"/>
        </w:rPr>
        <w:lastRenderedPageBreak/>
        <w:t>the Association’s appeal.</w:t>
      </w:r>
    </w:p>
    <w:p w:rsidR="004874F7" w:rsidRPr="00AE14EC" w:rsidRDefault="004874F7" w:rsidP="001C4415">
      <w:pPr>
        <w:widowControl w:val="0"/>
        <w:rPr>
          <w:szCs w:val="24"/>
        </w:rPr>
      </w:pPr>
    </w:p>
    <w:p w:rsidR="004874F7" w:rsidRPr="00AE14EC" w:rsidRDefault="004874F7" w:rsidP="001C4415">
      <w:pPr>
        <w:widowControl w:val="0"/>
        <w:rPr>
          <w:szCs w:val="24"/>
        </w:rPr>
      </w:pPr>
    </w:p>
    <w:p w:rsidR="00A97E61" w:rsidRPr="00AE14EC" w:rsidRDefault="002D1B72" w:rsidP="001C4415">
      <w:pPr>
        <w:widowControl w:val="0"/>
        <w:rPr>
          <w:szCs w:val="24"/>
          <w:lang w:val="fr-CA"/>
        </w:rPr>
      </w:pPr>
      <w:r>
        <w:rPr>
          <w:sz w:val="18"/>
          <w:szCs w:val="18"/>
        </w:rPr>
        <w:pict>
          <v:rect id="_x0000_i1025" style="width:272.25pt;height:1.5pt" o:hrpct="0" o:hralign="center" o:hrstd="t" o:hrnoshade="t" o:hr="t" fillcolor="black [3213]" stroked="f"/>
        </w:pict>
      </w:r>
    </w:p>
    <w:p w:rsidR="00A97E61" w:rsidRPr="00AE14EC" w:rsidRDefault="00A97E61" w:rsidP="001C4415">
      <w:pPr>
        <w:widowControl w:val="0"/>
        <w:rPr>
          <w:szCs w:val="24"/>
          <w:lang w:val="fr-CA"/>
        </w:rPr>
      </w:pPr>
    </w:p>
    <w:p w:rsidR="001C4415" w:rsidRPr="00AE14EC" w:rsidRDefault="001C4415" w:rsidP="001C4415">
      <w:pPr>
        <w:widowControl w:val="0"/>
        <w:rPr>
          <w:lang w:val="fr-CA"/>
        </w:rPr>
      </w:pPr>
    </w:p>
    <w:p w:rsidR="001335A1" w:rsidRPr="00AE14EC" w:rsidRDefault="001335A1" w:rsidP="001335A1">
      <w:pPr>
        <w:widowControl w:val="0"/>
        <w:jc w:val="center"/>
        <w:rPr>
          <w:b/>
          <w:lang w:val="fr-CA"/>
        </w:rPr>
      </w:pPr>
      <w:r w:rsidRPr="00AE14EC">
        <w:rPr>
          <w:b/>
          <w:lang w:val="fr-CA"/>
        </w:rPr>
        <w:t>PROCHAIN JUGEMENT</w:t>
      </w:r>
      <w:r w:rsidR="00455BB9" w:rsidRPr="00AE14EC">
        <w:rPr>
          <w:b/>
          <w:lang w:val="fr-CA"/>
        </w:rPr>
        <w:t xml:space="preserve"> SUR APPEL</w:t>
      </w:r>
    </w:p>
    <w:p w:rsidR="001335A1" w:rsidRPr="00AE14EC" w:rsidRDefault="001335A1" w:rsidP="001335A1">
      <w:pPr>
        <w:widowControl w:val="0"/>
        <w:rPr>
          <w:lang w:val="fr-CA"/>
        </w:rPr>
      </w:pPr>
    </w:p>
    <w:p w:rsidR="00EC79B0" w:rsidRPr="00AE14EC" w:rsidRDefault="00EC79B0" w:rsidP="00EC79B0">
      <w:pPr>
        <w:widowControl w:val="0"/>
        <w:rPr>
          <w:lang w:val="fr-CA"/>
        </w:rPr>
      </w:pPr>
      <w:r w:rsidRPr="00AE14EC">
        <w:rPr>
          <w:b/>
          <w:lang w:val="fr-CA"/>
        </w:rPr>
        <w:t xml:space="preserve">Le </w:t>
      </w:r>
      <w:r w:rsidR="00A63EE4" w:rsidRPr="00AE14EC">
        <w:rPr>
          <w:b/>
          <w:lang w:val="fr-CA"/>
        </w:rPr>
        <w:t>1</w:t>
      </w:r>
      <w:r w:rsidR="002D1B72">
        <w:rPr>
          <w:b/>
          <w:lang w:val="fr-CA"/>
        </w:rPr>
        <w:t>6</w:t>
      </w:r>
      <w:bookmarkStart w:id="0" w:name="_GoBack"/>
      <w:bookmarkEnd w:id="0"/>
      <w:r w:rsidR="00FA5450" w:rsidRPr="00AE14EC">
        <w:rPr>
          <w:b/>
          <w:lang w:val="fr-CA"/>
        </w:rPr>
        <w:t xml:space="preserve"> </w:t>
      </w:r>
      <w:r w:rsidR="00046AF2" w:rsidRPr="00AE14EC">
        <w:rPr>
          <w:b/>
          <w:lang w:val="fr-CA"/>
        </w:rPr>
        <w:t>a</w:t>
      </w:r>
      <w:r w:rsidR="00C43B65" w:rsidRPr="00AE14EC">
        <w:rPr>
          <w:b/>
          <w:lang w:val="fr-CA"/>
        </w:rPr>
        <w:t>v</w:t>
      </w:r>
      <w:r w:rsidR="00046AF2" w:rsidRPr="00AE14EC">
        <w:rPr>
          <w:b/>
          <w:lang w:val="fr-CA"/>
        </w:rPr>
        <w:t>r</w:t>
      </w:r>
      <w:r w:rsidR="00C43B65" w:rsidRPr="00AE14EC">
        <w:rPr>
          <w:b/>
          <w:lang w:val="fr-CA"/>
        </w:rPr>
        <w:t>il</w:t>
      </w:r>
      <w:r w:rsidR="00C86395" w:rsidRPr="00AE14EC">
        <w:rPr>
          <w:b/>
          <w:lang w:val="fr-CA"/>
        </w:rPr>
        <w:t xml:space="preserve"> </w:t>
      </w:r>
      <w:r w:rsidR="0086609D" w:rsidRPr="00AE14EC">
        <w:rPr>
          <w:b/>
          <w:lang w:val="fr-CA"/>
        </w:rPr>
        <w:t>20</w:t>
      </w:r>
      <w:r w:rsidR="009544E9" w:rsidRPr="00AE14EC">
        <w:rPr>
          <w:b/>
          <w:lang w:val="fr-CA"/>
        </w:rPr>
        <w:t>2</w:t>
      </w:r>
      <w:r w:rsidR="0049454A" w:rsidRPr="00AE14EC">
        <w:rPr>
          <w:b/>
          <w:lang w:val="fr-CA"/>
        </w:rPr>
        <w:t>4</w:t>
      </w:r>
    </w:p>
    <w:p w:rsidR="00EC79B0" w:rsidRPr="00AE14EC" w:rsidRDefault="00EC79B0" w:rsidP="00EC79B0">
      <w:pPr>
        <w:widowControl w:val="0"/>
        <w:rPr>
          <w:lang w:val="fr-CA"/>
        </w:rPr>
      </w:pPr>
    </w:p>
    <w:p w:rsidR="00EC79B0" w:rsidRPr="00AE14EC" w:rsidRDefault="00EC79B0" w:rsidP="00EC79B0">
      <w:pPr>
        <w:widowControl w:val="0"/>
        <w:rPr>
          <w:lang w:val="fr-CA"/>
        </w:rPr>
      </w:pPr>
      <w:r w:rsidRPr="00AE14EC">
        <w:rPr>
          <w:b/>
          <w:lang w:val="fr-CA"/>
        </w:rPr>
        <w:t>OTTAWA</w:t>
      </w:r>
      <w:r w:rsidRPr="00AE14EC">
        <w:rPr>
          <w:lang w:val="fr-CA"/>
        </w:rPr>
        <w:t xml:space="preserve"> – </w:t>
      </w:r>
      <w:r w:rsidR="0095505F" w:rsidRPr="00AE14EC">
        <w:rPr>
          <w:lang w:val="fr-CA"/>
        </w:rPr>
        <w:t xml:space="preserve">La Cour suprême du Canada rendra jugement dans l’appel suivant le </w:t>
      </w:r>
      <w:r w:rsidR="002915B5" w:rsidRPr="00AE14EC">
        <w:rPr>
          <w:lang w:val="fr-CA"/>
        </w:rPr>
        <w:t>vendredi</w:t>
      </w:r>
      <w:r w:rsidR="0095505F" w:rsidRPr="00AE14EC">
        <w:rPr>
          <w:lang w:val="fr-CA"/>
        </w:rPr>
        <w:t xml:space="preserve"> </w:t>
      </w:r>
      <w:r w:rsidR="00C43B65" w:rsidRPr="00AE14EC">
        <w:rPr>
          <w:lang w:val="fr-CA"/>
        </w:rPr>
        <w:t>1</w:t>
      </w:r>
      <w:r w:rsidR="00A63EE4" w:rsidRPr="00AE14EC">
        <w:rPr>
          <w:lang w:val="fr-CA"/>
        </w:rPr>
        <w:t>9</w:t>
      </w:r>
      <w:r w:rsidR="0095505F" w:rsidRPr="00AE14EC">
        <w:rPr>
          <w:lang w:val="fr-CA"/>
        </w:rPr>
        <w:t xml:space="preserve"> </w:t>
      </w:r>
      <w:r w:rsidR="00F30757" w:rsidRPr="00AE14EC">
        <w:rPr>
          <w:lang w:val="fr-CA"/>
        </w:rPr>
        <w:t>a</w:t>
      </w:r>
      <w:r w:rsidR="002915B5" w:rsidRPr="00AE14EC">
        <w:rPr>
          <w:lang w:val="fr-CA"/>
        </w:rPr>
        <w:t>v</w:t>
      </w:r>
      <w:r w:rsidR="00F30757" w:rsidRPr="00AE14EC">
        <w:rPr>
          <w:lang w:val="fr-CA"/>
        </w:rPr>
        <w:t>r</w:t>
      </w:r>
      <w:r w:rsidR="002915B5" w:rsidRPr="00AE14EC">
        <w:rPr>
          <w:lang w:val="fr-CA"/>
        </w:rPr>
        <w:t>il</w:t>
      </w:r>
      <w:r w:rsidR="0095505F" w:rsidRPr="00AE14EC">
        <w:rPr>
          <w:lang w:val="fr-CA"/>
        </w:rPr>
        <w:t xml:space="preserve"> 202</w:t>
      </w:r>
      <w:r w:rsidR="0049454A" w:rsidRPr="00AE14EC">
        <w:rPr>
          <w:lang w:val="fr-CA"/>
        </w:rPr>
        <w:t>4</w:t>
      </w:r>
      <w:r w:rsidR="0095505F" w:rsidRPr="00AE14EC">
        <w:rPr>
          <w:lang w:val="fr-CA"/>
        </w:rPr>
        <w:t>, à 9 h 45 HE.</w:t>
      </w:r>
    </w:p>
    <w:p w:rsidR="001F76DD" w:rsidRPr="00AE14EC" w:rsidRDefault="001F76DD" w:rsidP="00E92006">
      <w:pPr>
        <w:widowControl w:val="0"/>
        <w:jc w:val="both"/>
        <w:rPr>
          <w:szCs w:val="24"/>
          <w:lang w:val="fr-CA"/>
        </w:rPr>
      </w:pPr>
    </w:p>
    <w:p w:rsidR="001335A1" w:rsidRPr="00AE14EC" w:rsidRDefault="001335A1" w:rsidP="001335A1">
      <w:pPr>
        <w:widowControl w:val="0"/>
        <w:rPr>
          <w:szCs w:val="24"/>
          <w:lang w:val="fr-CA"/>
        </w:rPr>
      </w:pPr>
    </w:p>
    <w:p w:rsidR="00772636" w:rsidRPr="00AE14EC" w:rsidRDefault="004874F7" w:rsidP="00772636">
      <w:pPr>
        <w:jc w:val="both"/>
        <w:rPr>
          <w:szCs w:val="24"/>
          <w:lang w:val="fr-CA"/>
        </w:rPr>
      </w:pPr>
      <w:r w:rsidRPr="00AE14EC">
        <w:rPr>
          <w:i/>
          <w:szCs w:val="24"/>
          <w:lang w:val="fr-CA"/>
        </w:rPr>
        <w:t xml:space="preserve">Société des casinos du Québec inc., et al. </w:t>
      </w:r>
      <w:proofErr w:type="gramStart"/>
      <w:r w:rsidRPr="00AE14EC">
        <w:rPr>
          <w:i/>
          <w:szCs w:val="24"/>
          <w:lang w:val="fr-CA"/>
        </w:rPr>
        <w:t>c</w:t>
      </w:r>
      <w:proofErr w:type="gramEnd"/>
      <w:r w:rsidRPr="00AE14EC">
        <w:rPr>
          <w:i/>
          <w:szCs w:val="24"/>
          <w:lang w:val="fr-CA"/>
        </w:rPr>
        <w:t xml:space="preserve">. Association des cadres de la Société des casinos du Québec, et al. </w:t>
      </w:r>
      <w:r w:rsidR="00772636" w:rsidRPr="00AE14EC">
        <w:rPr>
          <w:szCs w:val="24"/>
          <w:lang w:val="fr-CA"/>
        </w:rPr>
        <w:t>(</w:t>
      </w:r>
      <w:r w:rsidRPr="00AE14EC">
        <w:rPr>
          <w:szCs w:val="24"/>
          <w:lang w:val="fr-CA"/>
        </w:rPr>
        <w:t>Qc</w:t>
      </w:r>
      <w:r w:rsidR="00772636" w:rsidRPr="00AE14EC">
        <w:rPr>
          <w:szCs w:val="24"/>
          <w:lang w:val="fr-CA"/>
        </w:rPr>
        <w:t xml:space="preserve">) </w:t>
      </w:r>
      <w:r w:rsidR="00772636" w:rsidRPr="00AE14EC">
        <w:rPr>
          <w:lang w:val="fr-CA"/>
        </w:rPr>
        <w:t>(</w:t>
      </w:r>
      <w:hyperlink r:id="rId8" w:history="1">
        <w:r w:rsidR="002915B5" w:rsidRPr="00AE14EC">
          <w:rPr>
            <w:rStyle w:val="Hyperlink"/>
            <w:lang w:val="fr-CA"/>
          </w:rPr>
          <w:t>40</w:t>
        </w:r>
        <w:r w:rsidR="00C51A9A" w:rsidRPr="00AE14EC">
          <w:rPr>
            <w:rStyle w:val="Hyperlink"/>
            <w:lang w:val="fr-CA"/>
          </w:rPr>
          <w:t>1</w:t>
        </w:r>
        <w:r w:rsidRPr="00AE14EC">
          <w:rPr>
            <w:rStyle w:val="Hyperlink"/>
            <w:lang w:val="fr-CA"/>
          </w:rPr>
          <w:t>2</w:t>
        </w:r>
        <w:r w:rsidR="002915B5" w:rsidRPr="00AE14EC">
          <w:rPr>
            <w:rStyle w:val="Hyperlink"/>
            <w:lang w:val="fr-CA"/>
          </w:rPr>
          <w:t>3</w:t>
        </w:r>
      </w:hyperlink>
      <w:r w:rsidR="00772636" w:rsidRPr="00AE14EC">
        <w:rPr>
          <w:lang w:val="fr-CA"/>
        </w:rPr>
        <w:t>)</w:t>
      </w:r>
    </w:p>
    <w:p w:rsidR="003B3C19" w:rsidRPr="00AE14EC" w:rsidRDefault="003B3C19" w:rsidP="00AE14EC">
      <w:pPr>
        <w:widowControl w:val="0"/>
        <w:jc w:val="both"/>
        <w:rPr>
          <w:sz w:val="20"/>
          <w:lang w:val="fr-CA"/>
        </w:rPr>
      </w:pPr>
      <w:bookmarkStart w:id="1" w:name="QuickMark_1"/>
      <w:bookmarkEnd w:id="1"/>
    </w:p>
    <w:p w:rsidR="00AE14EC" w:rsidRPr="00AE14EC" w:rsidRDefault="00AE14EC" w:rsidP="00AE14EC">
      <w:pPr>
        <w:pStyle w:val="SCCLsocParty"/>
        <w:rPr>
          <w:b/>
          <w:i w:val="0"/>
          <w:sz w:val="20"/>
          <w:szCs w:val="20"/>
        </w:rPr>
      </w:pPr>
      <w:r w:rsidRPr="00AE14EC">
        <w:rPr>
          <w:rStyle w:val="SCCFileNumberChar"/>
          <w:i w:val="0"/>
          <w:sz w:val="20"/>
          <w:szCs w:val="20"/>
        </w:rPr>
        <w:t>40123</w:t>
      </w:r>
      <w:r w:rsidRPr="00AE14EC">
        <w:rPr>
          <w:rStyle w:val="SCCFileNumberChar"/>
          <w:i w:val="0"/>
          <w:sz w:val="20"/>
          <w:szCs w:val="20"/>
        </w:rPr>
        <w:tab/>
      </w:r>
      <w:r w:rsidRPr="00AE14EC">
        <w:rPr>
          <w:b/>
          <w:sz w:val="20"/>
          <w:szCs w:val="20"/>
        </w:rPr>
        <w:t>Société des casinos du Québec inc. c. Association des cadres de la Société des casinos du Québec</w:t>
      </w:r>
    </w:p>
    <w:p w:rsidR="00AE14EC" w:rsidRPr="00AE14EC" w:rsidRDefault="00AE14EC" w:rsidP="00AE14EC">
      <w:pPr>
        <w:pStyle w:val="SCCLsocOtherPartySeparator"/>
        <w:ind w:left="360" w:firstLine="360"/>
        <w:rPr>
          <w:rFonts w:cs="Times New Roman"/>
          <w:sz w:val="20"/>
          <w:szCs w:val="20"/>
        </w:rPr>
      </w:pPr>
      <w:r w:rsidRPr="00AE14EC">
        <w:rPr>
          <w:rFonts w:cs="Times New Roman"/>
          <w:sz w:val="20"/>
          <w:szCs w:val="20"/>
        </w:rPr>
        <w:t>- et -</w:t>
      </w:r>
    </w:p>
    <w:p w:rsidR="00AE14EC" w:rsidRPr="00AE14EC" w:rsidRDefault="00AE14EC" w:rsidP="00AE14EC">
      <w:pPr>
        <w:pStyle w:val="SCCLsocParty"/>
        <w:ind w:left="720"/>
        <w:rPr>
          <w:b/>
          <w:i w:val="0"/>
          <w:sz w:val="20"/>
          <w:szCs w:val="20"/>
        </w:rPr>
      </w:pPr>
      <w:r w:rsidRPr="00AE14EC">
        <w:rPr>
          <w:b/>
          <w:sz w:val="20"/>
          <w:szCs w:val="20"/>
        </w:rPr>
        <w:t>Tribunal administratif du Travail, Procureur général du Québec, Procureur général du Canada, Procureur général de l’Ontario et Procureur général de l’Alberta</w:t>
      </w:r>
    </w:p>
    <w:p w:rsidR="00AE14EC" w:rsidRPr="00AE14EC" w:rsidRDefault="00AE14EC" w:rsidP="00AE14EC">
      <w:pPr>
        <w:pStyle w:val="SCCLsocSubfileSeparator"/>
        <w:ind w:left="360" w:firstLine="360"/>
        <w:rPr>
          <w:sz w:val="20"/>
          <w:szCs w:val="20"/>
        </w:rPr>
      </w:pPr>
      <w:r w:rsidRPr="00AE14EC">
        <w:rPr>
          <w:sz w:val="20"/>
          <w:szCs w:val="20"/>
        </w:rPr>
        <w:t>- et entre -</w:t>
      </w:r>
    </w:p>
    <w:p w:rsidR="00AE14EC" w:rsidRPr="00AE14EC" w:rsidRDefault="00AE14EC" w:rsidP="00AE14EC">
      <w:pPr>
        <w:pStyle w:val="SCCLsocParty"/>
        <w:ind w:left="360" w:firstLine="360"/>
        <w:rPr>
          <w:b/>
          <w:i w:val="0"/>
          <w:sz w:val="20"/>
          <w:szCs w:val="20"/>
        </w:rPr>
      </w:pPr>
      <w:r w:rsidRPr="00AE14EC">
        <w:rPr>
          <w:b/>
          <w:sz w:val="20"/>
          <w:szCs w:val="20"/>
        </w:rPr>
        <w:t>Procureur général du Québec c. Association des cadres de la Société des casinos du Québec</w:t>
      </w:r>
    </w:p>
    <w:p w:rsidR="00AE14EC" w:rsidRPr="00AE14EC" w:rsidRDefault="00AE14EC" w:rsidP="00AE14EC">
      <w:pPr>
        <w:pStyle w:val="SCCLsocOtherPartySeparator"/>
        <w:ind w:left="360" w:firstLine="360"/>
        <w:rPr>
          <w:rFonts w:cs="Times New Roman"/>
          <w:sz w:val="20"/>
          <w:szCs w:val="20"/>
        </w:rPr>
      </w:pPr>
      <w:r w:rsidRPr="00AE14EC">
        <w:rPr>
          <w:rFonts w:cs="Times New Roman"/>
          <w:sz w:val="20"/>
          <w:szCs w:val="20"/>
        </w:rPr>
        <w:t>- et -</w:t>
      </w:r>
    </w:p>
    <w:p w:rsidR="00AE14EC" w:rsidRPr="00AE14EC" w:rsidRDefault="00AE14EC" w:rsidP="00AE14EC">
      <w:pPr>
        <w:pStyle w:val="SCCLsocParty"/>
        <w:ind w:left="720"/>
        <w:rPr>
          <w:b/>
          <w:i w:val="0"/>
          <w:sz w:val="20"/>
          <w:szCs w:val="20"/>
        </w:rPr>
      </w:pPr>
      <w:r w:rsidRPr="00AE14EC">
        <w:rPr>
          <w:b/>
          <w:sz w:val="20"/>
          <w:szCs w:val="20"/>
        </w:rPr>
        <w:t>Tribunal administratif du Travail, Société des casinos du Québec inc., Procureur général du Canada, Procureur général de l’Ontario et Procureur général de l’Alberta</w:t>
      </w:r>
    </w:p>
    <w:p w:rsidR="00AE14EC" w:rsidRPr="00AE14EC" w:rsidRDefault="00AE14EC" w:rsidP="00AE14EC">
      <w:pPr>
        <w:widowControl w:val="0"/>
        <w:ind w:left="360" w:firstLine="360"/>
        <w:jc w:val="both"/>
        <w:rPr>
          <w:sz w:val="20"/>
          <w:lang w:val="fr-CA"/>
        </w:rPr>
      </w:pPr>
      <w:r w:rsidRPr="00AE14EC">
        <w:rPr>
          <w:sz w:val="20"/>
        </w:rPr>
        <w:t>(</w:t>
      </w:r>
      <w:proofErr w:type="gramStart"/>
      <w:r w:rsidRPr="00AE14EC">
        <w:rPr>
          <w:sz w:val="20"/>
        </w:rPr>
        <w:t>Qc</w:t>
      </w:r>
      <w:proofErr w:type="gramEnd"/>
      <w:r w:rsidRPr="00AE14EC">
        <w:rPr>
          <w:sz w:val="20"/>
        </w:rPr>
        <w:t>) (Civile) (Autorisation)</w:t>
      </w:r>
    </w:p>
    <w:p w:rsidR="00AE14EC" w:rsidRPr="00AE14EC" w:rsidRDefault="00AE14EC" w:rsidP="00AE14EC">
      <w:pPr>
        <w:widowControl w:val="0"/>
        <w:ind w:left="2160" w:hanging="2160"/>
        <w:jc w:val="both"/>
        <w:rPr>
          <w:sz w:val="20"/>
        </w:rPr>
      </w:pPr>
    </w:p>
    <w:p w:rsidR="00AE14EC" w:rsidRPr="00AE14EC" w:rsidRDefault="00AE14EC" w:rsidP="00AE14EC">
      <w:pPr>
        <w:widowControl w:val="0"/>
        <w:jc w:val="both"/>
        <w:rPr>
          <w:sz w:val="20"/>
        </w:rPr>
      </w:pPr>
      <w:r w:rsidRPr="00AE14EC">
        <w:rPr>
          <w:sz w:val="20"/>
        </w:rPr>
        <w:t xml:space="preserve">Chartes des droits ⸺ Liberté d’association ⸺ Relations de travail ⸺ Accréditation ⸺ Association de cadres ⸺ Casino ⸺ Définition de salarié prévue au </w:t>
      </w:r>
      <w:r w:rsidRPr="00AE14EC">
        <w:rPr>
          <w:i/>
          <w:sz w:val="20"/>
        </w:rPr>
        <w:t>Code du travail</w:t>
      </w:r>
      <w:r w:rsidRPr="00AE14EC">
        <w:rPr>
          <w:sz w:val="20"/>
        </w:rPr>
        <w:t xml:space="preserve"> de la province de Québec ⸺ L’article 1 l) 1</w:t>
      </w:r>
      <w:r w:rsidRPr="00AE14EC">
        <w:rPr>
          <w:sz w:val="20"/>
          <w:vertAlign w:val="superscript"/>
        </w:rPr>
        <w:t>o</w:t>
      </w:r>
      <w:r w:rsidRPr="00AE14EC">
        <w:rPr>
          <w:sz w:val="20"/>
        </w:rPr>
        <w:t xml:space="preserve"> du </w:t>
      </w:r>
      <w:r w:rsidRPr="00AE14EC">
        <w:rPr>
          <w:bCs/>
          <w:i/>
          <w:sz w:val="20"/>
        </w:rPr>
        <w:t>Code du travail</w:t>
      </w:r>
      <w:r w:rsidRPr="00AE14EC">
        <w:rPr>
          <w:bCs/>
          <w:sz w:val="20"/>
        </w:rPr>
        <w:t xml:space="preserve"> </w:t>
      </w:r>
      <w:r w:rsidRPr="00AE14EC">
        <w:rPr>
          <w:sz w:val="20"/>
        </w:rPr>
        <w:t xml:space="preserve">contrevient-il à l’al. 2d) de la </w:t>
      </w:r>
      <w:r w:rsidRPr="00AE14EC">
        <w:rPr>
          <w:i/>
          <w:sz w:val="20"/>
        </w:rPr>
        <w:t xml:space="preserve">Charte canadienne des droits </w:t>
      </w:r>
      <w:proofErr w:type="gramStart"/>
      <w:r w:rsidRPr="00AE14EC">
        <w:rPr>
          <w:i/>
          <w:sz w:val="20"/>
        </w:rPr>
        <w:t>et</w:t>
      </w:r>
      <w:proofErr w:type="gramEnd"/>
      <w:r w:rsidRPr="00AE14EC">
        <w:rPr>
          <w:i/>
          <w:sz w:val="20"/>
        </w:rPr>
        <w:t xml:space="preserve"> libertés</w:t>
      </w:r>
      <w:r w:rsidRPr="00AE14EC">
        <w:rPr>
          <w:sz w:val="20"/>
        </w:rPr>
        <w:t xml:space="preserve"> et à l’art. 3 de la </w:t>
      </w:r>
      <w:r w:rsidRPr="00AE14EC">
        <w:rPr>
          <w:i/>
          <w:sz w:val="20"/>
        </w:rPr>
        <w:t>Charte des droits et libertés de la personne</w:t>
      </w:r>
      <w:r w:rsidRPr="00AE14EC">
        <w:rPr>
          <w:sz w:val="20"/>
        </w:rPr>
        <w:t>, R.L.R.Q., c. C-12 (</w:t>
      </w:r>
      <w:r w:rsidRPr="00AE14EC">
        <w:rPr>
          <w:i/>
          <w:sz w:val="20"/>
        </w:rPr>
        <w:t>Charte québécoise</w:t>
      </w:r>
      <w:proofErr w:type="gramStart"/>
      <w:r w:rsidRPr="00AE14EC">
        <w:rPr>
          <w:sz w:val="20"/>
        </w:rPr>
        <w:t>) ?</w:t>
      </w:r>
      <w:proofErr w:type="gramEnd"/>
      <w:r w:rsidRPr="00AE14EC">
        <w:rPr>
          <w:sz w:val="20"/>
        </w:rPr>
        <w:t xml:space="preserve"> ⸺ Dans l’affirmative, cette contravention constitue-t-elle une limite raisonnable prescrite par une règle de droit et dont la justification peut se démontrer dans le cadre d’une société libre et démocratique, au sens de l’article premier de la </w:t>
      </w:r>
      <w:r w:rsidRPr="00AE14EC">
        <w:rPr>
          <w:i/>
          <w:sz w:val="20"/>
        </w:rPr>
        <w:t>Charte canadienne</w:t>
      </w:r>
      <w:r w:rsidRPr="00AE14EC">
        <w:rPr>
          <w:sz w:val="20"/>
        </w:rPr>
        <w:t xml:space="preserve"> et de l’art. 9.1 de la </w:t>
      </w:r>
      <w:r w:rsidRPr="00AE14EC">
        <w:rPr>
          <w:i/>
          <w:sz w:val="20"/>
        </w:rPr>
        <w:t>Charte québécoise</w:t>
      </w:r>
      <w:r w:rsidRPr="00AE14EC">
        <w:rPr>
          <w:sz w:val="20"/>
        </w:rPr>
        <w:t xml:space="preserve">? ⸺ Une cour de révision doit-elle faire preuve de déférence à l’égard des conclusions mixtes de fait </w:t>
      </w:r>
      <w:proofErr w:type="gramStart"/>
      <w:r w:rsidRPr="00AE14EC">
        <w:rPr>
          <w:sz w:val="20"/>
        </w:rPr>
        <w:t>et</w:t>
      </w:r>
      <w:proofErr w:type="gramEnd"/>
      <w:r w:rsidRPr="00AE14EC">
        <w:rPr>
          <w:sz w:val="20"/>
        </w:rPr>
        <w:t xml:space="preserve"> de droit d’un tribunal administratif lorsque la validité constitutionnelle d’une loi est contestée? ⸺ </w:t>
      </w:r>
      <w:r w:rsidRPr="00AE14EC">
        <w:rPr>
          <w:bCs/>
          <w:i/>
          <w:sz w:val="20"/>
        </w:rPr>
        <w:t>Code du travail</w:t>
      </w:r>
      <w:r w:rsidRPr="00AE14EC">
        <w:rPr>
          <w:bCs/>
          <w:sz w:val="20"/>
        </w:rPr>
        <w:t>, R.L.R.Q., c. C-27, art. </w:t>
      </w:r>
      <w:r w:rsidRPr="00AE14EC">
        <w:rPr>
          <w:sz w:val="20"/>
        </w:rPr>
        <w:t>1 l) 1</w:t>
      </w:r>
      <w:r w:rsidRPr="00AE14EC">
        <w:rPr>
          <w:sz w:val="20"/>
          <w:vertAlign w:val="superscript"/>
        </w:rPr>
        <w:t xml:space="preserve">o </w:t>
      </w:r>
      <w:r w:rsidRPr="00AE14EC">
        <w:rPr>
          <w:sz w:val="20"/>
        </w:rPr>
        <w:t xml:space="preserve">⸺ </w:t>
      </w:r>
      <w:r w:rsidRPr="00AE14EC">
        <w:rPr>
          <w:i/>
          <w:sz w:val="20"/>
        </w:rPr>
        <w:t xml:space="preserve">Charte canadienne des droits </w:t>
      </w:r>
      <w:proofErr w:type="gramStart"/>
      <w:r w:rsidRPr="00AE14EC">
        <w:rPr>
          <w:i/>
          <w:sz w:val="20"/>
        </w:rPr>
        <w:t>et</w:t>
      </w:r>
      <w:proofErr w:type="gramEnd"/>
      <w:r w:rsidRPr="00AE14EC">
        <w:rPr>
          <w:i/>
          <w:sz w:val="20"/>
        </w:rPr>
        <w:t xml:space="preserve"> libertés</w:t>
      </w:r>
      <w:r w:rsidRPr="00AE14EC">
        <w:rPr>
          <w:sz w:val="20"/>
        </w:rPr>
        <w:t xml:space="preserve">, art. 1, 2d) ⸺ </w:t>
      </w:r>
      <w:r w:rsidRPr="00AE14EC">
        <w:rPr>
          <w:i/>
          <w:sz w:val="20"/>
        </w:rPr>
        <w:t xml:space="preserve">Charte des droits </w:t>
      </w:r>
      <w:proofErr w:type="gramStart"/>
      <w:r w:rsidRPr="00AE14EC">
        <w:rPr>
          <w:i/>
          <w:sz w:val="20"/>
        </w:rPr>
        <w:t>et</w:t>
      </w:r>
      <w:proofErr w:type="gramEnd"/>
      <w:r w:rsidRPr="00AE14EC">
        <w:rPr>
          <w:i/>
          <w:sz w:val="20"/>
        </w:rPr>
        <w:t xml:space="preserve"> libertés de la personne </w:t>
      </w:r>
      <w:r w:rsidRPr="00AE14EC">
        <w:rPr>
          <w:sz w:val="20"/>
        </w:rPr>
        <w:t>R.L.R.Q., c. C-12, art. 3, 9.1.</w:t>
      </w:r>
    </w:p>
    <w:p w:rsidR="00AE14EC" w:rsidRPr="00AE14EC" w:rsidRDefault="00AE14EC" w:rsidP="00AE14EC">
      <w:pPr>
        <w:widowControl w:val="0"/>
        <w:jc w:val="both"/>
        <w:rPr>
          <w:sz w:val="20"/>
        </w:rPr>
      </w:pPr>
    </w:p>
    <w:p w:rsidR="00AE14EC" w:rsidRPr="00AE14EC" w:rsidRDefault="00AE14EC" w:rsidP="00AE14EC">
      <w:pPr>
        <w:jc w:val="both"/>
        <w:rPr>
          <w:sz w:val="20"/>
        </w:rPr>
      </w:pPr>
      <w:r w:rsidRPr="00AE14EC">
        <w:rPr>
          <w:sz w:val="20"/>
        </w:rPr>
        <w:t xml:space="preserve">Constituée en 1997 en vertu de la </w:t>
      </w:r>
      <w:r w:rsidRPr="00AE14EC">
        <w:rPr>
          <w:i/>
          <w:sz w:val="20"/>
        </w:rPr>
        <w:t>Loi sur les syndicats professionnels</w:t>
      </w:r>
      <w:r w:rsidRPr="00AE14EC">
        <w:rPr>
          <w:sz w:val="20"/>
        </w:rPr>
        <w:t>, R.L.R.Q., c. S-40, l’intimée l’Association des cadres de la Société des casinos du Québec (l’Association) a pour membres 70% des superviseurs des opérations (SDO) affectés au secteur des tables de jeux du Casino de Montréal. Les SDO représentent le 5</w:t>
      </w:r>
      <w:r w:rsidRPr="00AE14EC">
        <w:rPr>
          <w:sz w:val="20"/>
          <w:vertAlign w:val="superscript"/>
        </w:rPr>
        <w:t>e</w:t>
      </w:r>
      <w:r w:rsidRPr="00AE14EC">
        <w:rPr>
          <w:sz w:val="20"/>
        </w:rPr>
        <w:t xml:space="preserve"> palier de direction </w:t>
      </w:r>
      <w:proofErr w:type="gramStart"/>
      <w:r w:rsidRPr="00AE14EC">
        <w:rPr>
          <w:sz w:val="20"/>
        </w:rPr>
        <w:t>et</w:t>
      </w:r>
      <w:proofErr w:type="gramEnd"/>
      <w:r w:rsidRPr="00AE14EC">
        <w:rPr>
          <w:sz w:val="20"/>
        </w:rPr>
        <w:t xml:space="preserve"> sont des cadres de premier niveau à la Société des casinos du Québec inc. (la Société), employeur, et appelante. La Société </w:t>
      </w:r>
      <w:proofErr w:type="gramStart"/>
      <w:r w:rsidRPr="00AE14EC">
        <w:rPr>
          <w:sz w:val="20"/>
        </w:rPr>
        <w:t>est</w:t>
      </w:r>
      <w:proofErr w:type="gramEnd"/>
      <w:r w:rsidRPr="00AE14EC">
        <w:rPr>
          <w:sz w:val="20"/>
        </w:rPr>
        <w:t xml:space="preserve"> une filiale de la Société des loteries du Québec responsable de quatre casinos, dont celui de Montréal. Les opérations de chaque casino étant divisées en trois secteurs à savoir les tables de jeu, les machines à sous </w:t>
      </w:r>
      <w:proofErr w:type="gramStart"/>
      <w:r w:rsidRPr="00AE14EC">
        <w:rPr>
          <w:sz w:val="20"/>
        </w:rPr>
        <w:t>et</w:t>
      </w:r>
      <w:proofErr w:type="gramEnd"/>
      <w:r w:rsidRPr="00AE14EC">
        <w:rPr>
          <w:sz w:val="20"/>
        </w:rPr>
        <w:t xml:space="preserve"> les salons de poker, l’Association a pour membres la majorité des SDO tous secteurs confondus. Depuis </w:t>
      </w:r>
      <w:proofErr w:type="gramStart"/>
      <w:r w:rsidRPr="00AE14EC">
        <w:rPr>
          <w:sz w:val="20"/>
        </w:rPr>
        <w:t>sa</w:t>
      </w:r>
      <w:proofErr w:type="gramEnd"/>
      <w:r w:rsidRPr="00AE14EC">
        <w:rPr>
          <w:sz w:val="20"/>
        </w:rPr>
        <w:t xml:space="preserve"> création, l’Association a pour objectif d’assurer sa reconnaissance par l’employeur afin de pouvoir représenter les SDO et négocier leurs conditions de travail. En novembre 2009, l’Association a déposé une requête en accréditation auprès de la Commission des relations du travail, (devenue en 2016 le Tribunal administratif du Travail (TAT)) en vertu des articles 25 </w:t>
      </w:r>
      <w:proofErr w:type="gramStart"/>
      <w:r w:rsidRPr="00AE14EC">
        <w:rPr>
          <w:sz w:val="20"/>
        </w:rPr>
        <w:t>et</w:t>
      </w:r>
      <w:proofErr w:type="gramEnd"/>
      <w:r w:rsidRPr="00AE14EC">
        <w:rPr>
          <w:sz w:val="20"/>
        </w:rPr>
        <w:t xml:space="preserve"> suivant du </w:t>
      </w:r>
      <w:r w:rsidRPr="00AE14EC">
        <w:rPr>
          <w:i/>
          <w:sz w:val="20"/>
        </w:rPr>
        <w:t xml:space="preserve">Code du travail, </w:t>
      </w:r>
      <w:r w:rsidRPr="00AE14EC">
        <w:rPr>
          <w:bCs/>
          <w:color w:val="212529"/>
          <w:sz w:val="20"/>
        </w:rPr>
        <w:t>R.L.R.Q., c. C-27</w:t>
      </w:r>
      <w:r w:rsidRPr="00AE14EC">
        <w:rPr>
          <w:sz w:val="20"/>
        </w:rPr>
        <w:t xml:space="preserve">. Le dépôt de cette requête serait le résultat de nombreux échecs de négociations intervenus entre les parties qui avaient pour but de modifier </w:t>
      </w:r>
      <w:proofErr w:type="gramStart"/>
      <w:r w:rsidRPr="00AE14EC">
        <w:rPr>
          <w:sz w:val="20"/>
        </w:rPr>
        <w:t>un</w:t>
      </w:r>
      <w:proofErr w:type="gramEnd"/>
      <w:r w:rsidRPr="00AE14EC">
        <w:rPr>
          <w:sz w:val="20"/>
        </w:rPr>
        <w:t xml:space="preserve"> Protocole d’entente intervenu en 2001. Dans le cadre de cette requête, l’Association a également demandé de lui déclarer constitutionnellement inopposable, ainsi qu’à </w:t>
      </w:r>
      <w:proofErr w:type="gramStart"/>
      <w:r w:rsidRPr="00AE14EC">
        <w:rPr>
          <w:sz w:val="20"/>
        </w:rPr>
        <w:t>ses</w:t>
      </w:r>
      <w:proofErr w:type="gramEnd"/>
      <w:r w:rsidRPr="00AE14EC">
        <w:rPr>
          <w:sz w:val="20"/>
        </w:rPr>
        <w:t xml:space="preserve"> membres, l’exclusion des cadres de la définition de « salarié » énoncée à l’art. 1 l) par. 1 du </w:t>
      </w:r>
      <w:r w:rsidRPr="00AE14EC">
        <w:rPr>
          <w:i/>
          <w:sz w:val="20"/>
        </w:rPr>
        <w:t>Code du travail</w:t>
      </w:r>
      <w:r w:rsidRPr="00AE14EC">
        <w:rPr>
          <w:sz w:val="20"/>
        </w:rPr>
        <w:t>,</w:t>
      </w:r>
      <w:r w:rsidRPr="00AE14EC">
        <w:rPr>
          <w:i/>
          <w:sz w:val="20"/>
        </w:rPr>
        <w:t xml:space="preserve"> </w:t>
      </w:r>
      <w:r w:rsidRPr="00AE14EC">
        <w:rPr>
          <w:sz w:val="20"/>
        </w:rPr>
        <w:t xml:space="preserve">au motif que cette disposition constituerait une atteinte à la liberté d’association garantie à l’art. 2d) de la </w:t>
      </w:r>
      <w:r w:rsidRPr="00AE14EC">
        <w:rPr>
          <w:i/>
          <w:sz w:val="20"/>
        </w:rPr>
        <w:t>Charte canadienne</w:t>
      </w:r>
      <w:r w:rsidRPr="00AE14EC">
        <w:rPr>
          <w:sz w:val="20"/>
        </w:rPr>
        <w:t xml:space="preserve"> </w:t>
      </w:r>
      <w:proofErr w:type="gramStart"/>
      <w:r w:rsidRPr="00AE14EC">
        <w:rPr>
          <w:sz w:val="20"/>
        </w:rPr>
        <w:t>et</w:t>
      </w:r>
      <w:proofErr w:type="gramEnd"/>
      <w:r w:rsidRPr="00AE14EC">
        <w:rPr>
          <w:sz w:val="20"/>
        </w:rPr>
        <w:t xml:space="preserve"> l’art. 3 de la </w:t>
      </w:r>
      <w:r w:rsidRPr="00AE14EC">
        <w:rPr>
          <w:i/>
          <w:sz w:val="20"/>
        </w:rPr>
        <w:t xml:space="preserve">Charte des droits </w:t>
      </w:r>
      <w:proofErr w:type="gramStart"/>
      <w:r w:rsidRPr="00AE14EC">
        <w:rPr>
          <w:i/>
          <w:sz w:val="20"/>
        </w:rPr>
        <w:t>et</w:t>
      </w:r>
      <w:proofErr w:type="gramEnd"/>
      <w:r w:rsidRPr="00AE14EC">
        <w:rPr>
          <w:i/>
          <w:sz w:val="20"/>
        </w:rPr>
        <w:t xml:space="preserve"> libertés de la personne</w:t>
      </w:r>
      <w:r w:rsidRPr="00AE14EC">
        <w:rPr>
          <w:sz w:val="20"/>
        </w:rPr>
        <w:t>,</w:t>
      </w:r>
      <w:r w:rsidRPr="00AE14EC">
        <w:rPr>
          <w:i/>
          <w:sz w:val="20"/>
        </w:rPr>
        <w:t xml:space="preserve"> </w:t>
      </w:r>
      <w:r w:rsidRPr="00AE14EC">
        <w:rPr>
          <w:sz w:val="20"/>
        </w:rPr>
        <w:t>R.L.R.Q., c. C-12 (</w:t>
      </w:r>
      <w:r w:rsidRPr="00AE14EC">
        <w:rPr>
          <w:i/>
          <w:sz w:val="20"/>
        </w:rPr>
        <w:t>Charte québécoise</w:t>
      </w:r>
      <w:r w:rsidRPr="00AE14EC">
        <w:rPr>
          <w:sz w:val="20"/>
        </w:rPr>
        <w:t xml:space="preserve">). Le TAT a déclaré que l’art. 1 l) par. 1 </w:t>
      </w:r>
      <w:proofErr w:type="gramStart"/>
      <w:r w:rsidRPr="00AE14EC">
        <w:rPr>
          <w:sz w:val="20"/>
        </w:rPr>
        <w:t>porte</w:t>
      </w:r>
      <w:proofErr w:type="gramEnd"/>
      <w:r w:rsidRPr="00AE14EC">
        <w:rPr>
          <w:sz w:val="20"/>
        </w:rPr>
        <w:t xml:space="preserve"> atteinte à la liberté d’association garantie par les deux chartes </w:t>
      </w:r>
      <w:r w:rsidRPr="00AE14EC">
        <w:rPr>
          <w:sz w:val="20"/>
        </w:rPr>
        <w:lastRenderedPageBreak/>
        <w:t>des personnes visées par la requête en accréditation de l’Association et a déclaré que cet article était inopérant dans le cadre de la requête en accréditation.</w:t>
      </w:r>
    </w:p>
    <w:p w:rsidR="00046AF2" w:rsidRPr="00AE14EC" w:rsidRDefault="00046AF2" w:rsidP="003B3C19">
      <w:pPr>
        <w:widowControl w:val="0"/>
        <w:jc w:val="both"/>
        <w:rPr>
          <w:sz w:val="20"/>
          <w:lang w:val="fr-CA"/>
        </w:rPr>
      </w:pPr>
    </w:p>
    <w:p w:rsidR="00EF4622" w:rsidRPr="00AE14EC" w:rsidRDefault="002D1B72" w:rsidP="00CD14BB">
      <w:pPr>
        <w:pStyle w:val="aparanumbering1"/>
        <w:shd w:val="clear" w:color="auto" w:fill="FFFFFF"/>
        <w:spacing w:before="0" w:after="0"/>
        <w:ind w:left="0"/>
        <w:rPr>
          <w:rFonts w:ascii="Times New Roman" w:hAnsi="Times New Roman" w:cs="Times New Roman"/>
          <w:sz w:val="20"/>
          <w:szCs w:val="20"/>
          <w:lang w:val="fr-CA"/>
        </w:rPr>
      </w:pPr>
      <w:r>
        <w:rPr>
          <w:sz w:val="20"/>
        </w:rPr>
        <w:pict>
          <v:rect id="_x0000_i1026" style="width:2in;height:1pt" o:hrpct="0" o:hralign="center" o:hrstd="t" o:hrnoshade="t" o:hr="t" fillcolor="black [3213]" stroked="f"/>
        </w:pict>
      </w:r>
    </w:p>
    <w:p w:rsidR="00E92006" w:rsidRPr="00AE14EC" w:rsidRDefault="00E92006" w:rsidP="00340C6D">
      <w:pPr>
        <w:jc w:val="both"/>
        <w:rPr>
          <w:sz w:val="20"/>
          <w:lang w:val="fr-CA"/>
        </w:rPr>
      </w:pPr>
    </w:p>
    <w:p w:rsidR="00E92006" w:rsidRPr="00AE14EC" w:rsidRDefault="00E92006" w:rsidP="00340C6D">
      <w:pPr>
        <w:jc w:val="both"/>
        <w:rPr>
          <w:sz w:val="20"/>
          <w:lang w:val="fr-CA"/>
        </w:rPr>
      </w:pPr>
    </w:p>
    <w:p w:rsidR="00072A63" w:rsidRPr="00AE14EC" w:rsidRDefault="00072A63" w:rsidP="00EC79B0">
      <w:pPr>
        <w:jc w:val="both"/>
        <w:rPr>
          <w:sz w:val="20"/>
          <w:lang w:val="fr-CA"/>
        </w:rPr>
      </w:pPr>
    </w:p>
    <w:p w:rsidR="001C4415" w:rsidRPr="00AE14EC" w:rsidRDefault="001C4415" w:rsidP="001C4415">
      <w:pPr>
        <w:widowControl w:val="0"/>
        <w:outlineLvl w:val="0"/>
      </w:pPr>
      <w:r w:rsidRPr="00AE14EC">
        <w:t xml:space="preserve">Supreme Court of Canada / Cour suprême du </w:t>
      </w:r>
      <w:proofErr w:type="gramStart"/>
      <w:r w:rsidRPr="00AE14EC">
        <w:t>Canada :</w:t>
      </w:r>
      <w:proofErr w:type="gramEnd"/>
      <w:r w:rsidRPr="00AE14EC">
        <w:t xml:space="preserve"> </w:t>
      </w:r>
    </w:p>
    <w:p w:rsidR="004F410B" w:rsidRPr="00AE14EC" w:rsidRDefault="002D1B72" w:rsidP="004F410B">
      <w:pPr>
        <w:widowControl w:val="0"/>
        <w:outlineLvl w:val="0"/>
      </w:pPr>
      <w:hyperlink r:id="rId9" w:history="1">
        <w:r w:rsidR="004F410B" w:rsidRPr="00AE14EC">
          <w:rPr>
            <w:rStyle w:val="Hyperlink"/>
          </w:rPr>
          <w:t>Registry-greffe@scc-csc.ca</w:t>
        </w:r>
      </w:hyperlink>
    </w:p>
    <w:p w:rsidR="001C4415" w:rsidRDefault="004F410B" w:rsidP="004F410B">
      <w:pPr>
        <w:widowControl w:val="0"/>
        <w:outlineLvl w:val="0"/>
      </w:pPr>
      <w:r w:rsidRPr="00AE14EC">
        <w:t>1-844-365-9662</w:t>
      </w:r>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87B6E"/>
    <w:rsid w:val="00290E05"/>
    <w:rsid w:val="00290F21"/>
    <w:rsid w:val="002915B5"/>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1B72"/>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2A"/>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4F7"/>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3E95"/>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EE4"/>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1A6"/>
    <w:rsid w:val="00AC1EBB"/>
    <w:rsid w:val="00AC29C3"/>
    <w:rsid w:val="00AC3DA6"/>
    <w:rsid w:val="00AD271C"/>
    <w:rsid w:val="00AD28E3"/>
    <w:rsid w:val="00AD4D8B"/>
    <w:rsid w:val="00AE14EC"/>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3B65"/>
    <w:rsid w:val="00C443AF"/>
    <w:rsid w:val="00C46901"/>
    <w:rsid w:val="00C472C0"/>
    <w:rsid w:val="00C51144"/>
    <w:rsid w:val="00C51A9A"/>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64DD"/>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 w:type="paragraph" w:customStyle="1" w:styleId="SCCLsocOtherPartySeparator">
    <w:name w:val="SCC.Lsoc.OtherPartySeparator"/>
    <w:basedOn w:val="Normal"/>
    <w:next w:val="Normal"/>
    <w:link w:val="SCCLsocOtherPartySeparatorChar"/>
    <w:rsid w:val="004874F7"/>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4874F7"/>
    <w:rPr>
      <w:rFonts w:eastAsiaTheme="minorHAnsi" w:cstheme="minorBidi"/>
      <w:b/>
      <w:sz w:val="24"/>
      <w:szCs w:val="22"/>
      <w:lang w:val="fr-CA"/>
    </w:rPr>
  </w:style>
  <w:style w:type="paragraph" w:customStyle="1" w:styleId="SCCLsocSubfileSeparator">
    <w:name w:val="SCC.Lsoc.SubfileSeparator"/>
    <w:basedOn w:val="Normal"/>
    <w:next w:val="Normal"/>
    <w:link w:val="SCCLsocSubfileSeparatorChar"/>
    <w:rsid w:val="004874F7"/>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4874F7"/>
    <w:rPr>
      <w:rFonts w:eastAsiaTheme="minorHAnsi"/>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12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12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2024-04-16T12:18:00Z</dcterms:modified>
</cp:coreProperties>
</file>