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4C076F" w:rsidRDefault="001C4415" w:rsidP="001C4415">
      <w:pPr>
        <w:pStyle w:val="Header"/>
        <w:jc w:val="center"/>
        <w:rPr>
          <w:b/>
          <w:sz w:val="32"/>
        </w:rPr>
      </w:pPr>
      <w:r w:rsidRPr="004C076F">
        <w:rPr>
          <w:b/>
          <w:sz w:val="32"/>
        </w:rPr>
        <w:t>Supreme Court of Canada / Cour suprême du Canada</w:t>
      </w:r>
    </w:p>
    <w:p w:rsidR="001C4415" w:rsidRPr="004C076F" w:rsidRDefault="001C4415" w:rsidP="001C4415">
      <w:pPr>
        <w:widowControl w:val="0"/>
        <w:rPr>
          <w:i/>
        </w:rPr>
      </w:pPr>
    </w:p>
    <w:p w:rsidR="001C4415" w:rsidRPr="004C076F" w:rsidRDefault="001C4415" w:rsidP="001C4415">
      <w:pPr>
        <w:widowControl w:val="0"/>
        <w:rPr>
          <w:i/>
        </w:rPr>
      </w:pPr>
    </w:p>
    <w:p w:rsidR="001C4415" w:rsidRPr="00DB5074" w:rsidRDefault="001C4415" w:rsidP="001C4415">
      <w:pPr>
        <w:widowControl w:val="0"/>
        <w:rPr>
          <w:i/>
        </w:rPr>
      </w:pPr>
      <w:r w:rsidRPr="00DB5074">
        <w:rPr>
          <w:i/>
        </w:rPr>
        <w:t>(le français suit)</w:t>
      </w:r>
    </w:p>
    <w:p w:rsidR="001C4415" w:rsidRPr="00DB5074" w:rsidRDefault="001C4415" w:rsidP="001C4415">
      <w:pPr>
        <w:widowControl w:val="0"/>
      </w:pPr>
    </w:p>
    <w:p w:rsidR="001C4415" w:rsidRPr="00DB5074" w:rsidRDefault="000347C1" w:rsidP="00214729">
      <w:pPr>
        <w:widowControl w:val="0"/>
        <w:jc w:val="center"/>
        <w:rPr>
          <w:b/>
        </w:rPr>
      </w:pPr>
      <w:r w:rsidRPr="00DB5074">
        <w:fldChar w:fldCharType="begin"/>
      </w:r>
      <w:r w:rsidR="00FA7412" w:rsidRPr="00DB5074">
        <w:instrText xml:space="preserve"> SEQ CHAPTER \h \r 1</w:instrText>
      </w:r>
      <w:r w:rsidRPr="00DB5074">
        <w:fldChar w:fldCharType="end"/>
      </w:r>
      <w:r w:rsidR="006545ED" w:rsidRPr="00DB5074">
        <w:rPr>
          <w:b/>
        </w:rPr>
        <w:t>REASONS FOR J</w:t>
      </w:r>
      <w:r w:rsidR="00455BB9" w:rsidRPr="00DB5074">
        <w:rPr>
          <w:b/>
        </w:rPr>
        <w:t>UDGMENT</w:t>
      </w:r>
      <w:r w:rsidR="00FA7412" w:rsidRPr="00DB5074">
        <w:rPr>
          <w:b/>
        </w:rPr>
        <w:t xml:space="preserve"> TO BE RENDERED IN APPEA</w:t>
      </w:r>
      <w:r w:rsidR="00342E49" w:rsidRPr="00DB5074">
        <w:rPr>
          <w:b/>
        </w:rPr>
        <w:t>L</w:t>
      </w:r>
    </w:p>
    <w:p w:rsidR="005A7C1B" w:rsidRPr="00DB5074" w:rsidRDefault="005A7C1B" w:rsidP="005A7C1B">
      <w:pPr>
        <w:widowControl w:val="0"/>
      </w:pPr>
    </w:p>
    <w:p w:rsidR="00EC79B0" w:rsidRPr="00DB5074" w:rsidRDefault="00690520" w:rsidP="00EC79B0">
      <w:pPr>
        <w:widowControl w:val="0"/>
        <w:rPr>
          <w:b/>
        </w:rPr>
      </w:pPr>
      <w:r w:rsidRPr="00DB5074">
        <w:rPr>
          <w:b/>
        </w:rPr>
        <w:t>March</w:t>
      </w:r>
      <w:r w:rsidR="00C86395" w:rsidRPr="00DB5074">
        <w:rPr>
          <w:b/>
        </w:rPr>
        <w:t xml:space="preserve"> </w:t>
      </w:r>
      <w:r w:rsidRPr="00DB5074">
        <w:rPr>
          <w:b/>
        </w:rPr>
        <w:t>2</w:t>
      </w:r>
      <w:r w:rsidR="005973D8" w:rsidRPr="00DB5074">
        <w:rPr>
          <w:b/>
        </w:rPr>
        <w:t>7</w:t>
      </w:r>
      <w:r w:rsidR="00EC79B0" w:rsidRPr="00DB5074">
        <w:rPr>
          <w:b/>
        </w:rPr>
        <w:t>, 20</w:t>
      </w:r>
      <w:r w:rsidRPr="00DB5074">
        <w:rPr>
          <w:b/>
        </w:rPr>
        <w:t>20</w:t>
      </w:r>
    </w:p>
    <w:p w:rsidR="00EC79B0" w:rsidRPr="00DB5074" w:rsidRDefault="00EC79B0" w:rsidP="00EC79B0">
      <w:pPr>
        <w:widowControl w:val="0"/>
        <w:rPr>
          <w:b/>
        </w:rPr>
      </w:pPr>
      <w:r w:rsidRPr="00DB5074">
        <w:rPr>
          <w:b/>
        </w:rPr>
        <w:t>For immediate release</w:t>
      </w:r>
    </w:p>
    <w:p w:rsidR="00EC79B0" w:rsidRPr="00DB5074" w:rsidRDefault="00EC79B0" w:rsidP="00EC79B0">
      <w:pPr>
        <w:widowControl w:val="0"/>
      </w:pPr>
    </w:p>
    <w:p w:rsidR="00EC79B0" w:rsidRPr="00DB5074" w:rsidRDefault="00EC79B0" w:rsidP="00EC79B0">
      <w:pPr>
        <w:widowControl w:val="0"/>
        <w:rPr>
          <w:lang w:val="fr-CA"/>
        </w:rPr>
      </w:pPr>
      <w:r w:rsidRPr="00DB5074">
        <w:rPr>
          <w:b/>
        </w:rPr>
        <w:t>OTTAWA</w:t>
      </w:r>
      <w:r w:rsidRPr="00DB5074">
        <w:t xml:space="preserve"> –</w:t>
      </w:r>
      <w:r w:rsidR="00C73BB2" w:rsidRPr="00DB5074">
        <w:t xml:space="preserve"> On </w:t>
      </w:r>
      <w:r w:rsidR="00145B0A" w:rsidRPr="00DB5074">
        <w:t>October</w:t>
      </w:r>
      <w:r w:rsidR="00C73BB2" w:rsidRPr="00DB5074">
        <w:t xml:space="preserve"> </w:t>
      </w:r>
      <w:r w:rsidR="00145B0A" w:rsidRPr="00DB5074">
        <w:t>1</w:t>
      </w:r>
      <w:r w:rsidR="0043481E" w:rsidRPr="00DB5074">
        <w:t>6</w:t>
      </w:r>
      <w:r w:rsidR="00C73BB2" w:rsidRPr="00DB5074">
        <w:t>, 201</w:t>
      </w:r>
      <w:r w:rsidR="0043481E" w:rsidRPr="00DB5074">
        <w:t>9</w:t>
      </w:r>
      <w:r w:rsidR="00C73BB2" w:rsidRPr="00DB5074">
        <w:t>, the Supreme Court of Canada allowed the appeal with reasons to follow in the following appeal. The reasons for judgment will be delivered at 9:45 a.m. E</w:t>
      </w:r>
      <w:r w:rsidR="00690520" w:rsidRPr="00DB5074">
        <w:t>D</w:t>
      </w:r>
      <w:r w:rsidR="00C73BB2" w:rsidRPr="00DB5074">
        <w:t xml:space="preserve">T on </w:t>
      </w:r>
      <w:r w:rsidR="006F57A6" w:rsidRPr="00DB5074">
        <w:t>Thursday</w:t>
      </w:r>
      <w:r w:rsidR="00C73BB2" w:rsidRPr="00DB5074">
        <w:t xml:space="preserve">, </w:t>
      </w:r>
      <w:r w:rsidR="00690520" w:rsidRPr="00DB5074">
        <w:t>April</w:t>
      </w:r>
      <w:r w:rsidR="00C73BB2" w:rsidRPr="00DB5074">
        <w:t xml:space="preserve"> </w:t>
      </w:r>
      <w:r w:rsidR="00690520" w:rsidRPr="00DB5074">
        <w:t>2</w:t>
      </w:r>
      <w:r w:rsidR="00C73BB2" w:rsidRPr="00DB5074">
        <w:t>, 20</w:t>
      </w:r>
      <w:r w:rsidR="00690520" w:rsidRPr="00DB5074">
        <w:t>20</w:t>
      </w:r>
      <w:r w:rsidR="00C73BB2" w:rsidRPr="00DB5074">
        <w:t xml:space="preserve">. </w:t>
      </w:r>
      <w:r w:rsidR="00C73BB2" w:rsidRPr="00DB5074">
        <w:rPr>
          <w:lang w:val="fr-CA"/>
        </w:rPr>
        <w:t>T</w:t>
      </w:r>
      <w:r w:rsidR="00455BB9" w:rsidRPr="00DB5074">
        <w:rPr>
          <w:lang w:val="fr-CA"/>
        </w:rPr>
        <w:t>his</w:t>
      </w:r>
      <w:r w:rsidRPr="00DB5074">
        <w:rPr>
          <w:lang w:val="fr-CA"/>
        </w:rPr>
        <w:t xml:space="preserve"> list is subject to change.</w:t>
      </w:r>
    </w:p>
    <w:p w:rsidR="001C4415" w:rsidRPr="00DB5074" w:rsidRDefault="001C4415" w:rsidP="001C4415">
      <w:pPr>
        <w:widowControl w:val="0"/>
        <w:rPr>
          <w:lang w:val="fr-CA"/>
        </w:rPr>
      </w:pPr>
    </w:p>
    <w:p w:rsidR="00AB491A" w:rsidRPr="00DB5074" w:rsidRDefault="00AB491A" w:rsidP="001C4415">
      <w:pPr>
        <w:widowControl w:val="0"/>
        <w:rPr>
          <w:lang w:val="fr-CA"/>
        </w:rPr>
      </w:pPr>
    </w:p>
    <w:p w:rsidR="001335A1" w:rsidRPr="00DB5074" w:rsidRDefault="001335A1" w:rsidP="001335A1">
      <w:pPr>
        <w:widowControl w:val="0"/>
        <w:jc w:val="center"/>
        <w:rPr>
          <w:b/>
          <w:lang w:val="fr-CA"/>
        </w:rPr>
      </w:pPr>
      <w:r w:rsidRPr="00DB5074">
        <w:rPr>
          <w:b/>
          <w:lang w:val="fr-CA"/>
        </w:rPr>
        <w:t>PROCHAIN</w:t>
      </w:r>
      <w:r w:rsidR="006545ED" w:rsidRPr="00DB5074">
        <w:rPr>
          <w:b/>
          <w:lang w:val="fr-CA"/>
        </w:rPr>
        <w:t>S MOTIFS DE</w:t>
      </w:r>
      <w:r w:rsidRPr="00DB5074">
        <w:rPr>
          <w:b/>
          <w:lang w:val="fr-CA"/>
        </w:rPr>
        <w:t xml:space="preserve"> JUGEMENT</w:t>
      </w:r>
      <w:r w:rsidR="00455BB9" w:rsidRPr="00DB5074">
        <w:rPr>
          <w:b/>
          <w:lang w:val="fr-CA"/>
        </w:rPr>
        <w:t xml:space="preserve"> SUR APPEL</w:t>
      </w:r>
    </w:p>
    <w:p w:rsidR="001335A1" w:rsidRPr="00DB5074" w:rsidRDefault="001335A1" w:rsidP="001335A1">
      <w:pPr>
        <w:widowControl w:val="0"/>
        <w:rPr>
          <w:lang w:val="fr-CA"/>
        </w:rPr>
      </w:pPr>
    </w:p>
    <w:p w:rsidR="00EC79B0" w:rsidRPr="00DB5074" w:rsidRDefault="00EC79B0" w:rsidP="00EC79B0">
      <w:pPr>
        <w:widowControl w:val="0"/>
        <w:rPr>
          <w:b/>
          <w:lang w:val="fr-CA"/>
        </w:rPr>
      </w:pPr>
      <w:r w:rsidRPr="00DB5074">
        <w:rPr>
          <w:b/>
          <w:lang w:val="fr-CA"/>
        </w:rPr>
        <w:t xml:space="preserve">Le </w:t>
      </w:r>
      <w:r w:rsidR="00690520" w:rsidRPr="00DB5074">
        <w:rPr>
          <w:b/>
          <w:lang w:val="fr-CA"/>
        </w:rPr>
        <w:t>2</w:t>
      </w:r>
      <w:r w:rsidR="005973D8" w:rsidRPr="00DB5074">
        <w:rPr>
          <w:b/>
          <w:lang w:val="fr-CA"/>
        </w:rPr>
        <w:t>7</w:t>
      </w:r>
      <w:r w:rsidR="002F28E0" w:rsidRPr="00DB5074">
        <w:rPr>
          <w:b/>
          <w:lang w:val="fr-CA"/>
        </w:rPr>
        <w:t xml:space="preserve"> </w:t>
      </w:r>
      <w:r w:rsidR="00690520" w:rsidRPr="00DB5074">
        <w:rPr>
          <w:b/>
          <w:lang w:val="fr-CA"/>
        </w:rPr>
        <w:t>mars</w:t>
      </w:r>
      <w:r w:rsidR="00C86395" w:rsidRPr="00DB5074">
        <w:rPr>
          <w:b/>
          <w:lang w:val="fr-CA"/>
        </w:rPr>
        <w:t xml:space="preserve"> </w:t>
      </w:r>
      <w:r w:rsidR="0086609D" w:rsidRPr="00DB5074">
        <w:rPr>
          <w:b/>
          <w:lang w:val="fr-CA"/>
        </w:rPr>
        <w:t>20</w:t>
      </w:r>
      <w:r w:rsidR="00690520" w:rsidRPr="00DB5074">
        <w:rPr>
          <w:b/>
          <w:lang w:val="fr-CA"/>
        </w:rPr>
        <w:t>20</w:t>
      </w:r>
      <w:bookmarkStart w:id="0" w:name="_GoBack"/>
      <w:bookmarkEnd w:id="0"/>
    </w:p>
    <w:p w:rsidR="00EC79B0" w:rsidRPr="00DB5074" w:rsidRDefault="00EC79B0" w:rsidP="00EC79B0">
      <w:pPr>
        <w:widowControl w:val="0"/>
        <w:rPr>
          <w:b/>
          <w:lang w:val="fr-CA"/>
        </w:rPr>
      </w:pPr>
      <w:r w:rsidRPr="00DB5074">
        <w:rPr>
          <w:b/>
          <w:lang w:val="fr-CA"/>
        </w:rPr>
        <w:t>Pour diffusion immédiate</w:t>
      </w:r>
    </w:p>
    <w:p w:rsidR="00EC79B0" w:rsidRPr="00DB5074" w:rsidRDefault="00EC79B0" w:rsidP="00EC79B0">
      <w:pPr>
        <w:widowControl w:val="0"/>
        <w:rPr>
          <w:lang w:val="fr-CA"/>
        </w:rPr>
      </w:pPr>
    </w:p>
    <w:p w:rsidR="00EC79B0" w:rsidRDefault="00EC79B0" w:rsidP="00EC79B0">
      <w:pPr>
        <w:widowControl w:val="0"/>
        <w:rPr>
          <w:lang w:val="fr-CA"/>
        </w:rPr>
      </w:pPr>
      <w:r w:rsidRPr="00DB5074">
        <w:rPr>
          <w:b/>
          <w:lang w:val="fr-CA"/>
        </w:rPr>
        <w:t>OTTAWA</w:t>
      </w:r>
      <w:r w:rsidR="00C73BB2" w:rsidRPr="00DB5074">
        <w:rPr>
          <w:lang w:val="fr-CA"/>
        </w:rPr>
        <w:t xml:space="preserve"> – Le </w:t>
      </w:r>
      <w:r w:rsidR="00145B0A" w:rsidRPr="00DB5074">
        <w:rPr>
          <w:lang w:val="fr-CA"/>
        </w:rPr>
        <w:t>1</w:t>
      </w:r>
      <w:r w:rsidR="0043481E" w:rsidRPr="00DB5074">
        <w:rPr>
          <w:lang w:val="fr-CA"/>
        </w:rPr>
        <w:t>6</w:t>
      </w:r>
      <w:r w:rsidR="00C73BB2" w:rsidRPr="00DB5074">
        <w:rPr>
          <w:lang w:val="fr-CA"/>
        </w:rPr>
        <w:t xml:space="preserve"> </w:t>
      </w:r>
      <w:r w:rsidR="00145B0A" w:rsidRPr="00DB5074">
        <w:rPr>
          <w:lang w:val="fr-CA"/>
        </w:rPr>
        <w:t>octobre</w:t>
      </w:r>
      <w:r w:rsidR="00C73BB2" w:rsidRPr="00594A5F">
        <w:rPr>
          <w:lang w:val="fr-CA"/>
        </w:rPr>
        <w:t xml:space="preserve"> 201</w:t>
      </w:r>
      <w:r w:rsidR="0043481E" w:rsidRPr="00594A5F">
        <w:rPr>
          <w:lang w:val="fr-CA"/>
        </w:rPr>
        <w:t>9</w:t>
      </w:r>
      <w:r w:rsidR="00C73BB2" w:rsidRPr="00594A5F">
        <w:rPr>
          <w:lang w:val="fr-CA"/>
        </w:rPr>
        <w:t>, la Cour suprême du Canada a accueilli l’appel</w:t>
      </w:r>
      <w:r w:rsidR="00DB5074">
        <w:rPr>
          <w:lang w:val="fr-CA"/>
        </w:rPr>
        <w:t xml:space="preserve"> avec</w:t>
      </w:r>
      <w:r w:rsidR="00C73BB2" w:rsidRPr="00594A5F">
        <w:rPr>
          <w:lang w:val="fr-CA"/>
        </w:rPr>
        <w:t xml:space="preserve"> motifs à suivre </w:t>
      </w:r>
      <w:r w:rsidR="00C73BB2" w:rsidRPr="001A02D9">
        <w:rPr>
          <w:szCs w:val="24"/>
          <w:lang w:val="fr-CA"/>
        </w:rPr>
        <w:t>dans</w:t>
      </w:r>
      <w:r w:rsidR="001A02D9" w:rsidRPr="001A02D9">
        <w:rPr>
          <w:szCs w:val="24"/>
          <w:lang w:val="fr-CA"/>
        </w:rPr>
        <w:t xml:space="preserve"> l’</w:t>
      </w:r>
      <w:r w:rsidR="00C73BB2" w:rsidRPr="001A02D9">
        <w:rPr>
          <w:szCs w:val="24"/>
          <w:lang w:val="fr-CA"/>
        </w:rPr>
        <w:t>appel</w:t>
      </w:r>
      <w:r w:rsidR="00C73BB2" w:rsidRPr="00594A5F">
        <w:rPr>
          <w:lang w:val="fr-CA"/>
        </w:rPr>
        <w:t xml:space="preserve"> suivant. Ses motifs</w:t>
      </w:r>
      <w:r w:rsidR="006F57A6" w:rsidRPr="00594A5F">
        <w:rPr>
          <w:lang w:val="fr-CA"/>
        </w:rPr>
        <w:t xml:space="preserve"> de jugement seront déposés le jeudi</w:t>
      </w:r>
      <w:r w:rsidR="00C73BB2" w:rsidRPr="00594A5F">
        <w:rPr>
          <w:lang w:val="fr-CA"/>
        </w:rPr>
        <w:t xml:space="preserve"> </w:t>
      </w:r>
      <w:r w:rsidR="00690520" w:rsidRPr="00594A5F">
        <w:rPr>
          <w:lang w:val="fr-CA"/>
        </w:rPr>
        <w:t>2</w:t>
      </w:r>
      <w:r w:rsidR="00C73BB2" w:rsidRPr="00594A5F">
        <w:rPr>
          <w:lang w:val="fr-CA"/>
        </w:rPr>
        <w:t xml:space="preserve"> </w:t>
      </w:r>
      <w:r w:rsidR="00690520" w:rsidRPr="00594A5F">
        <w:rPr>
          <w:lang w:val="fr-CA"/>
        </w:rPr>
        <w:t>avril</w:t>
      </w:r>
      <w:r w:rsidR="00C73BB2" w:rsidRPr="00594A5F">
        <w:rPr>
          <w:lang w:val="fr-CA"/>
        </w:rPr>
        <w:t xml:space="preserve"> 20</w:t>
      </w:r>
      <w:r w:rsidR="00690520" w:rsidRPr="00594A5F">
        <w:rPr>
          <w:lang w:val="fr-CA"/>
        </w:rPr>
        <w:t>20</w:t>
      </w:r>
      <w:r w:rsidR="00C73BB2" w:rsidRPr="00594A5F">
        <w:rPr>
          <w:lang w:val="fr-CA"/>
        </w:rPr>
        <w:t>, à 9 h 45 H</w:t>
      </w:r>
      <w:r w:rsidR="00690520" w:rsidRPr="00594A5F">
        <w:rPr>
          <w:lang w:val="fr-CA"/>
        </w:rPr>
        <w:t>A</w:t>
      </w:r>
      <w:r w:rsidR="00C73BB2" w:rsidRPr="00594A5F">
        <w:rPr>
          <w:lang w:val="fr-CA"/>
        </w:rPr>
        <w:t xml:space="preserve">E. </w:t>
      </w:r>
      <w:r w:rsidRPr="00594A5F">
        <w:rPr>
          <w:lang w:val="fr-CA"/>
        </w:rPr>
        <w:t>Cette liste est sujette à modifications.</w:t>
      </w:r>
    </w:p>
    <w:p w:rsidR="001335A1" w:rsidRPr="0043481E" w:rsidRDefault="001335A1" w:rsidP="001335A1">
      <w:pPr>
        <w:widowControl w:val="0"/>
        <w:rPr>
          <w:szCs w:val="24"/>
          <w:lang w:val="fr-CA"/>
        </w:rPr>
      </w:pPr>
    </w:p>
    <w:p w:rsidR="0043481E" w:rsidRPr="0043481E" w:rsidRDefault="001A02D9" w:rsidP="001335A1">
      <w:pPr>
        <w:widowControl w:val="0"/>
        <w:rPr>
          <w:szCs w:val="24"/>
          <w:lang w:val="fr-CA"/>
        </w:rPr>
      </w:pPr>
      <w:r>
        <w:rPr>
          <w:sz w:val="20"/>
        </w:rPr>
        <w:pict>
          <v:rect id="_x0000_i1025" style="width:2in;height:1pt" o:hrpct="0" o:hralign="center" o:hrstd="t" o:hrnoshade="t" o:hr="t" fillcolor="black [3213]" stroked="f"/>
        </w:pict>
      </w:r>
    </w:p>
    <w:p w:rsidR="001335A1" w:rsidRPr="0043481E" w:rsidRDefault="001335A1" w:rsidP="001335A1">
      <w:pPr>
        <w:widowControl w:val="0"/>
        <w:rPr>
          <w:szCs w:val="24"/>
          <w:lang w:val="fr-CA"/>
        </w:rPr>
      </w:pPr>
    </w:p>
    <w:p w:rsidR="00072A63" w:rsidRPr="0043481E" w:rsidRDefault="0043481E" w:rsidP="0043481E">
      <w:pPr>
        <w:rPr>
          <w:szCs w:val="24"/>
        </w:rPr>
      </w:pPr>
      <w:r w:rsidRPr="0043481E">
        <w:rPr>
          <w:i/>
          <w:iCs/>
          <w:szCs w:val="24"/>
        </w:rPr>
        <w:t>Her Majesty the Queen v. Justyn Kyle Napoleon Friesen</w:t>
      </w:r>
      <w:r w:rsidRPr="0043481E">
        <w:rPr>
          <w:szCs w:val="24"/>
        </w:rPr>
        <w:t xml:space="preserve"> (Man.) </w:t>
      </w:r>
      <w:r w:rsidRPr="0043481E">
        <w:rPr>
          <w:color w:val="333333"/>
          <w:szCs w:val="24"/>
        </w:rPr>
        <w:t>(</w:t>
      </w:r>
      <w:hyperlink r:id="rId7" w:history="1">
        <w:r w:rsidRPr="0043481E">
          <w:rPr>
            <w:rStyle w:val="Hyperlink"/>
            <w:szCs w:val="24"/>
          </w:rPr>
          <w:t>38300</w:t>
        </w:r>
      </w:hyperlink>
      <w:r w:rsidRPr="0043481E">
        <w:rPr>
          <w:color w:val="333333"/>
          <w:szCs w:val="24"/>
        </w:rPr>
        <w:t>)</w:t>
      </w:r>
    </w:p>
    <w:p w:rsidR="009B603F" w:rsidRPr="00972F9B" w:rsidRDefault="009B603F" w:rsidP="00340C6D">
      <w:pPr>
        <w:jc w:val="both"/>
        <w:rPr>
          <w:sz w:val="20"/>
        </w:rPr>
      </w:pPr>
    </w:p>
    <w:p w:rsidR="00972F9B" w:rsidRPr="00972F9B" w:rsidRDefault="00972F9B" w:rsidP="00340C6D">
      <w:pPr>
        <w:jc w:val="both"/>
        <w:rPr>
          <w:sz w:val="20"/>
        </w:rPr>
      </w:pPr>
    </w:p>
    <w:p w:rsidR="0043481E" w:rsidRPr="00865617" w:rsidRDefault="0043481E" w:rsidP="0043481E">
      <w:pPr>
        <w:pStyle w:val="SCCLsocParty"/>
        <w:rPr>
          <w:b/>
          <w:i w:val="0"/>
          <w:sz w:val="20"/>
          <w:szCs w:val="20"/>
          <w:lang w:val="en-CA"/>
        </w:rPr>
      </w:pPr>
      <w:r w:rsidRPr="0043481E">
        <w:rPr>
          <w:b/>
          <w:i w:val="0"/>
          <w:sz w:val="20"/>
          <w:szCs w:val="20"/>
          <w:lang w:val="en-CA"/>
        </w:rPr>
        <w:fldChar w:fldCharType="begin"/>
      </w:r>
      <w:r w:rsidRPr="0043481E">
        <w:rPr>
          <w:b/>
          <w:i w:val="0"/>
          <w:sz w:val="20"/>
          <w:szCs w:val="20"/>
          <w:lang w:val="en-CA"/>
        </w:rPr>
        <w:instrText xml:space="preserve"> SEQ CHAPTER \h \r 1</w:instrText>
      </w:r>
      <w:r w:rsidRPr="0043481E">
        <w:rPr>
          <w:b/>
          <w:i w:val="0"/>
          <w:sz w:val="20"/>
          <w:szCs w:val="20"/>
        </w:rPr>
        <w:fldChar w:fldCharType="end"/>
      </w:r>
      <w:r w:rsidRPr="0043481E">
        <w:rPr>
          <w:b/>
          <w:i w:val="0"/>
          <w:sz w:val="20"/>
          <w:szCs w:val="20"/>
          <w:lang w:val="en-CA"/>
        </w:rPr>
        <w:t>38300</w:t>
      </w:r>
      <w:r w:rsidRPr="0043481E">
        <w:rPr>
          <w:b/>
          <w:i w:val="0"/>
          <w:sz w:val="20"/>
          <w:szCs w:val="20"/>
          <w:lang w:val="en-CA"/>
        </w:rPr>
        <w:tab/>
      </w:r>
      <w:r w:rsidRPr="00865617">
        <w:rPr>
          <w:b/>
          <w:sz w:val="20"/>
          <w:szCs w:val="20"/>
          <w:lang w:val="en-CA"/>
        </w:rPr>
        <w:t>Her Majesty the Queen v. Justyn Kyle Napoleon Friesen</w:t>
      </w:r>
    </w:p>
    <w:p w:rsidR="0043481E" w:rsidRPr="004E45B3" w:rsidRDefault="0043481E" w:rsidP="0043481E">
      <w:pPr>
        <w:ind w:firstLine="720"/>
        <w:jc w:val="both"/>
        <w:rPr>
          <w:sz w:val="20"/>
          <w:lang w:val="en-CA"/>
        </w:rPr>
      </w:pPr>
      <w:r w:rsidRPr="004E45B3">
        <w:rPr>
          <w:sz w:val="20"/>
          <w:lang w:val="en-CA"/>
        </w:rPr>
        <w:t>(Man.) (Crim.) (By Leave)</w:t>
      </w:r>
    </w:p>
    <w:p w:rsidR="0043481E" w:rsidRPr="004E45B3" w:rsidRDefault="0043481E" w:rsidP="0043481E">
      <w:pPr>
        <w:widowControl w:val="0"/>
        <w:jc w:val="both"/>
        <w:rPr>
          <w:sz w:val="20"/>
          <w:lang w:val="en-CA"/>
        </w:rPr>
      </w:pPr>
    </w:p>
    <w:p w:rsidR="0043481E" w:rsidRPr="004E45B3" w:rsidRDefault="0043481E" w:rsidP="0043481E">
      <w:pPr>
        <w:jc w:val="both"/>
        <w:rPr>
          <w:sz w:val="20"/>
        </w:rPr>
      </w:pPr>
      <w:r w:rsidRPr="004E45B3">
        <w:rPr>
          <w:sz w:val="20"/>
        </w:rPr>
        <w:t>Criminal law - Sentencing - Are sentencing ranges for sexual offences against children still consistent with Parliamentary and judicial recognition of the severity of these crimes - Whether the Court of Appeal erred by interfering with the decision of the sentencing judge.</w:t>
      </w:r>
    </w:p>
    <w:p w:rsidR="0043481E" w:rsidRPr="004E45B3" w:rsidRDefault="0043481E" w:rsidP="0043481E">
      <w:pPr>
        <w:widowControl w:val="0"/>
        <w:jc w:val="both"/>
        <w:rPr>
          <w:sz w:val="20"/>
        </w:rPr>
      </w:pPr>
    </w:p>
    <w:p w:rsidR="0043481E" w:rsidRDefault="0043481E" w:rsidP="0043481E">
      <w:pPr>
        <w:jc w:val="both"/>
        <w:rPr>
          <w:sz w:val="20"/>
        </w:rPr>
      </w:pPr>
      <w:r w:rsidRPr="004E45B3">
        <w:rPr>
          <w:sz w:val="20"/>
          <w:lang w:val="en"/>
        </w:rPr>
        <w:t xml:space="preserve">The respondent, Mr. Friesen, met the mother through an online dating website. The mother brought Mr. Friesen to her home. On the date of the offence, the mother’s children were sleeping and were being cared for by the mother’s friend in the mother’s house. Mr. Friesen asked the mother to bring the child into the bedroom. The mother’s friend was awoken by the child’s screams, entered the bedroom and took the child out of the bedroom. Mr. Friesen demanded that the mother retrieve the child and threatened her if she did not comply with his demand. Mr. Friesen entered guilty pleas to sexual interference and attempted extortion. </w:t>
      </w:r>
      <w:r w:rsidRPr="004E45B3">
        <w:rPr>
          <w:sz w:val="20"/>
        </w:rPr>
        <w:t xml:space="preserve">The </w:t>
      </w:r>
      <w:r w:rsidRPr="004E45B3">
        <w:rPr>
          <w:sz w:val="20"/>
          <w:lang w:val="en"/>
        </w:rPr>
        <w:t xml:space="preserve">sentencing judge imposed a sentence of six years’ incarceration concurrent on both charges. The Court of Appeal </w:t>
      </w:r>
      <w:r w:rsidRPr="004E45B3">
        <w:rPr>
          <w:sz w:val="20"/>
        </w:rPr>
        <w:t>granted leave to appeal sentence. The Court of Appeal allowed the appeal and reduced the sentence from six to four and one-half years’ incarceration for the sexual interference conviction and reduced the sentence from six years to 18 months incarceration concurrent for the attempted extortion conviction.</w:t>
      </w:r>
    </w:p>
    <w:p w:rsidR="0043481E" w:rsidRDefault="0043481E" w:rsidP="0043481E">
      <w:pPr>
        <w:jc w:val="both"/>
        <w:rPr>
          <w:sz w:val="20"/>
        </w:rPr>
      </w:pPr>
    </w:p>
    <w:p w:rsidR="0043481E" w:rsidRPr="004E45B3" w:rsidRDefault="001A02D9" w:rsidP="0043481E">
      <w:pPr>
        <w:jc w:val="both"/>
        <w:rPr>
          <w:sz w:val="20"/>
          <w:lang w:val="en"/>
        </w:rPr>
      </w:pPr>
      <w:r>
        <w:rPr>
          <w:sz w:val="20"/>
        </w:rPr>
        <w:pict>
          <v:rect id="_x0000_i1026" style="width:2in;height:1pt" o:hrpct="0" o:hralign="center" o:hrstd="t" o:hrnoshade="t" o:hr="t" fillcolor="black [3213]" stroked="f"/>
        </w:pict>
      </w:r>
    </w:p>
    <w:p w:rsidR="0043481E" w:rsidRPr="004E45B3" w:rsidRDefault="0043481E" w:rsidP="0043481E">
      <w:pPr>
        <w:widowControl w:val="0"/>
        <w:jc w:val="both"/>
        <w:rPr>
          <w:sz w:val="20"/>
        </w:rPr>
      </w:pPr>
    </w:p>
    <w:p w:rsidR="0043481E" w:rsidRPr="00865617" w:rsidRDefault="0043481E" w:rsidP="0043481E">
      <w:pPr>
        <w:pStyle w:val="SCCLsocParty"/>
        <w:rPr>
          <w:b/>
          <w:i w:val="0"/>
          <w:sz w:val="20"/>
          <w:szCs w:val="20"/>
        </w:rPr>
      </w:pPr>
      <w:r w:rsidRPr="0043481E">
        <w:rPr>
          <w:b/>
          <w:i w:val="0"/>
          <w:sz w:val="20"/>
          <w:szCs w:val="20"/>
          <w:lang w:val="en-CA"/>
        </w:rPr>
        <w:fldChar w:fldCharType="begin"/>
      </w:r>
      <w:r w:rsidRPr="0043481E">
        <w:rPr>
          <w:b/>
          <w:i w:val="0"/>
          <w:sz w:val="20"/>
          <w:szCs w:val="20"/>
        </w:rPr>
        <w:instrText xml:space="preserve"> SEQ CHAPTER \h \r 1</w:instrText>
      </w:r>
      <w:r w:rsidRPr="0043481E">
        <w:rPr>
          <w:b/>
          <w:i w:val="0"/>
          <w:sz w:val="20"/>
          <w:szCs w:val="20"/>
        </w:rPr>
        <w:fldChar w:fldCharType="end"/>
      </w:r>
      <w:r w:rsidRPr="0043481E">
        <w:rPr>
          <w:b/>
          <w:i w:val="0"/>
          <w:sz w:val="20"/>
          <w:szCs w:val="20"/>
        </w:rPr>
        <w:t>38300</w:t>
      </w:r>
      <w:r w:rsidRPr="0043481E">
        <w:rPr>
          <w:b/>
          <w:i w:val="0"/>
          <w:sz w:val="20"/>
          <w:szCs w:val="20"/>
        </w:rPr>
        <w:tab/>
      </w:r>
      <w:r w:rsidRPr="00865617">
        <w:rPr>
          <w:b/>
          <w:sz w:val="20"/>
          <w:szCs w:val="20"/>
        </w:rPr>
        <w:t>Sa Majesté la Reine c. Justyn Kyle Napoleon Friesen</w:t>
      </w:r>
    </w:p>
    <w:p w:rsidR="0043481E" w:rsidRPr="004E45B3" w:rsidRDefault="0043481E" w:rsidP="0043481E">
      <w:pPr>
        <w:ind w:firstLine="720"/>
        <w:jc w:val="both"/>
        <w:rPr>
          <w:sz w:val="20"/>
          <w:lang w:val="fr-CA"/>
        </w:rPr>
      </w:pPr>
      <w:r w:rsidRPr="004E45B3">
        <w:rPr>
          <w:sz w:val="20"/>
          <w:lang w:val="fr-CA"/>
        </w:rPr>
        <w:t>(Man.) (Criminelle) (Autorisation)</w:t>
      </w:r>
    </w:p>
    <w:p w:rsidR="0043481E" w:rsidRPr="004E45B3" w:rsidRDefault="0043481E" w:rsidP="0043481E">
      <w:pPr>
        <w:widowControl w:val="0"/>
        <w:jc w:val="both"/>
        <w:rPr>
          <w:sz w:val="20"/>
          <w:lang w:val="fr-CA"/>
        </w:rPr>
      </w:pPr>
    </w:p>
    <w:p w:rsidR="0043481E" w:rsidRPr="004E45B3" w:rsidRDefault="0043481E" w:rsidP="0043481E">
      <w:pPr>
        <w:jc w:val="both"/>
        <w:rPr>
          <w:sz w:val="20"/>
          <w:lang w:val="fr-CA"/>
        </w:rPr>
      </w:pPr>
      <w:r w:rsidRPr="004E45B3">
        <w:rPr>
          <w:sz w:val="20"/>
          <w:lang w:val="fr-CA"/>
        </w:rPr>
        <w:lastRenderedPageBreak/>
        <w:t xml:space="preserve">Droit criminel - Détermination de la peine - Les fourchettes des peines pour les infractions sexuelles à l’endroit des enfants sont-elles encore compatibles avec la reconnaissance législative et judiciaire de la gravité de ces crimes? - La Cour d’appel a-t-elle commis une erreur en modifiant la décision du juge qui a prononcé la peine? </w:t>
      </w:r>
    </w:p>
    <w:p w:rsidR="0043481E" w:rsidRPr="004E45B3" w:rsidRDefault="0043481E" w:rsidP="0043481E">
      <w:pPr>
        <w:widowControl w:val="0"/>
        <w:jc w:val="both"/>
        <w:rPr>
          <w:sz w:val="20"/>
          <w:lang w:val="fr-CA"/>
        </w:rPr>
      </w:pPr>
    </w:p>
    <w:p w:rsidR="0043481E" w:rsidRPr="004E45B3" w:rsidRDefault="0043481E" w:rsidP="0043481E">
      <w:pPr>
        <w:jc w:val="both"/>
        <w:rPr>
          <w:sz w:val="20"/>
          <w:lang w:val="fr-CA"/>
        </w:rPr>
      </w:pPr>
      <w:r w:rsidRPr="004E45B3">
        <w:rPr>
          <w:sz w:val="20"/>
          <w:lang w:val="fr-CA"/>
        </w:rPr>
        <w:t>L’intimé, M. Friesen a rencontré la mère par un site de rencontre en ligne. La mère a emmené M. Friesen chez elle. À la date de l’infraction, les enfants de la mère dormaient et étaient gardés par l’amie de la mère chez cette dernière. Monsieur Friesen a demandé à la mère d’amener une des enfants dans la chambre. L’amie de la mère a été réveillée par les cris de l’enfant, elle est entrée dans la chambre et a sorti l’enfant de la chambre. Monsieur Friesen a exigé que la mère aille chercher l’enfant et il l’a menacée si elle n’obtempérait pas à sa demande. Monsieur Friesen a plaidé coupable de contacts sexuels et de tentative d’extorsion. Le juge chargé de déterminer la peine a imposé une peine d’emprisonnement de six ans, à être purgée concurremment sur les deux chefs d’accusation. La Cour d’appel a accordé l’autorisation d’interjeter appel de la peine. La Cour d’appel a accueilli l’appel et a réduit la peine de six ans à quatre ans et demi d’emprisonnement pour la déclaration de culpabilité de contacts sexuels et a réduit la peine de six ans à dix-huit mois d’emprisonnement, à être purgée concurremment pour la déclaration de culpabilité de tentative d’extorsion.</w:t>
      </w:r>
    </w:p>
    <w:p w:rsidR="0043481E" w:rsidRPr="0043481E" w:rsidRDefault="0043481E" w:rsidP="00340C6D">
      <w:pPr>
        <w:jc w:val="both"/>
        <w:rPr>
          <w:szCs w:val="24"/>
          <w:lang w:val="fr-CA"/>
        </w:rPr>
      </w:pPr>
    </w:p>
    <w:p w:rsidR="0043481E" w:rsidRPr="0043481E" w:rsidRDefault="001A02D9" w:rsidP="00340C6D">
      <w:pPr>
        <w:jc w:val="both"/>
        <w:rPr>
          <w:szCs w:val="24"/>
          <w:lang w:val="fr-CA"/>
        </w:rPr>
      </w:pPr>
      <w:r>
        <w:rPr>
          <w:sz w:val="20"/>
        </w:rPr>
        <w:pict>
          <v:rect id="_x0000_i1027" style="width:2in;height:1pt" o:hrpct="0" o:hralign="center" o:hrstd="t" o:hrnoshade="t" o:hr="t" fillcolor="black [3213]" stroked="f"/>
        </w:pict>
      </w:r>
    </w:p>
    <w:p w:rsidR="0043481E" w:rsidRPr="0043481E" w:rsidRDefault="0043481E" w:rsidP="00340C6D">
      <w:pPr>
        <w:jc w:val="both"/>
        <w:rPr>
          <w:szCs w:val="24"/>
          <w:lang w:val="fr-CA"/>
        </w:rPr>
      </w:pPr>
    </w:p>
    <w:p w:rsidR="00ED67FB" w:rsidRPr="009B603F" w:rsidRDefault="00ED67FB" w:rsidP="00340C6D">
      <w:pPr>
        <w:jc w:val="both"/>
        <w:rPr>
          <w:szCs w:val="24"/>
          <w:lang w:val="fr-CA"/>
        </w:rPr>
      </w:pPr>
    </w:p>
    <w:p w:rsidR="00072A63" w:rsidRPr="009B603F" w:rsidRDefault="00072A63" w:rsidP="00EC79B0">
      <w:pPr>
        <w:jc w:val="both"/>
        <w:rPr>
          <w:szCs w:val="24"/>
          <w:lang w:val="fr-CA"/>
        </w:rPr>
      </w:pPr>
    </w:p>
    <w:p w:rsidR="001C4415" w:rsidRPr="004C076F" w:rsidRDefault="001C4415" w:rsidP="001C4415">
      <w:pPr>
        <w:widowControl w:val="0"/>
        <w:outlineLvl w:val="0"/>
      </w:pPr>
      <w:r w:rsidRPr="004C076F">
        <w:t xml:space="preserve">Supreme Court of Canada / Cour suprême du </w:t>
      </w:r>
      <w:proofErr w:type="gramStart"/>
      <w:r w:rsidRPr="004C076F">
        <w:t>Canada :</w:t>
      </w:r>
      <w:proofErr w:type="gramEnd"/>
      <w:r w:rsidRPr="004C076F">
        <w:t xml:space="preserve"> </w:t>
      </w:r>
    </w:p>
    <w:p w:rsidR="001C4415" w:rsidRPr="004C076F" w:rsidRDefault="001A02D9" w:rsidP="001C4415">
      <w:pPr>
        <w:widowControl w:val="0"/>
        <w:outlineLvl w:val="0"/>
      </w:pPr>
      <w:hyperlink r:id="rId8" w:history="1">
        <w:r w:rsidR="001C4415" w:rsidRPr="004C076F">
          <w:rPr>
            <w:rStyle w:val="Hyperlink"/>
          </w:rPr>
          <w:t>comments-commentaires@scc-csc.ca</w:t>
        </w:r>
      </w:hyperlink>
    </w:p>
    <w:p w:rsidR="001C4415" w:rsidRPr="004C076F" w:rsidRDefault="001C4415" w:rsidP="001C4415">
      <w:pPr>
        <w:widowControl w:val="0"/>
        <w:outlineLvl w:val="0"/>
      </w:pPr>
      <w:r w:rsidRPr="004C076F">
        <w:t>(613) 995-4330</w:t>
      </w:r>
    </w:p>
    <w:p w:rsidR="001C4415" w:rsidRPr="004C076F" w:rsidRDefault="001C4415" w:rsidP="001C4415">
      <w:pPr>
        <w:widowControl w:val="0"/>
        <w:rPr>
          <w:sz w:val="20"/>
        </w:rPr>
      </w:pPr>
    </w:p>
    <w:p w:rsidR="0036476C" w:rsidRPr="00A8502B" w:rsidRDefault="001C4415" w:rsidP="0036476C">
      <w:pPr>
        <w:pStyle w:val="Footer"/>
        <w:jc w:val="center"/>
        <w:rPr>
          <w:lang w:val="fr-CA"/>
        </w:rPr>
      </w:pPr>
      <w:r w:rsidRPr="004C076F">
        <w:rPr>
          <w:lang w:val="fr-CA"/>
        </w:rPr>
        <w:t xml:space="preserve">- 30 </w:t>
      </w:r>
      <w:r w:rsidR="003C1B6E" w:rsidRPr="004C076F">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5B0A"/>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02D9"/>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BAD"/>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B7075"/>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3481E"/>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2A0E"/>
    <w:rsid w:val="00534E1E"/>
    <w:rsid w:val="00537187"/>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81503"/>
    <w:rsid w:val="00591F70"/>
    <w:rsid w:val="005932DF"/>
    <w:rsid w:val="00594A5F"/>
    <w:rsid w:val="00595150"/>
    <w:rsid w:val="00595922"/>
    <w:rsid w:val="005973D8"/>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052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7A6"/>
    <w:rsid w:val="006F6171"/>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2F9B"/>
    <w:rsid w:val="00975F1B"/>
    <w:rsid w:val="0097705F"/>
    <w:rsid w:val="009773EE"/>
    <w:rsid w:val="009813C5"/>
    <w:rsid w:val="009907CD"/>
    <w:rsid w:val="0099092D"/>
    <w:rsid w:val="009927A8"/>
    <w:rsid w:val="00992E03"/>
    <w:rsid w:val="00993EF1"/>
    <w:rsid w:val="00995BAC"/>
    <w:rsid w:val="009A229C"/>
    <w:rsid w:val="009A7FCE"/>
    <w:rsid w:val="009B06DD"/>
    <w:rsid w:val="009B603F"/>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3227"/>
    <w:rsid w:val="00A64DFD"/>
    <w:rsid w:val="00A709E8"/>
    <w:rsid w:val="00A8420B"/>
    <w:rsid w:val="00A8502B"/>
    <w:rsid w:val="00A86226"/>
    <w:rsid w:val="00A86D9C"/>
    <w:rsid w:val="00A920FB"/>
    <w:rsid w:val="00A9462E"/>
    <w:rsid w:val="00A96F68"/>
    <w:rsid w:val="00A97C36"/>
    <w:rsid w:val="00AA6478"/>
    <w:rsid w:val="00AB491A"/>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1F9B"/>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43BF"/>
    <w:rsid w:val="00C34DBC"/>
    <w:rsid w:val="00C3754A"/>
    <w:rsid w:val="00C443AF"/>
    <w:rsid w:val="00C51144"/>
    <w:rsid w:val="00C54C7F"/>
    <w:rsid w:val="00C55365"/>
    <w:rsid w:val="00C56B06"/>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074"/>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D67FB"/>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277B7"/>
    <w:rsid w:val="00F317F9"/>
    <w:rsid w:val="00F33A4A"/>
    <w:rsid w:val="00F353AE"/>
    <w:rsid w:val="00F36D46"/>
    <w:rsid w:val="00F43DC9"/>
    <w:rsid w:val="00F441EF"/>
    <w:rsid w:val="00F443E2"/>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ED67FB"/>
    <w:rPr>
      <w:b/>
      <w:lang w:val="fr-CA" w:eastAsia="en-CA"/>
    </w:rPr>
  </w:style>
  <w:style w:type="character" w:customStyle="1" w:styleId="SCCCaseDescriptorChar">
    <w:name w:val="SCC.CaseDescriptor Char"/>
    <w:basedOn w:val="DefaultParagraphFont"/>
    <w:link w:val="SCCCaseDescriptor"/>
    <w:rsid w:val="00ED67FB"/>
    <w:rPr>
      <w:b/>
      <w:sz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830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2020-03-26T23:41:00Z</dcterms:created>
  <dcterms:modified xsi:type="dcterms:W3CDTF">2020-03-26T23:46:00Z</dcterms:modified>
</cp:coreProperties>
</file>