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D517BD" w:rsidRDefault="000E391F" w:rsidP="000E391F">
      <w:pPr>
        <w:pStyle w:val="Header"/>
        <w:jc w:val="center"/>
        <w:rPr>
          <w:b/>
          <w:sz w:val="32"/>
        </w:rPr>
      </w:pPr>
      <w:r w:rsidRPr="00D517BD">
        <w:rPr>
          <w:b/>
          <w:sz w:val="32"/>
        </w:rPr>
        <w:t>Supreme Court of Canada / Cour suprême du Canada</w:t>
      </w:r>
    </w:p>
    <w:p w:rsidR="000E391F" w:rsidRPr="00D517BD" w:rsidRDefault="000E391F" w:rsidP="000E391F">
      <w:pPr>
        <w:widowControl w:val="0"/>
        <w:rPr>
          <w:i/>
        </w:rPr>
      </w:pPr>
    </w:p>
    <w:p w:rsidR="000E391F" w:rsidRPr="00D517BD" w:rsidRDefault="000E391F" w:rsidP="000E391F">
      <w:pPr>
        <w:widowControl w:val="0"/>
        <w:rPr>
          <w:i/>
        </w:rPr>
      </w:pPr>
    </w:p>
    <w:p w:rsidR="006F2579" w:rsidRPr="00D517BD" w:rsidRDefault="006F2579" w:rsidP="006F2579">
      <w:pPr>
        <w:widowControl w:val="0"/>
        <w:rPr>
          <w:i/>
          <w:sz w:val="20"/>
        </w:rPr>
      </w:pPr>
      <w:r w:rsidRPr="00D517BD">
        <w:rPr>
          <w:i/>
          <w:sz w:val="20"/>
        </w:rPr>
        <w:t>(</w:t>
      </w:r>
      <w:r w:rsidR="003240B6" w:rsidRPr="00D517BD">
        <w:rPr>
          <w:i/>
          <w:sz w:val="20"/>
        </w:rPr>
        <w:t>L</w:t>
      </w:r>
      <w:r w:rsidRPr="00D517BD">
        <w:rPr>
          <w:i/>
          <w:sz w:val="20"/>
        </w:rPr>
        <w:t>e français suit)</w:t>
      </w:r>
    </w:p>
    <w:p w:rsidR="006F2579" w:rsidRPr="00D517BD" w:rsidRDefault="006F2579" w:rsidP="006F2579">
      <w:pPr>
        <w:widowControl w:val="0"/>
      </w:pPr>
    </w:p>
    <w:p w:rsidR="006F2579" w:rsidRPr="00D517BD" w:rsidRDefault="00B07908" w:rsidP="006F2579">
      <w:pPr>
        <w:widowControl w:val="0"/>
        <w:jc w:val="center"/>
        <w:rPr>
          <w:b/>
        </w:rPr>
      </w:pPr>
      <w:r w:rsidRPr="00D517BD">
        <w:fldChar w:fldCharType="begin"/>
      </w:r>
      <w:r w:rsidR="006F2579" w:rsidRPr="00D517BD">
        <w:instrText xml:space="preserve"> SEQ CHAPTER \h \r 1</w:instrText>
      </w:r>
      <w:r w:rsidRPr="00D517BD">
        <w:fldChar w:fldCharType="end"/>
      </w:r>
      <w:r w:rsidR="006F2579" w:rsidRPr="00D517BD">
        <w:rPr>
          <w:b/>
        </w:rPr>
        <w:t>JUDGMENT</w:t>
      </w:r>
      <w:r w:rsidR="00B17AAC" w:rsidRPr="00D517BD">
        <w:rPr>
          <w:b/>
        </w:rPr>
        <w:t>S</w:t>
      </w:r>
      <w:r w:rsidR="006F2579" w:rsidRPr="00D517BD">
        <w:rPr>
          <w:b/>
        </w:rPr>
        <w:t xml:space="preserve"> TO B</w:t>
      </w:r>
      <w:r w:rsidR="00001846" w:rsidRPr="00D517BD">
        <w:rPr>
          <w:b/>
        </w:rPr>
        <w:t>E RENDERED IN LE</w:t>
      </w:r>
      <w:r w:rsidR="00A0288A" w:rsidRPr="00D517BD">
        <w:rPr>
          <w:b/>
        </w:rPr>
        <w:t>A</w:t>
      </w:r>
      <w:r w:rsidR="00001846" w:rsidRPr="00D517BD">
        <w:rPr>
          <w:b/>
        </w:rPr>
        <w:t>VE APPLICATION</w:t>
      </w:r>
      <w:r w:rsidR="00511288" w:rsidRPr="00D517BD">
        <w:rPr>
          <w:b/>
        </w:rPr>
        <w:t>S</w:t>
      </w:r>
    </w:p>
    <w:p w:rsidR="006F2579" w:rsidRPr="00D517BD" w:rsidRDefault="006F2579" w:rsidP="006F2579">
      <w:pPr>
        <w:widowControl w:val="0"/>
      </w:pPr>
    </w:p>
    <w:p w:rsidR="006F2579" w:rsidRPr="00D517BD" w:rsidRDefault="007A72CA" w:rsidP="006F2579">
      <w:pPr>
        <w:widowControl w:val="0"/>
      </w:pPr>
      <w:r w:rsidRPr="00D517BD">
        <w:rPr>
          <w:b/>
        </w:rPr>
        <w:t>June</w:t>
      </w:r>
      <w:r w:rsidR="00A15B66" w:rsidRPr="00D517BD">
        <w:rPr>
          <w:b/>
        </w:rPr>
        <w:t xml:space="preserve"> </w:t>
      </w:r>
      <w:r w:rsidRPr="00D517BD">
        <w:rPr>
          <w:b/>
        </w:rPr>
        <w:t>1</w:t>
      </w:r>
      <w:r w:rsidR="004441C7" w:rsidRPr="00D517BD">
        <w:rPr>
          <w:b/>
        </w:rPr>
        <w:t>,</w:t>
      </w:r>
      <w:r w:rsidR="006F2579" w:rsidRPr="00D517BD">
        <w:rPr>
          <w:b/>
        </w:rPr>
        <w:t xml:space="preserve"> </w:t>
      </w:r>
      <w:r w:rsidR="0054689F" w:rsidRPr="00D517BD">
        <w:rPr>
          <w:b/>
        </w:rPr>
        <w:t>20</w:t>
      </w:r>
      <w:r w:rsidR="00526754" w:rsidRPr="00D517BD">
        <w:rPr>
          <w:b/>
        </w:rPr>
        <w:t>20</w:t>
      </w:r>
    </w:p>
    <w:p w:rsidR="006F2579" w:rsidRPr="00D517BD" w:rsidRDefault="00674F39" w:rsidP="006F2579">
      <w:pPr>
        <w:widowControl w:val="0"/>
        <w:rPr>
          <w:b/>
        </w:rPr>
      </w:pPr>
      <w:r w:rsidRPr="00D517BD">
        <w:rPr>
          <w:b/>
        </w:rPr>
        <w:t>For immediate release</w:t>
      </w:r>
    </w:p>
    <w:p w:rsidR="006F2579" w:rsidRPr="00D517BD" w:rsidRDefault="006F2579" w:rsidP="006F2579">
      <w:pPr>
        <w:widowControl w:val="0"/>
      </w:pPr>
    </w:p>
    <w:p w:rsidR="006F2579" w:rsidRPr="00D517BD" w:rsidRDefault="006F2579" w:rsidP="006F2579">
      <w:pPr>
        <w:widowControl w:val="0"/>
        <w:rPr>
          <w:lang w:val="fr-CA"/>
        </w:rPr>
      </w:pPr>
      <w:r w:rsidRPr="00D517BD">
        <w:rPr>
          <w:b/>
        </w:rPr>
        <w:t>OTTAWA</w:t>
      </w:r>
      <w:r w:rsidRPr="00D517BD">
        <w:t xml:space="preserve"> – The Supreme Court of Canad</w:t>
      </w:r>
      <w:r w:rsidR="006246E4" w:rsidRPr="00D517BD">
        <w:t>a</w:t>
      </w:r>
      <w:r w:rsidRPr="00D517BD">
        <w:t xml:space="preserve"> announced today that judgment in the following </w:t>
      </w:r>
      <w:r w:rsidR="00DB6199" w:rsidRPr="00D517BD">
        <w:t xml:space="preserve">leave applications </w:t>
      </w:r>
      <w:r w:rsidRPr="00D517BD">
        <w:t xml:space="preserve">will be delivered at 9:45 a.m. </w:t>
      </w:r>
      <w:r w:rsidR="00E05816" w:rsidRPr="00D517BD">
        <w:t>E</w:t>
      </w:r>
      <w:r w:rsidR="00273FF3" w:rsidRPr="00D517BD">
        <w:t>D</w:t>
      </w:r>
      <w:r w:rsidR="00E05816" w:rsidRPr="00D517BD">
        <w:t>T</w:t>
      </w:r>
      <w:r w:rsidRPr="00D517BD">
        <w:t xml:space="preserve"> on Thursday, </w:t>
      </w:r>
      <w:r w:rsidR="007A72CA" w:rsidRPr="00D517BD">
        <w:t>June</w:t>
      </w:r>
      <w:r w:rsidR="00455912" w:rsidRPr="00D517BD">
        <w:t xml:space="preserve"> </w:t>
      </w:r>
      <w:r w:rsidR="007A72CA" w:rsidRPr="00D517BD">
        <w:t>4</w:t>
      </w:r>
      <w:r w:rsidR="007E112F" w:rsidRPr="00D517BD">
        <w:t>,</w:t>
      </w:r>
      <w:r w:rsidR="002F38D7" w:rsidRPr="00D517BD">
        <w:t xml:space="preserve"> </w:t>
      </w:r>
      <w:r w:rsidR="006648D1" w:rsidRPr="00D517BD">
        <w:t>20</w:t>
      </w:r>
      <w:r w:rsidR="00526754" w:rsidRPr="00D517BD">
        <w:t>20</w:t>
      </w:r>
      <w:r w:rsidRPr="00D517BD">
        <w:t xml:space="preserve">. </w:t>
      </w:r>
      <w:r w:rsidRPr="00D517BD">
        <w:rPr>
          <w:lang w:val="fr-CA"/>
        </w:rPr>
        <w:t>This list is subject to chang</w:t>
      </w:r>
      <w:r w:rsidR="00192F7F" w:rsidRPr="00D517BD">
        <w:rPr>
          <w:lang w:val="fr-CA"/>
        </w:rPr>
        <w:t>e</w:t>
      </w:r>
      <w:r w:rsidRPr="00D517BD">
        <w:rPr>
          <w:lang w:val="fr-CA"/>
        </w:rPr>
        <w:t>.</w:t>
      </w:r>
    </w:p>
    <w:p w:rsidR="00FF5AA4" w:rsidRPr="00D517BD" w:rsidRDefault="00FF5AA4" w:rsidP="006F2579">
      <w:pPr>
        <w:widowControl w:val="0"/>
        <w:rPr>
          <w:lang w:val="fr-CA"/>
        </w:rPr>
      </w:pPr>
    </w:p>
    <w:p w:rsidR="00B43418" w:rsidRPr="00D517BD" w:rsidRDefault="00B43418" w:rsidP="006F2579">
      <w:pPr>
        <w:widowControl w:val="0"/>
        <w:rPr>
          <w:lang w:val="fr-CA"/>
        </w:rPr>
      </w:pPr>
    </w:p>
    <w:p w:rsidR="006F2579" w:rsidRPr="00D517BD" w:rsidRDefault="006F2579" w:rsidP="006F2579">
      <w:pPr>
        <w:widowControl w:val="0"/>
        <w:jc w:val="center"/>
        <w:rPr>
          <w:lang w:val="fr-CA"/>
        </w:rPr>
      </w:pPr>
      <w:r w:rsidRPr="00D517BD">
        <w:rPr>
          <w:b/>
          <w:lang w:val="fr-CA"/>
        </w:rPr>
        <w:t>PROCHAIN</w:t>
      </w:r>
      <w:r w:rsidR="00B17AAC" w:rsidRPr="00D517BD">
        <w:rPr>
          <w:b/>
          <w:lang w:val="fr-CA"/>
        </w:rPr>
        <w:t>S</w:t>
      </w:r>
      <w:r w:rsidRPr="00D517BD">
        <w:rPr>
          <w:b/>
          <w:lang w:val="fr-CA"/>
        </w:rPr>
        <w:t xml:space="preserve"> JUGEMENT</w:t>
      </w:r>
      <w:r w:rsidR="00B17AAC" w:rsidRPr="00D517BD">
        <w:rPr>
          <w:b/>
          <w:lang w:val="fr-CA"/>
        </w:rPr>
        <w:t>S</w:t>
      </w:r>
      <w:r w:rsidR="00001846" w:rsidRPr="00D517BD">
        <w:rPr>
          <w:b/>
          <w:lang w:val="fr-CA"/>
        </w:rPr>
        <w:t xml:space="preserve"> SUR DEMANDE</w:t>
      </w:r>
      <w:r w:rsidR="00B17AAC" w:rsidRPr="00D517BD">
        <w:rPr>
          <w:b/>
          <w:lang w:val="fr-CA"/>
        </w:rPr>
        <w:t>S</w:t>
      </w:r>
      <w:r w:rsidRPr="00D517BD">
        <w:rPr>
          <w:b/>
          <w:lang w:val="fr-CA"/>
        </w:rPr>
        <w:t xml:space="preserve"> D’AUTORISATION</w:t>
      </w:r>
    </w:p>
    <w:p w:rsidR="006F2579" w:rsidRPr="00D517BD" w:rsidRDefault="006F2579" w:rsidP="006F2579">
      <w:pPr>
        <w:widowControl w:val="0"/>
        <w:rPr>
          <w:lang w:val="fr-CA"/>
        </w:rPr>
      </w:pPr>
    </w:p>
    <w:p w:rsidR="006F2579" w:rsidRPr="00D517BD" w:rsidRDefault="006F2579" w:rsidP="006F2579">
      <w:pPr>
        <w:widowControl w:val="0"/>
        <w:rPr>
          <w:lang w:val="fr-CA"/>
        </w:rPr>
      </w:pPr>
      <w:r w:rsidRPr="00D517BD">
        <w:rPr>
          <w:b/>
          <w:lang w:val="fr-CA"/>
        </w:rPr>
        <w:t>Le</w:t>
      </w:r>
      <w:r w:rsidR="00957A76" w:rsidRPr="00D517BD">
        <w:rPr>
          <w:b/>
          <w:lang w:val="fr-CA"/>
        </w:rPr>
        <w:t xml:space="preserve"> </w:t>
      </w:r>
      <w:r w:rsidR="007A72CA" w:rsidRPr="00D517BD">
        <w:rPr>
          <w:b/>
          <w:lang w:val="fr-CA"/>
        </w:rPr>
        <w:t>1</w:t>
      </w:r>
      <w:r w:rsidR="007A72CA" w:rsidRPr="00D517BD">
        <w:rPr>
          <w:b/>
          <w:vertAlign w:val="superscript"/>
          <w:lang w:val="fr-CA"/>
        </w:rPr>
        <w:t>e</w:t>
      </w:r>
      <w:r w:rsidR="00621047" w:rsidRPr="00D517BD">
        <w:rPr>
          <w:b/>
          <w:vertAlign w:val="superscript"/>
          <w:lang w:val="fr-CA"/>
        </w:rPr>
        <w:t>r</w:t>
      </w:r>
      <w:r w:rsidR="007A72CA" w:rsidRPr="00D517BD">
        <w:rPr>
          <w:b/>
          <w:lang w:val="fr-CA"/>
        </w:rPr>
        <w:t xml:space="preserve"> juin</w:t>
      </w:r>
      <w:r w:rsidR="00A151D1" w:rsidRPr="00D517BD">
        <w:rPr>
          <w:b/>
          <w:lang w:val="fr-CA"/>
        </w:rPr>
        <w:t xml:space="preserve"> 20</w:t>
      </w:r>
      <w:r w:rsidR="00526754" w:rsidRPr="00D517BD">
        <w:rPr>
          <w:b/>
          <w:lang w:val="fr-CA"/>
        </w:rPr>
        <w:t>20</w:t>
      </w:r>
    </w:p>
    <w:p w:rsidR="006F2579" w:rsidRPr="00D517BD" w:rsidRDefault="006F2579" w:rsidP="006F2579">
      <w:pPr>
        <w:widowControl w:val="0"/>
        <w:rPr>
          <w:b/>
          <w:lang w:val="fr-CA"/>
        </w:rPr>
      </w:pPr>
      <w:r w:rsidRPr="00D517BD">
        <w:rPr>
          <w:b/>
          <w:lang w:val="fr-CA"/>
        </w:rPr>
        <w:t>Pour diffusion immédiate</w:t>
      </w:r>
    </w:p>
    <w:p w:rsidR="006F2579" w:rsidRPr="00D517BD" w:rsidRDefault="006F2579" w:rsidP="006F2579">
      <w:pPr>
        <w:widowControl w:val="0"/>
        <w:rPr>
          <w:lang w:val="fr-CA"/>
        </w:rPr>
      </w:pPr>
    </w:p>
    <w:p w:rsidR="006F2579" w:rsidRPr="00D517BD" w:rsidRDefault="006F2579" w:rsidP="006F2579">
      <w:pPr>
        <w:widowControl w:val="0"/>
        <w:rPr>
          <w:lang w:val="fr-CA"/>
        </w:rPr>
      </w:pPr>
      <w:r w:rsidRPr="00D517BD">
        <w:rPr>
          <w:b/>
          <w:lang w:val="fr-CA"/>
        </w:rPr>
        <w:t>OTTAWA</w:t>
      </w:r>
      <w:r w:rsidRPr="00D517BD">
        <w:rPr>
          <w:lang w:val="fr-CA"/>
        </w:rPr>
        <w:t xml:space="preserve"> – La Cour suprême du Canada annonce que jugement ser</w:t>
      </w:r>
      <w:r w:rsidR="004259F9" w:rsidRPr="00D517BD">
        <w:rPr>
          <w:lang w:val="fr-CA"/>
        </w:rPr>
        <w:t>a</w:t>
      </w:r>
      <w:r w:rsidRPr="00D517BD">
        <w:rPr>
          <w:lang w:val="fr-CA"/>
        </w:rPr>
        <w:t xml:space="preserve"> rendu dans l</w:t>
      </w:r>
      <w:r w:rsidR="008600ED" w:rsidRPr="00D517BD">
        <w:rPr>
          <w:lang w:val="fr-CA"/>
        </w:rPr>
        <w:t>es</w:t>
      </w:r>
      <w:r w:rsidRPr="00D517BD">
        <w:rPr>
          <w:lang w:val="fr-CA"/>
        </w:rPr>
        <w:t xml:space="preserve"> demande</w:t>
      </w:r>
      <w:r w:rsidR="008600ED" w:rsidRPr="00D517BD">
        <w:rPr>
          <w:lang w:val="fr-CA"/>
        </w:rPr>
        <w:t>s</w:t>
      </w:r>
      <w:r w:rsidRPr="00D517BD">
        <w:rPr>
          <w:lang w:val="fr-CA"/>
        </w:rPr>
        <w:t xml:space="preserve"> d</w:t>
      </w:r>
      <w:r w:rsidR="00001846" w:rsidRPr="00D517BD">
        <w:rPr>
          <w:lang w:val="fr-CA"/>
        </w:rPr>
        <w:t>’autorisation suivante</w:t>
      </w:r>
      <w:r w:rsidR="008600ED" w:rsidRPr="00D517BD">
        <w:rPr>
          <w:lang w:val="fr-CA"/>
        </w:rPr>
        <w:t>s</w:t>
      </w:r>
      <w:r w:rsidRPr="00D517BD">
        <w:rPr>
          <w:lang w:val="fr-CA"/>
        </w:rPr>
        <w:t xml:space="preserve"> le jeudi </w:t>
      </w:r>
      <w:r w:rsidR="007A72CA" w:rsidRPr="00D517BD">
        <w:rPr>
          <w:lang w:val="fr-CA"/>
        </w:rPr>
        <w:t>4</w:t>
      </w:r>
      <w:r w:rsidR="00780317" w:rsidRPr="00D517BD">
        <w:rPr>
          <w:lang w:val="fr-CA"/>
        </w:rPr>
        <w:t xml:space="preserve"> </w:t>
      </w:r>
      <w:r w:rsidR="007A72CA" w:rsidRPr="00D517BD">
        <w:rPr>
          <w:lang w:val="fr-CA"/>
        </w:rPr>
        <w:t>juin</w:t>
      </w:r>
      <w:r w:rsidR="00694391" w:rsidRPr="00D517BD">
        <w:rPr>
          <w:lang w:val="fr-CA"/>
        </w:rPr>
        <w:t xml:space="preserve"> 2</w:t>
      </w:r>
      <w:r w:rsidR="006648D1" w:rsidRPr="00D517BD">
        <w:rPr>
          <w:lang w:val="fr-CA"/>
        </w:rPr>
        <w:t>0</w:t>
      </w:r>
      <w:r w:rsidR="00526754" w:rsidRPr="00D517BD">
        <w:rPr>
          <w:lang w:val="fr-CA"/>
        </w:rPr>
        <w:t>20</w:t>
      </w:r>
      <w:r w:rsidRPr="00D517BD">
        <w:rPr>
          <w:lang w:val="fr-CA"/>
        </w:rPr>
        <w:t xml:space="preserve">, à 9 h 45 </w:t>
      </w:r>
      <w:r w:rsidR="000627A2" w:rsidRPr="00D517BD">
        <w:rPr>
          <w:lang w:val="fr-CA"/>
        </w:rPr>
        <w:t>H</w:t>
      </w:r>
      <w:r w:rsidR="00273FF3" w:rsidRPr="00D517BD">
        <w:rPr>
          <w:lang w:val="fr-CA"/>
        </w:rPr>
        <w:t>A</w:t>
      </w:r>
      <w:r w:rsidRPr="00D517BD">
        <w:rPr>
          <w:lang w:val="fr-CA"/>
        </w:rPr>
        <w:t>E. Cette liste est sujette à modifications.</w:t>
      </w:r>
    </w:p>
    <w:p w:rsidR="0080556B" w:rsidRPr="00D517BD" w:rsidRDefault="0080556B" w:rsidP="009B14F4">
      <w:pPr>
        <w:widowControl w:val="0"/>
        <w:jc w:val="both"/>
        <w:rPr>
          <w:sz w:val="20"/>
          <w:lang w:val="fr-CA"/>
        </w:rPr>
      </w:pPr>
    </w:p>
    <w:p w:rsidR="00867C61" w:rsidRPr="00D517BD" w:rsidRDefault="00D517BD" w:rsidP="009B14F4">
      <w:pPr>
        <w:widowControl w:val="0"/>
        <w:jc w:val="both"/>
        <w:rPr>
          <w:sz w:val="20"/>
          <w:lang w:val="fr-CA"/>
        </w:rPr>
      </w:pPr>
      <w:r w:rsidRPr="00D517BD">
        <w:rPr>
          <w:sz w:val="20"/>
        </w:rPr>
        <w:pict>
          <v:rect id="_x0000_i1025" style="width:2in;height:1pt" o:hrpct="0" o:hralign="center" o:hrstd="t" o:hrnoshade="t" o:hr="t" fillcolor="black [3213]" stroked="f"/>
        </w:pict>
      </w:r>
    </w:p>
    <w:p w:rsidR="00774C10" w:rsidRPr="00D517BD" w:rsidRDefault="00774C10" w:rsidP="009B14F4">
      <w:pPr>
        <w:widowControl w:val="0"/>
        <w:jc w:val="both"/>
        <w:rPr>
          <w:sz w:val="20"/>
          <w:lang w:val="fr-CA"/>
        </w:rPr>
      </w:pPr>
    </w:p>
    <w:p w:rsidR="007A72CA" w:rsidRPr="00D517BD" w:rsidRDefault="007A72CA" w:rsidP="007A72CA">
      <w:pPr>
        <w:pStyle w:val="ListParagraph"/>
        <w:numPr>
          <w:ilvl w:val="0"/>
          <w:numId w:val="10"/>
        </w:numPr>
        <w:ind w:left="357" w:hanging="357"/>
        <w:jc w:val="both"/>
        <w:rPr>
          <w:sz w:val="20"/>
          <w:szCs w:val="20"/>
          <w:lang w:val="fr-CA"/>
        </w:rPr>
      </w:pPr>
      <w:r w:rsidRPr="00D517BD">
        <w:rPr>
          <w:i/>
          <w:sz w:val="20"/>
          <w:szCs w:val="20"/>
        </w:rPr>
        <w:t xml:space="preserve">Samora Fogah v. Her Majesty the Queen </w:t>
      </w:r>
      <w:r w:rsidRPr="00D517BD">
        <w:rPr>
          <w:sz w:val="20"/>
          <w:szCs w:val="20"/>
        </w:rPr>
        <w:t xml:space="preserve">(Ont.) </w:t>
      </w:r>
      <w:r w:rsidRPr="00D517BD">
        <w:rPr>
          <w:sz w:val="20"/>
          <w:szCs w:val="20"/>
          <w:lang w:val="fr-CA"/>
        </w:rPr>
        <w:t>(Criminal) (By Leave)</w:t>
      </w:r>
      <w:r w:rsidRPr="00D517BD">
        <w:rPr>
          <w:sz w:val="20"/>
          <w:lang w:val="fr-CA"/>
        </w:rPr>
        <w:t xml:space="preserve"> (</w:t>
      </w:r>
      <w:hyperlink r:id="rId8" w:history="1">
        <w:r w:rsidRPr="00D517BD">
          <w:rPr>
            <w:rStyle w:val="Hyperlink"/>
            <w:sz w:val="20"/>
            <w:szCs w:val="20"/>
            <w:lang w:val="fr-CA"/>
          </w:rPr>
          <w:t>390</w:t>
        </w:r>
        <w:r w:rsidRPr="00D517BD">
          <w:rPr>
            <w:rStyle w:val="Hyperlink"/>
            <w:sz w:val="20"/>
            <w:lang w:val="fr-CA"/>
          </w:rPr>
          <w:t>6</w:t>
        </w:r>
        <w:r w:rsidRPr="00D517BD">
          <w:rPr>
            <w:rStyle w:val="Hyperlink"/>
            <w:sz w:val="20"/>
            <w:szCs w:val="20"/>
            <w:lang w:val="fr-CA"/>
          </w:rPr>
          <w:t>9</w:t>
        </w:r>
      </w:hyperlink>
      <w:r w:rsidRPr="00D517BD">
        <w:rPr>
          <w:sz w:val="20"/>
          <w:lang w:val="fr-CA"/>
        </w:rPr>
        <w:t>)</w:t>
      </w:r>
    </w:p>
    <w:p w:rsidR="007A72CA" w:rsidRPr="00D517BD" w:rsidRDefault="007A72CA" w:rsidP="007A72CA">
      <w:pPr>
        <w:ind w:left="357" w:hanging="357"/>
        <w:jc w:val="both"/>
        <w:rPr>
          <w:sz w:val="20"/>
          <w:lang w:val="fr-CA"/>
        </w:rPr>
      </w:pPr>
    </w:p>
    <w:p w:rsidR="007A72CA" w:rsidRPr="00D517BD" w:rsidRDefault="007A72CA" w:rsidP="007A72CA">
      <w:pPr>
        <w:pStyle w:val="ListParagraph"/>
        <w:numPr>
          <w:ilvl w:val="0"/>
          <w:numId w:val="10"/>
        </w:numPr>
        <w:ind w:left="357" w:hanging="357"/>
        <w:jc w:val="both"/>
        <w:rPr>
          <w:sz w:val="20"/>
          <w:lang w:val="fr-FR"/>
        </w:rPr>
      </w:pPr>
      <w:r w:rsidRPr="00D517BD">
        <w:rPr>
          <w:i/>
          <w:sz w:val="20"/>
          <w:lang w:val="fr-FR"/>
        </w:rPr>
        <w:t xml:space="preserve">Halima Mhaichar c. Commission des normes, de l’équité, de la santé et de la sécurité du travail </w:t>
      </w:r>
      <w:r w:rsidRPr="00D517BD">
        <w:rPr>
          <w:sz w:val="20"/>
          <w:lang w:val="fr-FR"/>
        </w:rPr>
        <w:t xml:space="preserve">(Qc) (Civile) (Autorisation) </w:t>
      </w:r>
      <w:r w:rsidRPr="00D517BD">
        <w:rPr>
          <w:sz w:val="20"/>
          <w:lang w:val="fr-CA"/>
        </w:rPr>
        <w:t>(</w:t>
      </w:r>
      <w:hyperlink r:id="rId9" w:history="1">
        <w:r w:rsidRPr="00D517BD">
          <w:rPr>
            <w:rStyle w:val="Hyperlink"/>
            <w:sz w:val="20"/>
            <w:szCs w:val="20"/>
            <w:lang w:val="fr-CA"/>
          </w:rPr>
          <w:t>390</w:t>
        </w:r>
        <w:r w:rsidRPr="00D517BD">
          <w:rPr>
            <w:rStyle w:val="Hyperlink"/>
            <w:sz w:val="20"/>
            <w:lang w:val="fr-CA"/>
          </w:rPr>
          <w:t>51</w:t>
        </w:r>
      </w:hyperlink>
      <w:r w:rsidRPr="00D517BD">
        <w:rPr>
          <w:sz w:val="20"/>
          <w:lang w:val="fr-CA"/>
        </w:rPr>
        <w:t>)</w:t>
      </w:r>
    </w:p>
    <w:p w:rsidR="007A72CA" w:rsidRPr="00D517BD" w:rsidRDefault="007A72CA" w:rsidP="007A72CA">
      <w:pPr>
        <w:widowControl w:val="0"/>
        <w:ind w:left="357" w:hanging="357"/>
        <w:jc w:val="both"/>
        <w:rPr>
          <w:sz w:val="20"/>
          <w:lang w:val="fr-FR"/>
        </w:rPr>
      </w:pPr>
    </w:p>
    <w:p w:rsidR="007A72CA" w:rsidRPr="00D517BD" w:rsidRDefault="007A72CA" w:rsidP="007A72CA">
      <w:pPr>
        <w:pStyle w:val="ListParagraph"/>
        <w:numPr>
          <w:ilvl w:val="0"/>
          <w:numId w:val="10"/>
        </w:numPr>
        <w:ind w:left="357" w:hanging="357"/>
        <w:jc w:val="both"/>
        <w:rPr>
          <w:sz w:val="20"/>
          <w:szCs w:val="20"/>
        </w:rPr>
      </w:pPr>
      <w:r w:rsidRPr="00D517BD">
        <w:rPr>
          <w:i/>
          <w:sz w:val="20"/>
          <w:szCs w:val="20"/>
        </w:rPr>
        <w:t>Economical Mutual Insurance Company v. Sotira Tomec</w:t>
      </w:r>
      <w:r w:rsidRPr="00D517BD">
        <w:rPr>
          <w:sz w:val="20"/>
          <w:szCs w:val="20"/>
        </w:rPr>
        <w:t xml:space="preserve"> (Ont.) (Civil) (By Leave)</w:t>
      </w:r>
      <w:r w:rsidRPr="00D517BD">
        <w:rPr>
          <w:sz w:val="20"/>
        </w:rPr>
        <w:t xml:space="preserve"> (</w:t>
      </w:r>
      <w:hyperlink r:id="rId10" w:history="1">
        <w:r w:rsidRPr="00D517BD">
          <w:rPr>
            <w:rStyle w:val="Hyperlink"/>
            <w:sz w:val="20"/>
            <w:szCs w:val="20"/>
          </w:rPr>
          <w:t>390</w:t>
        </w:r>
        <w:r w:rsidRPr="00D517BD">
          <w:rPr>
            <w:rStyle w:val="Hyperlink"/>
            <w:sz w:val="20"/>
          </w:rPr>
          <w:t>17</w:t>
        </w:r>
      </w:hyperlink>
      <w:r w:rsidRPr="00D517BD">
        <w:rPr>
          <w:sz w:val="20"/>
        </w:rPr>
        <w:t>)</w:t>
      </w:r>
    </w:p>
    <w:p w:rsidR="0057402C" w:rsidRPr="00D517BD" w:rsidRDefault="0057402C" w:rsidP="0057402C">
      <w:pPr>
        <w:widowControl w:val="0"/>
        <w:ind w:left="357" w:hanging="357"/>
        <w:rPr>
          <w:sz w:val="20"/>
        </w:rPr>
      </w:pPr>
    </w:p>
    <w:p w:rsidR="0057402C" w:rsidRPr="00D517BD" w:rsidRDefault="00D517BD" w:rsidP="009B14F4">
      <w:pPr>
        <w:widowControl w:val="0"/>
        <w:jc w:val="both"/>
        <w:rPr>
          <w:sz w:val="20"/>
        </w:rPr>
      </w:pPr>
      <w:r w:rsidRPr="00D517BD">
        <w:rPr>
          <w:sz w:val="20"/>
        </w:rPr>
        <w:pict>
          <v:rect id="_x0000_i1026" style="width:2in;height:1pt" o:hrpct="0" o:hralign="center" o:hrstd="t" o:hrnoshade="t" o:hr="t" fillcolor="black [3213]" stroked="f"/>
        </w:pict>
      </w:r>
    </w:p>
    <w:p w:rsidR="0057402C" w:rsidRPr="00D517BD" w:rsidRDefault="0057402C" w:rsidP="009813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rPr>
            </w:pPr>
            <w:r w:rsidRPr="00D517BD">
              <w:rPr>
                <w:rStyle w:val="SCCFileNumberChar"/>
                <w:sz w:val="20"/>
                <w:szCs w:val="20"/>
              </w:rPr>
              <w:t>39069</w:t>
            </w:r>
          </w:p>
        </w:tc>
        <w:tc>
          <w:tcPr>
            <w:tcW w:w="4457" w:type="pct"/>
            <w:gridSpan w:val="3"/>
          </w:tcPr>
          <w:p w:rsidR="004A41C2" w:rsidRPr="00D517BD" w:rsidRDefault="004A41C2" w:rsidP="004A41C2">
            <w:pPr>
              <w:pStyle w:val="SCCLsocParty"/>
              <w:jc w:val="both"/>
              <w:rPr>
                <w:b/>
                <w:sz w:val="20"/>
                <w:szCs w:val="20"/>
                <w:lang w:val="en-US"/>
              </w:rPr>
            </w:pPr>
            <w:r w:rsidRPr="00D517BD">
              <w:rPr>
                <w:b/>
                <w:sz w:val="20"/>
                <w:szCs w:val="20"/>
                <w:lang w:val="en-US"/>
              </w:rPr>
              <w:t>Samora Fogah v. Her Majesty the Queen</w:t>
            </w:r>
          </w:p>
          <w:p w:rsidR="004A41C2" w:rsidRPr="00D517BD" w:rsidRDefault="004A41C2" w:rsidP="004A41C2">
            <w:pPr>
              <w:jc w:val="both"/>
              <w:rPr>
                <w:sz w:val="20"/>
              </w:rPr>
            </w:pPr>
            <w:r w:rsidRPr="00D517BD">
              <w:rPr>
                <w:sz w:val="20"/>
              </w:rPr>
              <w:t>(Ont.) (Criminal) (By Leave)</w:t>
            </w:r>
          </w:p>
        </w:tc>
      </w:tr>
      <w:tr w:rsidR="004A41C2" w:rsidRPr="00D517BD" w:rsidTr="00E95A6A">
        <w:tc>
          <w:tcPr>
            <w:tcW w:w="5000" w:type="pct"/>
            <w:gridSpan w:val="4"/>
          </w:tcPr>
          <w:p w:rsidR="004A41C2" w:rsidRPr="00D517BD" w:rsidRDefault="004A41C2" w:rsidP="004A41C2">
            <w:pPr>
              <w:jc w:val="both"/>
              <w:rPr>
                <w:sz w:val="20"/>
              </w:rPr>
            </w:pPr>
            <w:r w:rsidRPr="00D517BD">
              <w:rPr>
                <w:sz w:val="20"/>
              </w:rPr>
              <w:t>Criminal law — Charge to Jury — Reasonable doubt — Whether trial judge erred by directing jury when assessing reasonable doubt to consider supporting defence evidence or other evidence relied upon by defence?</w:t>
            </w:r>
          </w:p>
        </w:tc>
      </w:tr>
      <w:tr w:rsidR="004A41C2" w:rsidRPr="00D517BD" w:rsidTr="00E95A6A">
        <w:tc>
          <w:tcPr>
            <w:tcW w:w="5000" w:type="pct"/>
            <w:gridSpan w:val="4"/>
          </w:tcPr>
          <w:p w:rsidR="004A41C2" w:rsidRPr="00D517BD" w:rsidRDefault="004A41C2" w:rsidP="004A41C2">
            <w:pPr>
              <w:jc w:val="both"/>
              <w:rPr>
                <w:sz w:val="20"/>
              </w:rPr>
            </w:pPr>
          </w:p>
        </w:tc>
      </w:tr>
      <w:tr w:rsidR="004A41C2" w:rsidRPr="00D517BD" w:rsidTr="00E95A6A">
        <w:tc>
          <w:tcPr>
            <w:tcW w:w="5000" w:type="pct"/>
            <w:gridSpan w:val="4"/>
          </w:tcPr>
          <w:p w:rsidR="004A41C2" w:rsidRPr="00D517BD" w:rsidRDefault="004A41C2" w:rsidP="004A41C2">
            <w:pPr>
              <w:jc w:val="both"/>
              <w:rPr>
                <w:sz w:val="20"/>
              </w:rPr>
            </w:pPr>
            <w:r w:rsidRPr="00D517BD">
              <w:rPr>
                <w:sz w:val="20"/>
              </w:rPr>
              <w:t xml:space="preserve">Outside a bar in Toronto, Mr. Durant was fatally shot and Mr. Ruffolo was shot in the leg. Mr. Fogah was charged with four offences and tried before a jury. The trial judge instructed the jury on reasonable doubt. The charge on reasonable doubt gave directions on the verdict to return if the jury did or did not believe Mr. Fogah’s evidence supported by the other evidence relied on by the defence or if Mr. Fogah’s testimony or other evidence relied on by the defence did not leave them with a reasonable doubt of his guilt. The jury convicted Mr. Fogah of first degree murder, aggravated assault and discharging a prohibited firearm with intent to wound. The Court of Appeal dismissed an appeal from the convictions. </w:t>
            </w:r>
          </w:p>
          <w:p w:rsidR="004A41C2" w:rsidRPr="00D517BD" w:rsidRDefault="004A41C2" w:rsidP="004A41C2">
            <w:pPr>
              <w:jc w:val="both"/>
              <w:rPr>
                <w:sz w:val="20"/>
              </w:rPr>
            </w:pPr>
          </w:p>
        </w:tc>
      </w:tr>
      <w:tr w:rsidR="004A41C2" w:rsidRPr="00D517BD" w:rsidTr="00E95A6A">
        <w:tc>
          <w:tcPr>
            <w:tcW w:w="2427" w:type="pct"/>
            <w:gridSpan w:val="2"/>
          </w:tcPr>
          <w:p w:rsidR="004A41C2" w:rsidRPr="00D517BD" w:rsidRDefault="004A41C2" w:rsidP="004A41C2">
            <w:pPr>
              <w:jc w:val="both"/>
              <w:rPr>
                <w:sz w:val="20"/>
              </w:rPr>
            </w:pPr>
            <w:r w:rsidRPr="00D517BD">
              <w:rPr>
                <w:sz w:val="20"/>
              </w:rPr>
              <w:t>June 25, 2014</w:t>
            </w:r>
          </w:p>
          <w:p w:rsidR="004A41C2" w:rsidRPr="00D517BD" w:rsidRDefault="004A41C2" w:rsidP="004A41C2">
            <w:pPr>
              <w:jc w:val="both"/>
              <w:rPr>
                <w:sz w:val="20"/>
              </w:rPr>
            </w:pPr>
            <w:r w:rsidRPr="00D517BD">
              <w:rPr>
                <w:sz w:val="20"/>
              </w:rPr>
              <w:t>Ontario Superior Court of Justice</w:t>
            </w:r>
          </w:p>
          <w:p w:rsidR="004A41C2" w:rsidRPr="00D517BD" w:rsidRDefault="004A41C2" w:rsidP="004A41C2">
            <w:pPr>
              <w:jc w:val="both"/>
              <w:rPr>
                <w:sz w:val="20"/>
              </w:rPr>
            </w:pPr>
            <w:r w:rsidRPr="00D517BD">
              <w:rPr>
                <w:sz w:val="20"/>
              </w:rPr>
              <w:t>(</w:t>
            </w:r>
            <w:proofErr w:type="spellStart"/>
            <w:r w:rsidRPr="00D517BD">
              <w:rPr>
                <w:sz w:val="20"/>
              </w:rPr>
              <w:t>Ducharme</w:t>
            </w:r>
            <w:proofErr w:type="spellEnd"/>
            <w:r w:rsidRPr="00D517BD">
              <w:rPr>
                <w:sz w:val="20"/>
              </w:rPr>
              <w:t xml:space="preserve"> J.) (Unreported)</w:t>
            </w:r>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 xml:space="preserve">Convictions by jury for first degree murder, aggravated assault, and discharging a prohibited firearm with intent to wound </w:t>
            </w:r>
          </w:p>
        </w:tc>
      </w:tr>
      <w:tr w:rsidR="004A41C2" w:rsidRPr="00D517BD" w:rsidTr="00E95A6A">
        <w:tc>
          <w:tcPr>
            <w:tcW w:w="2427" w:type="pct"/>
            <w:gridSpan w:val="2"/>
          </w:tcPr>
          <w:p w:rsidR="004A41C2" w:rsidRPr="00D517BD" w:rsidRDefault="004A41C2" w:rsidP="004A41C2">
            <w:pPr>
              <w:jc w:val="both"/>
              <w:rPr>
                <w:sz w:val="20"/>
              </w:rPr>
            </w:pPr>
            <w:r w:rsidRPr="00D517BD">
              <w:rPr>
                <w:sz w:val="20"/>
              </w:rPr>
              <w:lastRenderedPageBreak/>
              <w:t>June 25, 2018</w:t>
            </w:r>
          </w:p>
          <w:p w:rsidR="004A41C2" w:rsidRPr="00D517BD" w:rsidRDefault="004A41C2" w:rsidP="004A41C2">
            <w:pPr>
              <w:jc w:val="both"/>
              <w:rPr>
                <w:sz w:val="20"/>
              </w:rPr>
            </w:pPr>
            <w:r w:rsidRPr="00D517BD">
              <w:rPr>
                <w:sz w:val="20"/>
              </w:rPr>
              <w:t>Court of Appeal for Ontario</w:t>
            </w:r>
          </w:p>
          <w:p w:rsidR="004A41C2" w:rsidRPr="00D517BD" w:rsidRDefault="004A41C2" w:rsidP="004A41C2">
            <w:pPr>
              <w:jc w:val="both"/>
              <w:rPr>
                <w:sz w:val="20"/>
              </w:rPr>
            </w:pPr>
            <w:r w:rsidRPr="00D517BD">
              <w:rPr>
                <w:sz w:val="20"/>
              </w:rPr>
              <w:t>(Feldman, Brown, Fairburn JJ.A.)</w:t>
            </w:r>
          </w:p>
          <w:p w:rsidR="004A41C2" w:rsidRPr="00D517BD" w:rsidRDefault="00D517BD" w:rsidP="004A41C2">
            <w:pPr>
              <w:jc w:val="both"/>
              <w:rPr>
                <w:sz w:val="20"/>
                <w:lang w:val="en"/>
              </w:rPr>
            </w:pPr>
            <w:hyperlink r:id="rId11" w:history="1">
              <w:r w:rsidR="004A41C2" w:rsidRPr="00D517BD">
                <w:rPr>
                  <w:rStyle w:val="Hyperlink"/>
                  <w:sz w:val="20"/>
                </w:rPr>
                <w:t>2018 ONCA 564</w:t>
              </w:r>
            </w:hyperlink>
            <w:r w:rsidR="004A41C2" w:rsidRPr="00D517BD">
              <w:rPr>
                <w:sz w:val="20"/>
              </w:rPr>
              <w:t>; C61607</w:t>
            </w:r>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Appeal dismissed</w:t>
            </w:r>
          </w:p>
          <w:p w:rsidR="004A41C2" w:rsidRPr="00D517BD" w:rsidRDefault="004A41C2" w:rsidP="004A41C2">
            <w:pPr>
              <w:jc w:val="both"/>
              <w:rPr>
                <w:sz w:val="20"/>
              </w:rPr>
            </w:pPr>
          </w:p>
        </w:tc>
      </w:tr>
      <w:tr w:rsidR="004A41C2" w:rsidRPr="00D517BD" w:rsidTr="00E95A6A">
        <w:tc>
          <w:tcPr>
            <w:tcW w:w="2427" w:type="pct"/>
            <w:gridSpan w:val="2"/>
          </w:tcPr>
          <w:p w:rsidR="004A41C2" w:rsidRPr="00D517BD" w:rsidRDefault="004A41C2" w:rsidP="004A41C2">
            <w:pPr>
              <w:jc w:val="both"/>
              <w:rPr>
                <w:sz w:val="20"/>
              </w:rPr>
            </w:pPr>
            <w:r w:rsidRPr="00D517BD">
              <w:rPr>
                <w:sz w:val="20"/>
              </w:rPr>
              <w:t>September 13, 2019</w:t>
            </w:r>
          </w:p>
          <w:p w:rsidR="004A41C2" w:rsidRPr="00D517BD" w:rsidRDefault="004A41C2" w:rsidP="004A41C2">
            <w:pPr>
              <w:jc w:val="both"/>
              <w:rPr>
                <w:sz w:val="20"/>
              </w:rPr>
            </w:pPr>
            <w:r w:rsidRPr="00D517BD">
              <w:rPr>
                <w:sz w:val="20"/>
              </w:rPr>
              <w:t>Supreme Court of Canada</w:t>
            </w: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Motion for extension of time to serve and file application for leave to appeal, motion to appoint counsel and Application for leave to appeal filed</w:t>
            </w:r>
          </w:p>
        </w:tc>
      </w:tr>
    </w:tbl>
    <w:p w:rsidR="004A41C2" w:rsidRPr="00D517BD" w:rsidRDefault="004A41C2" w:rsidP="004A41C2">
      <w:pPr>
        <w:jc w:val="both"/>
        <w:rPr>
          <w:sz w:val="20"/>
        </w:rPr>
      </w:pPr>
    </w:p>
    <w:p w:rsidR="00AB5983" w:rsidRPr="00D517BD" w:rsidRDefault="00D517BD" w:rsidP="004A41C2">
      <w:pPr>
        <w:jc w:val="both"/>
        <w:rPr>
          <w:sz w:val="20"/>
        </w:rPr>
      </w:pPr>
      <w:r w:rsidRPr="00D517BD">
        <w:rPr>
          <w:sz w:val="20"/>
        </w:rPr>
        <w:pict>
          <v:rect id="_x0000_i1027" style="width:2in;height:1pt" o:hrpct="0" o:hralign="center" o:hrstd="t" o:hrnoshade="t" o:hr="t" fillcolor="black [3213]" stroked="f"/>
        </w:pict>
      </w:r>
    </w:p>
    <w:p w:rsidR="00AB5983" w:rsidRPr="00D517BD" w:rsidRDefault="00AB5983" w:rsidP="004A41C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lang w:val="fr-CA"/>
              </w:rPr>
            </w:pPr>
            <w:r w:rsidRPr="00D517BD">
              <w:rPr>
                <w:rStyle w:val="SCCFileNumberChar"/>
                <w:sz w:val="20"/>
                <w:szCs w:val="20"/>
                <w:lang w:val="fr-CA"/>
              </w:rPr>
              <w:t>39069</w:t>
            </w:r>
          </w:p>
        </w:tc>
        <w:tc>
          <w:tcPr>
            <w:tcW w:w="4457" w:type="pct"/>
            <w:gridSpan w:val="3"/>
          </w:tcPr>
          <w:p w:rsidR="004A41C2" w:rsidRPr="00D517BD" w:rsidRDefault="004A41C2" w:rsidP="004A41C2">
            <w:pPr>
              <w:pStyle w:val="SCCLsocParty"/>
              <w:jc w:val="both"/>
              <w:rPr>
                <w:b/>
                <w:sz w:val="20"/>
                <w:szCs w:val="20"/>
              </w:rPr>
            </w:pPr>
            <w:r w:rsidRPr="00D517BD">
              <w:rPr>
                <w:b/>
                <w:sz w:val="20"/>
                <w:szCs w:val="20"/>
              </w:rPr>
              <w:t>Samora Fogah c. Sa Majesté la Reine</w:t>
            </w:r>
          </w:p>
          <w:p w:rsidR="004A41C2" w:rsidRPr="00D517BD" w:rsidRDefault="004A41C2" w:rsidP="004A41C2">
            <w:pPr>
              <w:jc w:val="both"/>
              <w:rPr>
                <w:sz w:val="20"/>
                <w:lang w:val="fr-CA"/>
              </w:rPr>
            </w:pPr>
            <w:r w:rsidRPr="00D517BD">
              <w:rPr>
                <w:sz w:val="20"/>
                <w:lang w:val="fr-CA"/>
              </w:rPr>
              <w:t>(Ont.) (Criminelle) (Autorisation)</w:t>
            </w:r>
          </w:p>
        </w:tc>
      </w:tr>
      <w:tr w:rsidR="004A41C2" w:rsidRPr="00D517BD" w:rsidTr="00E95A6A">
        <w:tc>
          <w:tcPr>
            <w:tcW w:w="5000" w:type="pct"/>
            <w:gridSpan w:val="4"/>
          </w:tcPr>
          <w:p w:rsidR="004A41C2" w:rsidRPr="00D517BD" w:rsidRDefault="004A41C2" w:rsidP="004A41C2">
            <w:pPr>
              <w:jc w:val="both"/>
              <w:rPr>
                <w:sz w:val="20"/>
                <w:lang w:val="fr-CA"/>
              </w:rPr>
            </w:pPr>
            <w:r w:rsidRPr="00D517BD">
              <w:rPr>
                <w:sz w:val="20"/>
                <w:lang w:val="fr-CA"/>
              </w:rPr>
              <w:t>Droit criminel — Exposé au jury — Doute raisonnable — Le juge du procès a</w:t>
            </w:r>
            <w:r w:rsidRPr="00D517BD">
              <w:rPr>
                <w:sz w:val="20"/>
                <w:lang w:val="fr-CA"/>
              </w:rPr>
              <w:noBreakHyphen/>
              <w:t>t</w:t>
            </w:r>
            <w:r w:rsidRPr="00D517BD">
              <w:rPr>
                <w:sz w:val="20"/>
                <w:lang w:val="fr-CA"/>
              </w:rPr>
              <w:noBreakHyphen/>
              <w:t>il commis une erreur en demandant au jury, dans l’appréciation du doute raisonnable, d’examiner des éléments de preuve à l’appui présentés par la défense ou d’autres éléments de preuve sur lesquels la défense s’est appuyée?</w:t>
            </w:r>
          </w:p>
        </w:tc>
      </w:tr>
      <w:tr w:rsidR="004A41C2" w:rsidRPr="00D517BD" w:rsidTr="00E95A6A">
        <w:tc>
          <w:tcPr>
            <w:tcW w:w="5000" w:type="pct"/>
            <w:gridSpan w:val="4"/>
          </w:tcPr>
          <w:p w:rsidR="004A41C2" w:rsidRPr="00D517BD" w:rsidRDefault="004A41C2" w:rsidP="004A41C2">
            <w:pPr>
              <w:jc w:val="both"/>
              <w:rPr>
                <w:sz w:val="20"/>
                <w:lang w:val="fr-CA"/>
              </w:rPr>
            </w:pPr>
          </w:p>
        </w:tc>
      </w:tr>
      <w:tr w:rsidR="004A41C2" w:rsidRPr="00D517BD" w:rsidTr="00E95A6A">
        <w:tc>
          <w:tcPr>
            <w:tcW w:w="5000" w:type="pct"/>
            <w:gridSpan w:val="4"/>
          </w:tcPr>
          <w:p w:rsidR="004A41C2" w:rsidRPr="00D517BD" w:rsidRDefault="004A41C2" w:rsidP="004A41C2">
            <w:pPr>
              <w:jc w:val="both"/>
              <w:rPr>
                <w:sz w:val="20"/>
                <w:lang w:val="fr-CA"/>
              </w:rPr>
            </w:pPr>
            <w:r w:rsidRPr="00D517BD">
              <w:rPr>
                <w:sz w:val="20"/>
                <w:lang w:val="fr-CA"/>
              </w:rPr>
              <w:t xml:space="preserve">À l’extérieur d’un bar à Toronto, M. Durant a été mortellement atteint par balle et M. Ruffolo a été atteint par balle à la jambe. Monsieur Fogah a été accusé de quatre infractions et a subi son procès devant un jury. Le juge du procès a donné au jury des directives relatives au doute raisonnable. Dans son exposé sur le doute raisonnable, le juge a donné des directives sur le verdict qu’il convenait de rendre si le jury ajoutait foi ou non à la preuve de M. Fogah appuyée par les autres éléments de preuve sur lesquels la défense s’appuyait ou si le témoignage de M. Fogah ou les autres éléments de preuve sur lesquels la défense s’appuyait ne suscitaient dans leur esprit aucun doute raisonnable au sujet de sa culpabilité. Le jury a déclaré M. Fogah coupable de meurtre au premier degré, de voies de fait graves et d’avoir déchargé une arme à feu prohibée avec l’intention de blesser. La Cour d’appel a rejeté l’appel des déclarations de culpabilité. </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25 juillet 2014</w:t>
            </w:r>
          </w:p>
          <w:p w:rsidR="004A41C2" w:rsidRPr="00D517BD" w:rsidRDefault="004A41C2" w:rsidP="004A41C2">
            <w:pPr>
              <w:jc w:val="both"/>
              <w:rPr>
                <w:sz w:val="20"/>
                <w:lang w:val="fr-CA"/>
              </w:rPr>
            </w:pPr>
            <w:r w:rsidRPr="00D517BD">
              <w:rPr>
                <w:sz w:val="20"/>
                <w:lang w:val="fr-CA"/>
              </w:rPr>
              <w:t>Cour supérieure de justice de l’Ontario</w:t>
            </w:r>
          </w:p>
          <w:p w:rsidR="004A41C2" w:rsidRPr="00D517BD" w:rsidRDefault="004A41C2" w:rsidP="004A41C2">
            <w:pPr>
              <w:jc w:val="both"/>
              <w:rPr>
                <w:sz w:val="20"/>
                <w:lang w:val="fr-CA"/>
              </w:rPr>
            </w:pPr>
            <w:r w:rsidRPr="00D517BD">
              <w:rPr>
                <w:sz w:val="20"/>
                <w:lang w:val="fr-CA"/>
              </w:rPr>
              <w:t>(Juge Ducharme) (non publié)</w:t>
            </w:r>
          </w:p>
          <w:p w:rsidR="004A41C2" w:rsidRPr="00D517BD" w:rsidRDefault="004A41C2" w:rsidP="004A41C2">
            <w:pPr>
              <w:jc w:val="both"/>
              <w:rPr>
                <w:sz w:val="20"/>
                <w:lang w:val="fr-CA"/>
              </w:rPr>
            </w:pP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lang w:val="fr-CA"/>
              </w:rPr>
            </w:pPr>
            <w:r w:rsidRPr="00D517BD">
              <w:rPr>
                <w:sz w:val="20"/>
                <w:lang w:val="fr-CA"/>
              </w:rPr>
              <w:t>Déclarations de culpabilité par un jury de meurtre au premier degré, de voies de fait graves et d’avoir déchargé une arme à feu prohibée avec l’intention de blesser</w:t>
            </w: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25 juillet 2018</w:t>
            </w:r>
          </w:p>
          <w:p w:rsidR="004A41C2" w:rsidRPr="00D517BD" w:rsidRDefault="004A41C2" w:rsidP="004A41C2">
            <w:pPr>
              <w:jc w:val="both"/>
              <w:rPr>
                <w:sz w:val="20"/>
                <w:lang w:val="fr-CA"/>
              </w:rPr>
            </w:pPr>
            <w:r w:rsidRPr="00D517BD">
              <w:rPr>
                <w:sz w:val="20"/>
                <w:lang w:val="fr-CA"/>
              </w:rPr>
              <w:t>Cour d’appel de l’Ontario</w:t>
            </w:r>
          </w:p>
          <w:p w:rsidR="004A41C2" w:rsidRPr="00D517BD" w:rsidRDefault="004A41C2" w:rsidP="004A41C2">
            <w:pPr>
              <w:jc w:val="both"/>
              <w:rPr>
                <w:sz w:val="20"/>
                <w:lang w:val="fr-CA"/>
              </w:rPr>
            </w:pPr>
            <w:r w:rsidRPr="00D517BD">
              <w:rPr>
                <w:sz w:val="20"/>
                <w:lang w:val="fr-CA"/>
              </w:rPr>
              <w:t>(Juges Feldman, Brown et Fairburn)</w:t>
            </w:r>
          </w:p>
          <w:p w:rsidR="004A41C2" w:rsidRPr="00D517BD" w:rsidRDefault="00D517BD" w:rsidP="004A41C2">
            <w:pPr>
              <w:jc w:val="both"/>
              <w:rPr>
                <w:sz w:val="20"/>
                <w:lang w:val="fr-CA"/>
              </w:rPr>
            </w:pPr>
            <w:hyperlink r:id="rId12" w:history="1">
              <w:r w:rsidR="004A41C2" w:rsidRPr="00D517BD">
                <w:rPr>
                  <w:rStyle w:val="Hyperlink"/>
                  <w:sz w:val="20"/>
                  <w:lang w:val="fr-CA"/>
                </w:rPr>
                <w:t>2018 ONCA 564</w:t>
              </w:r>
            </w:hyperlink>
            <w:r w:rsidR="004A41C2" w:rsidRPr="00D517BD">
              <w:rPr>
                <w:sz w:val="20"/>
                <w:lang w:val="fr-CA"/>
              </w:rPr>
              <w:t>; C61607</w:t>
            </w:r>
          </w:p>
          <w:p w:rsidR="004A41C2" w:rsidRPr="00D517BD" w:rsidRDefault="004A41C2" w:rsidP="004A41C2">
            <w:pPr>
              <w:jc w:val="both"/>
              <w:rPr>
                <w:sz w:val="20"/>
                <w:lang w:val="fr-CA"/>
              </w:rPr>
            </w:pP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lang w:val="fr-CA"/>
              </w:rPr>
            </w:pPr>
            <w:r w:rsidRPr="00D517BD">
              <w:rPr>
                <w:sz w:val="20"/>
                <w:lang w:val="fr-CA"/>
              </w:rPr>
              <w:t>Rejet de l’appel</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13 septembre 2019</w:t>
            </w:r>
          </w:p>
          <w:p w:rsidR="004A41C2" w:rsidRPr="00D517BD" w:rsidRDefault="004A41C2" w:rsidP="004A41C2">
            <w:pPr>
              <w:jc w:val="both"/>
              <w:rPr>
                <w:sz w:val="20"/>
                <w:lang w:val="fr-CA"/>
              </w:rPr>
            </w:pPr>
            <w:r w:rsidRPr="00D517BD">
              <w:rPr>
                <w:sz w:val="20"/>
                <w:lang w:val="fr-CA"/>
              </w:rPr>
              <w:t>Cour suprême du Canada</w:t>
            </w: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lang w:val="fr-CA"/>
              </w:rPr>
            </w:pPr>
            <w:r w:rsidRPr="00D517BD">
              <w:rPr>
                <w:sz w:val="20"/>
                <w:lang w:val="fr-CA"/>
              </w:rPr>
              <w:t>Dépôt de la requête en prorogation du délai de signification et de dépôt de la demande d’autorisation d’appel, de la requête en nomination d’un procureur et de la demande d’autorisation d’appel</w:t>
            </w:r>
          </w:p>
        </w:tc>
      </w:tr>
    </w:tbl>
    <w:p w:rsidR="004A41C2" w:rsidRPr="00D517BD" w:rsidRDefault="004A41C2" w:rsidP="004A41C2">
      <w:pPr>
        <w:jc w:val="both"/>
        <w:rPr>
          <w:sz w:val="20"/>
          <w:lang w:val="fr-CA"/>
        </w:rPr>
      </w:pPr>
    </w:p>
    <w:p w:rsidR="00AB5983" w:rsidRPr="00D517BD" w:rsidRDefault="00D517BD" w:rsidP="004A41C2">
      <w:pPr>
        <w:jc w:val="both"/>
        <w:rPr>
          <w:sz w:val="20"/>
          <w:lang w:val="fr-CA"/>
        </w:rPr>
      </w:pPr>
      <w:r w:rsidRPr="00D517BD">
        <w:rPr>
          <w:sz w:val="20"/>
        </w:rPr>
        <w:pict>
          <v:rect id="_x0000_i1028" style="width:2in;height:1pt" o:hrpct="0" o:hralign="center" o:hrstd="t" o:hrnoshade="t" o:hr="t" fillcolor="black [3213]" stroked="f"/>
        </w:pict>
      </w:r>
    </w:p>
    <w:p w:rsidR="007A72CA" w:rsidRPr="00D517BD" w:rsidRDefault="007A72CA" w:rsidP="004A41C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lang w:val="en-CA"/>
              </w:rPr>
            </w:pPr>
            <w:r w:rsidRPr="00D517BD">
              <w:rPr>
                <w:rStyle w:val="SCCFileNumberChar"/>
                <w:sz w:val="20"/>
                <w:szCs w:val="20"/>
              </w:rPr>
              <w:t>39051</w:t>
            </w:r>
          </w:p>
        </w:tc>
        <w:tc>
          <w:tcPr>
            <w:tcW w:w="4457" w:type="pct"/>
            <w:gridSpan w:val="3"/>
          </w:tcPr>
          <w:p w:rsidR="004A41C2" w:rsidRPr="00D517BD" w:rsidRDefault="004A41C2" w:rsidP="004A41C2">
            <w:pPr>
              <w:pStyle w:val="SCCLsocParty"/>
              <w:jc w:val="both"/>
              <w:rPr>
                <w:b/>
                <w:sz w:val="20"/>
                <w:szCs w:val="20"/>
              </w:rPr>
            </w:pPr>
            <w:r w:rsidRPr="00D517BD">
              <w:rPr>
                <w:b/>
                <w:sz w:val="20"/>
                <w:szCs w:val="20"/>
              </w:rPr>
              <w:t>Halima Mhaichar v. Commission des normes, de l’équité, de la santé et de la sécurité du travail</w:t>
            </w:r>
          </w:p>
          <w:p w:rsidR="004A41C2" w:rsidRPr="00D517BD" w:rsidRDefault="004A41C2" w:rsidP="004A41C2">
            <w:pPr>
              <w:pStyle w:val="SCCLsocOtherPartySeparator"/>
              <w:rPr>
                <w:sz w:val="20"/>
                <w:szCs w:val="20"/>
                <w:lang w:val="en-CA"/>
              </w:rPr>
            </w:pPr>
            <w:r w:rsidRPr="00D517BD">
              <w:rPr>
                <w:sz w:val="20"/>
                <w:szCs w:val="20"/>
                <w:lang w:val="en-CA"/>
              </w:rPr>
              <w:t>- and -</w:t>
            </w:r>
          </w:p>
          <w:p w:rsidR="004A41C2" w:rsidRPr="00D517BD" w:rsidRDefault="004A41C2" w:rsidP="004A41C2">
            <w:pPr>
              <w:pStyle w:val="SCCLsocParty"/>
              <w:jc w:val="both"/>
              <w:rPr>
                <w:b/>
                <w:sz w:val="20"/>
                <w:szCs w:val="20"/>
                <w:lang w:val="en-CA"/>
              </w:rPr>
            </w:pPr>
            <w:r w:rsidRPr="00D517BD">
              <w:rPr>
                <w:b/>
                <w:sz w:val="20"/>
                <w:szCs w:val="20"/>
                <w:lang w:val="en-CA"/>
              </w:rPr>
              <w:t>Attorney General of Quebec, Crocs Canada Inc.</w:t>
            </w:r>
          </w:p>
          <w:p w:rsidR="004A41C2" w:rsidRPr="00D517BD" w:rsidRDefault="004A41C2" w:rsidP="004A41C2">
            <w:pPr>
              <w:jc w:val="both"/>
              <w:rPr>
                <w:sz w:val="20"/>
                <w:lang w:val="en-CA"/>
              </w:rPr>
            </w:pPr>
            <w:r w:rsidRPr="00D517BD">
              <w:rPr>
                <w:sz w:val="20"/>
                <w:lang w:val="en-CA"/>
              </w:rPr>
              <w:t>(Que.) (Civil) (By Leave)</w:t>
            </w:r>
          </w:p>
        </w:tc>
      </w:tr>
      <w:tr w:rsidR="004A41C2" w:rsidRPr="00D517BD" w:rsidTr="00E95A6A">
        <w:tc>
          <w:tcPr>
            <w:tcW w:w="5000" w:type="pct"/>
            <w:gridSpan w:val="4"/>
          </w:tcPr>
          <w:p w:rsidR="004A41C2" w:rsidRPr="00D517BD" w:rsidRDefault="004A41C2" w:rsidP="004A41C2">
            <w:pPr>
              <w:jc w:val="both"/>
              <w:rPr>
                <w:sz w:val="20"/>
                <w:lang w:val="en-CA"/>
              </w:rPr>
            </w:pPr>
            <w:proofErr w:type="gramStart"/>
            <w:r w:rsidRPr="00D517BD">
              <w:rPr>
                <w:sz w:val="20"/>
                <w:lang w:val="en-CA"/>
              </w:rPr>
              <w:t xml:space="preserve">Administrative law — Boards and tribunals — Commission des normes, de l’équité, de la santé et de la sécurité du travail — Procedure — Whether administrative decision declared null </w:t>
            </w:r>
            <w:r w:rsidRPr="00D517BD">
              <w:rPr>
                <w:i/>
                <w:sz w:val="20"/>
                <w:lang w:val="en-CA"/>
              </w:rPr>
              <w:t xml:space="preserve">ab initio </w:t>
            </w:r>
            <w:r w:rsidRPr="00D517BD">
              <w:rPr>
                <w:sz w:val="20"/>
                <w:lang w:val="en-CA"/>
              </w:rPr>
              <w:t>can continue to produce effects to detriment of individual — Whether individual is prohibited from applying for mandamus to enforce decision that is final and without appeal if another administrative remedy, for other reasons, could potentially lead to similar result.</w:t>
            </w:r>
            <w:proofErr w:type="gramEnd"/>
          </w:p>
        </w:tc>
      </w:tr>
      <w:tr w:rsidR="004A41C2" w:rsidRPr="00D517BD" w:rsidTr="00E95A6A">
        <w:tc>
          <w:tcPr>
            <w:tcW w:w="5000" w:type="pct"/>
            <w:gridSpan w:val="4"/>
          </w:tcPr>
          <w:p w:rsidR="004A41C2" w:rsidRPr="00D517BD" w:rsidRDefault="004A41C2" w:rsidP="004A41C2">
            <w:pPr>
              <w:jc w:val="both"/>
              <w:rPr>
                <w:sz w:val="20"/>
                <w:lang w:val="en-CA"/>
              </w:rPr>
            </w:pPr>
          </w:p>
        </w:tc>
      </w:tr>
      <w:tr w:rsidR="004A41C2" w:rsidRPr="00D517BD" w:rsidTr="00E95A6A">
        <w:tc>
          <w:tcPr>
            <w:tcW w:w="5000" w:type="pct"/>
            <w:gridSpan w:val="4"/>
          </w:tcPr>
          <w:p w:rsidR="004A41C2" w:rsidRPr="00D517BD" w:rsidRDefault="004A41C2" w:rsidP="004A41C2">
            <w:pPr>
              <w:jc w:val="both"/>
              <w:rPr>
                <w:color w:val="000000"/>
                <w:sz w:val="20"/>
                <w:shd w:val="clear" w:color="auto" w:fill="FFFFFF"/>
                <w:lang w:val="en-CA"/>
              </w:rPr>
            </w:pPr>
            <w:r w:rsidRPr="00D517BD">
              <w:rPr>
                <w:color w:val="000000"/>
                <w:sz w:val="20"/>
                <w:shd w:val="clear" w:color="auto" w:fill="FFFFFF"/>
                <w:lang w:val="en-CA"/>
              </w:rPr>
              <w:lastRenderedPageBreak/>
              <w:t xml:space="preserve">Between 2007 and 2010, Halima Mhaichar was the victim of an industrial accident, an automobile accident and a criminal offence. </w:t>
            </w:r>
            <w:proofErr w:type="spellStart"/>
            <w:r w:rsidRPr="00D517BD">
              <w:rPr>
                <w:color w:val="000000"/>
                <w:sz w:val="20"/>
                <w:shd w:val="clear" w:color="auto" w:fill="FFFFFF"/>
                <w:lang w:val="fr-CA"/>
              </w:rPr>
              <w:t>She</w:t>
            </w:r>
            <w:proofErr w:type="spellEnd"/>
            <w:r w:rsidRPr="00D517BD">
              <w:rPr>
                <w:color w:val="000000"/>
                <w:sz w:val="20"/>
                <w:shd w:val="clear" w:color="auto" w:fill="FFFFFF"/>
                <w:lang w:val="fr-CA"/>
              </w:rPr>
              <w:t xml:space="preserve"> filed claims for compensation with </w:t>
            </w:r>
            <w:proofErr w:type="spellStart"/>
            <w:r w:rsidRPr="00D517BD">
              <w:rPr>
                <w:color w:val="000000"/>
                <w:sz w:val="20"/>
                <w:shd w:val="clear" w:color="auto" w:fill="FFFFFF"/>
                <w:lang w:val="fr-CA"/>
              </w:rPr>
              <w:t>three</w:t>
            </w:r>
            <w:proofErr w:type="spellEnd"/>
            <w:r w:rsidRPr="00D517BD">
              <w:rPr>
                <w:color w:val="000000"/>
                <w:sz w:val="20"/>
                <w:shd w:val="clear" w:color="auto" w:fill="FFFFFF"/>
                <w:lang w:val="fr-CA"/>
              </w:rPr>
              <w:t xml:space="preserve"> administrative bodies: the Commission de la santé et de la sécurité du travail, the Société de l’assurance automobile du Québec and Indemnisation des victimes d’actes criminels. </w:t>
            </w:r>
            <w:proofErr w:type="gramStart"/>
            <w:r w:rsidRPr="00D517BD">
              <w:rPr>
                <w:color w:val="000000"/>
                <w:sz w:val="20"/>
                <w:shd w:val="clear" w:color="auto" w:fill="FFFFFF"/>
                <w:lang w:val="en-CA"/>
              </w:rPr>
              <w:t>After spending many years before those administrative bodies, she filed an application for judicial review (mandamus) with the Quebec Superior Court seeking an order to force the Commission des normes, de l’équité, de la santé et de la sécurité du travail to pay her $111,434.49 as an income replacement indemnity (plus interest) pursuant to a decision rendered by the Administrative Labour Tribunal on February 25, 2016.</w:t>
            </w:r>
            <w:proofErr w:type="gramEnd"/>
            <w:r w:rsidRPr="00D517BD">
              <w:rPr>
                <w:color w:val="000000"/>
                <w:sz w:val="20"/>
                <w:shd w:val="clear" w:color="auto" w:fill="FFFFFF"/>
                <w:lang w:val="en-CA"/>
              </w:rPr>
              <w:t xml:space="preserve"> A judge of the Quebec Superior Court declined jurisdiction and dismissed the application for mandamus</w:t>
            </w:r>
            <w:r w:rsidRPr="00D517BD">
              <w:rPr>
                <w:sz w:val="20"/>
                <w:lang w:val="en-CA"/>
              </w:rPr>
              <w:t xml:space="preserve">. An appeal to the Quebec Court of Appeal </w:t>
            </w:r>
            <w:proofErr w:type="gramStart"/>
            <w:r w:rsidRPr="00D517BD">
              <w:rPr>
                <w:sz w:val="20"/>
                <w:lang w:val="en-CA"/>
              </w:rPr>
              <w:t>was dismissed</w:t>
            </w:r>
            <w:proofErr w:type="gramEnd"/>
            <w:r w:rsidRPr="00D517BD">
              <w:rPr>
                <w:sz w:val="20"/>
                <w:lang w:val="en-CA"/>
              </w:rPr>
              <w:t>.</w:t>
            </w:r>
          </w:p>
          <w:p w:rsidR="004A41C2" w:rsidRPr="00D517BD" w:rsidRDefault="004A41C2" w:rsidP="004A41C2">
            <w:pPr>
              <w:jc w:val="both"/>
              <w:rPr>
                <w:sz w:val="20"/>
                <w:lang w:val="en-CA"/>
              </w:rPr>
            </w:pPr>
          </w:p>
        </w:tc>
      </w:tr>
      <w:tr w:rsidR="004A41C2" w:rsidRPr="00D517BD" w:rsidTr="00E95A6A">
        <w:tc>
          <w:tcPr>
            <w:tcW w:w="2427" w:type="pct"/>
            <w:gridSpan w:val="2"/>
          </w:tcPr>
          <w:p w:rsidR="004A41C2" w:rsidRPr="00D517BD" w:rsidRDefault="004A41C2" w:rsidP="004A41C2">
            <w:pPr>
              <w:jc w:val="both"/>
              <w:rPr>
                <w:sz w:val="20"/>
                <w:lang w:val="en-CA"/>
              </w:rPr>
            </w:pPr>
            <w:r w:rsidRPr="00D517BD">
              <w:rPr>
                <w:sz w:val="20"/>
                <w:lang w:val="en-CA"/>
              </w:rPr>
              <w:t>January 26, 2018</w:t>
            </w:r>
          </w:p>
          <w:p w:rsidR="004A41C2" w:rsidRPr="00D517BD" w:rsidRDefault="004A41C2" w:rsidP="004A41C2">
            <w:pPr>
              <w:jc w:val="both"/>
              <w:rPr>
                <w:sz w:val="20"/>
                <w:lang w:val="en-CA"/>
              </w:rPr>
            </w:pPr>
            <w:r w:rsidRPr="00D517BD">
              <w:rPr>
                <w:sz w:val="20"/>
                <w:lang w:val="en-CA"/>
              </w:rPr>
              <w:t>Quebec Superior Court</w:t>
            </w:r>
          </w:p>
          <w:p w:rsidR="004A41C2" w:rsidRPr="00D517BD" w:rsidRDefault="004A41C2" w:rsidP="004A41C2">
            <w:pPr>
              <w:jc w:val="both"/>
              <w:rPr>
                <w:sz w:val="20"/>
                <w:lang w:val="en-CA"/>
              </w:rPr>
            </w:pPr>
            <w:r w:rsidRPr="00D517BD">
              <w:rPr>
                <w:sz w:val="20"/>
                <w:lang w:val="en-CA"/>
              </w:rPr>
              <w:t>(St-Pierre J.)</w:t>
            </w:r>
          </w:p>
          <w:p w:rsidR="004A41C2" w:rsidRPr="00D517BD" w:rsidRDefault="00D517BD" w:rsidP="004A41C2">
            <w:pPr>
              <w:jc w:val="both"/>
              <w:rPr>
                <w:sz w:val="20"/>
                <w:lang w:val="en-CA"/>
              </w:rPr>
            </w:pPr>
            <w:hyperlink r:id="rId13" w:anchor="document" w:history="1">
              <w:r w:rsidR="004A41C2" w:rsidRPr="00D517BD">
                <w:rPr>
                  <w:rStyle w:val="Hyperlink"/>
                  <w:sz w:val="20"/>
                  <w:lang w:val="en-CA"/>
                </w:rPr>
                <w:t>2018 QCCS 350</w:t>
              </w:r>
            </w:hyperlink>
          </w:p>
          <w:p w:rsidR="004A41C2" w:rsidRPr="00D517BD" w:rsidRDefault="004A41C2" w:rsidP="004A41C2">
            <w:pPr>
              <w:jc w:val="both"/>
              <w:rPr>
                <w:sz w:val="20"/>
                <w:lang w:val="en-CA"/>
              </w:rPr>
            </w:pPr>
          </w:p>
        </w:tc>
        <w:tc>
          <w:tcPr>
            <w:tcW w:w="243" w:type="pct"/>
          </w:tcPr>
          <w:p w:rsidR="004A41C2" w:rsidRPr="00D517BD" w:rsidRDefault="004A41C2" w:rsidP="004A41C2">
            <w:pPr>
              <w:jc w:val="both"/>
              <w:rPr>
                <w:sz w:val="20"/>
                <w:lang w:val="en-CA"/>
              </w:rPr>
            </w:pPr>
          </w:p>
        </w:tc>
        <w:tc>
          <w:tcPr>
            <w:tcW w:w="2330" w:type="pct"/>
          </w:tcPr>
          <w:p w:rsidR="004A41C2" w:rsidRPr="00D517BD" w:rsidRDefault="004A41C2" w:rsidP="004A41C2">
            <w:pPr>
              <w:jc w:val="both"/>
              <w:rPr>
                <w:sz w:val="20"/>
                <w:lang w:val="en-CA"/>
              </w:rPr>
            </w:pPr>
            <w:r w:rsidRPr="00D517BD">
              <w:rPr>
                <w:sz w:val="20"/>
                <w:lang w:val="en-CA"/>
              </w:rPr>
              <w:t xml:space="preserve">Jurisdiction declined and application for mandamus dismissed </w:t>
            </w:r>
          </w:p>
        </w:tc>
      </w:tr>
      <w:tr w:rsidR="004A41C2" w:rsidRPr="00D517BD" w:rsidTr="00E95A6A">
        <w:tc>
          <w:tcPr>
            <w:tcW w:w="2427" w:type="pct"/>
            <w:gridSpan w:val="2"/>
          </w:tcPr>
          <w:p w:rsidR="004A41C2" w:rsidRPr="00D517BD" w:rsidRDefault="004A41C2" w:rsidP="004A41C2">
            <w:pPr>
              <w:jc w:val="both"/>
              <w:rPr>
                <w:sz w:val="20"/>
                <w:lang w:val="en-CA"/>
              </w:rPr>
            </w:pPr>
            <w:r w:rsidRPr="00D517BD">
              <w:rPr>
                <w:sz w:val="20"/>
                <w:lang w:val="en-CA"/>
              </w:rPr>
              <w:t>November 28, 2019</w:t>
            </w:r>
          </w:p>
          <w:p w:rsidR="004A41C2" w:rsidRPr="00D517BD" w:rsidRDefault="004A41C2" w:rsidP="004A41C2">
            <w:pPr>
              <w:jc w:val="both"/>
              <w:rPr>
                <w:sz w:val="20"/>
                <w:lang w:val="en-CA"/>
              </w:rPr>
            </w:pPr>
            <w:r w:rsidRPr="00D517BD">
              <w:rPr>
                <w:sz w:val="20"/>
                <w:lang w:val="en-CA"/>
              </w:rPr>
              <w:t>Quebec Court of Appeal (Montréal)</w:t>
            </w:r>
          </w:p>
          <w:p w:rsidR="004A41C2" w:rsidRPr="00D517BD" w:rsidRDefault="004A41C2" w:rsidP="004A41C2">
            <w:pPr>
              <w:jc w:val="both"/>
              <w:rPr>
                <w:sz w:val="20"/>
                <w:lang w:val="fr-CA"/>
              </w:rPr>
            </w:pPr>
            <w:r w:rsidRPr="00D517BD">
              <w:rPr>
                <w:sz w:val="20"/>
                <w:lang w:val="fr-CA"/>
              </w:rPr>
              <w:t>(</w:t>
            </w:r>
            <w:proofErr w:type="spellStart"/>
            <w:r w:rsidRPr="00D517BD">
              <w:rPr>
                <w:sz w:val="20"/>
                <w:lang w:val="fr-CA"/>
              </w:rPr>
              <w:t>Sansfaçon</w:t>
            </w:r>
            <w:proofErr w:type="spellEnd"/>
            <w:r w:rsidRPr="00D517BD">
              <w:rPr>
                <w:sz w:val="20"/>
                <w:lang w:val="fr-CA"/>
              </w:rPr>
              <w:t xml:space="preserve"> and Beaupré JJ.A.,</w:t>
            </w:r>
          </w:p>
          <w:p w:rsidR="004A41C2" w:rsidRPr="00D517BD" w:rsidRDefault="004A41C2" w:rsidP="004A41C2">
            <w:pPr>
              <w:jc w:val="both"/>
              <w:rPr>
                <w:sz w:val="20"/>
                <w:lang w:val="en-CA"/>
              </w:rPr>
            </w:pPr>
            <w:r w:rsidRPr="00D517BD">
              <w:rPr>
                <w:sz w:val="20"/>
                <w:lang w:val="en-CA"/>
              </w:rPr>
              <w:t>Schrager J.A. dissenting)</w:t>
            </w:r>
          </w:p>
          <w:p w:rsidR="004A41C2" w:rsidRPr="00D517BD" w:rsidRDefault="00D517BD" w:rsidP="004A41C2">
            <w:pPr>
              <w:jc w:val="both"/>
              <w:rPr>
                <w:sz w:val="20"/>
                <w:lang w:val="en-CA"/>
              </w:rPr>
            </w:pPr>
            <w:hyperlink r:id="rId14" w:history="1">
              <w:r w:rsidR="004A41C2" w:rsidRPr="00D517BD">
                <w:rPr>
                  <w:rStyle w:val="Hyperlink"/>
                  <w:sz w:val="20"/>
                  <w:lang w:val="en-CA"/>
                </w:rPr>
                <w:t>2019 QCCA 2041</w:t>
              </w:r>
            </w:hyperlink>
          </w:p>
          <w:p w:rsidR="004A41C2" w:rsidRPr="00D517BD" w:rsidRDefault="004A41C2" w:rsidP="004A41C2">
            <w:pPr>
              <w:jc w:val="both"/>
              <w:rPr>
                <w:sz w:val="20"/>
                <w:lang w:val="en-CA"/>
              </w:rPr>
            </w:pPr>
          </w:p>
        </w:tc>
        <w:tc>
          <w:tcPr>
            <w:tcW w:w="243" w:type="pct"/>
          </w:tcPr>
          <w:p w:rsidR="004A41C2" w:rsidRPr="00D517BD" w:rsidRDefault="004A41C2" w:rsidP="004A41C2">
            <w:pPr>
              <w:jc w:val="both"/>
              <w:rPr>
                <w:sz w:val="20"/>
                <w:lang w:val="en-CA"/>
              </w:rPr>
            </w:pPr>
          </w:p>
        </w:tc>
        <w:tc>
          <w:tcPr>
            <w:tcW w:w="2330" w:type="pct"/>
          </w:tcPr>
          <w:p w:rsidR="004A41C2" w:rsidRPr="00D517BD" w:rsidRDefault="004A41C2" w:rsidP="004A41C2">
            <w:pPr>
              <w:jc w:val="both"/>
              <w:rPr>
                <w:sz w:val="20"/>
                <w:lang w:val="en-CA"/>
              </w:rPr>
            </w:pPr>
            <w:r w:rsidRPr="00D517BD">
              <w:rPr>
                <w:sz w:val="20"/>
                <w:lang w:val="en-CA"/>
              </w:rPr>
              <w:t>Appeal dismissed</w:t>
            </w:r>
          </w:p>
        </w:tc>
      </w:tr>
      <w:tr w:rsidR="004A41C2" w:rsidRPr="00D517BD" w:rsidTr="00E95A6A">
        <w:tc>
          <w:tcPr>
            <w:tcW w:w="2427" w:type="pct"/>
            <w:gridSpan w:val="2"/>
          </w:tcPr>
          <w:p w:rsidR="004A41C2" w:rsidRPr="00D517BD" w:rsidRDefault="004A41C2" w:rsidP="004A41C2">
            <w:pPr>
              <w:jc w:val="both"/>
              <w:rPr>
                <w:sz w:val="20"/>
                <w:lang w:val="en-CA"/>
              </w:rPr>
            </w:pPr>
            <w:r w:rsidRPr="00D517BD">
              <w:rPr>
                <w:sz w:val="20"/>
                <w:lang w:val="en-CA"/>
              </w:rPr>
              <w:t>January 27, 2020</w:t>
            </w:r>
          </w:p>
          <w:p w:rsidR="004A41C2" w:rsidRPr="00D517BD" w:rsidRDefault="004A41C2" w:rsidP="004A41C2">
            <w:pPr>
              <w:jc w:val="both"/>
              <w:rPr>
                <w:sz w:val="20"/>
                <w:lang w:val="en-CA"/>
              </w:rPr>
            </w:pPr>
            <w:r w:rsidRPr="00D517BD">
              <w:rPr>
                <w:sz w:val="20"/>
                <w:lang w:val="en-CA"/>
              </w:rPr>
              <w:t>Supreme Court of Canada</w:t>
            </w:r>
          </w:p>
        </w:tc>
        <w:tc>
          <w:tcPr>
            <w:tcW w:w="243" w:type="pct"/>
          </w:tcPr>
          <w:p w:rsidR="004A41C2" w:rsidRPr="00D517BD" w:rsidRDefault="004A41C2" w:rsidP="004A41C2">
            <w:pPr>
              <w:jc w:val="both"/>
              <w:rPr>
                <w:sz w:val="20"/>
                <w:lang w:val="en-CA"/>
              </w:rPr>
            </w:pPr>
          </w:p>
        </w:tc>
        <w:tc>
          <w:tcPr>
            <w:tcW w:w="2330" w:type="pct"/>
          </w:tcPr>
          <w:p w:rsidR="004A41C2" w:rsidRPr="00D517BD" w:rsidRDefault="004A41C2" w:rsidP="004A41C2">
            <w:pPr>
              <w:jc w:val="both"/>
              <w:rPr>
                <w:sz w:val="20"/>
                <w:lang w:val="en-CA"/>
              </w:rPr>
            </w:pPr>
            <w:r w:rsidRPr="00D517BD">
              <w:rPr>
                <w:sz w:val="20"/>
                <w:lang w:val="en-CA"/>
              </w:rPr>
              <w:t>Application for leave to appeal filed</w:t>
            </w:r>
          </w:p>
          <w:p w:rsidR="004A41C2" w:rsidRPr="00D517BD" w:rsidRDefault="004A41C2" w:rsidP="004A41C2">
            <w:pPr>
              <w:jc w:val="both"/>
              <w:rPr>
                <w:sz w:val="20"/>
                <w:lang w:val="en-CA"/>
              </w:rPr>
            </w:pPr>
          </w:p>
        </w:tc>
      </w:tr>
    </w:tbl>
    <w:p w:rsidR="004A41C2" w:rsidRPr="00D517BD" w:rsidRDefault="004A41C2" w:rsidP="004A41C2">
      <w:pPr>
        <w:jc w:val="both"/>
        <w:rPr>
          <w:sz w:val="20"/>
          <w:lang w:val="en-CA"/>
        </w:rPr>
      </w:pPr>
    </w:p>
    <w:p w:rsidR="00AB5983" w:rsidRPr="00D517BD" w:rsidRDefault="00D517BD" w:rsidP="004A41C2">
      <w:pPr>
        <w:jc w:val="both"/>
        <w:rPr>
          <w:sz w:val="20"/>
          <w:lang w:val="en-CA"/>
        </w:rPr>
      </w:pPr>
      <w:r w:rsidRPr="00D517BD">
        <w:rPr>
          <w:sz w:val="20"/>
        </w:rPr>
        <w:pict>
          <v:rect id="_x0000_i1029" style="width:2in;height:1pt" o:hrpct="0" o:hralign="center" o:hrstd="t" o:hrnoshade="t" o:hr="t" fillcolor="black [3213]" stroked="f"/>
        </w:pict>
      </w:r>
    </w:p>
    <w:p w:rsidR="00AB5983" w:rsidRPr="00D517BD" w:rsidRDefault="00AB5983" w:rsidP="004A41C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rPr>
            </w:pPr>
            <w:r w:rsidRPr="00D517BD">
              <w:rPr>
                <w:rStyle w:val="SCCFileNumberChar"/>
                <w:sz w:val="20"/>
                <w:szCs w:val="20"/>
              </w:rPr>
              <w:t>39051</w:t>
            </w:r>
          </w:p>
        </w:tc>
        <w:tc>
          <w:tcPr>
            <w:tcW w:w="4457" w:type="pct"/>
            <w:gridSpan w:val="3"/>
          </w:tcPr>
          <w:p w:rsidR="004A41C2" w:rsidRPr="00D517BD" w:rsidRDefault="004A41C2" w:rsidP="004A41C2">
            <w:pPr>
              <w:pStyle w:val="SCCLsocParty"/>
              <w:jc w:val="both"/>
              <w:rPr>
                <w:b/>
                <w:sz w:val="20"/>
                <w:szCs w:val="20"/>
              </w:rPr>
            </w:pPr>
            <w:r w:rsidRPr="00D517BD">
              <w:rPr>
                <w:b/>
                <w:sz w:val="20"/>
                <w:szCs w:val="20"/>
              </w:rPr>
              <w:t>Halima Mhaichar c. Commission des normes, de l'équité, de la santé et de la sécurité du travail</w:t>
            </w:r>
          </w:p>
          <w:p w:rsidR="004A41C2" w:rsidRPr="00D517BD" w:rsidRDefault="004A41C2" w:rsidP="004A41C2">
            <w:pPr>
              <w:pStyle w:val="SCCLsocOtherPartySeparator"/>
              <w:rPr>
                <w:sz w:val="20"/>
                <w:szCs w:val="20"/>
              </w:rPr>
            </w:pPr>
            <w:r w:rsidRPr="00D517BD">
              <w:rPr>
                <w:sz w:val="20"/>
                <w:szCs w:val="20"/>
              </w:rPr>
              <w:t>- et -</w:t>
            </w:r>
          </w:p>
          <w:p w:rsidR="004A41C2" w:rsidRPr="00D517BD" w:rsidRDefault="004A41C2" w:rsidP="004A41C2">
            <w:pPr>
              <w:pStyle w:val="SCCLsocParty"/>
              <w:jc w:val="both"/>
              <w:rPr>
                <w:b/>
                <w:sz w:val="20"/>
                <w:szCs w:val="20"/>
              </w:rPr>
            </w:pPr>
            <w:r w:rsidRPr="00D517BD">
              <w:rPr>
                <w:b/>
                <w:sz w:val="20"/>
                <w:szCs w:val="20"/>
              </w:rPr>
              <w:t>Procureure générale du Québec, Crocs Canada Inc.</w:t>
            </w:r>
          </w:p>
          <w:p w:rsidR="004A41C2" w:rsidRPr="00D517BD" w:rsidRDefault="004A41C2" w:rsidP="004A41C2">
            <w:pPr>
              <w:jc w:val="both"/>
              <w:rPr>
                <w:sz w:val="20"/>
              </w:rPr>
            </w:pPr>
            <w:r w:rsidRPr="00D517BD">
              <w:rPr>
                <w:sz w:val="20"/>
              </w:rPr>
              <w:t>(Qc) (Civile) (Autorisation)</w:t>
            </w:r>
          </w:p>
        </w:tc>
      </w:tr>
      <w:tr w:rsidR="004A41C2" w:rsidRPr="00D517BD" w:rsidTr="00E95A6A">
        <w:tc>
          <w:tcPr>
            <w:tcW w:w="5000" w:type="pct"/>
            <w:gridSpan w:val="4"/>
          </w:tcPr>
          <w:p w:rsidR="004A41C2" w:rsidRPr="00D517BD" w:rsidRDefault="004A41C2" w:rsidP="004A41C2">
            <w:pPr>
              <w:jc w:val="both"/>
              <w:rPr>
                <w:sz w:val="20"/>
                <w:lang w:val="fr-CA"/>
              </w:rPr>
            </w:pPr>
            <w:r w:rsidRPr="00D517BD">
              <w:rPr>
                <w:sz w:val="20"/>
                <w:lang w:val="fr-CA"/>
              </w:rPr>
              <w:t xml:space="preserve">Droit administratif — Organismes et tribunaux administratifs — Commission des normes, de l’équité, de la santé et de la sécurité au travail — Procédure — Une décision administrative déclarée nulle ab </w:t>
            </w:r>
            <w:proofErr w:type="spellStart"/>
            <w:r w:rsidRPr="00D517BD">
              <w:rPr>
                <w:sz w:val="20"/>
                <w:lang w:val="fr-CA"/>
              </w:rPr>
              <w:t>initio</w:t>
            </w:r>
            <w:proofErr w:type="spellEnd"/>
            <w:r w:rsidRPr="00D517BD">
              <w:rPr>
                <w:sz w:val="20"/>
                <w:lang w:val="fr-CA"/>
              </w:rPr>
              <w:t xml:space="preserve"> peut</w:t>
            </w:r>
            <w:r w:rsidRPr="00D517BD">
              <w:rPr>
                <w:sz w:val="20"/>
                <w:lang w:val="fr-CA"/>
              </w:rPr>
              <w:noBreakHyphen/>
              <w:t>elle, au détriment de l’administré, continuer à produire des effets —Un administré est</w:t>
            </w:r>
            <w:r w:rsidRPr="00D517BD">
              <w:rPr>
                <w:sz w:val="20"/>
                <w:lang w:val="fr-CA"/>
              </w:rPr>
              <w:noBreakHyphen/>
              <w:t>il proscrit de se prévaloir d’un recours en mandamus pour forcer l’exécution d’une décision finale et sans appel si un autre recours administratif, pour d’autres motifs, pouvait potentiellement mener à un résultat similaire?</w:t>
            </w:r>
          </w:p>
        </w:tc>
      </w:tr>
      <w:tr w:rsidR="004A41C2" w:rsidRPr="00D517BD" w:rsidTr="00E95A6A">
        <w:tc>
          <w:tcPr>
            <w:tcW w:w="5000" w:type="pct"/>
            <w:gridSpan w:val="4"/>
          </w:tcPr>
          <w:p w:rsidR="004A41C2" w:rsidRPr="00D517BD" w:rsidRDefault="004A41C2" w:rsidP="004A41C2">
            <w:pPr>
              <w:jc w:val="both"/>
              <w:rPr>
                <w:sz w:val="20"/>
                <w:lang w:val="fr-CA"/>
              </w:rPr>
            </w:pPr>
          </w:p>
        </w:tc>
      </w:tr>
      <w:tr w:rsidR="004A41C2" w:rsidRPr="00D517BD" w:rsidTr="00E95A6A">
        <w:tc>
          <w:tcPr>
            <w:tcW w:w="5000" w:type="pct"/>
            <w:gridSpan w:val="4"/>
          </w:tcPr>
          <w:p w:rsidR="004A41C2" w:rsidRPr="00D517BD" w:rsidRDefault="004A41C2" w:rsidP="004A41C2">
            <w:pPr>
              <w:jc w:val="both"/>
              <w:rPr>
                <w:color w:val="000000"/>
                <w:sz w:val="20"/>
                <w:shd w:val="clear" w:color="auto" w:fill="FFFFFF"/>
                <w:lang w:val="fr-CA"/>
              </w:rPr>
            </w:pPr>
            <w:r w:rsidRPr="00D517BD">
              <w:rPr>
                <w:color w:val="000000"/>
                <w:sz w:val="20"/>
                <w:shd w:val="clear" w:color="auto" w:fill="FFFFFF"/>
                <w:lang w:val="fr-CA"/>
              </w:rPr>
              <w:t xml:space="preserve">Entre 2007 et 2010, Madame Halima Mhaichar a été victime d’un accident de travail, d’un accident d’automobile et d’un acte criminel. Elle a déposé des demandes d’indemnisation devant trois instances administratives : la Commission de la santé et de la sécurité de travail, la Société d’assurance automobile du Québec et l’Indemnisation des victimes d’actes criminels. Après de nombreuses années passées devant ces instances administratives, elle a déposé un pourvoi en contrôle judiciaire (mandamus) à la Cour supérieure du Québec afin d’obtenir une ordonnance forçant la Commission des normes, de l’équité, de la santé et de la sécurité du travail à lui verser la somme de 111 434,49 $ à titre d’indemnité de remplacement du revenu (plus les intérêts) en exécution d’une décision rendue par le Tribunal administratif du travail le 25 février 2016. Un juge de la </w:t>
            </w:r>
            <w:r w:rsidRPr="00D517BD">
              <w:rPr>
                <w:sz w:val="20"/>
                <w:lang w:val="fr-CA"/>
              </w:rPr>
              <w:t>Cour supérieure du Québec décline compétence et rejette la demande en mandamus. Un appel à la Cour d’appel du Québec a été rejeté.</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Le 26 janvier 2018</w:t>
            </w:r>
          </w:p>
          <w:p w:rsidR="004A41C2" w:rsidRPr="00D517BD" w:rsidRDefault="004A41C2" w:rsidP="004A41C2">
            <w:pPr>
              <w:jc w:val="both"/>
              <w:rPr>
                <w:sz w:val="20"/>
                <w:lang w:val="fr-CA"/>
              </w:rPr>
            </w:pPr>
            <w:r w:rsidRPr="00D517BD">
              <w:rPr>
                <w:sz w:val="20"/>
                <w:lang w:val="fr-CA"/>
              </w:rPr>
              <w:t>Cour supérieure du Québec</w:t>
            </w:r>
          </w:p>
          <w:p w:rsidR="004A41C2" w:rsidRPr="00D517BD" w:rsidRDefault="004A41C2" w:rsidP="004A41C2">
            <w:pPr>
              <w:jc w:val="both"/>
              <w:rPr>
                <w:sz w:val="20"/>
                <w:lang w:val="fr-CA"/>
              </w:rPr>
            </w:pPr>
            <w:r w:rsidRPr="00D517BD">
              <w:rPr>
                <w:sz w:val="20"/>
                <w:lang w:val="fr-CA"/>
              </w:rPr>
              <w:t>(le juge St-Pierre)</w:t>
            </w:r>
          </w:p>
          <w:p w:rsidR="004A41C2" w:rsidRPr="00D517BD" w:rsidRDefault="00D517BD" w:rsidP="004A41C2">
            <w:pPr>
              <w:jc w:val="both"/>
              <w:rPr>
                <w:sz w:val="20"/>
                <w:lang w:val="fr-CA"/>
              </w:rPr>
            </w:pPr>
            <w:hyperlink r:id="rId15" w:anchor="document" w:history="1">
              <w:r w:rsidR="004A41C2" w:rsidRPr="00D517BD">
                <w:rPr>
                  <w:rStyle w:val="Hyperlink"/>
                  <w:sz w:val="20"/>
                  <w:lang w:val="fr-CA"/>
                </w:rPr>
                <w:t>2018 QCCS 350</w:t>
              </w:r>
            </w:hyperlink>
          </w:p>
          <w:p w:rsidR="004A41C2" w:rsidRPr="00D517BD" w:rsidRDefault="004A41C2" w:rsidP="004A41C2">
            <w:pPr>
              <w:jc w:val="both"/>
              <w:rPr>
                <w:sz w:val="20"/>
                <w:lang w:val="fr-CA"/>
              </w:rPr>
            </w:pP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lang w:val="fr-CA"/>
              </w:rPr>
            </w:pPr>
            <w:r w:rsidRPr="00D517BD">
              <w:rPr>
                <w:sz w:val="20"/>
                <w:lang w:val="fr-CA"/>
              </w:rPr>
              <w:t xml:space="preserve">Le juge décline compétence et rejette la demande en mandamus. </w:t>
            </w: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Le 28 novembre 2019</w:t>
            </w:r>
          </w:p>
          <w:p w:rsidR="004A41C2" w:rsidRPr="00D517BD" w:rsidRDefault="004A41C2" w:rsidP="004A41C2">
            <w:pPr>
              <w:jc w:val="both"/>
              <w:rPr>
                <w:sz w:val="20"/>
                <w:lang w:val="fr-CA"/>
              </w:rPr>
            </w:pPr>
            <w:r w:rsidRPr="00D517BD">
              <w:rPr>
                <w:sz w:val="20"/>
                <w:lang w:val="fr-CA"/>
              </w:rPr>
              <w:t>Cour d’appel du Québec (Montréal)</w:t>
            </w:r>
          </w:p>
          <w:p w:rsidR="004A41C2" w:rsidRPr="00D517BD" w:rsidRDefault="004A41C2" w:rsidP="004A41C2">
            <w:pPr>
              <w:jc w:val="both"/>
              <w:rPr>
                <w:sz w:val="20"/>
                <w:lang w:val="fr-CA"/>
              </w:rPr>
            </w:pPr>
            <w:r w:rsidRPr="00D517BD">
              <w:rPr>
                <w:sz w:val="20"/>
                <w:lang w:val="fr-CA"/>
              </w:rPr>
              <w:t xml:space="preserve">(les juges </w:t>
            </w:r>
            <w:proofErr w:type="spellStart"/>
            <w:r w:rsidRPr="00D517BD">
              <w:rPr>
                <w:sz w:val="20"/>
                <w:lang w:val="fr-CA"/>
              </w:rPr>
              <w:t>Sansfaçon</w:t>
            </w:r>
            <w:proofErr w:type="spellEnd"/>
            <w:r w:rsidRPr="00D517BD">
              <w:rPr>
                <w:sz w:val="20"/>
                <w:lang w:val="fr-CA"/>
              </w:rPr>
              <w:t xml:space="preserve"> et Beaupré; le juge</w:t>
            </w:r>
          </w:p>
          <w:p w:rsidR="004A41C2" w:rsidRPr="00D517BD" w:rsidRDefault="004A41C2" w:rsidP="004A41C2">
            <w:pPr>
              <w:jc w:val="both"/>
              <w:rPr>
                <w:sz w:val="20"/>
              </w:rPr>
            </w:pPr>
            <w:r w:rsidRPr="00D517BD">
              <w:rPr>
                <w:sz w:val="20"/>
              </w:rPr>
              <w:t>Schrager est dissident)</w:t>
            </w:r>
          </w:p>
          <w:p w:rsidR="004A41C2" w:rsidRPr="00D517BD" w:rsidRDefault="00D517BD" w:rsidP="004A41C2">
            <w:pPr>
              <w:jc w:val="both"/>
              <w:rPr>
                <w:sz w:val="20"/>
              </w:rPr>
            </w:pPr>
            <w:hyperlink r:id="rId16" w:history="1">
              <w:r w:rsidR="004A41C2" w:rsidRPr="00D517BD">
                <w:rPr>
                  <w:rStyle w:val="Hyperlink"/>
                  <w:sz w:val="20"/>
                </w:rPr>
                <w:t>2019 QCCA 2041</w:t>
              </w:r>
            </w:hyperlink>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Appel rejeté.</w:t>
            </w: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Le 27 janvier 2020</w:t>
            </w:r>
          </w:p>
          <w:p w:rsidR="004A41C2" w:rsidRPr="00D517BD" w:rsidRDefault="004A41C2" w:rsidP="004A41C2">
            <w:pPr>
              <w:jc w:val="both"/>
              <w:rPr>
                <w:sz w:val="20"/>
                <w:lang w:val="fr-CA"/>
              </w:rPr>
            </w:pPr>
            <w:r w:rsidRPr="00D517BD">
              <w:rPr>
                <w:sz w:val="20"/>
                <w:lang w:val="fr-CA"/>
              </w:rPr>
              <w:t>Cour suprême du Canada</w:t>
            </w: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rPr>
            </w:pPr>
            <w:r w:rsidRPr="00D517BD">
              <w:rPr>
                <w:sz w:val="20"/>
              </w:rPr>
              <w:t>Demande d’autorisation d’appel déposée.</w:t>
            </w:r>
          </w:p>
          <w:p w:rsidR="004A41C2" w:rsidRPr="00D517BD" w:rsidRDefault="004A41C2" w:rsidP="004A41C2">
            <w:pPr>
              <w:jc w:val="both"/>
              <w:rPr>
                <w:sz w:val="20"/>
              </w:rPr>
            </w:pPr>
          </w:p>
        </w:tc>
      </w:tr>
    </w:tbl>
    <w:p w:rsidR="004A41C2" w:rsidRPr="00D517BD" w:rsidRDefault="004A41C2" w:rsidP="004A41C2">
      <w:pPr>
        <w:jc w:val="both"/>
        <w:rPr>
          <w:sz w:val="20"/>
        </w:rPr>
      </w:pPr>
    </w:p>
    <w:p w:rsidR="00AB5983" w:rsidRPr="00D517BD" w:rsidRDefault="00D517BD" w:rsidP="004A41C2">
      <w:pPr>
        <w:jc w:val="both"/>
        <w:rPr>
          <w:sz w:val="20"/>
        </w:rPr>
      </w:pPr>
      <w:r w:rsidRPr="00D517BD">
        <w:rPr>
          <w:sz w:val="20"/>
        </w:rPr>
        <w:pict>
          <v:rect id="_x0000_i1030" style="width:2in;height:1pt" o:hrpct="0" o:hralign="center" o:hrstd="t" o:hrnoshade="t" o:hr="t" fillcolor="black [3213]" stroked="f"/>
        </w:pict>
      </w:r>
    </w:p>
    <w:p w:rsidR="007A72CA" w:rsidRPr="00D517BD" w:rsidRDefault="007A72CA" w:rsidP="004A41C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rPr>
            </w:pPr>
            <w:r w:rsidRPr="00D517BD">
              <w:rPr>
                <w:rStyle w:val="SCCFileNumberChar"/>
                <w:sz w:val="20"/>
                <w:szCs w:val="20"/>
              </w:rPr>
              <w:t>39017</w:t>
            </w:r>
          </w:p>
        </w:tc>
        <w:tc>
          <w:tcPr>
            <w:tcW w:w="4457" w:type="pct"/>
            <w:gridSpan w:val="3"/>
          </w:tcPr>
          <w:p w:rsidR="004A41C2" w:rsidRPr="00D517BD" w:rsidRDefault="004A41C2" w:rsidP="004A41C2">
            <w:pPr>
              <w:pStyle w:val="SCCLsocParty"/>
              <w:jc w:val="both"/>
              <w:rPr>
                <w:b/>
                <w:sz w:val="20"/>
                <w:szCs w:val="20"/>
                <w:lang w:val="en-US"/>
              </w:rPr>
            </w:pPr>
            <w:r w:rsidRPr="00D517BD">
              <w:rPr>
                <w:b/>
                <w:sz w:val="20"/>
                <w:szCs w:val="20"/>
                <w:lang w:val="en-US"/>
              </w:rPr>
              <w:t>Economical Mutual Insurance Company v. Sotira Tomec</w:t>
            </w:r>
          </w:p>
          <w:p w:rsidR="004A41C2" w:rsidRPr="00D517BD" w:rsidRDefault="004A41C2" w:rsidP="004A41C2">
            <w:pPr>
              <w:jc w:val="both"/>
              <w:rPr>
                <w:sz w:val="20"/>
              </w:rPr>
            </w:pPr>
            <w:r w:rsidRPr="00D517BD">
              <w:rPr>
                <w:sz w:val="20"/>
              </w:rPr>
              <w:t>(Ont.) (Civil) (By Leave)</w:t>
            </w:r>
          </w:p>
        </w:tc>
      </w:tr>
      <w:tr w:rsidR="004A41C2" w:rsidRPr="00D517BD" w:rsidTr="00E95A6A">
        <w:tc>
          <w:tcPr>
            <w:tcW w:w="5000" w:type="pct"/>
            <w:gridSpan w:val="4"/>
          </w:tcPr>
          <w:p w:rsidR="004A41C2" w:rsidRPr="00D517BD" w:rsidRDefault="004A41C2" w:rsidP="004A41C2">
            <w:pPr>
              <w:jc w:val="both"/>
              <w:rPr>
                <w:sz w:val="20"/>
              </w:rPr>
            </w:pPr>
            <w:r w:rsidRPr="00D517BD">
              <w:rPr>
                <w:sz w:val="20"/>
              </w:rPr>
              <w:t xml:space="preserve">Insurance — Statutory accident benefits — Catastrophic Impairment — Limitation period — Whether the two-year limitation period contained in </w:t>
            </w:r>
            <w:r w:rsidRPr="00D517BD">
              <w:rPr>
                <w:i/>
                <w:sz w:val="20"/>
              </w:rPr>
              <w:t>Insurance Act</w:t>
            </w:r>
            <w:r w:rsidRPr="00D517BD">
              <w:rPr>
                <w:sz w:val="20"/>
              </w:rPr>
              <w:t xml:space="preserve">, R.S.O. 1990, c. I.8, s. 281.1(1), and </w:t>
            </w:r>
            <w:r w:rsidRPr="00D517BD">
              <w:rPr>
                <w:i/>
                <w:sz w:val="20"/>
              </w:rPr>
              <w:t>Statutory Accident Benefits Schedule — Accidents On or After November 1, 1996</w:t>
            </w:r>
            <w:r w:rsidRPr="00D517BD">
              <w:rPr>
                <w:sz w:val="20"/>
              </w:rPr>
              <w:t>, O. Reg. 403/96 (“SABS”), ss. 18(3) and 22(4), was subject to discoverability.</w:t>
            </w:r>
          </w:p>
        </w:tc>
      </w:tr>
      <w:tr w:rsidR="004A41C2" w:rsidRPr="00D517BD" w:rsidTr="00E95A6A">
        <w:tc>
          <w:tcPr>
            <w:tcW w:w="5000" w:type="pct"/>
            <w:gridSpan w:val="4"/>
          </w:tcPr>
          <w:p w:rsidR="004A41C2" w:rsidRPr="00D517BD" w:rsidRDefault="004A41C2" w:rsidP="004A41C2">
            <w:pPr>
              <w:jc w:val="both"/>
              <w:rPr>
                <w:sz w:val="20"/>
              </w:rPr>
            </w:pPr>
          </w:p>
        </w:tc>
      </w:tr>
      <w:tr w:rsidR="004A41C2" w:rsidRPr="00D517BD" w:rsidTr="00E95A6A">
        <w:tc>
          <w:tcPr>
            <w:tcW w:w="5000" w:type="pct"/>
            <w:gridSpan w:val="4"/>
          </w:tcPr>
          <w:p w:rsidR="004A41C2" w:rsidRPr="00D517BD" w:rsidRDefault="004A41C2" w:rsidP="004A41C2">
            <w:pPr>
              <w:jc w:val="both"/>
              <w:rPr>
                <w:sz w:val="20"/>
              </w:rPr>
            </w:pPr>
            <w:r w:rsidRPr="00D517BD">
              <w:rPr>
                <w:sz w:val="20"/>
              </w:rPr>
              <w:t xml:space="preserve">Ms. Tomec was stuck by a motor vehicle while she was walking on September 12, 2008. She applied to her insurer, Economical Insurance Corporation, and received statutory accident benefits for attendant care under s. 18 of the </w:t>
            </w:r>
            <w:r w:rsidRPr="00D517BD">
              <w:rPr>
                <w:i/>
                <w:sz w:val="20"/>
              </w:rPr>
              <w:t>Statutory Accident Benefits Schedule — Accidents On or After November 1, 1996</w:t>
            </w:r>
            <w:r w:rsidRPr="00D517BD">
              <w:rPr>
                <w:sz w:val="20"/>
              </w:rPr>
              <w:t>, O. Reg. 403/96 (“SABS”), and housekeeping under s. 22 of the SABS. At the end of 104 weeks, those benefits are no longer available unless the beneficiary is designated as having sustained a “catastrophic impairment”: SABS, ss. 18(3) and 22(4). On August 26, 2010, Economical advised Ms. Tomec that her eligibility for the benefits would end on September 12, 2010. It is common ground that her injuries did not meet the criteria for catastrophic impairment at that time, so her physician did not apply for the designation and she did not appeal the termination of benefits to the Licence Appeals Tribunal. However, her condition worsened over time and, on May 13, 2015, her physician concluded that she had become catastrophically impaired as a result of the accident. Economical accepted that opinion on November 4, 2015, and, on that basis, provided various elevated statutory benefits. However, it refused to provide further past or future attendant care and housekeeping benefits on the grounds that it had denied the benefits in August 2010 and Ms. Tomec was out of time to appeal the denial.</w:t>
            </w:r>
          </w:p>
          <w:p w:rsidR="004A41C2" w:rsidRPr="00D517BD" w:rsidRDefault="004A41C2" w:rsidP="004A41C2">
            <w:pPr>
              <w:jc w:val="both"/>
              <w:rPr>
                <w:sz w:val="20"/>
              </w:rPr>
            </w:pPr>
          </w:p>
          <w:p w:rsidR="004A41C2" w:rsidRPr="00D517BD" w:rsidRDefault="004A41C2" w:rsidP="004A41C2">
            <w:pPr>
              <w:jc w:val="both"/>
              <w:rPr>
                <w:sz w:val="20"/>
              </w:rPr>
            </w:pPr>
            <w:r w:rsidRPr="00D517BD">
              <w:rPr>
                <w:sz w:val="20"/>
              </w:rPr>
              <w:t xml:space="preserve">Ms. Tomec appealed </w:t>
            </w:r>
            <w:proofErr w:type="spellStart"/>
            <w:r w:rsidRPr="00D517BD">
              <w:rPr>
                <w:sz w:val="20"/>
              </w:rPr>
              <w:t>Economical’s</w:t>
            </w:r>
            <w:proofErr w:type="spellEnd"/>
            <w:r w:rsidRPr="00D517BD">
              <w:rPr>
                <w:sz w:val="20"/>
              </w:rPr>
              <w:t xml:space="preserve"> decision to the Tribunal, which found that the August 2010 letter was a clear, unequivocal denial of the SABS benefit, triggering the two</w:t>
            </w:r>
            <w:r w:rsidRPr="00D517BD">
              <w:rPr>
                <w:sz w:val="20"/>
              </w:rPr>
              <w:noBreakHyphen/>
              <w:t>year limitation period (</w:t>
            </w:r>
            <w:r w:rsidRPr="00D517BD">
              <w:rPr>
                <w:i/>
                <w:sz w:val="20"/>
              </w:rPr>
              <w:t>Smith v. Co</w:t>
            </w:r>
            <w:r w:rsidRPr="00D517BD">
              <w:rPr>
                <w:i/>
                <w:sz w:val="20"/>
              </w:rPr>
              <w:noBreakHyphen/>
              <w:t>Operators General Insurance Co.</w:t>
            </w:r>
            <w:r w:rsidRPr="00D517BD">
              <w:rPr>
                <w:sz w:val="20"/>
              </w:rPr>
              <w:t>, 2002 SCC 30) and that the discoverability doctrine did not apply. Ms. </w:t>
            </w:r>
            <w:proofErr w:type="spellStart"/>
            <w:r w:rsidRPr="00D517BD">
              <w:rPr>
                <w:sz w:val="20"/>
              </w:rPr>
              <w:t>Tomec’s</w:t>
            </w:r>
            <w:proofErr w:type="spellEnd"/>
            <w:r w:rsidRPr="00D517BD">
              <w:rPr>
                <w:sz w:val="20"/>
              </w:rPr>
              <w:t xml:space="preserve"> application for judicial review was denied by the Divisional Court. On appeal, the Court of Appeal held that the limitation period was subject to the discoverability rule, so Ms. Tomec was able to apply for the enhanced benefits.</w:t>
            </w:r>
          </w:p>
          <w:p w:rsidR="004A41C2" w:rsidRPr="00D517BD" w:rsidRDefault="004A41C2" w:rsidP="004A41C2">
            <w:pPr>
              <w:jc w:val="both"/>
              <w:rPr>
                <w:sz w:val="20"/>
              </w:rPr>
            </w:pPr>
          </w:p>
        </w:tc>
      </w:tr>
      <w:tr w:rsidR="004A41C2" w:rsidRPr="00D517BD" w:rsidTr="00E95A6A">
        <w:tc>
          <w:tcPr>
            <w:tcW w:w="2427" w:type="pct"/>
            <w:gridSpan w:val="2"/>
          </w:tcPr>
          <w:p w:rsidR="004A41C2" w:rsidRPr="00D517BD" w:rsidRDefault="004A41C2" w:rsidP="004A41C2">
            <w:pPr>
              <w:jc w:val="both"/>
              <w:rPr>
                <w:sz w:val="20"/>
              </w:rPr>
            </w:pPr>
            <w:r w:rsidRPr="00D517BD">
              <w:rPr>
                <w:sz w:val="20"/>
              </w:rPr>
              <w:t>October 2, 2018</w:t>
            </w:r>
          </w:p>
          <w:p w:rsidR="004A41C2" w:rsidRPr="00D517BD" w:rsidRDefault="004A41C2" w:rsidP="004A41C2">
            <w:pPr>
              <w:jc w:val="both"/>
              <w:rPr>
                <w:sz w:val="20"/>
              </w:rPr>
            </w:pPr>
            <w:r w:rsidRPr="00D517BD">
              <w:rPr>
                <w:sz w:val="20"/>
              </w:rPr>
              <w:t>Ontario Superior Court of Justice</w:t>
            </w:r>
          </w:p>
          <w:p w:rsidR="004A41C2" w:rsidRPr="00D517BD" w:rsidRDefault="004A41C2" w:rsidP="004A41C2">
            <w:pPr>
              <w:jc w:val="both"/>
              <w:rPr>
                <w:sz w:val="20"/>
              </w:rPr>
            </w:pPr>
            <w:r w:rsidRPr="00D517BD">
              <w:rPr>
                <w:sz w:val="20"/>
              </w:rPr>
              <w:t>(Divisional Court)</w:t>
            </w:r>
          </w:p>
          <w:p w:rsidR="004A41C2" w:rsidRPr="00D517BD" w:rsidRDefault="004A41C2" w:rsidP="004A41C2">
            <w:pPr>
              <w:jc w:val="both"/>
              <w:rPr>
                <w:sz w:val="20"/>
              </w:rPr>
            </w:pPr>
            <w:r w:rsidRPr="00D517BD">
              <w:rPr>
                <w:sz w:val="20"/>
              </w:rPr>
              <w:t>(</w:t>
            </w:r>
            <w:proofErr w:type="spellStart"/>
            <w:r w:rsidRPr="00D517BD">
              <w:rPr>
                <w:sz w:val="20"/>
              </w:rPr>
              <w:t>Morawetz</w:t>
            </w:r>
            <w:proofErr w:type="spellEnd"/>
            <w:r w:rsidRPr="00D517BD">
              <w:rPr>
                <w:sz w:val="20"/>
              </w:rPr>
              <w:t>, Whitten, Gray JJ.)</w:t>
            </w:r>
          </w:p>
          <w:p w:rsidR="004A41C2" w:rsidRPr="00D517BD" w:rsidRDefault="00D517BD" w:rsidP="004A41C2">
            <w:pPr>
              <w:jc w:val="both"/>
              <w:rPr>
                <w:sz w:val="20"/>
              </w:rPr>
            </w:pPr>
            <w:hyperlink r:id="rId17" w:history="1">
              <w:r w:rsidR="004A41C2" w:rsidRPr="00D517BD">
                <w:rPr>
                  <w:rStyle w:val="Hyperlink"/>
                  <w:sz w:val="20"/>
                </w:rPr>
                <w:t>2018 ONSC 5664</w:t>
              </w:r>
            </w:hyperlink>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 xml:space="preserve">Finding that Licence Appeals Tribunal properly denied </w:t>
            </w:r>
            <w:proofErr w:type="spellStart"/>
            <w:r w:rsidRPr="00D517BD">
              <w:rPr>
                <w:sz w:val="20"/>
              </w:rPr>
              <w:t>Ms</w:t>
            </w:r>
            <w:proofErr w:type="spellEnd"/>
            <w:r w:rsidRPr="00D517BD">
              <w:rPr>
                <w:sz w:val="20"/>
              </w:rPr>
              <w:t> Tomec various benefits because her appeal of insurer’s decision was out of time</w:t>
            </w:r>
          </w:p>
          <w:p w:rsidR="004A41C2" w:rsidRPr="00D517BD" w:rsidRDefault="004A41C2" w:rsidP="004A41C2">
            <w:pPr>
              <w:jc w:val="both"/>
              <w:rPr>
                <w:sz w:val="20"/>
              </w:rPr>
            </w:pPr>
          </w:p>
        </w:tc>
      </w:tr>
      <w:tr w:rsidR="004A41C2" w:rsidRPr="00D517BD" w:rsidTr="00E95A6A">
        <w:tc>
          <w:tcPr>
            <w:tcW w:w="2427" w:type="pct"/>
            <w:gridSpan w:val="2"/>
          </w:tcPr>
          <w:p w:rsidR="004A41C2" w:rsidRPr="00D517BD" w:rsidRDefault="004A41C2" w:rsidP="004A41C2">
            <w:pPr>
              <w:jc w:val="both"/>
              <w:rPr>
                <w:sz w:val="20"/>
              </w:rPr>
            </w:pPr>
            <w:r w:rsidRPr="00D517BD">
              <w:rPr>
                <w:sz w:val="20"/>
              </w:rPr>
              <w:t>November 8, 2019</w:t>
            </w:r>
          </w:p>
          <w:p w:rsidR="004A41C2" w:rsidRPr="00D517BD" w:rsidRDefault="004A41C2" w:rsidP="004A41C2">
            <w:pPr>
              <w:jc w:val="both"/>
              <w:rPr>
                <w:sz w:val="20"/>
              </w:rPr>
            </w:pPr>
            <w:r w:rsidRPr="00D517BD">
              <w:rPr>
                <w:sz w:val="20"/>
              </w:rPr>
              <w:t>Court of Appeal for Ontario</w:t>
            </w:r>
          </w:p>
          <w:p w:rsidR="004A41C2" w:rsidRPr="00D517BD" w:rsidRDefault="004A41C2" w:rsidP="004A41C2">
            <w:pPr>
              <w:jc w:val="both"/>
              <w:rPr>
                <w:sz w:val="20"/>
              </w:rPr>
            </w:pPr>
            <w:r w:rsidRPr="00D517BD">
              <w:rPr>
                <w:sz w:val="20"/>
              </w:rPr>
              <w:t xml:space="preserve">(Hourigan, </w:t>
            </w:r>
            <w:proofErr w:type="spellStart"/>
            <w:r w:rsidRPr="00D517BD">
              <w:rPr>
                <w:sz w:val="20"/>
              </w:rPr>
              <w:t>Benotto</w:t>
            </w:r>
            <w:proofErr w:type="spellEnd"/>
            <w:r w:rsidRPr="00D517BD">
              <w:rPr>
                <w:sz w:val="20"/>
              </w:rPr>
              <w:t>, Fairburn JJ.A.)</w:t>
            </w:r>
          </w:p>
          <w:p w:rsidR="004A41C2" w:rsidRPr="00D517BD" w:rsidRDefault="00D517BD" w:rsidP="004A41C2">
            <w:pPr>
              <w:jc w:val="both"/>
              <w:rPr>
                <w:sz w:val="20"/>
              </w:rPr>
            </w:pPr>
            <w:hyperlink r:id="rId18" w:history="1">
              <w:r w:rsidR="004A41C2" w:rsidRPr="00D517BD">
                <w:rPr>
                  <w:rStyle w:val="Hyperlink"/>
                  <w:sz w:val="20"/>
                </w:rPr>
                <w:t>2019 ONCA 882</w:t>
              </w:r>
            </w:hyperlink>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Appeal allowed; previous orders set aside; declaration that limitation period had not expired; Ms. Tomec could proceed with her application for those benefits</w:t>
            </w:r>
          </w:p>
          <w:p w:rsidR="004A41C2" w:rsidRPr="00D517BD" w:rsidRDefault="004A41C2" w:rsidP="004A41C2">
            <w:pPr>
              <w:jc w:val="both"/>
              <w:rPr>
                <w:sz w:val="20"/>
              </w:rPr>
            </w:pPr>
          </w:p>
        </w:tc>
      </w:tr>
      <w:tr w:rsidR="004A41C2" w:rsidRPr="00D517BD" w:rsidTr="00E95A6A">
        <w:tc>
          <w:tcPr>
            <w:tcW w:w="2427" w:type="pct"/>
            <w:gridSpan w:val="2"/>
          </w:tcPr>
          <w:p w:rsidR="004A41C2" w:rsidRPr="00D517BD" w:rsidRDefault="004A41C2" w:rsidP="004A41C2">
            <w:pPr>
              <w:jc w:val="both"/>
              <w:rPr>
                <w:sz w:val="20"/>
              </w:rPr>
            </w:pPr>
            <w:r w:rsidRPr="00D517BD">
              <w:rPr>
                <w:sz w:val="20"/>
              </w:rPr>
              <w:t>January 7, 2020</w:t>
            </w:r>
          </w:p>
          <w:p w:rsidR="004A41C2" w:rsidRPr="00D517BD" w:rsidRDefault="004A41C2" w:rsidP="004A41C2">
            <w:pPr>
              <w:jc w:val="both"/>
              <w:rPr>
                <w:sz w:val="20"/>
              </w:rPr>
            </w:pPr>
            <w:r w:rsidRPr="00D517BD">
              <w:rPr>
                <w:sz w:val="20"/>
              </w:rPr>
              <w:t>Supreme Court of Canada</w:t>
            </w: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rPr>
            </w:pPr>
            <w:r w:rsidRPr="00D517BD">
              <w:rPr>
                <w:sz w:val="20"/>
              </w:rPr>
              <w:t>Application for leave to appeal filed</w:t>
            </w:r>
          </w:p>
          <w:p w:rsidR="004A41C2" w:rsidRPr="00D517BD" w:rsidRDefault="004A41C2" w:rsidP="004A41C2">
            <w:pPr>
              <w:jc w:val="both"/>
              <w:rPr>
                <w:sz w:val="20"/>
              </w:rPr>
            </w:pPr>
          </w:p>
        </w:tc>
      </w:tr>
    </w:tbl>
    <w:p w:rsidR="004A41C2" w:rsidRPr="00D517BD" w:rsidRDefault="004A41C2" w:rsidP="004A41C2">
      <w:pPr>
        <w:jc w:val="both"/>
        <w:rPr>
          <w:sz w:val="20"/>
        </w:rPr>
      </w:pPr>
    </w:p>
    <w:p w:rsidR="00AB5983" w:rsidRPr="00D517BD" w:rsidRDefault="00D517BD" w:rsidP="004A41C2">
      <w:pPr>
        <w:jc w:val="both"/>
        <w:rPr>
          <w:sz w:val="20"/>
        </w:rPr>
      </w:pPr>
      <w:r w:rsidRPr="00D517BD">
        <w:rPr>
          <w:sz w:val="20"/>
        </w:rPr>
        <w:pict>
          <v:rect id="_x0000_i1031" style="width:2in;height:1pt" o:hrpct="0" o:hralign="center" o:hrstd="t" o:hrnoshade="t" o:hr="t" fillcolor="black [3213]" stroked="f"/>
        </w:pict>
      </w:r>
    </w:p>
    <w:p w:rsidR="00AB5983" w:rsidRPr="00D517BD" w:rsidRDefault="00AB5983" w:rsidP="004A41C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A41C2" w:rsidRPr="00D517BD" w:rsidTr="00E95A6A">
        <w:tc>
          <w:tcPr>
            <w:tcW w:w="543" w:type="pct"/>
          </w:tcPr>
          <w:p w:rsidR="004A41C2" w:rsidRPr="00D517BD" w:rsidRDefault="004A41C2" w:rsidP="004A41C2">
            <w:pPr>
              <w:jc w:val="both"/>
              <w:rPr>
                <w:sz w:val="20"/>
              </w:rPr>
            </w:pPr>
            <w:r w:rsidRPr="00D517BD">
              <w:rPr>
                <w:rStyle w:val="SCCFileNumberChar"/>
                <w:sz w:val="20"/>
                <w:szCs w:val="20"/>
              </w:rPr>
              <w:t>39017</w:t>
            </w:r>
          </w:p>
        </w:tc>
        <w:tc>
          <w:tcPr>
            <w:tcW w:w="4457" w:type="pct"/>
            <w:gridSpan w:val="3"/>
          </w:tcPr>
          <w:p w:rsidR="004A41C2" w:rsidRPr="00D517BD" w:rsidRDefault="004A41C2" w:rsidP="004A41C2">
            <w:pPr>
              <w:pStyle w:val="SCCLsocParty"/>
              <w:jc w:val="both"/>
              <w:rPr>
                <w:b/>
                <w:sz w:val="20"/>
                <w:szCs w:val="20"/>
                <w:lang w:val="en-US"/>
              </w:rPr>
            </w:pPr>
            <w:r w:rsidRPr="00D517BD">
              <w:rPr>
                <w:b/>
                <w:sz w:val="20"/>
                <w:szCs w:val="20"/>
                <w:lang w:val="en-US"/>
              </w:rPr>
              <w:t>Economical Mutual Insurance Company c. Sotira Tomec</w:t>
            </w:r>
          </w:p>
          <w:p w:rsidR="004A41C2" w:rsidRPr="00D517BD" w:rsidRDefault="004A41C2" w:rsidP="004A41C2">
            <w:pPr>
              <w:jc w:val="both"/>
              <w:rPr>
                <w:sz w:val="20"/>
              </w:rPr>
            </w:pPr>
            <w:r w:rsidRPr="00D517BD">
              <w:rPr>
                <w:sz w:val="20"/>
              </w:rPr>
              <w:t>(Ont.) (Civile) (Sur autorisation)</w:t>
            </w:r>
          </w:p>
        </w:tc>
      </w:tr>
      <w:tr w:rsidR="004A41C2" w:rsidRPr="00D517BD" w:rsidTr="00E95A6A">
        <w:tc>
          <w:tcPr>
            <w:tcW w:w="5000" w:type="pct"/>
            <w:gridSpan w:val="4"/>
          </w:tcPr>
          <w:p w:rsidR="004A41C2" w:rsidRPr="00D517BD" w:rsidRDefault="004A41C2" w:rsidP="004A41C2">
            <w:pPr>
              <w:jc w:val="both"/>
              <w:rPr>
                <w:sz w:val="20"/>
                <w:lang w:val="fr-CA"/>
              </w:rPr>
            </w:pPr>
            <w:r w:rsidRPr="00D517BD">
              <w:rPr>
                <w:sz w:val="20"/>
                <w:lang w:val="fr-CA"/>
              </w:rPr>
              <w:t xml:space="preserve">Assurances — Indemnités d’accident légales — Déficience invalidante — Délai de prescription — Le délai de prescription qui figure dans la </w:t>
            </w:r>
            <w:r w:rsidRPr="00D517BD">
              <w:rPr>
                <w:i/>
                <w:sz w:val="20"/>
                <w:lang w:val="fr-CA"/>
              </w:rPr>
              <w:t>Loi sur les assurances</w:t>
            </w:r>
            <w:r w:rsidRPr="00D517BD">
              <w:rPr>
                <w:sz w:val="20"/>
                <w:lang w:val="fr-CA"/>
              </w:rPr>
              <w:t>, L.R.O. 1990, c. I.8, par. 281.1(1), et l’</w:t>
            </w:r>
            <w:r w:rsidRPr="00D517BD">
              <w:rPr>
                <w:i/>
                <w:sz w:val="20"/>
                <w:lang w:val="fr-CA"/>
              </w:rPr>
              <w:t>Annexe sur les indemnités d’accident légales — Accidents survenus le 1</w:t>
            </w:r>
            <w:r w:rsidRPr="00D517BD">
              <w:rPr>
                <w:i/>
                <w:sz w:val="20"/>
                <w:vertAlign w:val="superscript"/>
                <w:lang w:val="fr-CA"/>
              </w:rPr>
              <w:t>er</w:t>
            </w:r>
            <w:r w:rsidRPr="00D517BD">
              <w:rPr>
                <w:i/>
                <w:sz w:val="20"/>
                <w:lang w:val="fr-CA"/>
              </w:rPr>
              <w:t> novembre 1996 ou après ce jour</w:t>
            </w:r>
            <w:r w:rsidRPr="00D517BD">
              <w:rPr>
                <w:sz w:val="20"/>
                <w:lang w:val="fr-CA"/>
              </w:rPr>
              <w:t xml:space="preserve">, </w:t>
            </w:r>
            <w:proofErr w:type="spellStart"/>
            <w:r w:rsidRPr="00D517BD">
              <w:rPr>
                <w:sz w:val="20"/>
                <w:lang w:val="fr-CA"/>
              </w:rPr>
              <w:t>Règl</w:t>
            </w:r>
            <w:proofErr w:type="spellEnd"/>
            <w:r w:rsidRPr="00D517BD">
              <w:rPr>
                <w:sz w:val="20"/>
                <w:lang w:val="fr-CA"/>
              </w:rPr>
              <w:t>. de l’Ont. 403/96 (« AIAL »), par. 18(3) et 22(4), était</w:t>
            </w:r>
            <w:r w:rsidRPr="00D517BD">
              <w:rPr>
                <w:sz w:val="20"/>
                <w:lang w:val="fr-CA"/>
              </w:rPr>
              <w:noBreakHyphen/>
              <w:t xml:space="preserve">il subordonné à la règle de la possibilité de découvrir? </w:t>
            </w:r>
          </w:p>
        </w:tc>
      </w:tr>
      <w:tr w:rsidR="004A41C2" w:rsidRPr="00D517BD" w:rsidTr="00E95A6A">
        <w:tc>
          <w:tcPr>
            <w:tcW w:w="5000" w:type="pct"/>
            <w:gridSpan w:val="4"/>
          </w:tcPr>
          <w:p w:rsidR="004A41C2" w:rsidRPr="00D517BD" w:rsidRDefault="004A41C2" w:rsidP="004A41C2">
            <w:pPr>
              <w:jc w:val="both"/>
              <w:rPr>
                <w:sz w:val="20"/>
                <w:lang w:val="fr-CA"/>
              </w:rPr>
            </w:pPr>
          </w:p>
        </w:tc>
      </w:tr>
      <w:tr w:rsidR="004A41C2" w:rsidRPr="00D517BD" w:rsidTr="00E95A6A">
        <w:tc>
          <w:tcPr>
            <w:tcW w:w="5000" w:type="pct"/>
            <w:gridSpan w:val="4"/>
          </w:tcPr>
          <w:p w:rsidR="004A41C2" w:rsidRPr="00D517BD" w:rsidRDefault="004A41C2" w:rsidP="004A41C2">
            <w:pPr>
              <w:jc w:val="both"/>
              <w:rPr>
                <w:sz w:val="20"/>
                <w:lang w:val="fr-CA"/>
              </w:rPr>
            </w:pPr>
            <w:r w:rsidRPr="00D517BD">
              <w:rPr>
                <w:sz w:val="20"/>
                <w:lang w:val="fr-CA"/>
              </w:rPr>
              <w:t>Madame Tomec a été heurtée par un véhicule moteur alors qu’elle marchait le 12 septembre 2008. Elle s’est adressée à son assureur, l’Economical Insurance Corporation, et a reçu des indemnités d’accident légales pour soins auxiliaires en vertu de l’art. 18 de l’</w:t>
            </w:r>
            <w:r w:rsidRPr="00D517BD">
              <w:rPr>
                <w:i/>
                <w:sz w:val="20"/>
                <w:lang w:val="fr-CA"/>
              </w:rPr>
              <w:t>Annexe sur les indemnités d’accident légales — Accidents survenus le 1</w:t>
            </w:r>
            <w:r w:rsidRPr="00D517BD">
              <w:rPr>
                <w:i/>
                <w:sz w:val="20"/>
                <w:vertAlign w:val="superscript"/>
                <w:lang w:val="fr-CA"/>
              </w:rPr>
              <w:t>er</w:t>
            </w:r>
            <w:r w:rsidRPr="00D517BD">
              <w:rPr>
                <w:i/>
                <w:sz w:val="20"/>
                <w:lang w:val="fr-CA"/>
              </w:rPr>
              <w:t> novembre 1996 ou après ce jour</w:t>
            </w:r>
            <w:r w:rsidRPr="00D517BD">
              <w:rPr>
                <w:sz w:val="20"/>
                <w:lang w:val="fr-CA"/>
              </w:rPr>
              <w:t xml:space="preserve">, </w:t>
            </w:r>
            <w:proofErr w:type="spellStart"/>
            <w:r w:rsidRPr="00D517BD">
              <w:rPr>
                <w:sz w:val="20"/>
                <w:lang w:val="fr-CA"/>
              </w:rPr>
              <w:t>Règl</w:t>
            </w:r>
            <w:proofErr w:type="spellEnd"/>
            <w:r w:rsidRPr="00D517BD">
              <w:rPr>
                <w:sz w:val="20"/>
                <w:lang w:val="fr-CA"/>
              </w:rPr>
              <w:t>. de l’Ont.  403/96 (« AIAL »), et pour travaux ménagers en vertu de l’art. 22 de l’AIAL. Au bout de 104 semaines, ces indemnités cessent à moins qu’il soit jugé que le bénéficiaire est atteint d’une « déficience invalidante » : AIAL, par. 18(3) et 22(4). Le 26 août 2010, Economical a avisé M</w:t>
            </w:r>
            <w:r w:rsidRPr="00D517BD">
              <w:rPr>
                <w:sz w:val="20"/>
                <w:vertAlign w:val="superscript"/>
                <w:lang w:val="fr-CA"/>
              </w:rPr>
              <w:t>me</w:t>
            </w:r>
            <w:r w:rsidRPr="00D517BD">
              <w:rPr>
                <w:sz w:val="20"/>
                <w:lang w:val="fr-CA"/>
              </w:rPr>
              <w:t> Tomec que son droit aux indemnités prendrait fin le 12 septembre 2010. Il est acquis aux débats que ses blessures ne répondaient pas à cette époque aux critères d’existence d’une déficience invalidante, et son médecin n’a donc pas demandé qu’on la déclare atteinte d’une déficience invalidante. Elle n’a pas interjeté appel de la cessation des indemnités au Tribunal d’appel en matière de permis. Son état s’est cependant détérioré au fil du temps et, le 13 mai 2015, son médecin a conclu qu’elle était devenue atteinte d’une déficience invalidante par suite de l’accident. Economical a accepté cet avis le 4 novembre 2015 et a offert pour cette raison diverses indemnités légales majorées. Elle a toutefois refusé de verser des indemnités pour soins auxiliaires et travaux ménagers passés ou futurs au motif qu’elle avait refusé les indemnités en août 2010 et que M</w:t>
            </w:r>
            <w:r w:rsidRPr="00D517BD">
              <w:rPr>
                <w:sz w:val="20"/>
                <w:vertAlign w:val="superscript"/>
                <w:lang w:val="fr-CA"/>
              </w:rPr>
              <w:t>me</w:t>
            </w:r>
            <w:r w:rsidRPr="00D517BD">
              <w:rPr>
                <w:sz w:val="20"/>
                <w:lang w:val="fr-CA"/>
              </w:rPr>
              <w:t> Tomec n’avait pas porté en appel ce refus.</w:t>
            </w:r>
          </w:p>
          <w:p w:rsidR="004A41C2" w:rsidRPr="00D517BD" w:rsidRDefault="004A41C2" w:rsidP="004A41C2">
            <w:pPr>
              <w:jc w:val="both"/>
              <w:rPr>
                <w:sz w:val="20"/>
                <w:lang w:val="fr-CA"/>
              </w:rPr>
            </w:pPr>
          </w:p>
          <w:p w:rsidR="004A41C2" w:rsidRPr="00D517BD" w:rsidRDefault="004A41C2" w:rsidP="004A41C2">
            <w:pPr>
              <w:jc w:val="both"/>
              <w:rPr>
                <w:sz w:val="20"/>
                <w:lang w:val="fr-CA"/>
              </w:rPr>
            </w:pPr>
            <w:r w:rsidRPr="00D517BD">
              <w:rPr>
                <w:sz w:val="20"/>
                <w:lang w:val="fr-CA"/>
              </w:rPr>
              <w:t>Madame Tomec a fait appel de la décision d’Economical au Tribunal, qui a conclu que la lettre d’août 2010 constituait un refus clair et sans équivoque de verser l’indemnité prévue par l’AIAL ayant déclenché l’application du délai de prescription de deux ans (</w:t>
            </w:r>
            <w:r w:rsidRPr="00D517BD">
              <w:rPr>
                <w:i/>
                <w:sz w:val="20"/>
                <w:lang w:val="fr-CA"/>
              </w:rPr>
              <w:t>Smith c. Co</w:t>
            </w:r>
            <w:r w:rsidRPr="00D517BD">
              <w:rPr>
                <w:i/>
                <w:sz w:val="20"/>
                <w:lang w:val="fr-CA"/>
              </w:rPr>
              <w:noBreakHyphen/>
              <w:t>Operators General Insurance Co.</w:t>
            </w:r>
            <w:r w:rsidRPr="00D517BD">
              <w:rPr>
                <w:sz w:val="20"/>
                <w:lang w:val="fr-CA"/>
              </w:rPr>
              <w:t>, 2002 CSC 30), et que la règle de la possibilité de découvrir ne s’appliquait pas. La demande de contrôle judiciaire de M</w:t>
            </w:r>
            <w:r w:rsidRPr="00D517BD">
              <w:rPr>
                <w:sz w:val="20"/>
                <w:vertAlign w:val="superscript"/>
                <w:lang w:val="fr-CA"/>
              </w:rPr>
              <w:t>me</w:t>
            </w:r>
            <w:r w:rsidRPr="00D517BD">
              <w:rPr>
                <w:sz w:val="20"/>
                <w:lang w:val="fr-CA"/>
              </w:rPr>
              <w:t> Tomec a été rejetée par la Cour divisionnaire. En appel, la Cour d’appel a jugé que le délai de prescription était subordonné à la règle de la possibilité de découvrir, ce qui a permis à M</w:t>
            </w:r>
            <w:r w:rsidRPr="00D517BD">
              <w:rPr>
                <w:sz w:val="20"/>
                <w:vertAlign w:val="superscript"/>
                <w:lang w:val="fr-CA"/>
              </w:rPr>
              <w:t>me</w:t>
            </w:r>
            <w:r w:rsidRPr="00D517BD">
              <w:rPr>
                <w:sz w:val="20"/>
                <w:lang w:val="fr-CA"/>
              </w:rPr>
              <w:t xml:space="preserve"> Tomec de demander les indemnités bonifiées. </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2 octobre 2018</w:t>
            </w:r>
          </w:p>
          <w:p w:rsidR="004A41C2" w:rsidRPr="00D517BD" w:rsidRDefault="004A41C2" w:rsidP="004A41C2">
            <w:pPr>
              <w:jc w:val="both"/>
              <w:rPr>
                <w:sz w:val="20"/>
                <w:lang w:val="fr-CA"/>
              </w:rPr>
            </w:pPr>
            <w:r w:rsidRPr="00D517BD">
              <w:rPr>
                <w:sz w:val="20"/>
                <w:lang w:val="fr-CA"/>
              </w:rPr>
              <w:t xml:space="preserve">Cour supérieure de justice de l’Ontario </w:t>
            </w:r>
          </w:p>
          <w:p w:rsidR="004A41C2" w:rsidRPr="00D517BD" w:rsidRDefault="004A41C2" w:rsidP="004A41C2">
            <w:pPr>
              <w:jc w:val="both"/>
              <w:rPr>
                <w:sz w:val="20"/>
                <w:lang w:val="fr-CA"/>
              </w:rPr>
            </w:pPr>
            <w:r w:rsidRPr="00D517BD">
              <w:rPr>
                <w:sz w:val="20"/>
                <w:lang w:val="fr-CA"/>
              </w:rPr>
              <w:t>(Cour divisionnaire)</w:t>
            </w:r>
          </w:p>
          <w:p w:rsidR="004A41C2" w:rsidRPr="00D517BD" w:rsidRDefault="004A41C2" w:rsidP="004A41C2">
            <w:pPr>
              <w:jc w:val="both"/>
              <w:rPr>
                <w:sz w:val="20"/>
                <w:lang w:val="fr-CA"/>
              </w:rPr>
            </w:pPr>
            <w:r w:rsidRPr="00D517BD">
              <w:rPr>
                <w:sz w:val="20"/>
                <w:lang w:val="fr-CA"/>
              </w:rPr>
              <w:t xml:space="preserve">(Juges </w:t>
            </w:r>
            <w:proofErr w:type="spellStart"/>
            <w:r w:rsidRPr="00D517BD">
              <w:rPr>
                <w:sz w:val="20"/>
                <w:lang w:val="fr-CA"/>
              </w:rPr>
              <w:t>Morawetz</w:t>
            </w:r>
            <w:proofErr w:type="spellEnd"/>
            <w:r w:rsidRPr="00D517BD">
              <w:rPr>
                <w:sz w:val="20"/>
                <w:lang w:val="fr-CA"/>
              </w:rPr>
              <w:t xml:space="preserve">, </w:t>
            </w:r>
            <w:proofErr w:type="spellStart"/>
            <w:r w:rsidRPr="00D517BD">
              <w:rPr>
                <w:sz w:val="20"/>
                <w:lang w:val="fr-CA"/>
              </w:rPr>
              <w:t>Whitten</w:t>
            </w:r>
            <w:proofErr w:type="spellEnd"/>
            <w:r w:rsidRPr="00D517BD">
              <w:rPr>
                <w:sz w:val="20"/>
                <w:lang w:val="fr-CA"/>
              </w:rPr>
              <w:t xml:space="preserve"> et Gray)</w:t>
            </w:r>
          </w:p>
          <w:p w:rsidR="004A41C2" w:rsidRPr="00D517BD" w:rsidRDefault="00D517BD" w:rsidP="004A41C2">
            <w:pPr>
              <w:jc w:val="both"/>
              <w:rPr>
                <w:sz w:val="20"/>
              </w:rPr>
            </w:pPr>
            <w:hyperlink r:id="rId19" w:history="1">
              <w:r w:rsidR="004A41C2" w:rsidRPr="00D517BD">
                <w:rPr>
                  <w:rStyle w:val="Hyperlink"/>
                  <w:sz w:val="20"/>
                </w:rPr>
                <w:t>2018 ONSC 5664</w:t>
              </w:r>
            </w:hyperlink>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lang w:val="fr-CA"/>
              </w:rPr>
            </w:pPr>
            <w:r w:rsidRPr="00D517BD">
              <w:rPr>
                <w:sz w:val="20"/>
                <w:lang w:val="fr-CA"/>
              </w:rPr>
              <w:t>Conclusion selon laquelle le Tribunal d’appel en matière de permis a eu raison de refuser diverses indemnités à M</w:t>
            </w:r>
            <w:r w:rsidRPr="00D517BD">
              <w:rPr>
                <w:sz w:val="20"/>
                <w:vertAlign w:val="superscript"/>
                <w:lang w:val="fr-CA"/>
              </w:rPr>
              <w:t>me</w:t>
            </w:r>
            <w:r w:rsidRPr="00D517BD">
              <w:rPr>
                <w:sz w:val="20"/>
                <w:lang w:val="fr-CA"/>
              </w:rPr>
              <w:t xml:space="preserve"> Tomec parce qu’elle n’avait pas interjeté appel de la décision de l’assureur dans le délai imparti </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8 novembre 2019</w:t>
            </w:r>
          </w:p>
          <w:p w:rsidR="004A41C2" w:rsidRPr="00D517BD" w:rsidRDefault="004A41C2" w:rsidP="004A41C2">
            <w:pPr>
              <w:jc w:val="both"/>
              <w:rPr>
                <w:sz w:val="20"/>
                <w:lang w:val="fr-CA"/>
              </w:rPr>
            </w:pPr>
            <w:r w:rsidRPr="00D517BD">
              <w:rPr>
                <w:sz w:val="20"/>
                <w:lang w:val="fr-CA"/>
              </w:rPr>
              <w:t>Cour d’appel de l’Ontario</w:t>
            </w:r>
          </w:p>
          <w:p w:rsidR="004A41C2" w:rsidRPr="00D517BD" w:rsidRDefault="004A41C2" w:rsidP="004A41C2">
            <w:pPr>
              <w:jc w:val="both"/>
              <w:rPr>
                <w:sz w:val="20"/>
                <w:lang w:val="fr-CA"/>
              </w:rPr>
            </w:pPr>
            <w:r w:rsidRPr="00D517BD">
              <w:rPr>
                <w:sz w:val="20"/>
                <w:lang w:val="fr-CA"/>
              </w:rPr>
              <w:t xml:space="preserve">(Juges </w:t>
            </w:r>
            <w:proofErr w:type="spellStart"/>
            <w:r w:rsidRPr="00D517BD">
              <w:rPr>
                <w:sz w:val="20"/>
                <w:lang w:val="fr-CA"/>
              </w:rPr>
              <w:t>Hourigan</w:t>
            </w:r>
            <w:proofErr w:type="spellEnd"/>
            <w:r w:rsidRPr="00D517BD">
              <w:rPr>
                <w:sz w:val="20"/>
                <w:lang w:val="fr-CA"/>
              </w:rPr>
              <w:t xml:space="preserve">, </w:t>
            </w:r>
            <w:proofErr w:type="spellStart"/>
            <w:r w:rsidRPr="00D517BD">
              <w:rPr>
                <w:sz w:val="20"/>
                <w:lang w:val="fr-CA"/>
              </w:rPr>
              <w:t>Benotto</w:t>
            </w:r>
            <w:proofErr w:type="spellEnd"/>
            <w:r w:rsidRPr="00D517BD">
              <w:rPr>
                <w:sz w:val="20"/>
                <w:lang w:val="fr-CA"/>
              </w:rPr>
              <w:t xml:space="preserve"> et </w:t>
            </w:r>
            <w:proofErr w:type="spellStart"/>
            <w:r w:rsidRPr="00D517BD">
              <w:rPr>
                <w:sz w:val="20"/>
                <w:lang w:val="fr-CA"/>
              </w:rPr>
              <w:t>Fairburn</w:t>
            </w:r>
            <w:proofErr w:type="spellEnd"/>
            <w:r w:rsidRPr="00D517BD">
              <w:rPr>
                <w:sz w:val="20"/>
                <w:lang w:val="fr-CA"/>
              </w:rPr>
              <w:t>)</w:t>
            </w:r>
          </w:p>
          <w:p w:rsidR="004A41C2" w:rsidRPr="00D517BD" w:rsidRDefault="00D517BD" w:rsidP="004A41C2">
            <w:pPr>
              <w:jc w:val="both"/>
              <w:rPr>
                <w:sz w:val="20"/>
              </w:rPr>
            </w:pPr>
            <w:hyperlink r:id="rId20" w:history="1">
              <w:r w:rsidR="004A41C2" w:rsidRPr="00D517BD">
                <w:rPr>
                  <w:rStyle w:val="Hyperlink"/>
                  <w:sz w:val="20"/>
                </w:rPr>
                <w:t>2019 ONCA 882</w:t>
              </w:r>
            </w:hyperlink>
          </w:p>
          <w:p w:rsidR="004A41C2" w:rsidRPr="00D517BD" w:rsidRDefault="004A41C2" w:rsidP="004A41C2">
            <w:pPr>
              <w:jc w:val="both"/>
              <w:rPr>
                <w:sz w:val="20"/>
              </w:rPr>
            </w:pPr>
          </w:p>
        </w:tc>
        <w:tc>
          <w:tcPr>
            <w:tcW w:w="243" w:type="pct"/>
          </w:tcPr>
          <w:p w:rsidR="004A41C2" w:rsidRPr="00D517BD" w:rsidRDefault="004A41C2" w:rsidP="004A41C2">
            <w:pPr>
              <w:jc w:val="both"/>
              <w:rPr>
                <w:sz w:val="20"/>
              </w:rPr>
            </w:pPr>
          </w:p>
        </w:tc>
        <w:tc>
          <w:tcPr>
            <w:tcW w:w="2330" w:type="pct"/>
          </w:tcPr>
          <w:p w:rsidR="004A41C2" w:rsidRPr="00D517BD" w:rsidRDefault="004A41C2" w:rsidP="004A41C2">
            <w:pPr>
              <w:jc w:val="both"/>
              <w:rPr>
                <w:sz w:val="20"/>
                <w:lang w:val="fr-CA"/>
              </w:rPr>
            </w:pPr>
            <w:r w:rsidRPr="00D517BD">
              <w:rPr>
                <w:sz w:val="20"/>
                <w:lang w:val="fr-CA"/>
              </w:rPr>
              <w:t>Appel accueilli; annulation des ordonnances antérieures; jugement déclaratoire portant que le délai de prescription n’avait pas expiré; M</w:t>
            </w:r>
            <w:r w:rsidRPr="00D517BD">
              <w:rPr>
                <w:sz w:val="20"/>
                <w:vertAlign w:val="superscript"/>
                <w:lang w:val="fr-CA"/>
              </w:rPr>
              <w:t>me</w:t>
            </w:r>
            <w:r w:rsidRPr="00D517BD">
              <w:rPr>
                <w:sz w:val="20"/>
                <w:lang w:val="fr-CA"/>
              </w:rPr>
              <w:t xml:space="preserve"> Tomec pouvait aller de l’avant avec sa demande visant ces indemnités </w:t>
            </w:r>
          </w:p>
          <w:p w:rsidR="004A41C2" w:rsidRPr="00D517BD" w:rsidRDefault="004A41C2" w:rsidP="004A41C2">
            <w:pPr>
              <w:jc w:val="both"/>
              <w:rPr>
                <w:sz w:val="20"/>
                <w:lang w:val="fr-CA"/>
              </w:rPr>
            </w:pPr>
          </w:p>
        </w:tc>
      </w:tr>
      <w:tr w:rsidR="004A41C2" w:rsidRPr="00D517BD" w:rsidTr="00E95A6A">
        <w:tc>
          <w:tcPr>
            <w:tcW w:w="2427" w:type="pct"/>
            <w:gridSpan w:val="2"/>
          </w:tcPr>
          <w:p w:rsidR="004A41C2" w:rsidRPr="00D517BD" w:rsidRDefault="004A41C2" w:rsidP="004A41C2">
            <w:pPr>
              <w:jc w:val="both"/>
              <w:rPr>
                <w:sz w:val="20"/>
                <w:lang w:val="fr-CA"/>
              </w:rPr>
            </w:pPr>
            <w:r w:rsidRPr="00D517BD">
              <w:rPr>
                <w:sz w:val="20"/>
                <w:lang w:val="fr-CA"/>
              </w:rPr>
              <w:t>7 janvier 2020</w:t>
            </w:r>
          </w:p>
          <w:p w:rsidR="004A41C2" w:rsidRPr="00D517BD" w:rsidRDefault="004A41C2" w:rsidP="004A41C2">
            <w:pPr>
              <w:jc w:val="both"/>
              <w:rPr>
                <w:sz w:val="20"/>
                <w:lang w:val="fr-CA"/>
              </w:rPr>
            </w:pPr>
            <w:r w:rsidRPr="00D517BD">
              <w:rPr>
                <w:sz w:val="20"/>
                <w:lang w:val="fr-CA"/>
              </w:rPr>
              <w:t>Cour suprême du Canada</w:t>
            </w:r>
          </w:p>
        </w:tc>
        <w:tc>
          <w:tcPr>
            <w:tcW w:w="243" w:type="pct"/>
          </w:tcPr>
          <w:p w:rsidR="004A41C2" w:rsidRPr="00D517BD" w:rsidRDefault="004A41C2" w:rsidP="004A41C2">
            <w:pPr>
              <w:jc w:val="both"/>
              <w:rPr>
                <w:sz w:val="20"/>
                <w:lang w:val="fr-CA"/>
              </w:rPr>
            </w:pPr>
          </w:p>
        </w:tc>
        <w:tc>
          <w:tcPr>
            <w:tcW w:w="2330" w:type="pct"/>
          </w:tcPr>
          <w:p w:rsidR="004A41C2" w:rsidRPr="00D517BD" w:rsidRDefault="004A41C2" w:rsidP="004A41C2">
            <w:pPr>
              <w:jc w:val="both"/>
              <w:rPr>
                <w:sz w:val="20"/>
                <w:lang w:val="fr-CA"/>
              </w:rPr>
            </w:pPr>
            <w:r w:rsidRPr="00D517BD">
              <w:rPr>
                <w:sz w:val="20"/>
                <w:lang w:val="fr-CA"/>
              </w:rPr>
              <w:t xml:space="preserve">Dépôt de la demande d’autorisation d’appel </w:t>
            </w:r>
          </w:p>
          <w:p w:rsidR="004A41C2" w:rsidRPr="00D517BD" w:rsidRDefault="004A41C2" w:rsidP="004A41C2">
            <w:pPr>
              <w:jc w:val="both"/>
              <w:rPr>
                <w:sz w:val="20"/>
                <w:lang w:val="fr-CA"/>
              </w:rPr>
            </w:pPr>
          </w:p>
        </w:tc>
      </w:tr>
    </w:tbl>
    <w:p w:rsidR="007A72CA" w:rsidRPr="00D517BD" w:rsidRDefault="007A72CA" w:rsidP="0098137E">
      <w:pPr>
        <w:widowControl w:val="0"/>
        <w:jc w:val="both"/>
        <w:rPr>
          <w:sz w:val="20"/>
          <w:lang w:val="fr-CA"/>
        </w:rPr>
      </w:pPr>
    </w:p>
    <w:p w:rsidR="00E85588" w:rsidRPr="00D517BD" w:rsidRDefault="00D517BD" w:rsidP="00E85588">
      <w:pPr>
        <w:jc w:val="both"/>
        <w:rPr>
          <w:sz w:val="20"/>
        </w:rPr>
      </w:pPr>
      <w:r w:rsidRPr="00D517BD">
        <w:rPr>
          <w:sz w:val="20"/>
        </w:rPr>
        <w:pict>
          <v:rect id="_x0000_i1032" style="width:2in;height:1pt" o:hrpct="0" o:hralign="center" o:hrstd="t" o:hrnoshade="t" o:hr="t" fillcolor="black [3213]" stroked="f"/>
        </w:pict>
      </w:r>
    </w:p>
    <w:p w:rsidR="00E85588" w:rsidRPr="00D517BD" w:rsidRDefault="00E85588" w:rsidP="00E85588">
      <w:pPr>
        <w:jc w:val="both"/>
        <w:rPr>
          <w:sz w:val="20"/>
        </w:rPr>
      </w:pPr>
    </w:p>
    <w:p w:rsidR="005C7161" w:rsidRPr="00D517BD" w:rsidRDefault="005C7161" w:rsidP="006A22CA">
      <w:pPr>
        <w:ind w:left="142" w:hanging="142"/>
        <w:jc w:val="both"/>
        <w:rPr>
          <w:sz w:val="20"/>
          <w:lang w:val="fr-CA"/>
        </w:rPr>
      </w:pPr>
    </w:p>
    <w:p w:rsidR="00FD3FA0" w:rsidRPr="00D517BD" w:rsidRDefault="00FD3FA0" w:rsidP="006A22CA">
      <w:pPr>
        <w:ind w:left="142" w:hanging="142"/>
        <w:jc w:val="both"/>
        <w:rPr>
          <w:sz w:val="20"/>
          <w:lang w:val="fr-CA"/>
        </w:rPr>
      </w:pPr>
    </w:p>
    <w:p w:rsidR="00D3344A" w:rsidRPr="00D517BD" w:rsidRDefault="00D3344A" w:rsidP="00D3344A">
      <w:pPr>
        <w:widowControl w:val="0"/>
        <w:outlineLvl w:val="0"/>
      </w:pPr>
      <w:r w:rsidRPr="00D517BD">
        <w:t>Supreme Court of Canada / Cour suprême du Canad</w:t>
      </w:r>
      <w:r w:rsidR="00EE289F" w:rsidRPr="00D517BD">
        <w:t>a</w:t>
      </w:r>
      <w:r w:rsidRPr="00D517BD">
        <w:t xml:space="preserve"> :</w:t>
      </w:r>
    </w:p>
    <w:p w:rsidR="00D3344A" w:rsidRPr="00D517BD" w:rsidRDefault="00D517BD" w:rsidP="00D3344A">
      <w:pPr>
        <w:widowControl w:val="0"/>
        <w:outlineLvl w:val="0"/>
        <w:rPr>
          <w:u w:val="single"/>
        </w:rPr>
      </w:pPr>
      <w:hyperlink r:id="rId21" w:history="1">
        <w:r w:rsidR="009B7391" w:rsidRPr="00D517BD">
          <w:rPr>
            <w:rStyle w:val="Hyperlink"/>
          </w:rPr>
          <w:t>comments-commentaires@scc-csc.ca</w:t>
        </w:r>
      </w:hyperlink>
    </w:p>
    <w:p w:rsidR="00D3344A" w:rsidRPr="00D517BD" w:rsidRDefault="0065588C" w:rsidP="00D3344A">
      <w:pPr>
        <w:widowControl w:val="0"/>
        <w:outlineLvl w:val="0"/>
      </w:pPr>
      <w:r w:rsidRPr="00D517BD">
        <w:t>613-</w:t>
      </w:r>
      <w:r w:rsidR="00D3344A" w:rsidRPr="00D517BD">
        <w:t>995-4330</w:t>
      </w:r>
    </w:p>
    <w:p w:rsidR="00497B5E" w:rsidRPr="00D517BD" w:rsidRDefault="00497B5E" w:rsidP="00497B5E">
      <w:pPr>
        <w:widowControl w:val="0"/>
        <w:rPr>
          <w:sz w:val="20"/>
        </w:rPr>
      </w:pPr>
    </w:p>
    <w:p w:rsidR="00F6251B" w:rsidRPr="006E558B" w:rsidRDefault="003F43E6" w:rsidP="00F6251B">
      <w:pPr>
        <w:pStyle w:val="Footer"/>
        <w:jc w:val="center"/>
      </w:pPr>
      <w:r w:rsidRPr="00D517BD">
        <w:t>- 30 -</w:t>
      </w:r>
      <w:bookmarkStart w:id="0" w:name="_GoBack"/>
      <w:bookmarkEnd w:id="0"/>
    </w:p>
    <w:sectPr w:rsidR="00F6251B" w:rsidRPr="006E558B" w:rsidSect="006313B9">
      <w:headerReference w:type="even" r:id="rId22"/>
      <w:headerReference w:type="default" r:id="rId23"/>
      <w:footerReference w:type="even" r:id="rId24"/>
      <w:footerReference w:type="default" r:id="rId25"/>
      <w:headerReference w:type="first" r:id="rId26"/>
      <w:footerReference w:type="first" r:id="rId27"/>
      <w:pgSz w:w="12240" w:h="15840"/>
      <w:pgMar w:top="851" w:right="1440" w:bottom="1440"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D" w:rsidRDefault="00F9549D" w:rsidP="0034178A">
      <w:r>
        <w:separator/>
      </w:r>
    </w:p>
  </w:endnote>
  <w:endnote w:type="continuationSeparator" w:id="0">
    <w:p w:rsidR="00F9549D" w:rsidRDefault="00F9549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Pr="009F77F0" w:rsidRDefault="00F9549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D" w:rsidRDefault="00F9549D" w:rsidP="0034178A">
      <w:r>
        <w:separator/>
      </w:r>
    </w:p>
  </w:footnote>
  <w:footnote w:type="continuationSeparator" w:id="0">
    <w:p w:rsidR="00F9549D" w:rsidRDefault="00F9549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49D" w:rsidRDefault="00F95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08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E7C69"/>
    <w:rsid w:val="002F06D0"/>
    <w:rsid w:val="002F15AD"/>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BC5"/>
    <w:rsid w:val="004B7E3E"/>
    <w:rsid w:val="004C0165"/>
    <w:rsid w:val="004C0544"/>
    <w:rsid w:val="004C07ED"/>
    <w:rsid w:val="004C1AF9"/>
    <w:rsid w:val="004C1C4F"/>
    <w:rsid w:val="004C228F"/>
    <w:rsid w:val="004C2469"/>
    <w:rsid w:val="004C2585"/>
    <w:rsid w:val="004C279B"/>
    <w:rsid w:val="004C281D"/>
    <w:rsid w:val="004C2E9D"/>
    <w:rsid w:val="004C3128"/>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6F3"/>
    <w:rsid w:val="009241BB"/>
    <w:rsid w:val="009244F7"/>
    <w:rsid w:val="00924C0D"/>
    <w:rsid w:val="00924D94"/>
    <w:rsid w:val="0092501B"/>
    <w:rsid w:val="0092587F"/>
    <w:rsid w:val="00925AA4"/>
    <w:rsid w:val="00926BE1"/>
    <w:rsid w:val="009272CD"/>
    <w:rsid w:val="00930FA6"/>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69" TargetMode="External"/><Relationship Id="rId13" Type="http://schemas.openxmlformats.org/officeDocument/2006/relationships/hyperlink" Target="https://www.canlii.org/fr/qc/qccs/doc/2018/2018qccs350/2018qccs350.html" TargetMode="External"/><Relationship Id="rId18" Type="http://schemas.openxmlformats.org/officeDocument/2006/relationships/hyperlink" Target="https://www.canlii.org/en/on/onca/doc/2019/2019onca882/2019onca882.html?autocompleteStr=2019%20ONCA%20882&amp;autocompletePos=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ents-commentaires@scc-csc.ca" TargetMode="External"/><Relationship Id="rId7" Type="http://schemas.openxmlformats.org/officeDocument/2006/relationships/endnotes" Target="endnotes.xml"/><Relationship Id="rId12" Type="http://schemas.openxmlformats.org/officeDocument/2006/relationships/hyperlink" Target="https://www.canlii.org/en/on/onca/doc/2018/2018onca564/2018onca564.html?resultIndex=1" TargetMode="External"/><Relationship Id="rId17" Type="http://schemas.openxmlformats.org/officeDocument/2006/relationships/hyperlink" Target="https://www.canlii.org/en/on/onscdc/doc/2018/2018onsc5664/2018onsc5664.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fr/qc/qcca/doc/2019/2019qcca2041/2019qcca2041.html?searchUrlHash=AAAAAAAAAAEAFjIwMTggUUNDUyAzNTAgKENhbkxJSSkAAAABAAwvMjAxOHFjY3MzNTAB" TargetMode="External"/><Relationship Id="rId20" Type="http://schemas.openxmlformats.org/officeDocument/2006/relationships/hyperlink" Target="https://www.canlii.org/en/on/onca/doc/2019/2019onca882/2019onca882.html?autocompleteStr=2019%20ONCA%20882&amp;autocompletePos=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on/onca/doc/2018/2018onca564/2018onca564.html?resultIndex=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lii.org/fr/qc/qccs/doc/2018/2018qccs350/2018qccs350.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scc-csc.ca/case-dossier/info/sum-som-eng.aspx?cas=39017" TargetMode="External"/><Relationship Id="rId19" Type="http://schemas.openxmlformats.org/officeDocument/2006/relationships/hyperlink" Target="https://www.canlii.org/en/on/onscdc/doc/2018/2018onsc5664/2018onsc5664.html" TargetMode="External"/><Relationship Id="rId4" Type="http://schemas.openxmlformats.org/officeDocument/2006/relationships/settings" Target="settings.xml"/><Relationship Id="rId9" Type="http://schemas.openxmlformats.org/officeDocument/2006/relationships/hyperlink" Target="https://www.scc-csc.ca/case-dossier/info/sum-som-fra.aspx?cas=39051" TargetMode="External"/><Relationship Id="rId14" Type="http://schemas.openxmlformats.org/officeDocument/2006/relationships/hyperlink" Target="https://www.canlii.org/fr/qc/qcca/doc/2019/2019qcca2041/2019qcca2041.html?searchUrlHash=AAAAAAAAAAEAFjIwMTggUUNDUyAzNTAgKENhbkxJSSkAAAABAAwvMjAxOHFjY3MzNTAB"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28C2-2A38-4BE5-9DBC-286F95B6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16576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2020-05-29T15:05:00Z</dcterms:modified>
</cp:coreProperties>
</file>