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7640C" w:rsidRDefault="003F43E6" w:rsidP="003F43E6">
      <w:pPr>
        <w:pStyle w:val="Header"/>
        <w:jc w:val="center"/>
        <w:rPr>
          <w:b/>
          <w:sz w:val="32"/>
        </w:rPr>
      </w:pPr>
      <w:r w:rsidRPr="0057640C">
        <w:rPr>
          <w:b/>
          <w:sz w:val="32"/>
        </w:rPr>
        <w:t>Supreme Court of Canada / Cour suprême du Canada</w:t>
      </w:r>
    </w:p>
    <w:p w:rsidR="003F43E6" w:rsidRPr="0057640C" w:rsidRDefault="003F43E6" w:rsidP="006F2579">
      <w:pPr>
        <w:widowControl w:val="0"/>
        <w:rPr>
          <w:i/>
        </w:rPr>
      </w:pPr>
    </w:p>
    <w:p w:rsidR="003F43E6" w:rsidRPr="0057640C" w:rsidRDefault="003F43E6" w:rsidP="006F2579">
      <w:pPr>
        <w:widowControl w:val="0"/>
        <w:rPr>
          <w:i/>
        </w:rPr>
      </w:pPr>
    </w:p>
    <w:p w:rsidR="006F2579" w:rsidRPr="0057640C" w:rsidRDefault="006F2579" w:rsidP="006F2579">
      <w:pPr>
        <w:widowControl w:val="0"/>
        <w:rPr>
          <w:i/>
          <w:sz w:val="20"/>
          <w:lang w:val="fr-CA"/>
        </w:rPr>
      </w:pPr>
      <w:r w:rsidRPr="0057640C">
        <w:rPr>
          <w:i/>
          <w:sz w:val="20"/>
          <w:lang w:val="fr-CA"/>
        </w:rPr>
        <w:t>(</w:t>
      </w:r>
      <w:r w:rsidR="008F3C5D" w:rsidRPr="0057640C">
        <w:rPr>
          <w:i/>
          <w:sz w:val="20"/>
          <w:lang w:val="fr-CA"/>
        </w:rPr>
        <w:t>L</w:t>
      </w:r>
      <w:r w:rsidRPr="0057640C">
        <w:rPr>
          <w:i/>
          <w:sz w:val="20"/>
          <w:lang w:val="fr-CA"/>
        </w:rPr>
        <w:t>e français suit)</w:t>
      </w:r>
    </w:p>
    <w:p w:rsidR="006F2579" w:rsidRPr="0057640C" w:rsidRDefault="006F2579" w:rsidP="006F2579">
      <w:pPr>
        <w:widowControl w:val="0"/>
        <w:rPr>
          <w:lang w:val="fr-CA"/>
        </w:rPr>
      </w:pPr>
    </w:p>
    <w:p w:rsidR="006F2579" w:rsidRPr="0057640C" w:rsidRDefault="00C007C3" w:rsidP="006F2579">
      <w:pPr>
        <w:widowControl w:val="0"/>
        <w:jc w:val="center"/>
        <w:rPr>
          <w:b/>
          <w:lang w:val="fr-CA"/>
        </w:rPr>
      </w:pPr>
      <w:r w:rsidRPr="0057640C">
        <w:fldChar w:fldCharType="begin"/>
      </w:r>
      <w:r w:rsidR="006F2579" w:rsidRPr="0057640C">
        <w:rPr>
          <w:lang w:val="fr-CA"/>
        </w:rPr>
        <w:instrText xml:space="preserve"> SEQ CHAPTER \h \r 1</w:instrText>
      </w:r>
      <w:r w:rsidRPr="0057640C">
        <w:fldChar w:fldCharType="end"/>
      </w:r>
      <w:r w:rsidR="002767DF" w:rsidRPr="0057640C">
        <w:rPr>
          <w:b/>
          <w:lang w:val="fr-CA"/>
        </w:rPr>
        <w:t xml:space="preserve">JUDGMENTS </w:t>
      </w:r>
      <w:r w:rsidR="004C4C26" w:rsidRPr="0057640C">
        <w:rPr>
          <w:b/>
          <w:lang w:val="fr-CA"/>
        </w:rPr>
        <w:t>IN LEAVE APPLICATION</w:t>
      </w:r>
      <w:r w:rsidR="002375D8" w:rsidRPr="0057640C">
        <w:rPr>
          <w:b/>
          <w:lang w:val="fr-CA"/>
        </w:rPr>
        <w:t>S</w:t>
      </w:r>
    </w:p>
    <w:p w:rsidR="006F2579" w:rsidRPr="0057640C" w:rsidRDefault="006F2579" w:rsidP="006F2579">
      <w:pPr>
        <w:widowControl w:val="0"/>
        <w:rPr>
          <w:lang w:val="fr-CA"/>
        </w:rPr>
      </w:pPr>
    </w:p>
    <w:p w:rsidR="006F2579" w:rsidRPr="0057640C" w:rsidRDefault="00E913C4" w:rsidP="006F2579">
      <w:pPr>
        <w:widowControl w:val="0"/>
      </w:pPr>
      <w:r>
        <w:rPr>
          <w:b/>
        </w:rPr>
        <w:t>August</w:t>
      </w:r>
      <w:r w:rsidR="00221A4C" w:rsidRPr="0057640C">
        <w:rPr>
          <w:b/>
        </w:rPr>
        <w:t xml:space="preserve"> </w:t>
      </w:r>
      <w:r w:rsidR="00735D24">
        <w:rPr>
          <w:b/>
        </w:rPr>
        <w:t>13</w:t>
      </w:r>
      <w:r w:rsidR="00170148" w:rsidRPr="0057640C">
        <w:rPr>
          <w:b/>
        </w:rPr>
        <w:t>,</w:t>
      </w:r>
      <w:r w:rsidR="008825DB" w:rsidRPr="0057640C">
        <w:rPr>
          <w:b/>
        </w:rPr>
        <w:t xml:space="preserve"> 20</w:t>
      </w:r>
      <w:r w:rsidR="002902CC" w:rsidRPr="0057640C">
        <w:rPr>
          <w:b/>
        </w:rPr>
        <w:t>20</w:t>
      </w:r>
    </w:p>
    <w:p w:rsidR="006F2579" w:rsidRPr="0057640C" w:rsidRDefault="006F2579" w:rsidP="006F2579">
      <w:pPr>
        <w:widowControl w:val="0"/>
        <w:rPr>
          <w:b/>
        </w:rPr>
      </w:pPr>
      <w:r w:rsidRPr="0057640C">
        <w:rPr>
          <w:b/>
        </w:rPr>
        <w:t>For immediate release</w:t>
      </w:r>
    </w:p>
    <w:p w:rsidR="006F2579" w:rsidRPr="0057640C" w:rsidRDefault="006F2579" w:rsidP="006F2579">
      <w:pPr>
        <w:widowControl w:val="0"/>
      </w:pPr>
    </w:p>
    <w:p w:rsidR="002767DF" w:rsidRPr="0057640C" w:rsidRDefault="002767DF" w:rsidP="002767DF">
      <w:pPr>
        <w:widowControl w:val="0"/>
      </w:pPr>
      <w:r w:rsidRPr="0057640C">
        <w:rPr>
          <w:b/>
        </w:rPr>
        <w:t>OTTAWA</w:t>
      </w:r>
      <w:r w:rsidRPr="0057640C">
        <w:t xml:space="preserve"> – The Suprem</w:t>
      </w:r>
      <w:r w:rsidR="00580213" w:rsidRPr="0057640C">
        <w:t>e</w:t>
      </w:r>
      <w:r w:rsidRPr="0057640C">
        <w:t xml:space="preserve"> Court of Canada has today deposited with the Registrar judgment</w:t>
      </w:r>
      <w:r w:rsidR="004D3B41" w:rsidRPr="0057640C">
        <w:t>s</w:t>
      </w:r>
      <w:r w:rsidRPr="0057640C">
        <w:t xml:space="preserve"> in the following </w:t>
      </w:r>
      <w:r w:rsidR="00063949" w:rsidRPr="0057640C">
        <w:t xml:space="preserve">leave </w:t>
      </w:r>
      <w:r w:rsidRPr="0057640C">
        <w:t>application</w:t>
      </w:r>
      <w:r w:rsidR="00CC044F" w:rsidRPr="0057640C">
        <w:t>s</w:t>
      </w:r>
      <w:r w:rsidRPr="0057640C">
        <w:t>.</w:t>
      </w:r>
    </w:p>
    <w:p w:rsidR="006F2579" w:rsidRPr="0057640C" w:rsidRDefault="006F2579" w:rsidP="006F2579">
      <w:pPr>
        <w:widowControl w:val="0"/>
      </w:pPr>
    </w:p>
    <w:p w:rsidR="006F2579" w:rsidRPr="0057640C" w:rsidRDefault="006F2579" w:rsidP="006F2579">
      <w:pPr>
        <w:widowControl w:val="0"/>
      </w:pPr>
    </w:p>
    <w:p w:rsidR="002767DF" w:rsidRPr="0057640C" w:rsidRDefault="002767DF" w:rsidP="002767DF">
      <w:pPr>
        <w:widowControl w:val="0"/>
        <w:jc w:val="center"/>
        <w:rPr>
          <w:lang w:val="fr-CA"/>
        </w:rPr>
      </w:pPr>
      <w:r w:rsidRPr="0057640C">
        <w:rPr>
          <w:b/>
          <w:lang w:val="fr-CA"/>
        </w:rPr>
        <w:t>JUGEMENT</w:t>
      </w:r>
      <w:r w:rsidR="004C4C26" w:rsidRPr="0057640C">
        <w:rPr>
          <w:b/>
          <w:lang w:val="fr-CA"/>
        </w:rPr>
        <w:t>S SUR DEMANDE</w:t>
      </w:r>
      <w:r w:rsidR="00CC044F" w:rsidRPr="0057640C">
        <w:rPr>
          <w:b/>
          <w:lang w:val="fr-CA"/>
        </w:rPr>
        <w:t>S</w:t>
      </w:r>
      <w:r w:rsidRPr="0057640C">
        <w:rPr>
          <w:b/>
          <w:lang w:val="fr-CA"/>
        </w:rPr>
        <w:t xml:space="preserve"> D’AUTORISATION</w:t>
      </w:r>
    </w:p>
    <w:p w:rsidR="006F2579" w:rsidRPr="0057640C" w:rsidRDefault="006F2579" w:rsidP="006F2579">
      <w:pPr>
        <w:widowControl w:val="0"/>
        <w:rPr>
          <w:lang w:val="fr-CA"/>
        </w:rPr>
      </w:pPr>
    </w:p>
    <w:p w:rsidR="006F2579" w:rsidRPr="0057640C" w:rsidRDefault="006F2579" w:rsidP="006F2579">
      <w:pPr>
        <w:widowControl w:val="0"/>
        <w:rPr>
          <w:lang w:val="fr-CA"/>
        </w:rPr>
      </w:pPr>
      <w:r w:rsidRPr="0057640C">
        <w:rPr>
          <w:b/>
          <w:lang w:val="fr-CA"/>
        </w:rPr>
        <w:t>Le</w:t>
      </w:r>
      <w:r w:rsidR="008825DB" w:rsidRPr="0057640C">
        <w:rPr>
          <w:b/>
          <w:lang w:val="fr-CA"/>
        </w:rPr>
        <w:t xml:space="preserve"> </w:t>
      </w:r>
      <w:r w:rsidR="00735D24">
        <w:rPr>
          <w:b/>
          <w:lang w:val="fr-CA"/>
        </w:rPr>
        <w:t>13</w:t>
      </w:r>
      <w:r w:rsidR="00C9475D" w:rsidRPr="0057640C">
        <w:rPr>
          <w:b/>
          <w:lang w:val="fr-CA"/>
        </w:rPr>
        <w:t xml:space="preserve"> </w:t>
      </w:r>
      <w:r w:rsidR="00E913C4">
        <w:rPr>
          <w:b/>
          <w:lang w:val="fr-CA"/>
        </w:rPr>
        <w:t>août</w:t>
      </w:r>
      <w:r w:rsidR="004E4B02" w:rsidRPr="0057640C">
        <w:rPr>
          <w:b/>
          <w:lang w:val="fr-CA"/>
        </w:rPr>
        <w:t xml:space="preserve"> </w:t>
      </w:r>
      <w:r w:rsidR="008825DB" w:rsidRPr="0057640C">
        <w:rPr>
          <w:b/>
          <w:lang w:val="fr-CA"/>
        </w:rPr>
        <w:t>20</w:t>
      </w:r>
      <w:r w:rsidR="002902CC" w:rsidRPr="0057640C">
        <w:rPr>
          <w:b/>
          <w:lang w:val="fr-CA"/>
        </w:rPr>
        <w:t>20</w:t>
      </w:r>
    </w:p>
    <w:p w:rsidR="006F2579" w:rsidRPr="0057640C" w:rsidRDefault="006F2579" w:rsidP="006F2579">
      <w:pPr>
        <w:widowControl w:val="0"/>
        <w:rPr>
          <w:b/>
          <w:lang w:val="fr-CA"/>
        </w:rPr>
      </w:pPr>
      <w:r w:rsidRPr="0057640C">
        <w:rPr>
          <w:b/>
          <w:lang w:val="fr-CA"/>
        </w:rPr>
        <w:t>Pour diffusion immédiate</w:t>
      </w:r>
    </w:p>
    <w:p w:rsidR="006F2579" w:rsidRPr="0057640C" w:rsidRDefault="006F2579" w:rsidP="006F2579">
      <w:pPr>
        <w:widowControl w:val="0"/>
        <w:rPr>
          <w:lang w:val="fr-CA"/>
        </w:rPr>
      </w:pPr>
    </w:p>
    <w:p w:rsidR="002767DF" w:rsidRPr="0057640C" w:rsidRDefault="002767DF" w:rsidP="002767DF">
      <w:pPr>
        <w:widowControl w:val="0"/>
        <w:rPr>
          <w:lang w:val="fr-CA"/>
        </w:rPr>
      </w:pPr>
      <w:r w:rsidRPr="0057640C">
        <w:rPr>
          <w:b/>
          <w:lang w:val="fr-CA"/>
        </w:rPr>
        <w:t>OTTAWA</w:t>
      </w:r>
      <w:r w:rsidRPr="0057640C">
        <w:rPr>
          <w:lang w:val="fr-CA"/>
        </w:rPr>
        <w:t xml:space="preserve"> – La Cour suprême du Canada a déposé aujourd’hui auprès du registraire les jugements dans </w:t>
      </w:r>
      <w:r w:rsidR="00CC044F" w:rsidRPr="0057640C">
        <w:rPr>
          <w:lang w:val="fr-CA"/>
        </w:rPr>
        <w:t>les</w:t>
      </w:r>
      <w:r w:rsidR="008C7CD9" w:rsidRPr="0057640C">
        <w:rPr>
          <w:lang w:val="fr-CA"/>
        </w:rPr>
        <w:t xml:space="preserve"> </w:t>
      </w:r>
      <w:r w:rsidR="004C4C26" w:rsidRPr="0057640C">
        <w:rPr>
          <w:lang w:val="fr-CA"/>
        </w:rPr>
        <w:t>demande</w:t>
      </w:r>
      <w:r w:rsidR="0088435A" w:rsidRPr="0057640C">
        <w:rPr>
          <w:lang w:val="fr-CA"/>
        </w:rPr>
        <w:t>s</w:t>
      </w:r>
      <w:r w:rsidRPr="0057640C">
        <w:rPr>
          <w:lang w:val="fr-CA"/>
        </w:rPr>
        <w:t xml:space="preserve"> d’au</w:t>
      </w:r>
      <w:r w:rsidR="00F24EF2" w:rsidRPr="0057640C">
        <w:rPr>
          <w:lang w:val="fr-CA"/>
        </w:rPr>
        <w:t xml:space="preserve">torisation </w:t>
      </w:r>
      <w:r w:rsidR="007F2922" w:rsidRPr="0057640C">
        <w:rPr>
          <w:lang w:val="fr-CA"/>
        </w:rPr>
        <w:t>sui</w:t>
      </w:r>
      <w:r w:rsidR="00F24EF2" w:rsidRPr="0057640C">
        <w:rPr>
          <w:lang w:val="fr-CA"/>
        </w:rPr>
        <w:t>v</w:t>
      </w:r>
      <w:r w:rsidR="007F2922" w:rsidRPr="0057640C">
        <w:rPr>
          <w:lang w:val="fr-CA"/>
        </w:rPr>
        <w:t>a</w:t>
      </w:r>
      <w:r w:rsidR="00F24EF2" w:rsidRPr="0057640C">
        <w:rPr>
          <w:lang w:val="fr-CA"/>
        </w:rPr>
        <w:t>nt</w:t>
      </w:r>
      <w:r w:rsidR="00C56657" w:rsidRPr="0057640C">
        <w:rPr>
          <w:lang w:val="fr-CA"/>
        </w:rPr>
        <w:t>s</w:t>
      </w:r>
      <w:r w:rsidR="00F24EF2" w:rsidRPr="0057640C">
        <w:rPr>
          <w:lang w:val="fr-CA"/>
        </w:rPr>
        <w:t>.</w:t>
      </w:r>
    </w:p>
    <w:p w:rsidR="00694BDA" w:rsidRDefault="00694BDA" w:rsidP="000B5274">
      <w:pPr>
        <w:jc w:val="both"/>
        <w:rPr>
          <w:sz w:val="20"/>
          <w:lang w:val="fr-CA"/>
        </w:rPr>
      </w:pPr>
    </w:p>
    <w:p w:rsidR="00DA0759" w:rsidRPr="0057640C" w:rsidRDefault="000C64A0" w:rsidP="000B5274">
      <w:pPr>
        <w:jc w:val="both"/>
        <w:rPr>
          <w:sz w:val="20"/>
          <w:lang w:val="fr-CA"/>
        </w:rPr>
      </w:pPr>
      <w:r>
        <w:rPr>
          <w:sz w:val="20"/>
        </w:rPr>
        <w:pict>
          <v:rect id="_x0000_i1025" style="width:2in;height:1pt" o:hrpct="0" o:hralign="center" o:hrstd="t" o:hrnoshade="t" o:hr="t" fillcolor="black [3213]" stroked="f"/>
        </w:pict>
      </w:r>
    </w:p>
    <w:p w:rsidR="000E5C6B" w:rsidRDefault="000E5C6B" w:rsidP="004D08BA">
      <w:pPr>
        <w:jc w:val="both"/>
        <w:rPr>
          <w:sz w:val="20"/>
        </w:rPr>
      </w:pPr>
    </w:p>
    <w:p w:rsidR="00FF4A21" w:rsidRPr="0057640C" w:rsidRDefault="00FF4A21" w:rsidP="00FF4A21">
      <w:pPr>
        <w:jc w:val="both"/>
        <w:rPr>
          <w:b/>
          <w:sz w:val="22"/>
          <w:szCs w:val="22"/>
        </w:rPr>
      </w:pPr>
      <w:r w:rsidRPr="00E224C9">
        <w:rPr>
          <w:b/>
          <w:sz w:val="22"/>
          <w:szCs w:val="22"/>
        </w:rPr>
        <w:t>GRANTED / ACCORDÉES</w:t>
      </w:r>
    </w:p>
    <w:p w:rsidR="00FF4A21" w:rsidRDefault="00FF4A21" w:rsidP="004D08BA">
      <w:pPr>
        <w:jc w:val="both"/>
        <w:rPr>
          <w:sz w:val="20"/>
        </w:rPr>
      </w:pPr>
    </w:p>
    <w:p w:rsidR="00B65274" w:rsidRPr="00B65274" w:rsidRDefault="00B65274" w:rsidP="00B65274">
      <w:pPr>
        <w:pStyle w:val="SCCAppellantInfoAppellantInfo"/>
        <w:rPr>
          <w:sz w:val="22"/>
          <w:szCs w:val="20"/>
        </w:rPr>
      </w:pPr>
      <w:r w:rsidRPr="00B65274">
        <w:rPr>
          <w:i/>
          <w:sz w:val="22"/>
          <w:szCs w:val="20"/>
        </w:rPr>
        <w:t>City of Corner Brook v. Mary Bailey</w:t>
      </w:r>
      <w:r w:rsidRPr="00B65274">
        <w:rPr>
          <w:sz w:val="22"/>
          <w:szCs w:val="20"/>
        </w:rPr>
        <w:t xml:space="preserve"> (N.L.) (Civil) (By Leave) (</w:t>
      </w:r>
      <w:hyperlink r:id="rId8" w:history="1">
        <w:r w:rsidRPr="00B65274">
          <w:rPr>
            <w:rStyle w:val="Hyperlink"/>
            <w:sz w:val="22"/>
            <w:szCs w:val="20"/>
          </w:rPr>
          <w:t>39122</w:t>
        </w:r>
      </w:hyperlink>
      <w:r w:rsidRPr="00B65274">
        <w:rPr>
          <w:sz w:val="22"/>
          <w:szCs w:val="20"/>
        </w:rPr>
        <w:t>)</w:t>
      </w:r>
    </w:p>
    <w:p w:rsidR="00B65274" w:rsidRPr="00B65274" w:rsidRDefault="00B65274" w:rsidP="00B65274">
      <w:pPr>
        <w:widowControl w:val="0"/>
        <w:rPr>
          <w:sz w:val="20"/>
        </w:rPr>
      </w:pPr>
    </w:p>
    <w:p w:rsidR="00B65274" w:rsidRPr="00B65274" w:rsidRDefault="00B65274" w:rsidP="00B65274">
      <w:pPr>
        <w:widowControl w:val="0"/>
        <w:rPr>
          <w:sz w:val="20"/>
          <w:lang w:val="en-CA"/>
        </w:rPr>
      </w:pPr>
      <w:r w:rsidRPr="00B65274">
        <w:rPr>
          <w:sz w:val="20"/>
          <w:lang w:val="en-CA"/>
        </w:rPr>
        <w:t>The application for leave to appeal from the judgment of the Court of Appeal of Newfoundland and Labrador, Number 201901H0002, 2020 NLCA 3, dated February 4, 2020, is granted with costs in the cause.</w:t>
      </w:r>
    </w:p>
    <w:p w:rsidR="00B65274" w:rsidRPr="00B65274" w:rsidRDefault="00B65274" w:rsidP="00B65274">
      <w:pPr>
        <w:widowControl w:val="0"/>
        <w:rPr>
          <w:sz w:val="20"/>
          <w:lang w:val="en-CA"/>
        </w:rPr>
      </w:pPr>
    </w:p>
    <w:p w:rsidR="00B65274" w:rsidRPr="00B65274" w:rsidRDefault="00B65274" w:rsidP="00B65274">
      <w:pPr>
        <w:widowControl w:val="0"/>
        <w:rPr>
          <w:sz w:val="20"/>
          <w:lang w:val="fr-CA"/>
        </w:rPr>
      </w:pPr>
      <w:r w:rsidRPr="00B65274">
        <w:rPr>
          <w:sz w:val="20"/>
          <w:lang w:val="fr-CA"/>
        </w:rPr>
        <w:t>La demande d’autorisation d’appel de l’arrêt de la Cour d’appel de Terre-Neuve-et-Labrador, numéro 201901H0002, 2020 NLCA 3, daté du 4 février 2020, est accueillie avec dépens suivant l’issue de la cause.</w:t>
      </w:r>
    </w:p>
    <w:p w:rsidR="00FF4A21" w:rsidRPr="00B65274" w:rsidRDefault="00FF4A21" w:rsidP="004D08BA">
      <w:pPr>
        <w:jc w:val="both"/>
        <w:rPr>
          <w:sz w:val="20"/>
          <w:lang w:val="fr-CA"/>
        </w:rPr>
      </w:pPr>
    </w:p>
    <w:p w:rsidR="00FF4A21" w:rsidRDefault="000C64A0" w:rsidP="004D08BA">
      <w:pPr>
        <w:jc w:val="both"/>
        <w:rPr>
          <w:sz w:val="20"/>
        </w:rPr>
      </w:pPr>
      <w:r>
        <w:rPr>
          <w:sz w:val="20"/>
        </w:rPr>
        <w:pict>
          <v:rect id="_x0000_i1026" style="width:2in;height:1pt" o:hrpct="0" o:hralign="center" o:hrstd="t" o:hrnoshade="t" o:hr="t" fillcolor="black [3213]" stroked="f"/>
        </w:pict>
      </w:r>
    </w:p>
    <w:p w:rsidR="00E224C9" w:rsidRDefault="00E224C9" w:rsidP="00E224C9">
      <w:pPr>
        <w:rPr>
          <w:i/>
          <w:sz w:val="20"/>
          <w:lang w:val="en-CA"/>
        </w:rPr>
      </w:pPr>
    </w:p>
    <w:p w:rsidR="00E224C9" w:rsidRPr="00E224C9" w:rsidRDefault="00E224C9" w:rsidP="00E224C9">
      <w:pPr>
        <w:rPr>
          <w:i/>
          <w:sz w:val="20"/>
          <w:lang w:val="en-CA"/>
        </w:rPr>
      </w:pPr>
      <w:r w:rsidRPr="00E224C9">
        <w:rPr>
          <w:i/>
          <w:sz w:val="20"/>
          <w:lang w:val="en-CA"/>
        </w:rPr>
        <w:t>Grant Thornton LLP</w:t>
      </w:r>
      <w:r w:rsidR="00CA3AD6">
        <w:rPr>
          <w:i/>
          <w:sz w:val="20"/>
          <w:lang w:val="en-CA"/>
        </w:rPr>
        <w:t xml:space="preserve"> </w:t>
      </w:r>
      <w:r w:rsidR="00CA3AD6" w:rsidRPr="00CA3AD6">
        <w:rPr>
          <w:i/>
          <w:sz w:val="20"/>
          <w:lang w:val="en-CA"/>
        </w:rPr>
        <w:t>and Kent M. Ostridge</w:t>
      </w:r>
      <w:r w:rsidRPr="00E224C9">
        <w:rPr>
          <w:i/>
          <w:sz w:val="20"/>
          <w:lang w:val="en-CA"/>
        </w:rPr>
        <w:t xml:space="preserve"> v. Province of New Brunswick</w:t>
      </w:r>
      <w:r w:rsidR="00CA3AD6">
        <w:rPr>
          <w:i/>
          <w:sz w:val="20"/>
          <w:lang w:val="en-CA"/>
        </w:rPr>
        <w:t xml:space="preserve"> - and between - </w:t>
      </w:r>
      <w:r w:rsidR="00CA3AD6" w:rsidRPr="00CA3AD6">
        <w:rPr>
          <w:i/>
          <w:sz w:val="20"/>
          <w:lang w:val="en-CA"/>
        </w:rPr>
        <w:t>Grant Thornton International Ltd.</w:t>
      </w:r>
      <w:r w:rsidR="00CA3AD6">
        <w:rPr>
          <w:i/>
          <w:sz w:val="20"/>
          <w:lang w:val="en-CA"/>
        </w:rPr>
        <w:t xml:space="preserve"> v. </w:t>
      </w:r>
      <w:r w:rsidR="00CA3AD6" w:rsidRPr="00CA3AD6">
        <w:rPr>
          <w:i/>
          <w:sz w:val="20"/>
          <w:lang w:val="en-CA"/>
        </w:rPr>
        <w:t>Province of New Brunswick</w:t>
      </w:r>
      <w:r w:rsidRPr="00E224C9">
        <w:rPr>
          <w:sz w:val="20"/>
          <w:lang w:val="en-CA"/>
        </w:rPr>
        <w:t xml:space="preserve"> (N.B.) (Civil) (By Leave) </w:t>
      </w:r>
      <w:r w:rsidRPr="00E224C9">
        <w:rPr>
          <w:sz w:val="20"/>
        </w:rPr>
        <w:t>(</w:t>
      </w:r>
      <w:hyperlink r:id="rId9" w:history="1">
        <w:r w:rsidRPr="00E224C9">
          <w:rPr>
            <w:rStyle w:val="Hyperlink"/>
            <w:sz w:val="20"/>
          </w:rPr>
          <w:t>39182</w:t>
        </w:r>
      </w:hyperlink>
      <w:r w:rsidRPr="00E224C9">
        <w:rPr>
          <w:sz w:val="20"/>
        </w:rPr>
        <w:t>)</w:t>
      </w:r>
    </w:p>
    <w:p w:rsidR="00E224C9" w:rsidRPr="00CA3AD6" w:rsidRDefault="00E224C9" w:rsidP="00CA3AD6">
      <w:pPr>
        <w:pStyle w:val="ListParagraph"/>
        <w:ind w:left="0"/>
        <w:rPr>
          <w:sz w:val="20"/>
          <w:szCs w:val="20"/>
          <w:lang w:val="en-CA"/>
        </w:rPr>
      </w:pPr>
    </w:p>
    <w:p w:rsidR="00E224C9" w:rsidRPr="00E224C9" w:rsidRDefault="00E224C9" w:rsidP="00E224C9">
      <w:pPr>
        <w:jc w:val="both"/>
        <w:rPr>
          <w:sz w:val="20"/>
          <w:lang w:val="en-CA"/>
        </w:rPr>
      </w:pPr>
      <w:r w:rsidRPr="00E224C9">
        <w:rPr>
          <w:sz w:val="20"/>
          <w:lang w:val="en-CA"/>
        </w:rPr>
        <w:t>The applications for leave to appeal from the judgment of the Court of Appeal of New Brunswick, Number 29</w:t>
      </w:r>
      <w:r w:rsidRPr="00E224C9">
        <w:rPr>
          <w:sz w:val="20"/>
          <w:lang w:val="en-CA"/>
        </w:rPr>
        <w:noBreakHyphen/>
        <w:t>19</w:t>
      </w:r>
      <w:r w:rsidRPr="00E224C9">
        <w:rPr>
          <w:sz w:val="20"/>
          <w:lang w:val="en-CA"/>
        </w:rPr>
        <w:noBreakHyphen/>
        <w:t>CA, 2020 NBCA 18, dated March 26, 2020, are granted with costs in the cause.</w:t>
      </w:r>
    </w:p>
    <w:p w:rsidR="00FF4A21" w:rsidRPr="00E224C9" w:rsidRDefault="00FF4A21" w:rsidP="004D08BA">
      <w:pPr>
        <w:jc w:val="both"/>
        <w:rPr>
          <w:sz w:val="20"/>
          <w:lang w:val="en-CA"/>
        </w:rPr>
      </w:pPr>
    </w:p>
    <w:p w:rsidR="00FF4A21" w:rsidRDefault="00E224C9" w:rsidP="004D08BA">
      <w:pPr>
        <w:jc w:val="both"/>
        <w:rPr>
          <w:sz w:val="20"/>
          <w:lang w:val="fr-CA"/>
        </w:rPr>
      </w:pPr>
      <w:r w:rsidRPr="00E224C9">
        <w:rPr>
          <w:sz w:val="20"/>
          <w:lang w:val="fr-CA"/>
        </w:rPr>
        <w:t>Les demandes d’autorisation d’appel de l’arrêt de la Cour d’appel du Nouveau</w:t>
      </w:r>
      <w:r w:rsidRPr="00E224C9">
        <w:rPr>
          <w:sz w:val="20"/>
          <w:lang w:val="fr-CA"/>
        </w:rPr>
        <w:noBreakHyphen/>
        <w:t>Brunswick, numéro 29</w:t>
      </w:r>
      <w:r w:rsidRPr="00E224C9">
        <w:rPr>
          <w:sz w:val="20"/>
          <w:lang w:val="fr-CA"/>
        </w:rPr>
        <w:noBreakHyphen/>
        <w:t>19</w:t>
      </w:r>
      <w:r w:rsidRPr="00E224C9">
        <w:rPr>
          <w:sz w:val="20"/>
          <w:lang w:val="fr-CA"/>
        </w:rPr>
        <w:noBreakHyphen/>
        <w:t>CA, 2020 NBCA 18, daté du 26 mars 2020, sont accueillies avec dépens suivant l’issue de la cause.</w:t>
      </w:r>
    </w:p>
    <w:p w:rsidR="00E224C9" w:rsidRPr="00E224C9" w:rsidRDefault="00E224C9" w:rsidP="004D08BA">
      <w:pPr>
        <w:jc w:val="both"/>
        <w:rPr>
          <w:sz w:val="20"/>
          <w:lang w:val="fr-CA"/>
        </w:rPr>
      </w:pPr>
    </w:p>
    <w:p w:rsidR="00FF4A21" w:rsidRDefault="000C64A0" w:rsidP="004D08BA">
      <w:pPr>
        <w:jc w:val="both"/>
        <w:rPr>
          <w:sz w:val="20"/>
        </w:rPr>
      </w:pPr>
      <w:r>
        <w:rPr>
          <w:sz w:val="20"/>
        </w:rPr>
        <w:pict>
          <v:rect id="_x0000_i1027" style="width:2in;height:1pt" o:hrpct="0" o:hralign="center" o:hrstd="t" o:hrnoshade="t" o:hr="t" fillcolor="black [3213]" stroked="f"/>
        </w:pict>
      </w:r>
    </w:p>
    <w:p w:rsidR="00FF4A21" w:rsidRPr="0057640C" w:rsidRDefault="00FF4A21" w:rsidP="004D08BA">
      <w:pPr>
        <w:jc w:val="both"/>
        <w:rPr>
          <w:sz w:val="20"/>
        </w:rPr>
      </w:pPr>
    </w:p>
    <w:p w:rsidR="00431DE2" w:rsidRPr="0057640C" w:rsidRDefault="00431DE2" w:rsidP="00431DE2">
      <w:pPr>
        <w:jc w:val="both"/>
        <w:rPr>
          <w:b/>
          <w:sz w:val="22"/>
          <w:szCs w:val="22"/>
        </w:rPr>
      </w:pPr>
      <w:r w:rsidRPr="0057640C">
        <w:rPr>
          <w:b/>
          <w:sz w:val="22"/>
          <w:szCs w:val="22"/>
        </w:rPr>
        <w:t>DISMISSED / REJETÉE</w:t>
      </w:r>
      <w:r w:rsidR="001B1618" w:rsidRPr="00B65274">
        <w:rPr>
          <w:b/>
          <w:sz w:val="22"/>
          <w:szCs w:val="22"/>
        </w:rPr>
        <w:t>S</w:t>
      </w:r>
    </w:p>
    <w:p w:rsidR="00431DE2" w:rsidRPr="0057640C" w:rsidRDefault="00431DE2" w:rsidP="000B5274">
      <w:pPr>
        <w:jc w:val="both"/>
        <w:rPr>
          <w:sz w:val="20"/>
        </w:rPr>
      </w:pPr>
    </w:p>
    <w:p w:rsidR="00B65274" w:rsidRPr="00B65274" w:rsidRDefault="00B65274" w:rsidP="00B65274">
      <w:pPr>
        <w:tabs>
          <w:tab w:val="left" w:pos="0"/>
        </w:tabs>
        <w:rPr>
          <w:sz w:val="22"/>
        </w:rPr>
      </w:pPr>
      <w:r w:rsidRPr="00B65274">
        <w:rPr>
          <w:i/>
          <w:sz w:val="22"/>
        </w:rPr>
        <w:t>Greg Roy v. Her Majesty the Queen</w:t>
      </w:r>
      <w:r w:rsidRPr="00B65274">
        <w:rPr>
          <w:sz w:val="22"/>
        </w:rPr>
        <w:t xml:space="preserve"> (Ont.) (Criminal) (By Leave) (</w:t>
      </w:r>
      <w:hyperlink r:id="rId10" w:history="1">
        <w:r w:rsidRPr="00B65274">
          <w:rPr>
            <w:rStyle w:val="Hyperlink"/>
            <w:sz w:val="22"/>
          </w:rPr>
          <w:t>39127</w:t>
        </w:r>
      </w:hyperlink>
      <w:r w:rsidRPr="00B65274">
        <w:rPr>
          <w:sz w:val="22"/>
        </w:rPr>
        <w:t>)</w:t>
      </w:r>
    </w:p>
    <w:p w:rsidR="00A04D13" w:rsidRPr="00B65274" w:rsidRDefault="00A04D13" w:rsidP="00A30607">
      <w:pPr>
        <w:widowControl w:val="0"/>
        <w:rPr>
          <w:sz w:val="20"/>
        </w:rPr>
      </w:pPr>
    </w:p>
    <w:p w:rsidR="00B65274" w:rsidRPr="00B65274" w:rsidRDefault="00B65274" w:rsidP="00B65274">
      <w:pPr>
        <w:jc w:val="both"/>
        <w:rPr>
          <w:sz w:val="20"/>
          <w:lang w:val="en-CA"/>
        </w:rPr>
      </w:pPr>
      <w:r w:rsidRPr="00B65274">
        <w:rPr>
          <w:sz w:val="20"/>
          <w:lang w:val="en-CA"/>
        </w:rPr>
        <w:t>The motion for an extension of time to serve and file the application for leave to appeal is granted. The application for leave to appeal from the judgment of the</w:t>
      </w:r>
      <w:bookmarkStart w:id="0" w:name="BM_1_"/>
      <w:bookmarkEnd w:id="0"/>
      <w:r w:rsidRPr="00B65274">
        <w:rPr>
          <w:sz w:val="20"/>
          <w:lang w:val="en-CA"/>
        </w:rPr>
        <w:t xml:space="preserve"> Court of Appeal for Ontario, Number C65127, 2020 ONCA 18, dated January 13, 2020, is dismissed.</w:t>
      </w:r>
    </w:p>
    <w:p w:rsidR="00D0089F" w:rsidRPr="00B65274" w:rsidRDefault="00D0089F" w:rsidP="0014575A">
      <w:pPr>
        <w:jc w:val="both"/>
        <w:rPr>
          <w:sz w:val="20"/>
          <w:lang w:val="en-CA"/>
        </w:rPr>
      </w:pPr>
    </w:p>
    <w:p w:rsidR="00D0089F" w:rsidRPr="0057640C" w:rsidRDefault="00B65274" w:rsidP="00A30607">
      <w:pPr>
        <w:widowControl w:val="0"/>
        <w:rPr>
          <w:sz w:val="20"/>
          <w:lang w:val="fr-CA"/>
        </w:rPr>
      </w:pPr>
      <w:r w:rsidRPr="00B65274">
        <w:rPr>
          <w:sz w:val="20"/>
          <w:lang w:val="fr-CA"/>
        </w:rPr>
        <w:lastRenderedPageBreak/>
        <w:t>La requête en prorogation du délai de signification et de dépôt de la demande d’autorisation d’appel est accueillie. La demande d’auto</w:t>
      </w:r>
      <w:bookmarkStart w:id="1" w:name="_GoBack"/>
      <w:bookmarkEnd w:id="1"/>
      <w:r w:rsidRPr="00B65274">
        <w:rPr>
          <w:sz w:val="20"/>
          <w:lang w:val="fr-CA"/>
        </w:rPr>
        <w:t>risation d’appel de l’arrêt de la Cour d’appel de l’Ontario, numéro C65127, 2020 ONCA 18, daté du 13 janvier 2020, est rejetée.</w:t>
      </w:r>
    </w:p>
    <w:p w:rsidR="00A04D13" w:rsidRPr="0057640C" w:rsidRDefault="000C64A0" w:rsidP="00A30607">
      <w:pPr>
        <w:widowControl w:val="0"/>
        <w:rPr>
          <w:sz w:val="20"/>
        </w:rPr>
      </w:pPr>
      <w:r>
        <w:rPr>
          <w:sz w:val="20"/>
        </w:rPr>
        <w:pict>
          <v:rect id="_x0000_i1028" style="width:2in;height:1pt" o:hrpct="0" o:hralign="center" o:hrstd="t" o:hrnoshade="t" o:hr="t" fillcolor="black [3213]" stroked="f"/>
        </w:pict>
      </w:r>
    </w:p>
    <w:p w:rsidR="00A04D13" w:rsidRPr="0057640C" w:rsidRDefault="00A04D13" w:rsidP="00A30607">
      <w:pPr>
        <w:widowControl w:val="0"/>
        <w:rPr>
          <w:sz w:val="20"/>
        </w:rPr>
      </w:pPr>
    </w:p>
    <w:p w:rsidR="00E224C9" w:rsidRPr="000C64A0" w:rsidRDefault="00E224C9" w:rsidP="00E224C9">
      <w:pPr>
        <w:tabs>
          <w:tab w:val="left" w:pos="0"/>
        </w:tabs>
        <w:rPr>
          <w:sz w:val="22"/>
        </w:rPr>
      </w:pPr>
      <w:r w:rsidRPr="000C64A0">
        <w:rPr>
          <w:i/>
          <w:sz w:val="22"/>
        </w:rPr>
        <w:t>Charles A. Carlock</w:t>
      </w:r>
      <w:r w:rsidR="000C64A0" w:rsidRPr="000C64A0">
        <w:rPr>
          <w:i/>
          <w:sz w:val="22"/>
        </w:rPr>
        <w:t xml:space="preserve"> and Dissenting Shareholders, as Defined in Paragraph One of the Order of June 20, 2017</w:t>
      </w:r>
      <w:r w:rsidRPr="000C64A0">
        <w:rPr>
          <w:i/>
          <w:sz w:val="22"/>
        </w:rPr>
        <w:t xml:space="preserve"> v. ExxonMobil Canada Holdings ULC</w:t>
      </w:r>
      <w:r w:rsidRPr="000C64A0">
        <w:rPr>
          <w:sz w:val="22"/>
        </w:rPr>
        <w:t xml:space="preserve"> (Y.T.) (Civil) (By Leave) (</w:t>
      </w:r>
      <w:hyperlink r:id="rId11" w:history="1">
        <w:r w:rsidRPr="000C64A0">
          <w:rPr>
            <w:rStyle w:val="Hyperlink"/>
            <w:sz w:val="22"/>
          </w:rPr>
          <w:t>39125</w:t>
        </w:r>
      </w:hyperlink>
      <w:r w:rsidRPr="000C64A0">
        <w:rPr>
          <w:sz w:val="22"/>
        </w:rPr>
        <w:t>)</w:t>
      </w:r>
    </w:p>
    <w:p w:rsidR="00E224C9" w:rsidRPr="000C64A0" w:rsidRDefault="00E224C9" w:rsidP="00E224C9">
      <w:pPr>
        <w:widowControl w:val="0"/>
        <w:rPr>
          <w:sz w:val="20"/>
        </w:rPr>
      </w:pPr>
    </w:p>
    <w:p w:rsidR="00E224C9" w:rsidRPr="00B65274" w:rsidRDefault="00E224C9" w:rsidP="00E224C9">
      <w:pPr>
        <w:widowControl w:val="0"/>
        <w:rPr>
          <w:sz w:val="20"/>
          <w:lang w:val="en-CA"/>
        </w:rPr>
      </w:pPr>
      <w:r w:rsidRPr="000C64A0">
        <w:rPr>
          <w:sz w:val="20"/>
          <w:lang w:val="en-CA"/>
        </w:rPr>
        <w:t>The application</w:t>
      </w:r>
      <w:r w:rsidRPr="00B65274">
        <w:rPr>
          <w:sz w:val="20"/>
          <w:lang w:val="en-CA"/>
        </w:rPr>
        <w:t xml:space="preserve"> for leave to appeal from the judgment of the Court of Appeal of Yukon, Number 18-YU841, 2020 YKCA 4, dated February 7, 2020, is dismissed with costs.</w:t>
      </w:r>
    </w:p>
    <w:p w:rsidR="00E224C9" w:rsidRPr="00B65274" w:rsidRDefault="00E224C9" w:rsidP="00E224C9">
      <w:pPr>
        <w:widowControl w:val="0"/>
        <w:rPr>
          <w:sz w:val="20"/>
          <w:lang w:val="en-CA"/>
        </w:rPr>
      </w:pPr>
    </w:p>
    <w:p w:rsidR="00E224C9" w:rsidRPr="00B65274" w:rsidRDefault="00E224C9" w:rsidP="00E224C9">
      <w:pPr>
        <w:widowControl w:val="0"/>
        <w:rPr>
          <w:sz w:val="20"/>
          <w:lang w:val="fr-CA"/>
        </w:rPr>
      </w:pPr>
      <w:r w:rsidRPr="00B65274">
        <w:rPr>
          <w:sz w:val="20"/>
          <w:lang w:val="fr-CA"/>
        </w:rPr>
        <w:t>La demande d’autorisation d’appel de l’arrêt de la Cour d’appel du Yukon, numéro 18-YU841, 2020 YKCA 4, daté du 7 février 2020, est rejetée avec dépens.</w:t>
      </w:r>
    </w:p>
    <w:p w:rsidR="00E224C9" w:rsidRPr="00B65274" w:rsidRDefault="00E224C9" w:rsidP="00E224C9">
      <w:pPr>
        <w:widowControl w:val="0"/>
        <w:rPr>
          <w:sz w:val="20"/>
          <w:lang w:val="fr-CA"/>
        </w:rPr>
      </w:pPr>
    </w:p>
    <w:p w:rsidR="00E224C9" w:rsidRDefault="000C64A0" w:rsidP="00E224C9">
      <w:pPr>
        <w:widowControl w:val="0"/>
        <w:rPr>
          <w:sz w:val="20"/>
          <w:lang w:val="fr-CA"/>
        </w:rPr>
      </w:pPr>
      <w:r>
        <w:rPr>
          <w:sz w:val="20"/>
        </w:rPr>
        <w:pict>
          <v:rect id="_x0000_i1029" style="width:2in;height:1pt" o:hrpct="0" o:hralign="center" o:hrstd="t" o:hrnoshade="t" o:hr="t" fillcolor="black [3213]" stroked="f"/>
        </w:pict>
      </w:r>
    </w:p>
    <w:p w:rsidR="00E224C9" w:rsidRDefault="00E224C9" w:rsidP="00E224C9">
      <w:pPr>
        <w:widowControl w:val="0"/>
        <w:rPr>
          <w:sz w:val="20"/>
          <w:lang w:val="fr-CA"/>
        </w:rPr>
      </w:pPr>
    </w:p>
    <w:p w:rsidR="00B65274" w:rsidRPr="00B65274" w:rsidRDefault="00B65274" w:rsidP="00B65274">
      <w:pPr>
        <w:rPr>
          <w:sz w:val="22"/>
          <w:lang w:val="en-CA"/>
        </w:rPr>
      </w:pPr>
      <w:r w:rsidRPr="00B65274">
        <w:rPr>
          <w:rFonts w:eastAsiaTheme="minorHAnsi" w:cstheme="minorBidi"/>
          <w:i/>
          <w:sz w:val="22"/>
          <w:lang w:val="en-CA"/>
        </w:rPr>
        <w:t>A.B. v. Steven Galloway</w:t>
      </w:r>
      <w:r w:rsidRPr="00B65274">
        <w:rPr>
          <w:rFonts w:eastAsiaTheme="minorHAnsi" w:cstheme="minorBidi"/>
          <w:sz w:val="22"/>
          <w:lang w:val="en-CA"/>
        </w:rPr>
        <w:t xml:space="preserve"> (B.C.) (Civil) (By Leave) </w:t>
      </w:r>
      <w:r w:rsidRPr="00B65274">
        <w:rPr>
          <w:sz w:val="22"/>
        </w:rPr>
        <w:t>(</w:t>
      </w:r>
      <w:hyperlink r:id="rId12" w:history="1">
        <w:r w:rsidRPr="00B65274">
          <w:rPr>
            <w:rStyle w:val="Hyperlink"/>
            <w:sz w:val="22"/>
          </w:rPr>
          <w:t>39203</w:t>
        </w:r>
      </w:hyperlink>
      <w:r w:rsidRPr="00B65274">
        <w:rPr>
          <w:sz w:val="22"/>
        </w:rPr>
        <w:t>)</w:t>
      </w:r>
    </w:p>
    <w:p w:rsidR="003A69ED" w:rsidRPr="00B65274" w:rsidRDefault="003A69ED" w:rsidP="00A30607">
      <w:pPr>
        <w:widowControl w:val="0"/>
        <w:rPr>
          <w:sz w:val="20"/>
        </w:rPr>
      </w:pPr>
    </w:p>
    <w:p w:rsidR="00680F94" w:rsidRPr="00B65274" w:rsidRDefault="00B65274" w:rsidP="00A30607">
      <w:pPr>
        <w:widowControl w:val="0"/>
        <w:rPr>
          <w:sz w:val="20"/>
        </w:rPr>
      </w:pPr>
      <w:r w:rsidRPr="00B65274">
        <w:rPr>
          <w:sz w:val="20"/>
          <w:lang w:val="en-CA"/>
        </w:rPr>
        <w:t>The application for leave to appeal from the judgment of the Court of Appeal for British Columbia (Vancouver), Number CA46380, 2020 BCCA 106, dated April 8, 2020 is dismissed without costs</w:t>
      </w:r>
    </w:p>
    <w:p w:rsidR="00FF4A21" w:rsidRPr="00B65274" w:rsidRDefault="00FF4A21" w:rsidP="00A30607">
      <w:pPr>
        <w:widowControl w:val="0"/>
        <w:rPr>
          <w:sz w:val="20"/>
        </w:rPr>
      </w:pPr>
    </w:p>
    <w:p w:rsidR="00FF4A21" w:rsidRDefault="00B65274" w:rsidP="00A30607">
      <w:pPr>
        <w:widowControl w:val="0"/>
        <w:rPr>
          <w:sz w:val="20"/>
          <w:lang w:val="fr-CA"/>
        </w:rPr>
      </w:pPr>
      <w:r w:rsidRPr="00B65274">
        <w:rPr>
          <w:sz w:val="20"/>
          <w:lang w:val="fr-CA"/>
        </w:rPr>
        <w:t>La demande d’autorisation d’appel de l’arrêt de la Cour d’appel de la Colombie-Britannique (Vancouver), numéro CA46380, 2020 BCCA 106, daté du 8 avril 2020, est rejetée sans dépens.</w:t>
      </w:r>
    </w:p>
    <w:p w:rsidR="00B65274" w:rsidRPr="00B65274" w:rsidRDefault="00B65274" w:rsidP="00A30607">
      <w:pPr>
        <w:widowControl w:val="0"/>
        <w:rPr>
          <w:sz w:val="20"/>
          <w:lang w:val="fr-CA"/>
        </w:rPr>
      </w:pPr>
    </w:p>
    <w:p w:rsidR="00FF4A21" w:rsidRDefault="000C64A0" w:rsidP="00A30607">
      <w:pPr>
        <w:widowControl w:val="0"/>
        <w:rPr>
          <w:sz w:val="20"/>
          <w:lang w:val="fr-CA"/>
        </w:rPr>
      </w:pPr>
      <w:r>
        <w:rPr>
          <w:sz w:val="20"/>
        </w:rPr>
        <w:pict>
          <v:rect id="_x0000_i1030" style="width:2in;height:1pt" o:hrpct="0" o:hralign="center" o:hrstd="t" o:hrnoshade="t" o:hr="t" fillcolor="black [3213]" stroked="f"/>
        </w:pict>
      </w:r>
    </w:p>
    <w:p w:rsidR="00FF4A21" w:rsidRDefault="00FF4A21" w:rsidP="00A30607">
      <w:pPr>
        <w:widowControl w:val="0"/>
        <w:rPr>
          <w:sz w:val="20"/>
          <w:lang w:val="fr-CA"/>
        </w:rPr>
      </w:pPr>
    </w:p>
    <w:p w:rsidR="00B65274" w:rsidRPr="00B65274" w:rsidRDefault="00B65274" w:rsidP="00B65274">
      <w:pPr>
        <w:pStyle w:val="SCCAppellantInfoAppellantInfo"/>
        <w:rPr>
          <w:sz w:val="22"/>
          <w:szCs w:val="20"/>
        </w:rPr>
      </w:pPr>
      <w:r w:rsidRPr="00B65274">
        <w:rPr>
          <w:i/>
          <w:sz w:val="22"/>
          <w:szCs w:val="20"/>
        </w:rPr>
        <w:t>David Gallant v. Her Majesty the Queen</w:t>
      </w:r>
      <w:r w:rsidRPr="00B65274">
        <w:rPr>
          <w:sz w:val="22"/>
          <w:szCs w:val="20"/>
        </w:rPr>
        <w:t xml:space="preserve"> (B.C.) (Criminal) (By Leave) (</w:t>
      </w:r>
      <w:hyperlink r:id="rId13" w:history="1">
        <w:r w:rsidRPr="00B65274">
          <w:rPr>
            <w:rStyle w:val="Hyperlink"/>
            <w:sz w:val="22"/>
            <w:szCs w:val="20"/>
          </w:rPr>
          <w:t>39159</w:t>
        </w:r>
      </w:hyperlink>
      <w:r w:rsidRPr="00B65274">
        <w:rPr>
          <w:sz w:val="22"/>
          <w:szCs w:val="20"/>
        </w:rPr>
        <w:t>)</w:t>
      </w:r>
    </w:p>
    <w:p w:rsidR="00FF4A21" w:rsidRPr="00B65274" w:rsidRDefault="00FF4A21" w:rsidP="00A30607">
      <w:pPr>
        <w:widowControl w:val="0"/>
        <w:rPr>
          <w:sz w:val="20"/>
        </w:rPr>
      </w:pPr>
    </w:p>
    <w:p w:rsidR="00B65274" w:rsidRPr="00B65274" w:rsidRDefault="00B65274" w:rsidP="00B65274">
      <w:pPr>
        <w:widowControl w:val="0"/>
        <w:rPr>
          <w:sz w:val="20"/>
          <w:lang w:val="en-CA"/>
        </w:rPr>
      </w:pPr>
      <w:r w:rsidRPr="00B65274">
        <w:rPr>
          <w:sz w:val="20"/>
          <w:lang w:val="en-CA"/>
        </w:rPr>
        <w:t>The motion for an extension of time to serve and file the application for leave to appeal is granted. The application for leave to appeal from the judgment of the Court of Appeal for British Columbia (Vancouver), Number CA44468, 2019 BCCA 193, dated June 5, 2019, is dismissed.</w:t>
      </w:r>
    </w:p>
    <w:p w:rsidR="00B65274" w:rsidRDefault="00B65274" w:rsidP="00A30607">
      <w:pPr>
        <w:widowControl w:val="0"/>
        <w:rPr>
          <w:sz w:val="20"/>
          <w:lang w:val="en-CA"/>
        </w:rPr>
      </w:pPr>
    </w:p>
    <w:p w:rsidR="00B65274" w:rsidRDefault="00B65274" w:rsidP="00A30607">
      <w:pPr>
        <w:widowControl w:val="0"/>
        <w:rPr>
          <w:sz w:val="20"/>
          <w:lang w:val="fr-CA"/>
        </w:rPr>
      </w:pPr>
      <w:r w:rsidRPr="00B65274">
        <w:rPr>
          <w:sz w:val="20"/>
          <w:lang w:val="fr-CA"/>
        </w:rPr>
        <w:t>La requête en prorogation du délai de signification et de dépôt de la demande d’autorisation d’appel est accueillie. La demande d’autorisation d’appel de l’arrêt de la Cour d’appel de la Colombie-Britannique (Vancouver), numéro CA44468, 2019 BCCA 193, daté du 5 juin 2019, est rejetée.</w:t>
      </w:r>
    </w:p>
    <w:p w:rsidR="00B65274" w:rsidRPr="00B65274" w:rsidRDefault="00B65274" w:rsidP="00A30607">
      <w:pPr>
        <w:widowControl w:val="0"/>
        <w:rPr>
          <w:sz w:val="20"/>
          <w:lang w:val="fr-CA"/>
        </w:rPr>
      </w:pPr>
    </w:p>
    <w:p w:rsidR="00FF4A21" w:rsidRDefault="000C64A0" w:rsidP="00A30607">
      <w:pPr>
        <w:widowControl w:val="0"/>
        <w:rPr>
          <w:sz w:val="20"/>
          <w:lang w:val="fr-CA"/>
        </w:rPr>
      </w:pPr>
      <w:r>
        <w:rPr>
          <w:sz w:val="20"/>
        </w:rPr>
        <w:pict>
          <v:rect id="_x0000_i1031" style="width:2in;height:1pt" o:hrpct="0" o:hralign="center" o:hrstd="t" o:hrnoshade="t" o:hr="t" fillcolor="black [3213]" stroked="f"/>
        </w:pict>
      </w:r>
    </w:p>
    <w:p w:rsidR="00FF4A21" w:rsidRDefault="00FF4A21" w:rsidP="00A30607">
      <w:pPr>
        <w:widowControl w:val="0"/>
        <w:rPr>
          <w:sz w:val="20"/>
          <w:lang w:val="fr-CA"/>
        </w:rPr>
      </w:pPr>
    </w:p>
    <w:p w:rsidR="00B65274" w:rsidRPr="00B65274" w:rsidRDefault="00B65274" w:rsidP="00B65274">
      <w:pPr>
        <w:pStyle w:val="SCCAppellantInfoAppellantInfo"/>
        <w:rPr>
          <w:sz w:val="22"/>
          <w:szCs w:val="20"/>
        </w:rPr>
      </w:pPr>
      <w:r w:rsidRPr="00B65274">
        <w:rPr>
          <w:i/>
          <w:sz w:val="22"/>
          <w:szCs w:val="20"/>
        </w:rPr>
        <w:t>P.T. v. S.M.</w:t>
      </w:r>
      <w:r w:rsidRPr="00B65274">
        <w:rPr>
          <w:sz w:val="22"/>
          <w:szCs w:val="20"/>
        </w:rPr>
        <w:t xml:space="preserve"> (Que.) (Civil) (By Leave) (</w:t>
      </w:r>
      <w:hyperlink r:id="rId14" w:history="1">
        <w:r w:rsidRPr="00B65274">
          <w:rPr>
            <w:rStyle w:val="Hyperlink"/>
            <w:sz w:val="22"/>
            <w:szCs w:val="20"/>
          </w:rPr>
          <w:t>39136</w:t>
        </w:r>
      </w:hyperlink>
      <w:r w:rsidRPr="00B65274">
        <w:rPr>
          <w:sz w:val="22"/>
          <w:szCs w:val="20"/>
        </w:rPr>
        <w:t>)</w:t>
      </w:r>
    </w:p>
    <w:p w:rsidR="00FF4A21" w:rsidRPr="00B65274" w:rsidRDefault="00FF4A21" w:rsidP="00A30607">
      <w:pPr>
        <w:widowControl w:val="0"/>
        <w:rPr>
          <w:sz w:val="20"/>
          <w:lang w:val="en-CA"/>
        </w:rPr>
      </w:pPr>
    </w:p>
    <w:p w:rsidR="00B65274" w:rsidRPr="00B65274" w:rsidRDefault="00B65274" w:rsidP="00B65274">
      <w:pPr>
        <w:widowControl w:val="0"/>
        <w:rPr>
          <w:sz w:val="20"/>
          <w:lang w:val="en-CA"/>
        </w:rPr>
      </w:pPr>
      <w:r w:rsidRPr="00B65274">
        <w:rPr>
          <w:sz w:val="20"/>
          <w:lang w:val="en-CA"/>
        </w:rPr>
        <w:t>The application for leave to appeal from the judgment of the Court of Appeal of Quebec (Montréal), Number 500-09-028355-196, 2019 QCCA 2193, dated December 12, 2019, is dismissed with costs.</w:t>
      </w:r>
    </w:p>
    <w:p w:rsidR="00FF4A21" w:rsidRPr="00B65274" w:rsidRDefault="00FF4A21" w:rsidP="00A30607">
      <w:pPr>
        <w:widowControl w:val="0"/>
        <w:rPr>
          <w:sz w:val="20"/>
          <w:lang w:val="en-CA"/>
        </w:rPr>
      </w:pPr>
    </w:p>
    <w:p w:rsidR="00680F94" w:rsidRPr="00B65274" w:rsidRDefault="00B65274" w:rsidP="00A30607">
      <w:pPr>
        <w:widowControl w:val="0"/>
        <w:rPr>
          <w:sz w:val="20"/>
          <w:lang w:val="fr-CA"/>
        </w:rPr>
      </w:pPr>
      <w:r w:rsidRPr="00B65274">
        <w:rPr>
          <w:sz w:val="20"/>
          <w:lang w:val="fr-CA"/>
        </w:rPr>
        <w:t>La demande d’autorisation d’appel de l’arrêt de la Cour d’appel du Québec (Montréal), numéro 500-09-028355-196, 2019 QCCA 2193, daté du 12 décembre 2019, est rejetée avec dépens.</w:t>
      </w:r>
    </w:p>
    <w:p w:rsidR="00680F94" w:rsidRPr="00B65274" w:rsidRDefault="00680F94" w:rsidP="00A30607">
      <w:pPr>
        <w:widowControl w:val="0"/>
        <w:rPr>
          <w:sz w:val="20"/>
          <w:lang w:val="fr-CA"/>
        </w:rPr>
      </w:pPr>
    </w:p>
    <w:p w:rsidR="003A69ED" w:rsidRPr="0057640C" w:rsidRDefault="000C64A0" w:rsidP="00A30607">
      <w:pPr>
        <w:widowControl w:val="0"/>
        <w:rPr>
          <w:sz w:val="20"/>
        </w:rPr>
      </w:pPr>
      <w:r>
        <w:rPr>
          <w:sz w:val="20"/>
        </w:rPr>
        <w:pict>
          <v:rect id="_x0000_i1032" style="width:2in;height:1pt" o:hrpct="0" o:hralign="center" o:hrstd="t" o:hrnoshade="t" o:hr="t" fillcolor="black [3213]" stroked="f"/>
        </w:pict>
      </w:r>
    </w:p>
    <w:p w:rsidR="003A69ED" w:rsidRPr="0057640C" w:rsidRDefault="003A69ED" w:rsidP="00A30607">
      <w:pPr>
        <w:widowControl w:val="0"/>
        <w:rPr>
          <w:sz w:val="20"/>
        </w:rPr>
      </w:pPr>
    </w:p>
    <w:p w:rsidR="00E224C9" w:rsidRPr="00E224C9" w:rsidRDefault="00E224C9" w:rsidP="00E224C9">
      <w:pPr>
        <w:rPr>
          <w:i/>
          <w:sz w:val="22"/>
        </w:rPr>
      </w:pPr>
      <w:r w:rsidRPr="00E224C9">
        <w:rPr>
          <w:i/>
          <w:sz w:val="22"/>
          <w:lang w:val="en-CA"/>
        </w:rPr>
        <w:t>David Leslie Capewell v. Her Majesty the Queen</w:t>
      </w:r>
      <w:r w:rsidRPr="00E224C9">
        <w:rPr>
          <w:sz w:val="22"/>
          <w:lang w:val="en-CA"/>
        </w:rPr>
        <w:t xml:space="preserve"> (B.C.) (Criminal) (By Leave) </w:t>
      </w:r>
      <w:r w:rsidRPr="00E224C9">
        <w:rPr>
          <w:sz w:val="22"/>
        </w:rPr>
        <w:t>(</w:t>
      </w:r>
      <w:hyperlink r:id="rId15" w:history="1">
        <w:r w:rsidRPr="00E224C9">
          <w:rPr>
            <w:rStyle w:val="Hyperlink"/>
            <w:sz w:val="22"/>
          </w:rPr>
          <w:t>39161</w:t>
        </w:r>
      </w:hyperlink>
      <w:r w:rsidRPr="00E224C9">
        <w:rPr>
          <w:sz w:val="22"/>
        </w:rPr>
        <w:t>)</w:t>
      </w:r>
    </w:p>
    <w:p w:rsidR="00E224C9" w:rsidRDefault="00E224C9" w:rsidP="00E224C9">
      <w:pPr>
        <w:jc w:val="both"/>
        <w:rPr>
          <w:sz w:val="20"/>
        </w:rPr>
      </w:pPr>
    </w:p>
    <w:p w:rsidR="00E224C9" w:rsidRDefault="00E224C9" w:rsidP="00E224C9">
      <w:pPr>
        <w:jc w:val="both"/>
        <w:rPr>
          <w:sz w:val="20"/>
          <w:lang w:val="en-CA"/>
        </w:rPr>
      </w:pPr>
      <w:r w:rsidRPr="00E224C9">
        <w:rPr>
          <w:sz w:val="20"/>
          <w:lang w:val="en-CA"/>
        </w:rPr>
        <w:t>The application for leave to appeal from the judgment of the Court of Appeal for British Columbia (Vancouver), Number CA45767, 2020 BCCA 82, dated March 13, 2020, is dismissed</w:t>
      </w:r>
    </w:p>
    <w:p w:rsidR="00E224C9" w:rsidRPr="00E224C9" w:rsidRDefault="00E224C9" w:rsidP="00E224C9">
      <w:pPr>
        <w:jc w:val="both"/>
        <w:rPr>
          <w:sz w:val="20"/>
          <w:lang w:val="en-CA"/>
        </w:rPr>
      </w:pPr>
    </w:p>
    <w:p w:rsidR="00E224C9" w:rsidRPr="00E224C9" w:rsidRDefault="00E224C9" w:rsidP="00E224C9">
      <w:pPr>
        <w:jc w:val="both"/>
        <w:rPr>
          <w:sz w:val="20"/>
          <w:lang w:val="fr-CA"/>
        </w:rPr>
      </w:pPr>
      <w:r w:rsidRPr="00E224C9">
        <w:rPr>
          <w:sz w:val="20"/>
          <w:lang w:val="fr-CA"/>
        </w:rPr>
        <w:t>La demande d’autorisation d’appel de l’arrêt de la Cour d’appel de la Colombie-Britannique (Vancouver), numéro CA45767, 2020 BCCA 82, daté du 13 mars 2020, est rejetée.</w:t>
      </w:r>
    </w:p>
    <w:p w:rsidR="003A69ED" w:rsidRPr="00E224C9" w:rsidRDefault="003A69ED" w:rsidP="00A30607">
      <w:pPr>
        <w:widowControl w:val="0"/>
        <w:rPr>
          <w:sz w:val="20"/>
          <w:lang w:val="fr-CA"/>
        </w:rPr>
      </w:pPr>
    </w:p>
    <w:p w:rsidR="003A69ED" w:rsidRPr="0057640C" w:rsidRDefault="000C64A0" w:rsidP="00A30607">
      <w:pPr>
        <w:widowControl w:val="0"/>
        <w:rPr>
          <w:sz w:val="20"/>
        </w:rPr>
      </w:pPr>
      <w:r>
        <w:rPr>
          <w:sz w:val="20"/>
        </w:rPr>
        <w:pict>
          <v:rect id="_x0000_i1033" style="width:2in;height:1pt" o:hrpct="0" o:hralign="center" o:hrstd="t" o:hrnoshade="t" o:hr="t" fillcolor="black [3213]" stroked="f"/>
        </w:pict>
      </w:r>
    </w:p>
    <w:p w:rsidR="003A69ED" w:rsidRPr="0057640C" w:rsidRDefault="003A69ED" w:rsidP="00A30607">
      <w:pPr>
        <w:widowControl w:val="0"/>
        <w:rPr>
          <w:sz w:val="20"/>
        </w:rPr>
      </w:pPr>
    </w:p>
    <w:p w:rsidR="00E224C9" w:rsidRDefault="00E224C9" w:rsidP="00D3344A">
      <w:pPr>
        <w:widowControl w:val="0"/>
        <w:outlineLvl w:val="0"/>
      </w:pPr>
    </w:p>
    <w:p w:rsidR="00D3344A" w:rsidRPr="0057640C" w:rsidRDefault="00D3344A" w:rsidP="00D3344A">
      <w:pPr>
        <w:widowControl w:val="0"/>
        <w:outlineLvl w:val="0"/>
      </w:pPr>
      <w:r w:rsidRPr="0057640C">
        <w:lastRenderedPageBreak/>
        <w:t xml:space="preserve">Supreme Court of Canada / Cour suprême du </w:t>
      </w:r>
      <w:proofErr w:type="gramStart"/>
      <w:r w:rsidRPr="0057640C">
        <w:t>Canada :</w:t>
      </w:r>
      <w:proofErr w:type="gramEnd"/>
      <w:r w:rsidRPr="0057640C">
        <w:t xml:space="preserve"> </w:t>
      </w:r>
    </w:p>
    <w:p w:rsidR="00D3344A" w:rsidRPr="0057640C" w:rsidRDefault="000C64A0" w:rsidP="00D3344A">
      <w:pPr>
        <w:widowControl w:val="0"/>
        <w:outlineLvl w:val="0"/>
        <w:rPr>
          <w:color w:val="0000FF"/>
          <w:u w:val="single"/>
        </w:rPr>
      </w:pPr>
      <w:hyperlink r:id="rId16" w:history="1">
        <w:r w:rsidR="00D3344A" w:rsidRPr="0057640C">
          <w:rPr>
            <w:rStyle w:val="Hyperlink"/>
          </w:rPr>
          <w:t>comments-commentaires@scc-csc.ca</w:t>
        </w:r>
      </w:hyperlink>
    </w:p>
    <w:p w:rsidR="00D3344A" w:rsidRPr="0057640C" w:rsidRDefault="00D3344A" w:rsidP="00D3344A">
      <w:pPr>
        <w:widowControl w:val="0"/>
        <w:outlineLvl w:val="0"/>
      </w:pPr>
      <w:r w:rsidRPr="0057640C">
        <w:t>(613) 995-4330</w:t>
      </w:r>
    </w:p>
    <w:p w:rsidR="00497B5E" w:rsidRPr="0057640C" w:rsidRDefault="00497B5E" w:rsidP="00497B5E">
      <w:pPr>
        <w:widowControl w:val="0"/>
        <w:rPr>
          <w:sz w:val="20"/>
        </w:rPr>
      </w:pPr>
    </w:p>
    <w:p w:rsidR="003F43E6" w:rsidRPr="0057640C" w:rsidRDefault="003F43E6" w:rsidP="00497B5E">
      <w:pPr>
        <w:widowControl w:val="0"/>
        <w:rPr>
          <w:sz w:val="20"/>
        </w:rPr>
      </w:pPr>
    </w:p>
    <w:p w:rsidR="00224F26" w:rsidRPr="00910AEC" w:rsidRDefault="003F43E6" w:rsidP="00DE0F77">
      <w:pPr>
        <w:pStyle w:val="Footer"/>
        <w:jc w:val="center"/>
      </w:pPr>
      <w:r w:rsidRPr="0057640C">
        <w:t>- 30</w:t>
      </w:r>
      <w:r w:rsidR="00312438" w:rsidRPr="0057640C">
        <w:t xml:space="preserve"> -</w:t>
      </w:r>
    </w:p>
    <w:p w:rsidR="00C711D9" w:rsidRPr="00910AEC" w:rsidRDefault="00C711D9">
      <w:pPr>
        <w:pStyle w:val="Footer"/>
        <w:jc w:val="center"/>
      </w:pPr>
    </w:p>
    <w:sectPr w:rsidR="00C711D9" w:rsidRPr="00910AEC"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F451B"/>
    <w:multiLevelType w:val="hybridMultilevel"/>
    <w:tmpl w:val="6F8497BE"/>
    <w:lvl w:ilvl="0" w:tplc="F36E7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33314"/>
    <w:multiLevelType w:val="hybridMultilevel"/>
    <w:tmpl w:val="6F8497BE"/>
    <w:lvl w:ilvl="0" w:tplc="F36E7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30BB3"/>
    <w:multiLevelType w:val="hybridMultilevel"/>
    <w:tmpl w:val="6F8497BE"/>
    <w:lvl w:ilvl="0" w:tplc="F36E7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8"/>
  </w:num>
  <w:num w:numId="4">
    <w:abstractNumId w:val="30"/>
  </w:num>
  <w:num w:numId="5">
    <w:abstractNumId w:val="27"/>
  </w:num>
  <w:num w:numId="6">
    <w:abstractNumId w:val="15"/>
  </w:num>
  <w:num w:numId="7">
    <w:abstractNumId w:val="23"/>
  </w:num>
  <w:num w:numId="8">
    <w:abstractNumId w:val="21"/>
  </w:num>
  <w:num w:numId="9">
    <w:abstractNumId w:val="2"/>
  </w:num>
  <w:num w:numId="10">
    <w:abstractNumId w:val="18"/>
  </w:num>
  <w:num w:numId="11">
    <w:abstractNumId w:val="29"/>
  </w:num>
  <w:num w:numId="12">
    <w:abstractNumId w:val="20"/>
  </w:num>
  <w:num w:numId="13">
    <w:abstractNumId w:val="13"/>
  </w:num>
  <w:num w:numId="14">
    <w:abstractNumId w:val="16"/>
  </w:num>
  <w:num w:numId="15">
    <w:abstractNumId w:val="0"/>
  </w:num>
  <w:num w:numId="16">
    <w:abstractNumId w:val="9"/>
  </w:num>
  <w:num w:numId="17">
    <w:abstractNumId w:val="24"/>
  </w:num>
  <w:num w:numId="18">
    <w:abstractNumId w:val="11"/>
  </w:num>
  <w:num w:numId="19">
    <w:abstractNumId w:val="12"/>
  </w:num>
  <w:num w:numId="20">
    <w:abstractNumId w:val="1"/>
  </w:num>
  <w:num w:numId="21">
    <w:abstractNumId w:val="31"/>
  </w:num>
  <w:num w:numId="22">
    <w:abstractNumId w:val="28"/>
  </w:num>
  <w:num w:numId="23">
    <w:abstractNumId w:val="10"/>
  </w:num>
  <w:num w:numId="24">
    <w:abstractNumId w:val="5"/>
  </w:num>
  <w:num w:numId="25">
    <w:abstractNumId w:val="7"/>
  </w:num>
  <w:num w:numId="26">
    <w:abstractNumId w:val="4"/>
  </w:num>
  <w:num w:numId="27">
    <w:abstractNumId w:val="25"/>
  </w:num>
  <w:num w:numId="28">
    <w:abstractNumId w:val="3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5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4A0"/>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274"/>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3AD6"/>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0C48"/>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24C9"/>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4A21"/>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122" TargetMode="External"/><Relationship Id="rId13" Type="http://schemas.openxmlformats.org/officeDocument/2006/relationships/hyperlink" Target="https://www.scc-csc.ca/case-dossier/info/sum-som-eng.aspx?cas=3915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92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9161" TargetMode="External"/><Relationship Id="rId23" Type="http://schemas.openxmlformats.org/officeDocument/2006/relationships/fontTable" Target="fontTable.xml"/><Relationship Id="rId10" Type="http://schemas.openxmlformats.org/officeDocument/2006/relationships/hyperlink" Target="https://www.scc-csc.ca/case-dossier/info/sum-som-eng.aspx?cas=391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9182" TargetMode="External"/><Relationship Id="rId14" Type="http://schemas.openxmlformats.org/officeDocument/2006/relationships/hyperlink" Target="https://www.scc-csc.ca/case-dossier/info/sum-som-eng.aspx?cas=3913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9477-25B0-443A-AACF-754CCB46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2020-08-17T16:31:00Z</dcterms:modified>
</cp:coreProperties>
</file>