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19" w:rsidRPr="00511754" w:rsidRDefault="00526619" w:rsidP="00526619">
      <w:pPr>
        <w:tabs>
          <w:tab w:val="center" w:pos="4680"/>
          <w:tab w:val="right" w:pos="9360"/>
        </w:tabs>
        <w:jc w:val="center"/>
        <w:rPr>
          <w:rFonts w:eastAsiaTheme="minorHAnsi" w:cstheme="minorBidi"/>
          <w:szCs w:val="24"/>
          <w:lang w:eastAsia="en-US"/>
        </w:rPr>
      </w:pPr>
      <w:r w:rsidRPr="005117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4.65pt" o:ole="">
            <v:imagedata r:id="rId8" o:title=""/>
          </v:shape>
          <o:OLEObject Type="Embed" ProgID="Presentations.Drawing.13" ShapeID="_x0000_i1025" DrawAspect="Content" ObjectID="_1436340783" r:id="rId9"/>
        </w:object>
      </w:r>
    </w:p>
    <w:p w:rsidR="00526619" w:rsidRPr="00511754" w:rsidRDefault="00526619" w:rsidP="00526619">
      <w:pPr>
        <w:tabs>
          <w:tab w:val="center" w:pos="4680"/>
          <w:tab w:val="right" w:pos="9360"/>
        </w:tabs>
        <w:rPr>
          <w:rFonts w:eastAsiaTheme="minorHAnsi" w:cstheme="minorBidi"/>
          <w:szCs w:val="24"/>
          <w:lang w:eastAsia="en-US"/>
        </w:rPr>
      </w:pPr>
    </w:p>
    <w:p w:rsidR="00526619" w:rsidRPr="00511754" w:rsidRDefault="00526619" w:rsidP="00526619">
      <w:pPr>
        <w:jc w:val="center"/>
        <w:rPr>
          <w:rFonts w:eastAsiaTheme="minorHAnsi" w:cstheme="minorBidi"/>
          <w:b/>
          <w:szCs w:val="24"/>
          <w:lang w:eastAsia="en-US"/>
        </w:rPr>
      </w:pPr>
      <w:r w:rsidRPr="00511754">
        <w:rPr>
          <w:rFonts w:eastAsiaTheme="minorHAnsi" w:cstheme="minorBidi"/>
          <w:b/>
          <w:szCs w:val="24"/>
          <w:lang w:eastAsia="en-US"/>
        </w:rPr>
        <w:t>SUPREME COURT OF CANADA</w:t>
      </w:r>
    </w:p>
    <w:p w:rsidR="00526619" w:rsidRPr="00511754" w:rsidRDefault="00526619" w:rsidP="0052661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26619" w:rsidRPr="00511754" w:rsidTr="00E567EE">
        <w:trPr>
          <w:cantSplit/>
        </w:trPr>
        <w:tc>
          <w:tcPr>
            <w:tcW w:w="6768" w:type="dxa"/>
          </w:tcPr>
          <w:p w:rsidR="00526619" w:rsidRPr="00511754" w:rsidRDefault="00526619" w:rsidP="00E567EE">
            <w:pPr>
              <w:rPr>
                <w:i/>
              </w:rPr>
            </w:pPr>
            <w:r w:rsidRPr="00511754">
              <w:rPr>
                <w:b/>
                <w:smallCaps/>
              </w:rPr>
              <w:t>Citation:</w:t>
            </w:r>
            <w:r w:rsidRPr="00511754">
              <w:t xml:space="preserve"> </w:t>
            </w:r>
            <w:r w:rsidRPr="005956E5">
              <w:t>Moore</w:t>
            </w:r>
            <w:r w:rsidRPr="005956E5">
              <w:rPr>
                <w:iCs/>
              </w:rPr>
              <w:t xml:space="preserve"> </w:t>
            </w:r>
            <w:r w:rsidRPr="005956E5">
              <w:rPr>
                <w:i/>
                <w:iCs/>
              </w:rPr>
              <w:t xml:space="preserve">v. </w:t>
            </w:r>
            <w:r w:rsidRPr="005956E5">
              <w:rPr>
                <w:iCs/>
              </w:rPr>
              <w:t>British Columbia (Education),</w:t>
            </w:r>
            <w:r w:rsidRPr="00511754">
              <w:rPr>
                <w:i/>
              </w:rPr>
              <w:t xml:space="preserve"> </w:t>
            </w:r>
          </w:p>
          <w:p w:rsidR="00526619" w:rsidRPr="00511754" w:rsidRDefault="00526619" w:rsidP="00E567EE">
            <w:r w:rsidRPr="00F44F76">
              <w:rPr>
                <w:szCs w:val="24"/>
              </w:rPr>
              <w:t>2012 SCC 61, [2012] 3 S.C.R. 360</w:t>
            </w:r>
          </w:p>
        </w:tc>
        <w:tc>
          <w:tcPr>
            <w:tcW w:w="2808" w:type="dxa"/>
          </w:tcPr>
          <w:p w:rsidR="00526619" w:rsidRPr="00511754" w:rsidRDefault="00526619" w:rsidP="00E567EE">
            <w:r w:rsidRPr="00511754">
              <w:rPr>
                <w:b/>
                <w:smallCaps/>
              </w:rPr>
              <w:t>Date:</w:t>
            </w:r>
            <w:r w:rsidRPr="00511754">
              <w:t xml:space="preserve"> 20121109</w:t>
            </w:r>
          </w:p>
          <w:p w:rsidR="00526619" w:rsidRPr="00511754" w:rsidRDefault="00526619" w:rsidP="00E567EE">
            <w:r w:rsidRPr="00511754">
              <w:rPr>
                <w:b/>
                <w:smallCaps/>
              </w:rPr>
              <w:t>Dockets:</w:t>
            </w:r>
            <w:r w:rsidRPr="00511754">
              <w:t xml:space="preserve"> 34040, 34041</w:t>
            </w:r>
          </w:p>
        </w:tc>
      </w:tr>
    </w:tbl>
    <w:p w:rsidR="00526619" w:rsidRPr="00511754" w:rsidRDefault="00526619" w:rsidP="00526619">
      <w:pPr>
        <w:rPr>
          <w:rFonts w:eastAsiaTheme="minorHAnsi" w:cstheme="minorBidi"/>
          <w:szCs w:val="24"/>
          <w:lang w:eastAsia="en-US"/>
        </w:rPr>
      </w:pPr>
    </w:p>
    <w:p w:rsidR="00526619" w:rsidRPr="00511754" w:rsidRDefault="00526619" w:rsidP="00526619">
      <w:pPr>
        <w:rPr>
          <w:rFonts w:eastAsiaTheme="minorHAnsi" w:cstheme="minorBidi"/>
          <w:b/>
          <w:smallCaps/>
          <w:szCs w:val="24"/>
          <w:lang w:eastAsia="en-US"/>
        </w:rPr>
      </w:pPr>
      <w:r w:rsidRPr="00511754">
        <w:rPr>
          <w:rFonts w:eastAsiaTheme="minorHAnsi" w:cstheme="minorBidi"/>
          <w:b/>
          <w:smallCaps/>
          <w:szCs w:val="24"/>
          <w:lang w:eastAsia="en-US"/>
        </w:rPr>
        <w:t>Between:</w:t>
      </w:r>
    </w:p>
    <w:p w:rsidR="00526619" w:rsidRPr="00511754" w:rsidRDefault="00526619" w:rsidP="00526619">
      <w:pPr>
        <w:jc w:val="center"/>
        <w:rPr>
          <w:rFonts w:eastAsiaTheme="minorHAnsi" w:cstheme="minorBidi"/>
          <w:b/>
          <w:szCs w:val="24"/>
          <w:lang w:eastAsia="en-US"/>
        </w:rPr>
      </w:pPr>
      <w:r w:rsidRPr="00511754">
        <w:rPr>
          <w:rFonts w:eastAsiaTheme="minorHAnsi" w:cstheme="minorBidi"/>
          <w:b/>
          <w:szCs w:val="24"/>
          <w:lang w:eastAsia="en-US"/>
        </w:rPr>
        <w:t>Frederick Moore on behalf of Jeffrey P. Moore</w:t>
      </w:r>
    </w:p>
    <w:p w:rsidR="00526619" w:rsidRPr="00511754" w:rsidRDefault="00526619" w:rsidP="00526619">
      <w:pPr>
        <w:jc w:val="center"/>
        <w:rPr>
          <w:rFonts w:eastAsiaTheme="minorHAnsi" w:cstheme="minorBidi"/>
          <w:szCs w:val="24"/>
          <w:lang w:eastAsia="en-US"/>
        </w:rPr>
      </w:pPr>
      <w:r w:rsidRPr="00511754">
        <w:rPr>
          <w:rFonts w:eastAsiaTheme="minorHAnsi" w:cstheme="minorBidi"/>
          <w:szCs w:val="24"/>
          <w:lang w:eastAsia="en-US"/>
        </w:rPr>
        <w:t>Appellant</w:t>
      </w:r>
    </w:p>
    <w:p w:rsidR="00526619" w:rsidRPr="00511754" w:rsidRDefault="00526619" w:rsidP="00526619">
      <w:pPr>
        <w:jc w:val="center"/>
        <w:rPr>
          <w:rFonts w:eastAsiaTheme="minorHAnsi" w:cstheme="minorBidi"/>
          <w:szCs w:val="24"/>
          <w:lang w:eastAsia="en-US"/>
        </w:rPr>
      </w:pPr>
      <w:proofErr w:type="gramStart"/>
      <w:r w:rsidRPr="00511754">
        <w:rPr>
          <w:rFonts w:eastAsiaTheme="minorHAnsi" w:cstheme="minorBidi"/>
          <w:szCs w:val="24"/>
          <w:lang w:eastAsia="en-US"/>
        </w:rPr>
        <w:t>and</w:t>
      </w:r>
      <w:proofErr w:type="gramEnd"/>
    </w:p>
    <w:p w:rsidR="00526619" w:rsidRPr="00511754" w:rsidRDefault="00526619" w:rsidP="00526619">
      <w:pPr>
        <w:jc w:val="center"/>
        <w:rPr>
          <w:rFonts w:eastAsiaTheme="minorHAnsi" w:cstheme="minorBidi"/>
          <w:b/>
          <w:szCs w:val="24"/>
          <w:lang w:eastAsia="en-US"/>
        </w:rPr>
      </w:pPr>
      <w:r w:rsidRPr="00511754">
        <w:rPr>
          <w:rFonts w:eastAsiaTheme="minorHAnsi" w:cstheme="minorBidi"/>
          <w:b/>
          <w:szCs w:val="24"/>
          <w:lang w:eastAsia="en-US"/>
        </w:rPr>
        <w:t>Her Majesty the Queen in Right of the Province of British Columbia, as represented by the Ministry of Education, and Board of Education of School District No. 44 (North Vancouver), formerly known as The Board of School Trustees of School District No. 44 (North Vancouver)</w:t>
      </w:r>
    </w:p>
    <w:p w:rsidR="00526619" w:rsidRPr="00511754" w:rsidRDefault="00526619" w:rsidP="00526619">
      <w:pPr>
        <w:jc w:val="center"/>
        <w:rPr>
          <w:rFonts w:eastAsiaTheme="minorHAnsi" w:cstheme="minorBidi"/>
          <w:szCs w:val="24"/>
          <w:lang w:eastAsia="en-US"/>
        </w:rPr>
      </w:pPr>
      <w:r w:rsidRPr="00511754">
        <w:rPr>
          <w:rFonts w:eastAsiaTheme="minorHAnsi" w:cstheme="minorBidi"/>
          <w:szCs w:val="24"/>
          <w:lang w:eastAsia="en-US"/>
        </w:rPr>
        <w:t>Respondents</w:t>
      </w:r>
    </w:p>
    <w:p w:rsidR="00526619" w:rsidRPr="00511754" w:rsidRDefault="00526619" w:rsidP="00526619">
      <w:pPr>
        <w:jc w:val="center"/>
        <w:rPr>
          <w:rFonts w:eastAsiaTheme="minorHAnsi" w:cstheme="minorBidi"/>
          <w:szCs w:val="24"/>
          <w:lang w:eastAsia="en-US"/>
        </w:rPr>
      </w:pPr>
      <w:r w:rsidRPr="00511754">
        <w:rPr>
          <w:rFonts w:eastAsiaTheme="minorHAnsi" w:cstheme="minorBidi"/>
          <w:szCs w:val="24"/>
          <w:lang w:eastAsia="en-US"/>
        </w:rPr>
        <w:t xml:space="preserve">- </w:t>
      </w:r>
      <w:proofErr w:type="gramStart"/>
      <w:r w:rsidRPr="00511754">
        <w:rPr>
          <w:rFonts w:eastAsiaTheme="minorHAnsi" w:cstheme="minorBidi"/>
          <w:szCs w:val="24"/>
          <w:lang w:eastAsia="en-US"/>
        </w:rPr>
        <w:t>and</w:t>
      </w:r>
      <w:proofErr w:type="gramEnd"/>
      <w:r w:rsidRPr="00511754">
        <w:rPr>
          <w:rFonts w:eastAsiaTheme="minorHAnsi" w:cstheme="minorBidi"/>
          <w:szCs w:val="24"/>
          <w:lang w:eastAsia="en-US"/>
        </w:rPr>
        <w:t xml:space="preserve"> -</w:t>
      </w:r>
    </w:p>
    <w:p w:rsidR="00526619" w:rsidRPr="00511754" w:rsidRDefault="00526619" w:rsidP="00526619">
      <w:pPr>
        <w:jc w:val="center"/>
        <w:rPr>
          <w:rFonts w:eastAsiaTheme="minorHAnsi" w:cstheme="minorBidi"/>
          <w:b/>
          <w:szCs w:val="24"/>
          <w:lang w:eastAsia="en-US"/>
        </w:rPr>
      </w:pPr>
      <w:r w:rsidRPr="00511754">
        <w:rPr>
          <w:rFonts w:eastAsiaTheme="minorHAnsi" w:cstheme="minorBidi"/>
          <w:b/>
          <w:szCs w:val="24"/>
          <w:lang w:eastAsia="en-US"/>
        </w:rPr>
        <w:t xml:space="preserve">Attorney General of Ontario, Justice for Children and Youth, British Columbia Teachers’ Federation, Council of Canadians with Disabilities, Ontario Human Rights Commission, Saskatchewan Human Rights Commission, Alberta Human Rights Commission, International Dyslexia Association, Ontario Branch, Canadian Human Rights Commission, Learning Disabilities Association of Canada, Canadian Constitution Foundation, Manitoba Human Rights Commission, West Coast Women’s Legal Education and Action Fund, Canadian Association for Community Living, Commission des </w:t>
      </w:r>
      <w:proofErr w:type="spellStart"/>
      <w:r w:rsidRPr="00511754">
        <w:rPr>
          <w:rFonts w:eastAsiaTheme="minorHAnsi" w:cstheme="minorBidi"/>
          <w:b/>
          <w:szCs w:val="24"/>
          <w:lang w:eastAsia="en-US"/>
        </w:rPr>
        <w:t>droits</w:t>
      </w:r>
      <w:proofErr w:type="spellEnd"/>
      <w:r w:rsidRPr="00511754">
        <w:rPr>
          <w:rFonts w:eastAsiaTheme="minorHAnsi" w:cstheme="minorBidi"/>
          <w:b/>
          <w:szCs w:val="24"/>
          <w:lang w:eastAsia="en-US"/>
        </w:rPr>
        <w:t xml:space="preserve"> de la </w:t>
      </w:r>
      <w:proofErr w:type="spellStart"/>
      <w:r w:rsidRPr="00511754">
        <w:rPr>
          <w:rFonts w:eastAsiaTheme="minorHAnsi" w:cstheme="minorBidi"/>
          <w:b/>
          <w:szCs w:val="24"/>
          <w:lang w:eastAsia="en-US"/>
        </w:rPr>
        <w:t>personne</w:t>
      </w:r>
      <w:proofErr w:type="spellEnd"/>
      <w:r w:rsidRPr="00511754">
        <w:rPr>
          <w:rFonts w:eastAsiaTheme="minorHAnsi" w:cstheme="minorBidi"/>
          <w:b/>
          <w:szCs w:val="24"/>
          <w:lang w:eastAsia="en-US"/>
        </w:rPr>
        <w:t xml:space="preserve"> et des </w:t>
      </w:r>
      <w:proofErr w:type="spellStart"/>
      <w:r w:rsidRPr="00511754">
        <w:rPr>
          <w:rFonts w:eastAsiaTheme="minorHAnsi" w:cstheme="minorBidi"/>
          <w:b/>
          <w:szCs w:val="24"/>
          <w:lang w:eastAsia="en-US"/>
        </w:rPr>
        <w:t>droits</w:t>
      </w:r>
      <w:proofErr w:type="spellEnd"/>
      <w:r w:rsidRPr="00511754">
        <w:rPr>
          <w:rFonts w:eastAsiaTheme="minorHAnsi" w:cstheme="minorBidi"/>
          <w:b/>
          <w:szCs w:val="24"/>
          <w:lang w:eastAsia="en-US"/>
        </w:rPr>
        <w:t xml:space="preserve"> de la </w:t>
      </w:r>
      <w:proofErr w:type="spellStart"/>
      <w:r w:rsidRPr="00511754">
        <w:rPr>
          <w:rFonts w:eastAsiaTheme="minorHAnsi" w:cstheme="minorBidi"/>
          <w:b/>
          <w:szCs w:val="24"/>
          <w:lang w:eastAsia="en-US"/>
        </w:rPr>
        <w:t>jeunesse</w:t>
      </w:r>
      <w:proofErr w:type="spellEnd"/>
      <w:r w:rsidRPr="00511754">
        <w:rPr>
          <w:rFonts w:eastAsiaTheme="minorHAnsi" w:cstheme="minorBidi"/>
          <w:b/>
          <w:szCs w:val="24"/>
          <w:lang w:eastAsia="en-US"/>
        </w:rPr>
        <w:t>, British Columbia Human Rights Tribunal, First Nations Child and Family Caring Society of Canada</w:t>
      </w:r>
    </w:p>
    <w:p w:rsidR="00526619" w:rsidRPr="00511754" w:rsidRDefault="00526619" w:rsidP="00526619">
      <w:pPr>
        <w:jc w:val="center"/>
        <w:rPr>
          <w:rFonts w:eastAsiaTheme="minorHAnsi" w:cstheme="minorBidi"/>
          <w:szCs w:val="24"/>
          <w:lang w:eastAsia="en-US"/>
        </w:rPr>
      </w:pPr>
      <w:r w:rsidRPr="00511754">
        <w:rPr>
          <w:rFonts w:eastAsiaTheme="minorHAnsi" w:cstheme="minorBidi"/>
          <w:szCs w:val="24"/>
          <w:lang w:eastAsia="en-US"/>
        </w:rPr>
        <w:t>Interveners</w:t>
      </w:r>
      <w:r w:rsidRPr="00511754">
        <w:rPr>
          <w:rFonts w:eastAsiaTheme="minorHAnsi" w:cstheme="minorBidi"/>
          <w:szCs w:val="24"/>
          <w:lang w:eastAsia="en-US"/>
        </w:rPr>
        <w:br/>
      </w:r>
    </w:p>
    <w:p w:rsidR="00526619" w:rsidRPr="00511754" w:rsidRDefault="00526619" w:rsidP="00526619">
      <w:pPr>
        <w:rPr>
          <w:rFonts w:eastAsiaTheme="minorHAnsi" w:cstheme="minorBidi"/>
          <w:szCs w:val="24"/>
          <w:lang w:eastAsia="en-US"/>
        </w:rPr>
      </w:pPr>
      <w:r w:rsidRPr="00511754">
        <w:rPr>
          <w:rFonts w:eastAsiaTheme="minorHAnsi" w:cstheme="minorBidi"/>
          <w:b/>
          <w:smallCaps/>
          <w:szCs w:val="24"/>
          <w:lang w:eastAsia="en-US"/>
        </w:rPr>
        <w:t>Coram:</w:t>
      </w:r>
      <w:r w:rsidRPr="00511754">
        <w:rPr>
          <w:rFonts w:eastAsiaTheme="minorHAnsi" w:cstheme="minorBidi"/>
          <w:szCs w:val="24"/>
          <w:lang w:eastAsia="en-US"/>
        </w:rPr>
        <w:t xml:space="preserve"> </w:t>
      </w:r>
      <w:proofErr w:type="spellStart"/>
      <w:r w:rsidRPr="00511754">
        <w:rPr>
          <w:rFonts w:eastAsiaTheme="minorHAnsi" w:cstheme="minorBidi"/>
          <w:szCs w:val="24"/>
          <w:lang w:eastAsia="en-US"/>
        </w:rPr>
        <w:t>McLachlin</w:t>
      </w:r>
      <w:proofErr w:type="spellEnd"/>
      <w:r w:rsidRPr="00511754">
        <w:rPr>
          <w:rFonts w:eastAsiaTheme="minorHAnsi" w:cstheme="minorBidi"/>
          <w:szCs w:val="24"/>
          <w:lang w:eastAsia="en-US"/>
        </w:rPr>
        <w:t xml:space="preserve"> C.J. and </w:t>
      </w:r>
      <w:proofErr w:type="spellStart"/>
      <w:r w:rsidRPr="00511754">
        <w:rPr>
          <w:rFonts w:eastAsiaTheme="minorHAnsi" w:cstheme="minorBidi"/>
          <w:szCs w:val="24"/>
          <w:lang w:eastAsia="en-US"/>
        </w:rPr>
        <w:t>LeBel</w:t>
      </w:r>
      <w:proofErr w:type="spellEnd"/>
      <w:r w:rsidRPr="00511754">
        <w:rPr>
          <w:rFonts w:eastAsiaTheme="minorHAnsi" w:cstheme="minorBidi"/>
          <w:szCs w:val="24"/>
          <w:lang w:eastAsia="en-US"/>
        </w:rPr>
        <w:t xml:space="preserve">, </w:t>
      </w:r>
      <w:proofErr w:type="spellStart"/>
      <w:r w:rsidRPr="00511754">
        <w:rPr>
          <w:rFonts w:eastAsiaTheme="minorHAnsi" w:cstheme="minorBidi"/>
          <w:szCs w:val="24"/>
          <w:lang w:eastAsia="en-US"/>
        </w:rPr>
        <w:t>Deschamps</w:t>
      </w:r>
      <w:proofErr w:type="spellEnd"/>
      <w:r w:rsidRPr="00511754">
        <w:rPr>
          <w:rFonts w:eastAsiaTheme="minorHAnsi" w:cstheme="minorBidi"/>
          <w:szCs w:val="24"/>
          <w:lang w:eastAsia="en-US"/>
        </w:rPr>
        <w:t xml:space="preserve">, Fish, </w:t>
      </w:r>
      <w:proofErr w:type="spellStart"/>
      <w:r w:rsidRPr="00511754">
        <w:rPr>
          <w:rFonts w:eastAsiaTheme="minorHAnsi" w:cstheme="minorBidi"/>
          <w:szCs w:val="24"/>
          <w:lang w:eastAsia="en-US"/>
        </w:rPr>
        <w:t>Abella</w:t>
      </w:r>
      <w:proofErr w:type="spellEnd"/>
      <w:r w:rsidRPr="00511754">
        <w:rPr>
          <w:rFonts w:eastAsiaTheme="minorHAnsi" w:cstheme="minorBidi"/>
          <w:szCs w:val="24"/>
          <w:lang w:eastAsia="en-US"/>
        </w:rPr>
        <w:t xml:space="preserve">, Rothstein, Cromwell, </w:t>
      </w:r>
      <w:proofErr w:type="spellStart"/>
      <w:r w:rsidRPr="00511754">
        <w:rPr>
          <w:rFonts w:eastAsiaTheme="minorHAnsi" w:cstheme="minorBidi"/>
          <w:szCs w:val="24"/>
          <w:lang w:eastAsia="en-US"/>
        </w:rPr>
        <w:t>Moldaver</w:t>
      </w:r>
      <w:proofErr w:type="spellEnd"/>
      <w:r w:rsidRPr="00511754">
        <w:rPr>
          <w:rFonts w:eastAsiaTheme="minorHAnsi" w:cstheme="minorBidi"/>
          <w:szCs w:val="24"/>
          <w:lang w:eastAsia="en-US"/>
        </w:rPr>
        <w:t xml:space="preserve"> and </w:t>
      </w:r>
      <w:proofErr w:type="spellStart"/>
      <w:r w:rsidRPr="00511754">
        <w:rPr>
          <w:rFonts w:eastAsiaTheme="minorHAnsi" w:cstheme="minorBidi"/>
          <w:szCs w:val="24"/>
          <w:lang w:eastAsia="en-US"/>
        </w:rPr>
        <w:t>Karakatsanis</w:t>
      </w:r>
      <w:proofErr w:type="spellEnd"/>
      <w:r w:rsidRPr="00511754">
        <w:rPr>
          <w:rFonts w:eastAsiaTheme="minorHAnsi" w:cstheme="minorBidi"/>
          <w:szCs w:val="24"/>
          <w:lang w:eastAsia="en-US"/>
        </w:rPr>
        <w:t> JJ.</w:t>
      </w:r>
    </w:p>
    <w:p w:rsidR="00526619" w:rsidRPr="00511754" w:rsidRDefault="00526619" w:rsidP="0052661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26619" w:rsidRPr="00511754" w:rsidTr="00E567EE">
        <w:trPr>
          <w:cantSplit/>
        </w:trPr>
        <w:tc>
          <w:tcPr>
            <w:tcW w:w="3618" w:type="dxa"/>
          </w:tcPr>
          <w:p w:rsidR="00526619" w:rsidRPr="00511754" w:rsidRDefault="00526619" w:rsidP="00E567EE">
            <w:pPr>
              <w:rPr>
                <w:b/>
                <w:smallCaps/>
              </w:rPr>
            </w:pPr>
            <w:r w:rsidRPr="00511754">
              <w:rPr>
                <w:b/>
                <w:smallCaps/>
              </w:rPr>
              <w:t>Reasons for Judgment:</w:t>
            </w:r>
          </w:p>
          <w:p w:rsidR="00526619" w:rsidRPr="00511754" w:rsidRDefault="00526619" w:rsidP="00E567EE">
            <w:r w:rsidRPr="00511754">
              <w:t>(</w:t>
            </w:r>
            <w:proofErr w:type="spellStart"/>
            <w:r w:rsidRPr="00511754">
              <w:t>paras</w:t>
            </w:r>
            <w:proofErr w:type="spellEnd"/>
            <w:r w:rsidRPr="00511754">
              <w:t>. 1 to 71)</w:t>
            </w:r>
          </w:p>
        </w:tc>
        <w:tc>
          <w:tcPr>
            <w:tcW w:w="5958" w:type="dxa"/>
          </w:tcPr>
          <w:p w:rsidR="00526619" w:rsidRPr="00511754" w:rsidRDefault="00526619" w:rsidP="00E567EE">
            <w:proofErr w:type="spellStart"/>
            <w:r w:rsidRPr="00511754">
              <w:t>Abella</w:t>
            </w:r>
            <w:proofErr w:type="spellEnd"/>
            <w:r w:rsidRPr="00511754">
              <w:t xml:space="preserve"> J. (</w:t>
            </w:r>
            <w:proofErr w:type="spellStart"/>
            <w:r w:rsidRPr="00511754">
              <w:t>McLachlin</w:t>
            </w:r>
            <w:proofErr w:type="spellEnd"/>
            <w:r w:rsidRPr="00511754">
              <w:t xml:space="preserve"> C.J. and </w:t>
            </w:r>
            <w:proofErr w:type="spellStart"/>
            <w:r w:rsidRPr="00511754">
              <w:t>LeBel</w:t>
            </w:r>
            <w:proofErr w:type="spellEnd"/>
            <w:r w:rsidRPr="00511754">
              <w:t xml:space="preserve">, </w:t>
            </w:r>
            <w:proofErr w:type="spellStart"/>
            <w:r w:rsidRPr="00511754">
              <w:t>Deschamps</w:t>
            </w:r>
            <w:proofErr w:type="spellEnd"/>
            <w:r w:rsidRPr="00511754">
              <w:t xml:space="preserve">, Fish, Rothstein, Cromwell, </w:t>
            </w:r>
            <w:proofErr w:type="spellStart"/>
            <w:r w:rsidRPr="00511754">
              <w:t>Moldaver</w:t>
            </w:r>
            <w:proofErr w:type="spellEnd"/>
            <w:r w:rsidRPr="00511754">
              <w:t xml:space="preserve"> and </w:t>
            </w:r>
            <w:proofErr w:type="spellStart"/>
            <w:r w:rsidRPr="00511754">
              <w:t>Karakatsanis</w:t>
            </w:r>
            <w:proofErr w:type="spellEnd"/>
            <w:r w:rsidRPr="00511754">
              <w:t xml:space="preserve"> JJ. concurring)</w:t>
            </w:r>
          </w:p>
        </w:tc>
      </w:tr>
    </w:tbl>
    <w:p w:rsidR="00526619" w:rsidRPr="00511754" w:rsidRDefault="00526619" w:rsidP="00526619">
      <w:pPr>
        <w:rPr>
          <w:rFonts w:eastAsiaTheme="minorHAnsi" w:cstheme="minorBidi"/>
          <w:szCs w:val="24"/>
          <w:lang w:eastAsia="en-US"/>
        </w:rPr>
      </w:pPr>
    </w:p>
    <w:p w:rsidR="00526619" w:rsidRPr="00511754" w:rsidRDefault="00526619" w:rsidP="00526619">
      <w:pPr>
        <w:rPr>
          <w:rFonts w:eastAsiaTheme="minorHAnsi" w:cstheme="minorBidi"/>
          <w:szCs w:val="24"/>
          <w:lang w:eastAsia="en-US"/>
        </w:rPr>
      </w:pPr>
    </w:p>
    <w:p w:rsidR="00526619" w:rsidRPr="00511754" w:rsidRDefault="00526619" w:rsidP="00526619">
      <w:pPr>
        <w:rPr>
          <w:rFonts w:eastAsiaTheme="minorHAnsi" w:cstheme="minorBidi"/>
          <w:szCs w:val="24"/>
          <w:lang w:eastAsia="en-US"/>
        </w:rPr>
      </w:pPr>
      <w:r w:rsidRPr="008362C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26619" w:rsidRPr="005956E5" w:rsidRDefault="00526619" w:rsidP="00526619">
      <w:pPr>
        <w:rPr>
          <w:smallCaps/>
          <w:szCs w:val="24"/>
          <w:lang w:val="en-US"/>
        </w:rPr>
      </w:pPr>
      <w:r w:rsidRPr="005956E5">
        <w:rPr>
          <w:smallCaps/>
          <w:szCs w:val="24"/>
          <w:lang w:val="en-US"/>
        </w:rPr>
        <w:br w:type="page"/>
      </w:r>
    </w:p>
    <w:p w:rsidR="00F44F76" w:rsidRPr="00F44F76" w:rsidRDefault="00F44F76" w:rsidP="00F44F76">
      <w:pPr>
        <w:spacing w:after="720"/>
        <w:jc w:val="both"/>
        <w:rPr>
          <w:szCs w:val="24"/>
        </w:rPr>
      </w:pPr>
      <w:r w:rsidRPr="00F44F76">
        <w:rPr>
          <w:szCs w:val="24"/>
        </w:rPr>
        <w:lastRenderedPageBreak/>
        <w:t xml:space="preserve">Moore </w:t>
      </w:r>
      <w:r w:rsidRPr="00F44F76">
        <w:rPr>
          <w:i/>
          <w:szCs w:val="24"/>
        </w:rPr>
        <w:t>v.</w:t>
      </w:r>
      <w:r w:rsidRPr="00F44F76">
        <w:rPr>
          <w:szCs w:val="24"/>
        </w:rPr>
        <w:t xml:space="preserve"> British Columbia (Education), 2012 SCC 61, [2012] 3 S.C.R. 360</w:t>
      </w:r>
    </w:p>
    <w:p w:rsidR="00F74038" w:rsidRPr="008B7F0A" w:rsidRDefault="00937DE3" w:rsidP="00354F4A">
      <w:pPr>
        <w:pStyle w:val="SCCLsocLastPartyInRole"/>
        <w:rPr>
          <w:rStyle w:val="SCCLsocPartyRole"/>
          <w:szCs w:val="24"/>
        </w:rPr>
      </w:pPr>
      <w:r w:rsidRPr="008B7F0A">
        <w:rPr>
          <w:szCs w:val="24"/>
        </w:rPr>
        <w:t xml:space="preserve">Frederick Moore on behalf of Jeffrey </w:t>
      </w:r>
      <w:r w:rsidR="00654710" w:rsidRPr="008B7F0A">
        <w:rPr>
          <w:szCs w:val="24"/>
        </w:rPr>
        <w:t>P. </w:t>
      </w:r>
      <w:r w:rsidRPr="008B7F0A">
        <w:rPr>
          <w:szCs w:val="24"/>
        </w:rPr>
        <w:t>Moore</w:t>
      </w:r>
      <w:r w:rsidRPr="008B7F0A">
        <w:rPr>
          <w:rStyle w:val="SCCLsocPartyRole"/>
          <w:szCs w:val="24"/>
        </w:rPr>
        <w:tab/>
        <w:t>Appellant</w:t>
      </w:r>
    </w:p>
    <w:p w:rsidR="00F74038" w:rsidRPr="008B7F0A" w:rsidRDefault="00937DE3" w:rsidP="00354F4A">
      <w:pPr>
        <w:pStyle w:val="SCCLsocVersus"/>
        <w:rPr>
          <w:szCs w:val="24"/>
        </w:rPr>
      </w:pPr>
      <w:r w:rsidRPr="008B7F0A">
        <w:rPr>
          <w:szCs w:val="24"/>
        </w:rPr>
        <w:t>v.</w:t>
      </w:r>
      <w:r w:rsidR="002D2F5B" w:rsidRPr="008B7F0A">
        <w:rPr>
          <w:i w:val="0"/>
          <w:szCs w:val="24"/>
        </w:rPr>
        <w:t xml:space="preserve"> </w:t>
      </w:r>
    </w:p>
    <w:p w:rsidR="0075177D" w:rsidRPr="008B7F0A" w:rsidRDefault="0075177D" w:rsidP="0075177D">
      <w:pPr>
        <w:pStyle w:val="SCCLsocParty"/>
        <w:rPr>
          <w:szCs w:val="24"/>
        </w:rPr>
      </w:pPr>
      <w:r w:rsidRPr="008B7F0A">
        <w:rPr>
          <w:szCs w:val="24"/>
        </w:rPr>
        <w:t>Her Majesty T</w:t>
      </w:r>
      <w:r w:rsidR="00937DE3" w:rsidRPr="008B7F0A">
        <w:rPr>
          <w:szCs w:val="24"/>
        </w:rPr>
        <w:t xml:space="preserve">he Queen in Right of the Province </w:t>
      </w:r>
    </w:p>
    <w:p w:rsidR="0075177D" w:rsidRPr="008B7F0A" w:rsidRDefault="00937DE3" w:rsidP="0075177D">
      <w:pPr>
        <w:pStyle w:val="SCCLsocParty"/>
        <w:rPr>
          <w:szCs w:val="24"/>
        </w:rPr>
      </w:pPr>
      <w:r w:rsidRPr="008B7F0A">
        <w:rPr>
          <w:szCs w:val="24"/>
        </w:rPr>
        <w:t>of British Columbia</w:t>
      </w:r>
      <w:r w:rsidR="00DE174F" w:rsidRPr="008B7F0A">
        <w:rPr>
          <w:szCs w:val="24"/>
        </w:rPr>
        <w:t>,</w:t>
      </w:r>
      <w:r w:rsidRPr="008B7F0A">
        <w:rPr>
          <w:szCs w:val="24"/>
        </w:rPr>
        <w:t xml:space="preserve"> as represent</w:t>
      </w:r>
      <w:r w:rsidR="0075177D" w:rsidRPr="008B7F0A">
        <w:rPr>
          <w:szCs w:val="24"/>
        </w:rPr>
        <w:t xml:space="preserve">ed by the Ministry </w:t>
      </w:r>
    </w:p>
    <w:p w:rsidR="0075177D" w:rsidRPr="008B7F0A" w:rsidRDefault="0075177D" w:rsidP="0075177D">
      <w:pPr>
        <w:pStyle w:val="SCCLsocParty"/>
        <w:rPr>
          <w:szCs w:val="24"/>
        </w:rPr>
      </w:pPr>
      <w:r w:rsidRPr="008B7F0A">
        <w:rPr>
          <w:szCs w:val="24"/>
        </w:rPr>
        <w:t>of Education</w:t>
      </w:r>
      <w:r w:rsidR="00DE174F" w:rsidRPr="008B7F0A">
        <w:rPr>
          <w:szCs w:val="24"/>
        </w:rPr>
        <w:t>,</w:t>
      </w:r>
      <w:r w:rsidRPr="008B7F0A">
        <w:rPr>
          <w:szCs w:val="24"/>
        </w:rPr>
        <w:t xml:space="preserve"> and </w:t>
      </w:r>
      <w:r w:rsidR="00937DE3" w:rsidRPr="008B7F0A">
        <w:rPr>
          <w:szCs w:val="24"/>
        </w:rPr>
        <w:t xml:space="preserve">Board of Education of School District </w:t>
      </w:r>
    </w:p>
    <w:p w:rsidR="0075177D" w:rsidRPr="008B7F0A" w:rsidRDefault="00654710" w:rsidP="0075177D">
      <w:pPr>
        <w:pStyle w:val="SCCLsocParty"/>
        <w:rPr>
          <w:szCs w:val="24"/>
        </w:rPr>
      </w:pPr>
      <w:r w:rsidRPr="008B7F0A">
        <w:rPr>
          <w:szCs w:val="24"/>
        </w:rPr>
        <w:t>No. </w:t>
      </w:r>
      <w:r w:rsidR="00937DE3" w:rsidRPr="008B7F0A">
        <w:rPr>
          <w:szCs w:val="24"/>
        </w:rPr>
        <w:t xml:space="preserve">44 (North Vancouver), formerly known as The Board of </w:t>
      </w:r>
    </w:p>
    <w:p w:rsidR="00F74038" w:rsidRPr="008B7F0A" w:rsidRDefault="00937DE3" w:rsidP="00354F4A">
      <w:pPr>
        <w:pStyle w:val="SCCLsocParty"/>
        <w:spacing w:after="720"/>
        <w:rPr>
          <w:szCs w:val="24"/>
        </w:rPr>
      </w:pPr>
      <w:r w:rsidRPr="008B7F0A">
        <w:rPr>
          <w:szCs w:val="24"/>
        </w:rPr>
        <w:t xml:space="preserve">School Trustees of School District </w:t>
      </w:r>
      <w:r w:rsidR="00654710" w:rsidRPr="008B7F0A">
        <w:rPr>
          <w:szCs w:val="24"/>
        </w:rPr>
        <w:t>No. </w:t>
      </w:r>
      <w:r w:rsidRPr="008B7F0A">
        <w:rPr>
          <w:szCs w:val="24"/>
        </w:rPr>
        <w:t>44 (North Vancouver)</w:t>
      </w:r>
      <w:r w:rsidRPr="008B7F0A">
        <w:rPr>
          <w:rStyle w:val="SCCLsocPartyRole"/>
          <w:szCs w:val="24"/>
        </w:rPr>
        <w:tab/>
        <w:t>Respondents</w:t>
      </w:r>
    </w:p>
    <w:p w:rsidR="00F74038" w:rsidRPr="008B7F0A" w:rsidRDefault="00937DE3" w:rsidP="00354F4A">
      <w:pPr>
        <w:pStyle w:val="SCCLsocOtherPartySeparator"/>
        <w:rPr>
          <w:szCs w:val="24"/>
        </w:rPr>
      </w:pPr>
      <w:r w:rsidRPr="008B7F0A">
        <w:rPr>
          <w:szCs w:val="24"/>
        </w:rPr>
        <w:t>and</w:t>
      </w:r>
    </w:p>
    <w:p w:rsidR="000B203C" w:rsidRPr="008B7F0A" w:rsidRDefault="00937DE3">
      <w:pPr>
        <w:pStyle w:val="SCCLsocParty"/>
        <w:rPr>
          <w:szCs w:val="24"/>
        </w:rPr>
      </w:pPr>
      <w:r w:rsidRPr="008B7F0A">
        <w:rPr>
          <w:szCs w:val="24"/>
        </w:rPr>
        <w:t>Attorney General of Ontario,</w:t>
      </w:r>
      <w:r w:rsidR="0075177D" w:rsidRPr="008B7F0A">
        <w:rPr>
          <w:szCs w:val="24"/>
        </w:rPr>
        <w:t xml:space="preserve"> </w:t>
      </w:r>
      <w:r w:rsidRPr="008B7F0A">
        <w:rPr>
          <w:szCs w:val="24"/>
        </w:rPr>
        <w:t>Justice for Children and Youth,</w:t>
      </w:r>
      <w:r w:rsidR="00302394" w:rsidRPr="008B7F0A">
        <w:rPr>
          <w:szCs w:val="24"/>
        </w:rPr>
        <w:t xml:space="preserve"> </w:t>
      </w:r>
    </w:p>
    <w:p w:rsidR="000B203C" w:rsidRPr="008B7F0A" w:rsidRDefault="00937DE3" w:rsidP="00302394">
      <w:pPr>
        <w:pStyle w:val="SCCLsocParty"/>
        <w:rPr>
          <w:szCs w:val="24"/>
        </w:rPr>
      </w:pPr>
      <w:r w:rsidRPr="008B7F0A">
        <w:rPr>
          <w:szCs w:val="24"/>
        </w:rPr>
        <w:t>British Columbia Teachers</w:t>
      </w:r>
      <w:r w:rsidR="00A5247D" w:rsidRPr="008B7F0A">
        <w:rPr>
          <w:szCs w:val="24"/>
        </w:rPr>
        <w:t>’</w:t>
      </w:r>
      <w:r w:rsidRPr="008B7F0A">
        <w:rPr>
          <w:szCs w:val="24"/>
        </w:rPr>
        <w:t xml:space="preserve"> Federation,</w:t>
      </w:r>
      <w:r w:rsidR="00302394" w:rsidRPr="008B7F0A">
        <w:rPr>
          <w:szCs w:val="24"/>
        </w:rPr>
        <w:t xml:space="preserve"> </w:t>
      </w:r>
      <w:r w:rsidRPr="008B7F0A">
        <w:rPr>
          <w:szCs w:val="24"/>
        </w:rPr>
        <w:t xml:space="preserve">Council of Canadians </w:t>
      </w:r>
    </w:p>
    <w:p w:rsidR="000B203C" w:rsidRPr="008B7F0A" w:rsidRDefault="00937DE3" w:rsidP="00302394">
      <w:pPr>
        <w:pStyle w:val="SCCLsocParty"/>
        <w:rPr>
          <w:szCs w:val="24"/>
        </w:rPr>
      </w:pPr>
      <w:r w:rsidRPr="008B7F0A">
        <w:rPr>
          <w:szCs w:val="24"/>
        </w:rPr>
        <w:t>with Disabilities,</w:t>
      </w:r>
      <w:r w:rsidR="00302394" w:rsidRPr="008B7F0A">
        <w:rPr>
          <w:szCs w:val="24"/>
        </w:rPr>
        <w:t xml:space="preserve"> </w:t>
      </w:r>
      <w:r w:rsidRPr="008B7F0A">
        <w:rPr>
          <w:szCs w:val="24"/>
        </w:rPr>
        <w:t xml:space="preserve">Ontario Human Rights Commission, </w:t>
      </w:r>
    </w:p>
    <w:p w:rsidR="000B203C" w:rsidRPr="008B7F0A" w:rsidRDefault="00937DE3" w:rsidP="00302394">
      <w:pPr>
        <w:pStyle w:val="SCCLsocParty"/>
        <w:rPr>
          <w:szCs w:val="24"/>
        </w:rPr>
      </w:pPr>
      <w:r w:rsidRPr="008B7F0A">
        <w:rPr>
          <w:szCs w:val="24"/>
        </w:rPr>
        <w:t>Saskatch</w:t>
      </w:r>
      <w:r w:rsidR="00DE174F" w:rsidRPr="008B7F0A">
        <w:rPr>
          <w:szCs w:val="24"/>
        </w:rPr>
        <w:t>ewan Human Rights Commission,</w:t>
      </w:r>
      <w:r w:rsidRPr="008B7F0A">
        <w:rPr>
          <w:szCs w:val="24"/>
        </w:rPr>
        <w:t xml:space="preserve"> Alberta </w:t>
      </w:r>
    </w:p>
    <w:p w:rsidR="000B203C" w:rsidRPr="008B7F0A" w:rsidRDefault="00937DE3" w:rsidP="00302394">
      <w:pPr>
        <w:pStyle w:val="SCCLsocParty"/>
        <w:rPr>
          <w:szCs w:val="24"/>
        </w:rPr>
      </w:pPr>
      <w:r w:rsidRPr="008B7F0A">
        <w:rPr>
          <w:szCs w:val="24"/>
        </w:rPr>
        <w:t>Human Rights Commission,</w:t>
      </w:r>
      <w:r w:rsidR="00302394" w:rsidRPr="008B7F0A">
        <w:rPr>
          <w:szCs w:val="24"/>
        </w:rPr>
        <w:t xml:space="preserve"> </w:t>
      </w:r>
      <w:r w:rsidRPr="008B7F0A">
        <w:rPr>
          <w:szCs w:val="24"/>
        </w:rPr>
        <w:t xml:space="preserve">International Dyslexia </w:t>
      </w:r>
    </w:p>
    <w:p w:rsidR="000B203C" w:rsidRPr="008B7F0A" w:rsidRDefault="00937DE3" w:rsidP="00302394">
      <w:pPr>
        <w:pStyle w:val="SCCLsocParty"/>
        <w:rPr>
          <w:szCs w:val="24"/>
        </w:rPr>
      </w:pPr>
      <w:r w:rsidRPr="008B7F0A">
        <w:rPr>
          <w:szCs w:val="24"/>
        </w:rPr>
        <w:t>Association, Ontario Branch,</w:t>
      </w:r>
      <w:r w:rsidR="00302394" w:rsidRPr="008B7F0A">
        <w:rPr>
          <w:szCs w:val="24"/>
        </w:rPr>
        <w:t xml:space="preserve"> </w:t>
      </w:r>
      <w:r w:rsidRPr="008B7F0A">
        <w:rPr>
          <w:szCs w:val="24"/>
        </w:rPr>
        <w:t xml:space="preserve">Canadian Human Rights </w:t>
      </w:r>
    </w:p>
    <w:p w:rsidR="000B203C" w:rsidRPr="008B7F0A" w:rsidRDefault="00937DE3" w:rsidP="00302394">
      <w:pPr>
        <w:pStyle w:val="SCCLsocParty"/>
        <w:rPr>
          <w:szCs w:val="24"/>
        </w:rPr>
      </w:pPr>
      <w:r w:rsidRPr="008B7F0A">
        <w:rPr>
          <w:szCs w:val="24"/>
        </w:rPr>
        <w:t>Commission,</w:t>
      </w:r>
      <w:r w:rsidR="00302394" w:rsidRPr="008B7F0A">
        <w:rPr>
          <w:szCs w:val="24"/>
        </w:rPr>
        <w:t xml:space="preserve"> </w:t>
      </w:r>
      <w:r w:rsidRPr="008B7F0A">
        <w:rPr>
          <w:szCs w:val="24"/>
        </w:rPr>
        <w:t>Learning Disabilities Association of Canada,</w:t>
      </w:r>
      <w:r w:rsidR="00302394" w:rsidRPr="008B7F0A">
        <w:rPr>
          <w:szCs w:val="24"/>
        </w:rPr>
        <w:t xml:space="preserve"> </w:t>
      </w:r>
    </w:p>
    <w:p w:rsidR="000B203C" w:rsidRPr="008B7F0A" w:rsidRDefault="00937DE3" w:rsidP="00302394">
      <w:pPr>
        <w:pStyle w:val="SCCLsocParty"/>
        <w:rPr>
          <w:szCs w:val="24"/>
        </w:rPr>
      </w:pPr>
      <w:r w:rsidRPr="008B7F0A">
        <w:rPr>
          <w:szCs w:val="24"/>
        </w:rPr>
        <w:t>Canadian Constitution Foundation,</w:t>
      </w:r>
      <w:r w:rsidR="00302394" w:rsidRPr="008B7F0A">
        <w:rPr>
          <w:szCs w:val="24"/>
        </w:rPr>
        <w:t xml:space="preserve"> </w:t>
      </w:r>
      <w:r w:rsidRPr="008B7F0A">
        <w:rPr>
          <w:szCs w:val="24"/>
        </w:rPr>
        <w:t>Man</w:t>
      </w:r>
      <w:r w:rsidR="00DE174F" w:rsidRPr="008B7F0A">
        <w:rPr>
          <w:szCs w:val="24"/>
        </w:rPr>
        <w:t>it</w:t>
      </w:r>
      <w:r w:rsidRPr="008B7F0A">
        <w:rPr>
          <w:szCs w:val="24"/>
        </w:rPr>
        <w:t xml:space="preserve">oba Human Rights </w:t>
      </w:r>
    </w:p>
    <w:p w:rsidR="000B203C" w:rsidRPr="008B7F0A" w:rsidRDefault="00937DE3" w:rsidP="00302394">
      <w:pPr>
        <w:pStyle w:val="SCCLsocParty"/>
        <w:rPr>
          <w:szCs w:val="24"/>
        </w:rPr>
      </w:pPr>
      <w:r w:rsidRPr="008B7F0A">
        <w:rPr>
          <w:szCs w:val="24"/>
        </w:rPr>
        <w:t>Commission,</w:t>
      </w:r>
      <w:r w:rsidR="00302394" w:rsidRPr="008B7F0A">
        <w:rPr>
          <w:szCs w:val="24"/>
        </w:rPr>
        <w:t xml:space="preserve"> </w:t>
      </w:r>
      <w:r w:rsidR="0075177D" w:rsidRPr="008B7F0A">
        <w:rPr>
          <w:szCs w:val="24"/>
        </w:rPr>
        <w:t>West Coast Women</w:t>
      </w:r>
      <w:r w:rsidR="00A5247D" w:rsidRPr="008B7F0A">
        <w:rPr>
          <w:szCs w:val="24"/>
        </w:rPr>
        <w:t>’</w:t>
      </w:r>
      <w:r w:rsidRPr="008B7F0A">
        <w:rPr>
          <w:szCs w:val="24"/>
        </w:rPr>
        <w:t xml:space="preserve">s Legal Education and </w:t>
      </w:r>
    </w:p>
    <w:p w:rsidR="000B203C" w:rsidRPr="008B7F0A" w:rsidRDefault="00937DE3" w:rsidP="00302394">
      <w:pPr>
        <w:pStyle w:val="SCCLsocParty"/>
        <w:rPr>
          <w:szCs w:val="24"/>
          <w:lang w:val="en-US"/>
        </w:rPr>
      </w:pPr>
      <w:r w:rsidRPr="008B7F0A">
        <w:rPr>
          <w:szCs w:val="24"/>
        </w:rPr>
        <w:t>Action Fund,</w:t>
      </w:r>
      <w:r w:rsidR="00302394" w:rsidRPr="008B7F0A">
        <w:rPr>
          <w:szCs w:val="24"/>
        </w:rPr>
        <w:t xml:space="preserve"> </w:t>
      </w:r>
      <w:r w:rsidRPr="008B7F0A">
        <w:rPr>
          <w:szCs w:val="24"/>
        </w:rPr>
        <w:t xml:space="preserve">Canadian Association for </w:t>
      </w:r>
      <w:r w:rsidRPr="008B7F0A">
        <w:rPr>
          <w:szCs w:val="24"/>
          <w:lang w:val="en-US"/>
        </w:rPr>
        <w:t>Community Living,</w:t>
      </w:r>
      <w:r w:rsidR="00302394" w:rsidRPr="008B7F0A">
        <w:rPr>
          <w:szCs w:val="24"/>
          <w:lang w:val="en-US"/>
        </w:rPr>
        <w:t xml:space="preserve"> </w:t>
      </w:r>
    </w:p>
    <w:p w:rsidR="000B203C" w:rsidRPr="008B7F0A" w:rsidRDefault="00937DE3" w:rsidP="00302394">
      <w:pPr>
        <w:pStyle w:val="SCCLsocParty"/>
        <w:rPr>
          <w:szCs w:val="24"/>
          <w:lang w:val="fr-CA"/>
        </w:rPr>
      </w:pPr>
      <w:r w:rsidRPr="008B7F0A">
        <w:rPr>
          <w:szCs w:val="24"/>
          <w:lang w:val="fr-CA"/>
        </w:rPr>
        <w:t xml:space="preserve">Commission des droits de la personne et des droits de la </w:t>
      </w:r>
    </w:p>
    <w:p w:rsidR="000B203C" w:rsidRPr="008B7F0A" w:rsidRDefault="00937DE3" w:rsidP="00302394">
      <w:pPr>
        <w:pStyle w:val="SCCLsocParty"/>
        <w:rPr>
          <w:szCs w:val="24"/>
        </w:rPr>
      </w:pPr>
      <w:proofErr w:type="gramStart"/>
      <w:r w:rsidRPr="008B7F0A">
        <w:rPr>
          <w:szCs w:val="24"/>
          <w:lang w:val="en-US"/>
        </w:rPr>
        <w:t>jeunesse</w:t>
      </w:r>
      <w:proofErr w:type="gramEnd"/>
      <w:r w:rsidRPr="008B7F0A">
        <w:rPr>
          <w:szCs w:val="24"/>
          <w:lang w:val="en-US"/>
        </w:rPr>
        <w:t>,</w:t>
      </w:r>
      <w:r w:rsidR="00302394" w:rsidRPr="008B7F0A">
        <w:rPr>
          <w:szCs w:val="24"/>
          <w:lang w:val="en-US"/>
        </w:rPr>
        <w:t xml:space="preserve"> </w:t>
      </w:r>
      <w:r w:rsidRPr="008B7F0A">
        <w:rPr>
          <w:szCs w:val="24"/>
          <w:lang w:val="en-US"/>
        </w:rPr>
        <w:t xml:space="preserve">British Columbia Human Rights </w:t>
      </w:r>
      <w:r w:rsidR="005E4951" w:rsidRPr="008B7F0A">
        <w:rPr>
          <w:szCs w:val="24"/>
        </w:rPr>
        <w:t>Tribunal and</w:t>
      </w:r>
      <w:r w:rsidR="00302394" w:rsidRPr="008B7F0A">
        <w:rPr>
          <w:szCs w:val="24"/>
        </w:rPr>
        <w:t xml:space="preserve"> </w:t>
      </w:r>
    </w:p>
    <w:p w:rsidR="00F74038" w:rsidRPr="008B7F0A" w:rsidRDefault="00937DE3" w:rsidP="00354F4A">
      <w:pPr>
        <w:pStyle w:val="SCCLsocParty"/>
        <w:spacing w:after="720"/>
        <w:rPr>
          <w:szCs w:val="24"/>
        </w:rPr>
      </w:pPr>
      <w:r w:rsidRPr="008B7F0A">
        <w:rPr>
          <w:szCs w:val="24"/>
        </w:rPr>
        <w:t>First Nations Child and Family Caring Society of Canada</w:t>
      </w:r>
      <w:r w:rsidRPr="008B7F0A">
        <w:rPr>
          <w:rStyle w:val="SCCLsocPartyRole"/>
          <w:szCs w:val="24"/>
        </w:rPr>
        <w:tab/>
        <w:t>Interveners</w:t>
      </w:r>
    </w:p>
    <w:p w:rsidR="00426659" w:rsidRPr="008B7F0A" w:rsidRDefault="00426659" w:rsidP="00354F4A">
      <w:pPr>
        <w:spacing w:after="720"/>
        <w:jc w:val="both"/>
        <w:rPr>
          <w:b/>
          <w:szCs w:val="24"/>
        </w:rPr>
      </w:pPr>
      <w:r w:rsidRPr="008B7F0A">
        <w:rPr>
          <w:b/>
          <w:szCs w:val="24"/>
        </w:rPr>
        <w:t xml:space="preserve">Indexed as:  Moore </w:t>
      </w:r>
      <w:r w:rsidRPr="008B7F0A">
        <w:rPr>
          <w:b/>
          <w:i/>
          <w:szCs w:val="24"/>
        </w:rPr>
        <w:t>v.</w:t>
      </w:r>
      <w:r w:rsidRPr="008B7F0A">
        <w:rPr>
          <w:b/>
          <w:szCs w:val="24"/>
        </w:rPr>
        <w:t xml:space="preserve"> </w:t>
      </w:r>
      <w:r w:rsidR="00583590" w:rsidRPr="008B7F0A">
        <w:rPr>
          <w:b/>
          <w:szCs w:val="24"/>
        </w:rPr>
        <w:t>British Columbia (Education)</w:t>
      </w:r>
    </w:p>
    <w:p w:rsidR="00426659" w:rsidRPr="008B7F0A" w:rsidRDefault="004F36FF" w:rsidP="00354F4A">
      <w:pPr>
        <w:pStyle w:val="SCCSystemYear"/>
        <w:spacing w:after="720"/>
        <w:jc w:val="both"/>
        <w:rPr>
          <w:szCs w:val="24"/>
        </w:rPr>
      </w:pPr>
      <w:r w:rsidRPr="008B7F0A">
        <w:rPr>
          <w:szCs w:val="24"/>
        </w:rPr>
        <w:t>2012</w:t>
      </w:r>
      <w:r w:rsidR="003D0399" w:rsidRPr="008B7F0A">
        <w:rPr>
          <w:szCs w:val="24"/>
        </w:rPr>
        <w:t xml:space="preserve"> </w:t>
      </w:r>
      <w:r w:rsidR="00426659" w:rsidRPr="008B7F0A">
        <w:rPr>
          <w:szCs w:val="24"/>
        </w:rPr>
        <w:t>SCC </w:t>
      </w:r>
      <w:r w:rsidR="001028ED" w:rsidRPr="008B7F0A">
        <w:rPr>
          <w:szCs w:val="24"/>
        </w:rPr>
        <w:t>61</w:t>
      </w:r>
    </w:p>
    <w:p w:rsidR="008322BD" w:rsidRPr="008B7F0A" w:rsidRDefault="009B57B3" w:rsidP="00354F4A">
      <w:pPr>
        <w:spacing w:after="720"/>
        <w:jc w:val="both"/>
        <w:rPr>
          <w:szCs w:val="24"/>
        </w:rPr>
      </w:pPr>
      <w:r w:rsidRPr="008B7F0A">
        <w:rPr>
          <w:szCs w:val="24"/>
        </w:rPr>
        <w:t>File No</w:t>
      </w:r>
      <w:r w:rsidR="00AD3664" w:rsidRPr="008B7F0A">
        <w:rPr>
          <w:szCs w:val="24"/>
        </w:rPr>
        <w:t>s</w:t>
      </w:r>
      <w:r w:rsidRPr="008B7F0A">
        <w:rPr>
          <w:szCs w:val="24"/>
        </w:rPr>
        <w:t>.:  34040</w:t>
      </w:r>
      <w:r w:rsidR="00AD3664" w:rsidRPr="008B7F0A">
        <w:rPr>
          <w:szCs w:val="24"/>
        </w:rPr>
        <w:t>, 34041</w:t>
      </w:r>
      <w:r w:rsidRPr="008B7F0A">
        <w:rPr>
          <w:szCs w:val="24"/>
        </w:rPr>
        <w:t>.</w:t>
      </w:r>
    </w:p>
    <w:p w:rsidR="008322BD" w:rsidRPr="008B7F0A" w:rsidRDefault="002D0AE8" w:rsidP="00354F4A">
      <w:pPr>
        <w:spacing w:after="720"/>
        <w:jc w:val="both"/>
        <w:rPr>
          <w:szCs w:val="24"/>
        </w:rPr>
      </w:pPr>
      <w:r w:rsidRPr="008B7F0A">
        <w:rPr>
          <w:szCs w:val="24"/>
        </w:rPr>
        <w:lastRenderedPageBreak/>
        <w:t>2012:  March </w:t>
      </w:r>
      <w:r w:rsidR="004F36FF" w:rsidRPr="008B7F0A">
        <w:rPr>
          <w:szCs w:val="24"/>
        </w:rPr>
        <w:t>22</w:t>
      </w:r>
      <w:r w:rsidR="009B57B3" w:rsidRPr="008B7F0A">
        <w:rPr>
          <w:szCs w:val="24"/>
        </w:rPr>
        <w:t xml:space="preserve">; </w:t>
      </w:r>
      <w:r w:rsidR="000B4633" w:rsidRPr="008B7F0A">
        <w:rPr>
          <w:szCs w:val="24"/>
        </w:rPr>
        <w:t>2012:  November </w:t>
      </w:r>
      <w:r w:rsidR="00D36771" w:rsidRPr="008B7F0A">
        <w:rPr>
          <w:szCs w:val="24"/>
        </w:rPr>
        <w:t>9</w:t>
      </w:r>
      <w:r w:rsidR="009B57B3" w:rsidRPr="008B7F0A">
        <w:rPr>
          <w:szCs w:val="24"/>
        </w:rPr>
        <w:t>.</w:t>
      </w:r>
    </w:p>
    <w:p w:rsidR="008322BD" w:rsidRPr="008B7F0A" w:rsidRDefault="009B57B3" w:rsidP="00354F4A">
      <w:pPr>
        <w:spacing w:after="720"/>
        <w:jc w:val="both"/>
        <w:rPr>
          <w:szCs w:val="24"/>
        </w:rPr>
      </w:pPr>
      <w:r w:rsidRPr="008B7F0A">
        <w:rPr>
          <w:szCs w:val="24"/>
        </w:rPr>
        <w:t>Present:  McLachlin C.J. and LeBel, Deschamps, Fish, Abella, Rothstein, Cromwell, Moldaver and Karakatsanis JJ.</w:t>
      </w:r>
    </w:p>
    <w:p w:rsidR="008322BD" w:rsidRPr="008B7F0A" w:rsidRDefault="00656313" w:rsidP="00354F4A">
      <w:pPr>
        <w:pStyle w:val="SCCLowerCourtNameLowercase"/>
        <w:spacing w:after="720" w:line="240" w:lineRule="auto"/>
        <w:rPr>
          <w:szCs w:val="24"/>
        </w:rPr>
      </w:pPr>
      <w:r w:rsidRPr="008B7F0A">
        <w:rPr>
          <w:szCs w:val="24"/>
        </w:rPr>
        <w:t>o</w:t>
      </w:r>
      <w:r w:rsidR="00170592" w:rsidRPr="008B7F0A">
        <w:rPr>
          <w:szCs w:val="24"/>
        </w:rPr>
        <w:t>n</w:t>
      </w:r>
      <w:r w:rsidR="00224FC0" w:rsidRPr="008B7F0A">
        <w:rPr>
          <w:szCs w:val="24"/>
        </w:rPr>
        <w:t xml:space="preserve"> </w:t>
      </w:r>
      <w:r w:rsidRPr="008B7F0A">
        <w:rPr>
          <w:szCs w:val="24"/>
        </w:rPr>
        <w:t>a</w:t>
      </w:r>
      <w:r w:rsidR="00170592" w:rsidRPr="008B7F0A">
        <w:rPr>
          <w:szCs w:val="24"/>
        </w:rPr>
        <w:t>ppeal</w:t>
      </w:r>
      <w:r w:rsidR="00224FC0" w:rsidRPr="008B7F0A">
        <w:rPr>
          <w:szCs w:val="24"/>
        </w:rPr>
        <w:t xml:space="preserve"> </w:t>
      </w:r>
      <w:r w:rsidR="00170592" w:rsidRPr="008B7F0A">
        <w:rPr>
          <w:szCs w:val="24"/>
        </w:rPr>
        <w:t>from</w:t>
      </w:r>
      <w:r w:rsidR="009567AA" w:rsidRPr="008B7F0A">
        <w:rPr>
          <w:szCs w:val="24"/>
        </w:rPr>
        <w:t xml:space="preserve"> the</w:t>
      </w:r>
      <w:r w:rsidR="00224FC0" w:rsidRPr="008B7F0A">
        <w:rPr>
          <w:szCs w:val="24"/>
        </w:rPr>
        <w:t xml:space="preserve"> </w:t>
      </w:r>
      <w:r w:rsidR="009B57B3" w:rsidRPr="008B7F0A">
        <w:rPr>
          <w:szCs w:val="24"/>
        </w:rPr>
        <w:t xml:space="preserve">court of appeal for </w:t>
      </w:r>
      <w:proofErr w:type="gramStart"/>
      <w:r w:rsidR="009B57B3" w:rsidRPr="008B7F0A">
        <w:rPr>
          <w:szCs w:val="24"/>
        </w:rPr>
        <w:t>british columbia</w:t>
      </w:r>
      <w:proofErr w:type="gramEnd"/>
    </w:p>
    <w:p w:rsidR="00FC6028" w:rsidRPr="008B7F0A" w:rsidRDefault="00654710" w:rsidP="00654710">
      <w:pPr>
        <w:pStyle w:val="SCCNormalDoubleSpacing"/>
        <w:spacing w:after="480"/>
        <w:rPr>
          <w:i/>
          <w:szCs w:val="24"/>
        </w:rPr>
      </w:pPr>
      <w:r w:rsidRPr="008B7F0A">
        <w:rPr>
          <w:i/>
          <w:szCs w:val="24"/>
        </w:rPr>
        <w:tab/>
      </w:r>
      <w:r w:rsidR="00FC6028" w:rsidRPr="008B7F0A">
        <w:rPr>
          <w:i/>
          <w:szCs w:val="24"/>
        </w:rPr>
        <w:t>Human rights — Discrimination — Prohibited grounds — Mental or physical disability — Education — Student with dyslexia attending public school — School district cancelling special education program requiring student to enrol in specialized private school — Whether school district discriminating against student by failing to provide necessary remediation —</w:t>
      </w:r>
      <w:r w:rsidR="00F05CFC" w:rsidRPr="008B7F0A">
        <w:rPr>
          <w:i/>
          <w:szCs w:val="24"/>
        </w:rPr>
        <w:t xml:space="preserve"> </w:t>
      </w:r>
      <w:r w:rsidR="00FC6028" w:rsidRPr="008B7F0A">
        <w:rPr>
          <w:i/>
          <w:szCs w:val="24"/>
        </w:rPr>
        <w:t xml:space="preserve">Human Rights </w:t>
      </w:r>
      <w:r w:rsidR="00F05CFC" w:rsidRPr="008B7F0A">
        <w:rPr>
          <w:i/>
          <w:szCs w:val="24"/>
        </w:rPr>
        <w:t>Code, R.S.B.C. 1996, c. </w:t>
      </w:r>
      <w:r w:rsidRPr="008B7F0A">
        <w:rPr>
          <w:i/>
          <w:szCs w:val="24"/>
        </w:rPr>
        <w:t>210, s. </w:t>
      </w:r>
      <w:r w:rsidR="00FC6028" w:rsidRPr="008B7F0A">
        <w:rPr>
          <w:i/>
          <w:szCs w:val="24"/>
        </w:rPr>
        <w:t>8.</w:t>
      </w:r>
    </w:p>
    <w:p w:rsidR="00FC6028" w:rsidRPr="008B7F0A" w:rsidRDefault="00654710" w:rsidP="00654710">
      <w:pPr>
        <w:pStyle w:val="SCCNormalDoubleSpacing"/>
        <w:spacing w:after="480"/>
        <w:rPr>
          <w:i/>
          <w:szCs w:val="24"/>
        </w:rPr>
      </w:pPr>
      <w:r w:rsidRPr="008B7F0A">
        <w:rPr>
          <w:i/>
          <w:szCs w:val="24"/>
        </w:rPr>
        <w:tab/>
      </w:r>
      <w:r w:rsidR="00FC6028" w:rsidRPr="008B7F0A">
        <w:rPr>
          <w:i/>
          <w:szCs w:val="24"/>
        </w:rPr>
        <w:t xml:space="preserve">Education law — School regulation and administration — Curriculum and education programs — Obligations of school authorities — </w:t>
      </w:r>
      <w:proofErr w:type="gramStart"/>
      <w:r w:rsidR="00FC6028" w:rsidRPr="008B7F0A">
        <w:rPr>
          <w:i/>
          <w:szCs w:val="24"/>
        </w:rPr>
        <w:t>What</w:t>
      </w:r>
      <w:proofErr w:type="gramEnd"/>
      <w:r w:rsidR="00FC6028" w:rsidRPr="008B7F0A">
        <w:rPr>
          <w:i/>
          <w:szCs w:val="24"/>
        </w:rPr>
        <w:t xml:space="preserve"> constitutes meaningful access to education for students with learning disabilitie</w:t>
      </w:r>
      <w:r w:rsidRPr="008B7F0A">
        <w:rPr>
          <w:i/>
          <w:szCs w:val="24"/>
        </w:rPr>
        <w:t>s — School Act, S.B.C. 1989, c. </w:t>
      </w:r>
      <w:r w:rsidR="00FC6028" w:rsidRPr="008B7F0A">
        <w:rPr>
          <w:i/>
          <w:szCs w:val="24"/>
        </w:rPr>
        <w:t>61.</w:t>
      </w:r>
    </w:p>
    <w:p w:rsidR="00FC6028" w:rsidRPr="008B7F0A" w:rsidRDefault="00654710" w:rsidP="00654710">
      <w:pPr>
        <w:pStyle w:val="SCCNormalDoubleSpacing"/>
        <w:spacing w:after="480"/>
        <w:rPr>
          <w:szCs w:val="24"/>
        </w:rPr>
      </w:pPr>
      <w:r w:rsidRPr="008B7F0A">
        <w:rPr>
          <w:szCs w:val="24"/>
        </w:rPr>
        <w:tab/>
      </w:r>
      <w:r w:rsidR="00FC6028" w:rsidRPr="008B7F0A">
        <w:rPr>
          <w:szCs w:val="24"/>
        </w:rPr>
        <w:t>J suffered from severe dyslexia for which he received special education at his public school.  In Grade 2, a psych</w:t>
      </w:r>
      <w:r w:rsidR="006E00F0">
        <w:rPr>
          <w:szCs w:val="24"/>
        </w:rPr>
        <w:t>ologist employed by the school d</w:t>
      </w:r>
      <w:r w:rsidR="00FC6028" w:rsidRPr="008B7F0A">
        <w:rPr>
          <w:szCs w:val="24"/>
        </w:rPr>
        <w:t>istrict recommended that since he could not get the remedial help he needed at his school, he should attend the local Diagnostic Centre to receive the necessary remediation</w:t>
      </w:r>
      <w:r w:rsidR="0024354C" w:rsidRPr="008B7F0A">
        <w:rPr>
          <w:szCs w:val="24"/>
        </w:rPr>
        <w:t xml:space="preserve">.  </w:t>
      </w:r>
      <w:r w:rsidR="00FC6028" w:rsidRPr="008B7F0A">
        <w:rPr>
          <w:szCs w:val="24"/>
        </w:rPr>
        <w:t>When the Diagnostic C</w:t>
      </w:r>
      <w:r w:rsidR="006E00F0">
        <w:rPr>
          <w:szCs w:val="24"/>
        </w:rPr>
        <w:t>entre was closed by the school d</w:t>
      </w:r>
      <w:r w:rsidR="00FC6028" w:rsidRPr="008B7F0A">
        <w:rPr>
          <w:szCs w:val="24"/>
        </w:rPr>
        <w:t xml:space="preserve">istrict, J transferred to a </w:t>
      </w:r>
      <w:r w:rsidR="00FC6028" w:rsidRPr="008B7F0A">
        <w:rPr>
          <w:szCs w:val="24"/>
        </w:rPr>
        <w:lastRenderedPageBreak/>
        <w:t>private school to get the instruction he needed</w:t>
      </w:r>
      <w:r w:rsidR="0024354C" w:rsidRPr="008B7F0A">
        <w:rPr>
          <w:szCs w:val="24"/>
        </w:rPr>
        <w:t xml:space="preserve">.  </w:t>
      </w:r>
      <w:r w:rsidR="00FC6028" w:rsidRPr="008B7F0A">
        <w:rPr>
          <w:szCs w:val="24"/>
        </w:rPr>
        <w:t>His father filed a complaint with the B.C. Human Rights Tribunal on</w:t>
      </w:r>
      <w:r w:rsidR="006E00F0">
        <w:rPr>
          <w:szCs w:val="24"/>
        </w:rPr>
        <w:t xml:space="preserve"> J’s behalf against the school d</w:t>
      </w:r>
      <w:r w:rsidR="00FC6028" w:rsidRPr="008B7F0A">
        <w:rPr>
          <w:szCs w:val="24"/>
        </w:rPr>
        <w:t xml:space="preserve">istrict and the Province on the grounds that J had been denied a “service </w:t>
      </w:r>
      <w:r w:rsidR="002D2F5B" w:rsidRPr="008B7F0A">
        <w:rPr>
          <w:szCs w:val="24"/>
        </w:rPr>
        <w:t>. . .</w:t>
      </w:r>
      <w:r w:rsidR="004B356D" w:rsidRPr="008B7F0A">
        <w:rPr>
          <w:szCs w:val="24"/>
        </w:rPr>
        <w:t xml:space="preserve"> </w:t>
      </w:r>
      <w:r w:rsidR="00FC6028" w:rsidRPr="008B7F0A">
        <w:rPr>
          <w:szCs w:val="24"/>
        </w:rPr>
        <w:t>customarily av</w:t>
      </w:r>
      <w:r w:rsidR="0024354C" w:rsidRPr="008B7F0A">
        <w:rPr>
          <w:szCs w:val="24"/>
        </w:rPr>
        <w:t>ailable to the public” under s. </w:t>
      </w:r>
      <w:r w:rsidR="00FC6028" w:rsidRPr="008B7F0A">
        <w:rPr>
          <w:szCs w:val="24"/>
        </w:rPr>
        <w:t xml:space="preserve">8 of the B.C. </w:t>
      </w:r>
      <w:r w:rsidR="00FC6028" w:rsidRPr="008B7F0A">
        <w:rPr>
          <w:i/>
          <w:szCs w:val="24"/>
        </w:rPr>
        <w:t>Human Rights Code</w:t>
      </w:r>
      <w:r w:rsidR="0024354C" w:rsidRPr="008B7F0A">
        <w:rPr>
          <w:szCs w:val="24"/>
        </w:rPr>
        <w:t xml:space="preserve">.  </w:t>
      </w:r>
      <w:r w:rsidR="00FC6028" w:rsidRPr="008B7F0A">
        <w:rPr>
          <w:szCs w:val="24"/>
        </w:rPr>
        <w:t>The Tribunal concluded that there was discrimination against J by the District and the Province and ordered a wide range of sweeping systemic remedies against both</w:t>
      </w:r>
      <w:r w:rsidR="0024354C" w:rsidRPr="008B7F0A">
        <w:rPr>
          <w:szCs w:val="24"/>
        </w:rPr>
        <w:t xml:space="preserve">.  </w:t>
      </w:r>
      <w:r w:rsidR="00FC6028" w:rsidRPr="008B7F0A">
        <w:rPr>
          <w:szCs w:val="24"/>
        </w:rPr>
        <w:t>It also ordered that the family be reimbursed for the tuition costs of J’s private school</w:t>
      </w:r>
      <w:r w:rsidR="0024354C" w:rsidRPr="008B7F0A">
        <w:rPr>
          <w:szCs w:val="24"/>
        </w:rPr>
        <w:t xml:space="preserve">.  </w:t>
      </w:r>
      <w:r w:rsidR="00FC6028" w:rsidRPr="008B7F0A">
        <w:rPr>
          <w:szCs w:val="24"/>
        </w:rPr>
        <w:t>The reviewing judge set aside the Tribunal’s decision, finding that there was no discrimination</w:t>
      </w:r>
      <w:r w:rsidR="0024354C" w:rsidRPr="008B7F0A">
        <w:rPr>
          <w:szCs w:val="24"/>
        </w:rPr>
        <w:t xml:space="preserve">.  </w:t>
      </w:r>
      <w:r w:rsidR="00FC6028" w:rsidRPr="008B7F0A">
        <w:rPr>
          <w:szCs w:val="24"/>
        </w:rPr>
        <w:t>A majority of the Court of Appeal dismissed the appe</w:t>
      </w:r>
      <w:r w:rsidRPr="008B7F0A">
        <w:rPr>
          <w:szCs w:val="24"/>
        </w:rPr>
        <w:t>al. </w:t>
      </w:r>
    </w:p>
    <w:p w:rsidR="00FC6028" w:rsidRPr="008B7F0A" w:rsidRDefault="00FC6028" w:rsidP="00FC6028">
      <w:pPr>
        <w:pStyle w:val="SCCNormalDoubleSpacing"/>
        <w:spacing w:after="480"/>
        <w:rPr>
          <w:b/>
          <w:szCs w:val="24"/>
        </w:rPr>
      </w:pPr>
      <w:r w:rsidRPr="008B7F0A">
        <w:rPr>
          <w:szCs w:val="24"/>
        </w:rPr>
        <w:tab/>
      </w:r>
      <w:r w:rsidRPr="008B7F0A">
        <w:rPr>
          <w:i/>
          <w:szCs w:val="24"/>
        </w:rPr>
        <w:t>Held</w:t>
      </w:r>
      <w:r w:rsidRPr="008B7F0A">
        <w:rPr>
          <w:szCs w:val="24"/>
        </w:rPr>
        <w:t>:  The appeal is substantially allowed.</w:t>
      </w:r>
    </w:p>
    <w:p w:rsidR="00FC6028" w:rsidRPr="008B7F0A" w:rsidRDefault="00654710" w:rsidP="00654710">
      <w:pPr>
        <w:pStyle w:val="SCCNormalDoubleSpacing"/>
        <w:spacing w:after="480"/>
        <w:rPr>
          <w:szCs w:val="24"/>
        </w:rPr>
      </w:pPr>
      <w:r w:rsidRPr="008B7F0A">
        <w:rPr>
          <w:szCs w:val="24"/>
        </w:rPr>
        <w:tab/>
      </w:r>
      <w:r w:rsidR="00FC6028" w:rsidRPr="008B7F0A">
        <w:rPr>
          <w:szCs w:val="24"/>
        </w:rPr>
        <w:t xml:space="preserve">The purpose of the </w:t>
      </w:r>
      <w:r w:rsidR="00FC6028" w:rsidRPr="008B7F0A">
        <w:rPr>
          <w:i/>
          <w:szCs w:val="24"/>
        </w:rPr>
        <w:t>School Act</w:t>
      </w:r>
      <w:r w:rsidR="00FC6028" w:rsidRPr="008B7F0A">
        <w:rPr>
          <w:szCs w:val="24"/>
        </w:rPr>
        <w:t xml:space="preserve"> in British Columbia is to ensure that “all </w:t>
      </w:r>
      <w:proofErr w:type="gramStart"/>
      <w:r w:rsidR="00FC6028" w:rsidRPr="008B7F0A">
        <w:rPr>
          <w:szCs w:val="24"/>
        </w:rPr>
        <w:t>learners</w:t>
      </w:r>
      <w:r w:rsidR="002D2F5B" w:rsidRPr="008B7F0A">
        <w:rPr>
          <w:szCs w:val="24"/>
        </w:rPr>
        <w:t xml:space="preserve"> </w:t>
      </w:r>
      <w:r w:rsidRPr="008B7F0A">
        <w:rPr>
          <w:szCs w:val="24"/>
        </w:rPr>
        <w:t>.</w:t>
      </w:r>
      <w:proofErr w:type="gramEnd"/>
      <w:r w:rsidRPr="008B7F0A">
        <w:rPr>
          <w:szCs w:val="24"/>
        </w:rPr>
        <w:t> . .</w:t>
      </w:r>
      <w:r w:rsidR="00FC6028" w:rsidRPr="008B7F0A">
        <w:rPr>
          <w:szCs w:val="24"/>
        </w:rPr>
        <w:t xml:space="preserve"> develop their individual potential and</w:t>
      </w:r>
      <w:r w:rsidR="002D2F5B" w:rsidRPr="008B7F0A">
        <w:rPr>
          <w:szCs w:val="24"/>
        </w:rPr>
        <w:t xml:space="preserve"> </w:t>
      </w:r>
      <w:r w:rsidRPr="008B7F0A">
        <w:rPr>
          <w:szCs w:val="24"/>
        </w:rPr>
        <w:t>. . .</w:t>
      </w:r>
      <w:r w:rsidR="00FC6028" w:rsidRPr="008B7F0A">
        <w:rPr>
          <w:szCs w:val="24"/>
        </w:rPr>
        <w:t xml:space="preserve"> acquire the knowledge, skills and attitudes needed to contribute to a healthy, democratic and pluralistic society and a prosperous </w:t>
      </w:r>
      <w:r w:rsidR="006E00F0">
        <w:rPr>
          <w:szCs w:val="24"/>
        </w:rPr>
        <w:t>and sustainable economy</w:t>
      </w:r>
      <w:r w:rsidR="00FC6028" w:rsidRPr="008B7F0A">
        <w:rPr>
          <w:szCs w:val="24"/>
        </w:rPr>
        <w:t>”</w:t>
      </w:r>
      <w:r w:rsidR="006E00F0">
        <w:rPr>
          <w:szCs w:val="24"/>
        </w:rPr>
        <w:t>.</w:t>
      </w:r>
      <w:r w:rsidR="00FC6028" w:rsidRPr="008B7F0A">
        <w:rPr>
          <w:szCs w:val="24"/>
        </w:rPr>
        <w:t xml:space="preserve">  This is an acknowledgment by the government that the reason children are entitled to an education is that a healthy democracy and economy require their educated contribution.  Adequate special education, therefore, is not a dispensable luxury.  For those with severe learning disabilities, it is the ramp that provides access to the statutory commitment to education made to </w:t>
      </w:r>
      <w:r w:rsidR="00FC6028" w:rsidRPr="008B7F0A">
        <w:rPr>
          <w:i/>
          <w:szCs w:val="24"/>
        </w:rPr>
        <w:t>all</w:t>
      </w:r>
      <w:r w:rsidR="00FC6028" w:rsidRPr="008B7F0A">
        <w:rPr>
          <w:szCs w:val="24"/>
        </w:rPr>
        <w:t xml:space="preserve"> children in British Columbia.</w:t>
      </w:r>
    </w:p>
    <w:p w:rsidR="00FC6028" w:rsidRPr="008B7F0A" w:rsidRDefault="00654710" w:rsidP="00654710">
      <w:pPr>
        <w:pStyle w:val="SCCNormalDoubleSpacing"/>
        <w:spacing w:after="480"/>
        <w:rPr>
          <w:szCs w:val="24"/>
        </w:rPr>
      </w:pPr>
      <w:r w:rsidRPr="008B7F0A">
        <w:rPr>
          <w:szCs w:val="24"/>
        </w:rPr>
        <w:tab/>
      </w:r>
      <w:r w:rsidR="00316C8B" w:rsidRPr="008B7F0A">
        <w:rPr>
          <w:szCs w:val="24"/>
        </w:rPr>
        <w:t xml:space="preserve">The </w:t>
      </w:r>
      <w:r w:rsidR="00FC6028" w:rsidRPr="008B7F0A">
        <w:rPr>
          <w:szCs w:val="24"/>
        </w:rPr>
        <w:t>“service”</w:t>
      </w:r>
      <w:r w:rsidR="00316C8B" w:rsidRPr="008B7F0A">
        <w:rPr>
          <w:szCs w:val="24"/>
        </w:rPr>
        <w:t xml:space="preserve"> </w:t>
      </w:r>
      <w:r w:rsidR="00FC6028" w:rsidRPr="008B7F0A">
        <w:rPr>
          <w:szCs w:val="24"/>
        </w:rPr>
        <w:t>to which J is entitled under s.</w:t>
      </w:r>
      <w:r w:rsidR="0024354C" w:rsidRPr="008B7F0A">
        <w:rPr>
          <w:szCs w:val="24"/>
        </w:rPr>
        <w:t> </w:t>
      </w:r>
      <w:r w:rsidR="00FC6028" w:rsidRPr="008B7F0A">
        <w:rPr>
          <w:szCs w:val="24"/>
        </w:rPr>
        <w:t>8 of the B.C.</w:t>
      </w:r>
      <w:r w:rsidR="00FC6028" w:rsidRPr="008B7F0A">
        <w:rPr>
          <w:i/>
          <w:szCs w:val="24"/>
        </w:rPr>
        <w:t xml:space="preserve"> Human Rights</w:t>
      </w:r>
      <w:r w:rsidR="00FC6028" w:rsidRPr="008B7F0A">
        <w:rPr>
          <w:szCs w:val="24"/>
        </w:rPr>
        <w:t xml:space="preserve"> </w:t>
      </w:r>
      <w:r w:rsidR="00FC6028" w:rsidRPr="008B7F0A">
        <w:rPr>
          <w:i/>
          <w:szCs w:val="24"/>
        </w:rPr>
        <w:t>Code</w:t>
      </w:r>
      <w:r w:rsidR="00FC6028" w:rsidRPr="008B7F0A">
        <w:rPr>
          <w:szCs w:val="24"/>
        </w:rPr>
        <w:t xml:space="preserve"> is education generally</w:t>
      </w:r>
      <w:r w:rsidR="0024354C" w:rsidRPr="008B7F0A">
        <w:rPr>
          <w:szCs w:val="24"/>
        </w:rPr>
        <w:t xml:space="preserve">.  </w:t>
      </w:r>
      <w:r w:rsidR="00FC6028" w:rsidRPr="008B7F0A">
        <w:rPr>
          <w:szCs w:val="24"/>
        </w:rPr>
        <w:t xml:space="preserve">To define special education as the service at issue risks </w:t>
      </w:r>
      <w:r w:rsidR="00FC6028" w:rsidRPr="008B7F0A">
        <w:rPr>
          <w:szCs w:val="24"/>
        </w:rPr>
        <w:lastRenderedPageBreak/>
        <w:t>descending into a kind of “separate but equal” approa</w:t>
      </w:r>
      <w:r w:rsidRPr="008B7F0A">
        <w:rPr>
          <w:szCs w:val="24"/>
        </w:rPr>
        <w:t>ch</w:t>
      </w:r>
      <w:r w:rsidR="0024354C" w:rsidRPr="008B7F0A">
        <w:rPr>
          <w:szCs w:val="24"/>
        </w:rPr>
        <w:t xml:space="preserve">. </w:t>
      </w:r>
      <w:r w:rsidR="00FC6028" w:rsidRPr="008B7F0A">
        <w:rPr>
          <w:szCs w:val="24"/>
        </w:rPr>
        <w:t xml:space="preserve"> Comparing J only with other special needs students would mean that the District could cut </w:t>
      </w:r>
      <w:r w:rsidR="00FC6028" w:rsidRPr="008B7F0A">
        <w:rPr>
          <w:i/>
          <w:szCs w:val="24"/>
        </w:rPr>
        <w:t>all</w:t>
      </w:r>
      <w:r w:rsidR="00FC6028" w:rsidRPr="008B7F0A">
        <w:rPr>
          <w:szCs w:val="24"/>
        </w:rPr>
        <w:t xml:space="preserve"> special needs programs and yet be immune from a claim of discrimination.  </w:t>
      </w:r>
      <w:r w:rsidR="00FC6028" w:rsidRPr="008B7F0A">
        <w:rPr>
          <w:szCs w:val="24"/>
          <w:lang w:val="en-US" w:bidi="en-US"/>
        </w:rPr>
        <w:t>If J is compared only to other</w:t>
      </w:r>
      <w:r w:rsidR="00FC6028" w:rsidRPr="008B7F0A">
        <w:rPr>
          <w:szCs w:val="24"/>
        </w:rPr>
        <w:t xml:space="preserve"> special needs students, full consideration can</w:t>
      </w:r>
      <w:r w:rsidR="00316C8B" w:rsidRPr="008B7F0A">
        <w:rPr>
          <w:szCs w:val="24"/>
        </w:rPr>
        <w:t>not be given to whether he had meaningful</w:t>
      </w:r>
      <w:r w:rsidR="00FC6028" w:rsidRPr="008B7F0A">
        <w:rPr>
          <w:szCs w:val="24"/>
        </w:rPr>
        <w:t xml:space="preserve"> acce</w:t>
      </w:r>
      <w:r w:rsidR="00316C8B" w:rsidRPr="008B7F0A">
        <w:rPr>
          <w:szCs w:val="24"/>
        </w:rPr>
        <w:t>ss to the education to which</w:t>
      </w:r>
      <w:r w:rsidR="00FC6028" w:rsidRPr="008B7F0A">
        <w:rPr>
          <w:szCs w:val="24"/>
        </w:rPr>
        <w:t xml:space="preserve"> </w:t>
      </w:r>
      <w:r w:rsidR="00FC6028" w:rsidRPr="008B7F0A">
        <w:rPr>
          <w:i/>
          <w:szCs w:val="24"/>
        </w:rPr>
        <w:t xml:space="preserve">all </w:t>
      </w:r>
      <w:r w:rsidR="00FC6028" w:rsidRPr="008B7F0A">
        <w:rPr>
          <w:szCs w:val="24"/>
        </w:rPr>
        <w:t xml:space="preserve">students in British Columbia </w:t>
      </w:r>
      <w:r w:rsidR="00316C8B" w:rsidRPr="008B7F0A">
        <w:rPr>
          <w:szCs w:val="24"/>
        </w:rPr>
        <w:t>are entitled</w:t>
      </w:r>
      <w:r w:rsidR="0024354C" w:rsidRPr="008B7F0A">
        <w:rPr>
          <w:szCs w:val="24"/>
        </w:rPr>
        <w:t xml:space="preserve">.  </w:t>
      </w:r>
      <w:proofErr w:type="gramStart"/>
      <w:r w:rsidR="00316C8B" w:rsidRPr="008B7F0A">
        <w:rPr>
          <w:szCs w:val="24"/>
        </w:rPr>
        <w:t xml:space="preserve">This </w:t>
      </w:r>
      <w:r w:rsidR="00FC6028" w:rsidRPr="008B7F0A">
        <w:rPr>
          <w:szCs w:val="24"/>
        </w:rPr>
        <w:t>risks</w:t>
      </w:r>
      <w:proofErr w:type="gramEnd"/>
      <w:r w:rsidR="00FC6028" w:rsidRPr="008B7F0A">
        <w:rPr>
          <w:szCs w:val="24"/>
        </w:rPr>
        <w:t xml:space="preserve"> perpetuating the very disadvantage and exclusion the </w:t>
      </w:r>
      <w:r w:rsidR="00FC6028" w:rsidRPr="008B7F0A">
        <w:rPr>
          <w:i/>
          <w:iCs/>
          <w:szCs w:val="24"/>
        </w:rPr>
        <w:t>Code</w:t>
      </w:r>
      <w:r w:rsidR="00316C8B" w:rsidRPr="008B7F0A">
        <w:rPr>
          <w:szCs w:val="24"/>
        </w:rPr>
        <w:t xml:space="preserve"> is intended to remedy</w:t>
      </w:r>
      <w:r w:rsidR="00FC6028" w:rsidRPr="008B7F0A">
        <w:rPr>
          <w:szCs w:val="24"/>
        </w:rPr>
        <w:t xml:space="preserve">. </w:t>
      </w:r>
    </w:p>
    <w:p w:rsidR="00FC6028" w:rsidRPr="008B7F0A" w:rsidRDefault="00654710" w:rsidP="00654710">
      <w:pPr>
        <w:pStyle w:val="SCCNormalDoubleSpacing"/>
        <w:spacing w:after="480"/>
        <w:rPr>
          <w:szCs w:val="24"/>
          <w:lang w:bidi="en-US"/>
        </w:rPr>
      </w:pPr>
      <w:r w:rsidRPr="008B7F0A">
        <w:rPr>
          <w:szCs w:val="24"/>
          <w:lang w:bidi="en-US"/>
        </w:rPr>
        <w:tab/>
      </w:r>
      <w:r w:rsidR="00FC6028" w:rsidRPr="008B7F0A">
        <w:rPr>
          <w:szCs w:val="24"/>
          <w:lang w:bidi="en-US"/>
        </w:rPr>
        <w:t xml:space="preserve">To </w:t>
      </w:r>
      <w:r w:rsidR="00FC6028" w:rsidRPr="008B7F0A">
        <w:rPr>
          <w:szCs w:val="24"/>
        </w:rPr>
        <w:t>demonstrate</w:t>
      </w:r>
      <w:r w:rsidR="00FC6028" w:rsidRPr="008B7F0A">
        <w:rPr>
          <w:szCs w:val="24"/>
          <w:lang w:bidi="en-US"/>
        </w:rPr>
        <w:t xml:space="preserve"> </w:t>
      </w:r>
      <w:r w:rsidR="00FC6028" w:rsidRPr="008B7F0A">
        <w:rPr>
          <w:i/>
          <w:szCs w:val="24"/>
          <w:lang w:bidi="en-US"/>
        </w:rPr>
        <w:t xml:space="preserve">prima facie </w:t>
      </w:r>
      <w:r w:rsidR="00FC6028" w:rsidRPr="008B7F0A">
        <w:rPr>
          <w:szCs w:val="24"/>
          <w:lang w:bidi="en-US"/>
        </w:rPr>
        <w:t>discrimination under s.</w:t>
      </w:r>
      <w:r w:rsidR="00E81D8D" w:rsidRPr="008B7F0A">
        <w:rPr>
          <w:szCs w:val="24"/>
          <w:lang w:bidi="en-US"/>
        </w:rPr>
        <w:t> </w:t>
      </w:r>
      <w:r w:rsidR="00FC6028" w:rsidRPr="008B7F0A">
        <w:rPr>
          <w:szCs w:val="24"/>
          <w:lang w:bidi="en-US"/>
        </w:rPr>
        <w:t>8, complainants must show that they have a characteristic protected from discrimination; that they have experienced an adverse impact with respect to a service customarily available to the public; and that the protected characteristic was a factor in the adverse impact</w:t>
      </w:r>
      <w:r w:rsidR="0024354C" w:rsidRPr="008B7F0A">
        <w:rPr>
          <w:szCs w:val="24"/>
          <w:lang w:bidi="en-US"/>
        </w:rPr>
        <w:t xml:space="preserve">.  </w:t>
      </w:r>
      <w:r w:rsidR="00FC6028" w:rsidRPr="008B7F0A">
        <w:rPr>
          <w:szCs w:val="24"/>
        </w:rPr>
        <w:t xml:space="preserve">Once a </w:t>
      </w:r>
      <w:r w:rsidR="00FC6028" w:rsidRPr="008B7F0A">
        <w:rPr>
          <w:i/>
          <w:szCs w:val="24"/>
        </w:rPr>
        <w:t xml:space="preserve">prima facie </w:t>
      </w:r>
      <w:r w:rsidR="00FC6028" w:rsidRPr="008B7F0A">
        <w:rPr>
          <w:szCs w:val="24"/>
        </w:rPr>
        <w:t>case has been established, the burden shifts to the respondent to justify the conduct or practice.  If it cannot be justified, discrimination will be found to occur.</w:t>
      </w:r>
    </w:p>
    <w:p w:rsidR="00FC6028" w:rsidRPr="008B7F0A" w:rsidRDefault="00654710" w:rsidP="00654710">
      <w:pPr>
        <w:pStyle w:val="SCCNormalDoubleSpacing"/>
        <w:spacing w:after="480"/>
        <w:rPr>
          <w:szCs w:val="24"/>
          <w:lang w:bidi="en-US"/>
        </w:rPr>
      </w:pPr>
      <w:r w:rsidRPr="008B7F0A">
        <w:rPr>
          <w:szCs w:val="24"/>
        </w:rPr>
        <w:tab/>
      </w:r>
      <w:r w:rsidR="00FC6028" w:rsidRPr="008B7F0A">
        <w:rPr>
          <w:szCs w:val="24"/>
        </w:rPr>
        <w:t>There</w:t>
      </w:r>
      <w:r w:rsidR="00FC6028" w:rsidRPr="008B7F0A">
        <w:rPr>
          <w:szCs w:val="24"/>
          <w:lang w:val="en-US" w:bidi="en-US"/>
        </w:rPr>
        <w:t xml:space="preserve"> is no dispute that J’s dyslexia is a disability.  There is equally no question that any adverse impact he suffered is related to his disability.  The question then is whether J has, without reasonable justification, been denied meaningful access to the general education available to all children in British Columbia based on his disability.</w:t>
      </w:r>
      <w:r w:rsidR="00FC6028" w:rsidRPr="008B7F0A">
        <w:rPr>
          <w:szCs w:val="24"/>
          <w:lang w:bidi="en-US"/>
        </w:rPr>
        <w:t xml:space="preserve">  </w:t>
      </w:r>
    </w:p>
    <w:p w:rsidR="00FC6028" w:rsidRPr="008B7F0A" w:rsidRDefault="00654710" w:rsidP="00654710">
      <w:pPr>
        <w:pStyle w:val="SCCNormalDoubleSpacing"/>
        <w:spacing w:after="480"/>
        <w:rPr>
          <w:szCs w:val="24"/>
        </w:rPr>
      </w:pPr>
      <w:r w:rsidRPr="008B7F0A">
        <w:rPr>
          <w:i/>
          <w:szCs w:val="24"/>
          <w:lang w:val="en-US"/>
        </w:rPr>
        <w:tab/>
      </w:r>
      <w:r w:rsidR="00FC6028" w:rsidRPr="008B7F0A">
        <w:rPr>
          <w:i/>
          <w:szCs w:val="24"/>
          <w:lang w:val="en-US"/>
        </w:rPr>
        <w:t>P</w:t>
      </w:r>
      <w:r w:rsidR="00FC6028" w:rsidRPr="008B7F0A">
        <w:rPr>
          <w:i/>
          <w:szCs w:val="24"/>
          <w:lang w:bidi="en-US"/>
        </w:rPr>
        <w:t>rima facie</w:t>
      </w:r>
      <w:r w:rsidR="00FC6028" w:rsidRPr="008B7F0A">
        <w:rPr>
          <w:szCs w:val="24"/>
          <w:lang w:bidi="en-US"/>
        </w:rPr>
        <w:t xml:space="preserve"> </w:t>
      </w:r>
      <w:r w:rsidR="00FC6028" w:rsidRPr="008B7F0A">
        <w:rPr>
          <w:szCs w:val="24"/>
        </w:rPr>
        <w:t>discrimination</w:t>
      </w:r>
      <w:r w:rsidR="00FC6028" w:rsidRPr="008B7F0A">
        <w:rPr>
          <w:szCs w:val="24"/>
          <w:lang w:bidi="en-US"/>
        </w:rPr>
        <w:t xml:space="preserve"> was made out based on the insufficiently intensive remediation provided by the District for J’s learning disability in order for </w:t>
      </w:r>
      <w:r w:rsidR="00FC6028" w:rsidRPr="008B7F0A">
        <w:rPr>
          <w:szCs w:val="24"/>
          <w:lang w:bidi="en-US"/>
        </w:rPr>
        <w:lastRenderedPageBreak/>
        <w:t>him to get access to the educa</w:t>
      </w:r>
      <w:r w:rsidR="00316C8B" w:rsidRPr="008B7F0A">
        <w:rPr>
          <w:szCs w:val="24"/>
          <w:lang w:bidi="en-US"/>
        </w:rPr>
        <w:t xml:space="preserve">tion he was entitled to.  </w:t>
      </w:r>
      <w:r w:rsidR="00FC6028" w:rsidRPr="008B7F0A">
        <w:rPr>
          <w:szCs w:val="24"/>
          <w:lang w:bidi="en-US"/>
        </w:rPr>
        <w:t xml:space="preserve">J received some special education assistance until Grade 3, but the Tribunal’s conclusion that the remediation was far from adequate </w:t>
      </w:r>
      <w:r w:rsidR="00FC6028" w:rsidRPr="008B7F0A">
        <w:rPr>
          <w:szCs w:val="24"/>
        </w:rPr>
        <w:t xml:space="preserve">to give J the education to which he was entitled, </w:t>
      </w:r>
      <w:r w:rsidR="00FC6028" w:rsidRPr="008B7F0A">
        <w:rPr>
          <w:szCs w:val="24"/>
          <w:lang w:bidi="en-US"/>
        </w:rPr>
        <w:t xml:space="preserve">was fully supported by the evidence.  </w:t>
      </w:r>
      <w:r w:rsidR="00FC6028" w:rsidRPr="008B7F0A">
        <w:rPr>
          <w:szCs w:val="24"/>
          <w:lang w:val="en-US" w:bidi="en-US"/>
        </w:rPr>
        <w:t>The</w:t>
      </w:r>
      <w:r w:rsidR="00FC6028" w:rsidRPr="008B7F0A">
        <w:rPr>
          <w:szCs w:val="24"/>
          <w:lang w:bidi="en-US"/>
        </w:rPr>
        <w:t xml:space="preserve"> Tribunal </w:t>
      </w:r>
      <w:r w:rsidR="00316C8B" w:rsidRPr="008B7F0A">
        <w:rPr>
          <w:szCs w:val="24"/>
          <w:lang w:val="en-US" w:bidi="en-US"/>
        </w:rPr>
        <w:t>found that the family was</w:t>
      </w:r>
      <w:r w:rsidR="00FC6028" w:rsidRPr="008B7F0A">
        <w:rPr>
          <w:szCs w:val="24"/>
          <w:lang w:val="en-US" w:bidi="en-US"/>
        </w:rPr>
        <w:t xml:space="preserve"> told by District employees that J required intensive remediation</w:t>
      </w:r>
      <w:r w:rsidR="0024354C" w:rsidRPr="008B7F0A">
        <w:rPr>
          <w:szCs w:val="24"/>
          <w:lang w:val="en-US" w:bidi="en-US"/>
        </w:rPr>
        <w:t xml:space="preserve">.  </w:t>
      </w:r>
      <w:r w:rsidR="00FC6028" w:rsidRPr="008B7F0A">
        <w:rPr>
          <w:szCs w:val="24"/>
          <w:lang w:val="en-US" w:bidi="en-US"/>
        </w:rPr>
        <w:t xml:space="preserve">As a result of the closing of the </w:t>
      </w:r>
      <w:r w:rsidR="00FC6028" w:rsidRPr="008B7F0A">
        <w:rPr>
          <w:szCs w:val="24"/>
        </w:rPr>
        <w:t>Diagnostic Centre</w:t>
      </w:r>
      <w:r w:rsidR="00FC6028" w:rsidRPr="008B7F0A">
        <w:rPr>
          <w:szCs w:val="24"/>
          <w:lang w:val="en-US" w:bidi="en-US"/>
        </w:rPr>
        <w:t xml:space="preserve">, </w:t>
      </w:r>
      <w:r w:rsidR="00FC6028" w:rsidRPr="008B7F0A">
        <w:rPr>
          <w:szCs w:val="24"/>
          <w:lang w:bidi="en-US"/>
        </w:rPr>
        <w:t xml:space="preserve">a private school </w:t>
      </w:r>
      <w:r w:rsidR="00FC6028" w:rsidRPr="008B7F0A">
        <w:rPr>
          <w:szCs w:val="24"/>
        </w:rPr>
        <w:t>was the only alternative that would provide the intense remediation that J required.</w:t>
      </w:r>
    </w:p>
    <w:p w:rsidR="00FC6028" w:rsidRPr="008B7F0A" w:rsidRDefault="00654710" w:rsidP="00654710">
      <w:pPr>
        <w:pStyle w:val="SCCNormalDoubleSpacing"/>
        <w:spacing w:after="480"/>
        <w:rPr>
          <w:szCs w:val="24"/>
          <w:lang w:val="en-US"/>
        </w:rPr>
      </w:pPr>
      <w:r w:rsidRPr="008B7F0A">
        <w:rPr>
          <w:szCs w:val="24"/>
          <w:lang w:bidi="en-US"/>
        </w:rPr>
        <w:tab/>
      </w:r>
      <w:r w:rsidR="00FC6028" w:rsidRPr="008B7F0A">
        <w:rPr>
          <w:szCs w:val="24"/>
          <w:lang w:bidi="en-US"/>
        </w:rPr>
        <w:t xml:space="preserve">The </w:t>
      </w:r>
      <w:r w:rsidR="00FC6028" w:rsidRPr="008B7F0A">
        <w:rPr>
          <w:szCs w:val="24"/>
        </w:rPr>
        <w:t>Tribunal</w:t>
      </w:r>
      <w:r w:rsidR="00FC6028" w:rsidRPr="008B7F0A">
        <w:rPr>
          <w:szCs w:val="24"/>
          <w:lang w:bidi="en-US"/>
        </w:rPr>
        <w:t xml:space="preserve"> found that when the decision to close the Diagnostic Centre was made, the District did so</w:t>
      </w:r>
      <w:r w:rsidR="00FC6028" w:rsidRPr="008B7F0A">
        <w:rPr>
          <w:szCs w:val="24"/>
        </w:rPr>
        <w:t xml:space="preserve"> without knowing how the needs of students like J would be addressed,</w:t>
      </w:r>
      <w:r w:rsidR="00FC6028" w:rsidRPr="008B7F0A">
        <w:rPr>
          <w:szCs w:val="24"/>
          <w:lang w:bidi="en-US"/>
        </w:rPr>
        <w:t xml:space="preserve"> and without undertaking </w:t>
      </w:r>
      <w:r w:rsidR="00FC6028" w:rsidRPr="008B7F0A">
        <w:rPr>
          <w:szCs w:val="24"/>
        </w:rPr>
        <w:t>a needs</w:t>
      </w:r>
      <w:r w:rsidRPr="008B7F0A">
        <w:rPr>
          <w:szCs w:val="24"/>
        </w:rPr>
        <w:noBreakHyphen/>
      </w:r>
      <w:r w:rsidR="00FC6028" w:rsidRPr="008B7F0A">
        <w:rPr>
          <w:szCs w:val="24"/>
        </w:rPr>
        <w:t>based analysis to consider what might replace the Diagnostic Centre, or assessing the effect of the closure on Severe Learn</w:t>
      </w:r>
      <w:r w:rsidR="00316C8B" w:rsidRPr="008B7F0A">
        <w:rPr>
          <w:szCs w:val="24"/>
        </w:rPr>
        <w:t>ing Disabilities students</w:t>
      </w:r>
      <w:r w:rsidR="0024354C" w:rsidRPr="008B7F0A">
        <w:rPr>
          <w:szCs w:val="24"/>
        </w:rPr>
        <w:t xml:space="preserve">.  </w:t>
      </w:r>
      <w:r w:rsidR="00FC6028" w:rsidRPr="008B7F0A">
        <w:rPr>
          <w:szCs w:val="24"/>
          <w:lang w:bidi="en-US"/>
        </w:rPr>
        <w:t>It was the combination of the clear recognition by the District, its employees and the experts that J required intensive remediation in order to have meaningful access to education, the closing of the Diagnostic</w:t>
      </w:r>
      <w:r w:rsidR="00316C8B" w:rsidRPr="008B7F0A">
        <w:rPr>
          <w:szCs w:val="24"/>
          <w:lang w:bidi="en-US"/>
        </w:rPr>
        <w:t xml:space="preserve"> Centre, and the fact that the family was</w:t>
      </w:r>
      <w:r w:rsidR="00FC6028" w:rsidRPr="008B7F0A">
        <w:rPr>
          <w:szCs w:val="24"/>
          <w:lang w:bidi="en-US"/>
        </w:rPr>
        <w:t xml:space="preserve"> told that these services could not otherwise be provided by the District, that justified the Tribunal’s conclusion that the failure of the District to meet J’s educational needs constituted </w:t>
      </w:r>
      <w:r w:rsidR="00FC6028" w:rsidRPr="008B7F0A">
        <w:rPr>
          <w:i/>
          <w:szCs w:val="24"/>
          <w:lang w:bidi="en-US"/>
        </w:rPr>
        <w:t>prima facie</w:t>
      </w:r>
      <w:r w:rsidR="00FC6028" w:rsidRPr="008B7F0A">
        <w:rPr>
          <w:szCs w:val="24"/>
          <w:lang w:bidi="en-US"/>
        </w:rPr>
        <w:t xml:space="preserve"> discrimination.  </w:t>
      </w:r>
    </w:p>
    <w:p w:rsidR="00FC6028" w:rsidRPr="008B7F0A" w:rsidRDefault="00654710" w:rsidP="00654710">
      <w:pPr>
        <w:pStyle w:val="SCCNormalDoubleSpacing"/>
        <w:spacing w:after="480"/>
        <w:rPr>
          <w:szCs w:val="24"/>
        </w:rPr>
      </w:pPr>
      <w:r w:rsidRPr="008B7F0A">
        <w:rPr>
          <w:szCs w:val="24"/>
          <w:lang w:val="en-US" w:bidi="en-US"/>
        </w:rPr>
        <w:tab/>
      </w:r>
      <w:r w:rsidR="00FC6028" w:rsidRPr="008B7F0A">
        <w:rPr>
          <w:szCs w:val="24"/>
          <w:lang w:val="en-US" w:bidi="en-US"/>
        </w:rPr>
        <w:t>T</w:t>
      </w:r>
      <w:r w:rsidR="00FC6028" w:rsidRPr="008B7F0A">
        <w:rPr>
          <w:szCs w:val="24"/>
          <w:lang w:bidi="en-US"/>
        </w:rPr>
        <w:t xml:space="preserve">he </w:t>
      </w:r>
      <w:r w:rsidR="00FC6028" w:rsidRPr="008B7F0A">
        <w:rPr>
          <w:szCs w:val="24"/>
        </w:rPr>
        <w:t>next</w:t>
      </w:r>
      <w:r w:rsidR="00FC6028" w:rsidRPr="008B7F0A">
        <w:rPr>
          <w:szCs w:val="24"/>
          <w:lang w:bidi="en-US"/>
        </w:rPr>
        <w:t xml:space="preserve"> question is whether the Dis</w:t>
      </w:r>
      <w:r w:rsidR="0024354C" w:rsidRPr="008B7F0A">
        <w:rPr>
          <w:szCs w:val="24"/>
          <w:lang w:bidi="en-US"/>
        </w:rPr>
        <w:t xml:space="preserve">trict’s conduct was justified. </w:t>
      </w:r>
      <w:r w:rsidR="00316C8B" w:rsidRPr="008B7F0A">
        <w:rPr>
          <w:szCs w:val="24"/>
        </w:rPr>
        <w:t xml:space="preserve"> </w:t>
      </w:r>
      <w:r w:rsidR="00FC6028" w:rsidRPr="008B7F0A">
        <w:rPr>
          <w:szCs w:val="24"/>
          <w:lang w:val="en-US" w:bidi="en-US"/>
        </w:rPr>
        <w:t>T</w:t>
      </w:r>
      <w:r w:rsidR="00FC6028" w:rsidRPr="008B7F0A">
        <w:rPr>
          <w:szCs w:val="24"/>
        </w:rPr>
        <w:t xml:space="preserve">he District’s justification centred on the budgetary crisis it faced during the relevant period, which led to the closure of the Diagnostic Centre and other related cuts.  </w:t>
      </w:r>
      <w:r w:rsidR="00FC6028" w:rsidRPr="008B7F0A">
        <w:rPr>
          <w:szCs w:val="24"/>
          <w:lang w:val="en-US"/>
        </w:rPr>
        <w:t>T</w:t>
      </w:r>
      <w:r w:rsidR="00FC6028" w:rsidRPr="008B7F0A">
        <w:rPr>
          <w:szCs w:val="24"/>
        </w:rPr>
        <w:t xml:space="preserve">he Tribunal’s findings that the District had other options available for addressing its </w:t>
      </w:r>
      <w:r w:rsidR="00FC6028" w:rsidRPr="008B7F0A">
        <w:rPr>
          <w:szCs w:val="24"/>
        </w:rPr>
        <w:lastRenderedPageBreak/>
        <w:t xml:space="preserve">budgetary crisis should not be disturbed. </w:t>
      </w:r>
      <w:r w:rsidR="00FC6028" w:rsidRPr="008B7F0A">
        <w:rPr>
          <w:szCs w:val="24"/>
          <w:lang w:bidi="en-US"/>
        </w:rPr>
        <w:t xml:space="preserve"> </w:t>
      </w:r>
      <w:r w:rsidR="00FC6028" w:rsidRPr="008B7F0A">
        <w:rPr>
          <w:szCs w:val="24"/>
          <w:lang w:val="en-US" w:bidi="en-US"/>
        </w:rPr>
        <w:t xml:space="preserve">The Tribunal accepted </w:t>
      </w:r>
      <w:r w:rsidR="00FC6028" w:rsidRPr="008B7F0A">
        <w:rPr>
          <w:szCs w:val="24"/>
          <w:lang w:bidi="en-US"/>
        </w:rPr>
        <w:t xml:space="preserve">that the District faced financial difficulties during the relevant period.  Yet it also found that cuts were disproportionably made to special needs programs.  Despite their similar cost, the District </w:t>
      </w:r>
      <w:r w:rsidR="00FC6028" w:rsidRPr="008B7F0A">
        <w:rPr>
          <w:szCs w:val="24"/>
        </w:rPr>
        <w:t xml:space="preserve">retained some discretionary programs, such as the Outdoor School — an outdoor campus where students learned about community and the environment — while eliminating the Diagnostic Centre.   </w:t>
      </w:r>
    </w:p>
    <w:p w:rsidR="00FC6028" w:rsidRPr="008B7F0A" w:rsidRDefault="00654710" w:rsidP="00654710">
      <w:pPr>
        <w:pStyle w:val="SCCNormalDoubleSpacing"/>
        <w:spacing w:after="480"/>
        <w:rPr>
          <w:szCs w:val="24"/>
          <w:lang w:bidi="en-US"/>
        </w:rPr>
      </w:pPr>
      <w:r w:rsidRPr="008B7F0A">
        <w:rPr>
          <w:szCs w:val="24"/>
          <w:lang w:val="en-US"/>
        </w:rPr>
        <w:tab/>
      </w:r>
      <w:r w:rsidR="00FC6028" w:rsidRPr="008B7F0A">
        <w:rPr>
          <w:szCs w:val="24"/>
          <w:lang w:val="en-US"/>
        </w:rPr>
        <w:t xml:space="preserve">More </w:t>
      </w:r>
      <w:r w:rsidR="00FC6028" w:rsidRPr="008B7F0A">
        <w:rPr>
          <w:szCs w:val="24"/>
        </w:rPr>
        <w:t>significantly</w:t>
      </w:r>
      <w:r w:rsidR="00FC6028" w:rsidRPr="008B7F0A">
        <w:rPr>
          <w:szCs w:val="24"/>
          <w:lang w:val="en-US"/>
        </w:rPr>
        <w:t xml:space="preserve">, the Tribunal found that the District undertook </w:t>
      </w:r>
      <w:r w:rsidR="00FC6028" w:rsidRPr="008B7F0A">
        <w:rPr>
          <w:i/>
          <w:szCs w:val="24"/>
          <w:lang w:val="en-US"/>
        </w:rPr>
        <w:t>no</w:t>
      </w:r>
      <w:r w:rsidR="00FC6028" w:rsidRPr="008B7F0A">
        <w:rPr>
          <w:szCs w:val="24"/>
          <w:lang w:val="en-US"/>
        </w:rPr>
        <w:t xml:space="preserve"> assessment, financial or otherwise, of what alternatives were or could be reasonably available to accommodate special needs students if the Diagnostic Centre were closed.  </w:t>
      </w:r>
      <w:r w:rsidR="00FC6028" w:rsidRPr="008B7F0A">
        <w:rPr>
          <w:szCs w:val="24"/>
          <w:lang w:bidi="en-US"/>
        </w:rPr>
        <w:t xml:space="preserve">The failure to consider financial alternatives completely undermined the District’s argument that it was justified in providing </w:t>
      </w:r>
      <w:r w:rsidR="00FC6028" w:rsidRPr="008B7F0A">
        <w:rPr>
          <w:i/>
          <w:szCs w:val="24"/>
          <w:lang w:bidi="en-US"/>
        </w:rPr>
        <w:t xml:space="preserve">no </w:t>
      </w:r>
      <w:r w:rsidR="00FC6028" w:rsidRPr="008B7F0A">
        <w:rPr>
          <w:szCs w:val="24"/>
          <w:lang w:bidi="en-US"/>
        </w:rPr>
        <w:t xml:space="preserve">meaningful access to an education for J because it had no choice.  In order to decide that it had no other choice, it had at least to consider what those other choices were.  </w:t>
      </w:r>
    </w:p>
    <w:p w:rsidR="00FC6028" w:rsidRPr="008B7F0A" w:rsidRDefault="00654710" w:rsidP="00654710">
      <w:pPr>
        <w:pStyle w:val="SCCNormalDoubleSpacing"/>
        <w:spacing w:after="480"/>
        <w:rPr>
          <w:szCs w:val="24"/>
        </w:rPr>
      </w:pPr>
      <w:r w:rsidRPr="008B7F0A">
        <w:rPr>
          <w:szCs w:val="24"/>
        </w:rPr>
        <w:tab/>
      </w:r>
      <w:r w:rsidR="00FC6028" w:rsidRPr="008B7F0A">
        <w:rPr>
          <w:szCs w:val="24"/>
        </w:rPr>
        <w:t>The finding of discrimination against the District is therefore restored.</w:t>
      </w:r>
    </w:p>
    <w:p w:rsidR="0038114A" w:rsidRPr="008B7F0A" w:rsidRDefault="00FC6028" w:rsidP="000824CF">
      <w:pPr>
        <w:pStyle w:val="SCCNormalDoubleSpacing"/>
        <w:keepNext/>
        <w:spacing w:after="720" w:line="240" w:lineRule="auto"/>
        <w:rPr>
          <w:b/>
          <w:szCs w:val="24"/>
        </w:rPr>
      </w:pPr>
      <w:r w:rsidRPr="008B7F0A">
        <w:rPr>
          <w:b/>
          <w:szCs w:val="24"/>
        </w:rPr>
        <w:t>Cases Cited</w:t>
      </w:r>
    </w:p>
    <w:p w:rsidR="00A01E3A" w:rsidRPr="008B7F0A" w:rsidRDefault="002E6705" w:rsidP="00C82E9B">
      <w:pPr>
        <w:pStyle w:val="SCCNormalDoubleSpacing"/>
        <w:widowControl w:val="0"/>
        <w:spacing w:after="480"/>
        <w:rPr>
          <w:szCs w:val="24"/>
        </w:rPr>
      </w:pPr>
      <w:r w:rsidRPr="008B7F0A">
        <w:rPr>
          <w:szCs w:val="24"/>
        </w:rPr>
        <w:tab/>
      </w:r>
      <w:r w:rsidRPr="008B7F0A">
        <w:rPr>
          <w:b/>
          <w:szCs w:val="24"/>
        </w:rPr>
        <w:t>Referred to:</w:t>
      </w:r>
      <w:r w:rsidR="00BD0E9E" w:rsidRPr="008B7F0A">
        <w:rPr>
          <w:szCs w:val="24"/>
        </w:rPr>
        <w:t xml:space="preserve"> </w:t>
      </w:r>
      <w:r w:rsidR="00A01E3A" w:rsidRPr="008B7F0A">
        <w:rPr>
          <w:szCs w:val="24"/>
        </w:rPr>
        <w:t xml:space="preserve"> </w:t>
      </w:r>
      <w:r w:rsidR="00A01E3A" w:rsidRPr="008B7F0A">
        <w:rPr>
          <w:i/>
          <w:szCs w:val="24"/>
        </w:rPr>
        <w:t>Brown v. Board of Education of Topeka</w:t>
      </w:r>
      <w:r w:rsidR="00A01E3A" w:rsidRPr="008B7F0A">
        <w:rPr>
          <w:szCs w:val="24"/>
        </w:rPr>
        <w:t xml:space="preserve">, 347 U.S. 483 (1954); </w:t>
      </w:r>
      <w:r w:rsidR="00A01E3A" w:rsidRPr="008B7F0A">
        <w:rPr>
          <w:i/>
          <w:szCs w:val="24"/>
        </w:rPr>
        <w:t>Withler v. Canada (Attorney General)</w:t>
      </w:r>
      <w:r w:rsidR="00A01E3A" w:rsidRPr="008B7F0A">
        <w:rPr>
          <w:szCs w:val="24"/>
        </w:rPr>
        <w:t xml:space="preserve">, 2011 SCC 12, [2011] 1 S.C.R. 396; </w:t>
      </w:r>
      <w:r w:rsidR="00A01E3A" w:rsidRPr="008B7F0A">
        <w:rPr>
          <w:i/>
          <w:szCs w:val="24"/>
        </w:rPr>
        <w:t>Brooks v. Canada Safeway Ltd.</w:t>
      </w:r>
      <w:r w:rsidR="00A01E3A" w:rsidRPr="008B7F0A">
        <w:rPr>
          <w:szCs w:val="24"/>
        </w:rPr>
        <w:t>, [1989] 1 S.C.R. 1219</w:t>
      </w:r>
      <w:r w:rsidR="00135F97" w:rsidRPr="008B7F0A">
        <w:rPr>
          <w:szCs w:val="24"/>
        </w:rPr>
        <w:t xml:space="preserve">; </w:t>
      </w:r>
      <w:r w:rsidR="00135F97" w:rsidRPr="008B7F0A">
        <w:rPr>
          <w:i/>
          <w:szCs w:val="24"/>
          <w:lang w:bidi="en-US"/>
        </w:rPr>
        <w:t>Eldridge v. British Columbia (Attorney General)</w:t>
      </w:r>
      <w:r w:rsidR="00135F97" w:rsidRPr="008B7F0A">
        <w:rPr>
          <w:szCs w:val="24"/>
          <w:lang w:bidi="en-US"/>
        </w:rPr>
        <w:t xml:space="preserve">, [1997] </w:t>
      </w:r>
      <w:r w:rsidR="00D05EDE" w:rsidRPr="008B7F0A">
        <w:rPr>
          <w:szCs w:val="24"/>
          <w:lang w:bidi="en-US"/>
        </w:rPr>
        <w:t>3</w:t>
      </w:r>
      <w:r w:rsidR="00135F97" w:rsidRPr="008B7F0A">
        <w:rPr>
          <w:szCs w:val="24"/>
          <w:lang w:bidi="en-US"/>
        </w:rPr>
        <w:t xml:space="preserve"> S.C.R. 624; </w:t>
      </w:r>
      <w:r w:rsidR="00135F97" w:rsidRPr="008B7F0A">
        <w:rPr>
          <w:i/>
          <w:szCs w:val="24"/>
        </w:rPr>
        <w:t>University of British Columbia v. Berg</w:t>
      </w:r>
      <w:r w:rsidR="00135F97" w:rsidRPr="008B7F0A">
        <w:rPr>
          <w:szCs w:val="24"/>
        </w:rPr>
        <w:t xml:space="preserve">, [1993] 2 S.C.R. 353; </w:t>
      </w:r>
      <w:r w:rsidR="00135F97" w:rsidRPr="008B7F0A">
        <w:rPr>
          <w:i/>
          <w:szCs w:val="24"/>
        </w:rPr>
        <w:t xml:space="preserve">Quebec (Commission des droits de la personne et des droits de </w:t>
      </w:r>
      <w:r w:rsidR="00135F97" w:rsidRPr="008B7F0A">
        <w:rPr>
          <w:i/>
          <w:szCs w:val="24"/>
        </w:rPr>
        <w:lastRenderedPageBreak/>
        <w:t>la jeunesse) v. Montréal (City)</w:t>
      </w:r>
      <w:r w:rsidR="00135F97" w:rsidRPr="008B7F0A">
        <w:rPr>
          <w:szCs w:val="24"/>
        </w:rPr>
        <w:t>, 2000 SCC 27, [2000] 1 S.C.R. 665</w:t>
      </w:r>
      <w:r w:rsidR="00135F97" w:rsidRPr="008B7F0A">
        <w:rPr>
          <w:szCs w:val="24"/>
          <w:lang w:val="en-US"/>
        </w:rPr>
        <w:t xml:space="preserve">; </w:t>
      </w:r>
      <w:r w:rsidR="00135F97" w:rsidRPr="008B7F0A">
        <w:rPr>
          <w:i/>
          <w:szCs w:val="24"/>
        </w:rPr>
        <w:t>Council of Canadians with Disabilities </w:t>
      </w:r>
      <w:r w:rsidR="00135F97" w:rsidRPr="008B7F0A">
        <w:rPr>
          <w:i/>
          <w:iCs/>
          <w:szCs w:val="24"/>
        </w:rPr>
        <w:t>v.</w:t>
      </w:r>
      <w:r w:rsidR="00135F97" w:rsidRPr="008B7F0A">
        <w:rPr>
          <w:i/>
          <w:szCs w:val="24"/>
        </w:rPr>
        <w:t> VIA Rail Canada Inc.</w:t>
      </w:r>
      <w:r w:rsidR="00135F97" w:rsidRPr="008B7F0A">
        <w:rPr>
          <w:szCs w:val="24"/>
        </w:rPr>
        <w:t>, 2007 SCC 15,</w:t>
      </w:r>
      <w:r w:rsidR="00135F97" w:rsidRPr="008B7F0A">
        <w:rPr>
          <w:szCs w:val="24"/>
          <w:lang w:val="en-US"/>
        </w:rPr>
        <w:t xml:space="preserve"> </w:t>
      </w:r>
      <w:r w:rsidR="00071A89" w:rsidRPr="008B7F0A">
        <w:rPr>
          <w:szCs w:val="24"/>
        </w:rPr>
        <w:t>[2007] 1 S.C.R. 650</w:t>
      </w:r>
      <w:r w:rsidR="001073F0" w:rsidRPr="008B7F0A">
        <w:rPr>
          <w:szCs w:val="24"/>
        </w:rPr>
        <w:t xml:space="preserve">; </w:t>
      </w:r>
      <w:r w:rsidR="001073F0" w:rsidRPr="008B7F0A">
        <w:rPr>
          <w:i/>
          <w:szCs w:val="24"/>
        </w:rPr>
        <w:t>British Columbia (Public Service Employee Relations Commission) v. BCGSEU</w:t>
      </w:r>
      <w:r w:rsidR="001073F0" w:rsidRPr="008B7F0A">
        <w:rPr>
          <w:szCs w:val="24"/>
        </w:rPr>
        <w:t xml:space="preserve">, [1999] 3 S.C.R. 3; </w:t>
      </w:r>
      <w:r w:rsidR="001073F0" w:rsidRPr="008B7F0A">
        <w:rPr>
          <w:i/>
          <w:szCs w:val="24"/>
        </w:rPr>
        <w:t>Ontario Human Rights Commission v.</w:t>
      </w:r>
      <w:r w:rsidR="00DA4310" w:rsidRPr="008B7F0A">
        <w:rPr>
          <w:i/>
          <w:szCs w:val="24"/>
        </w:rPr>
        <w:t xml:space="preserve"> Borough of</w:t>
      </w:r>
      <w:r w:rsidR="001073F0" w:rsidRPr="008B7F0A">
        <w:rPr>
          <w:i/>
          <w:szCs w:val="24"/>
        </w:rPr>
        <w:t xml:space="preserve"> Etobicoke</w:t>
      </w:r>
      <w:r w:rsidR="001073F0" w:rsidRPr="008B7F0A">
        <w:rPr>
          <w:szCs w:val="24"/>
        </w:rPr>
        <w:t xml:space="preserve">, [1982] 1 S.C.R. 202; </w:t>
      </w:r>
      <w:r w:rsidR="001073F0" w:rsidRPr="008B7F0A">
        <w:rPr>
          <w:i/>
          <w:szCs w:val="24"/>
        </w:rPr>
        <w:t xml:space="preserve">Central Okanagan School District </w:t>
      </w:r>
      <w:r w:rsidR="00654710" w:rsidRPr="008B7F0A">
        <w:rPr>
          <w:i/>
          <w:szCs w:val="24"/>
        </w:rPr>
        <w:t>No. </w:t>
      </w:r>
      <w:r w:rsidR="001073F0" w:rsidRPr="008B7F0A">
        <w:rPr>
          <w:i/>
          <w:szCs w:val="24"/>
        </w:rPr>
        <w:t>23 v. Renaud</w:t>
      </w:r>
      <w:r w:rsidR="001073F0" w:rsidRPr="008B7F0A">
        <w:rPr>
          <w:szCs w:val="24"/>
        </w:rPr>
        <w:t>, [1992] 2 S.C.R. 970</w:t>
      </w:r>
      <w:r w:rsidR="00DA4310" w:rsidRPr="008B7F0A">
        <w:rPr>
          <w:szCs w:val="24"/>
        </w:rPr>
        <w:t xml:space="preserve">; </w:t>
      </w:r>
      <w:r w:rsidR="001073F0" w:rsidRPr="008B7F0A">
        <w:rPr>
          <w:i/>
          <w:szCs w:val="24"/>
        </w:rPr>
        <w:t>Central Alberta Dairy Pool v. Alberta (Human Rights Commission)</w:t>
      </w:r>
      <w:r w:rsidR="001073F0" w:rsidRPr="008B7F0A">
        <w:rPr>
          <w:szCs w:val="24"/>
        </w:rPr>
        <w:t>, [1990] 2 S.C.R. 489</w:t>
      </w:r>
      <w:r w:rsidR="0022486A" w:rsidRPr="008B7F0A">
        <w:rPr>
          <w:szCs w:val="24"/>
        </w:rPr>
        <w:t xml:space="preserve">; </w:t>
      </w:r>
      <w:r w:rsidR="0022486A" w:rsidRPr="008B7F0A">
        <w:rPr>
          <w:i/>
          <w:szCs w:val="24"/>
        </w:rPr>
        <w:t>Griggs v. Duke Power Co.</w:t>
      </w:r>
      <w:r w:rsidR="0022486A" w:rsidRPr="008B7F0A">
        <w:rPr>
          <w:szCs w:val="24"/>
        </w:rPr>
        <w:t xml:space="preserve">, 401 U.S. 424 (1971); </w:t>
      </w:r>
      <w:r w:rsidR="0022486A" w:rsidRPr="008B7F0A">
        <w:rPr>
          <w:i/>
          <w:szCs w:val="24"/>
        </w:rPr>
        <w:t>Canadian National Railway Co. v. Canada (</w:t>
      </w:r>
      <w:r w:rsidR="00205C0F" w:rsidRPr="008B7F0A">
        <w:rPr>
          <w:i/>
          <w:szCs w:val="24"/>
        </w:rPr>
        <w:t xml:space="preserve">Canadian </w:t>
      </w:r>
      <w:r w:rsidR="0022486A" w:rsidRPr="008B7F0A">
        <w:rPr>
          <w:i/>
          <w:szCs w:val="24"/>
        </w:rPr>
        <w:t>Human Rights Commission)</w:t>
      </w:r>
      <w:r w:rsidR="0022486A" w:rsidRPr="008B7F0A">
        <w:rPr>
          <w:szCs w:val="24"/>
        </w:rPr>
        <w:t>, [1987] 1 S.C.R. 1114</w:t>
      </w:r>
      <w:r w:rsidR="00C40035" w:rsidRPr="008B7F0A">
        <w:rPr>
          <w:szCs w:val="24"/>
        </w:rPr>
        <w:t xml:space="preserve">; </w:t>
      </w:r>
      <w:r w:rsidR="00C40035" w:rsidRPr="008B7F0A">
        <w:rPr>
          <w:i/>
          <w:szCs w:val="24"/>
        </w:rPr>
        <w:t>British Columbia (Superintendent of Motor Vehicles) v. British Columbia (Council of Human Rights)</w:t>
      </w:r>
      <w:r w:rsidR="00C40035" w:rsidRPr="008B7F0A">
        <w:rPr>
          <w:szCs w:val="24"/>
        </w:rPr>
        <w:t>, [1999] 3 S.C.R. 868</w:t>
      </w:r>
      <w:r w:rsidR="00071A89" w:rsidRPr="008B7F0A">
        <w:rPr>
          <w:szCs w:val="24"/>
        </w:rPr>
        <w:t>.</w:t>
      </w:r>
      <w:r w:rsidR="00993872" w:rsidRPr="008B7F0A">
        <w:rPr>
          <w:szCs w:val="24"/>
        </w:rPr>
        <w:t xml:space="preserve"> </w:t>
      </w:r>
    </w:p>
    <w:p w:rsidR="003B215F" w:rsidRPr="008B7F0A" w:rsidRDefault="002E6705" w:rsidP="000824CF">
      <w:pPr>
        <w:pStyle w:val="SCCNormalDoubleSpacing"/>
        <w:keepNext/>
        <w:spacing w:after="720" w:line="240" w:lineRule="auto"/>
        <w:rPr>
          <w:szCs w:val="24"/>
        </w:rPr>
      </w:pPr>
      <w:r w:rsidRPr="008B7F0A">
        <w:rPr>
          <w:b/>
          <w:szCs w:val="24"/>
        </w:rPr>
        <w:t>Statutes and Regulations Cite</w:t>
      </w:r>
      <w:r w:rsidR="00A41805" w:rsidRPr="008B7F0A">
        <w:rPr>
          <w:b/>
          <w:szCs w:val="24"/>
        </w:rPr>
        <w:t>d</w:t>
      </w:r>
    </w:p>
    <w:p w:rsidR="00EA3A83" w:rsidRPr="008B7F0A" w:rsidRDefault="00EA3A83" w:rsidP="003E6691">
      <w:pPr>
        <w:pStyle w:val="SCCNormalDoubleSpacing"/>
        <w:spacing w:after="240" w:line="240" w:lineRule="auto"/>
        <w:ind w:left="539" w:hanging="539"/>
        <w:rPr>
          <w:szCs w:val="24"/>
        </w:rPr>
      </w:pPr>
      <w:r w:rsidRPr="008B7F0A">
        <w:rPr>
          <w:i/>
          <w:szCs w:val="24"/>
        </w:rPr>
        <w:t>Administrative Tribunals Act</w:t>
      </w:r>
      <w:r w:rsidRPr="008B7F0A">
        <w:rPr>
          <w:szCs w:val="24"/>
        </w:rPr>
        <w:t xml:space="preserve">, </w:t>
      </w:r>
      <w:r w:rsidR="00C82E9B" w:rsidRPr="008B7F0A">
        <w:rPr>
          <w:szCs w:val="24"/>
        </w:rPr>
        <w:t>S.B.C. 2004, c. </w:t>
      </w:r>
      <w:r w:rsidRPr="008B7F0A">
        <w:rPr>
          <w:szCs w:val="24"/>
        </w:rPr>
        <w:t>45, s.</w:t>
      </w:r>
      <w:r w:rsidR="00C82E9B" w:rsidRPr="008B7F0A">
        <w:rPr>
          <w:szCs w:val="24"/>
        </w:rPr>
        <w:t> </w:t>
      </w:r>
      <w:r w:rsidRPr="008B7F0A">
        <w:rPr>
          <w:szCs w:val="24"/>
        </w:rPr>
        <w:t>59.</w:t>
      </w:r>
    </w:p>
    <w:p w:rsidR="00094046" w:rsidRPr="008B7F0A" w:rsidRDefault="0027299E" w:rsidP="003E6691">
      <w:pPr>
        <w:pStyle w:val="SCCNormalDoubleSpacing"/>
        <w:spacing w:after="240" w:line="240" w:lineRule="auto"/>
        <w:ind w:left="539" w:hanging="539"/>
        <w:rPr>
          <w:szCs w:val="24"/>
        </w:rPr>
      </w:pPr>
      <w:r w:rsidRPr="008B7F0A">
        <w:rPr>
          <w:i/>
          <w:szCs w:val="24"/>
        </w:rPr>
        <w:t>Human Rights Code</w:t>
      </w:r>
      <w:r w:rsidR="00422414" w:rsidRPr="008B7F0A">
        <w:rPr>
          <w:szCs w:val="24"/>
        </w:rPr>
        <w:t>, R.S.B.C. 1996, c. </w:t>
      </w:r>
      <w:r w:rsidRPr="008B7F0A">
        <w:rPr>
          <w:szCs w:val="24"/>
        </w:rPr>
        <w:t xml:space="preserve">210, </w:t>
      </w:r>
      <w:r w:rsidR="00422414" w:rsidRPr="008B7F0A">
        <w:rPr>
          <w:szCs w:val="24"/>
        </w:rPr>
        <w:t>s. </w:t>
      </w:r>
      <w:r w:rsidRPr="008B7F0A">
        <w:rPr>
          <w:szCs w:val="24"/>
        </w:rPr>
        <w:t>8.</w:t>
      </w:r>
      <w:r w:rsidR="003E6691" w:rsidRPr="008B7F0A">
        <w:rPr>
          <w:szCs w:val="24"/>
        </w:rPr>
        <w:t xml:space="preserve"> </w:t>
      </w:r>
    </w:p>
    <w:p w:rsidR="00A61BFC" w:rsidRPr="008B7F0A" w:rsidRDefault="00304BCA" w:rsidP="00F05CFC">
      <w:pPr>
        <w:pStyle w:val="SCCNormalDoubleSpacing"/>
        <w:spacing w:after="240" w:line="240" w:lineRule="auto"/>
        <w:ind w:left="539" w:hanging="539"/>
        <w:rPr>
          <w:szCs w:val="24"/>
        </w:rPr>
      </w:pPr>
      <w:proofErr w:type="gramStart"/>
      <w:r w:rsidRPr="008B7F0A">
        <w:rPr>
          <w:i/>
          <w:szCs w:val="24"/>
        </w:rPr>
        <w:t>School Act</w:t>
      </w:r>
      <w:r w:rsidR="00422414" w:rsidRPr="008B7F0A">
        <w:rPr>
          <w:szCs w:val="24"/>
        </w:rPr>
        <w:t>, S.B.C. 1989, c. </w:t>
      </w:r>
      <w:r w:rsidR="00F663DD" w:rsidRPr="008B7F0A">
        <w:rPr>
          <w:szCs w:val="24"/>
        </w:rPr>
        <w:t>61, p</w:t>
      </w:r>
      <w:r w:rsidRPr="008B7F0A">
        <w:rPr>
          <w:szCs w:val="24"/>
        </w:rPr>
        <w:t>reamble</w:t>
      </w:r>
      <w:r w:rsidR="00A61BFC" w:rsidRPr="008B7F0A">
        <w:rPr>
          <w:szCs w:val="24"/>
        </w:rPr>
        <w:t>.</w:t>
      </w:r>
      <w:proofErr w:type="gramEnd"/>
      <w:r w:rsidR="00A61BFC" w:rsidRPr="008B7F0A">
        <w:rPr>
          <w:szCs w:val="24"/>
        </w:rPr>
        <w:t xml:space="preserve"> </w:t>
      </w:r>
    </w:p>
    <w:p w:rsidR="00A61BFC" w:rsidRPr="008B7F0A" w:rsidRDefault="00A61BFC" w:rsidP="00A61BFC">
      <w:pPr>
        <w:pStyle w:val="SCCNormalDoubleSpacing"/>
        <w:spacing w:after="720" w:line="240" w:lineRule="auto"/>
        <w:ind w:left="540" w:hanging="540"/>
        <w:rPr>
          <w:szCs w:val="24"/>
        </w:rPr>
      </w:pPr>
      <w:proofErr w:type="gramStart"/>
      <w:r w:rsidRPr="008B7F0A">
        <w:rPr>
          <w:i/>
          <w:iCs/>
          <w:szCs w:val="24"/>
        </w:rPr>
        <w:t>School Amendment Act</w:t>
      </w:r>
      <w:r w:rsidRPr="008B7F0A">
        <w:rPr>
          <w:szCs w:val="24"/>
        </w:rPr>
        <w:t>, S.B.C. 1993, c. 6.</w:t>
      </w:r>
      <w:proofErr w:type="gramEnd"/>
    </w:p>
    <w:p w:rsidR="002E6705" w:rsidRPr="008B7F0A" w:rsidRDefault="002E6705" w:rsidP="000824CF">
      <w:pPr>
        <w:pStyle w:val="SCCNormalDoubleSpacing"/>
        <w:keepNext/>
        <w:spacing w:after="720" w:line="240" w:lineRule="auto"/>
        <w:rPr>
          <w:b/>
          <w:szCs w:val="24"/>
        </w:rPr>
      </w:pPr>
      <w:r w:rsidRPr="008B7F0A">
        <w:rPr>
          <w:b/>
          <w:szCs w:val="24"/>
        </w:rPr>
        <w:t>Authors Cited</w:t>
      </w:r>
    </w:p>
    <w:p w:rsidR="001625A1" w:rsidRPr="008B7F0A" w:rsidRDefault="001625A1" w:rsidP="001625A1">
      <w:pPr>
        <w:pStyle w:val="SCCNormalDoubleSpacing"/>
        <w:spacing w:after="240" w:line="240" w:lineRule="auto"/>
        <w:ind w:left="539" w:hanging="539"/>
        <w:rPr>
          <w:szCs w:val="24"/>
        </w:rPr>
      </w:pPr>
      <w:r w:rsidRPr="008B7F0A">
        <w:rPr>
          <w:szCs w:val="24"/>
        </w:rPr>
        <w:t xml:space="preserve">British Columbia.  </w:t>
      </w:r>
      <w:proofErr w:type="gramStart"/>
      <w:r w:rsidRPr="008B7F0A">
        <w:rPr>
          <w:szCs w:val="24"/>
        </w:rPr>
        <w:t>Ministry of Education.</w:t>
      </w:r>
      <w:proofErr w:type="gramEnd"/>
      <w:r w:rsidRPr="008B7F0A">
        <w:rPr>
          <w:szCs w:val="24"/>
        </w:rPr>
        <w:t xml:space="preserve">  </w:t>
      </w:r>
      <w:r w:rsidRPr="008B7F0A">
        <w:rPr>
          <w:i/>
          <w:szCs w:val="24"/>
          <w:lang w:bidi="en-US"/>
        </w:rPr>
        <w:t>Mandate for the School System</w:t>
      </w:r>
      <w:r w:rsidRPr="008B7F0A">
        <w:rPr>
          <w:szCs w:val="24"/>
          <w:lang w:bidi="en-US"/>
        </w:rPr>
        <w:t>.</w:t>
      </w:r>
      <w:r w:rsidRPr="008B7F0A">
        <w:rPr>
          <w:szCs w:val="24"/>
        </w:rPr>
        <w:t xml:space="preserve"> Vancouver: </w:t>
      </w:r>
      <w:r w:rsidR="006E00F0">
        <w:rPr>
          <w:szCs w:val="24"/>
        </w:rPr>
        <w:t>The</w:t>
      </w:r>
      <w:r w:rsidRPr="008B7F0A">
        <w:rPr>
          <w:szCs w:val="24"/>
        </w:rPr>
        <w:t xml:space="preserve"> Ministry</w:t>
      </w:r>
      <w:r w:rsidR="006E00F0">
        <w:rPr>
          <w:szCs w:val="24"/>
        </w:rPr>
        <w:t>,</w:t>
      </w:r>
      <w:r w:rsidRPr="008B7F0A">
        <w:rPr>
          <w:szCs w:val="24"/>
        </w:rPr>
        <w:t xml:space="preserve"> 1989.</w:t>
      </w:r>
    </w:p>
    <w:p w:rsidR="00F36E63" w:rsidRPr="008B7F0A" w:rsidRDefault="00F36E63" w:rsidP="00F36E63">
      <w:pPr>
        <w:pStyle w:val="SCCNormalDoubleSpacing"/>
        <w:spacing w:after="240" w:line="240" w:lineRule="auto"/>
        <w:ind w:left="539" w:hanging="539"/>
        <w:rPr>
          <w:szCs w:val="24"/>
        </w:rPr>
      </w:pPr>
      <w:r w:rsidRPr="008B7F0A">
        <w:rPr>
          <w:szCs w:val="24"/>
        </w:rPr>
        <w:t xml:space="preserve">British Columbia.  </w:t>
      </w:r>
      <w:proofErr w:type="gramStart"/>
      <w:r w:rsidRPr="008B7F0A">
        <w:rPr>
          <w:szCs w:val="24"/>
        </w:rPr>
        <w:t>Ministry of Education.</w:t>
      </w:r>
      <w:proofErr w:type="gramEnd"/>
      <w:r w:rsidRPr="008B7F0A">
        <w:rPr>
          <w:szCs w:val="24"/>
        </w:rPr>
        <w:t xml:space="preserve">  </w:t>
      </w:r>
      <w:r w:rsidRPr="008B7F0A">
        <w:rPr>
          <w:i/>
          <w:szCs w:val="24"/>
        </w:rPr>
        <w:t xml:space="preserve">Special Programs:  A </w:t>
      </w:r>
      <w:r w:rsidRPr="008B7F0A">
        <w:rPr>
          <w:i/>
          <w:szCs w:val="24"/>
          <w:lang w:bidi="en-US"/>
        </w:rPr>
        <w:t>Manual of Policies, Procedures and Guidelines</w:t>
      </w:r>
      <w:r w:rsidRPr="008B7F0A">
        <w:rPr>
          <w:szCs w:val="24"/>
          <w:lang w:bidi="en-US"/>
        </w:rPr>
        <w:t>.</w:t>
      </w:r>
      <w:r w:rsidRPr="008B7F0A">
        <w:rPr>
          <w:szCs w:val="24"/>
        </w:rPr>
        <w:t xml:space="preserve"> </w:t>
      </w:r>
      <w:r w:rsidR="00023A44" w:rsidRPr="008B7F0A">
        <w:rPr>
          <w:szCs w:val="24"/>
        </w:rPr>
        <w:t xml:space="preserve"> </w:t>
      </w:r>
      <w:r w:rsidRPr="008B7F0A">
        <w:rPr>
          <w:szCs w:val="24"/>
        </w:rPr>
        <w:t xml:space="preserve">Vancouver:  </w:t>
      </w:r>
      <w:r w:rsidR="00262412">
        <w:rPr>
          <w:szCs w:val="24"/>
        </w:rPr>
        <w:t xml:space="preserve">The </w:t>
      </w:r>
      <w:r w:rsidRPr="008B7F0A">
        <w:rPr>
          <w:szCs w:val="24"/>
        </w:rPr>
        <w:t>Ministry</w:t>
      </w:r>
      <w:r w:rsidR="00262412">
        <w:rPr>
          <w:szCs w:val="24"/>
        </w:rPr>
        <w:t>,</w:t>
      </w:r>
      <w:r w:rsidRPr="008B7F0A">
        <w:rPr>
          <w:szCs w:val="24"/>
        </w:rPr>
        <w:t xml:space="preserve"> 1985.</w:t>
      </w:r>
    </w:p>
    <w:p w:rsidR="00993872" w:rsidRPr="008B7F0A" w:rsidRDefault="00993872" w:rsidP="001C4C86">
      <w:pPr>
        <w:pStyle w:val="SCCNormalDoubleSpacing"/>
        <w:spacing w:after="240" w:line="240" w:lineRule="auto"/>
        <w:ind w:left="539" w:hanging="539"/>
        <w:rPr>
          <w:szCs w:val="24"/>
        </w:rPr>
      </w:pPr>
      <w:proofErr w:type="gramStart"/>
      <w:r w:rsidRPr="008B7F0A">
        <w:rPr>
          <w:szCs w:val="24"/>
        </w:rPr>
        <w:lastRenderedPageBreak/>
        <w:t>Brodsky, Gwen, Shelagh Day and Yvonne Peters.</w:t>
      </w:r>
      <w:proofErr w:type="gramEnd"/>
      <w:r w:rsidRPr="008B7F0A">
        <w:rPr>
          <w:szCs w:val="24"/>
        </w:rPr>
        <w:t xml:space="preserve">  </w:t>
      </w:r>
      <w:r w:rsidRPr="008B7F0A">
        <w:rPr>
          <w:i/>
          <w:szCs w:val="24"/>
        </w:rPr>
        <w:t>Accommodation in the 21</w:t>
      </w:r>
      <w:r w:rsidRPr="008B7F0A">
        <w:rPr>
          <w:i/>
          <w:szCs w:val="24"/>
          <w:vertAlign w:val="superscript"/>
        </w:rPr>
        <w:t>st</w:t>
      </w:r>
      <w:r w:rsidRPr="008B7F0A">
        <w:rPr>
          <w:i/>
          <w:szCs w:val="24"/>
        </w:rPr>
        <w:t xml:space="preserve"> Century</w:t>
      </w:r>
      <w:r w:rsidRPr="008B7F0A">
        <w:rPr>
          <w:szCs w:val="24"/>
        </w:rPr>
        <w:t>.  Canadian Human Rights Commission, 2012 (online:  http://www.chrc</w:t>
      </w:r>
      <w:r w:rsidR="00654710" w:rsidRPr="008B7F0A">
        <w:rPr>
          <w:szCs w:val="24"/>
        </w:rPr>
        <w:noBreakHyphen/>
      </w:r>
      <w:r w:rsidRPr="008B7F0A">
        <w:rPr>
          <w:szCs w:val="24"/>
        </w:rPr>
        <w:t>ccdp.ca/pdf/accommodation_eng.pdf).</w:t>
      </w:r>
    </w:p>
    <w:p w:rsidR="00207569" w:rsidRPr="008B7F0A" w:rsidRDefault="00207569" w:rsidP="001C4C86">
      <w:pPr>
        <w:pStyle w:val="SCCNormalDoubleSpacing"/>
        <w:widowControl w:val="0"/>
        <w:spacing w:after="720" w:line="240" w:lineRule="auto"/>
        <w:ind w:left="357" w:hanging="357"/>
        <w:rPr>
          <w:szCs w:val="24"/>
        </w:rPr>
      </w:pPr>
      <w:r w:rsidRPr="008B7F0A">
        <w:rPr>
          <w:szCs w:val="24"/>
        </w:rPr>
        <w:t>MacKay,</w:t>
      </w:r>
      <w:r w:rsidR="00E63363" w:rsidRPr="008B7F0A">
        <w:rPr>
          <w:szCs w:val="24"/>
        </w:rPr>
        <w:t xml:space="preserve"> A. </w:t>
      </w:r>
      <w:r w:rsidRPr="008B7F0A">
        <w:rPr>
          <w:szCs w:val="24"/>
        </w:rPr>
        <w:t xml:space="preserve">Wayne.  “Connecting Care and Challenge:  Tapping Our Human Potential” (2008), 17 </w:t>
      </w:r>
      <w:r w:rsidRPr="008B7F0A">
        <w:rPr>
          <w:i/>
          <w:iCs/>
          <w:szCs w:val="24"/>
        </w:rPr>
        <w:t>E.L.J.</w:t>
      </w:r>
      <w:r w:rsidRPr="008B7F0A">
        <w:rPr>
          <w:szCs w:val="24"/>
        </w:rPr>
        <w:t xml:space="preserve"> 37. </w:t>
      </w:r>
    </w:p>
    <w:p w:rsidR="00015DDB" w:rsidRPr="008B7F0A" w:rsidRDefault="009B57B3" w:rsidP="00354F4A">
      <w:pPr>
        <w:pStyle w:val="SCCNormalDoubleSpacing"/>
        <w:spacing w:after="480"/>
        <w:rPr>
          <w:szCs w:val="24"/>
        </w:rPr>
      </w:pPr>
      <w:r w:rsidRPr="008B7F0A">
        <w:rPr>
          <w:szCs w:val="24"/>
        </w:rPr>
        <w:tab/>
        <w:t xml:space="preserve">APPEAL from a judgment of the </w:t>
      </w:r>
      <w:r w:rsidR="00296251" w:rsidRPr="008B7F0A">
        <w:rPr>
          <w:szCs w:val="24"/>
        </w:rPr>
        <w:t xml:space="preserve">British Columbia </w:t>
      </w:r>
      <w:r w:rsidRPr="008B7F0A">
        <w:rPr>
          <w:szCs w:val="24"/>
        </w:rPr>
        <w:t xml:space="preserve">Court of Appeal </w:t>
      </w:r>
      <w:r w:rsidR="00296251" w:rsidRPr="008B7F0A">
        <w:rPr>
          <w:szCs w:val="24"/>
        </w:rPr>
        <w:t>(</w:t>
      </w:r>
      <w:r w:rsidR="0087327D" w:rsidRPr="008B7F0A">
        <w:rPr>
          <w:szCs w:val="24"/>
        </w:rPr>
        <w:fldChar w:fldCharType="begin"/>
      </w:r>
      <w:r w:rsidR="00015DDB" w:rsidRPr="008B7F0A">
        <w:rPr>
          <w:szCs w:val="24"/>
        </w:rPr>
        <w:instrText xml:space="preserve"> SEQ CHAPTER \h \r 1</w:instrText>
      </w:r>
      <w:r w:rsidR="0087327D" w:rsidRPr="008B7F0A">
        <w:rPr>
          <w:szCs w:val="24"/>
        </w:rPr>
        <w:fldChar w:fldCharType="end"/>
      </w:r>
      <w:r w:rsidR="00015DDB" w:rsidRPr="008B7F0A">
        <w:rPr>
          <w:szCs w:val="24"/>
        </w:rPr>
        <w:t xml:space="preserve">Rowles, Saunders and Low JJ.A.), </w:t>
      </w:r>
      <w:r w:rsidR="0087327D" w:rsidRPr="008B7F0A">
        <w:rPr>
          <w:szCs w:val="24"/>
        </w:rPr>
        <w:fldChar w:fldCharType="begin"/>
      </w:r>
      <w:r w:rsidR="00015DDB" w:rsidRPr="008B7F0A">
        <w:rPr>
          <w:szCs w:val="24"/>
        </w:rPr>
        <w:instrText xml:space="preserve"> SEQ CHAPTER \h \r 1</w:instrText>
      </w:r>
      <w:r w:rsidR="0087327D" w:rsidRPr="008B7F0A">
        <w:rPr>
          <w:szCs w:val="24"/>
        </w:rPr>
        <w:fldChar w:fldCharType="end"/>
      </w:r>
      <w:r w:rsidR="00015DDB" w:rsidRPr="008B7F0A">
        <w:rPr>
          <w:szCs w:val="24"/>
        </w:rPr>
        <w:t xml:space="preserve">2010 BCCA 478, 12 B.C.L.R. (5th) 246, 326 D.L.R. (4th) 77, 294 B.C.A.C. 185, 498 W.A.C. 185, 71 C.H.R.R. D/238, [2011] 3 W.W.R. 383, [2010] B.C.J. </w:t>
      </w:r>
      <w:r w:rsidR="00654710" w:rsidRPr="008B7F0A">
        <w:rPr>
          <w:szCs w:val="24"/>
        </w:rPr>
        <w:t>No. </w:t>
      </w:r>
      <w:r w:rsidR="00015DDB" w:rsidRPr="008B7F0A">
        <w:rPr>
          <w:szCs w:val="24"/>
        </w:rPr>
        <w:t xml:space="preserve">2097 (QL), 2010 CarswellBC 3446, affirming a decision of </w:t>
      </w:r>
      <w:r w:rsidR="0087327D" w:rsidRPr="008B7F0A">
        <w:rPr>
          <w:szCs w:val="24"/>
        </w:rPr>
        <w:fldChar w:fldCharType="begin"/>
      </w:r>
      <w:r w:rsidR="00015DDB" w:rsidRPr="008B7F0A">
        <w:rPr>
          <w:szCs w:val="24"/>
        </w:rPr>
        <w:instrText xml:space="preserve"> SEQ CHAPTER \h \r 1</w:instrText>
      </w:r>
      <w:r w:rsidR="0087327D" w:rsidRPr="008B7F0A">
        <w:rPr>
          <w:szCs w:val="24"/>
        </w:rPr>
        <w:fldChar w:fldCharType="end"/>
      </w:r>
      <w:r w:rsidR="00015DDB" w:rsidRPr="008B7F0A">
        <w:rPr>
          <w:szCs w:val="24"/>
        </w:rPr>
        <w:t>Dillon</w:t>
      </w:r>
      <w:r w:rsidR="009D4064" w:rsidRPr="008B7F0A">
        <w:rPr>
          <w:szCs w:val="24"/>
        </w:rPr>
        <w:t> </w:t>
      </w:r>
      <w:r w:rsidR="00015DDB" w:rsidRPr="008B7F0A">
        <w:rPr>
          <w:szCs w:val="24"/>
        </w:rPr>
        <w:t xml:space="preserve">J., </w:t>
      </w:r>
      <w:r w:rsidR="0087327D" w:rsidRPr="008B7F0A">
        <w:rPr>
          <w:szCs w:val="24"/>
        </w:rPr>
        <w:fldChar w:fldCharType="begin"/>
      </w:r>
      <w:r w:rsidR="00015DDB" w:rsidRPr="008B7F0A">
        <w:rPr>
          <w:szCs w:val="24"/>
        </w:rPr>
        <w:instrText xml:space="preserve"> SEQ CHAPTER \h \r 1</w:instrText>
      </w:r>
      <w:r w:rsidR="0087327D" w:rsidRPr="008B7F0A">
        <w:rPr>
          <w:szCs w:val="24"/>
        </w:rPr>
        <w:fldChar w:fldCharType="end"/>
      </w:r>
      <w:r w:rsidR="00015DDB" w:rsidRPr="008B7F0A">
        <w:rPr>
          <w:szCs w:val="24"/>
        </w:rPr>
        <w:t xml:space="preserve">2008 BCSC 264, 81 B.C.L.R. (4th) 107, 62 C.H.R.R. D/289, [2008] 10 W.W.R. 518, [2008] B.C.J. </w:t>
      </w:r>
      <w:r w:rsidR="00654710" w:rsidRPr="008B7F0A">
        <w:rPr>
          <w:szCs w:val="24"/>
        </w:rPr>
        <w:t>No. </w:t>
      </w:r>
      <w:r w:rsidR="00015DDB" w:rsidRPr="008B7F0A">
        <w:rPr>
          <w:szCs w:val="24"/>
        </w:rPr>
        <w:t>348 (QL), 2008 CarswellBC 388</w:t>
      </w:r>
      <w:r w:rsidR="00DE174F" w:rsidRPr="008B7F0A">
        <w:rPr>
          <w:szCs w:val="24"/>
        </w:rPr>
        <w:t>, reversing a decision of the British Columbia Human Rights Tribunal,</w:t>
      </w:r>
      <w:r w:rsidR="002B5558" w:rsidRPr="008B7F0A">
        <w:rPr>
          <w:szCs w:val="24"/>
        </w:rPr>
        <w:t xml:space="preserve"> 2005 BCHRT 580, 54 C.H.R.R. D/245</w:t>
      </w:r>
      <w:r w:rsidR="00757014" w:rsidRPr="008B7F0A">
        <w:rPr>
          <w:szCs w:val="24"/>
        </w:rPr>
        <w:t>, [2005] B.C.H.R.T.D. No. 580 (QL), 2005 CarswellBC 3573</w:t>
      </w:r>
      <w:r w:rsidR="002B5558" w:rsidRPr="008B7F0A">
        <w:rPr>
          <w:szCs w:val="24"/>
        </w:rPr>
        <w:t xml:space="preserve">.  </w:t>
      </w:r>
      <w:r w:rsidR="00015DDB" w:rsidRPr="008B7F0A">
        <w:rPr>
          <w:szCs w:val="24"/>
        </w:rPr>
        <w:t xml:space="preserve">Appeal </w:t>
      </w:r>
      <w:r w:rsidR="00DE174F" w:rsidRPr="008B7F0A">
        <w:rPr>
          <w:szCs w:val="24"/>
        </w:rPr>
        <w:t xml:space="preserve">substantially </w:t>
      </w:r>
      <w:r w:rsidR="00015DDB" w:rsidRPr="008B7F0A">
        <w:rPr>
          <w:szCs w:val="24"/>
        </w:rPr>
        <w:t>allowed.</w:t>
      </w:r>
    </w:p>
    <w:p w:rsidR="00F74038" w:rsidRPr="008B7F0A" w:rsidRDefault="00422414" w:rsidP="00354F4A">
      <w:pPr>
        <w:pStyle w:val="SCCNormalDoubleSpacing"/>
        <w:spacing w:after="480"/>
        <w:rPr>
          <w:szCs w:val="24"/>
        </w:rPr>
      </w:pPr>
      <w:r w:rsidRPr="008B7F0A">
        <w:rPr>
          <w:i/>
          <w:szCs w:val="24"/>
        </w:rPr>
        <w:tab/>
      </w:r>
      <w:proofErr w:type="gramStart"/>
      <w:r w:rsidRPr="008B7F0A">
        <w:rPr>
          <w:i/>
          <w:szCs w:val="24"/>
        </w:rPr>
        <w:t>Frances </w:t>
      </w:r>
      <w:r w:rsidR="00937DE3" w:rsidRPr="008B7F0A">
        <w:rPr>
          <w:i/>
          <w:szCs w:val="24"/>
        </w:rPr>
        <w:t>M. Kelly</w:t>
      </w:r>
      <w:r w:rsidR="00937DE3" w:rsidRPr="008B7F0A">
        <w:rPr>
          <w:szCs w:val="24"/>
        </w:rPr>
        <w:t xml:space="preserve"> and </w:t>
      </w:r>
      <w:r w:rsidR="00937DE3" w:rsidRPr="008B7F0A">
        <w:rPr>
          <w:i/>
          <w:szCs w:val="24"/>
        </w:rPr>
        <w:t>Devyn Cousineau</w:t>
      </w:r>
      <w:r w:rsidR="00937DE3" w:rsidRPr="008B7F0A">
        <w:rPr>
          <w:szCs w:val="24"/>
        </w:rPr>
        <w:t>, for the appellant.</w:t>
      </w:r>
      <w:proofErr w:type="gramEnd"/>
    </w:p>
    <w:p w:rsidR="00F74038" w:rsidRPr="008B7F0A" w:rsidRDefault="00937DE3" w:rsidP="00354F4A">
      <w:pPr>
        <w:pStyle w:val="SCCNormalDoubleSpacing"/>
        <w:spacing w:after="480"/>
        <w:rPr>
          <w:szCs w:val="24"/>
        </w:rPr>
      </w:pPr>
      <w:r w:rsidRPr="008B7F0A">
        <w:rPr>
          <w:i/>
          <w:szCs w:val="24"/>
        </w:rPr>
        <w:tab/>
        <w:t xml:space="preserve">Leah </w:t>
      </w:r>
      <w:proofErr w:type="spellStart"/>
      <w:r w:rsidRPr="008B7F0A">
        <w:rPr>
          <w:i/>
          <w:szCs w:val="24"/>
        </w:rPr>
        <w:t>Greathead</w:t>
      </w:r>
      <w:proofErr w:type="spellEnd"/>
      <w:r w:rsidRPr="008B7F0A">
        <w:rPr>
          <w:szCs w:val="24"/>
        </w:rPr>
        <w:t xml:space="preserve"> and </w:t>
      </w:r>
      <w:r w:rsidR="00CC4031" w:rsidRPr="008B7F0A">
        <w:rPr>
          <w:i/>
          <w:szCs w:val="24"/>
        </w:rPr>
        <w:t>E.</w:t>
      </w:r>
      <w:r w:rsidR="00304582">
        <w:rPr>
          <w:i/>
          <w:szCs w:val="24"/>
        </w:rPr>
        <w:t xml:space="preserve"> </w:t>
      </w:r>
      <w:r w:rsidR="00CC4031" w:rsidRPr="008B7F0A">
        <w:rPr>
          <w:i/>
          <w:szCs w:val="24"/>
        </w:rPr>
        <w:t>W. (</w:t>
      </w:r>
      <w:r w:rsidRPr="008B7F0A">
        <w:rPr>
          <w:i/>
          <w:szCs w:val="24"/>
        </w:rPr>
        <w:t>Heidi</w:t>
      </w:r>
      <w:r w:rsidR="00CC4031" w:rsidRPr="008B7F0A">
        <w:rPr>
          <w:i/>
          <w:szCs w:val="24"/>
        </w:rPr>
        <w:t>)</w:t>
      </w:r>
      <w:r w:rsidRPr="008B7F0A">
        <w:rPr>
          <w:i/>
          <w:szCs w:val="24"/>
        </w:rPr>
        <w:t xml:space="preserve"> Hughes</w:t>
      </w:r>
      <w:r w:rsidRPr="008B7F0A">
        <w:rPr>
          <w:szCs w:val="24"/>
        </w:rPr>
        <w:t>, for the respondent</w:t>
      </w:r>
      <w:r w:rsidR="00CE79A7" w:rsidRPr="008B7F0A">
        <w:rPr>
          <w:szCs w:val="24"/>
        </w:rPr>
        <w:t xml:space="preserve"> Her Majesty </w:t>
      </w:r>
      <w:proofErr w:type="gramStart"/>
      <w:r w:rsidR="00CE79A7" w:rsidRPr="008B7F0A">
        <w:rPr>
          <w:szCs w:val="24"/>
        </w:rPr>
        <w:t>T</w:t>
      </w:r>
      <w:r w:rsidR="00CC4031" w:rsidRPr="008B7F0A">
        <w:rPr>
          <w:szCs w:val="24"/>
        </w:rPr>
        <w:t>he</w:t>
      </w:r>
      <w:proofErr w:type="gramEnd"/>
      <w:r w:rsidR="00CC4031" w:rsidRPr="008B7F0A">
        <w:rPr>
          <w:szCs w:val="24"/>
        </w:rPr>
        <w:t xml:space="preserve"> Queen in Right of the Province of British Columbia</w:t>
      </w:r>
      <w:r w:rsidR="00DE174F" w:rsidRPr="008B7F0A">
        <w:rPr>
          <w:szCs w:val="24"/>
        </w:rPr>
        <w:t>,</w:t>
      </w:r>
      <w:r w:rsidR="00CC4031" w:rsidRPr="008B7F0A">
        <w:rPr>
          <w:szCs w:val="24"/>
        </w:rPr>
        <w:t xml:space="preserve"> as represented by the Ministry of Education.</w:t>
      </w:r>
    </w:p>
    <w:p w:rsidR="00F74038" w:rsidRPr="008B7F0A" w:rsidRDefault="00422414" w:rsidP="00354F4A">
      <w:pPr>
        <w:pStyle w:val="SCCNormalDoubleSpacing"/>
        <w:spacing w:after="480"/>
        <w:rPr>
          <w:szCs w:val="24"/>
        </w:rPr>
      </w:pPr>
      <w:r w:rsidRPr="008B7F0A">
        <w:rPr>
          <w:i/>
          <w:szCs w:val="24"/>
        </w:rPr>
        <w:tab/>
        <w:t>Laura </w:t>
      </w:r>
      <w:r w:rsidR="00937DE3" w:rsidRPr="008B7F0A">
        <w:rPr>
          <w:i/>
          <w:szCs w:val="24"/>
        </w:rPr>
        <w:t>N. Bakan</w:t>
      </w:r>
      <w:r w:rsidR="00937DE3" w:rsidRPr="008B7F0A">
        <w:rPr>
          <w:szCs w:val="24"/>
        </w:rPr>
        <w:t>,</w:t>
      </w:r>
      <w:r w:rsidR="00937DE3" w:rsidRPr="008B7F0A">
        <w:rPr>
          <w:i/>
          <w:szCs w:val="24"/>
        </w:rPr>
        <w:t xml:space="preserve"> Q.C.</w:t>
      </w:r>
      <w:r w:rsidR="00937DE3" w:rsidRPr="008B7F0A">
        <w:rPr>
          <w:szCs w:val="24"/>
        </w:rPr>
        <w:t xml:space="preserve">, </w:t>
      </w:r>
      <w:r w:rsidRPr="008B7F0A">
        <w:rPr>
          <w:i/>
          <w:szCs w:val="24"/>
        </w:rPr>
        <w:t>David </w:t>
      </w:r>
      <w:r w:rsidR="00937DE3" w:rsidRPr="008B7F0A">
        <w:rPr>
          <w:i/>
          <w:szCs w:val="24"/>
        </w:rPr>
        <w:t>J. Bell</w:t>
      </w:r>
      <w:r w:rsidR="00937DE3" w:rsidRPr="008B7F0A">
        <w:rPr>
          <w:szCs w:val="24"/>
        </w:rPr>
        <w:t xml:space="preserve"> and </w:t>
      </w:r>
      <w:r w:rsidRPr="008B7F0A">
        <w:rPr>
          <w:i/>
          <w:szCs w:val="24"/>
        </w:rPr>
        <w:t>Kristal </w:t>
      </w:r>
      <w:r w:rsidR="00937DE3" w:rsidRPr="008B7F0A">
        <w:rPr>
          <w:i/>
          <w:szCs w:val="24"/>
        </w:rPr>
        <w:t>M. Low</w:t>
      </w:r>
      <w:r w:rsidR="00937DE3" w:rsidRPr="008B7F0A">
        <w:rPr>
          <w:szCs w:val="24"/>
        </w:rPr>
        <w:t>, for the respondent</w:t>
      </w:r>
      <w:r w:rsidR="006844FB" w:rsidRPr="008B7F0A">
        <w:rPr>
          <w:szCs w:val="24"/>
        </w:rPr>
        <w:t xml:space="preserve"> </w:t>
      </w:r>
      <w:r w:rsidR="00420191" w:rsidRPr="008B7F0A">
        <w:rPr>
          <w:szCs w:val="24"/>
        </w:rPr>
        <w:t xml:space="preserve">the </w:t>
      </w:r>
      <w:r w:rsidR="006844FB" w:rsidRPr="008B7F0A">
        <w:rPr>
          <w:szCs w:val="24"/>
        </w:rPr>
        <w:t xml:space="preserve">Board of Education of School District </w:t>
      </w:r>
      <w:r w:rsidR="00654710" w:rsidRPr="008B7F0A">
        <w:rPr>
          <w:szCs w:val="24"/>
        </w:rPr>
        <w:t>No. </w:t>
      </w:r>
      <w:r w:rsidR="006844FB" w:rsidRPr="008B7F0A">
        <w:rPr>
          <w:szCs w:val="24"/>
        </w:rPr>
        <w:t xml:space="preserve">44 (North Vancouver), </w:t>
      </w:r>
      <w:r w:rsidR="006844FB" w:rsidRPr="008B7F0A">
        <w:rPr>
          <w:szCs w:val="24"/>
        </w:rPr>
        <w:lastRenderedPageBreak/>
        <w:t xml:space="preserve">formerly known as The Board of School Trustees of School District </w:t>
      </w:r>
      <w:r w:rsidR="00654710" w:rsidRPr="008B7F0A">
        <w:rPr>
          <w:szCs w:val="24"/>
        </w:rPr>
        <w:t>No. </w:t>
      </w:r>
      <w:r w:rsidR="006844FB" w:rsidRPr="008B7F0A">
        <w:rPr>
          <w:szCs w:val="24"/>
        </w:rPr>
        <w:t>44 (North Vancouver)</w:t>
      </w:r>
      <w:r w:rsidR="00937DE3" w:rsidRPr="008B7F0A">
        <w:rPr>
          <w:szCs w:val="24"/>
        </w:rPr>
        <w:t>.</w:t>
      </w:r>
    </w:p>
    <w:p w:rsidR="003057CD" w:rsidRPr="008B7F0A" w:rsidRDefault="003057CD" w:rsidP="00354F4A">
      <w:pPr>
        <w:pStyle w:val="SCCNormalDoubleSpacing"/>
        <w:spacing w:after="480"/>
        <w:rPr>
          <w:szCs w:val="24"/>
        </w:rPr>
      </w:pPr>
      <w:r w:rsidRPr="008B7F0A">
        <w:rPr>
          <w:i/>
          <w:szCs w:val="24"/>
          <w:lang w:val="en-US"/>
        </w:rPr>
        <w:tab/>
      </w:r>
      <w:proofErr w:type="gramStart"/>
      <w:r w:rsidR="00422414" w:rsidRPr="008B7F0A">
        <w:rPr>
          <w:i/>
          <w:szCs w:val="24"/>
        </w:rPr>
        <w:t>Robert </w:t>
      </w:r>
      <w:r w:rsidRPr="008B7F0A">
        <w:rPr>
          <w:i/>
          <w:szCs w:val="24"/>
        </w:rPr>
        <w:t>E. Charney</w:t>
      </w:r>
      <w:r w:rsidRPr="008B7F0A">
        <w:rPr>
          <w:szCs w:val="24"/>
        </w:rPr>
        <w:t xml:space="preserve"> and </w:t>
      </w:r>
      <w:r w:rsidRPr="008B7F0A">
        <w:rPr>
          <w:i/>
          <w:szCs w:val="24"/>
        </w:rPr>
        <w:t>Sarah Kraicer</w:t>
      </w:r>
      <w:r w:rsidRPr="008B7F0A">
        <w:rPr>
          <w:szCs w:val="24"/>
        </w:rPr>
        <w:t>, for the intervener the Attorney General of Ontario.</w:t>
      </w:r>
      <w:proofErr w:type="gramEnd"/>
    </w:p>
    <w:p w:rsidR="003057CD" w:rsidRPr="008B7F0A" w:rsidRDefault="003057CD" w:rsidP="00354F4A">
      <w:pPr>
        <w:pStyle w:val="SCCNormalDoubleSpacing"/>
        <w:spacing w:after="480"/>
        <w:rPr>
          <w:szCs w:val="24"/>
        </w:rPr>
      </w:pPr>
      <w:r w:rsidRPr="008B7F0A">
        <w:rPr>
          <w:i/>
          <w:szCs w:val="24"/>
        </w:rPr>
        <w:tab/>
      </w:r>
      <w:proofErr w:type="gramStart"/>
      <w:r w:rsidRPr="008B7F0A">
        <w:rPr>
          <w:i/>
          <w:szCs w:val="24"/>
        </w:rPr>
        <w:t>Andrea Luey</w:t>
      </w:r>
      <w:r w:rsidRPr="008B7F0A">
        <w:rPr>
          <w:szCs w:val="24"/>
        </w:rPr>
        <w:t>, for the intervener Justice for Children and Youth.</w:t>
      </w:r>
      <w:proofErr w:type="gramEnd"/>
    </w:p>
    <w:p w:rsidR="003057CD" w:rsidRPr="008B7F0A" w:rsidRDefault="003057CD" w:rsidP="00354F4A">
      <w:pPr>
        <w:pStyle w:val="SCCNormalDoubleSpacing"/>
        <w:spacing w:after="480"/>
        <w:rPr>
          <w:szCs w:val="24"/>
        </w:rPr>
      </w:pPr>
      <w:r w:rsidRPr="008B7F0A">
        <w:rPr>
          <w:i/>
          <w:szCs w:val="24"/>
        </w:rPr>
        <w:tab/>
      </w:r>
      <w:proofErr w:type="gramStart"/>
      <w:r w:rsidRPr="008B7F0A">
        <w:rPr>
          <w:i/>
          <w:szCs w:val="24"/>
        </w:rPr>
        <w:t>Diane MacDonald</w:t>
      </w:r>
      <w:r w:rsidR="00007993" w:rsidRPr="008B7F0A">
        <w:rPr>
          <w:szCs w:val="24"/>
        </w:rPr>
        <w:t xml:space="preserve"> and</w:t>
      </w:r>
      <w:r w:rsidR="00007993" w:rsidRPr="008B7F0A">
        <w:rPr>
          <w:i/>
          <w:szCs w:val="24"/>
        </w:rPr>
        <w:t xml:space="preserve"> Robyn Trask</w:t>
      </w:r>
      <w:r w:rsidRPr="008B7F0A">
        <w:rPr>
          <w:szCs w:val="24"/>
        </w:rPr>
        <w:t>, for the intervener the British Columbia Teachers</w:t>
      </w:r>
      <w:r w:rsidR="00B41374" w:rsidRPr="008B7F0A">
        <w:rPr>
          <w:szCs w:val="24"/>
        </w:rPr>
        <w:t>’</w:t>
      </w:r>
      <w:r w:rsidRPr="008B7F0A">
        <w:rPr>
          <w:szCs w:val="24"/>
        </w:rPr>
        <w:t xml:space="preserve"> Federation.</w:t>
      </w:r>
      <w:proofErr w:type="gramEnd"/>
    </w:p>
    <w:p w:rsidR="00007993" w:rsidRPr="008B7F0A" w:rsidRDefault="00007993" w:rsidP="00354F4A">
      <w:pPr>
        <w:pStyle w:val="SCCNormalDoubleSpacing"/>
        <w:spacing w:after="480"/>
        <w:rPr>
          <w:szCs w:val="24"/>
        </w:rPr>
      </w:pPr>
      <w:r w:rsidRPr="008B7F0A">
        <w:rPr>
          <w:i/>
          <w:szCs w:val="24"/>
        </w:rPr>
        <w:tab/>
      </w:r>
      <w:proofErr w:type="gramStart"/>
      <w:r w:rsidRPr="008B7F0A">
        <w:rPr>
          <w:szCs w:val="24"/>
        </w:rPr>
        <w:t>Written submissions only by</w:t>
      </w:r>
      <w:r w:rsidRPr="008B7F0A">
        <w:rPr>
          <w:i/>
          <w:szCs w:val="24"/>
        </w:rPr>
        <w:t xml:space="preserve"> Gwen Brodsky</w:t>
      </w:r>
      <w:r w:rsidRPr="008B7F0A">
        <w:rPr>
          <w:szCs w:val="24"/>
        </w:rPr>
        <w:t xml:space="preserve">, </w:t>
      </w:r>
      <w:r w:rsidR="00CE79A7" w:rsidRPr="008B7F0A">
        <w:rPr>
          <w:i/>
          <w:szCs w:val="24"/>
        </w:rPr>
        <w:t>Yvonne Peters</w:t>
      </w:r>
      <w:r w:rsidR="00CE79A7" w:rsidRPr="008B7F0A">
        <w:rPr>
          <w:szCs w:val="24"/>
        </w:rPr>
        <w:t xml:space="preserve"> and </w:t>
      </w:r>
      <w:r w:rsidR="00CE79A7" w:rsidRPr="008B7F0A">
        <w:rPr>
          <w:i/>
          <w:szCs w:val="24"/>
        </w:rPr>
        <w:t>Melina Buckley</w:t>
      </w:r>
      <w:r w:rsidR="00304582" w:rsidRPr="00304582">
        <w:rPr>
          <w:szCs w:val="24"/>
        </w:rPr>
        <w:t>,</w:t>
      </w:r>
      <w:r w:rsidR="00CE79A7" w:rsidRPr="00304582">
        <w:rPr>
          <w:szCs w:val="24"/>
        </w:rPr>
        <w:t xml:space="preserve"> </w:t>
      </w:r>
      <w:r w:rsidRPr="008B7F0A">
        <w:rPr>
          <w:szCs w:val="24"/>
        </w:rPr>
        <w:t>for the intervener the Council of Canadians with Disabilities.</w:t>
      </w:r>
      <w:proofErr w:type="gramEnd"/>
    </w:p>
    <w:p w:rsidR="0092239A" w:rsidRPr="008B7F0A" w:rsidRDefault="00422414" w:rsidP="00354F4A">
      <w:pPr>
        <w:pStyle w:val="SCCNormalDoubleSpacing"/>
        <w:spacing w:after="480"/>
        <w:rPr>
          <w:szCs w:val="24"/>
        </w:rPr>
      </w:pPr>
      <w:r w:rsidRPr="008B7F0A">
        <w:rPr>
          <w:i/>
          <w:szCs w:val="24"/>
        </w:rPr>
        <w:tab/>
        <w:t>Anthony </w:t>
      </w:r>
      <w:r w:rsidR="0092239A" w:rsidRPr="008B7F0A">
        <w:rPr>
          <w:i/>
          <w:szCs w:val="24"/>
        </w:rPr>
        <w:t>D. Griffin</w:t>
      </w:r>
      <w:r w:rsidR="0092239A" w:rsidRPr="008B7F0A">
        <w:rPr>
          <w:szCs w:val="24"/>
        </w:rPr>
        <w:t>, for the interveners the Ontario Human Rights Commission, the Saskatchewan Human Rights Commission and the Alberta Human Rights Commission.</w:t>
      </w:r>
    </w:p>
    <w:p w:rsidR="005B14C7" w:rsidRPr="008B7F0A" w:rsidRDefault="005B14C7" w:rsidP="00354F4A">
      <w:pPr>
        <w:pStyle w:val="SCCNormalDoubleSpacing"/>
        <w:spacing w:after="480"/>
        <w:rPr>
          <w:szCs w:val="24"/>
        </w:rPr>
      </w:pPr>
      <w:r w:rsidRPr="008B7F0A">
        <w:rPr>
          <w:i/>
          <w:szCs w:val="24"/>
        </w:rPr>
        <w:tab/>
        <w:t xml:space="preserve">Rahool </w:t>
      </w:r>
      <w:r w:rsidR="00654710" w:rsidRPr="008B7F0A">
        <w:rPr>
          <w:i/>
          <w:szCs w:val="24"/>
        </w:rPr>
        <w:t>P. </w:t>
      </w:r>
      <w:r w:rsidRPr="008B7F0A">
        <w:rPr>
          <w:i/>
          <w:szCs w:val="24"/>
        </w:rPr>
        <w:t>Agarwal</w:t>
      </w:r>
      <w:r w:rsidRPr="008B7F0A">
        <w:rPr>
          <w:szCs w:val="24"/>
        </w:rPr>
        <w:t xml:space="preserve">, </w:t>
      </w:r>
      <w:r w:rsidR="00422414" w:rsidRPr="008B7F0A">
        <w:rPr>
          <w:i/>
          <w:szCs w:val="24"/>
        </w:rPr>
        <w:t>Christopher </w:t>
      </w:r>
      <w:r w:rsidRPr="008B7F0A">
        <w:rPr>
          <w:i/>
          <w:szCs w:val="24"/>
        </w:rPr>
        <w:t>W. Cummins</w:t>
      </w:r>
      <w:r w:rsidRPr="008B7F0A">
        <w:rPr>
          <w:szCs w:val="24"/>
        </w:rPr>
        <w:t xml:space="preserve"> and </w:t>
      </w:r>
      <w:r w:rsidR="00422414" w:rsidRPr="008B7F0A">
        <w:rPr>
          <w:i/>
          <w:szCs w:val="24"/>
        </w:rPr>
        <w:t>Rowan </w:t>
      </w:r>
      <w:r w:rsidRPr="008B7F0A">
        <w:rPr>
          <w:i/>
          <w:szCs w:val="24"/>
        </w:rPr>
        <w:t>E. Weaver</w:t>
      </w:r>
      <w:r w:rsidRPr="00304582">
        <w:rPr>
          <w:szCs w:val="24"/>
        </w:rPr>
        <w:t>,</w:t>
      </w:r>
      <w:r w:rsidRPr="008B7F0A">
        <w:rPr>
          <w:szCs w:val="24"/>
        </w:rPr>
        <w:t xml:space="preserve"> for the intervener the International Dyslexia Association, Ontario Branch.</w:t>
      </w:r>
    </w:p>
    <w:p w:rsidR="00C00B4B" w:rsidRPr="008B7F0A" w:rsidRDefault="00C00B4B" w:rsidP="00354F4A">
      <w:pPr>
        <w:pStyle w:val="SCCNormalDoubleSpacing"/>
        <w:spacing w:after="480"/>
        <w:rPr>
          <w:szCs w:val="24"/>
        </w:rPr>
      </w:pPr>
      <w:r w:rsidRPr="008B7F0A">
        <w:rPr>
          <w:i/>
          <w:szCs w:val="24"/>
        </w:rPr>
        <w:tab/>
      </w:r>
      <w:proofErr w:type="gramStart"/>
      <w:r w:rsidRPr="008B7F0A">
        <w:rPr>
          <w:i/>
          <w:szCs w:val="24"/>
        </w:rPr>
        <w:t xml:space="preserve">Brian Smith </w:t>
      </w:r>
      <w:r w:rsidRPr="008B7F0A">
        <w:rPr>
          <w:szCs w:val="24"/>
        </w:rPr>
        <w:t>and</w:t>
      </w:r>
      <w:r w:rsidRPr="008B7F0A">
        <w:rPr>
          <w:i/>
          <w:szCs w:val="24"/>
        </w:rPr>
        <w:t xml:space="preserve"> Philippe Dufresne</w:t>
      </w:r>
      <w:r w:rsidRPr="008B7F0A">
        <w:rPr>
          <w:szCs w:val="24"/>
        </w:rPr>
        <w:t>, for the intervener the Canadian Human Rights Commission.</w:t>
      </w:r>
      <w:proofErr w:type="gramEnd"/>
    </w:p>
    <w:p w:rsidR="001F4B0C" w:rsidRPr="008B7F0A" w:rsidRDefault="00422414" w:rsidP="00354F4A">
      <w:pPr>
        <w:pStyle w:val="SCCNormalDoubleSpacing"/>
        <w:spacing w:after="480"/>
        <w:rPr>
          <w:szCs w:val="24"/>
        </w:rPr>
      </w:pPr>
      <w:r w:rsidRPr="008B7F0A">
        <w:rPr>
          <w:i/>
          <w:szCs w:val="24"/>
        </w:rPr>
        <w:lastRenderedPageBreak/>
        <w:tab/>
      </w:r>
      <w:proofErr w:type="gramStart"/>
      <w:r w:rsidRPr="008B7F0A">
        <w:rPr>
          <w:i/>
          <w:szCs w:val="24"/>
        </w:rPr>
        <w:t>Yude </w:t>
      </w:r>
      <w:r w:rsidR="001F4B0C" w:rsidRPr="008B7F0A">
        <w:rPr>
          <w:i/>
          <w:szCs w:val="24"/>
        </w:rPr>
        <w:t>M. Henteleff</w:t>
      </w:r>
      <w:r w:rsidR="001F4B0C" w:rsidRPr="008B7F0A">
        <w:rPr>
          <w:szCs w:val="24"/>
        </w:rPr>
        <w:t>,</w:t>
      </w:r>
      <w:r w:rsidR="001F4B0C" w:rsidRPr="008B7F0A">
        <w:rPr>
          <w:i/>
          <w:szCs w:val="24"/>
        </w:rPr>
        <w:t xml:space="preserve"> Q.C.</w:t>
      </w:r>
      <w:r w:rsidR="001F4B0C" w:rsidRPr="008B7F0A">
        <w:rPr>
          <w:szCs w:val="24"/>
        </w:rPr>
        <w:t xml:space="preserve">, and </w:t>
      </w:r>
      <w:r w:rsidRPr="008B7F0A">
        <w:rPr>
          <w:i/>
          <w:szCs w:val="24"/>
        </w:rPr>
        <w:t>Darla </w:t>
      </w:r>
      <w:r w:rsidR="001F4B0C" w:rsidRPr="008B7F0A">
        <w:rPr>
          <w:i/>
          <w:szCs w:val="24"/>
        </w:rPr>
        <w:t>L. Rettie</w:t>
      </w:r>
      <w:r w:rsidR="001F4B0C" w:rsidRPr="008B7F0A">
        <w:rPr>
          <w:szCs w:val="24"/>
        </w:rPr>
        <w:t>, for the intervener the Learning Disabilities Association of Canada.</w:t>
      </w:r>
      <w:proofErr w:type="gramEnd"/>
    </w:p>
    <w:p w:rsidR="00455358" w:rsidRPr="008B7F0A" w:rsidRDefault="00422414" w:rsidP="00354F4A">
      <w:pPr>
        <w:pStyle w:val="SCCNormalDoubleSpacing"/>
        <w:spacing w:after="480"/>
        <w:rPr>
          <w:szCs w:val="24"/>
        </w:rPr>
      </w:pPr>
      <w:r w:rsidRPr="008B7F0A">
        <w:rPr>
          <w:i/>
          <w:szCs w:val="24"/>
        </w:rPr>
        <w:tab/>
      </w:r>
      <w:proofErr w:type="gramStart"/>
      <w:r w:rsidRPr="008B7F0A">
        <w:rPr>
          <w:i/>
          <w:szCs w:val="24"/>
        </w:rPr>
        <w:t>Ranjan </w:t>
      </w:r>
      <w:r w:rsidR="00455358" w:rsidRPr="008B7F0A">
        <w:rPr>
          <w:i/>
          <w:szCs w:val="24"/>
        </w:rPr>
        <w:t>K. Agarwal</w:t>
      </w:r>
      <w:r w:rsidR="00455358" w:rsidRPr="008B7F0A">
        <w:rPr>
          <w:szCs w:val="24"/>
        </w:rPr>
        <w:t xml:space="preserve"> and </w:t>
      </w:r>
      <w:r w:rsidR="00455358" w:rsidRPr="008B7F0A">
        <w:rPr>
          <w:i/>
          <w:szCs w:val="24"/>
        </w:rPr>
        <w:t>Daniel Holden</w:t>
      </w:r>
      <w:r w:rsidR="00455358" w:rsidRPr="008B7F0A">
        <w:rPr>
          <w:szCs w:val="24"/>
        </w:rPr>
        <w:t>, for the intervener the Canadian Constitution Foundation.</w:t>
      </w:r>
      <w:proofErr w:type="gramEnd"/>
    </w:p>
    <w:p w:rsidR="00A6005F" w:rsidRPr="008B7F0A" w:rsidRDefault="00A6005F" w:rsidP="00354F4A">
      <w:pPr>
        <w:pStyle w:val="SCCNormalDoubleSpacing"/>
        <w:spacing w:after="480"/>
        <w:rPr>
          <w:szCs w:val="24"/>
        </w:rPr>
      </w:pPr>
      <w:r w:rsidRPr="008B7F0A">
        <w:rPr>
          <w:i/>
          <w:szCs w:val="24"/>
        </w:rPr>
        <w:tab/>
      </w:r>
      <w:proofErr w:type="gramStart"/>
      <w:r w:rsidRPr="008B7F0A">
        <w:rPr>
          <w:szCs w:val="24"/>
        </w:rPr>
        <w:t>Written submissions only</w:t>
      </w:r>
      <w:r w:rsidRPr="008B7F0A">
        <w:rPr>
          <w:i/>
          <w:szCs w:val="24"/>
        </w:rPr>
        <w:t xml:space="preserve"> </w:t>
      </w:r>
      <w:r w:rsidRPr="008B7F0A">
        <w:rPr>
          <w:szCs w:val="24"/>
        </w:rPr>
        <w:t>by</w:t>
      </w:r>
      <w:r w:rsidRPr="008B7F0A">
        <w:rPr>
          <w:i/>
          <w:szCs w:val="24"/>
        </w:rPr>
        <w:t xml:space="preserve"> Isha Khan</w:t>
      </w:r>
      <w:r w:rsidRPr="008B7F0A">
        <w:rPr>
          <w:szCs w:val="24"/>
        </w:rPr>
        <w:t xml:space="preserve">, for the intervener the </w:t>
      </w:r>
      <w:r w:rsidR="001E3D79" w:rsidRPr="008B7F0A">
        <w:rPr>
          <w:szCs w:val="24"/>
        </w:rPr>
        <w:t>Manitoba</w:t>
      </w:r>
      <w:r w:rsidRPr="008B7F0A">
        <w:rPr>
          <w:szCs w:val="24"/>
        </w:rPr>
        <w:t xml:space="preserve"> Human Rights Commission.</w:t>
      </w:r>
      <w:proofErr w:type="gramEnd"/>
    </w:p>
    <w:p w:rsidR="00DA34F2" w:rsidRPr="008B7F0A" w:rsidRDefault="00DE174F" w:rsidP="00354F4A">
      <w:pPr>
        <w:pStyle w:val="SCCNormalDoubleSpacing"/>
        <w:spacing w:after="480"/>
        <w:rPr>
          <w:szCs w:val="24"/>
        </w:rPr>
      </w:pPr>
      <w:r w:rsidRPr="008B7F0A">
        <w:rPr>
          <w:i/>
          <w:szCs w:val="24"/>
        </w:rPr>
        <w:tab/>
      </w:r>
      <w:proofErr w:type="gramStart"/>
      <w:r w:rsidR="00DA34F2" w:rsidRPr="008B7F0A">
        <w:rPr>
          <w:i/>
          <w:szCs w:val="24"/>
        </w:rPr>
        <w:t>Alison Dewar</w:t>
      </w:r>
      <w:r w:rsidR="00DA34F2" w:rsidRPr="008B7F0A">
        <w:rPr>
          <w:szCs w:val="24"/>
        </w:rPr>
        <w:t>, for the intervener the West Coast Women</w:t>
      </w:r>
      <w:r w:rsidR="00B41374" w:rsidRPr="008B7F0A">
        <w:rPr>
          <w:szCs w:val="24"/>
        </w:rPr>
        <w:t>’</w:t>
      </w:r>
      <w:r w:rsidR="00DA34F2" w:rsidRPr="008B7F0A">
        <w:rPr>
          <w:szCs w:val="24"/>
        </w:rPr>
        <w:t>s Legal Education and Action Fund.</w:t>
      </w:r>
      <w:proofErr w:type="gramEnd"/>
    </w:p>
    <w:p w:rsidR="00142D69" w:rsidRPr="008B7F0A" w:rsidRDefault="00142D69" w:rsidP="00354F4A">
      <w:pPr>
        <w:pStyle w:val="SCCNormalDoubleSpacing"/>
        <w:spacing w:after="480"/>
        <w:rPr>
          <w:szCs w:val="24"/>
        </w:rPr>
      </w:pPr>
      <w:r w:rsidRPr="008B7F0A">
        <w:rPr>
          <w:i/>
          <w:szCs w:val="24"/>
        </w:rPr>
        <w:tab/>
      </w:r>
      <w:proofErr w:type="gramStart"/>
      <w:r w:rsidRPr="008B7F0A">
        <w:rPr>
          <w:i/>
          <w:szCs w:val="24"/>
        </w:rPr>
        <w:t xml:space="preserve">Roberto Lattanzio </w:t>
      </w:r>
      <w:r w:rsidRPr="008B7F0A">
        <w:rPr>
          <w:szCs w:val="24"/>
        </w:rPr>
        <w:t>and</w:t>
      </w:r>
      <w:r w:rsidRPr="008B7F0A">
        <w:rPr>
          <w:i/>
          <w:szCs w:val="24"/>
        </w:rPr>
        <w:t xml:space="preserve"> Laurie Letheren</w:t>
      </w:r>
      <w:r w:rsidRPr="008B7F0A">
        <w:rPr>
          <w:szCs w:val="24"/>
        </w:rPr>
        <w:t>, for the intervener the Canadian Association for Community Living.</w:t>
      </w:r>
      <w:proofErr w:type="gramEnd"/>
    </w:p>
    <w:p w:rsidR="00EE201E" w:rsidRPr="008B7F0A" w:rsidRDefault="00EE201E" w:rsidP="00354F4A">
      <w:pPr>
        <w:pStyle w:val="SCCNormalDoubleSpacing"/>
        <w:spacing w:after="480"/>
        <w:rPr>
          <w:szCs w:val="24"/>
          <w:lang w:val="fr-CA"/>
        </w:rPr>
      </w:pPr>
      <w:r w:rsidRPr="008B7F0A">
        <w:rPr>
          <w:i/>
          <w:szCs w:val="24"/>
        </w:rPr>
        <w:tab/>
      </w:r>
      <w:r w:rsidRPr="008B7F0A">
        <w:rPr>
          <w:i/>
          <w:szCs w:val="24"/>
          <w:lang w:val="fr-CA"/>
        </w:rPr>
        <w:t>Athanassia Bitzakidis</w:t>
      </w:r>
      <w:r w:rsidRPr="008B7F0A">
        <w:rPr>
          <w:szCs w:val="24"/>
          <w:lang w:val="fr-CA"/>
        </w:rPr>
        <w:t>, for the intervener Commission des droits de la personne et des droits de la jeunesse.</w:t>
      </w:r>
    </w:p>
    <w:p w:rsidR="00F74038" w:rsidRPr="008B7F0A" w:rsidRDefault="00937DE3" w:rsidP="00354F4A">
      <w:pPr>
        <w:pStyle w:val="SCCNormalDoubleSpacing"/>
        <w:spacing w:after="480"/>
        <w:rPr>
          <w:szCs w:val="24"/>
        </w:rPr>
      </w:pPr>
      <w:r w:rsidRPr="008B7F0A">
        <w:rPr>
          <w:i/>
          <w:szCs w:val="24"/>
          <w:lang w:val="fr-CA"/>
        </w:rPr>
        <w:tab/>
      </w:r>
      <w:proofErr w:type="gramStart"/>
      <w:r w:rsidRPr="008B7F0A">
        <w:rPr>
          <w:i/>
          <w:szCs w:val="24"/>
        </w:rPr>
        <w:t>Denise</w:t>
      </w:r>
      <w:r w:rsidR="00422414" w:rsidRPr="008B7F0A">
        <w:rPr>
          <w:i/>
          <w:szCs w:val="24"/>
        </w:rPr>
        <w:t> </w:t>
      </w:r>
      <w:r w:rsidR="008F1F0E" w:rsidRPr="008B7F0A">
        <w:rPr>
          <w:i/>
          <w:szCs w:val="24"/>
        </w:rPr>
        <w:t>E.</w:t>
      </w:r>
      <w:r w:rsidRPr="008B7F0A">
        <w:rPr>
          <w:i/>
          <w:szCs w:val="24"/>
        </w:rPr>
        <w:t xml:space="preserve"> Paluck</w:t>
      </w:r>
      <w:r w:rsidRPr="008B7F0A">
        <w:rPr>
          <w:szCs w:val="24"/>
        </w:rPr>
        <w:t xml:space="preserve">, for the intervener </w:t>
      </w:r>
      <w:r w:rsidR="008F1F0E" w:rsidRPr="008B7F0A">
        <w:rPr>
          <w:szCs w:val="24"/>
        </w:rPr>
        <w:t xml:space="preserve">the </w:t>
      </w:r>
      <w:r w:rsidRPr="008B7F0A">
        <w:rPr>
          <w:szCs w:val="24"/>
        </w:rPr>
        <w:t>British Columbia Human Rights Tribunal.</w:t>
      </w:r>
      <w:proofErr w:type="gramEnd"/>
    </w:p>
    <w:p w:rsidR="00F74038" w:rsidRPr="008B7F0A" w:rsidRDefault="00937DE3" w:rsidP="00354F4A">
      <w:pPr>
        <w:pStyle w:val="SCCNormalDoubleSpacing"/>
        <w:spacing w:after="480"/>
        <w:rPr>
          <w:szCs w:val="24"/>
        </w:rPr>
      </w:pPr>
      <w:r w:rsidRPr="008B7F0A">
        <w:rPr>
          <w:i/>
          <w:szCs w:val="24"/>
        </w:rPr>
        <w:tab/>
      </w:r>
      <w:proofErr w:type="gramStart"/>
      <w:r w:rsidRPr="008B7F0A">
        <w:rPr>
          <w:i/>
          <w:szCs w:val="24"/>
        </w:rPr>
        <w:t>Nicholas McHaffie</w:t>
      </w:r>
      <w:r w:rsidRPr="008B7F0A">
        <w:rPr>
          <w:szCs w:val="24"/>
        </w:rPr>
        <w:t xml:space="preserve"> and </w:t>
      </w:r>
      <w:r w:rsidRPr="008B7F0A">
        <w:rPr>
          <w:i/>
          <w:szCs w:val="24"/>
        </w:rPr>
        <w:t>Sarah Clarke</w:t>
      </w:r>
      <w:r w:rsidRPr="008B7F0A">
        <w:rPr>
          <w:szCs w:val="24"/>
        </w:rPr>
        <w:t xml:space="preserve">, for the intervener </w:t>
      </w:r>
      <w:r w:rsidR="00C31E75" w:rsidRPr="008B7F0A">
        <w:rPr>
          <w:szCs w:val="24"/>
        </w:rPr>
        <w:t xml:space="preserve">the </w:t>
      </w:r>
      <w:r w:rsidRPr="008B7F0A">
        <w:rPr>
          <w:szCs w:val="24"/>
        </w:rPr>
        <w:t>First Nations Child and Family Caring Society of Canada.</w:t>
      </w:r>
      <w:proofErr w:type="gramEnd"/>
    </w:p>
    <w:p w:rsidR="00E733D5" w:rsidRPr="008B7F0A" w:rsidRDefault="00EC7C31" w:rsidP="00EC7C31">
      <w:pPr>
        <w:pStyle w:val="SCCNormalDoubleSpacing"/>
        <w:spacing w:after="480"/>
        <w:rPr>
          <w:szCs w:val="24"/>
        </w:rPr>
      </w:pPr>
      <w:r w:rsidRPr="008B7F0A">
        <w:rPr>
          <w:szCs w:val="24"/>
        </w:rPr>
        <w:lastRenderedPageBreak/>
        <w:tab/>
        <w:t>The judgment of the Court was delivered by</w:t>
      </w:r>
    </w:p>
    <w:p w:rsidR="00E733D5" w:rsidRPr="008B7F0A" w:rsidRDefault="00EC7C31" w:rsidP="00E733D5">
      <w:pPr>
        <w:pStyle w:val="ParaNoNdepar-AltN"/>
        <w:tabs>
          <w:tab w:val="clear" w:pos="1166"/>
          <w:tab w:val="num" w:pos="1152"/>
        </w:tabs>
        <w:rPr>
          <w:rFonts w:cs="Times New Roman"/>
        </w:rPr>
      </w:pPr>
      <w:r w:rsidRPr="008B7F0A">
        <w:rPr>
          <w:rFonts w:cs="Times New Roman"/>
          <w:smallCaps/>
        </w:rPr>
        <w:t>Abella J.</w:t>
      </w:r>
      <w:r w:rsidRPr="008B7F0A">
        <w:rPr>
          <w:rFonts w:cs="Times New Roman"/>
        </w:rPr>
        <w:t xml:space="preserve"> — </w:t>
      </w:r>
      <w:proofErr w:type="gramStart"/>
      <w:r w:rsidR="00E733D5" w:rsidRPr="008B7F0A">
        <w:rPr>
          <w:rFonts w:cs="Times New Roman"/>
        </w:rPr>
        <w:t>This</w:t>
      </w:r>
      <w:proofErr w:type="gramEnd"/>
      <w:r w:rsidR="00E733D5" w:rsidRPr="008B7F0A">
        <w:rPr>
          <w:rFonts w:cs="Times New Roman"/>
        </w:rPr>
        <w:t xml:space="preserve"> case is about the education of Jeffrey Moore, a child with a severe learning disability who claims that he was discriminated against because the intense remedial instruction he needed in his early school years for his dyslexia was not available in the public school system.  Based on the recommendation of a school psychologist, Jeffrey’s parents enrolled him in specialized private schools in Grade 4 and paid the necessary tuition. The remedial instruction he received was successful and his reading ability improved significantly.</w:t>
      </w:r>
    </w:p>
    <w:p w:rsidR="00E733D5" w:rsidRPr="008B7F0A" w:rsidRDefault="00E733D5" w:rsidP="00E733D5">
      <w:pPr>
        <w:pStyle w:val="ParaNoNdepar-AltN"/>
        <w:tabs>
          <w:tab w:val="clear" w:pos="1166"/>
          <w:tab w:val="num" w:pos="1152"/>
        </w:tabs>
        <w:rPr>
          <w:rFonts w:cs="Times New Roman"/>
        </w:rPr>
      </w:pPr>
      <w:r w:rsidRPr="008B7F0A">
        <w:rPr>
          <w:rFonts w:cs="Times New Roman"/>
        </w:rPr>
        <w:t>Jeffrey’s father, Frederick Moore, filed a human rights complaint against the School District and the British Columbia Ministry of Education alleging tha</w:t>
      </w:r>
      <w:r w:rsidR="008B7F0A" w:rsidRPr="008B7F0A">
        <w:rPr>
          <w:rFonts w:cs="Times New Roman"/>
        </w:rPr>
        <w:t>t</w:t>
      </w:r>
      <w:r w:rsidR="008B7F0A">
        <w:rPr>
          <w:rFonts w:cs="Times New Roman"/>
        </w:rPr>
        <w:t xml:space="preserve"> </w:t>
      </w:r>
      <w:r w:rsidR="008B7F0A" w:rsidRPr="008B7F0A">
        <w:rPr>
          <w:rFonts w:cs="Times New Roman"/>
        </w:rPr>
        <w:t>J</w:t>
      </w:r>
      <w:r w:rsidRPr="008B7F0A">
        <w:rPr>
          <w:rFonts w:cs="Times New Roman"/>
        </w:rPr>
        <w:t xml:space="preserve">effrey had been discriminated against because of his disability and had been denied a </w:t>
      </w:r>
      <w:r w:rsidR="00EC7C31" w:rsidRPr="008B7F0A">
        <w:rPr>
          <w:rFonts w:cs="Times New Roman"/>
        </w:rPr>
        <w:t>“</w:t>
      </w:r>
      <w:r w:rsidRPr="008B7F0A">
        <w:rPr>
          <w:rFonts w:cs="Times New Roman"/>
        </w:rPr>
        <w:t xml:space="preserve">service . . . customarily available to the public”, contrary to s. 8 of the </w:t>
      </w:r>
      <w:r w:rsidRPr="008B7F0A">
        <w:rPr>
          <w:rFonts w:cs="Times New Roman"/>
          <w:i/>
        </w:rPr>
        <w:t>Human Rights Code</w:t>
      </w:r>
      <w:r w:rsidR="00EC7C31" w:rsidRPr="008B7F0A">
        <w:rPr>
          <w:rFonts w:cs="Times New Roman"/>
        </w:rPr>
        <w:t>, R.S.B.C. 1996, c. 210 (“</w:t>
      </w:r>
      <w:r w:rsidR="00EC7C31" w:rsidRPr="008B7F0A">
        <w:rPr>
          <w:rFonts w:cs="Times New Roman"/>
          <w:i/>
        </w:rPr>
        <w:t>Code</w:t>
      </w:r>
      <w:r w:rsidR="00EC7C31" w:rsidRPr="008B7F0A">
        <w:rPr>
          <w:rFonts w:cs="Times New Roman"/>
        </w:rPr>
        <w:t>”)</w:t>
      </w:r>
      <w:r w:rsidRPr="008B7F0A">
        <w:rPr>
          <w:rFonts w:cs="Times New Roman"/>
        </w:rPr>
        <w:t xml:space="preserve">. </w:t>
      </w:r>
    </w:p>
    <w:p w:rsidR="00E733D5" w:rsidRPr="008B7F0A" w:rsidRDefault="00E733D5" w:rsidP="00E733D5">
      <w:pPr>
        <w:pStyle w:val="ParaNoNdepar-AltN"/>
        <w:tabs>
          <w:tab w:val="clear" w:pos="1166"/>
          <w:tab w:val="num" w:pos="1152"/>
        </w:tabs>
        <w:rPr>
          <w:rFonts w:cs="Times New Roman"/>
        </w:rPr>
      </w:pPr>
      <w:r w:rsidRPr="008B7F0A">
        <w:rPr>
          <w:rFonts w:cs="Times New Roman"/>
        </w:rPr>
        <w:t>The Human Rights Tribunal held 43 days of hearings, receiving evidence about the funding and administration of special education in the District and Province, the District’s budgetary constraints at the relevant time, dyslexia generally, and Jeffrey’s circumstances in particular.</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The Tribunal concluded that the failure of the public school system to give Jeffrey the support he needed to have meaningful access to the educational </w:t>
      </w:r>
      <w:r w:rsidRPr="008B7F0A">
        <w:rPr>
          <w:rFonts w:cs="Times New Roman"/>
        </w:rPr>
        <w:lastRenderedPageBreak/>
        <w:t xml:space="preserve">opportunities offered by the Board, amounted to discrimination under the </w:t>
      </w:r>
      <w:r w:rsidRPr="008B7F0A">
        <w:rPr>
          <w:rFonts w:cs="Times New Roman"/>
          <w:i/>
        </w:rPr>
        <w:t>Code</w:t>
      </w:r>
      <w:r w:rsidRPr="008B7F0A">
        <w:rPr>
          <w:rFonts w:cs="Times New Roman"/>
        </w:rPr>
        <w:t>.  I agree.</w:t>
      </w:r>
    </w:p>
    <w:p w:rsidR="00E733D5" w:rsidRPr="008B7F0A" w:rsidRDefault="00E733D5" w:rsidP="00E733D5">
      <w:pPr>
        <w:pStyle w:val="ParaNoNdepar-AltN"/>
        <w:tabs>
          <w:tab w:val="clear" w:pos="1166"/>
          <w:tab w:val="num" w:pos="1152"/>
        </w:tabs>
        <w:rPr>
          <w:rFonts w:cs="Times New Roman"/>
          <w:u w:val="single"/>
        </w:rPr>
      </w:pPr>
      <w:r w:rsidRPr="008B7F0A">
        <w:rPr>
          <w:rFonts w:cs="Times New Roman"/>
        </w:rPr>
        <w:t xml:space="preserve">The preamble to the </w:t>
      </w:r>
      <w:r w:rsidRPr="008B7F0A">
        <w:rPr>
          <w:rFonts w:cs="Times New Roman"/>
          <w:i/>
        </w:rPr>
        <w:t>School Act</w:t>
      </w:r>
      <w:r w:rsidRPr="008B7F0A">
        <w:rPr>
          <w:rFonts w:cs="Times New Roman"/>
        </w:rPr>
        <w:t>,</w:t>
      </w:r>
      <w:r w:rsidRPr="008B7F0A">
        <w:rPr>
          <w:rStyle w:val="FootnoteReference"/>
          <w:rFonts w:cs="Times New Roman"/>
        </w:rPr>
        <w:footnoteReference w:id="1"/>
      </w:r>
      <w:r w:rsidRPr="008B7F0A">
        <w:rPr>
          <w:rFonts w:cs="Times New Roman"/>
        </w:rPr>
        <w:t xml:space="preserve">  the operative legislation when Jeffrey was in school, stated that “the purpose of the British Columbia school system is to enable all learners to develop their individual potential and to acquire the knowledge, skills and attitudes needed to contribute to a healthy, democratic and pluralistic society and a prosperous and sustainable economy”.  This declaration of purpose is an acknowledgment by the government that the reason all children are entitled to an education, is because a healthy democracy and economy require their educated contribution.  Adequate special education, therefore, is not a dispensable luxury.  For those with severe learning disabilities, it is the ramp that provides access to the statutory commitment to education made to </w:t>
      </w:r>
      <w:r w:rsidRPr="008B7F0A">
        <w:rPr>
          <w:rFonts w:cs="Times New Roman"/>
          <w:i/>
        </w:rPr>
        <w:t>all</w:t>
      </w:r>
      <w:r w:rsidRPr="008B7F0A">
        <w:rPr>
          <w:rFonts w:cs="Times New Roman"/>
        </w:rPr>
        <w:t xml:space="preserve"> children in British Columbia.  </w:t>
      </w:r>
    </w:p>
    <w:p w:rsidR="00E733D5" w:rsidRPr="008B7F0A" w:rsidRDefault="00E733D5" w:rsidP="00E733D5">
      <w:pPr>
        <w:pStyle w:val="TitleTitre-AltT"/>
        <w:outlineLvl w:val="0"/>
        <w:rPr>
          <w:rFonts w:cs="Times New Roman"/>
          <w:u w:val="single"/>
        </w:rPr>
      </w:pPr>
      <w:r w:rsidRPr="008B7F0A">
        <w:rPr>
          <w:rFonts w:cs="Times New Roman"/>
          <w:u w:val="single"/>
        </w:rPr>
        <w:t>Background</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At the relevant time, public school funding in British Columbia was approved annually by the Province but administered by districts under the </w:t>
      </w:r>
      <w:r w:rsidRPr="008B7F0A">
        <w:rPr>
          <w:rFonts w:cs="Times New Roman"/>
          <w:i/>
        </w:rPr>
        <w:t>School Act</w:t>
      </w:r>
      <w:r w:rsidRPr="008B7F0A">
        <w:rPr>
          <w:rFonts w:cs="Times New Roman"/>
        </w:rPr>
        <w:t xml:space="preserve">.  As of the 1990/91 school year, the Province instituted a block funding system, whereby an overall amount of money was made available for education and then </w:t>
      </w:r>
      <w:r w:rsidRPr="008B7F0A">
        <w:rPr>
          <w:rFonts w:cs="Times New Roman"/>
          <w:szCs w:val="24"/>
        </w:rPr>
        <w:t xml:space="preserve">allocated among the various districts by the Minister.  </w:t>
      </w:r>
      <w:r w:rsidRPr="008B7F0A">
        <w:rPr>
          <w:rFonts w:cs="Times New Roman"/>
        </w:rPr>
        <w:t xml:space="preserve">The block amount, as determined in the base year, was adjusted annually to allow for changes in enrolment, mandated services, and economic indicators such as changes in the cost of resources.  </w:t>
      </w:r>
      <w:r w:rsidRPr="008B7F0A">
        <w:rPr>
          <w:rFonts w:cs="Times New Roman"/>
          <w:szCs w:val="24"/>
        </w:rPr>
        <w:lastRenderedPageBreak/>
        <w:t>For a short period, the Province provided equalization grants to ease the transition for districts which had historically earned significant supplementary</w:t>
      </w:r>
      <w:r w:rsidR="008F2C9B" w:rsidRPr="008B7F0A">
        <w:rPr>
          <w:rFonts w:cs="Times New Roman"/>
          <w:szCs w:val="24"/>
        </w:rPr>
        <w:t xml:space="preserve"> funds through local taxation. </w:t>
      </w:r>
    </w:p>
    <w:p w:rsidR="00E733D5" w:rsidRPr="008B7F0A" w:rsidRDefault="00E733D5" w:rsidP="00E733D5">
      <w:pPr>
        <w:pStyle w:val="ParaNoNdepar-AltN"/>
        <w:tabs>
          <w:tab w:val="clear" w:pos="1166"/>
          <w:tab w:val="num" w:pos="1152"/>
        </w:tabs>
        <w:rPr>
          <w:rFonts w:cs="Times New Roman"/>
        </w:rPr>
      </w:pPr>
      <w:r w:rsidRPr="008B7F0A">
        <w:rPr>
          <w:rFonts w:cs="Times New Roman"/>
          <w:szCs w:val="24"/>
        </w:rPr>
        <w:t>For the purposes of funding special education, the Province classified students into various groups, including what it referred to as “</w:t>
      </w:r>
      <w:r w:rsidRPr="008B7F0A">
        <w:rPr>
          <w:rFonts w:cs="Times New Roman"/>
        </w:rPr>
        <w:t xml:space="preserve">high incidence/low cost” and “low incidence/high cost” programs.  Severe learning disabilities like dyslexia were always treated as a high incidence/low cost disability.  From 1987/88, the Province capped the specific funding that was available for high incidence/low cost students to a percentage of a district’s student population in order to control the increasing number of students qualifying for this supplementary funding.  Notably, as of 1991, the </w:t>
      </w:r>
      <w:r w:rsidRPr="008B7F0A">
        <w:rPr>
          <w:rFonts w:cs="Times New Roman"/>
          <w:i/>
        </w:rPr>
        <w:t>School Act</w:t>
      </w:r>
      <w:r w:rsidRPr="008B7F0A">
        <w:rPr>
          <w:rFonts w:cs="Times New Roman"/>
        </w:rPr>
        <w:t xml:space="preserve"> set out minimum spending levels for high incidence/low cost and low incidence/high cost students.  That meant that once a child was identified as having a severe learning disability, additional support was mandatory.  As a result, districts were required to draw on the general provincial allocation to fund any high incidence/low cost students above the high incidence/low cost cap.</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When Jeffrey entered kindergarten in 1991, students with special needs in the District were supported in several ways: they received assistance in and out of the classroom from special education Aides; they were referred to the school-based </w:t>
      </w:r>
      <w:r w:rsidRPr="008B7F0A">
        <w:rPr>
          <w:rFonts w:cs="Times New Roman"/>
          <w:szCs w:val="24"/>
        </w:rPr>
        <w:t>Learning Assistance Centre</w:t>
      </w:r>
      <w:r w:rsidRPr="008B7F0A">
        <w:rPr>
          <w:rFonts w:cs="Times New Roman"/>
        </w:rPr>
        <w:t xml:space="preserve"> where they would work with </w:t>
      </w:r>
      <w:r w:rsidRPr="008B7F0A">
        <w:rPr>
          <w:rFonts w:cs="Times New Roman"/>
          <w:szCs w:val="24"/>
        </w:rPr>
        <w:t>learning assistance teachers or tutors; and a small number of them were placed in the Diagnostic Centre for more intensive assistance</w:t>
      </w:r>
      <w:r w:rsidRPr="008B7F0A">
        <w:rPr>
          <w:rFonts w:cs="Times New Roman"/>
        </w:rPr>
        <w:t>.</w:t>
      </w:r>
      <w:r w:rsidRPr="008B7F0A">
        <w:rPr>
          <w:rFonts w:cs="Times New Roman"/>
          <w:szCs w:val="24"/>
        </w:rPr>
        <w:t xml:space="preserve">  </w:t>
      </w:r>
    </w:p>
    <w:p w:rsidR="00E733D5" w:rsidRPr="008B7F0A" w:rsidRDefault="00E733D5" w:rsidP="00E733D5">
      <w:pPr>
        <w:pStyle w:val="ParaNoNdepar-AltN"/>
        <w:tabs>
          <w:tab w:val="clear" w:pos="1166"/>
          <w:tab w:val="num" w:pos="1152"/>
        </w:tabs>
        <w:rPr>
          <w:rFonts w:cs="Times New Roman"/>
        </w:rPr>
      </w:pPr>
      <w:r w:rsidRPr="008B7F0A">
        <w:rPr>
          <w:rFonts w:cs="Times New Roman"/>
        </w:rPr>
        <w:lastRenderedPageBreak/>
        <w:t>Following the implementation of the block funding model, there were significant financi</w:t>
      </w:r>
      <w:r w:rsidR="00304582">
        <w:rPr>
          <w:rFonts w:cs="Times New Roman"/>
        </w:rPr>
        <w:t>al pressures on Jeffrey’s home d</w:t>
      </w:r>
      <w:r w:rsidRPr="008B7F0A">
        <w:rPr>
          <w:rFonts w:cs="Times New Roman"/>
        </w:rPr>
        <w:t xml:space="preserve">istrict, School District No. 44.  From 1991/92 to 1994/95, the District consistently faced budgetary shortfalls.  </w:t>
      </w:r>
      <w:r w:rsidRPr="008B7F0A">
        <w:rPr>
          <w:rFonts w:cs="Times New Roman"/>
          <w:szCs w:val="24"/>
        </w:rPr>
        <w:t>It had relied on supplementary funds in the past and received declining equalization grants until 1992/93.</w:t>
      </w:r>
      <w:r w:rsidRPr="008B7F0A">
        <w:rPr>
          <w:rFonts w:cs="Times New Roman"/>
        </w:rPr>
        <w:t xml:space="preserve">  Despite requests, it did not get additional funding from the Province but got permission to run temporary deficits.  Consistent deficits during this period led to wide-scale budget cuts in the District between 1991/92 and 1994/95, including a reduction of almost $1.5 million in spending for high incidence/low cost students with learning disabilities.</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In the 1994/95 budgetary process, possible solutions to the financial difficulties included restricting the availability of Aides or closing the District Diagnostic Centre, a program which provided intensive services and individualized assistance to students with severe learning disabilities.  The District limited its cuts to Aide allocation because of the terms of its Collective Agreement with the teachers’ association, which required </w:t>
      </w:r>
      <w:r w:rsidRPr="008B7F0A">
        <w:rPr>
          <w:rFonts w:cs="Times New Roman"/>
          <w:szCs w:val="24"/>
        </w:rPr>
        <w:t>a minimum of two hours a week of Aide time</w:t>
      </w:r>
      <w:r w:rsidRPr="008B7F0A">
        <w:rPr>
          <w:rFonts w:cs="Times New Roman"/>
        </w:rPr>
        <w:t xml:space="preserve"> </w:t>
      </w:r>
      <w:r w:rsidRPr="008B7F0A">
        <w:rPr>
          <w:rFonts w:cs="Times New Roman"/>
          <w:szCs w:val="24"/>
        </w:rPr>
        <w:t xml:space="preserve">once a student was designated as being in a </w:t>
      </w:r>
      <w:r w:rsidRPr="008B7F0A">
        <w:rPr>
          <w:rFonts w:cs="Times New Roman"/>
        </w:rPr>
        <w:t>high incidence/low cost</w:t>
      </w:r>
      <w:r w:rsidRPr="008B7F0A">
        <w:rPr>
          <w:rFonts w:cs="Times New Roman"/>
          <w:szCs w:val="24"/>
        </w:rPr>
        <w:t xml:space="preserve"> category</w:t>
      </w:r>
      <w:r w:rsidRPr="008B7F0A">
        <w:rPr>
          <w:rFonts w:cs="Times New Roman"/>
        </w:rPr>
        <w:t>.  Other proposed cuts were implemented, including the closing of the Diagnostic Centre in 1994.  In February 1996, the Province fired the Board of the District and replaced it with an Official Trustee.</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Jeffrey Moore started kindergarten in September 1991 at Braemar Elementary School, his North Vancouver neighbourhood school in the District.  </w:t>
      </w:r>
      <w:r w:rsidRPr="008B7F0A">
        <w:rPr>
          <w:rFonts w:cs="Times New Roman"/>
        </w:rPr>
        <w:lastRenderedPageBreak/>
        <w:t xml:space="preserve">While he was happy and energetic in nursery school, it quickly became apparent in kindergarten that Jeffrey needed extra support to learn to read.  After scoring low on a screening test, Jeffrey was referred to the </w:t>
      </w:r>
      <w:r w:rsidRPr="008B7F0A">
        <w:rPr>
          <w:rFonts w:cs="Times New Roman"/>
          <w:szCs w:val="24"/>
        </w:rPr>
        <w:t xml:space="preserve">Elementary Learning Resource Team, a group of specialists who provided support and assistance to students in the District who had severe learning disabilities, including dyslexia. </w:t>
      </w:r>
    </w:p>
    <w:p w:rsidR="00E733D5" w:rsidRPr="008B7F0A" w:rsidRDefault="00E733D5" w:rsidP="00E733D5">
      <w:pPr>
        <w:pStyle w:val="ParaNoNdepar-AltN"/>
        <w:tabs>
          <w:tab w:val="clear" w:pos="1166"/>
          <w:tab w:val="num" w:pos="1152"/>
        </w:tabs>
        <w:rPr>
          <w:rFonts w:cs="Times New Roman"/>
        </w:rPr>
      </w:pPr>
      <w:r w:rsidRPr="008B7F0A">
        <w:rPr>
          <w:rFonts w:cs="Times New Roman"/>
          <w:szCs w:val="24"/>
        </w:rPr>
        <w:t xml:space="preserve">After his first assessment in kindergarten, Jeffrey was observed in the classroom and given 15 minutes of individual help from an Aide three times a week.  He was assessed twice by the Elementary Learning Resource Team in Grade 1 because he continued to fall behind in literacy skills.  He started attending the Learning Assistance Centre three times a week, for half-hour individual sessions with Barbara Waigh, a learning assistance teacher.  He also had two 40-minute sessions in the Learning Assistance Centre with a volunteer tutor.  Because he still made poor progress, Jeffrey’s parents, at the school’s recommendation, hired a private tutor to work with Jeffrey. </w:t>
      </w:r>
    </w:p>
    <w:p w:rsidR="00E733D5" w:rsidRPr="008B7F0A" w:rsidRDefault="00E733D5" w:rsidP="00E733D5">
      <w:pPr>
        <w:pStyle w:val="ParaNoNdepar-AltN"/>
        <w:tabs>
          <w:tab w:val="clear" w:pos="1166"/>
          <w:tab w:val="num" w:pos="1152"/>
        </w:tabs>
        <w:rPr>
          <w:rFonts w:cs="Times New Roman"/>
        </w:rPr>
      </w:pPr>
      <w:r w:rsidRPr="008B7F0A">
        <w:rPr>
          <w:rFonts w:cs="Times New Roman"/>
          <w:szCs w:val="24"/>
        </w:rPr>
        <w:t xml:space="preserve">In January 1994, while Jeffrey was in Grade 2, his parents, concerned about his </w:t>
      </w:r>
      <w:r w:rsidRPr="008B7F0A">
        <w:rPr>
          <w:rFonts w:cs="Times New Roman"/>
        </w:rPr>
        <w:t xml:space="preserve">worsening headaches, </w:t>
      </w:r>
      <w:r w:rsidRPr="008B7F0A">
        <w:rPr>
          <w:rFonts w:cs="Times New Roman"/>
          <w:szCs w:val="24"/>
        </w:rPr>
        <w:t>took him to a neurologist.</w:t>
      </w:r>
      <w:r w:rsidRPr="008B7F0A">
        <w:rPr>
          <w:rFonts w:cs="Times New Roman"/>
        </w:rPr>
        <w:t xml:space="preserve">  They were told that Jeffrey was under significant stress which could be improved by addressing his learning difficulties.  The next month, Jeffrey was again referred to the </w:t>
      </w:r>
      <w:r w:rsidRPr="008B7F0A">
        <w:rPr>
          <w:rFonts w:cs="Times New Roman"/>
          <w:szCs w:val="24"/>
        </w:rPr>
        <w:t>Elementary Learning Resource Team</w:t>
      </w:r>
      <w:r w:rsidRPr="008B7F0A">
        <w:rPr>
          <w:rFonts w:cs="Times New Roman"/>
        </w:rPr>
        <w:t xml:space="preserve">, with his teachers reporting slow academic progress and immature behaviour.  He received a full psycho-educational assessment on April 1, 1994, a prerequisite to his designation as a Severe Learning Disabilities student.  </w:t>
      </w:r>
      <w:r w:rsidRPr="008B7F0A">
        <w:rPr>
          <w:rFonts w:cs="Times New Roman"/>
        </w:rPr>
        <w:lastRenderedPageBreak/>
        <w:t>Following the assessment, Mary Tennant, a psychologist employed by the District, concluded that Jeffrey needed more intensive remediation than he had been receiving and suggested that he attend the Diagnostic Centre.</w:t>
      </w:r>
    </w:p>
    <w:p w:rsidR="00E733D5" w:rsidRPr="008B7F0A" w:rsidRDefault="00E733D5" w:rsidP="00E733D5">
      <w:pPr>
        <w:pStyle w:val="ParaNoNdepar-AltN"/>
        <w:tabs>
          <w:tab w:val="clear" w:pos="1166"/>
          <w:tab w:val="num" w:pos="1152"/>
        </w:tabs>
        <w:rPr>
          <w:rFonts w:cs="Times New Roman"/>
        </w:rPr>
      </w:pPr>
      <w:r w:rsidRPr="008B7F0A">
        <w:rPr>
          <w:rFonts w:cs="Times New Roman"/>
        </w:rPr>
        <w:t>Ms. Tennant, Ms. Waigh, and Bryn Roberts, Braemar’s principal, met with the Moores soon after this assessment.  Ms. Tennant and Ms. Waigh told the Moores that because the Diagnostic Centre was being closed, Jeffrey could not obtain the intensive remediation he needed in the District’s public schools.  The necessary instruction was available only at Kenneth Gordon School, a private school specializing in teaching children who had learning disabilities.</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Jeffrey could not enrol in Kenneth Gordon School until Grade 4.  His pre-referral form to that school confirmed a serious lack of progress in reading and spelling as well as his poor self-esteem.  Every week during Grade 3 at Braemar, he received two 30-minute sessions of </w:t>
      </w:r>
      <w:r w:rsidRPr="008B7F0A">
        <w:rPr>
          <w:rFonts w:cs="Times New Roman"/>
          <w:szCs w:val="24"/>
        </w:rPr>
        <w:t xml:space="preserve">individual assistance in the Learning Assistance Centre, two 40-minute periods of individual assistance with a tutor in the Learning Assistance Centre, and four 40-minute sessions with an Aide, primarily in the classroom.  </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Jeffrey attended Kenneth Gordon School from Grade 4 to Grade 7.  When he left, he was reading at a Grade 5 level and was at Grade 7 level in math.  He began Grade 8 in September 1999 at Fraser Academy, another private school specializing in children with learning disabilities.  He remained there until the time of the hearing and eventually completed high school there. </w:t>
      </w:r>
    </w:p>
    <w:p w:rsidR="00E733D5" w:rsidRPr="008B7F0A" w:rsidRDefault="00E733D5" w:rsidP="00E733D5">
      <w:pPr>
        <w:pStyle w:val="TitleTitre-AltT"/>
        <w:rPr>
          <w:rFonts w:cs="Times New Roman"/>
          <w:u w:val="single"/>
        </w:rPr>
      </w:pPr>
      <w:r w:rsidRPr="008B7F0A">
        <w:rPr>
          <w:rFonts w:cs="Times New Roman"/>
          <w:u w:val="single"/>
        </w:rPr>
        <w:lastRenderedPageBreak/>
        <w:t>Prior Proceedings</w:t>
      </w:r>
      <w:r w:rsidR="000B4265" w:rsidRPr="008B7F0A">
        <w:rPr>
          <w:rFonts w:cs="Times New Roman"/>
        </w:rPr>
        <w:t xml:space="preserve"> </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The Tribunal chair, Heather MacNaughton, found that there was general agreement among the experts about the significant, negative long-term consequences for students with unremediated learning disabilities.  The experts also agreed that children with reading disabilities should be identified early and provided with intensive supports.  </w:t>
      </w:r>
    </w:p>
    <w:p w:rsidR="00E733D5" w:rsidRPr="008B7F0A" w:rsidRDefault="00E733D5" w:rsidP="00E733D5">
      <w:pPr>
        <w:pStyle w:val="ParaNoNdepar-AltN"/>
        <w:tabs>
          <w:tab w:val="clear" w:pos="1166"/>
          <w:tab w:val="num" w:pos="1152"/>
        </w:tabs>
        <w:rPr>
          <w:rFonts w:cs="Times New Roman"/>
        </w:rPr>
      </w:pPr>
      <w:r w:rsidRPr="008B7F0A">
        <w:rPr>
          <w:rFonts w:cs="Times New Roman"/>
        </w:rPr>
        <w:t>Based on this evidence, the Tribunal concluded that a range of services was necessary for these students, from a modified program within the classroom to full-time placement in a special program for Severe Learning Disabilities students.</w:t>
      </w:r>
    </w:p>
    <w:p w:rsidR="00E733D5" w:rsidRPr="008B7F0A" w:rsidRDefault="00E733D5" w:rsidP="00E733D5">
      <w:pPr>
        <w:pStyle w:val="ParaNoNdepar-AltN"/>
        <w:tabs>
          <w:tab w:val="clear" w:pos="1166"/>
          <w:tab w:val="num" w:pos="1152"/>
        </w:tabs>
        <w:rPr>
          <w:rFonts w:cs="Times New Roman"/>
        </w:rPr>
      </w:pPr>
      <w:r w:rsidRPr="008B7F0A">
        <w:rPr>
          <w:rFonts w:cs="Times New Roman"/>
        </w:rPr>
        <w:t>The Tribunal accepted the evidence of experts and of District employees like Ms. Tennant that Jeffrey could not get sufficient services within the District after the closure of the Diagnostic Centre in 1994.  Only one expert, who was called by the District, said that Jeffrey had received the services he needed at his public school and that the interventions had been of appropriate intensity.</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The Tribunal concluded that there was both individual discrimination against Jeffrey and systemic discrimination against Severe Learning Disabilities students in general.  It grounded its finding of discrimination against Jeffrey in the District’s failure to assess Jeffrey’s learning disability early, and to provide appropriately intensive instruction following the closing of the Diagnostic Centre.  It </w:t>
      </w:r>
      <w:r w:rsidRPr="008B7F0A">
        <w:rPr>
          <w:rFonts w:cs="Times New Roman"/>
        </w:rPr>
        <w:lastRenderedPageBreak/>
        <w:t>ordered that the Moores be reimbursed for the costs related to Jeffrey’s attendance at private schools, as well as $10,000 in damages for pain and suffering.</w:t>
      </w:r>
    </w:p>
    <w:p w:rsidR="00E733D5" w:rsidRPr="008B7F0A" w:rsidRDefault="00E733D5" w:rsidP="00E733D5">
      <w:pPr>
        <w:pStyle w:val="ParaNoNdepar-AltN"/>
        <w:tabs>
          <w:tab w:val="clear" w:pos="1166"/>
          <w:tab w:val="num" w:pos="1152"/>
        </w:tabs>
        <w:rPr>
          <w:rFonts w:cs="Times New Roman"/>
        </w:rPr>
      </w:pPr>
      <w:r w:rsidRPr="008B7F0A">
        <w:rPr>
          <w:rFonts w:cs="Times New Roman"/>
        </w:rPr>
        <w:t>The finding of systemic discrimination against the District was based on the underfunding of Severe Learning Disabilities programs and the closing of the Diagnostic Centre.  While accepting that the District’s financial circumstances were compelling, the Tribunal found that there was no evidence that the District had considered any reasonable alternatives for meeting the needs of Severe Learning Disabilities students before cutting available services such as the Diagnostic Centre.</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The Tribunal’s finding of systemic discrimination against the Province was based on what it identified as four problems in the provincial administration of special education: the high incidence/low cost cap; the underfunding of the District; the failure to ensure that necessary services, including early intervention, were mandatory; and the failure to monitor the activities of the districts.  It ordered a wide range of sweeping systemic remedies against both the District and the Province.  </w:t>
      </w:r>
    </w:p>
    <w:p w:rsidR="00E733D5" w:rsidRPr="008B7F0A" w:rsidRDefault="00E733D5" w:rsidP="00E733D5">
      <w:pPr>
        <w:pStyle w:val="ParaNoNdepar-AltN"/>
        <w:tabs>
          <w:tab w:val="clear" w:pos="1166"/>
          <w:tab w:val="num" w:pos="1152"/>
        </w:tabs>
        <w:rPr>
          <w:rFonts w:cs="Times New Roman"/>
        </w:rPr>
      </w:pPr>
      <w:r w:rsidRPr="008B7F0A">
        <w:rPr>
          <w:rFonts w:cs="Times New Roman"/>
        </w:rPr>
        <w:t>In the Supreme Court of British Columbia, Dillon J. allowed the application for judicial review ([2008] 10 W.W.R. 518).  She found that</w:t>
      </w:r>
      <w:r w:rsidRPr="008B7F0A">
        <w:rPr>
          <w:rFonts w:cs="Times New Roman"/>
          <w:szCs w:val="24"/>
        </w:rPr>
        <w:t xml:space="preserve"> Jeffrey’s situation should be compared to other special needs students, not to the general student population as the Tribunal had done.  There was no evidence about this comparison, nor was there evidence about how students with special needs were affected by funding mechanisms such as the </w:t>
      </w:r>
      <w:r w:rsidRPr="008B7F0A">
        <w:rPr>
          <w:rFonts w:cs="Times New Roman"/>
        </w:rPr>
        <w:t>high incidence/low cost</w:t>
      </w:r>
      <w:r w:rsidRPr="008B7F0A">
        <w:rPr>
          <w:rFonts w:cs="Times New Roman"/>
          <w:szCs w:val="24"/>
        </w:rPr>
        <w:t xml:space="preserve"> cap or the closing of the </w:t>
      </w:r>
      <w:r w:rsidRPr="008B7F0A">
        <w:rPr>
          <w:rFonts w:cs="Times New Roman"/>
        </w:rPr>
        <w:t>Diagnostic Centre</w:t>
      </w:r>
      <w:r w:rsidRPr="008B7F0A">
        <w:rPr>
          <w:rFonts w:cs="Times New Roman"/>
          <w:szCs w:val="24"/>
        </w:rPr>
        <w:t xml:space="preserve">.  The failure to identify and compare Jeffrey with the </w:t>
      </w:r>
      <w:r w:rsidRPr="008B7F0A">
        <w:rPr>
          <w:rFonts w:cs="Times New Roman"/>
          <w:szCs w:val="24"/>
        </w:rPr>
        <w:lastRenderedPageBreak/>
        <w:t>appropriate comparator group tainted the entire discrimination analysis.  As a result, she set aside the Tribunal’s decision.</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A majority in the Court of Appeal dismissed the appeal, agreeing that </w:t>
      </w:r>
      <w:r w:rsidRPr="008B7F0A">
        <w:rPr>
          <w:rFonts w:cs="Times New Roman"/>
          <w:szCs w:val="24"/>
        </w:rPr>
        <w:t>Jeffrey ought to be compared to other special needs students ([2011] 3 W.W.R. 383).   To compare him with the general student population was to invite an inquiry into general education policy and its application, which it concluded could not be the purpose of a human rights complaint.</w:t>
      </w:r>
    </w:p>
    <w:p w:rsidR="00E733D5" w:rsidRPr="008B7F0A" w:rsidRDefault="00E733D5" w:rsidP="00E733D5">
      <w:pPr>
        <w:pStyle w:val="ParaNoNdepar-AltN"/>
        <w:tabs>
          <w:tab w:val="clear" w:pos="1166"/>
          <w:tab w:val="num" w:pos="1152"/>
        </w:tabs>
        <w:rPr>
          <w:rFonts w:cs="Times New Roman"/>
        </w:rPr>
      </w:pPr>
      <w:r w:rsidRPr="008B7F0A">
        <w:rPr>
          <w:rFonts w:cs="Times New Roman"/>
          <w:szCs w:val="24"/>
        </w:rPr>
        <w:t xml:space="preserve">In dissent, Rowles J.A. would have allowed the appeal.  In her view, special education was the means by which “meaningful access” to educational services was achievable by students with learning disabilities.  She found that a comparator analysis was both unnecessary and </w:t>
      </w:r>
      <w:r w:rsidRPr="008B7F0A">
        <w:rPr>
          <w:rFonts w:cs="Times New Roman"/>
          <w:lang w:bidi="en-US"/>
        </w:rPr>
        <w:t xml:space="preserve">inappropriate.  The Tribunal’s detailed evidentiary analysis showing that </w:t>
      </w:r>
      <w:r w:rsidRPr="008B7F0A">
        <w:rPr>
          <w:rFonts w:cs="Times New Roman"/>
          <w:szCs w:val="24"/>
        </w:rPr>
        <w:t xml:space="preserve">Jeffrey had not received sufficiently intensive remediation after the closing of the </w:t>
      </w:r>
      <w:r w:rsidRPr="008B7F0A">
        <w:rPr>
          <w:rFonts w:cs="Times New Roman"/>
        </w:rPr>
        <w:t>Diagnostic Centre,</w:t>
      </w:r>
      <w:r w:rsidRPr="008B7F0A">
        <w:rPr>
          <w:rFonts w:cs="Times New Roman"/>
          <w:szCs w:val="24"/>
        </w:rPr>
        <w:t xml:space="preserve"> justified the findings of discrimination.</w:t>
      </w:r>
    </w:p>
    <w:p w:rsidR="00E733D5" w:rsidRPr="008B7F0A" w:rsidRDefault="00E733D5" w:rsidP="00E733D5">
      <w:pPr>
        <w:pStyle w:val="TitleTitre-AltT"/>
        <w:rPr>
          <w:rFonts w:cs="Times New Roman"/>
          <w:u w:val="single"/>
        </w:rPr>
      </w:pPr>
      <w:r w:rsidRPr="008B7F0A">
        <w:rPr>
          <w:rFonts w:cs="Times New Roman"/>
          <w:u w:val="single"/>
        </w:rPr>
        <w:t>Analysis</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Section 8 of British Columbia’s </w:t>
      </w:r>
      <w:r w:rsidRPr="008B7F0A">
        <w:rPr>
          <w:rFonts w:cs="Times New Roman"/>
          <w:i/>
        </w:rPr>
        <w:t>Human Rights Code</w:t>
      </w:r>
      <w:r w:rsidRPr="008B7F0A">
        <w:rPr>
          <w:rFonts w:cs="Times New Roman"/>
        </w:rPr>
        <w:t xml:space="preserve"> states that it is discriminatory if “[a] person . . . without a bona fide and reasonable </w:t>
      </w:r>
      <w:proofErr w:type="gramStart"/>
      <w:r w:rsidRPr="008B7F0A">
        <w:rPr>
          <w:rFonts w:cs="Times New Roman"/>
        </w:rPr>
        <w:t>justification</w:t>
      </w:r>
      <w:r w:rsidR="000B4265" w:rsidRPr="008B7F0A">
        <w:rPr>
          <w:rFonts w:cs="Times New Roman"/>
        </w:rPr>
        <w:t>,</w:t>
      </w:r>
      <w:r w:rsidRPr="008B7F0A">
        <w:rPr>
          <w:rFonts w:cs="Times New Roman"/>
        </w:rPr>
        <w:t xml:space="preserve"> . . .</w:t>
      </w:r>
      <w:proofErr w:type="gramEnd"/>
      <w:r w:rsidRPr="008B7F0A">
        <w:rPr>
          <w:rFonts w:cs="Times New Roman"/>
        </w:rPr>
        <w:t xml:space="preserve"> den[ies] to a person or class of persons any accommodation, service or facility customarily available to the public” on the basis of a prohibited ground.  That means that if a service is ordinarily provided to the public, it must be available in a way that </w:t>
      </w:r>
      <w:r w:rsidRPr="008B7F0A">
        <w:rPr>
          <w:rFonts w:cs="Times New Roman"/>
        </w:rPr>
        <w:lastRenderedPageBreak/>
        <w:t xml:space="preserve">does not arbitrarily — or unjustifiably — exclude individuals by virtue of their membership in a protected group. </w:t>
      </w:r>
    </w:p>
    <w:p w:rsidR="00E733D5" w:rsidRPr="008B7F0A" w:rsidRDefault="00E733D5" w:rsidP="00E733D5">
      <w:pPr>
        <w:pStyle w:val="ParaNoNdepar-AltN"/>
        <w:tabs>
          <w:tab w:val="clear" w:pos="1166"/>
          <w:tab w:val="num" w:pos="1152"/>
        </w:tabs>
        <w:rPr>
          <w:rFonts w:cs="Times New Roman"/>
        </w:rPr>
      </w:pPr>
      <w:r w:rsidRPr="008B7F0A">
        <w:rPr>
          <w:rFonts w:cs="Times New Roman"/>
        </w:rPr>
        <w:t>A central issue throughout these proceedings was what the relevant “service . . . customarily available to the public” was.  While the Tribunal and the dissenting judge in the Court of Appeal defined it as “general” education, the reviewing judge and the majority defined it as “special” education.</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I agree with Rowles J.A. that for students with learning disabilities like Jeffrey’s, special education is not the service, it is the </w:t>
      </w:r>
      <w:r w:rsidRPr="008B7F0A">
        <w:rPr>
          <w:rFonts w:cs="Times New Roman"/>
          <w:i/>
        </w:rPr>
        <w:t>means</w:t>
      </w:r>
      <w:r w:rsidRPr="008B7F0A">
        <w:rPr>
          <w:rFonts w:cs="Times New Roman"/>
        </w:rPr>
        <w:t xml:space="preserve"> by which those students get meaningful access to the general education services available to all of British Columbia’s students:</w:t>
      </w:r>
    </w:p>
    <w:p w:rsidR="00E733D5" w:rsidRPr="008B7F0A" w:rsidRDefault="000B4265" w:rsidP="000B4265">
      <w:pPr>
        <w:pStyle w:val="Citation-AltC"/>
        <w:tabs>
          <w:tab w:val="left" w:pos="1170"/>
        </w:tabs>
        <w:ind w:hanging="1166"/>
      </w:pPr>
      <w:r w:rsidRPr="008B7F0A">
        <w:tab/>
      </w:r>
      <w:r w:rsidR="00E733D5" w:rsidRPr="008B7F0A">
        <w:t xml:space="preserve">It is accepted that students with disabilities require accommodation of their differences in order to benefit from educational services. Jeffrey is seeking accommodation, in the form of special education through intensive remediation, to enable him equal access to the “mainstream” benefit of education available to all. . . .  </w:t>
      </w:r>
      <w:r w:rsidR="00E733D5" w:rsidRPr="008B7F0A">
        <w:rPr>
          <w:i/>
        </w:rPr>
        <w:t>In Jeffrey’s case, the specific accommodation sought is analogous to the interpreters in</w:t>
      </w:r>
      <w:r w:rsidR="00E733D5" w:rsidRPr="008B7F0A">
        <w:t xml:space="preserve"> Eldridge: </w:t>
      </w:r>
      <w:r w:rsidR="00E733D5" w:rsidRPr="008B7F0A">
        <w:rPr>
          <w:i/>
        </w:rPr>
        <w:t>it is not an extra “ancillary” service, but rather the manner by which meaningful access to the provided benefit can be achieved</w:t>
      </w:r>
      <w:r w:rsidR="00E733D5" w:rsidRPr="008B7F0A">
        <w:t>. Without such special education, the disabled simply cannot receive equal benefit from the underlying service of public education. [Emphasis added; para. 103.]</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The answer, to me, is that the ‘service’ is education generally.  Defining the service only as ‘special education’ would relieve the Province and District of their duty to ensure that no student is excluded from the benefit of the education system by virtue of their disability.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rPr>
        <w:lastRenderedPageBreak/>
        <w:t xml:space="preserve">To define ‘special education’ as the service at issue also risks descending into the kind of “separate but equal” approach which was majestically discarded in </w:t>
      </w:r>
      <w:r w:rsidRPr="008B7F0A">
        <w:rPr>
          <w:rFonts w:cs="Times New Roman"/>
          <w:i/>
        </w:rPr>
        <w:t>Brown v. Board of Education of Topeka</w:t>
      </w:r>
      <w:r w:rsidRPr="008B7F0A">
        <w:rPr>
          <w:rFonts w:cs="Times New Roman"/>
        </w:rPr>
        <w:t xml:space="preserve">, 347 U.S. 483 (1954).  </w:t>
      </w:r>
      <w:r w:rsidRPr="008B7F0A">
        <w:rPr>
          <w:rFonts w:cs="Times New Roman"/>
          <w:szCs w:val="24"/>
        </w:rPr>
        <w:t xml:space="preserve">Comparing Jeffrey only with other special needs students would mean that the District could cut </w:t>
      </w:r>
      <w:r w:rsidRPr="008B7F0A">
        <w:rPr>
          <w:rFonts w:cs="Times New Roman"/>
          <w:i/>
          <w:szCs w:val="24"/>
        </w:rPr>
        <w:t>all</w:t>
      </w:r>
      <w:r w:rsidRPr="008B7F0A">
        <w:rPr>
          <w:rFonts w:cs="Times New Roman"/>
          <w:szCs w:val="24"/>
        </w:rPr>
        <w:t xml:space="preserve"> special needs programs and yet be immune from a claim of discrimination.</w:t>
      </w:r>
      <w:r w:rsidRPr="008B7F0A">
        <w:rPr>
          <w:rFonts w:cs="Times New Roman"/>
        </w:rPr>
        <w:t xml:space="preserve">  It is not a question of who else is or is not experiencing similar barriers.  This formalism was one of the potential dangers of comparator groups identified in </w:t>
      </w:r>
      <w:r w:rsidRPr="008B7F0A">
        <w:rPr>
          <w:rFonts w:cs="Times New Roman"/>
          <w:i/>
        </w:rPr>
        <w:t>Withler v. Canada (Attorney General)</w:t>
      </w:r>
      <w:r w:rsidRPr="008B7F0A">
        <w:rPr>
          <w:rFonts w:cs="Times New Roman"/>
        </w:rPr>
        <w:t>, [2011] 1 S.C.R. 396.</w:t>
      </w:r>
    </w:p>
    <w:p w:rsidR="00E733D5" w:rsidRPr="008B7F0A" w:rsidRDefault="00E733D5" w:rsidP="00E733D5">
      <w:pPr>
        <w:pStyle w:val="ParaNoNdepar-AltN"/>
        <w:tabs>
          <w:tab w:val="clear" w:pos="1166"/>
          <w:tab w:val="num" w:pos="1152"/>
        </w:tabs>
        <w:rPr>
          <w:rFonts w:cs="Times New Roman"/>
        </w:rPr>
      </w:pPr>
      <w:r w:rsidRPr="008B7F0A">
        <w:rPr>
          <w:rFonts w:cs="Times New Roman"/>
          <w:lang w:val="en-US" w:bidi="en-US"/>
        </w:rPr>
        <w:t>If Jeffrey is compared only to other</w:t>
      </w:r>
      <w:r w:rsidRPr="008B7F0A">
        <w:rPr>
          <w:rFonts w:cs="Times New Roman"/>
        </w:rPr>
        <w:t xml:space="preserve"> special needs students, full consideration cannot be given to whether he had </w:t>
      </w:r>
      <w:r w:rsidRPr="008B7F0A">
        <w:rPr>
          <w:rFonts w:cs="Times New Roman"/>
          <w:i/>
        </w:rPr>
        <w:t>genuine</w:t>
      </w:r>
      <w:r w:rsidRPr="008B7F0A">
        <w:rPr>
          <w:rFonts w:cs="Times New Roman"/>
        </w:rPr>
        <w:t xml:space="preserve"> access to the education that all students in British Columbia are entitled to.  This, as Rowles J.A. noted,  “</w:t>
      </w:r>
      <w:r w:rsidRPr="008B7F0A">
        <w:rPr>
          <w:rFonts w:cs="Times New Roman"/>
          <w:szCs w:val="24"/>
        </w:rPr>
        <w:t xml:space="preserve">risks perpetuating the very disadvantage and exclusion from mainstream society the </w:t>
      </w:r>
      <w:r w:rsidRPr="008B7F0A">
        <w:rPr>
          <w:rFonts w:cs="Times New Roman"/>
          <w:i/>
          <w:iCs/>
          <w:szCs w:val="24"/>
        </w:rPr>
        <w:t>Code</w:t>
      </w:r>
      <w:r w:rsidRPr="008B7F0A">
        <w:rPr>
          <w:rFonts w:cs="Times New Roman"/>
          <w:szCs w:val="24"/>
        </w:rPr>
        <w:t xml:space="preserve"> is intended to remedy” (see </w:t>
      </w:r>
      <w:r w:rsidRPr="008B7F0A">
        <w:rPr>
          <w:rFonts w:cs="Times New Roman"/>
          <w:i/>
        </w:rPr>
        <w:t>Brooks v. Canada Safeway Ltd.</w:t>
      </w:r>
      <w:r w:rsidRPr="008B7F0A">
        <w:rPr>
          <w:rFonts w:cs="Times New Roman"/>
        </w:rPr>
        <w:t>, [1989] 1 S.C.R. 1219,</w:t>
      </w:r>
      <w:r w:rsidRPr="008B7F0A">
        <w:rPr>
          <w:rFonts w:cs="Times New Roman"/>
          <w:szCs w:val="24"/>
        </w:rPr>
        <w:t xml:space="preserve"> </w:t>
      </w:r>
      <w:r w:rsidRPr="008B7F0A">
        <w:rPr>
          <w:rFonts w:cs="Times New Roman"/>
        </w:rPr>
        <w:t xml:space="preserve">at p. 1237; Gwen Brodsky, Shelagh Day and Yvonne Peters, </w:t>
      </w:r>
      <w:r w:rsidRPr="008B7F0A">
        <w:rPr>
          <w:rFonts w:cs="Times New Roman"/>
          <w:i/>
        </w:rPr>
        <w:t>Accommodation in the 21</w:t>
      </w:r>
      <w:r w:rsidRPr="008B7F0A">
        <w:rPr>
          <w:rFonts w:cs="Times New Roman"/>
          <w:i/>
          <w:vertAlign w:val="superscript"/>
        </w:rPr>
        <w:t>st</w:t>
      </w:r>
      <w:r w:rsidRPr="008B7F0A">
        <w:rPr>
          <w:rFonts w:cs="Times New Roman"/>
          <w:i/>
        </w:rPr>
        <w:t xml:space="preserve"> Century</w:t>
      </w:r>
      <w:r w:rsidRPr="008B7F0A">
        <w:rPr>
          <w:rFonts w:cs="Times New Roman"/>
        </w:rPr>
        <w:t xml:space="preserve"> (2012) (online), at p. 41).</w:t>
      </w:r>
    </w:p>
    <w:p w:rsidR="00E733D5" w:rsidRPr="008B7F0A" w:rsidRDefault="00E733D5" w:rsidP="00E733D5">
      <w:pPr>
        <w:pStyle w:val="ParaNoNdepar-AltN"/>
        <w:tabs>
          <w:tab w:val="clear" w:pos="1166"/>
          <w:tab w:val="num" w:pos="1152"/>
        </w:tabs>
        <w:rPr>
          <w:rFonts w:cs="Times New Roman"/>
        </w:rPr>
      </w:pPr>
      <w:r w:rsidRPr="008B7F0A">
        <w:rPr>
          <w:rFonts w:cs="Times New Roman"/>
          <w:lang w:bidi="en-US"/>
        </w:rPr>
        <w:t>A majority of students do not require intensive remediation in order to learn to read.  Jeffrey does.  He was unable to get it in the public school.  Was that an unjustified denial of meaningful access to the general education to which students in British Columbia are entitled and, as a result, discrimination?</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As the Tribunal properly recognized, to demonstrate </w:t>
      </w:r>
      <w:r w:rsidRPr="008B7F0A">
        <w:rPr>
          <w:rFonts w:cs="Times New Roman"/>
          <w:i/>
          <w:lang w:bidi="en-US"/>
        </w:rPr>
        <w:t>prima facie</w:t>
      </w:r>
      <w:r w:rsidRPr="008B7F0A">
        <w:rPr>
          <w:rFonts w:cs="Times New Roman"/>
          <w:lang w:bidi="en-US"/>
        </w:rPr>
        <w:t xml:space="preserve"> discrimination, complainants are required to show that they have a </w:t>
      </w:r>
      <w:r w:rsidRPr="008B7F0A">
        <w:rPr>
          <w:rFonts w:cs="Times New Roman"/>
        </w:rPr>
        <w:t xml:space="preserve">characteristic </w:t>
      </w:r>
      <w:r w:rsidRPr="008B7F0A">
        <w:rPr>
          <w:rFonts w:cs="Times New Roman"/>
        </w:rPr>
        <w:lastRenderedPageBreak/>
        <w:t xml:space="preserve">protected from discrimination under the </w:t>
      </w:r>
      <w:r w:rsidRPr="008B7F0A">
        <w:rPr>
          <w:rFonts w:cs="Times New Roman"/>
          <w:i/>
        </w:rPr>
        <w:t>Code</w:t>
      </w:r>
      <w:r w:rsidRPr="008B7F0A">
        <w:rPr>
          <w:rFonts w:cs="Times New Roman"/>
          <w:szCs w:val="24"/>
        </w:rPr>
        <w:t xml:space="preserve">; that they </w:t>
      </w:r>
      <w:r w:rsidRPr="008B7F0A">
        <w:rPr>
          <w:rFonts w:cs="Times New Roman"/>
        </w:rPr>
        <w:t xml:space="preserve">experienced an adverse impact with respect to the service; and that the protected characteristic was a factor in the adverse impact.  Once a </w:t>
      </w:r>
      <w:r w:rsidRPr="008B7F0A">
        <w:rPr>
          <w:rFonts w:cs="Times New Roman"/>
          <w:i/>
        </w:rPr>
        <w:t xml:space="preserve">prima facie </w:t>
      </w:r>
      <w:r w:rsidRPr="008B7F0A">
        <w:rPr>
          <w:rFonts w:cs="Times New Roman"/>
        </w:rPr>
        <w:t>case has been established, the burden shifts to the respondent to justify the conduct or practice, within the framework of the exemptions available under human rights statutes.  If it cannot be justified, discrimination will be found to occur.</w:t>
      </w:r>
    </w:p>
    <w:p w:rsidR="00E733D5" w:rsidRPr="008B7F0A" w:rsidRDefault="00E733D5" w:rsidP="00E733D5">
      <w:pPr>
        <w:pStyle w:val="ParaNoNdepar-AltN"/>
        <w:tabs>
          <w:tab w:val="clear" w:pos="1166"/>
          <w:tab w:val="num" w:pos="1152"/>
        </w:tabs>
        <w:rPr>
          <w:rFonts w:cs="Times New Roman"/>
        </w:rPr>
      </w:pPr>
      <w:r w:rsidRPr="008B7F0A">
        <w:rPr>
          <w:rFonts w:cs="Times New Roman"/>
          <w:lang w:val="en-US" w:bidi="en-US"/>
        </w:rPr>
        <w:t xml:space="preserve">There is no dispute that Jeffrey’s dyslexia is a disability.  There is equally no question that any adverse impact he suffered is related to his membership in this group.  The question then is whether Jeffrey has, without reasonable justification, been denied access to the general education available to the public in British Columbia based on his disability, access that must be “meaningful”: </w:t>
      </w:r>
      <w:r w:rsidRPr="008B7F0A">
        <w:rPr>
          <w:rFonts w:cs="Times New Roman"/>
          <w:i/>
          <w:lang w:bidi="en-US"/>
        </w:rPr>
        <w:t>Eldridge v. British Columbia (Attorney General)</w:t>
      </w:r>
      <w:r w:rsidRPr="008B7F0A">
        <w:rPr>
          <w:rFonts w:cs="Times New Roman"/>
          <w:lang w:bidi="en-US"/>
        </w:rPr>
        <w:t xml:space="preserve">, [1997] 3 S.C.R. 624, at para. 71; </w:t>
      </w:r>
      <w:r w:rsidRPr="008B7F0A">
        <w:rPr>
          <w:rFonts w:cs="Times New Roman"/>
          <w:i/>
        </w:rPr>
        <w:t>University of British Columbia v. Berg</w:t>
      </w:r>
      <w:r w:rsidR="000B4265" w:rsidRPr="008B7F0A">
        <w:rPr>
          <w:rFonts w:cs="Times New Roman"/>
        </w:rPr>
        <w:t>, [1993] 2</w:t>
      </w:r>
      <w:r w:rsidRPr="008B7F0A">
        <w:rPr>
          <w:rFonts w:cs="Times New Roman"/>
        </w:rPr>
        <w:t xml:space="preserve"> S.C.R. 353, at pp. 381-82</w:t>
      </w:r>
      <w:r w:rsidRPr="008B7F0A">
        <w:rPr>
          <w:rFonts w:cs="Times New Roman"/>
          <w:lang w:val="en-US"/>
        </w:rPr>
        <w:t xml:space="preserve">.  </w:t>
      </w:r>
      <w:r w:rsidRPr="008B7F0A">
        <w:rPr>
          <w:rFonts w:cs="Times New Roman"/>
          <w:lang w:val="fr-CA"/>
        </w:rPr>
        <w:t xml:space="preserve">(See also </w:t>
      </w:r>
      <w:r w:rsidRPr="008B7F0A">
        <w:rPr>
          <w:rFonts w:cs="Times New Roman"/>
          <w:i/>
          <w:lang w:val="fr-CA"/>
        </w:rPr>
        <w:t>Quebec (Commission des droits de la personne et des droits de la jeunesse) v. Montréal (City)</w:t>
      </w:r>
      <w:r w:rsidRPr="008B7F0A">
        <w:rPr>
          <w:rFonts w:cs="Times New Roman"/>
          <w:lang w:val="fr-CA"/>
        </w:rPr>
        <w:t xml:space="preserve">, [2000] 1 S.C.R. 665, at para. </w:t>
      </w:r>
      <w:r w:rsidRPr="008B7F0A">
        <w:rPr>
          <w:rFonts w:cs="Times New Roman"/>
          <w:lang w:val="en-US"/>
        </w:rPr>
        <w:t xml:space="preserve">80; </w:t>
      </w:r>
      <w:r w:rsidRPr="008B7F0A">
        <w:rPr>
          <w:rFonts w:cs="Times New Roman"/>
          <w:i/>
        </w:rPr>
        <w:t>Council of Canadians with Disabilities </w:t>
      </w:r>
      <w:r w:rsidRPr="008B7F0A">
        <w:rPr>
          <w:rFonts w:cs="Times New Roman"/>
          <w:i/>
          <w:iCs/>
        </w:rPr>
        <w:t>v.</w:t>
      </w:r>
      <w:r w:rsidRPr="008B7F0A">
        <w:rPr>
          <w:rFonts w:cs="Times New Roman"/>
          <w:i/>
        </w:rPr>
        <w:t> VIA Rail Canada Inc.</w:t>
      </w:r>
      <w:r w:rsidRPr="008B7F0A">
        <w:rPr>
          <w:rFonts w:cs="Times New Roman"/>
        </w:rPr>
        <w:t xml:space="preserve">, [2007] 1 S.C.R. 650, </w:t>
      </w:r>
      <w:r w:rsidRPr="008B7F0A">
        <w:rPr>
          <w:rFonts w:cs="Times New Roman"/>
          <w:lang w:val="en-US"/>
        </w:rPr>
        <w:t xml:space="preserve">at paras. 121 and 162; A. </w:t>
      </w:r>
      <w:r w:rsidRPr="008B7F0A">
        <w:rPr>
          <w:rFonts w:cs="Times New Roman"/>
        </w:rPr>
        <w:t xml:space="preserve">Wayne MacKay, “Connecting Care and Challenge: Tapping Our Human Potential” (2008), 17 </w:t>
      </w:r>
      <w:r w:rsidRPr="008B7F0A">
        <w:rPr>
          <w:rFonts w:cs="Times New Roman"/>
          <w:i/>
          <w:iCs/>
        </w:rPr>
        <w:t>E.L.J.</w:t>
      </w:r>
      <w:r w:rsidRPr="008B7F0A">
        <w:rPr>
          <w:rFonts w:cs="Times New Roman"/>
        </w:rPr>
        <w:t xml:space="preserve"> 37, at pp. 38 and 47.)</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The answer is informed by the mandate and objectives of public education in British Columbia during the relevant period.  As with many public services, educational policies often contemplate that students will achieve certain </w:t>
      </w:r>
      <w:r w:rsidRPr="008B7F0A">
        <w:rPr>
          <w:rFonts w:cs="Times New Roman"/>
          <w:lang w:bidi="en-US"/>
        </w:rPr>
        <w:lastRenderedPageBreak/>
        <w:t xml:space="preserve">results.  But the fact that a particular student has not achieved a given result does not end the inquiry.  In some cases, the government may well have done what was necessary to give the student access to the service, yet the hoped-for results did not follow. Moreover, policy documents tend to be aspirational in nature, and may not reflect realistic objectives.  A margin of deference is, as a result, owed to governments and administrators in implementing these broad, aspirational policies.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But if the evidence demonstrates that the government </w:t>
      </w:r>
      <w:r w:rsidRPr="008B7F0A">
        <w:rPr>
          <w:rFonts w:cs="Times New Roman"/>
        </w:rPr>
        <w:t>failed to deliver  </w:t>
      </w:r>
      <w:r w:rsidRPr="008B7F0A">
        <w:rPr>
          <w:rFonts w:cs="Times New Roman"/>
          <w:lang w:bidi="en-US"/>
        </w:rPr>
        <w:t xml:space="preserve"> the mandate and objectives of public education such that a given student was denied </w:t>
      </w:r>
      <w:r w:rsidRPr="008B7F0A">
        <w:rPr>
          <w:rFonts w:cs="Times New Roman"/>
          <w:i/>
          <w:lang w:bidi="en-US"/>
        </w:rPr>
        <w:t xml:space="preserve">meaningful </w:t>
      </w:r>
      <w:r w:rsidRPr="008B7F0A">
        <w:rPr>
          <w:rFonts w:cs="Times New Roman"/>
          <w:lang w:bidi="en-US"/>
        </w:rPr>
        <w:t xml:space="preserve">access to the service based on a protected ground, this will justify a finding of </w:t>
      </w:r>
      <w:r w:rsidRPr="008B7F0A">
        <w:rPr>
          <w:rFonts w:cs="Times New Roman"/>
          <w:i/>
          <w:lang w:bidi="en-US"/>
        </w:rPr>
        <w:t>prima facie</w:t>
      </w:r>
      <w:r w:rsidRPr="008B7F0A">
        <w:rPr>
          <w:rFonts w:cs="Times New Roman"/>
          <w:lang w:bidi="en-US"/>
        </w:rPr>
        <w:t xml:space="preserve"> discrimination.</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lang w:bidi="en-US"/>
        </w:rPr>
        <w:t xml:space="preserve">As previously noted, the mandate and objectives for public education during the relevant period were set out in the </w:t>
      </w:r>
      <w:r w:rsidRPr="008B7F0A">
        <w:rPr>
          <w:rFonts w:cs="Times New Roman"/>
          <w:i/>
          <w:lang w:bidi="en-US"/>
        </w:rPr>
        <w:t>School Act</w:t>
      </w:r>
      <w:r w:rsidRPr="008B7F0A">
        <w:rPr>
          <w:rFonts w:cs="Times New Roman"/>
          <w:lang w:bidi="en-US"/>
        </w:rPr>
        <w:t>,</w:t>
      </w:r>
      <w:r w:rsidRPr="008B7F0A">
        <w:rPr>
          <w:rFonts w:cs="Times New Roman"/>
          <w:i/>
          <w:lang w:bidi="en-US"/>
        </w:rPr>
        <w:t xml:space="preserve"> </w:t>
      </w:r>
      <w:r w:rsidRPr="008B7F0A">
        <w:rPr>
          <w:rFonts w:cs="Times New Roman"/>
        </w:rPr>
        <w:t xml:space="preserve">which stated in its preamble that “the purpose of the British Columbia school system is to enable all learners to develop their individual potential and to acquire the knowledge, skills and attitudes needed to contribute to a healthy, democratic and pluralistic society and a prosperous and sustainable economy”.  A related policy document, the </w:t>
      </w:r>
      <w:r w:rsidRPr="008B7F0A">
        <w:rPr>
          <w:rFonts w:cs="Times New Roman"/>
          <w:lang w:bidi="en-US"/>
        </w:rPr>
        <w:t xml:space="preserve">1989 </w:t>
      </w:r>
      <w:r w:rsidRPr="008B7F0A">
        <w:rPr>
          <w:rFonts w:cs="Times New Roman"/>
          <w:i/>
          <w:lang w:bidi="en-US"/>
        </w:rPr>
        <w:t>Mandate for the School System</w:t>
      </w:r>
      <w:r w:rsidRPr="008B7F0A">
        <w:rPr>
          <w:rFonts w:cs="Times New Roman"/>
          <w:lang w:bidi="en-US"/>
        </w:rPr>
        <w:t>,</w:t>
      </w:r>
      <w:r w:rsidRPr="008B7F0A">
        <w:rPr>
          <w:rFonts w:cs="Times New Roman"/>
        </w:rPr>
        <w:t xml:space="preserve"> O.I.C. 1280/89, said that the government was “</w:t>
      </w:r>
      <w:r w:rsidRPr="008B7F0A">
        <w:rPr>
          <w:rFonts w:cs="Times New Roman"/>
          <w:lang w:bidi="en-US"/>
        </w:rPr>
        <w:t xml:space="preserve">responsible for ensuring that all of our youth have the opportunity to obtain high quality schooling that will assist in the development of an educated society” (p. </w:t>
      </w:r>
      <w:r w:rsidR="000B4265" w:rsidRPr="008B7F0A">
        <w:rPr>
          <w:rFonts w:cs="Times New Roman"/>
          <w:lang w:bidi="en-US"/>
        </w:rPr>
        <w:t>D-</w:t>
      </w:r>
      <w:r w:rsidRPr="008B7F0A">
        <w:rPr>
          <w:rFonts w:cs="Times New Roman"/>
          <w:lang w:bidi="en-US"/>
        </w:rPr>
        <w:t xml:space="preserve">96).  The </w:t>
      </w:r>
      <w:r w:rsidRPr="008B7F0A">
        <w:rPr>
          <w:rFonts w:cs="Times New Roman"/>
          <w:i/>
          <w:lang w:bidi="en-US"/>
        </w:rPr>
        <w:t>Mandate</w:t>
      </w:r>
      <w:r w:rsidRPr="008B7F0A">
        <w:rPr>
          <w:rFonts w:cs="Times New Roman"/>
          <w:lang w:bidi="en-US"/>
        </w:rPr>
        <w:t xml:space="preserve"> said that schools should develop students who are, among other things, “</w:t>
      </w:r>
      <w:r w:rsidRPr="008B7F0A">
        <w:rPr>
          <w:rFonts w:cs="Times New Roman"/>
        </w:rPr>
        <w:t xml:space="preserve">thoughtful, able to learn and to think critically </w:t>
      </w:r>
      <w:r w:rsidR="000B4265" w:rsidRPr="008B7F0A">
        <w:rPr>
          <w:rFonts w:cs="Times New Roman"/>
        </w:rPr>
        <w:t>. . .</w:t>
      </w:r>
      <w:r w:rsidRPr="008B7F0A">
        <w:rPr>
          <w:rFonts w:cs="Times New Roman"/>
        </w:rPr>
        <w:t xml:space="preserve"> can communicate informati</w:t>
      </w:r>
      <w:r w:rsidR="000B4265" w:rsidRPr="008B7F0A">
        <w:rPr>
          <w:rFonts w:cs="Times New Roman"/>
        </w:rPr>
        <w:t xml:space="preserve">on from a broad </w:t>
      </w:r>
      <w:r w:rsidR="000B4265" w:rsidRPr="008B7F0A">
        <w:rPr>
          <w:rFonts w:cs="Times New Roman"/>
        </w:rPr>
        <w:lastRenderedPageBreak/>
        <w:t>knowledge base . . .</w:t>
      </w:r>
      <w:r w:rsidRPr="008B7F0A">
        <w:rPr>
          <w:rFonts w:cs="Times New Roman"/>
        </w:rPr>
        <w:t xml:space="preserve"> [are] crea</w:t>
      </w:r>
      <w:r w:rsidR="000B4265" w:rsidRPr="008B7F0A">
        <w:rPr>
          <w:rFonts w:cs="Times New Roman"/>
        </w:rPr>
        <w:t>tive, flexible, self-motivated . . . have a positive self image . . .</w:t>
      </w:r>
      <w:r w:rsidRPr="008B7F0A">
        <w:rPr>
          <w:rFonts w:cs="Times New Roman"/>
        </w:rPr>
        <w:t xml:space="preserve"> [are] capable o</w:t>
      </w:r>
      <w:r w:rsidR="000B4265" w:rsidRPr="008B7F0A">
        <w:rPr>
          <w:rFonts w:cs="Times New Roman"/>
        </w:rPr>
        <w:t>f making independent decisions . . .</w:t>
      </w:r>
      <w:r w:rsidRPr="008B7F0A">
        <w:rPr>
          <w:rFonts w:cs="Times New Roman"/>
        </w:rPr>
        <w:t xml:space="preserve"> [are] skilled and</w:t>
      </w:r>
      <w:r w:rsidR="00D87913">
        <w:rPr>
          <w:rFonts w:cs="Times New Roman"/>
        </w:rPr>
        <w:t xml:space="preserve"> . . . </w:t>
      </w:r>
      <w:r w:rsidRPr="008B7F0A">
        <w:rPr>
          <w:rFonts w:cs="Times New Roman"/>
        </w:rPr>
        <w:t xml:space="preserve">can contribute to society generally, including the world of work” (p. </w:t>
      </w:r>
      <w:r w:rsidR="000B4265" w:rsidRPr="008B7F0A">
        <w:rPr>
          <w:rFonts w:cs="Times New Roman"/>
        </w:rPr>
        <w:t>D-</w:t>
      </w:r>
      <w:r w:rsidRPr="008B7F0A">
        <w:rPr>
          <w:rFonts w:cs="Times New Roman"/>
        </w:rPr>
        <w:t>96).</w:t>
      </w:r>
    </w:p>
    <w:p w:rsidR="00E733D5" w:rsidRPr="008B7F0A" w:rsidRDefault="00E733D5" w:rsidP="00E733D5">
      <w:pPr>
        <w:pStyle w:val="ParaNoNdepar-AltN"/>
        <w:tabs>
          <w:tab w:val="clear" w:pos="1166"/>
          <w:tab w:val="num" w:pos="1152"/>
        </w:tabs>
        <w:rPr>
          <w:rFonts w:cs="Times New Roman"/>
        </w:rPr>
      </w:pPr>
      <w:r w:rsidRPr="008B7F0A">
        <w:rPr>
          <w:rFonts w:cs="Times New Roman"/>
        </w:rPr>
        <w:t>There were divergent views when J</w:t>
      </w:r>
      <w:r w:rsidR="00B72CD4" w:rsidRPr="008B7F0A">
        <w:rPr>
          <w:rFonts w:cs="Times New Roman"/>
        </w:rPr>
        <w:t>effrey was in school about how “</w:t>
      </w:r>
      <w:r w:rsidRPr="008B7F0A">
        <w:rPr>
          <w:rFonts w:cs="Times New Roman"/>
        </w:rPr>
        <w:t>special needs</w:t>
      </w:r>
      <w:r w:rsidR="00B72CD4" w:rsidRPr="008B7F0A">
        <w:rPr>
          <w:rFonts w:cs="Times New Roman"/>
        </w:rPr>
        <w:t>”</w:t>
      </w:r>
      <w:r w:rsidRPr="008B7F0A">
        <w:rPr>
          <w:rFonts w:cs="Times New Roman"/>
        </w:rPr>
        <w:t xml:space="preserve"> students could best be educated.  The Province’s “</w:t>
      </w:r>
      <w:r w:rsidRPr="00A812B2">
        <w:rPr>
          <w:rFonts w:cs="Times New Roman"/>
          <w:i/>
        </w:rPr>
        <w:t>Special Programs: A Manual of Policies, Procedures and Guidelines</w:t>
      </w:r>
      <w:r w:rsidRPr="008B7F0A">
        <w:rPr>
          <w:rFonts w:cs="Times New Roman"/>
        </w:rPr>
        <w:t>” (“1985 Manual”) contemplated a “cascade” model of service delivery, where a “range” of placements would be available, including a “</w:t>
      </w:r>
      <w:r w:rsidRPr="008B7F0A">
        <w:rPr>
          <w:rFonts w:cs="Times New Roman"/>
          <w:szCs w:val="24"/>
        </w:rPr>
        <w:t>very highly specialized”</w:t>
      </w:r>
      <w:r w:rsidRPr="008B7F0A">
        <w:rPr>
          <w:rFonts w:cs="Times New Roman"/>
        </w:rPr>
        <w:t xml:space="preserve"> education environment for a small number of students (ss. 4.1 and 4.2).  The predominant policy in the 1985 Manual, however, was the integration of special needs students into the general classroom whenever possible</w:t>
      </w:r>
      <w:r w:rsidRPr="008B7F0A">
        <w:rPr>
          <w:rFonts w:cs="Times New Roman"/>
          <w:szCs w:val="24"/>
        </w:rPr>
        <w:t>.</w:t>
      </w:r>
      <w:r w:rsidRPr="008B7F0A">
        <w:rPr>
          <w:rFonts w:cs="Times New Roman"/>
        </w:rPr>
        <w:t xml:space="preserve">  </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rPr>
        <w:t xml:space="preserve">Notably, however, the 1985 Manual said that “[s]pecial education </w:t>
      </w:r>
      <w:r w:rsidRPr="008B7F0A">
        <w:rPr>
          <w:rFonts w:cs="Times New Roman"/>
          <w:i/>
        </w:rPr>
        <w:t>shares the basic purpose of all education</w:t>
      </w:r>
      <w:r w:rsidRPr="008B7F0A">
        <w:rPr>
          <w:rFonts w:cs="Times New Roman"/>
        </w:rPr>
        <w:t>: the optimal development of individuals as ski</w:t>
      </w:r>
      <w:r w:rsidR="002D532C" w:rsidRPr="008B7F0A">
        <w:rPr>
          <w:rFonts w:cs="Times New Roman"/>
        </w:rPr>
        <w:t>l</w:t>
      </w:r>
      <w:r w:rsidRPr="008B7F0A">
        <w:rPr>
          <w:rFonts w:cs="Times New Roman"/>
        </w:rPr>
        <w:t>lful, free, and purposeful persons, able to plan and manage life and to realize highest potential as individuals and as members of society” (s. 3.1 (emphasis added)).  It added that “</w:t>
      </w:r>
      <w:r w:rsidRPr="008B7F0A">
        <w:rPr>
          <w:rFonts w:cs="Times New Roman"/>
          <w:i/>
        </w:rPr>
        <w:t>[a]</w:t>
      </w:r>
      <w:r w:rsidRPr="008B7F0A">
        <w:rPr>
          <w:rFonts w:cs="Times New Roman"/>
          <w:i/>
          <w:lang w:val="en-US"/>
        </w:rPr>
        <w:t>ll</w:t>
      </w:r>
      <w:r w:rsidRPr="008B7F0A">
        <w:rPr>
          <w:rFonts w:cs="Times New Roman"/>
          <w:lang w:val="en-US"/>
        </w:rPr>
        <w:t xml:space="preserve"> children should be afforded opportunities to develop their full potential” (s. 3.1 (emphasis in original)).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rPr>
        <w:t xml:space="preserve">These education goals in British Columbia informed the Tribunal’s conclusion that the District did not take the necessary steps to give Jeffrey the education to which he was entitled.  </w:t>
      </w:r>
      <w:r w:rsidRPr="008B7F0A">
        <w:rPr>
          <w:rFonts w:cs="Times New Roman"/>
          <w:i/>
          <w:lang w:val="en-US"/>
        </w:rPr>
        <w:t>P</w:t>
      </w:r>
      <w:r w:rsidRPr="008B7F0A">
        <w:rPr>
          <w:rFonts w:cs="Times New Roman"/>
          <w:i/>
          <w:lang w:bidi="en-US"/>
        </w:rPr>
        <w:t>rima facie</w:t>
      </w:r>
      <w:r w:rsidRPr="008B7F0A">
        <w:rPr>
          <w:rFonts w:cs="Times New Roman"/>
          <w:lang w:bidi="en-US"/>
        </w:rPr>
        <w:t xml:space="preserve"> discrimination was made out based, in essence, on two factors: the failure by the District to assess Jeffrey at an earlier </w:t>
      </w:r>
      <w:r w:rsidRPr="008B7F0A">
        <w:rPr>
          <w:rFonts w:cs="Times New Roman"/>
          <w:lang w:bidi="en-US"/>
        </w:rPr>
        <w:lastRenderedPageBreak/>
        <w:t xml:space="preserve">stage; and the insufficiently intensive remediation provided by the District for Jeffrey’s learning disability in order for him to get access to the education he was entitled to.  Only the second is in issue before us, since the conclusions about early assessment which were quashed by the reviewing court, were not appealed to this Court.  That leaves only the issue of the sufficiency of the services given to Jeffrey by the District.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There is no doubt that Jeffrey received some special education assistance until Grade 3, but in my view the Tribunal’s conclusion that the remediation was far from adequate </w:t>
      </w:r>
      <w:r w:rsidRPr="008B7F0A">
        <w:rPr>
          <w:rFonts w:cs="Times New Roman"/>
        </w:rPr>
        <w:t xml:space="preserve">to give Jeffrey the education to which he was entitled, </w:t>
      </w:r>
      <w:r w:rsidRPr="008B7F0A">
        <w:rPr>
          <w:rFonts w:cs="Times New Roman"/>
          <w:lang w:bidi="en-US"/>
        </w:rPr>
        <w:t xml:space="preserve">was fully supported by the evidence.  </w:t>
      </w:r>
      <w:r w:rsidRPr="008B7F0A">
        <w:rPr>
          <w:rFonts w:cs="Times New Roman"/>
          <w:lang w:val="en-US" w:bidi="en-US"/>
        </w:rPr>
        <w:t>To start, the</w:t>
      </w:r>
      <w:r w:rsidRPr="008B7F0A">
        <w:rPr>
          <w:rFonts w:cs="Times New Roman"/>
          <w:lang w:bidi="en-US"/>
        </w:rPr>
        <w:t xml:space="preserve"> Tribunal </w:t>
      </w:r>
      <w:r w:rsidRPr="008B7F0A">
        <w:rPr>
          <w:rFonts w:cs="Times New Roman"/>
          <w:lang w:val="en-US" w:bidi="en-US"/>
        </w:rPr>
        <w:t xml:space="preserve">found that the Moores were told by District employees that Jeffrey required intensive remediation which, as a result of the closing of </w:t>
      </w:r>
      <w:r w:rsidR="005B58A3">
        <w:rPr>
          <w:rFonts w:cs="Times New Roman"/>
          <w:lang w:val="en-US" w:bidi="en-US"/>
        </w:rPr>
        <w:t>the</w:t>
      </w:r>
      <w:r w:rsidR="00911B0C">
        <w:rPr>
          <w:rFonts w:cs="Times New Roman"/>
          <w:lang w:val="en-US" w:bidi="en-US"/>
        </w:rPr>
        <w:t xml:space="preserve"> </w:t>
      </w:r>
      <w:r w:rsidRPr="008B7F0A">
        <w:rPr>
          <w:rFonts w:cs="Times New Roman"/>
        </w:rPr>
        <w:t>Diagnostic Centre</w:t>
      </w:r>
      <w:r w:rsidRPr="008B7F0A">
        <w:rPr>
          <w:rFonts w:cs="Times New Roman"/>
          <w:lang w:val="en-US" w:bidi="en-US"/>
        </w:rPr>
        <w:t xml:space="preserve">, would only be available outside of the public school system.  </w:t>
      </w:r>
      <w:r w:rsidRPr="008B7F0A">
        <w:rPr>
          <w:rFonts w:cs="Times New Roman"/>
          <w:lang w:bidi="en-US"/>
        </w:rPr>
        <w:t xml:space="preserve">After Jeffrey’s psycho-educational assessment in April 1994, Ms. Tennant concluded that he “needed more intensive remediation than he had been receiving”, and recommended that he be considered for the </w:t>
      </w:r>
      <w:r w:rsidRPr="008B7F0A">
        <w:rPr>
          <w:rFonts w:cs="Times New Roman"/>
        </w:rPr>
        <w:t>Diagnostic Centre</w:t>
      </w:r>
      <w:r w:rsidRPr="008B7F0A">
        <w:rPr>
          <w:rFonts w:cs="Times New Roman"/>
          <w:lang w:bidi="en-US"/>
        </w:rPr>
        <w:t xml:space="preserve"> program.  The Tribunal accepted the Moores’ evidence that at a meeting with Ms. Tennant after this assessment, they were advised that since the </w:t>
      </w:r>
      <w:r w:rsidRPr="008B7F0A">
        <w:rPr>
          <w:rFonts w:cs="Times New Roman"/>
        </w:rPr>
        <w:t>Diagnostic Centre</w:t>
      </w:r>
      <w:r w:rsidRPr="008B7F0A">
        <w:rPr>
          <w:rFonts w:cs="Times New Roman"/>
          <w:lang w:bidi="en-US"/>
        </w:rPr>
        <w:t xml:space="preserve"> was not an option as a result of its pending closing, Kenneth Gordon School “</w:t>
      </w:r>
      <w:r w:rsidRPr="008B7F0A">
        <w:rPr>
          <w:rFonts w:cs="Times New Roman"/>
        </w:rPr>
        <w:t>was the only alternative that would provide the intense remediation that Jeffrey required”.</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The Tribunal also put great reliance on the views of Ms. Tennant and Ms. Waigh, who had “worked most closely with” Jeffrey at Braemar, and whose </w:t>
      </w:r>
      <w:r w:rsidRPr="008B7F0A">
        <w:rPr>
          <w:rFonts w:cs="Times New Roman"/>
          <w:lang w:bidi="en-US"/>
        </w:rPr>
        <w:lastRenderedPageBreak/>
        <w:t xml:space="preserve">“professional judgment” it accepted.  It found that Ms. Tennant had “recognized that Jeffrey needed intensive remediation in an alternate setting”, and recommended that he look at the </w:t>
      </w:r>
      <w:r w:rsidRPr="008B7F0A">
        <w:rPr>
          <w:rFonts w:cs="Times New Roman"/>
        </w:rPr>
        <w:t>Diagnostic Centre</w:t>
      </w:r>
      <w:r w:rsidRPr="008B7F0A">
        <w:rPr>
          <w:rFonts w:cs="Times New Roman"/>
          <w:lang w:bidi="en-US"/>
        </w:rPr>
        <w:t>.  This recommendation was made “</w:t>
      </w:r>
      <w:r w:rsidRPr="008B7F0A">
        <w:rPr>
          <w:rFonts w:cs="Times New Roman"/>
          <w:szCs w:val="24"/>
        </w:rPr>
        <w:t xml:space="preserve">in addition to the Aide time to which Jeffrey was entitled under the provisions of the Collective Agreement”.  The Tribunal found that “Ms. Waigh agreed that </w:t>
      </w:r>
      <w:r w:rsidR="002D532C" w:rsidRPr="008B7F0A">
        <w:rPr>
          <w:rFonts w:cs="Times New Roman"/>
          <w:szCs w:val="24"/>
        </w:rPr>
        <w:t>[</w:t>
      </w:r>
      <w:r w:rsidRPr="008B7F0A">
        <w:rPr>
          <w:rFonts w:cs="Times New Roman"/>
          <w:szCs w:val="24"/>
        </w:rPr>
        <w:t>Diagnostic Centre</w:t>
      </w:r>
      <w:r w:rsidR="002D532C" w:rsidRPr="008B7F0A">
        <w:rPr>
          <w:rFonts w:cs="Times New Roman"/>
          <w:szCs w:val="24"/>
        </w:rPr>
        <w:t>]</w:t>
      </w:r>
      <w:r w:rsidRPr="008B7F0A">
        <w:rPr>
          <w:rFonts w:cs="Times New Roman"/>
          <w:szCs w:val="24"/>
        </w:rPr>
        <w:t xml:space="preserve"> would have been beneficial to Jeffrey”, and noted that</w:t>
      </w:r>
    </w:p>
    <w:p w:rsidR="00E733D5" w:rsidRPr="008B7F0A" w:rsidRDefault="00E733D5" w:rsidP="002D532C">
      <w:pPr>
        <w:pStyle w:val="Quote"/>
        <w:tabs>
          <w:tab w:val="left" w:pos="1170"/>
        </w:tabs>
        <w:ind w:hanging="720"/>
        <w:rPr>
          <w:rFonts w:cs="Times New Roman"/>
        </w:rPr>
      </w:pPr>
      <w:r w:rsidRPr="008B7F0A">
        <w:rPr>
          <w:rFonts w:cs="Times New Roman"/>
        </w:rPr>
        <w:tab/>
      </w:r>
      <w:r w:rsidR="002D532C" w:rsidRPr="008B7F0A">
        <w:rPr>
          <w:rFonts w:cs="Times New Roman"/>
        </w:rPr>
        <w:tab/>
      </w:r>
      <w:r w:rsidRPr="008B7F0A">
        <w:rPr>
          <w:rFonts w:cs="Times New Roman"/>
        </w:rPr>
        <w:t xml:space="preserve">Ms. Tennant described Jeffrey’s case as one of the worst she had ever seen in her many years of experience.  According to her, Jeffrey needed a high degree of intensive one-on-one instruction in a setting designed to minimize distractions.  Her opinion was that Jeffrey needed intensive remediation which, in the District, was only offered by the </w:t>
      </w:r>
      <w:r w:rsidR="001A1CA8" w:rsidRPr="008B7F0A">
        <w:rPr>
          <w:rFonts w:cs="Times New Roman"/>
        </w:rPr>
        <w:t>[</w:t>
      </w:r>
      <w:r w:rsidRPr="008B7F0A">
        <w:rPr>
          <w:rFonts w:cs="Times New Roman"/>
        </w:rPr>
        <w:t>Diagnostic Centre</w:t>
      </w:r>
      <w:r w:rsidR="001A1CA8" w:rsidRPr="008B7F0A">
        <w:rPr>
          <w:rFonts w:cs="Times New Roman"/>
        </w:rPr>
        <w:t>]</w:t>
      </w:r>
      <w:r w:rsidRPr="008B7F0A">
        <w:rPr>
          <w:rFonts w:cs="Times New Roman"/>
        </w:rPr>
        <w:t xml:space="preserve">. </w:t>
      </w:r>
    </w:p>
    <w:p w:rsidR="00E733D5" w:rsidRPr="008B7F0A" w:rsidRDefault="00E733D5" w:rsidP="00E733D5">
      <w:pPr>
        <w:pStyle w:val="ContinueParaSuitedupar-AltP"/>
        <w:rPr>
          <w:rFonts w:cs="Times New Roman"/>
          <w:lang w:bidi="en-US"/>
        </w:rPr>
      </w:pPr>
      <w:r w:rsidRPr="008B7F0A">
        <w:rPr>
          <w:rFonts w:cs="Times New Roman"/>
          <w:lang w:bidi="en-US"/>
        </w:rPr>
        <w:t>On the basis of this evidence, the Tribunal concluded that “[w]hile it is clear that the one-on-one attention he received was unusual, and that Ms. Waigh was a well-qualified specialist, the services were not intensive enough to meet his disability-related needs</w:t>
      </w:r>
      <w:r w:rsidR="003C65EF">
        <w:rPr>
          <w:rFonts w:cs="Times New Roman"/>
          <w:lang w:bidi="en-US"/>
        </w:rPr>
        <w:t>.</w:t>
      </w:r>
      <w:r w:rsidRPr="008B7F0A">
        <w:rPr>
          <w:rFonts w:cs="Times New Roman"/>
          <w:lang w:bidi="en-US"/>
        </w:rPr>
        <w:t xml:space="preserve">” </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lang w:bidi="en-US"/>
        </w:rPr>
        <w:t>The Tribunal found that when the decision to close the Diagnostic Centre was made, the District did so</w:t>
      </w:r>
      <w:r w:rsidRPr="008B7F0A">
        <w:rPr>
          <w:rFonts w:cs="Times New Roman"/>
          <w:szCs w:val="24"/>
        </w:rPr>
        <w:t xml:space="preserve"> without knowing how the needs of students like Jeffrey would be addressed,</w:t>
      </w:r>
      <w:r w:rsidRPr="008B7F0A">
        <w:rPr>
          <w:rFonts w:cs="Times New Roman"/>
          <w:lang w:bidi="en-US"/>
        </w:rPr>
        <w:t xml:space="preserve"> and without “undertak[ing]</w:t>
      </w:r>
      <w:r w:rsidRPr="008B7F0A">
        <w:rPr>
          <w:rFonts w:cs="Times New Roman"/>
          <w:szCs w:val="24"/>
        </w:rPr>
        <w:t xml:space="preserve"> a needs-based analysis, consider[ing] what might replace </w:t>
      </w:r>
      <w:r w:rsidR="002C4B4A" w:rsidRPr="008B7F0A">
        <w:rPr>
          <w:rFonts w:cs="Times New Roman"/>
          <w:szCs w:val="24"/>
        </w:rPr>
        <w:t>[</w:t>
      </w:r>
      <w:r w:rsidRPr="008B7F0A">
        <w:rPr>
          <w:rFonts w:cs="Times New Roman"/>
          <w:szCs w:val="24"/>
        </w:rPr>
        <w:t>Diagnostic Centre</w:t>
      </w:r>
      <w:r w:rsidR="002C4B4A" w:rsidRPr="008B7F0A">
        <w:rPr>
          <w:rFonts w:cs="Times New Roman"/>
          <w:szCs w:val="24"/>
        </w:rPr>
        <w:t>]</w:t>
      </w:r>
      <w:r w:rsidRPr="008B7F0A">
        <w:rPr>
          <w:rFonts w:cs="Times New Roman"/>
          <w:szCs w:val="24"/>
        </w:rPr>
        <w:t xml:space="preserve">, or assess[ing] the effect of the closure on [Severe Learning Disabilities] students”.  </w:t>
      </w:r>
      <w:r w:rsidRPr="008B7F0A">
        <w:rPr>
          <w:rFonts w:cs="Times New Roman"/>
          <w:lang w:bidi="en-US"/>
        </w:rPr>
        <w:t xml:space="preserve">The Tribunal noted that at the Board meeting on April 26, 1994, when the budget closing the Diagnostic Centre was approved, the Minutes stated that “[a]ll Trustees indicated in this discussion that they were adopting the bylaw as it was required by legislation and not because they </w:t>
      </w:r>
      <w:r w:rsidRPr="008B7F0A">
        <w:rPr>
          <w:rFonts w:cs="Times New Roman"/>
          <w:lang w:bidi="en-US"/>
        </w:rPr>
        <w:lastRenderedPageBreak/>
        <w:t>believed it met the needs of the students</w:t>
      </w:r>
      <w:r w:rsidR="003C65EF">
        <w:rPr>
          <w:rFonts w:cs="Times New Roman"/>
          <w:lang w:bidi="en-US"/>
        </w:rPr>
        <w:t>.</w:t>
      </w:r>
      <w:r w:rsidRPr="008B7F0A">
        <w:rPr>
          <w:rFonts w:cs="Times New Roman"/>
          <w:lang w:bidi="en-US"/>
        </w:rPr>
        <w:t xml:space="preserve">”  It concluded that Dr. Robin Brayne, the </w:t>
      </w:r>
      <w:r w:rsidRPr="008B7F0A">
        <w:rPr>
          <w:rFonts w:cs="Times New Roman"/>
          <w:szCs w:val="24"/>
        </w:rPr>
        <w:t xml:space="preserve">District’s Superintendent of Schools, and the District in general “did not know how many students would be affected” by the closure.  In fact, on the day of the Board vote, the District’s Assistant Superintendent and the Coordinator of Student Services informed Dr. Brayne that it was “too early to know precisely how the needs of high incidence students will be addressed in the absence of the Diagnostic Centre”.  </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szCs w:val="24"/>
        </w:rPr>
        <w:t xml:space="preserve">Nor did the District consult Ms. Waigh or Ms. Tennant, despite their role in providing services to Severe Learning Disabilities students and their opposition to the closure.  It was only at the end of June 1994, more than two months after the decision to close the Diagnostic </w:t>
      </w:r>
      <w:proofErr w:type="gramStart"/>
      <w:r w:rsidRPr="008B7F0A">
        <w:rPr>
          <w:rFonts w:cs="Times New Roman"/>
          <w:szCs w:val="24"/>
        </w:rPr>
        <w:t>Centre, that</w:t>
      </w:r>
      <w:proofErr w:type="gramEnd"/>
      <w:r w:rsidRPr="008B7F0A">
        <w:rPr>
          <w:rFonts w:cs="Times New Roman"/>
          <w:szCs w:val="24"/>
        </w:rPr>
        <w:t xml:space="preserve"> Dr. Brayne requested the development of a policy document to set out the District’s plan for addressing the needs of Severe Learning Disabilities students in the absence of the Diagnostic Centre.  The policy document was to be discussed in August, with training planned for the fall and winter of 1994/95.  As a result, the Tribunal concluded that “nothing was in place in September when schools opened, other than what the schools already provided”.</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szCs w:val="24"/>
        </w:rPr>
        <w:t xml:space="preserve">Moreover, the Tribunal rejected the District’s argument that the educational philosophy of integration was “a consideration” in the closure of the Diagnostic Centre, since “[i]t was clear from the evidence of all of the District’s witnesses that they thought the </w:t>
      </w:r>
      <w:r w:rsidR="003C29BB" w:rsidRPr="008B7F0A">
        <w:rPr>
          <w:rFonts w:cs="Times New Roman"/>
          <w:szCs w:val="24"/>
        </w:rPr>
        <w:t>[</w:t>
      </w:r>
      <w:r w:rsidRPr="008B7F0A">
        <w:rPr>
          <w:rFonts w:cs="Times New Roman"/>
          <w:szCs w:val="24"/>
        </w:rPr>
        <w:t>Diagnostic Centre</w:t>
      </w:r>
      <w:r w:rsidR="003C29BB" w:rsidRPr="008B7F0A">
        <w:rPr>
          <w:rFonts w:cs="Times New Roman"/>
          <w:szCs w:val="24"/>
        </w:rPr>
        <w:t>]</w:t>
      </w:r>
      <w:r w:rsidRPr="008B7F0A">
        <w:rPr>
          <w:rFonts w:cs="Times New Roman"/>
          <w:szCs w:val="24"/>
        </w:rPr>
        <w:t xml:space="preserve"> provided a useful service</w:t>
      </w:r>
      <w:r w:rsidR="003C65EF">
        <w:rPr>
          <w:rFonts w:cs="Times New Roman"/>
          <w:szCs w:val="24"/>
        </w:rPr>
        <w:t>.”</w:t>
      </w:r>
      <w:r w:rsidRPr="008B7F0A">
        <w:rPr>
          <w:rFonts w:cs="Times New Roman"/>
          <w:szCs w:val="24"/>
        </w:rPr>
        <w:t xml:space="preserve">  It noted that Dr. Brayne admitted in cross-examination that the closure was not motivated by educational policy, and acknowledged that “without [the Diagnostic </w:t>
      </w:r>
      <w:r w:rsidRPr="008B7F0A">
        <w:rPr>
          <w:rFonts w:cs="Times New Roman"/>
          <w:szCs w:val="24"/>
        </w:rPr>
        <w:lastRenderedPageBreak/>
        <w:t>Centre</w:t>
      </w:r>
      <w:r w:rsidR="003C29BB" w:rsidRPr="008B7F0A">
        <w:rPr>
          <w:rFonts w:cs="Times New Roman"/>
          <w:szCs w:val="24"/>
        </w:rPr>
        <w:t>]</w:t>
      </w:r>
      <w:r w:rsidRPr="008B7F0A">
        <w:rPr>
          <w:rFonts w:cs="Times New Roman"/>
          <w:szCs w:val="24"/>
        </w:rPr>
        <w:t>, the range of options available to [Severe Learning Disa</w:t>
      </w:r>
      <w:r w:rsidR="003C29BB" w:rsidRPr="008B7F0A">
        <w:rPr>
          <w:rFonts w:cs="Times New Roman"/>
          <w:szCs w:val="24"/>
        </w:rPr>
        <w:t xml:space="preserve">bilities] students was reduced </w:t>
      </w:r>
      <w:r w:rsidRPr="008B7F0A">
        <w:rPr>
          <w:rFonts w:cs="Times New Roman"/>
          <w:szCs w:val="24"/>
        </w:rPr>
        <w:t xml:space="preserve">[and] according to the 1985 Manual, </w:t>
      </w:r>
      <w:r w:rsidRPr="008B7F0A">
        <w:rPr>
          <w:rFonts w:cs="Times New Roman"/>
        </w:rPr>
        <w:t>[the remaining resources]</w:t>
      </w:r>
      <w:r w:rsidRPr="008B7F0A">
        <w:rPr>
          <w:rFonts w:cs="Times New Roman"/>
          <w:szCs w:val="24"/>
        </w:rPr>
        <w:t xml:space="preserve"> were not intended for [Severe Learning Disabilities] students”.  As a result, based on “the evidence, the concurrent memoranda, and the speed at which the decision was made”, the Tribunal concluded that “the </w:t>
      </w:r>
      <w:r w:rsidRPr="008B7F0A">
        <w:rPr>
          <w:rFonts w:cs="Times New Roman"/>
          <w:i/>
          <w:szCs w:val="24"/>
        </w:rPr>
        <w:t>sole</w:t>
      </w:r>
      <w:r w:rsidRPr="008B7F0A">
        <w:rPr>
          <w:rFonts w:cs="Times New Roman"/>
          <w:szCs w:val="24"/>
        </w:rPr>
        <w:t xml:space="preserve"> reason for the closure was financial” (emphasis added).</w:t>
      </w:r>
    </w:p>
    <w:p w:rsidR="00E733D5" w:rsidRPr="008B7F0A" w:rsidRDefault="00E733D5" w:rsidP="00E733D5">
      <w:pPr>
        <w:pStyle w:val="ParaNoNdepar-AltN"/>
        <w:tabs>
          <w:tab w:val="clear" w:pos="1166"/>
          <w:tab w:val="num" w:pos="1152"/>
        </w:tabs>
        <w:rPr>
          <w:rFonts w:cs="Times New Roman"/>
          <w:lang w:bidi="en-US"/>
        </w:rPr>
      </w:pPr>
      <w:r w:rsidRPr="008B7F0A">
        <w:rPr>
          <w:rFonts w:cs="Times New Roman"/>
          <w:szCs w:val="24"/>
        </w:rPr>
        <w:t xml:space="preserve">The Tribunal was cognizant of the deference it owed to the District in delivering educational services, and the fact that Jeffrey’s needs could have been met by means other than the Diagnostic Centre.  </w:t>
      </w:r>
      <w:r w:rsidRPr="008B7F0A">
        <w:rPr>
          <w:rFonts w:cs="Times New Roman"/>
        </w:rPr>
        <w:t xml:space="preserve">In brief, the Tribunal found that </w:t>
      </w:r>
      <w:r w:rsidRPr="008B7F0A">
        <w:rPr>
          <w:rFonts w:cs="Times New Roman"/>
          <w:szCs w:val="24"/>
        </w:rPr>
        <w:t xml:space="preserve">when the decision to close the Diagnostic Centre was made, the District’s motivations were exclusively financial, and it had failed to consider the </w:t>
      </w:r>
      <w:r w:rsidRPr="008B7F0A">
        <w:rPr>
          <w:rFonts w:cs="Times New Roman"/>
        </w:rPr>
        <w:t>consequences or</w:t>
      </w:r>
      <w:r w:rsidRPr="008B7F0A">
        <w:rPr>
          <w:rFonts w:cs="Times New Roman"/>
          <w:szCs w:val="24"/>
        </w:rPr>
        <w:t xml:space="preserve"> plan for alternate accommodations.</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t xml:space="preserve">This failure was crucial in light of the expert evidence that intensive supports were needed generally to remedy Jeffrey’s learning disability, and that he had not received the support he needed in the public school system.  </w:t>
      </w:r>
      <w:r w:rsidRPr="008B7F0A">
        <w:rPr>
          <w:rFonts w:cs="Times New Roman"/>
        </w:rPr>
        <w:t xml:space="preserve">The Tribunal acknowledged that it was impossible to compare Jeffrey’s current abilities </w:t>
      </w:r>
      <w:r w:rsidRPr="008B7F0A">
        <w:rPr>
          <w:rFonts w:cs="Times New Roman"/>
          <w:lang w:bidi="en-US"/>
        </w:rPr>
        <w:t xml:space="preserve">to what he might have achieved if he had received earlier and more intensive services.  But while the failure to obtain a given result did not in itself constitute adverse treatment, the Tribunal accepted the evidence of two experts who, after examining Jeffrey, found that he “would have benefited from more intensive remediation earlier and from attending at the </w:t>
      </w:r>
      <w:r w:rsidR="00235A80" w:rsidRPr="008B7F0A">
        <w:rPr>
          <w:rFonts w:cs="Times New Roman"/>
          <w:lang w:bidi="en-US"/>
        </w:rPr>
        <w:t>[</w:t>
      </w:r>
      <w:r w:rsidRPr="008B7F0A">
        <w:rPr>
          <w:rFonts w:cs="Times New Roman"/>
          <w:lang w:bidi="en-US"/>
        </w:rPr>
        <w:t>Diagnostic Centre</w:t>
      </w:r>
      <w:r w:rsidR="00235A80" w:rsidRPr="008B7F0A">
        <w:rPr>
          <w:rFonts w:cs="Times New Roman"/>
          <w:lang w:bidi="en-US"/>
        </w:rPr>
        <w:t>]</w:t>
      </w:r>
      <w:r w:rsidRPr="008B7F0A">
        <w:rPr>
          <w:rFonts w:cs="Times New Roman"/>
          <w:lang w:bidi="en-US"/>
        </w:rPr>
        <w:t xml:space="preserve">”.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bidi="en-US"/>
        </w:rPr>
        <w:lastRenderedPageBreak/>
        <w:t xml:space="preserve">It was therefore the combination of the clear recognition by the District, its employees and the experts that Jeffrey required intensive remediation in order to have meaningful access to education, the closing of the Diagnostic Centre, and the fact that the Moores were told that these services could not otherwise be provided by the District, that justified the Tribunal’s conclusion that the failure of the District to meet Jeffrey’s educational needs constituted </w:t>
      </w:r>
      <w:r w:rsidRPr="008B7F0A">
        <w:rPr>
          <w:rFonts w:cs="Times New Roman"/>
          <w:i/>
          <w:lang w:bidi="en-US"/>
        </w:rPr>
        <w:t>prima facie</w:t>
      </w:r>
      <w:r w:rsidRPr="008B7F0A">
        <w:rPr>
          <w:rFonts w:cs="Times New Roman"/>
          <w:lang w:bidi="en-US"/>
        </w:rPr>
        <w:t xml:space="preserve"> discrimination.  In my view, this conclusion is amply supported by the record.</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bidi="en-US"/>
        </w:rPr>
        <w:t>T</w:t>
      </w:r>
      <w:r w:rsidRPr="008B7F0A">
        <w:rPr>
          <w:rFonts w:cs="Times New Roman"/>
          <w:lang w:bidi="en-US"/>
        </w:rPr>
        <w:t xml:space="preserve">he next question is whether the District’s conduct was justified.  At this stage in the analysis, it </w:t>
      </w:r>
      <w:r w:rsidRPr="008B7F0A">
        <w:rPr>
          <w:rFonts w:cs="Times New Roman"/>
        </w:rPr>
        <w:t>must be shown that</w:t>
      </w:r>
      <w:r w:rsidRPr="008B7F0A">
        <w:rPr>
          <w:rFonts w:cs="Times New Roman"/>
          <w:lang w:bidi="en-US"/>
        </w:rPr>
        <w:t xml:space="preserve"> alternative approaches were investigated (</w:t>
      </w:r>
      <w:r w:rsidRPr="008B7F0A">
        <w:rPr>
          <w:rFonts w:cs="Times New Roman"/>
          <w:i/>
        </w:rPr>
        <w:t>British Columbia (Public Service Employee Relations Commission) v. BCGSEU</w:t>
      </w:r>
      <w:r w:rsidRPr="008B7F0A">
        <w:rPr>
          <w:rFonts w:cs="Times New Roman"/>
        </w:rPr>
        <w:t>, [1999] 3 S.C.R. 3 (“</w:t>
      </w:r>
      <w:r w:rsidRPr="008B7F0A">
        <w:rPr>
          <w:rFonts w:cs="Times New Roman"/>
          <w:i/>
        </w:rPr>
        <w:t>Meiorin</w:t>
      </w:r>
      <w:r w:rsidRPr="008B7F0A">
        <w:rPr>
          <w:rFonts w:cs="Times New Roman"/>
        </w:rPr>
        <w:t xml:space="preserve">”), </w:t>
      </w:r>
      <w:r w:rsidRPr="008B7F0A">
        <w:rPr>
          <w:rFonts w:cs="Times New Roman"/>
          <w:lang w:bidi="en-US"/>
        </w:rPr>
        <w:t xml:space="preserve">at para. 65).  </w:t>
      </w:r>
      <w:r w:rsidRPr="008B7F0A">
        <w:rPr>
          <w:rFonts w:cs="Times New Roman"/>
        </w:rPr>
        <w:t xml:space="preserve">The </w:t>
      </w:r>
      <w:r w:rsidRPr="008B7F0A">
        <w:rPr>
          <w:rFonts w:cs="Times New Roman"/>
          <w:i/>
        </w:rPr>
        <w:t xml:space="preserve">prima facie </w:t>
      </w:r>
      <w:r w:rsidRPr="008B7F0A">
        <w:rPr>
          <w:rFonts w:cs="Times New Roman"/>
        </w:rPr>
        <w:t>discriminatory conduct must also be “reasonably necessary” in order to accomplish a broader goal (</w:t>
      </w:r>
      <w:r w:rsidRPr="008B7F0A">
        <w:rPr>
          <w:rFonts w:cs="Times New Roman"/>
          <w:i/>
        </w:rPr>
        <w:t>Ontario Human Rights Commission v. Borough of Etobicoke</w:t>
      </w:r>
      <w:r w:rsidRPr="008B7F0A">
        <w:rPr>
          <w:rFonts w:cs="Times New Roman"/>
        </w:rPr>
        <w:t xml:space="preserve">, [1982] 1 S.C.R. 202, at p. 208; </w:t>
      </w:r>
      <w:r w:rsidRPr="008B7F0A">
        <w:rPr>
          <w:rFonts w:cs="Times New Roman"/>
          <w:i/>
        </w:rPr>
        <w:t>Central Okanagan School District No. 23 v. Renaud</w:t>
      </w:r>
      <w:r w:rsidRPr="008B7F0A">
        <w:rPr>
          <w:rFonts w:cs="Times New Roman"/>
        </w:rPr>
        <w:t>, [1992] 2 S.C.R. 970, at p. 984).  In other words, an employer or service provider must show “that it could not have done anything else reasonable or practical to avoid the negative impact on the individual” (</w:t>
      </w:r>
      <w:r w:rsidRPr="008B7F0A">
        <w:rPr>
          <w:rFonts w:cs="Times New Roman"/>
          <w:i/>
        </w:rPr>
        <w:t>Meiorin</w:t>
      </w:r>
      <w:r w:rsidRPr="008B7F0A">
        <w:rPr>
          <w:rFonts w:cs="Times New Roman"/>
        </w:rPr>
        <w:t xml:space="preserve">, at para. 38; </w:t>
      </w:r>
      <w:r w:rsidRPr="008B7F0A">
        <w:rPr>
          <w:rFonts w:cs="Times New Roman"/>
          <w:i/>
        </w:rPr>
        <w:t>Central Alberta Dairy Pool v. Alberta (Human Rights Commission)</w:t>
      </w:r>
      <w:r w:rsidRPr="008B7F0A">
        <w:rPr>
          <w:rFonts w:cs="Times New Roman"/>
        </w:rPr>
        <w:t xml:space="preserve">, [1990] 2 S.C.R. 489, at pp. 518-19; </w:t>
      </w:r>
      <w:r w:rsidRPr="008B7F0A">
        <w:rPr>
          <w:rFonts w:cs="Times New Roman"/>
          <w:i/>
        </w:rPr>
        <w:t>Council of Canadians with Disabilities v. VIA Rail Canada Inc.</w:t>
      </w:r>
      <w:r w:rsidRPr="008B7F0A">
        <w:rPr>
          <w:rFonts w:cs="Times New Roman"/>
        </w:rPr>
        <w:t>, at para. 130).</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bidi="en-US"/>
        </w:rPr>
        <w:t>T</w:t>
      </w:r>
      <w:r w:rsidRPr="008B7F0A">
        <w:rPr>
          <w:rFonts w:cs="Times New Roman"/>
        </w:rPr>
        <w:t xml:space="preserve">he District’s justification centred on the budgetary crisis it faced during the relevant period, which led to the closure of the Diagnostic Centre and other </w:t>
      </w:r>
      <w:r w:rsidRPr="008B7F0A">
        <w:rPr>
          <w:rFonts w:cs="Times New Roman"/>
        </w:rPr>
        <w:lastRenderedPageBreak/>
        <w:t xml:space="preserve">related cuts.  There is no doubt that the District was facing serious financial constraints. Nor is there any doubt that this is a relevant consideration.  It is undoubtedly difficult for administrators to implement education policy in the face of severe fiscal limitations, but </w:t>
      </w:r>
      <w:r w:rsidRPr="008B7F0A">
        <w:rPr>
          <w:rFonts w:cs="Times New Roman"/>
          <w:lang w:bidi="en-US"/>
        </w:rPr>
        <w:t>accommodation is not a question of “mere efficiency”, since “[i]t will always seem demonstrably cheaper to maintain the status quo and not eliminate a discriminatory barrier” (</w:t>
      </w:r>
      <w:r w:rsidRPr="008B7F0A">
        <w:rPr>
          <w:rFonts w:cs="Times New Roman"/>
          <w:i/>
          <w:lang w:bidi="en-US"/>
        </w:rPr>
        <w:t>VIA Rail</w:t>
      </w:r>
      <w:r w:rsidR="00FE7E34" w:rsidRPr="008B7F0A">
        <w:rPr>
          <w:rFonts w:cs="Times New Roman"/>
          <w:lang w:bidi="en-US"/>
        </w:rPr>
        <w:t>, at para. 2</w:t>
      </w:r>
      <w:r w:rsidRPr="008B7F0A">
        <w:rPr>
          <w:rFonts w:cs="Times New Roman"/>
          <w:lang w:bidi="en-US"/>
        </w:rPr>
        <w:t xml:space="preserve">25).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bidi="en-US"/>
        </w:rPr>
        <w:t xml:space="preserve">In Jeffrey’s case, the Tribunal accepted </w:t>
      </w:r>
      <w:r w:rsidRPr="008B7F0A">
        <w:rPr>
          <w:rFonts w:cs="Times New Roman"/>
          <w:lang w:bidi="en-US"/>
        </w:rPr>
        <w:t xml:space="preserve">that the District faced financial difficulties during the relevant period.  Yet it also found that cuts were disproportionably made to special needs programs.  Despite their similar cost, the District </w:t>
      </w:r>
      <w:r w:rsidRPr="008B7F0A">
        <w:rPr>
          <w:rFonts w:cs="Times New Roman"/>
        </w:rPr>
        <w:t xml:space="preserve">retained some discretionary programs, such as the Outdoor School — an outdoor campus where students learned about community and the environment — while eliminating the Diagnostic Centre.  As Rowles J.A. noted, “without undermining the educational value of the Outdoor School, such specialized and discretionary initiatives cannot be compared with the accommodations necessary in order to make the core curriculum accessible to severely learning disabled students” (para. 154). </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rPr>
        <w:t xml:space="preserve">More significantly, the Tribunal found, as previously noted, that the District undertook </w:t>
      </w:r>
      <w:r w:rsidRPr="008B7F0A">
        <w:rPr>
          <w:rFonts w:cs="Times New Roman"/>
          <w:i/>
          <w:lang w:val="en-US"/>
        </w:rPr>
        <w:t>no</w:t>
      </w:r>
      <w:r w:rsidRPr="008B7F0A">
        <w:rPr>
          <w:rFonts w:cs="Times New Roman"/>
          <w:lang w:val="en-US"/>
        </w:rPr>
        <w:t xml:space="preserve"> assessment, financial or otherwise, of what alternatives were or could be reasonably available to accommodate special needs students if the Diagnostic Centre were closed.  This was cogently summarized by Rowles J.A. as follows:</w:t>
      </w:r>
    </w:p>
    <w:p w:rsidR="00E733D5" w:rsidRPr="008B7F0A" w:rsidRDefault="00E733D5" w:rsidP="00FE7E34">
      <w:pPr>
        <w:pStyle w:val="Citation-AltC"/>
        <w:tabs>
          <w:tab w:val="left" w:pos="1710"/>
        </w:tabs>
        <w:ind w:hanging="1166"/>
      </w:pPr>
      <w:r w:rsidRPr="008B7F0A">
        <w:lastRenderedPageBreak/>
        <w:tab/>
      </w:r>
      <w:r w:rsidR="00FE7E34" w:rsidRPr="008B7F0A">
        <w:tab/>
      </w:r>
      <w:r w:rsidRPr="008B7F0A">
        <w:t>The Tribunal found that prior to making the decision to close [the Diagnostic Centre</w:t>
      </w:r>
      <w:r w:rsidR="00FE7E34" w:rsidRPr="008B7F0A">
        <w:t>]</w:t>
      </w:r>
      <w:r w:rsidRPr="008B7F0A">
        <w:t>, the District did not undertake a needs-based analysis, consider what might replace [the Diagnostic Centre</w:t>
      </w:r>
      <w:r w:rsidR="00FE7E34" w:rsidRPr="008B7F0A">
        <w:t>]</w:t>
      </w:r>
      <w:r w:rsidRPr="008B7F0A">
        <w:t xml:space="preserve">, or assess the effect of the closure on severely learning disabled students. The District had no specific plan in place to replace the services, and the eventual plan became learning assistance, which, by definition and purpose, was ill-suited for the task. The philosophy for the restructuring was not prepared until two months after the decision had been made (paras. 380-382, 387-401, 895-899). </w:t>
      </w:r>
      <w:r w:rsidRPr="008B7F0A">
        <w:rPr>
          <w:i/>
        </w:rPr>
        <w:t>These findings of fact of the Tribunal are entitled to deference, and undermine the District’s submission that it discharged its obligations to investigate and consider alternative means of accommodating severely learning disabled students before cutting services for them.</w:t>
      </w:r>
      <w:r w:rsidRPr="008B7F0A">
        <w:t xml:space="preserve"> Further, there is no evidence that the District considered cost-reducing alternatives for the continued operation of [the Diagnostic Centre</w:t>
      </w:r>
      <w:r w:rsidR="00FD67E7" w:rsidRPr="008B7F0A">
        <w:t>]</w:t>
      </w:r>
      <w:r w:rsidRPr="008B7F0A">
        <w:t>. [Emphasis added; para. 143.]</w:t>
      </w:r>
    </w:p>
    <w:p w:rsidR="00E733D5" w:rsidRPr="008B7F0A" w:rsidRDefault="00E733D5" w:rsidP="00E733D5">
      <w:pPr>
        <w:pStyle w:val="ContinueParaSuitedupar-AltP"/>
        <w:rPr>
          <w:rFonts w:cs="Times New Roman"/>
          <w:lang w:bidi="en-US"/>
        </w:rPr>
      </w:pPr>
      <w:r w:rsidRPr="008B7F0A">
        <w:rPr>
          <w:rFonts w:cs="Times New Roman"/>
          <w:lang w:bidi="en-US"/>
        </w:rPr>
        <w:t xml:space="preserve">The failure to consider financial alternatives completely undermines what is, in essence, the District’s argument, namely that it was justified in providing no meaningful access to an education for Jeffrey because it had no economic choice.  In order to decide that it had </w:t>
      </w:r>
      <w:r w:rsidRPr="008B7F0A">
        <w:rPr>
          <w:rFonts w:cs="Times New Roman"/>
          <w:i/>
          <w:lang w:bidi="en-US"/>
        </w:rPr>
        <w:t>no</w:t>
      </w:r>
      <w:r w:rsidRPr="008B7F0A">
        <w:rPr>
          <w:rFonts w:cs="Times New Roman"/>
          <w:lang w:bidi="en-US"/>
        </w:rPr>
        <w:t xml:space="preserve"> other choice, it had at least to consider what those other choices were.</w:t>
      </w:r>
      <w:r w:rsidRPr="008B7F0A">
        <w:rPr>
          <w:rFonts w:cs="Times New Roman"/>
        </w:rPr>
        <w:t xml:space="preserve">  </w:t>
      </w:r>
    </w:p>
    <w:p w:rsidR="00E733D5" w:rsidRPr="008B7F0A" w:rsidRDefault="00E733D5" w:rsidP="00E733D5">
      <w:pPr>
        <w:pStyle w:val="ParaNoNdepar-AltN"/>
        <w:tabs>
          <w:tab w:val="clear" w:pos="1166"/>
          <w:tab w:val="num" w:pos="1152"/>
        </w:tabs>
        <w:rPr>
          <w:rFonts w:cs="Times New Roman"/>
        </w:rPr>
      </w:pPr>
      <w:r w:rsidRPr="008B7F0A">
        <w:rPr>
          <w:rFonts w:cs="Times New Roman"/>
        </w:rPr>
        <w:t>Given the Tribunal’s findings that the District had other options for addressing its budgetary crisis, its conclusion that the District’s conduct was not justified should not be disturbed.  The finding of discrimination is thereby confirmed.</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lang w:val="en-US"/>
        </w:rPr>
        <w:t xml:space="preserve">This brings us to the Province’s role.  The District’s budgetary crisis was </w:t>
      </w:r>
      <w:r w:rsidRPr="008B7F0A">
        <w:rPr>
          <w:rFonts w:cs="Times New Roman"/>
          <w:lang w:val="en-US" w:bidi="en-US"/>
        </w:rPr>
        <w:t xml:space="preserve">created, at least in part, by the Province’s funding shortfalls.  But in light of the Tribunal’s finding that it was the District which failed to properly consider the consequences of closing the Diagnostic Centre or how to accommodate the affected </w:t>
      </w:r>
      <w:r w:rsidRPr="008B7F0A">
        <w:rPr>
          <w:rFonts w:cs="Times New Roman"/>
          <w:lang w:val="en-US" w:bidi="en-US"/>
        </w:rPr>
        <w:lastRenderedPageBreak/>
        <w:t>students, it seems to me that the conclusion that the Province was liable for the District’s discriminatory conduct towards Jeffrey cannot be sustained.</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rPr>
        <w:t xml:space="preserve">This leads to considering the remedies imposed by the Tribunal which have been appealed to this Court.  A remedial decision by the Tribunal is subject to a standard of patent unreasonableness according to s. 59 of the </w:t>
      </w:r>
      <w:r w:rsidRPr="008B7F0A">
        <w:rPr>
          <w:rFonts w:cs="Times New Roman"/>
          <w:i/>
        </w:rPr>
        <w:t>Administrative Tribunals Act</w:t>
      </w:r>
      <w:r w:rsidRPr="008B7F0A">
        <w:rPr>
          <w:rFonts w:cs="Times New Roman"/>
        </w:rPr>
        <w:t xml:space="preserve">, S.B.C. 2004, </w:t>
      </w:r>
      <w:proofErr w:type="gramStart"/>
      <w:r w:rsidRPr="008B7F0A">
        <w:rPr>
          <w:rFonts w:cs="Times New Roman"/>
        </w:rPr>
        <w:t>c</w:t>
      </w:r>
      <w:proofErr w:type="gramEnd"/>
      <w:r w:rsidRPr="008B7F0A">
        <w:rPr>
          <w:rFonts w:cs="Times New Roman"/>
        </w:rPr>
        <w:t>. 45.</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rPr>
        <w:t xml:space="preserve">The Tribunal </w:t>
      </w:r>
      <w:r w:rsidRPr="008B7F0A">
        <w:rPr>
          <w:rFonts w:cs="Times New Roman"/>
          <w:lang w:val="en-US"/>
        </w:rPr>
        <w:t xml:space="preserve">awarded </w:t>
      </w:r>
      <w:r w:rsidRPr="008B7F0A">
        <w:rPr>
          <w:rFonts w:cs="Times New Roman"/>
        </w:rPr>
        <w:t>the Moores the amount of tuition paid for Jeffrey to attend Kenneth Gordon School and Fraser Academy, up to and including Grade 12, half of the costs incurred for his transportation to and from those schools, and $10,000 for “the injury to [Jeffrey’s] dignity, feelings and self-respect”.  This order, it seems to me, is sustainable given the actual scope of the complaint.</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But the Tribunal’s systemic remedies are so remote from the scope of the complaint, that in my view they reach the threshold set out in s. 59 of the </w:t>
      </w:r>
      <w:r w:rsidRPr="008B7F0A">
        <w:rPr>
          <w:rFonts w:cs="Times New Roman"/>
          <w:i/>
        </w:rPr>
        <w:t>Administrative Tribunals Act</w:t>
      </w:r>
      <w:r w:rsidRPr="008B7F0A">
        <w:rPr>
          <w:rFonts w:cs="Times New Roman"/>
        </w:rPr>
        <w:t>.  Those problematic remedies are:</w:t>
      </w:r>
    </w:p>
    <w:p w:rsidR="00E733D5" w:rsidRPr="008B7F0A" w:rsidRDefault="00D84093" w:rsidP="00D84093">
      <w:pPr>
        <w:pStyle w:val="ContinueParaSuitedupar-AltP"/>
        <w:tabs>
          <w:tab w:val="left" w:pos="720"/>
        </w:tabs>
        <w:ind w:left="720" w:hanging="720"/>
        <w:rPr>
          <w:rFonts w:cs="Times New Roman"/>
          <w:lang w:val="en-US" w:bidi="en-US"/>
        </w:rPr>
      </w:pPr>
      <w:r w:rsidRPr="008B7F0A">
        <w:rPr>
          <w:rFonts w:cs="Times New Roman"/>
          <w:szCs w:val="24"/>
        </w:rPr>
        <w:t>•</w:t>
      </w:r>
      <w:r w:rsidRPr="008B7F0A">
        <w:rPr>
          <w:rFonts w:cs="Times New Roman"/>
          <w:szCs w:val="24"/>
        </w:rPr>
        <w:tab/>
      </w:r>
      <w:r w:rsidR="00E733D5" w:rsidRPr="008B7F0A">
        <w:rPr>
          <w:rFonts w:cs="Times New Roman"/>
          <w:szCs w:val="24"/>
        </w:rPr>
        <w:t>That the Province allocate funding on the basis of actual incidence levels, establish mechanisms ensuring that accommodations for Severe Learning Disabilities students are appropriate and meet the stated goals in legislation and policies, and ensure that districts have a range of services to meet the needs of Severe Learning Disabilities students.</w:t>
      </w:r>
    </w:p>
    <w:p w:rsidR="00E733D5" w:rsidRPr="008B7F0A" w:rsidRDefault="00D84093" w:rsidP="00D84093">
      <w:pPr>
        <w:pStyle w:val="ContinueParaSuitedupar-AltP"/>
        <w:tabs>
          <w:tab w:val="left" w:pos="720"/>
        </w:tabs>
        <w:ind w:left="720" w:hanging="720"/>
        <w:rPr>
          <w:rFonts w:cs="Times New Roman"/>
          <w:lang w:val="en-US" w:bidi="en-US"/>
        </w:rPr>
      </w:pPr>
      <w:r w:rsidRPr="008B7F0A">
        <w:rPr>
          <w:rFonts w:cs="Times New Roman"/>
          <w:lang w:val="en-US"/>
        </w:rPr>
        <w:lastRenderedPageBreak/>
        <w:t>•</w:t>
      </w:r>
      <w:r w:rsidRPr="008B7F0A">
        <w:rPr>
          <w:rFonts w:cs="Times New Roman"/>
          <w:lang w:val="en-US"/>
        </w:rPr>
        <w:tab/>
      </w:r>
      <w:r w:rsidR="00E733D5" w:rsidRPr="008B7F0A">
        <w:rPr>
          <w:rFonts w:cs="Times New Roman"/>
          <w:lang w:val="en-US"/>
        </w:rPr>
        <w:t xml:space="preserve">That the District establish mechanisms to ensure that its delivery of services to Severe Learning Disabilities students meet the </w:t>
      </w:r>
      <w:r w:rsidR="00E733D5" w:rsidRPr="008B7F0A">
        <w:rPr>
          <w:rFonts w:cs="Times New Roman"/>
        </w:rPr>
        <w:t>stated goals in legislation and policies, and ensure that it had a range of services to meet the needs of Severe Learning Disabilities students.</w:t>
      </w:r>
    </w:p>
    <w:p w:rsidR="00E733D5" w:rsidRPr="008B7F0A" w:rsidRDefault="00D84093" w:rsidP="00D84093">
      <w:pPr>
        <w:pStyle w:val="ContinueParaSuitedupar-AltP"/>
        <w:tabs>
          <w:tab w:val="left" w:pos="720"/>
        </w:tabs>
        <w:ind w:left="720" w:hanging="720"/>
        <w:rPr>
          <w:rFonts w:cs="Times New Roman"/>
        </w:rPr>
      </w:pPr>
      <w:r w:rsidRPr="008B7F0A">
        <w:rPr>
          <w:rFonts w:cs="Times New Roman"/>
          <w:lang w:val="en-US"/>
        </w:rPr>
        <w:t>•</w:t>
      </w:r>
      <w:r w:rsidRPr="008B7F0A">
        <w:rPr>
          <w:rFonts w:cs="Times New Roman"/>
          <w:lang w:val="en-US"/>
        </w:rPr>
        <w:tab/>
      </w:r>
      <w:r w:rsidR="00E733D5" w:rsidRPr="008B7F0A">
        <w:rPr>
          <w:rFonts w:cs="Times New Roman"/>
        </w:rPr>
        <w:t>The Tribunal remained seized of the matter to oversee the implementation of its remedial orders.</w:t>
      </w:r>
    </w:p>
    <w:p w:rsidR="00E733D5" w:rsidRPr="008B7F0A" w:rsidRDefault="00E733D5" w:rsidP="00E733D5">
      <w:pPr>
        <w:pStyle w:val="ParaNoNdepar-AltN"/>
        <w:tabs>
          <w:tab w:val="clear" w:pos="1166"/>
          <w:tab w:val="num" w:pos="1152"/>
        </w:tabs>
        <w:rPr>
          <w:rFonts w:cs="Times New Roman"/>
          <w:lang w:val="en-US" w:bidi="en-US"/>
        </w:rPr>
      </w:pPr>
      <w:r w:rsidRPr="008B7F0A">
        <w:rPr>
          <w:rFonts w:cs="Times New Roman"/>
        </w:rPr>
        <w:t xml:space="preserve">Having first found that Jeffrey had suffered discrimination at the hands of the District, the Tribunal then considered whether the broader policies of the District and the Province constituted systemic discrimination.  I think </w:t>
      </w:r>
      <w:proofErr w:type="gramStart"/>
      <w:r w:rsidRPr="008B7F0A">
        <w:rPr>
          <w:rFonts w:cs="Times New Roman"/>
        </w:rPr>
        <w:t>this flows</w:t>
      </w:r>
      <w:proofErr w:type="gramEnd"/>
      <w:r w:rsidRPr="008B7F0A">
        <w:rPr>
          <w:rFonts w:cs="Times New Roman"/>
        </w:rPr>
        <w:t xml:space="preserve"> from the fact that it approached discrimination in a binary way:  individual and systemic.  It was, however, neither necessary nor conceptually helpful to divide discrimination into these two discrete categories.  A practice is discriminatory whether it has an unjustifiably adverse impact on a single individual or systemically on several:</w:t>
      </w:r>
      <w:r w:rsidRPr="008B7F0A">
        <w:rPr>
          <w:rFonts w:cs="Times New Roman"/>
          <w:i/>
        </w:rPr>
        <w:t xml:space="preserve"> Griggs v. Duke Power Co.</w:t>
      </w:r>
      <w:r w:rsidRPr="008B7F0A">
        <w:rPr>
          <w:rFonts w:cs="Times New Roman"/>
        </w:rPr>
        <w:t>, 401 U.S. 424 (1971).  The only difference is quantitative, that is, the number of people disadvantaged by the practice.</w:t>
      </w:r>
    </w:p>
    <w:p w:rsidR="00E733D5" w:rsidRPr="008B7F0A" w:rsidRDefault="00E733D5" w:rsidP="00E733D5">
      <w:pPr>
        <w:pStyle w:val="ParaNoNdepar-AltN"/>
        <w:tabs>
          <w:tab w:val="clear" w:pos="1166"/>
          <w:tab w:val="num" w:pos="1152"/>
        </w:tabs>
        <w:rPr>
          <w:rFonts w:cs="Times New Roman"/>
        </w:rPr>
      </w:pPr>
      <w:r w:rsidRPr="008B7F0A">
        <w:rPr>
          <w:rFonts w:cs="Times New Roman"/>
          <w:lang w:val="en-US" w:bidi="en-US"/>
        </w:rPr>
        <w:t xml:space="preserve">In </w:t>
      </w:r>
      <w:r w:rsidRPr="008B7F0A">
        <w:rPr>
          <w:rFonts w:cs="Times New Roman"/>
          <w:i/>
        </w:rPr>
        <w:t>Canadian National Railway Co. v. Canada (</w:t>
      </w:r>
      <w:r w:rsidR="00CC16AF" w:rsidRPr="008B7F0A">
        <w:rPr>
          <w:rFonts w:cs="Times New Roman"/>
          <w:i/>
        </w:rPr>
        <w:t xml:space="preserve">Canadian </w:t>
      </w:r>
      <w:r w:rsidRPr="008B7F0A">
        <w:rPr>
          <w:rFonts w:cs="Times New Roman"/>
          <w:i/>
        </w:rPr>
        <w:t>Human Rights Commission)</w:t>
      </w:r>
      <w:r w:rsidRPr="008B7F0A">
        <w:rPr>
          <w:rFonts w:cs="Times New Roman"/>
        </w:rPr>
        <w:t>, [1987] 1 S.C.R. 1114,</w:t>
      </w:r>
      <w:r w:rsidRPr="008B7F0A">
        <w:rPr>
          <w:rFonts w:cs="Times New Roman"/>
          <w:lang w:val="en-US" w:bidi="en-US"/>
        </w:rPr>
        <w:t xml:space="preserve"> this Court first identified ‘systemic discrimination’ by name.  It defined it as </w:t>
      </w:r>
      <w:r w:rsidRPr="008B7F0A">
        <w:rPr>
          <w:rFonts w:cs="Times New Roman"/>
        </w:rPr>
        <w:t>“</w:t>
      </w:r>
      <w:r w:rsidRPr="008B7F0A">
        <w:rPr>
          <w:rFonts w:cs="Times New Roman"/>
          <w:lang w:val="en-US" w:bidi="en-US"/>
        </w:rPr>
        <w:t xml:space="preserve">practices or attitudes that have, whether by design or impact, the effect of limiting an individual’s or a group’s right to the opportunities generally available because of attributed rather than actual characteristics” (p. 1138).  Notably, however, the designation did not change the </w:t>
      </w:r>
      <w:r w:rsidRPr="008B7F0A">
        <w:rPr>
          <w:rFonts w:cs="Times New Roman"/>
          <w:lang w:val="en-US" w:bidi="en-US"/>
        </w:rPr>
        <w:lastRenderedPageBreak/>
        <w:t xml:space="preserve">analysis.  </w:t>
      </w:r>
      <w:r w:rsidRPr="008B7F0A">
        <w:rPr>
          <w:rFonts w:cs="Times New Roman"/>
          <w:lang w:bidi="en-US"/>
        </w:rPr>
        <w:t>The considerations and evidence at play in a group complaint may undoubtedly differ from those in an individual complaint, but the focus is always on whether the complainant has suffered arbitrary adverse effects based on a prohibited ground.</w:t>
      </w:r>
    </w:p>
    <w:p w:rsidR="00E733D5" w:rsidRPr="008B7F0A" w:rsidRDefault="00E733D5" w:rsidP="00E733D5">
      <w:pPr>
        <w:pStyle w:val="ParaNoNdepar-AltN"/>
        <w:tabs>
          <w:tab w:val="clear" w:pos="1166"/>
          <w:tab w:val="num" w:pos="1152"/>
        </w:tabs>
        <w:rPr>
          <w:rFonts w:cs="Times New Roman"/>
        </w:rPr>
      </w:pPr>
      <w:r w:rsidRPr="008B7F0A">
        <w:rPr>
          <w:rFonts w:cs="Times New Roman"/>
          <w:lang w:bidi="en-US"/>
        </w:rPr>
        <w:t xml:space="preserve">The inquiry is into whether there is discrimination, period.  </w:t>
      </w:r>
      <w:r w:rsidRPr="008B7F0A">
        <w:rPr>
          <w:rFonts w:cs="Times New Roman"/>
        </w:rPr>
        <w:t>The question in every case is the same: does the practice result in the claimant suffering arbitrary — or unjustified — barriers on the basis of his or her membership in a protected group.  Where it does, discrimination will be established.</w:t>
      </w:r>
    </w:p>
    <w:p w:rsidR="00E733D5" w:rsidRPr="008B7F0A" w:rsidRDefault="00E733D5" w:rsidP="00E733D5">
      <w:pPr>
        <w:pStyle w:val="ParaNoNdepar-AltN"/>
        <w:tabs>
          <w:tab w:val="clear" w:pos="1166"/>
          <w:tab w:val="num" w:pos="1152"/>
        </w:tabs>
        <w:rPr>
          <w:rFonts w:cs="Times New Roman"/>
        </w:rPr>
      </w:pPr>
      <w:r w:rsidRPr="008B7F0A">
        <w:rPr>
          <w:rFonts w:cs="Times New Roman"/>
          <w:lang w:bidi="en-US"/>
        </w:rPr>
        <w:t xml:space="preserve">It is true that before </w:t>
      </w:r>
      <w:r w:rsidRPr="008B7F0A">
        <w:rPr>
          <w:rFonts w:cs="Times New Roman"/>
          <w:i/>
        </w:rPr>
        <w:t>Meiorin</w:t>
      </w:r>
      <w:r w:rsidRPr="008B7F0A">
        <w:rPr>
          <w:rFonts w:cs="Times New Roman"/>
        </w:rPr>
        <w:t xml:space="preserve"> and </w:t>
      </w:r>
      <w:r w:rsidRPr="008B7F0A">
        <w:rPr>
          <w:rFonts w:cs="Times New Roman"/>
          <w:i/>
        </w:rPr>
        <w:t>British Columbia (Superintendent of Motor Vehicles) v. British Columbia (Council of Human Rights)</w:t>
      </w:r>
      <w:r w:rsidRPr="008B7F0A">
        <w:rPr>
          <w:rFonts w:cs="Times New Roman"/>
        </w:rPr>
        <w:t>, [1999] 3 S.C.R. 868</w:t>
      </w:r>
      <w:r w:rsidRPr="008B7F0A">
        <w:rPr>
          <w:rFonts w:cs="Times New Roman"/>
          <w:i/>
        </w:rPr>
        <w:t xml:space="preserve"> </w:t>
      </w:r>
      <w:r w:rsidRPr="008B7F0A">
        <w:rPr>
          <w:rFonts w:cs="Times New Roman"/>
        </w:rPr>
        <w:t>(“</w:t>
      </w:r>
      <w:r w:rsidRPr="008B7F0A">
        <w:rPr>
          <w:rFonts w:cs="Times New Roman"/>
          <w:i/>
        </w:rPr>
        <w:t>Grismer</w:t>
      </w:r>
      <w:r w:rsidRPr="008B7F0A">
        <w:rPr>
          <w:rFonts w:cs="Times New Roman"/>
        </w:rPr>
        <w:t xml:space="preserve">”), </w:t>
      </w:r>
      <w:r w:rsidRPr="008B7F0A">
        <w:rPr>
          <w:rFonts w:cs="Times New Roman"/>
          <w:lang w:bidi="en-US"/>
        </w:rPr>
        <w:t xml:space="preserve">different remedial approaches had been applied for direct versus adverse impact discrimination.  </w:t>
      </w:r>
      <w:r w:rsidRPr="008B7F0A">
        <w:rPr>
          <w:rFonts w:cs="Times New Roman"/>
        </w:rPr>
        <w:t xml:space="preserve">But in </w:t>
      </w:r>
      <w:r w:rsidRPr="008B7F0A">
        <w:rPr>
          <w:rFonts w:cs="Times New Roman"/>
          <w:i/>
        </w:rPr>
        <w:t>Meiorin</w:t>
      </w:r>
      <w:r w:rsidRPr="008B7F0A">
        <w:rPr>
          <w:rFonts w:cs="Times New Roman"/>
        </w:rPr>
        <w:t>, McLachlin J. observed that since few rules are framed in directly discriminatory terms, the human rights issue will generally be whether the claimant has suffered adverse effects.  Insightfully, she commented that upholding a remedial distinction between direct and adverse effect discrimination “</w:t>
      </w:r>
      <w:r w:rsidRPr="008B7F0A">
        <w:rPr>
          <w:rFonts w:cs="Times New Roman"/>
          <w:lang w:bidi="en-US"/>
        </w:rPr>
        <w:t xml:space="preserve">may, in practice, serve to legitimize systemic discrimination” (para. 39).  </w:t>
      </w:r>
      <w:r w:rsidRPr="008B7F0A">
        <w:rPr>
          <w:rFonts w:cs="Times New Roman"/>
        </w:rPr>
        <w:t xml:space="preserve">The </w:t>
      </w:r>
      <w:r w:rsidRPr="008B7F0A">
        <w:rPr>
          <w:rFonts w:cs="Times New Roman"/>
          <w:i/>
        </w:rPr>
        <w:t>Meiorin</w:t>
      </w:r>
      <w:r w:rsidRPr="008B7F0A">
        <w:rPr>
          <w:rFonts w:cs="Times New Roman"/>
        </w:rPr>
        <w:t>/</w:t>
      </w:r>
      <w:r w:rsidRPr="008B7F0A">
        <w:rPr>
          <w:rFonts w:cs="Times New Roman"/>
          <w:i/>
        </w:rPr>
        <w:t>Grismer</w:t>
      </w:r>
      <w:r w:rsidRPr="008B7F0A">
        <w:rPr>
          <w:rFonts w:cs="Times New Roman"/>
        </w:rPr>
        <w:t xml:space="preserve"> approach imposed a unified remedial theory with two aspects: the removal of arbitrary barriers to participation by a group, </w:t>
      </w:r>
      <w:r w:rsidRPr="008B7F0A">
        <w:rPr>
          <w:rFonts w:cs="Times New Roman"/>
          <w:lang w:bidi="en-US"/>
        </w:rPr>
        <w:t>and the requirement to take positive steps to remedy the adverse impact of neutral practices.</w:t>
      </w:r>
    </w:p>
    <w:p w:rsidR="00E733D5" w:rsidRPr="008B7F0A" w:rsidRDefault="00E733D5" w:rsidP="00E733D5">
      <w:pPr>
        <w:pStyle w:val="ParaNoNdepar-AltN"/>
        <w:tabs>
          <w:tab w:val="clear" w:pos="1166"/>
          <w:tab w:val="num" w:pos="1152"/>
        </w:tabs>
        <w:rPr>
          <w:rFonts w:cs="Times New Roman"/>
        </w:rPr>
      </w:pPr>
      <w:r w:rsidRPr="008B7F0A">
        <w:rPr>
          <w:rFonts w:cs="Times New Roman"/>
          <w:i/>
          <w:lang w:bidi="en-US"/>
        </w:rPr>
        <w:t>Meiorin</w:t>
      </w:r>
      <w:r w:rsidRPr="008B7F0A">
        <w:rPr>
          <w:rFonts w:cs="Times New Roman"/>
          <w:lang w:bidi="en-US"/>
        </w:rPr>
        <w:t xml:space="preserve"> and </w:t>
      </w:r>
      <w:r w:rsidRPr="008B7F0A">
        <w:rPr>
          <w:rFonts w:cs="Times New Roman"/>
          <w:i/>
          <w:lang w:bidi="en-US"/>
        </w:rPr>
        <w:t>Grismer</w:t>
      </w:r>
      <w:r w:rsidRPr="008B7F0A">
        <w:rPr>
          <w:rFonts w:cs="Times New Roman"/>
          <w:lang w:bidi="en-US"/>
        </w:rPr>
        <w:t xml:space="preserve"> also directed that practices that are neutral on their face but have an unjustifiable adverse impact based on prohibited grounds will be </w:t>
      </w:r>
      <w:r w:rsidRPr="008B7F0A">
        <w:rPr>
          <w:rFonts w:cs="Times New Roman"/>
          <w:lang w:bidi="en-US"/>
        </w:rPr>
        <w:lastRenderedPageBreak/>
        <w:t>subject to a requirement to “accommodate the characteristics of affected groups within their standards, rather than maintaining discriminatory standards supplemented by accommodation for those who cannot meet them” (</w:t>
      </w:r>
      <w:r w:rsidRPr="008B7F0A">
        <w:rPr>
          <w:rFonts w:cs="Times New Roman"/>
          <w:i/>
          <w:lang w:bidi="en-US"/>
        </w:rPr>
        <w:t>Grismer</w:t>
      </w:r>
      <w:r w:rsidRPr="008B7F0A">
        <w:rPr>
          <w:rFonts w:cs="Times New Roman"/>
          <w:lang w:bidi="en-US"/>
        </w:rPr>
        <w:t xml:space="preserve">, at para. 19).  </w:t>
      </w:r>
    </w:p>
    <w:p w:rsidR="00E733D5" w:rsidRPr="008B7F0A" w:rsidRDefault="00E733D5" w:rsidP="00E733D5">
      <w:pPr>
        <w:pStyle w:val="ParaNoNdepar-AltN"/>
        <w:tabs>
          <w:tab w:val="clear" w:pos="1166"/>
          <w:tab w:val="num" w:pos="1152"/>
        </w:tabs>
        <w:rPr>
          <w:rFonts w:cs="Times New Roman"/>
        </w:rPr>
      </w:pPr>
      <w:r w:rsidRPr="008B7F0A">
        <w:rPr>
          <w:rFonts w:cs="Times New Roman"/>
          <w:lang w:bidi="en-US"/>
        </w:rPr>
        <w:t xml:space="preserve">In that sense, it is certainly true that a remedy for an individual claimant can have a ‘systemic’ impact.  In </w:t>
      </w:r>
      <w:r w:rsidRPr="008B7F0A">
        <w:rPr>
          <w:rFonts w:cs="Times New Roman"/>
          <w:i/>
          <w:lang w:bidi="en-US"/>
        </w:rPr>
        <w:t>Grismer</w:t>
      </w:r>
      <w:r w:rsidRPr="008B7F0A">
        <w:rPr>
          <w:rFonts w:cs="Times New Roman"/>
          <w:lang w:bidi="en-US"/>
        </w:rPr>
        <w:t xml:space="preserve">, for example, the issue was a rule that excluded individuals with a medical condition affecting peripheral vision — homonymous hemianopia — from obtaining a drivers’ licence.  The Court concluded that this rule had a discriminatory impact on Mr. Grismer and upheld the Tribunal’s order that the Superintendent test Mr. Grismer individually.  Although the remedy was individual to Mr. Grismer, it clearly had remedial consequences for others in his circumstances.  </w:t>
      </w:r>
      <w:r w:rsidRPr="008B7F0A">
        <w:rPr>
          <w:rFonts w:cs="Times New Roman"/>
        </w:rPr>
        <w:t xml:space="preserve">Similarly, a finding that Jeffrey </w:t>
      </w:r>
      <w:r w:rsidRPr="008B7F0A">
        <w:rPr>
          <w:rFonts w:cs="Times New Roman"/>
          <w:lang w:bidi="en-US"/>
        </w:rPr>
        <w:t xml:space="preserve">suffered discrimination and was entitled to a consequential personal </w:t>
      </w:r>
      <w:proofErr w:type="gramStart"/>
      <w:r w:rsidRPr="008B7F0A">
        <w:rPr>
          <w:rFonts w:cs="Times New Roman"/>
          <w:lang w:bidi="en-US"/>
        </w:rPr>
        <w:t>remedy,</w:t>
      </w:r>
      <w:proofErr w:type="gramEnd"/>
      <w:r w:rsidRPr="008B7F0A">
        <w:rPr>
          <w:rFonts w:cs="Times New Roman"/>
          <w:lang w:bidi="en-US"/>
        </w:rPr>
        <w:t xml:space="preserve"> has clear broad remedial repercussions for how other students with severe learning disabilities are educated.</w:t>
      </w:r>
    </w:p>
    <w:p w:rsidR="00E733D5" w:rsidRPr="008B7F0A" w:rsidRDefault="00E733D5" w:rsidP="00E733D5">
      <w:pPr>
        <w:pStyle w:val="ParaNoNdepar-AltN"/>
        <w:tabs>
          <w:tab w:val="clear" w:pos="1166"/>
          <w:tab w:val="num" w:pos="1152"/>
        </w:tabs>
        <w:rPr>
          <w:rFonts w:cs="Times New Roman"/>
        </w:rPr>
      </w:pPr>
      <w:r w:rsidRPr="008B7F0A">
        <w:rPr>
          <w:rFonts w:cs="Times New Roman"/>
          <w:lang w:bidi="en-US"/>
        </w:rPr>
        <w:t xml:space="preserve">But the remedy must flow from the claim.  In this case, the claim was made on behalf of Jeffrey, and the evidence giving concrete support to the claim all centred on him.  </w:t>
      </w:r>
      <w:r w:rsidRPr="008B7F0A">
        <w:rPr>
          <w:rFonts w:cs="Times New Roman"/>
        </w:rPr>
        <w:t>While the Tribunal was certainly entitled to consider systemic evidence</w:t>
      </w:r>
      <w:r w:rsidRPr="008B7F0A">
        <w:rPr>
          <w:rFonts w:cs="Times New Roman"/>
          <w:i/>
        </w:rPr>
        <w:t xml:space="preserve"> </w:t>
      </w:r>
      <w:r w:rsidRPr="008B7F0A">
        <w:rPr>
          <w:rFonts w:cs="Times New Roman"/>
        </w:rPr>
        <w:t>in order to determine whether Jeffrey had suffered discrimination, it was unnecessary for it to hold an extensive inquiry</w:t>
      </w:r>
      <w:r w:rsidRPr="008B7F0A">
        <w:rPr>
          <w:rFonts w:cs="Times New Roman"/>
          <w:lang w:bidi="en-US"/>
        </w:rPr>
        <w:t xml:space="preserve"> into the precise format of the provincial funding mechanism or the entire provincial administration of special education in order to determine whether </w:t>
      </w:r>
      <w:r w:rsidRPr="008B7F0A">
        <w:rPr>
          <w:rFonts w:cs="Times New Roman"/>
          <w:i/>
          <w:lang w:bidi="en-US"/>
        </w:rPr>
        <w:t>Jeffrey</w:t>
      </w:r>
      <w:r w:rsidRPr="008B7F0A">
        <w:rPr>
          <w:rFonts w:cs="Times New Roman"/>
          <w:lang w:bidi="en-US"/>
        </w:rPr>
        <w:t xml:space="preserve"> was discriminated against.</w:t>
      </w:r>
      <w:r w:rsidRPr="008B7F0A">
        <w:rPr>
          <w:rFonts w:cs="Times New Roman"/>
        </w:rPr>
        <w:t xml:space="preserve">  The </w:t>
      </w:r>
      <w:r w:rsidRPr="008B7F0A">
        <w:rPr>
          <w:rFonts w:cs="Times New Roman"/>
        </w:rPr>
        <w:lastRenderedPageBreak/>
        <w:t>Tribunal, with great respect, is an adjudicator of the particular claim that is before it,</w:t>
      </w:r>
      <w:r w:rsidRPr="008B7F0A">
        <w:rPr>
          <w:rFonts w:cs="Times New Roman"/>
          <w:lang w:bidi="en-US"/>
        </w:rPr>
        <w:t xml:space="preserve"> not a Royal Commission.</w:t>
      </w:r>
    </w:p>
    <w:p w:rsidR="00E733D5" w:rsidRPr="008B7F0A" w:rsidRDefault="00E733D5" w:rsidP="00E733D5">
      <w:pPr>
        <w:pStyle w:val="ParaNoNdepar-AltN"/>
        <w:tabs>
          <w:tab w:val="clear" w:pos="1166"/>
          <w:tab w:val="num" w:pos="1152"/>
        </w:tabs>
        <w:rPr>
          <w:rFonts w:cs="Times New Roman"/>
        </w:rPr>
      </w:pPr>
      <w:r w:rsidRPr="008B7F0A">
        <w:rPr>
          <w:rFonts w:cs="Times New Roman"/>
          <w:lang w:val="en-US" w:bidi="en-US"/>
        </w:rPr>
        <w:t xml:space="preserve">The connection between the </w:t>
      </w:r>
      <w:r w:rsidRPr="008B7F0A">
        <w:rPr>
          <w:rFonts w:cs="Times New Roman"/>
        </w:rPr>
        <w:t>high incidence/low cost</w:t>
      </w:r>
      <w:r w:rsidRPr="008B7F0A">
        <w:rPr>
          <w:rFonts w:cs="Times New Roman"/>
          <w:lang w:val="en-US" w:bidi="en-US"/>
        </w:rPr>
        <w:t xml:space="preserve"> cap and the closure of the Diagnostic Centre is remote, given the range of factors that led to the District’s </w:t>
      </w:r>
      <w:r w:rsidRPr="008B7F0A">
        <w:rPr>
          <w:rFonts w:cs="Times New Roman"/>
        </w:rPr>
        <w:t>budgetary crisis.  There is no</w:t>
      </w:r>
      <w:r w:rsidRPr="008B7F0A">
        <w:rPr>
          <w:rFonts w:cs="Times New Roman"/>
          <w:lang w:val="en-US" w:bidi="en-US"/>
        </w:rPr>
        <w:t xml:space="preserve"> particular reason to think that these funding mechanisms could not be retained in some form while still ensuring that Severe Learning Disabilities students receive adequate support.  It is entirely legitimate for the Province to choose a block funding mechanism in order to ensure that districts do not have an incentive to over-report Severe Learning Disabilities students, </w:t>
      </w:r>
      <w:r w:rsidRPr="008B7F0A">
        <w:rPr>
          <w:rFonts w:cs="Times New Roman"/>
        </w:rPr>
        <w:t xml:space="preserve">so long as it </w:t>
      </w:r>
      <w:r w:rsidRPr="008B7F0A">
        <w:rPr>
          <w:rFonts w:cs="Times New Roman"/>
          <w:i/>
        </w:rPr>
        <w:t xml:space="preserve">also </w:t>
      </w:r>
      <w:r w:rsidRPr="008B7F0A">
        <w:rPr>
          <w:rFonts w:cs="Times New Roman"/>
        </w:rPr>
        <w:t>complies with its human rights obligations</w:t>
      </w:r>
      <w:r w:rsidRPr="008B7F0A">
        <w:rPr>
          <w:rFonts w:cs="Times New Roman"/>
          <w:lang w:val="en-US" w:bidi="en-US"/>
        </w:rPr>
        <w:t>.</w:t>
      </w:r>
      <w:r w:rsidRPr="008B7F0A">
        <w:rPr>
          <w:rFonts w:cs="Times New Roman"/>
          <w:i/>
          <w:lang w:val="en-US" w:bidi="en-US"/>
        </w:rPr>
        <w:t xml:space="preserve"> </w:t>
      </w:r>
      <w:r w:rsidRPr="008B7F0A">
        <w:rPr>
          <w:rFonts w:cs="Times New Roman"/>
        </w:rPr>
        <w:t xml:space="preserve"> In other words, while systemic evidence can be instrumental in establishing a human rights complaint, the evidence about the provincial funding regime, and the high incidence/lo</w:t>
      </w:r>
      <w:r w:rsidR="00B511A8">
        <w:rPr>
          <w:rFonts w:cs="Times New Roman"/>
        </w:rPr>
        <w:t>w</w:t>
      </w:r>
      <w:r w:rsidRPr="008B7F0A">
        <w:rPr>
          <w:rFonts w:cs="Times New Roman"/>
        </w:rPr>
        <w:t xml:space="preserve"> cost cap in particular, was too remote to demonstrate discrimination against </w:t>
      </w:r>
      <w:r w:rsidRPr="008B7F0A">
        <w:rPr>
          <w:rFonts w:cs="Times New Roman"/>
          <w:i/>
        </w:rPr>
        <w:t>Jeffrey</w:t>
      </w:r>
      <w:r w:rsidRPr="008B7F0A">
        <w:rPr>
          <w:rFonts w:cs="Times New Roman"/>
        </w:rPr>
        <w:t xml:space="preserve">.  </w:t>
      </w:r>
      <w:r w:rsidRPr="008B7F0A">
        <w:rPr>
          <w:rFonts w:cs="Times New Roman"/>
          <w:lang w:bidi="en-US"/>
        </w:rPr>
        <w:t xml:space="preserve">And the Tribunal’s orders that the District </w:t>
      </w:r>
      <w:r w:rsidRPr="008B7F0A">
        <w:rPr>
          <w:rFonts w:cs="Times New Roman"/>
          <w:szCs w:val="24"/>
        </w:rPr>
        <w:t xml:space="preserve">establish mechanisms to ensure that accommodations for Severe Learning Disabilities students meet the stated goals in legislation and policies, and provide a range of services to meet their needs, in any event, essentially direct the District to comply with the </w:t>
      </w:r>
      <w:r w:rsidRPr="008B7F0A">
        <w:rPr>
          <w:rFonts w:cs="Times New Roman"/>
          <w:i/>
          <w:szCs w:val="24"/>
        </w:rPr>
        <w:t>Human Rights Code</w:t>
      </w:r>
      <w:r w:rsidRPr="008B7F0A">
        <w:rPr>
          <w:rFonts w:cs="Times New Roman"/>
          <w:szCs w:val="24"/>
        </w:rPr>
        <w:t xml:space="preserve">.  They are, to that extent, redundant.  </w:t>
      </w:r>
    </w:p>
    <w:p w:rsidR="00E733D5" w:rsidRPr="008B7F0A" w:rsidRDefault="00E733D5" w:rsidP="00E733D5">
      <w:pPr>
        <w:pStyle w:val="ParaNoNdepar-AltN"/>
        <w:tabs>
          <w:tab w:val="clear" w:pos="1166"/>
          <w:tab w:val="num" w:pos="1152"/>
        </w:tabs>
        <w:rPr>
          <w:rFonts w:cs="Times New Roman"/>
        </w:rPr>
      </w:pPr>
      <w:r w:rsidRPr="008B7F0A">
        <w:rPr>
          <w:rFonts w:cs="Times New Roman"/>
        </w:rPr>
        <w:t xml:space="preserve">Moreover, the Tribunal’s order that it remain seized of the matter to oversee implementation is hardly suited to a claim brought on behalf of an individual student who has finished his high school education and will not re-enter the public </w:t>
      </w:r>
      <w:r w:rsidRPr="008B7F0A">
        <w:rPr>
          <w:rFonts w:cs="Times New Roman"/>
        </w:rPr>
        <w:lastRenderedPageBreak/>
        <w:t xml:space="preserve">school system.  </w:t>
      </w:r>
      <w:r w:rsidRPr="008B7F0A">
        <w:rPr>
          <w:rFonts w:cs="Times New Roman"/>
          <w:szCs w:val="24"/>
        </w:rPr>
        <w:t xml:space="preserve">It goes without saying that if the District is to avoid similar claims such as those Jeffrey brought, it will have to ensure that it provides a range of services for special needs students in accordance with the </w:t>
      </w:r>
      <w:r w:rsidRPr="008B7F0A">
        <w:rPr>
          <w:rFonts w:cs="Times New Roman"/>
          <w:i/>
          <w:szCs w:val="24"/>
        </w:rPr>
        <w:t>School Act</w:t>
      </w:r>
      <w:r w:rsidRPr="008B7F0A">
        <w:rPr>
          <w:rFonts w:cs="Times New Roman"/>
          <w:szCs w:val="24"/>
        </w:rPr>
        <w:t xml:space="preserve"> and its related policies.  </w:t>
      </w:r>
      <w:r w:rsidRPr="008B7F0A">
        <w:rPr>
          <w:rFonts w:cs="Times New Roman"/>
        </w:rPr>
        <w:t xml:space="preserve">There is no remaining need for the Tribunal to remain seized of the matter in order to satisfy </w:t>
      </w:r>
      <w:r w:rsidRPr="008B7F0A">
        <w:rPr>
          <w:rFonts w:cs="Times New Roman"/>
          <w:i/>
        </w:rPr>
        <w:t>Jeffrey</w:t>
      </w:r>
      <w:r w:rsidRPr="008B7F0A">
        <w:rPr>
          <w:rFonts w:cs="Times New Roman"/>
        </w:rPr>
        <w:t>’s claim.</w:t>
      </w:r>
    </w:p>
    <w:p w:rsidR="00E733D5" w:rsidRPr="008B7F0A" w:rsidRDefault="00E733D5" w:rsidP="00E733D5">
      <w:pPr>
        <w:pStyle w:val="ParaNoNdepar-AltN"/>
        <w:tabs>
          <w:tab w:val="clear" w:pos="1166"/>
          <w:tab w:val="num" w:pos="1152"/>
        </w:tabs>
        <w:rPr>
          <w:rFonts w:cs="Times New Roman"/>
        </w:rPr>
      </w:pPr>
      <w:r w:rsidRPr="008B7F0A">
        <w:rPr>
          <w:rFonts w:cs="Times New Roman"/>
          <w:lang w:val="en-US" w:bidi="en-US"/>
        </w:rPr>
        <w:t xml:space="preserve">In fairness to the Tribunal, I think the fact that the scope of the inquiry and the resulting remedial orders were expanded beyond Jeffrey’s actual complaints can be traced to the unusual procedural history of this case.  </w:t>
      </w:r>
      <w:r w:rsidRPr="008B7F0A">
        <w:rPr>
          <w:rFonts w:cs="Times New Roman"/>
        </w:rPr>
        <w:t xml:space="preserve">Frederick Moore’s initial complaints under s. 8 alleged that the District and the Province had failed to identify Jeffrey’s disability early enough and failed to provide him with sufficient support to enable him to access public education.  He also complained that the District and the Province had failed to properly fund, support and monitor special education throughout the Province.  </w:t>
      </w:r>
    </w:p>
    <w:p w:rsidR="00E733D5" w:rsidRPr="008B7F0A" w:rsidRDefault="00E733D5" w:rsidP="00E733D5">
      <w:pPr>
        <w:pStyle w:val="ParaNoNdepar-AltN"/>
        <w:rPr>
          <w:rFonts w:cs="Times New Roman"/>
        </w:rPr>
      </w:pPr>
      <w:r w:rsidRPr="008B7F0A">
        <w:rPr>
          <w:rFonts w:cs="Times New Roman"/>
        </w:rPr>
        <w:t xml:space="preserve">In a preliminary decision on the scope of the complaint and the required disclosure, a Tribunal member allowed the Moores to lead systemic evidence establishing the complaint.  However, she properly noted that “[a]lthough systemic discrimination does not have to be specifically pleaded, it must relate to the complaint </w:t>
      </w:r>
      <w:r w:rsidRPr="008B7F0A">
        <w:rPr>
          <w:rFonts w:cs="Times New Roman"/>
          <w:i/>
        </w:rPr>
        <w:t>as framed by the Complainant</w:t>
      </w:r>
      <w:r w:rsidRPr="008B7F0A">
        <w:rPr>
          <w:rFonts w:cs="Times New Roman"/>
        </w:rPr>
        <w:t xml:space="preserve">” (emphasis added).  This, I think, was a clear direction to the Tribunal hearing the merits of the case that while systemic </w:t>
      </w:r>
      <w:r w:rsidRPr="008B7F0A">
        <w:rPr>
          <w:rFonts w:cs="Times New Roman"/>
          <w:i/>
        </w:rPr>
        <w:t>evidence</w:t>
      </w:r>
      <w:r w:rsidRPr="008B7F0A">
        <w:rPr>
          <w:rFonts w:cs="Times New Roman"/>
        </w:rPr>
        <w:t xml:space="preserve"> could be helpful, the </w:t>
      </w:r>
      <w:r w:rsidRPr="008B7F0A">
        <w:rPr>
          <w:rFonts w:cs="Times New Roman"/>
          <w:i/>
        </w:rPr>
        <w:t>claim</w:t>
      </w:r>
      <w:r w:rsidRPr="008B7F0A">
        <w:rPr>
          <w:rFonts w:cs="Times New Roman"/>
        </w:rPr>
        <w:t xml:space="preserve"> should remain centred on Jeffrey.  </w:t>
      </w:r>
    </w:p>
    <w:p w:rsidR="00E733D5" w:rsidRPr="008B7F0A" w:rsidRDefault="00E733D5" w:rsidP="0021264D">
      <w:pPr>
        <w:pStyle w:val="ParaNoNdepar-AltN"/>
        <w:spacing w:before="240"/>
        <w:rPr>
          <w:rFonts w:cs="Times New Roman"/>
        </w:rPr>
      </w:pPr>
      <w:r w:rsidRPr="008B7F0A">
        <w:rPr>
          <w:rFonts w:cs="Times New Roman"/>
        </w:rPr>
        <w:lastRenderedPageBreak/>
        <w:t>But the issue was complicated on judicial review where, in upholding this</w:t>
      </w:r>
      <w:r w:rsidR="001A1CA8" w:rsidRPr="008B7F0A">
        <w:rPr>
          <w:rFonts w:cs="Times New Roman"/>
        </w:rPr>
        <w:t xml:space="preserve"> preliminary decision, Shaw J. </w:t>
      </w:r>
      <w:r w:rsidRPr="008B7F0A">
        <w:rPr>
          <w:rFonts w:cs="Times New Roman"/>
        </w:rPr>
        <w:t>said that the complaint “</w:t>
      </w:r>
      <w:r w:rsidRPr="008B7F0A">
        <w:rPr>
          <w:rFonts w:cs="Times New Roman"/>
          <w:i/>
        </w:rPr>
        <w:t>includes</w:t>
      </w:r>
      <w:r w:rsidRPr="008B7F0A">
        <w:rPr>
          <w:rFonts w:cs="Times New Roman"/>
        </w:rPr>
        <w:t xml:space="preserve"> allegations of province-wide systemic discrimination by the Minis</w:t>
      </w:r>
      <w:r w:rsidR="0021264D">
        <w:rPr>
          <w:rFonts w:cs="Times New Roman"/>
        </w:rPr>
        <w:t xml:space="preserve">try against dyslexic students” </w:t>
      </w:r>
      <w:r w:rsidRPr="008B7F0A">
        <w:rPr>
          <w:rFonts w:cs="Times New Roman"/>
        </w:rPr>
        <w:t>(</w:t>
      </w:r>
      <w:r w:rsidR="0021264D">
        <w:rPr>
          <w:rFonts w:cs="Times New Roman"/>
        </w:rPr>
        <w:t xml:space="preserve">(2001), </w:t>
      </w:r>
      <w:r w:rsidRPr="008B7F0A">
        <w:rPr>
          <w:rFonts w:cs="Times New Roman"/>
        </w:rPr>
        <w:t xml:space="preserve">88 B.C.L.R. (3d) 343 (emphasis added)).  This does not appear to have been challenged before the Tribunal, and I think it was on this basis that the Tribunal appears to have departed from the actual focus of the complaint — Jeffrey — and imposed systemic remedies based on its systemic conclusions.  </w:t>
      </w:r>
    </w:p>
    <w:p w:rsidR="00E733D5" w:rsidRPr="008B7F0A" w:rsidRDefault="00E733D5" w:rsidP="00E733D5">
      <w:pPr>
        <w:pStyle w:val="ParaNoNdepar-AltN"/>
        <w:tabs>
          <w:tab w:val="clear" w:pos="1166"/>
          <w:tab w:val="num" w:pos="1152"/>
        </w:tabs>
        <w:rPr>
          <w:rFonts w:cs="Times New Roman"/>
        </w:rPr>
      </w:pPr>
      <w:r w:rsidRPr="008B7F0A">
        <w:rPr>
          <w:rFonts w:cs="Times New Roman"/>
        </w:rPr>
        <w:t>This does not in any way detract, however, from the cogency of the Tribunal’s core analysis.  Its finding of discrimination against Jeffrey Moore by the District should be upheld, as should the individual orders, which reimburse the Moores for the cost of private schooling and award them damages.  These orders properly seek to compensate them for the harm that Jeffrey suffered and were well within the Tribunal’s broad remedial authority.  Given my earlier comments on the liability of the Province, however, the order for reimbursement and damages should apply only against the District.  I would, however, set aside the remaining orders.</w:t>
      </w:r>
    </w:p>
    <w:p w:rsidR="00E733D5" w:rsidRPr="008B7F0A" w:rsidRDefault="00E733D5" w:rsidP="00E733D5">
      <w:pPr>
        <w:pStyle w:val="ParaNoNdepar-AltN"/>
        <w:tabs>
          <w:tab w:val="clear" w:pos="1166"/>
          <w:tab w:val="num" w:pos="1152"/>
        </w:tabs>
        <w:rPr>
          <w:rFonts w:cs="Times New Roman"/>
        </w:rPr>
      </w:pPr>
      <w:r w:rsidRPr="008B7F0A">
        <w:rPr>
          <w:rFonts w:cs="Times New Roman"/>
        </w:rPr>
        <w:t>The appeal is therefore substantially allowed as discussed, with costs to the Moores throughout since they were successful in upholding the central finding that there was discrimination.</w:t>
      </w:r>
    </w:p>
    <w:p w:rsidR="009B57B3" w:rsidRPr="008B7F0A" w:rsidRDefault="009F3C59" w:rsidP="00354F4A">
      <w:pPr>
        <w:pStyle w:val="SCCNormalDoubleSpacing"/>
        <w:spacing w:after="480"/>
        <w:rPr>
          <w:i/>
          <w:szCs w:val="24"/>
        </w:rPr>
      </w:pPr>
      <w:r w:rsidRPr="008B7F0A">
        <w:rPr>
          <w:szCs w:val="24"/>
        </w:rPr>
        <w:tab/>
      </w:r>
      <w:r w:rsidR="00656313" w:rsidRPr="008B7F0A">
        <w:rPr>
          <w:i/>
          <w:szCs w:val="24"/>
        </w:rPr>
        <w:t>Appeal</w:t>
      </w:r>
      <w:r w:rsidRPr="008B7F0A">
        <w:rPr>
          <w:i/>
          <w:szCs w:val="24"/>
        </w:rPr>
        <w:t xml:space="preserve"> </w:t>
      </w:r>
      <w:r w:rsidR="00EC6FAC" w:rsidRPr="008B7F0A">
        <w:rPr>
          <w:i/>
          <w:szCs w:val="24"/>
        </w:rPr>
        <w:t xml:space="preserve">substantially </w:t>
      </w:r>
      <w:r w:rsidRPr="008B7F0A">
        <w:rPr>
          <w:i/>
          <w:szCs w:val="24"/>
        </w:rPr>
        <w:t>allowed</w:t>
      </w:r>
      <w:r w:rsidR="00195E69" w:rsidRPr="008B7F0A">
        <w:rPr>
          <w:i/>
          <w:szCs w:val="24"/>
        </w:rPr>
        <w:t xml:space="preserve"> with costs</w:t>
      </w:r>
      <w:r w:rsidR="00EC6FAC" w:rsidRPr="008B7F0A">
        <w:rPr>
          <w:i/>
          <w:szCs w:val="24"/>
        </w:rPr>
        <w:t xml:space="preserve"> throughout</w:t>
      </w:r>
      <w:r w:rsidRPr="008B7F0A">
        <w:rPr>
          <w:i/>
          <w:szCs w:val="24"/>
        </w:rPr>
        <w:t>.</w:t>
      </w:r>
    </w:p>
    <w:p w:rsidR="009F3C59" w:rsidRPr="008B7F0A" w:rsidRDefault="00FC02F0" w:rsidP="00354F4A">
      <w:pPr>
        <w:pStyle w:val="SCCLawFirm"/>
        <w:spacing w:after="480"/>
        <w:rPr>
          <w:szCs w:val="24"/>
        </w:rPr>
      </w:pPr>
      <w:r w:rsidRPr="008B7F0A">
        <w:rPr>
          <w:szCs w:val="24"/>
        </w:rPr>
        <w:lastRenderedPageBreak/>
        <w:tab/>
        <w:t>Solicitor for the appellant:  </w:t>
      </w:r>
      <w:r w:rsidR="009F3C59" w:rsidRPr="008B7F0A">
        <w:rPr>
          <w:szCs w:val="24"/>
        </w:rPr>
        <w:t>Community Legal Assistance Society, Vancouver.</w:t>
      </w:r>
    </w:p>
    <w:p w:rsidR="009F3C59" w:rsidRPr="008B7F0A" w:rsidRDefault="009F3C59" w:rsidP="00354F4A">
      <w:pPr>
        <w:pStyle w:val="SCCLawFirm"/>
        <w:spacing w:after="480"/>
        <w:rPr>
          <w:szCs w:val="24"/>
        </w:rPr>
      </w:pPr>
      <w:r w:rsidRPr="008B7F0A">
        <w:rPr>
          <w:szCs w:val="24"/>
        </w:rPr>
        <w:tab/>
        <w:t>Solicitor</w:t>
      </w:r>
      <w:r w:rsidR="0017794F" w:rsidRPr="008B7F0A">
        <w:rPr>
          <w:szCs w:val="24"/>
        </w:rPr>
        <w:t xml:space="preserve"> for the respondent Her Majesty T</w:t>
      </w:r>
      <w:r w:rsidRPr="008B7F0A">
        <w:rPr>
          <w:szCs w:val="24"/>
        </w:rPr>
        <w:t>he Queen in Right of the Province of British Columbia</w:t>
      </w:r>
      <w:r w:rsidR="00EC6FAC" w:rsidRPr="008B7F0A">
        <w:rPr>
          <w:szCs w:val="24"/>
        </w:rPr>
        <w:t>,</w:t>
      </w:r>
      <w:r w:rsidRPr="008B7F0A">
        <w:rPr>
          <w:szCs w:val="24"/>
        </w:rPr>
        <w:t xml:space="preserve"> as represented by the Ministry of Education</w:t>
      </w:r>
      <w:r w:rsidR="00FC02F0" w:rsidRPr="008B7F0A">
        <w:rPr>
          <w:szCs w:val="24"/>
        </w:rPr>
        <w:t>:  </w:t>
      </w:r>
      <w:r w:rsidRPr="008B7F0A">
        <w:rPr>
          <w:szCs w:val="24"/>
        </w:rPr>
        <w:t>Attorney General of British Columbia, Victoria.</w:t>
      </w:r>
    </w:p>
    <w:p w:rsidR="009F3C59" w:rsidRPr="008B7F0A" w:rsidRDefault="009F3C59" w:rsidP="00354F4A">
      <w:pPr>
        <w:pStyle w:val="SCCLawFirm"/>
        <w:spacing w:after="480"/>
        <w:rPr>
          <w:szCs w:val="24"/>
        </w:rPr>
      </w:pPr>
      <w:r w:rsidRPr="008B7F0A">
        <w:rPr>
          <w:szCs w:val="24"/>
        </w:rPr>
        <w:tab/>
        <w:t xml:space="preserve">Solicitors for the respondent the Board of Education of School District </w:t>
      </w:r>
      <w:r w:rsidR="00654710" w:rsidRPr="008B7F0A">
        <w:rPr>
          <w:szCs w:val="24"/>
        </w:rPr>
        <w:t>No. </w:t>
      </w:r>
      <w:r w:rsidRPr="008B7F0A">
        <w:rPr>
          <w:szCs w:val="24"/>
        </w:rPr>
        <w:t xml:space="preserve">44 (North Vancouver), formerly known as The Board of School Trustees of School District </w:t>
      </w:r>
      <w:r w:rsidR="00654710" w:rsidRPr="008B7F0A">
        <w:rPr>
          <w:szCs w:val="24"/>
        </w:rPr>
        <w:t>No. </w:t>
      </w:r>
      <w:r w:rsidRPr="008B7F0A">
        <w:rPr>
          <w:szCs w:val="24"/>
        </w:rPr>
        <w:t>44 (North Vancouver)</w:t>
      </w:r>
      <w:r w:rsidR="00FC02F0" w:rsidRPr="008B7F0A">
        <w:rPr>
          <w:szCs w:val="24"/>
        </w:rPr>
        <w:t>:  </w:t>
      </w:r>
      <w:r w:rsidRPr="008B7F0A">
        <w:rPr>
          <w:szCs w:val="24"/>
        </w:rPr>
        <w:t>Guild Yule, Vancouver.</w:t>
      </w:r>
    </w:p>
    <w:p w:rsidR="009F3C59" w:rsidRPr="008B7F0A" w:rsidRDefault="009F3C59" w:rsidP="00354F4A">
      <w:pPr>
        <w:pStyle w:val="SCCLawFirm"/>
        <w:spacing w:after="480"/>
        <w:rPr>
          <w:szCs w:val="24"/>
        </w:rPr>
      </w:pPr>
      <w:r w:rsidRPr="008B7F0A">
        <w:rPr>
          <w:szCs w:val="24"/>
          <w:lang w:val="en-US"/>
        </w:rPr>
        <w:tab/>
      </w:r>
      <w:r w:rsidRPr="008B7F0A">
        <w:rPr>
          <w:szCs w:val="24"/>
        </w:rPr>
        <w:t>Solicitor for the intervener th</w:t>
      </w:r>
      <w:r w:rsidR="00FC02F0" w:rsidRPr="008B7F0A">
        <w:rPr>
          <w:szCs w:val="24"/>
        </w:rPr>
        <w:t>e Attorney General of Ontario:  </w:t>
      </w:r>
      <w:r w:rsidRPr="008B7F0A">
        <w:rPr>
          <w:szCs w:val="24"/>
        </w:rPr>
        <w:t>Attorney General of Ontario, Toronto.</w:t>
      </w:r>
    </w:p>
    <w:p w:rsidR="009F3C59" w:rsidRPr="008B7F0A" w:rsidRDefault="009F3C59" w:rsidP="00354F4A">
      <w:pPr>
        <w:pStyle w:val="SCCLawFirm"/>
        <w:spacing w:after="480"/>
        <w:rPr>
          <w:szCs w:val="24"/>
        </w:rPr>
      </w:pPr>
      <w:r w:rsidRPr="008B7F0A">
        <w:rPr>
          <w:szCs w:val="24"/>
        </w:rPr>
        <w:tab/>
        <w:t>Solicitor for the intervener J</w:t>
      </w:r>
      <w:r w:rsidR="00FC02F0" w:rsidRPr="008B7F0A">
        <w:rPr>
          <w:szCs w:val="24"/>
        </w:rPr>
        <w:t>ustice for Children and Youth:  </w:t>
      </w:r>
      <w:r w:rsidRPr="008B7F0A">
        <w:rPr>
          <w:szCs w:val="24"/>
        </w:rPr>
        <w:t xml:space="preserve">Canadian Foundation for Children, Youth </w:t>
      </w:r>
      <w:r w:rsidR="0017794F" w:rsidRPr="008B7F0A">
        <w:rPr>
          <w:szCs w:val="24"/>
        </w:rPr>
        <w:t xml:space="preserve">&amp; </w:t>
      </w:r>
      <w:r w:rsidRPr="008B7F0A">
        <w:rPr>
          <w:szCs w:val="24"/>
        </w:rPr>
        <w:t>the Law, Toronto.</w:t>
      </w:r>
    </w:p>
    <w:p w:rsidR="009F3C59" w:rsidRPr="008B7F0A" w:rsidRDefault="009F3C59" w:rsidP="00354F4A">
      <w:pPr>
        <w:pStyle w:val="SCCLawFirm"/>
        <w:spacing w:after="480"/>
        <w:rPr>
          <w:szCs w:val="24"/>
        </w:rPr>
      </w:pPr>
      <w:r w:rsidRPr="008B7F0A">
        <w:rPr>
          <w:szCs w:val="24"/>
        </w:rPr>
        <w:tab/>
        <w:t xml:space="preserve">Solicitor for the intervener the British </w:t>
      </w:r>
      <w:r w:rsidR="00FC02F0" w:rsidRPr="008B7F0A">
        <w:rPr>
          <w:szCs w:val="24"/>
        </w:rPr>
        <w:t>Columbia Teachers</w:t>
      </w:r>
      <w:r w:rsidR="00B41374" w:rsidRPr="008B7F0A">
        <w:rPr>
          <w:szCs w:val="24"/>
        </w:rPr>
        <w:t>’</w:t>
      </w:r>
      <w:r w:rsidR="00FC02F0" w:rsidRPr="008B7F0A">
        <w:rPr>
          <w:szCs w:val="24"/>
        </w:rPr>
        <w:t xml:space="preserve"> Federation:  </w:t>
      </w:r>
      <w:r w:rsidRPr="008B7F0A">
        <w:rPr>
          <w:szCs w:val="24"/>
        </w:rPr>
        <w:t>British Columbia Teachers</w:t>
      </w:r>
      <w:r w:rsidR="00B41374" w:rsidRPr="008B7F0A">
        <w:rPr>
          <w:szCs w:val="24"/>
        </w:rPr>
        <w:t>’</w:t>
      </w:r>
      <w:r w:rsidRPr="008B7F0A">
        <w:rPr>
          <w:szCs w:val="24"/>
        </w:rPr>
        <w:t xml:space="preserve"> Federation, Vancouver.</w:t>
      </w:r>
    </w:p>
    <w:p w:rsidR="009F3C59" w:rsidRPr="008B7F0A" w:rsidRDefault="009F3C59" w:rsidP="00354F4A">
      <w:pPr>
        <w:pStyle w:val="SCCLawFirm"/>
        <w:spacing w:after="480"/>
        <w:rPr>
          <w:szCs w:val="24"/>
        </w:rPr>
      </w:pPr>
      <w:r w:rsidRPr="008B7F0A">
        <w:rPr>
          <w:szCs w:val="24"/>
        </w:rPr>
        <w:tab/>
        <w:t>Solicitors for the intervener the Council o</w:t>
      </w:r>
      <w:r w:rsidR="00FC02F0" w:rsidRPr="008B7F0A">
        <w:rPr>
          <w:szCs w:val="24"/>
        </w:rPr>
        <w:t>f Canadians with Disabilities:  </w:t>
      </w:r>
      <w:r w:rsidRPr="008B7F0A">
        <w:rPr>
          <w:szCs w:val="24"/>
        </w:rPr>
        <w:t>Camp Fiorante Matthews, Vancouver.</w:t>
      </w:r>
    </w:p>
    <w:p w:rsidR="009F3C59" w:rsidRPr="008B7F0A" w:rsidRDefault="009F3C59" w:rsidP="00354F4A">
      <w:pPr>
        <w:pStyle w:val="SCCLawFirm"/>
        <w:spacing w:after="480"/>
        <w:rPr>
          <w:szCs w:val="24"/>
        </w:rPr>
      </w:pPr>
      <w:r w:rsidRPr="008B7F0A">
        <w:rPr>
          <w:szCs w:val="24"/>
        </w:rPr>
        <w:lastRenderedPageBreak/>
        <w:tab/>
        <w:t>Solicitor for the interveners the Ontario Human Rights Commission, the Saskatchewan Human Rights Commission and the Alberta Human Rights Commiss</w:t>
      </w:r>
      <w:r w:rsidR="00FC02F0" w:rsidRPr="008B7F0A">
        <w:rPr>
          <w:szCs w:val="24"/>
        </w:rPr>
        <w:t>ion:  </w:t>
      </w:r>
      <w:r w:rsidRPr="008B7F0A">
        <w:rPr>
          <w:szCs w:val="24"/>
        </w:rPr>
        <w:t>Ontario Human Rights Commission, Toronto.</w:t>
      </w:r>
    </w:p>
    <w:p w:rsidR="009F3C59" w:rsidRPr="008B7F0A" w:rsidRDefault="009F3C59" w:rsidP="00354F4A">
      <w:pPr>
        <w:pStyle w:val="SCCLawFirm"/>
        <w:spacing w:after="480"/>
        <w:rPr>
          <w:szCs w:val="24"/>
        </w:rPr>
      </w:pPr>
      <w:r w:rsidRPr="008B7F0A">
        <w:rPr>
          <w:szCs w:val="24"/>
        </w:rPr>
        <w:tab/>
        <w:t>Solicitors for the intervener the International Dyslexi</w:t>
      </w:r>
      <w:r w:rsidR="00FC02F0" w:rsidRPr="008B7F0A">
        <w:rPr>
          <w:szCs w:val="24"/>
        </w:rPr>
        <w:t>a Association, Ontario Branch:  </w:t>
      </w:r>
      <w:r w:rsidRPr="008B7F0A">
        <w:rPr>
          <w:szCs w:val="24"/>
        </w:rPr>
        <w:t>Norton Rose Canada, Toronto.</w:t>
      </w:r>
    </w:p>
    <w:p w:rsidR="009F3C59" w:rsidRPr="008B7F0A" w:rsidRDefault="009F3C59" w:rsidP="00354F4A">
      <w:pPr>
        <w:pStyle w:val="SCCLawFirm"/>
        <w:spacing w:after="480"/>
        <w:rPr>
          <w:szCs w:val="24"/>
        </w:rPr>
      </w:pPr>
      <w:r w:rsidRPr="008B7F0A">
        <w:rPr>
          <w:szCs w:val="24"/>
        </w:rPr>
        <w:tab/>
        <w:t>Solicitor for the intervener the Canad</w:t>
      </w:r>
      <w:r w:rsidR="00EC6FAC" w:rsidRPr="008B7F0A">
        <w:rPr>
          <w:szCs w:val="24"/>
        </w:rPr>
        <w:t xml:space="preserve">ian Human Rights Commission:  </w:t>
      </w:r>
      <w:r w:rsidRPr="008B7F0A">
        <w:rPr>
          <w:szCs w:val="24"/>
        </w:rPr>
        <w:t>Canadian Human Rights Commission, Ottawa.</w:t>
      </w:r>
    </w:p>
    <w:p w:rsidR="009F3C59" w:rsidRPr="008B7F0A" w:rsidRDefault="009F3C59" w:rsidP="00354F4A">
      <w:pPr>
        <w:pStyle w:val="SCCLawFirm"/>
        <w:spacing w:after="480"/>
        <w:rPr>
          <w:szCs w:val="24"/>
        </w:rPr>
      </w:pPr>
      <w:r w:rsidRPr="008B7F0A">
        <w:rPr>
          <w:szCs w:val="24"/>
        </w:rPr>
        <w:tab/>
        <w:t>Solicitors for the intervener the Learning Disab</w:t>
      </w:r>
      <w:r w:rsidR="00FC02F0" w:rsidRPr="008B7F0A">
        <w:rPr>
          <w:szCs w:val="24"/>
        </w:rPr>
        <w:t>ilities Association of Canada:  </w:t>
      </w:r>
      <w:r w:rsidRPr="008B7F0A">
        <w:rPr>
          <w:szCs w:val="24"/>
        </w:rPr>
        <w:t>Pitblado, Winnipeg.</w:t>
      </w:r>
    </w:p>
    <w:p w:rsidR="009F3C59" w:rsidRPr="008B7F0A" w:rsidRDefault="009F3C59" w:rsidP="00354F4A">
      <w:pPr>
        <w:pStyle w:val="SCCLawFirm"/>
        <w:spacing w:after="480"/>
        <w:rPr>
          <w:szCs w:val="24"/>
        </w:rPr>
      </w:pPr>
      <w:r w:rsidRPr="008B7F0A">
        <w:rPr>
          <w:szCs w:val="24"/>
        </w:rPr>
        <w:tab/>
        <w:t>Solicitors for the intervener the Can</w:t>
      </w:r>
      <w:r w:rsidR="00FC02F0" w:rsidRPr="008B7F0A">
        <w:rPr>
          <w:szCs w:val="24"/>
        </w:rPr>
        <w:t>adian Constitution Foundation:  </w:t>
      </w:r>
      <w:r w:rsidRPr="008B7F0A">
        <w:rPr>
          <w:szCs w:val="24"/>
        </w:rPr>
        <w:t>Bennett Jones, Ottawa.</w:t>
      </w:r>
    </w:p>
    <w:p w:rsidR="009F3C59" w:rsidRPr="008B7F0A" w:rsidRDefault="009F3C59" w:rsidP="00354F4A">
      <w:pPr>
        <w:pStyle w:val="SCCLawFirm"/>
        <w:spacing w:after="480"/>
        <w:rPr>
          <w:szCs w:val="24"/>
        </w:rPr>
      </w:pPr>
      <w:r w:rsidRPr="008B7F0A">
        <w:rPr>
          <w:szCs w:val="24"/>
        </w:rPr>
        <w:tab/>
        <w:t xml:space="preserve">Solicitor for the intervener the </w:t>
      </w:r>
      <w:r w:rsidR="00EC6FAC" w:rsidRPr="008B7F0A">
        <w:rPr>
          <w:szCs w:val="24"/>
        </w:rPr>
        <w:t>Manitoba</w:t>
      </w:r>
      <w:r w:rsidR="00FC02F0" w:rsidRPr="008B7F0A">
        <w:rPr>
          <w:szCs w:val="24"/>
        </w:rPr>
        <w:t xml:space="preserve"> Human Rights Commission:  </w:t>
      </w:r>
      <w:r w:rsidRPr="008B7F0A">
        <w:rPr>
          <w:szCs w:val="24"/>
        </w:rPr>
        <w:t>Manitoba Human Rights Commission, Winnipeg.</w:t>
      </w:r>
    </w:p>
    <w:p w:rsidR="009F3C59" w:rsidRPr="008B7F0A" w:rsidRDefault="009F3C59" w:rsidP="00354F4A">
      <w:pPr>
        <w:pStyle w:val="SCCLawFirm"/>
        <w:spacing w:after="480"/>
        <w:rPr>
          <w:szCs w:val="24"/>
        </w:rPr>
      </w:pPr>
      <w:r w:rsidRPr="008B7F0A">
        <w:rPr>
          <w:szCs w:val="24"/>
        </w:rPr>
        <w:tab/>
        <w:t>Solicitor for the intervener the West Coast Women</w:t>
      </w:r>
      <w:r w:rsidR="00B41374" w:rsidRPr="008B7F0A">
        <w:rPr>
          <w:szCs w:val="24"/>
        </w:rPr>
        <w:t>’</w:t>
      </w:r>
      <w:r w:rsidRPr="008B7F0A">
        <w:rPr>
          <w:szCs w:val="24"/>
        </w:rPr>
        <w:t>s Le</w:t>
      </w:r>
      <w:r w:rsidR="00FC02F0" w:rsidRPr="008B7F0A">
        <w:rPr>
          <w:szCs w:val="24"/>
        </w:rPr>
        <w:t>gal Education and Action Fund:  </w:t>
      </w:r>
      <w:r w:rsidRPr="008B7F0A">
        <w:rPr>
          <w:szCs w:val="24"/>
        </w:rPr>
        <w:t>West Coast Women</w:t>
      </w:r>
      <w:r w:rsidR="00B41374" w:rsidRPr="008B7F0A">
        <w:rPr>
          <w:szCs w:val="24"/>
        </w:rPr>
        <w:t>’</w:t>
      </w:r>
      <w:r w:rsidRPr="008B7F0A">
        <w:rPr>
          <w:szCs w:val="24"/>
        </w:rPr>
        <w:t>s Legal Education and Action Fund, Vancouver.</w:t>
      </w:r>
    </w:p>
    <w:p w:rsidR="009F3C59" w:rsidRPr="008B7F0A" w:rsidRDefault="009F3C59" w:rsidP="00354F4A">
      <w:pPr>
        <w:pStyle w:val="SCCLawFirm"/>
        <w:spacing w:after="480"/>
        <w:rPr>
          <w:szCs w:val="24"/>
        </w:rPr>
      </w:pPr>
      <w:r w:rsidRPr="008B7F0A">
        <w:rPr>
          <w:szCs w:val="24"/>
        </w:rPr>
        <w:tab/>
        <w:t>Solicitor for the intervener the Canadian Ass</w:t>
      </w:r>
      <w:r w:rsidR="00FC02F0" w:rsidRPr="008B7F0A">
        <w:rPr>
          <w:szCs w:val="24"/>
        </w:rPr>
        <w:t>ociation for Community Living:  </w:t>
      </w:r>
      <w:r w:rsidRPr="008B7F0A">
        <w:rPr>
          <w:szCs w:val="24"/>
        </w:rPr>
        <w:t>ARCH Disability Law Centre, Toronto.</w:t>
      </w:r>
    </w:p>
    <w:p w:rsidR="009F3C59" w:rsidRPr="008B7F0A" w:rsidRDefault="009F3C59" w:rsidP="00354F4A">
      <w:pPr>
        <w:pStyle w:val="SCCLawFirm"/>
        <w:spacing w:after="480"/>
        <w:rPr>
          <w:szCs w:val="24"/>
          <w:lang w:val="fr-CA"/>
        </w:rPr>
      </w:pPr>
      <w:r w:rsidRPr="008B7F0A">
        <w:rPr>
          <w:szCs w:val="24"/>
        </w:rPr>
        <w:lastRenderedPageBreak/>
        <w:tab/>
      </w:r>
      <w:r w:rsidRPr="008B7F0A">
        <w:rPr>
          <w:szCs w:val="24"/>
          <w:lang w:val="fr-CA"/>
        </w:rPr>
        <w:t>Solicitor for the intervener Commission des droits de la personne</w:t>
      </w:r>
      <w:r w:rsidR="00FC02F0" w:rsidRPr="008B7F0A">
        <w:rPr>
          <w:szCs w:val="24"/>
          <w:lang w:val="fr-CA"/>
        </w:rPr>
        <w:t xml:space="preserve"> et des droits de la jeunesse:</w:t>
      </w:r>
      <w:proofErr w:type="gramStart"/>
      <w:r w:rsidR="00FC02F0" w:rsidRPr="008B7F0A">
        <w:rPr>
          <w:szCs w:val="24"/>
          <w:lang w:val="fr-CA"/>
        </w:rPr>
        <w:t>  </w:t>
      </w:r>
      <w:r w:rsidRPr="008B7F0A">
        <w:rPr>
          <w:szCs w:val="24"/>
          <w:lang w:val="fr-CA"/>
        </w:rPr>
        <w:t>Commission</w:t>
      </w:r>
      <w:proofErr w:type="gramEnd"/>
      <w:r w:rsidRPr="008B7F0A">
        <w:rPr>
          <w:szCs w:val="24"/>
          <w:lang w:val="fr-CA"/>
        </w:rPr>
        <w:t xml:space="preserve"> des droits de la personne et des droits de la jeunesse, Montréal.</w:t>
      </w:r>
    </w:p>
    <w:p w:rsidR="009F3C59" w:rsidRPr="008B7F0A" w:rsidRDefault="009F3C59" w:rsidP="00354F4A">
      <w:pPr>
        <w:pStyle w:val="SCCLawFirm"/>
        <w:spacing w:after="480"/>
        <w:rPr>
          <w:szCs w:val="24"/>
        </w:rPr>
      </w:pPr>
      <w:r w:rsidRPr="008B7F0A">
        <w:rPr>
          <w:szCs w:val="24"/>
          <w:lang w:val="fr-CA"/>
        </w:rPr>
        <w:tab/>
      </w:r>
      <w:r w:rsidRPr="008B7F0A">
        <w:rPr>
          <w:szCs w:val="24"/>
        </w:rPr>
        <w:t>Solicitor for the intervener the British C</w:t>
      </w:r>
      <w:r w:rsidR="00FC02F0" w:rsidRPr="008B7F0A">
        <w:rPr>
          <w:szCs w:val="24"/>
        </w:rPr>
        <w:t>olumbia Human Rights Tribunal:  </w:t>
      </w:r>
      <w:r w:rsidRPr="008B7F0A">
        <w:rPr>
          <w:szCs w:val="24"/>
        </w:rPr>
        <w:t>British Columbia Human Rights Tribunal, Vancouver.</w:t>
      </w:r>
    </w:p>
    <w:p w:rsidR="00AB09FB" w:rsidRPr="008B7F0A" w:rsidRDefault="009F3C59" w:rsidP="00E733D5">
      <w:pPr>
        <w:pStyle w:val="SCCLawFirm"/>
        <w:rPr>
          <w:b/>
          <w:i w:val="0"/>
          <w:szCs w:val="24"/>
        </w:rPr>
      </w:pPr>
      <w:r w:rsidRPr="008B7F0A">
        <w:rPr>
          <w:szCs w:val="24"/>
        </w:rPr>
        <w:tab/>
        <w:t>Solicitors for the intervener the First Nations Child and Fa</w:t>
      </w:r>
      <w:r w:rsidR="00FC02F0" w:rsidRPr="008B7F0A">
        <w:rPr>
          <w:szCs w:val="24"/>
        </w:rPr>
        <w:t>mily Caring Society of Canada:  </w:t>
      </w:r>
      <w:proofErr w:type="spellStart"/>
      <w:r w:rsidRPr="008B7F0A">
        <w:rPr>
          <w:szCs w:val="24"/>
        </w:rPr>
        <w:t>Stikeman</w:t>
      </w:r>
      <w:proofErr w:type="spellEnd"/>
      <w:r w:rsidRPr="008B7F0A">
        <w:rPr>
          <w:szCs w:val="24"/>
        </w:rPr>
        <w:t xml:space="preserve"> Elliott, Ottawa.</w:t>
      </w:r>
    </w:p>
    <w:p w:rsidR="00E733D5" w:rsidRPr="008B7F0A" w:rsidRDefault="00E733D5" w:rsidP="00E733D5">
      <w:pPr>
        <w:pStyle w:val="SCCNormalDoubleSpacing"/>
      </w:pPr>
    </w:p>
    <w:sectPr w:rsidR="00E733D5" w:rsidRPr="008B7F0A" w:rsidSect="004B356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C8" w:rsidRDefault="00A216C8">
      <w:r>
        <w:separator/>
      </w:r>
    </w:p>
  </w:endnote>
  <w:endnote w:type="continuationSeparator" w:id="0">
    <w:p w:rsidR="00A216C8" w:rsidRDefault="00A21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C8" w:rsidRDefault="00A216C8">
      <w:r>
        <w:separator/>
      </w:r>
    </w:p>
  </w:footnote>
  <w:footnote w:type="continuationSeparator" w:id="0">
    <w:p w:rsidR="00A216C8" w:rsidRDefault="00A216C8">
      <w:r>
        <w:continuationSeparator/>
      </w:r>
    </w:p>
  </w:footnote>
  <w:footnote w:id="1">
    <w:p w:rsidR="00E733D5" w:rsidRPr="00E530E2" w:rsidRDefault="00E733D5" w:rsidP="00E733D5">
      <w:pPr>
        <w:pStyle w:val="FootnoteText"/>
        <w:rPr>
          <w:lang w:val="en-US"/>
        </w:rPr>
      </w:pPr>
      <w:r>
        <w:rPr>
          <w:rStyle w:val="FootnoteReference"/>
        </w:rPr>
        <w:footnoteRef/>
      </w:r>
      <w:r>
        <w:t xml:space="preserve"> </w:t>
      </w:r>
      <w:proofErr w:type="gramStart"/>
      <w:r>
        <w:rPr>
          <w:lang w:val="en-US"/>
        </w:rPr>
        <w:t>S.B.C. 1989, c. 61, as amended in 1993 (</w:t>
      </w:r>
      <w:r w:rsidRPr="00E530E2">
        <w:rPr>
          <w:i/>
          <w:lang w:val="en-US"/>
        </w:rPr>
        <w:t>School Amendment Act</w:t>
      </w:r>
      <w:r>
        <w:rPr>
          <w:lang w:val="en-US"/>
        </w:rPr>
        <w:t xml:space="preserve">, </w:t>
      </w:r>
      <w:r w:rsidR="008F2C9B">
        <w:rPr>
          <w:lang w:val="en-US"/>
        </w:rPr>
        <w:t xml:space="preserve">S.B.C. </w:t>
      </w:r>
      <w:r>
        <w:rPr>
          <w:lang w:val="en-US"/>
        </w:rPr>
        <w:t>1993, c. 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88"/>
      <w:docPartObj>
        <w:docPartGallery w:val="Page Numbers (Top of Page)"/>
        <w:docPartUnique/>
      </w:docPartObj>
    </w:sdtPr>
    <w:sdtContent>
      <w:p w:rsidR="004B356D" w:rsidRDefault="004B356D">
        <w:pPr>
          <w:pStyle w:val="Header"/>
          <w:jc w:val="center"/>
        </w:pPr>
        <w:r>
          <w:t xml:space="preserve">- </w:t>
        </w:r>
        <w:fldSimple w:instr=" PAGE   \* MERGEFORMAT ">
          <w:r w:rsidR="00526619">
            <w:rPr>
              <w:noProof/>
            </w:rPr>
            <w:t>3</w:t>
          </w:r>
        </w:fldSimple>
        <w:r>
          <w:t xml:space="preserve"> -</w:t>
        </w:r>
      </w:p>
    </w:sdtContent>
  </w:sdt>
  <w:p w:rsidR="004B356D" w:rsidRDefault="004B3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96"/>
    <w:multiLevelType w:val="singleLevel"/>
    <w:tmpl w:val="00000000"/>
    <w:lvl w:ilvl="0">
      <w:start w:val="1"/>
      <w:numFmt w:val="decimal"/>
      <w:lvlText w:val="ii)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nsid w:val="FFFFB1D4"/>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FFFFFF89"/>
    <w:multiLevelType w:val="singleLevel"/>
    <w:tmpl w:val="CC6E0E4C"/>
    <w:lvl w:ilvl="0">
      <w:start w:val="1"/>
      <w:numFmt w:val="bullet"/>
      <w:lvlText w:val=""/>
      <w:lvlJc w:val="left"/>
      <w:pPr>
        <w:tabs>
          <w:tab w:val="num" w:pos="360"/>
        </w:tabs>
        <w:ind w:left="360" w:hanging="360"/>
      </w:pPr>
      <w:rPr>
        <w:rFonts w:ascii="Symbol" w:hAnsi="Symbol" w:hint="default"/>
      </w:r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9D6321"/>
    <w:multiLevelType w:val="hybridMultilevel"/>
    <w:tmpl w:val="2C98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8A2419"/>
    <w:multiLevelType w:val="hybridMultilevel"/>
    <w:tmpl w:val="595ED7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244BE9"/>
    <w:multiLevelType w:val="hybridMultilevel"/>
    <w:tmpl w:val="C57230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8DDEEA2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8568AE"/>
    <w:multiLevelType w:val="hybridMultilevel"/>
    <w:tmpl w:val="FEE2E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E9523F4"/>
    <w:multiLevelType w:val="hybridMultilevel"/>
    <w:tmpl w:val="EE62A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3"/>
  </w:num>
  <w:num w:numId="5">
    <w:abstractNumId w:val="8"/>
  </w:num>
  <w:num w:numId="6">
    <w:abstractNumId w:val="9"/>
  </w:num>
  <w:num w:numId="7">
    <w:abstractNumId w:val="6"/>
  </w:num>
  <w:num w:numId="8">
    <w:abstractNumId w:val="2"/>
  </w:num>
  <w:num w:numId="9">
    <w:abstractNumId w:val="7"/>
  </w:num>
  <w:num w:numId="10">
    <w:abstractNumId w:val="11"/>
  </w:num>
  <w:num w:numId="11">
    <w:abstractNumId w:val="4"/>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ED4"/>
    <w:rsid w:val="000063E7"/>
    <w:rsid w:val="00007993"/>
    <w:rsid w:val="00015DDB"/>
    <w:rsid w:val="00023A44"/>
    <w:rsid w:val="00024364"/>
    <w:rsid w:val="00025198"/>
    <w:rsid w:val="000578A3"/>
    <w:rsid w:val="000648CC"/>
    <w:rsid w:val="00071A89"/>
    <w:rsid w:val="000824CF"/>
    <w:rsid w:val="00094046"/>
    <w:rsid w:val="00094BDF"/>
    <w:rsid w:val="000A4E92"/>
    <w:rsid w:val="000B203C"/>
    <w:rsid w:val="000B4265"/>
    <w:rsid w:val="000B4633"/>
    <w:rsid w:val="000B4D16"/>
    <w:rsid w:val="000B4E44"/>
    <w:rsid w:val="000C128A"/>
    <w:rsid w:val="000C2815"/>
    <w:rsid w:val="000C59B8"/>
    <w:rsid w:val="000C6AF0"/>
    <w:rsid w:val="000D6D65"/>
    <w:rsid w:val="001028ED"/>
    <w:rsid w:val="00104F33"/>
    <w:rsid w:val="001073F0"/>
    <w:rsid w:val="00111DE2"/>
    <w:rsid w:val="00116B38"/>
    <w:rsid w:val="00135406"/>
    <w:rsid w:val="00135972"/>
    <w:rsid w:val="00135F97"/>
    <w:rsid w:val="001426A9"/>
    <w:rsid w:val="00142D69"/>
    <w:rsid w:val="00153A68"/>
    <w:rsid w:val="00154D7C"/>
    <w:rsid w:val="001570B0"/>
    <w:rsid w:val="0015752C"/>
    <w:rsid w:val="00157737"/>
    <w:rsid w:val="001625A1"/>
    <w:rsid w:val="00165277"/>
    <w:rsid w:val="00170592"/>
    <w:rsid w:val="0017794F"/>
    <w:rsid w:val="00186351"/>
    <w:rsid w:val="00195D83"/>
    <w:rsid w:val="00195E69"/>
    <w:rsid w:val="001A00C1"/>
    <w:rsid w:val="001A1CA8"/>
    <w:rsid w:val="001A482A"/>
    <w:rsid w:val="001B33E0"/>
    <w:rsid w:val="001B4573"/>
    <w:rsid w:val="001C4C86"/>
    <w:rsid w:val="001C779F"/>
    <w:rsid w:val="001D2AC1"/>
    <w:rsid w:val="001D4E88"/>
    <w:rsid w:val="001E3D79"/>
    <w:rsid w:val="001E5BA9"/>
    <w:rsid w:val="001E76D7"/>
    <w:rsid w:val="001F4B0C"/>
    <w:rsid w:val="001F6DD4"/>
    <w:rsid w:val="00205C0F"/>
    <w:rsid w:val="00207569"/>
    <w:rsid w:val="00210295"/>
    <w:rsid w:val="0021264D"/>
    <w:rsid w:val="00220FC2"/>
    <w:rsid w:val="002222F4"/>
    <w:rsid w:val="0022486A"/>
    <w:rsid w:val="00224FC0"/>
    <w:rsid w:val="00225EA4"/>
    <w:rsid w:val="00226EAF"/>
    <w:rsid w:val="00231F3A"/>
    <w:rsid w:val="00234199"/>
    <w:rsid w:val="00235A80"/>
    <w:rsid w:val="002406EE"/>
    <w:rsid w:val="00243056"/>
    <w:rsid w:val="0024354C"/>
    <w:rsid w:val="00243EC8"/>
    <w:rsid w:val="002517CC"/>
    <w:rsid w:val="00262412"/>
    <w:rsid w:val="00267857"/>
    <w:rsid w:val="00270D93"/>
    <w:rsid w:val="00271A75"/>
    <w:rsid w:val="0027299E"/>
    <w:rsid w:val="002745CC"/>
    <w:rsid w:val="00296251"/>
    <w:rsid w:val="00296A95"/>
    <w:rsid w:val="002B2E9A"/>
    <w:rsid w:val="002B5558"/>
    <w:rsid w:val="002B7924"/>
    <w:rsid w:val="002C4B4A"/>
    <w:rsid w:val="002D0AE8"/>
    <w:rsid w:val="002D28C3"/>
    <w:rsid w:val="002D2F5B"/>
    <w:rsid w:val="002D39A4"/>
    <w:rsid w:val="002D532C"/>
    <w:rsid w:val="002D5BFC"/>
    <w:rsid w:val="002E3578"/>
    <w:rsid w:val="002E6705"/>
    <w:rsid w:val="002F1E86"/>
    <w:rsid w:val="002F4AE4"/>
    <w:rsid w:val="002F5A02"/>
    <w:rsid w:val="00301D08"/>
    <w:rsid w:val="00302394"/>
    <w:rsid w:val="0030329A"/>
    <w:rsid w:val="00304582"/>
    <w:rsid w:val="00304BCA"/>
    <w:rsid w:val="003057CD"/>
    <w:rsid w:val="0031086F"/>
    <w:rsid w:val="0031414C"/>
    <w:rsid w:val="00314E01"/>
    <w:rsid w:val="00316C8B"/>
    <w:rsid w:val="0032089D"/>
    <w:rsid w:val="003310DE"/>
    <w:rsid w:val="003323B0"/>
    <w:rsid w:val="00343C95"/>
    <w:rsid w:val="0035169A"/>
    <w:rsid w:val="0035259D"/>
    <w:rsid w:val="00354F4A"/>
    <w:rsid w:val="00364B18"/>
    <w:rsid w:val="003673FA"/>
    <w:rsid w:val="0038114A"/>
    <w:rsid w:val="003A125D"/>
    <w:rsid w:val="003A4C70"/>
    <w:rsid w:val="003B2022"/>
    <w:rsid w:val="003B215F"/>
    <w:rsid w:val="003B3E83"/>
    <w:rsid w:val="003C29BB"/>
    <w:rsid w:val="003C65EF"/>
    <w:rsid w:val="003C799C"/>
    <w:rsid w:val="003D0399"/>
    <w:rsid w:val="003D1499"/>
    <w:rsid w:val="003E1C71"/>
    <w:rsid w:val="003E6691"/>
    <w:rsid w:val="003F327B"/>
    <w:rsid w:val="00406166"/>
    <w:rsid w:val="00406A70"/>
    <w:rsid w:val="0040704B"/>
    <w:rsid w:val="00410A55"/>
    <w:rsid w:val="00411300"/>
    <w:rsid w:val="00415417"/>
    <w:rsid w:val="00420191"/>
    <w:rsid w:val="00422414"/>
    <w:rsid w:val="00426659"/>
    <w:rsid w:val="004419E9"/>
    <w:rsid w:val="00450352"/>
    <w:rsid w:val="00454BDB"/>
    <w:rsid w:val="00455358"/>
    <w:rsid w:val="00464800"/>
    <w:rsid w:val="00465132"/>
    <w:rsid w:val="00480C90"/>
    <w:rsid w:val="0048396F"/>
    <w:rsid w:val="00493C18"/>
    <w:rsid w:val="004A600C"/>
    <w:rsid w:val="004A6118"/>
    <w:rsid w:val="004B356D"/>
    <w:rsid w:val="004C478D"/>
    <w:rsid w:val="004E2292"/>
    <w:rsid w:val="004E2C26"/>
    <w:rsid w:val="004F36FF"/>
    <w:rsid w:val="005125A8"/>
    <w:rsid w:val="00521AE8"/>
    <w:rsid w:val="00526619"/>
    <w:rsid w:val="00527180"/>
    <w:rsid w:val="00527694"/>
    <w:rsid w:val="0053778E"/>
    <w:rsid w:val="00540733"/>
    <w:rsid w:val="0054201E"/>
    <w:rsid w:val="00552E8C"/>
    <w:rsid w:val="00555291"/>
    <w:rsid w:val="00566AD1"/>
    <w:rsid w:val="005810DE"/>
    <w:rsid w:val="00583590"/>
    <w:rsid w:val="00583EDE"/>
    <w:rsid w:val="005A6079"/>
    <w:rsid w:val="005B14C7"/>
    <w:rsid w:val="005B41ED"/>
    <w:rsid w:val="005B58A3"/>
    <w:rsid w:val="005E4698"/>
    <w:rsid w:val="005E4951"/>
    <w:rsid w:val="005E5AEE"/>
    <w:rsid w:val="005E6E26"/>
    <w:rsid w:val="005F536B"/>
    <w:rsid w:val="00610539"/>
    <w:rsid w:val="00613969"/>
    <w:rsid w:val="00625C35"/>
    <w:rsid w:val="00637721"/>
    <w:rsid w:val="00640360"/>
    <w:rsid w:val="00654710"/>
    <w:rsid w:val="00656313"/>
    <w:rsid w:val="006565F4"/>
    <w:rsid w:val="00681E9B"/>
    <w:rsid w:val="006844FB"/>
    <w:rsid w:val="00684EEA"/>
    <w:rsid w:val="0069689B"/>
    <w:rsid w:val="006A1551"/>
    <w:rsid w:val="006A4102"/>
    <w:rsid w:val="006A59F5"/>
    <w:rsid w:val="006B5FF5"/>
    <w:rsid w:val="006C1946"/>
    <w:rsid w:val="006E00F0"/>
    <w:rsid w:val="006F30AF"/>
    <w:rsid w:val="006F7422"/>
    <w:rsid w:val="00701759"/>
    <w:rsid w:val="00705C15"/>
    <w:rsid w:val="0071600E"/>
    <w:rsid w:val="007208D1"/>
    <w:rsid w:val="00747288"/>
    <w:rsid w:val="00747DD3"/>
    <w:rsid w:val="0075177D"/>
    <w:rsid w:val="007549C8"/>
    <w:rsid w:val="00754A0B"/>
    <w:rsid w:val="00757014"/>
    <w:rsid w:val="00766D14"/>
    <w:rsid w:val="00767A0F"/>
    <w:rsid w:val="00793830"/>
    <w:rsid w:val="00796964"/>
    <w:rsid w:val="007A05F6"/>
    <w:rsid w:val="007B6F4A"/>
    <w:rsid w:val="007C5A06"/>
    <w:rsid w:val="007E034A"/>
    <w:rsid w:val="007E1C47"/>
    <w:rsid w:val="007E337A"/>
    <w:rsid w:val="007E5C70"/>
    <w:rsid w:val="007F2FF5"/>
    <w:rsid w:val="007F3F08"/>
    <w:rsid w:val="007F44E2"/>
    <w:rsid w:val="00804CC6"/>
    <w:rsid w:val="008078F1"/>
    <w:rsid w:val="00817190"/>
    <w:rsid w:val="00820EE5"/>
    <w:rsid w:val="008260E2"/>
    <w:rsid w:val="008322BD"/>
    <w:rsid w:val="00833E0A"/>
    <w:rsid w:val="00834F73"/>
    <w:rsid w:val="0084779D"/>
    <w:rsid w:val="00864CF8"/>
    <w:rsid w:val="00872819"/>
    <w:rsid w:val="0087327D"/>
    <w:rsid w:val="00874914"/>
    <w:rsid w:val="00891422"/>
    <w:rsid w:val="00892E1A"/>
    <w:rsid w:val="008A3F29"/>
    <w:rsid w:val="008B0B1F"/>
    <w:rsid w:val="008B660A"/>
    <w:rsid w:val="008B7F0A"/>
    <w:rsid w:val="008C01DA"/>
    <w:rsid w:val="008F1F0E"/>
    <w:rsid w:val="008F2C9B"/>
    <w:rsid w:val="008F78E9"/>
    <w:rsid w:val="00911989"/>
    <w:rsid w:val="00911B0C"/>
    <w:rsid w:val="00912735"/>
    <w:rsid w:val="009179F9"/>
    <w:rsid w:val="0092239A"/>
    <w:rsid w:val="009267E7"/>
    <w:rsid w:val="00933E5E"/>
    <w:rsid w:val="00935218"/>
    <w:rsid w:val="00937DE3"/>
    <w:rsid w:val="009403F3"/>
    <w:rsid w:val="009555B7"/>
    <w:rsid w:val="009567AA"/>
    <w:rsid w:val="00967374"/>
    <w:rsid w:val="00993872"/>
    <w:rsid w:val="0099679A"/>
    <w:rsid w:val="0099751E"/>
    <w:rsid w:val="009A343A"/>
    <w:rsid w:val="009B2F23"/>
    <w:rsid w:val="009B57B3"/>
    <w:rsid w:val="009B5DD9"/>
    <w:rsid w:val="009C3F5F"/>
    <w:rsid w:val="009C5B92"/>
    <w:rsid w:val="009D2920"/>
    <w:rsid w:val="009D4064"/>
    <w:rsid w:val="009D5AEB"/>
    <w:rsid w:val="009E77E0"/>
    <w:rsid w:val="009F0E33"/>
    <w:rsid w:val="009F3C59"/>
    <w:rsid w:val="009F3F48"/>
    <w:rsid w:val="00A01E3A"/>
    <w:rsid w:val="00A030CE"/>
    <w:rsid w:val="00A149DF"/>
    <w:rsid w:val="00A15795"/>
    <w:rsid w:val="00A1755C"/>
    <w:rsid w:val="00A216C8"/>
    <w:rsid w:val="00A21B90"/>
    <w:rsid w:val="00A32FFE"/>
    <w:rsid w:val="00A41805"/>
    <w:rsid w:val="00A42DCD"/>
    <w:rsid w:val="00A46ACF"/>
    <w:rsid w:val="00A5247D"/>
    <w:rsid w:val="00A52AFB"/>
    <w:rsid w:val="00A548CB"/>
    <w:rsid w:val="00A5521C"/>
    <w:rsid w:val="00A6005F"/>
    <w:rsid w:val="00A61BFC"/>
    <w:rsid w:val="00A643E7"/>
    <w:rsid w:val="00A73C38"/>
    <w:rsid w:val="00A812B2"/>
    <w:rsid w:val="00A9601A"/>
    <w:rsid w:val="00A96134"/>
    <w:rsid w:val="00AB09FB"/>
    <w:rsid w:val="00AB670D"/>
    <w:rsid w:val="00AD3664"/>
    <w:rsid w:val="00AF03C5"/>
    <w:rsid w:val="00B000D8"/>
    <w:rsid w:val="00B00F75"/>
    <w:rsid w:val="00B04BD4"/>
    <w:rsid w:val="00B145B6"/>
    <w:rsid w:val="00B279EB"/>
    <w:rsid w:val="00B41374"/>
    <w:rsid w:val="00B4780B"/>
    <w:rsid w:val="00B50C81"/>
    <w:rsid w:val="00B511A8"/>
    <w:rsid w:val="00B557F8"/>
    <w:rsid w:val="00B72CD4"/>
    <w:rsid w:val="00B74D09"/>
    <w:rsid w:val="00B815FC"/>
    <w:rsid w:val="00B93FBC"/>
    <w:rsid w:val="00BA7DA0"/>
    <w:rsid w:val="00BB2EE4"/>
    <w:rsid w:val="00BC2108"/>
    <w:rsid w:val="00BD0E9E"/>
    <w:rsid w:val="00BD1BEC"/>
    <w:rsid w:val="00BD32FF"/>
    <w:rsid w:val="00C00B4B"/>
    <w:rsid w:val="00C02092"/>
    <w:rsid w:val="00C24D91"/>
    <w:rsid w:val="00C31E75"/>
    <w:rsid w:val="00C40035"/>
    <w:rsid w:val="00C41D80"/>
    <w:rsid w:val="00C53F14"/>
    <w:rsid w:val="00C600CF"/>
    <w:rsid w:val="00C6084F"/>
    <w:rsid w:val="00C62A66"/>
    <w:rsid w:val="00C6395D"/>
    <w:rsid w:val="00C71458"/>
    <w:rsid w:val="00C77613"/>
    <w:rsid w:val="00C828E7"/>
    <w:rsid w:val="00C82E9B"/>
    <w:rsid w:val="00C86719"/>
    <w:rsid w:val="00C91C67"/>
    <w:rsid w:val="00C921DD"/>
    <w:rsid w:val="00CA09FC"/>
    <w:rsid w:val="00CA6391"/>
    <w:rsid w:val="00CC16AF"/>
    <w:rsid w:val="00CC34BD"/>
    <w:rsid w:val="00CC4031"/>
    <w:rsid w:val="00CE161A"/>
    <w:rsid w:val="00CE3171"/>
    <w:rsid w:val="00CE79A7"/>
    <w:rsid w:val="00CF1601"/>
    <w:rsid w:val="00CF3455"/>
    <w:rsid w:val="00CF4DCE"/>
    <w:rsid w:val="00D0172F"/>
    <w:rsid w:val="00D05EDE"/>
    <w:rsid w:val="00D068A7"/>
    <w:rsid w:val="00D16F7D"/>
    <w:rsid w:val="00D17476"/>
    <w:rsid w:val="00D32086"/>
    <w:rsid w:val="00D36771"/>
    <w:rsid w:val="00D37A3F"/>
    <w:rsid w:val="00D4431D"/>
    <w:rsid w:val="00D4667A"/>
    <w:rsid w:val="00D6385B"/>
    <w:rsid w:val="00D63A1C"/>
    <w:rsid w:val="00D7516F"/>
    <w:rsid w:val="00D77F48"/>
    <w:rsid w:val="00D84093"/>
    <w:rsid w:val="00D8579F"/>
    <w:rsid w:val="00D87913"/>
    <w:rsid w:val="00D95F8E"/>
    <w:rsid w:val="00DA0590"/>
    <w:rsid w:val="00DA34F2"/>
    <w:rsid w:val="00DA4310"/>
    <w:rsid w:val="00DA5A42"/>
    <w:rsid w:val="00DB43B8"/>
    <w:rsid w:val="00DB7BEA"/>
    <w:rsid w:val="00DC1739"/>
    <w:rsid w:val="00DC1788"/>
    <w:rsid w:val="00DC6246"/>
    <w:rsid w:val="00DD1EBF"/>
    <w:rsid w:val="00DE174F"/>
    <w:rsid w:val="00DE319C"/>
    <w:rsid w:val="00DE4E4A"/>
    <w:rsid w:val="00DF0CA8"/>
    <w:rsid w:val="00DF2B48"/>
    <w:rsid w:val="00DF49A7"/>
    <w:rsid w:val="00E07EE2"/>
    <w:rsid w:val="00E07FD1"/>
    <w:rsid w:val="00E11B27"/>
    <w:rsid w:val="00E23CCA"/>
    <w:rsid w:val="00E24573"/>
    <w:rsid w:val="00E25E1E"/>
    <w:rsid w:val="00E27EE7"/>
    <w:rsid w:val="00E35404"/>
    <w:rsid w:val="00E445F2"/>
    <w:rsid w:val="00E45109"/>
    <w:rsid w:val="00E47B7A"/>
    <w:rsid w:val="00E56A44"/>
    <w:rsid w:val="00E60269"/>
    <w:rsid w:val="00E63363"/>
    <w:rsid w:val="00E72638"/>
    <w:rsid w:val="00E733D5"/>
    <w:rsid w:val="00E77932"/>
    <w:rsid w:val="00E81D8D"/>
    <w:rsid w:val="00E97830"/>
    <w:rsid w:val="00EA3A83"/>
    <w:rsid w:val="00EC5D17"/>
    <w:rsid w:val="00EC6FAC"/>
    <w:rsid w:val="00EC7C31"/>
    <w:rsid w:val="00EE201E"/>
    <w:rsid w:val="00EE643C"/>
    <w:rsid w:val="00EF0683"/>
    <w:rsid w:val="00EF69D2"/>
    <w:rsid w:val="00EF766E"/>
    <w:rsid w:val="00F0070C"/>
    <w:rsid w:val="00F00EB7"/>
    <w:rsid w:val="00F05CFC"/>
    <w:rsid w:val="00F2744E"/>
    <w:rsid w:val="00F36AB6"/>
    <w:rsid w:val="00F36E63"/>
    <w:rsid w:val="00F37A09"/>
    <w:rsid w:val="00F37BDE"/>
    <w:rsid w:val="00F409CE"/>
    <w:rsid w:val="00F43313"/>
    <w:rsid w:val="00F4379D"/>
    <w:rsid w:val="00F44F76"/>
    <w:rsid w:val="00F50D2D"/>
    <w:rsid w:val="00F54C79"/>
    <w:rsid w:val="00F56C8B"/>
    <w:rsid w:val="00F663DD"/>
    <w:rsid w:val="00F66810"/>
    <w:rsid w:val="00F73C85"/>
    <w:rsid w:val="00F74038"/>
    <w:rsid w:val="00F846D9"/>
    <w:rsid w:val="00F84DF4"/>
    <w:rsid w:val="00F85C97"/>
    <w:rsid w:val="00FA1C3C"/>
    <w:rsid w:val="00FB37D2"/>
    <w:rsid w:val="00FC02F0"/>
    <w:rsid w:val="00FC4EFB"/>
    <w:rsid w:val="00FC6028"/>
    <w:rsid w:val="00FD068D"/>
    <w:rsid w:val="00FD281C"/>
    <w:rsid w:val="00FD4F28"/>
    <w:rsid w:val="00FD67E7"/>
    <w:rsid w:val="00FE4223"/>
    <w:rsid w:val="00FE45C5"/>
    <w:rsid w:val="00FE6784"/>
    <w:rsid w:val="00FE7E34"/>
    <w:rsid w:val="00FF4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styleId="Hyperlink">
    <w:name w:val="Hyperlink"/>
    <w:basedOn w:val="DefaultParagraphFont"/>
    <w:uiPriority w:val="99"/>
    <w:unhideWhenUsed/>
    <w:rsid w:val="00993872"/>
    <w:rPr>
      <w:color w:val="0000FF" w:themeColor="hyperlink"/>
      <w:u w:val="single"/>
    </w:rPr>
  </w:style>
  <w:style w:type="paragraph" w:customStyle="1" w:styleId="ParaNoNdepar-AltN">
    <w:name w:val="Para. No. / Nº de par. - Alt N"/>
    <w:qFormat/>
    <w:rsid w:val="0079696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733D5"/>
    <w:pPr>
      <w:spacing w:after="480"/>
    </w:pPr>
    <w:rPr>
      <w:rFonts w:eastAsiaTheme="minorHAnsi" w:cstheme="minorBidi"/>
      <w:szCs w:val="22"/>
      <w:lang w:eastAsia="en-US"/>
    </w:rPr>
  </w:style>
  <w:style w:type="paragraph" w:customStyle="1" w:styleId="SCCCoram">
    <w:name w:val="SCC.Coram"/>
    <w:basedOn w:val="Normal"/>
    <w:next w:val="Normal"/>
    <w:link w:val="SCCCoramChar"/>
    <w:rsid w:val="00E733D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33D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33D5"/>
    <w:rPr>
      <w:rFonts w:eastAsiaTheme="minorHAnsi" w:cstheme="minorBidi"/>
      <w:sz w:val="24"/>
      <w:szCs w:val="22"/>
      <w:lang w:eastAsia="en-US"/>
    </w:rPr>
  </w:style>
  <w:style w:type="character" w:customStyle="1" w:styleId="SCCBanSummaryChar">
    <w:name w:val="SCC.BanSummary Char"/>
    <w:basedOn w:val="DefaultParagraphFont"/>
    <w:link w:val="SCCBanSummary"/>
    <w:rsid w:val="00E733D5"/>
    <w:rPr>
      <w:b/>
      <w:sz w:val="24"/>
    </w:rPr>
  </w:style>
  <w:style w:type="table" w:styleId="TableGrid">
    <w:name w:val="Table Grid"/>
    <w:basedOn w:val="TableNormal"/>
    <w:uiPriority w:val="59"/>
    <w:rsid w:val="00E733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733D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733D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733D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733D5"/>
    <w:pPr>
      <w:tabs>
        <w:tab w:val="left" w:pos="360"/>
      </w:tabs>
      <w:spacing w:before="480" w:after="720"/>
      <w:ind w:left="360" w:hanging="360"/>
      <w:jc w:val="both"/>
    </w:pPr>
    <w:rPr>
      <w:rFonts w:eastAsiaTheme="minorHAnsi" w:cstheme="minorBidi"/>
      <w:sz w:val="24"/>
      <w:szCs w:val="22"/>
      <w:lang w:eastAsia="en-US"/>
    </w:rPr>
  </w:style>
  <w:style w:type="paragraph" w:styleId="Quote">
    <w:name w:val="Quote"/>
    <w:basedOn w:val="Normal"/>
    <w:next w:val="Normal"/>
    <w:link w:val="QuoteChar"/>
    <w:uiPriority w:val="29"/>
    <w:qFormat/>
    <w:rsid w:val="00E733D5"/>
    <w:pPr>
      <w:spacing w:before="240" w:after="360"/>
      <w:ind w:left="720"/>
      <w:jc w:val="both"/>
    </w:pPr>
    <w:rPr>
      <w:rFonts w:eastAsiaTheme="minorEastAsia" w:cstheme="minorBidi"/>
      <w:iCs/>
      <w:szCs w:val="22"/>
      <w:lang w:val="en-US" w:eastAsia="en-US" w:bidi="en-US"/>
    </w:rPr>
  </w:style>
  <w:style w:type="character" w:customStyle="1" w:styleId="QuoteChar">
    <w:name w:val="Quote Char"/>
    <w:basedOn w:val="DefaultParagraphFont"/>
    <w:link w:val="Quote"/>
    <w:uiPriority w:val="29"/>
    <w:rsid w:val="00E733D5"/>
    <w:rPr>
      <w:rFonts w:eastAsiaTheme="minorEastAsia" w:cstheme="minorBidi"/>
      <w:iCs/>
      <w:sz w:val="24"/>
      <w:szCs w:val="22"/>
      <w:lang w:val="en-US" w:eastAsia="en-US" w:bidi="en-US"/>
    </w:rPr>
  </w:style>
  <w:style w:type="paragraph" w:styleId="EndnoteText">
    <w:name w:val="endnote text"/>
    <w:basedOn w:val="Normal"/>
    <w:link w:val="EndnoteTextChar"/>
    <w:uiPriority w:val="99"/>
    <w:semiHidden/>
    <w:unhideWhenUsed/>
    <w:rsid w:val="00E733D5"/>
    <w:rPr>
      <w:sz w:val="20"/>
    </w:rPr>
  </w:style>
  <w:style w:type="character" w:customStyle="1" w:styleId="EndnoteTextChar">
    <w:name w:val="Endnote Text Char"/>
    <w:basedOn w:val="DefaultParagraphFont"/>
    <w:link w:val="EndnoteText"/>
    <w:uiPriority w:val="99"/>
    <w:semiHidden/>
    <w:rsid w:val="00E733D5"/>
  </w:style>
  <w:style w:type="character" w:styleId="EndnoteReference">
    <w:name w:val="endnote reference"/>
    <w:basedOn w:val="DefaultParagraphFont"/>
    <w:uiPriority w:val="99"/>
    <w:semiHidden/>
    <w:unhideWhenUsed/>
    <w:rsid w:val="00E733D5"/>
    <w:rPr>
      <w:vertAlign w:val="superscript"/>
    </w:rPr>
  </w:style>
  <w:style w:type="paragraph" w:styleId="FootnoteText">
    <w:name w:val="footnote text"/>
    <w:basedOn w:val="Normal"/>
    <w:link w:val="FootnoteTextChar"/>
    <w:uiPriority w:val="99"/>
    <w:unhideWhenUsed/>
    <w:rsid w:val="00E733D5"/>
    <w:rPr>
      <w:sz w:val="20"/>
    </w:rPr>
  </w:style>
  <w:style w:type="character" w:customStyle="1" w:styleId="FootnoteTextChar">
    <w:name w:val="Footnote Text Char"/>
    <w:basedOn w:val="DefaultParagraphFont"/>
    <w:link w:val="FootnoteText"/>
    <w:uiPriority w:val="99"/>
    <w:rsid w:val="00E733D5"/>
  </w:style>
  <w:style w:type="character" w:styleId="FootnoteReference">
    <w:name w:val="footnote reference"/>
    <w:basedOn w:val="DefaultParagraphFont"/>
    <w:uiPriority w:val="99"/>
    <w:semiHidden/>
    <w:unhideWhenUsed/>
    <w:rsid w:val="00E733D5"/>
    <w:rPr>
      <w:vertAlign w:val="superscript"/>
    </w:rPr>
  </w:style>
  <w:style w:type="paragraph" w:styleId="DocumentMap">
    <w:name w:val="Document Map"/>
    <w:basedOn w:val="Normal"/>
    <w:link w:val="DocumentMapChar"/>
    <w:uiPriority w:val="99"/>
    <w:semiHidden/>
    <w:unhideWhenUsed/>
    <w:rsid w:val="00E733D5"/>
    <w:rPr>
      <w:rFonts w:ascii="Tahoma" w:hAnsi="Tahoma" w:cs="Tahoma"/>
      <w:sz w:val="16"/>
      <w:szCs w:val="16"/>
    </w:rPr>
  </w:style>
  <w:style w:type="character" w:customStyle="1" w:styleId="DocumentMapChar">
    <w:name w:val="Document Map Char"/>
    <w:basedOn w:val="DefaultParagraphFont"/>
    <w:link w:val="DocumentMap"/>
    <w:uiPriority w:val="99"/>
    <w:semiHidden/>
    <w:rsid w:val="00E733D5"/>
    <w:rPr>
      <w:rFonts w:ascii="Tahoma" w:hAnsi="Tahoma" w:cs="Tahoma"/>
      <w:sz w:val="16"/>
      <w:szCs w:val="16"/>
    </w:rPr>
  </w:style>
  <w:style w:type="paragraph" w:styleId="TOC3">
    <w:name w:val="toc 3"/>
    <w:basedOn w:val="Normal"/>
    <w:next w:val="Normal"/>
    <w:autoRedefine/>
    <w:uiPriority w:val="39"/>
    <w:unhideWhenUsed/>
    <w:rsid w:val="00E733D5"/>
    <w:pPr>
      <w:spacing w:after="100"/>
      <w:ind w:left="475"/>
      <w:jc w:val="both"/>
    </w:pPr>
    <w:rPr>
      <w:lang w:val="en-US"/>
    </w:rPr>
  </w:style>
  <w:style w:type="paragraph" w:styleId="ListParagraph">
    <w:name w:val="List Paragraph"/>
    <w:basedOn w:val="Normal"/>
    <w:uiPriority w:val="34"/>
    <w:rsid w:val="00E733D5"/>
    <w:pPr>
      <w:ind w:left="720"/>
      <w:contextualSpacing/>
    </w:pPr>
  </w:style>
</w:styles>
</file>

<file path=word/webSettings.xml><?xml version="1.0" encoding="utf-8"?>
<w:webSettings xmlns:r="http://schemas.openxmlformats.org/officeDocument/2006/relationships" xmlns:w="http://schemas.openxmlformats.org/wordprocessingml/2006/main">
  <w:divs>
    <w:div w:id="834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AA74-E863-438B-B0FB-B0019D52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9432</Words>
  <Characters>52081</Characters>
  <Application>Microsoft Office Word</Application>
  <DocSecurity>0</DocSecurity>
  <Lines>434</Lines>
  <Paragraphs>122</Paragraphs>
  <ScaleCrop>false</ScaleCrop>
  <LinksUpToDate>false</LinksUpToDate>
  <CharactersWithSpaces>61391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2013-01-30T15:23:00Z</dcterms:created>
  <dcterms:modified xsi:type="dcterms:W3CDTF">2013-07-26T14:46:00Z</dcterms:modified>
</cp:coreProperties>
</file>