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32" w:rsidRDefault="00195532" w:rsidP="0019553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8" o:title=""/>
          </v:shape>
          <o:OLEObject Type="Embed" ProgID="Presentations.Drawing.13" ShapeID="_x0000_i1025" DrawAspect="Content" ObjectID="_1486456660" r:id="rId9"/>
        </w:object>
      </w:r>
      <w:r>
        <w:t xml:space="preserve"> </w:t>
      </w:r>
      <w:r>
        <w:ptab w:relativeTo="margin" w:alignment="right" w:leader="none"/>
      </w:r>
    </w:p>
    <w:p w:rsidR="00195532" w:rsidRDefault="00195532" w:rsidP="00195532">
      <w:pPr>
        <w:pStyle w:val="Header"/>
      </w:pPr>
    </w:p>
    <w:p w:rsidR="00195532" w:rsidRPr="006B210C" w:rsidRDefault="00195532" w:rsidP="00195532">
      <w:pPr>
        <w:jc w:val="center"/>
        <w:rPr>
          <w:b/>
        </w:rPr>
      </w:pPr>
      <w:r w:rsidRPr="006B210C">
        <w:rPr>
          <w:b/>
        </w:rPr>
        <w:t>SUPREME COURT OF CANADA</w:t>
      </w:r>
    </w:p>
    <w:p w:rsidR="00195532" w:rsidRDefault="00195532" w:rsidP="0019553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95532" w:rsidRPr="006B210C" w:rsidTr="002B419E">
        <w:trPr>
          <w:cantSplit/>
        </w:trPr>
        <w:tc>
          <w:tcPr>
            <w:tcW w:w="6768" w:type="dxa"/>
          </w:tcPr>
          <w:p w:rsidR="00195532" w:rsidRPr="006B210C" w:rsidRDefault="00195532" w:rsidP="002B419E">
            <w:r w:rsidRPr="006B210C">
              <w:rPr>
                <w:b/>
                <w:smallCaps/>
              </w:rPr>
              <w:t>Citation</w:t>
            </w:r>
            <w:r>
              <w:rPr>
                <w:b/>
                <w:smallCaps/>
              </w:rPr>
              <w:t>:</w:t>
            </w:r>
            <w:r w:rsidRPr="006B210C">
              <w:t xml:space="preserve"> </w:t>
            </w:r>
            <w:r w:rsidRPr="00984F5A">
              <w:t xml:space="preserve">Amex Bank of Canada </w:t>
            </w:r>
            <w:r w:rsidRPr="00984F5A">
              <w:rPr>
                <w:i/>
              </w:rPr>
              <w:t>v.</w:t>
            </w:r>
            <w:r w:rsidRPr="00984F5A">
              <w:t xml:space="preserve"> Adams</w:t>
            </w:r>
            <w:r>
              <w:t>, 2014 SCC 56, [2014] 2 S.C.R. 787</w:t>
            </w:r>
          </w:p>
        </w:tc>
        <w:tc>
          <w:tcPr>
            <w:tcW w:w="2808" w:type="dxa"/>
          </w:tcPr>
          <w:p w:rsidR="00195532" w:rsidRPr="006B210C" w:rsidRDefault="00195532" w:rsidP="002B419E">
            <w:r w:rsidRPr="006B210C">
              <w:rPr>
                <w:b/>
                <w:smallCaps/>
              </w:rPr>
              <w:t>Date</w:t>
            </w:r>
            <w:r>
              <w:rPr>
                <w:b/>
                <w:smallCaps/>
              </w:rPr>
              <w:t>:</w:t>
            </w:r>
            <w:r w:rsidRPr="006B210C">
              <w:t xml:space="preserve"> </w:t>
            </w:r>
            <w:r>
              <w:t>20140919</w:t>
            </w:r>
          </w:p>
          <w:p w:rsidR="00195532" w:rsidRPr="006B210C" w:rsidRDefault="00195532" w:rsidP="002B419E">
            <w:r w:rsidRPr="006B210C">
              <w:rPr>
                <w:b/>
                <w:smallCaps/>
              </w:rPr>
              <w:t>Docket</w:t>
            </w:r>
            <w:r>
              <w:rPr>
                <w:b/>
                <w:smallCaps/>
              </w:rPr>
              <w:t>:</w:t>
            </w:r>
            <w:r w:rsidRPr="006B210C">
              <w:t xml:space="preserve"> </w:t>
            </w:r>
            <w:r>
              <w:t>35033</w:t>
            </w:r>
          </w:p>
        </w:tc>
      </w:tr>
    </w:tbl>
    <w:p w:rsidR="00195532" w:rsidRPr="006B210C" w:rsidRDefault="00195532" w:rsidP="00195532"/>
    <w:p w:rsidR="00195532" w:rsidRDefault="00195532" w:rsidP="00195532">
      <w:pPr>
        <w:pStyle w:val="SCCLsocPrefix"/>
      </w:pPr>
      <w:r>
        <w:t>Between:</w:t>
      </w:r>
    </w:p>
    <w:p w:rsidR="00195532" w:rsidRDefault="00195532" w:rsidP="00195532">
      <w:pPr>
        <w:pStyle w:val="SCCLsocParty"/>
        <w:jc w:val="center"/>
      </w:pPr>
      <w:r>
        <w:t>Amex Bank of Canada</w:t>
      </w:r>
    </w:p>
    <w:p w:rsidR="00195532" w:rsidRDefault="00195532" w:rsidP="00195532">
      <w:pPr>
        <w:jc w:val="center"/>
      </w:pPr>
      <w:r>
        <w:t>Appellant</w:t>
      </w:r>
    </w:p>
    <w:p w:rsidR="00195532" w:rsidRDefault="00195532" w:rsidP="00195532">
      <w:pPr>
        <w:pStyle w:val="SCCLsocVersus"/>
        <w:spacing w:after="0"/>
        <w:jc w:val="center"/>
      </w:pPr>
      <w:proofErr w:type="gramStart"/>
      <w:r>
        <w:t>and</w:t>
      </w:r>
      <w:proofErr w:type="gramEnd"/>
    </w:p>
    <w:p w:rsidR="00195532" w:rsidRDefault="00195532" w:rsidP="00195532">
      <w:pPr>
        <w:pStyle w:val="SCCLsocParty"/>
        <w:jc w:val="center"/>
      </w:pPr>
      <w:r>
        <w:t>Sylvan Adams, Attorney General of Quebec and</w:t>
      </w:r>
    </w:p>
    <w:p w:rsidR="00195532" w:rsidRPr="00D51A73" w:rsidRDefault="00195532" w:rsidP="00195532">
      <w:pPr>
        <w:pStyle w:val="SCCLsocParty"/>
        <w:jc w:val="center"/>
        <w:rPr>
          <w:lang w:val="fr-CA"/>
        </w:rPr>
      </w:pPr>
      <w:r w:rsidRPr="00D51A73">
        <w:rPr>
          <w:lang w:val="fr-CA"/>
        </w:rPr>
        <w:t>Président de l’Office de la protection du consommateur</w:t>
      </w:r>
    </w:p>
    <w:p w:rsidR="00195532" w:rsidRDefault="00195532" w:rsidP="00195532">
      <w:pPr>
        <w:jc w:val="center"/>
      </w:pPr>
      <w:r>
        <w:t>Respondents</w:t>
      </w:r>
    </w:p>
    <w:p w:rsidR="00195532" w:rsidRDefault="00195532" w:rsidP="00195532">
      <w:pPr>
        <w:pStyle w:val="SCCLsocOtherPartySeparator"/>
        <w:spacing w:after="0"/>
        <w:jc w:val="center"/>
      </w:pPr>
      <w:r>
        <w:t xml:space="preserve">- </w:t>
      </w:r>
      <w:proofErr w:type="gramStart"/>
      <w:r>
        <w:t>and</w:t>
      </w:r>
      <w:proofErr w:type="gramEnd"/>
      <w:r>
        <w:t xml:space="preserve"> -</w:t>
      </w:r>
    </w:p>
    <w:p w:rsidR="00195532" w:rsidRDefault="00195532" w:rsidP="00195532">
      <w:pPr>
        <w:pStyle w:val="SCCLsocParty"/>
        <w:jc w:val="center"/>
      </w:pPr>
      <w:r>
        <w:t>Attorney General of Canada, Attorney General of Ontario,</w:t>
      </w:r>
    </w:p>
    <w:p w:rsidR="00195532" w:rsidRDefault="00195532" w:rsidP="00195532">
      <w:pPr>
        <w:pStyle w:val="SCCLsocParty"/>
        <w:jc w:val="center"/>
      </w:pPr>
      <w:r>
        <w:t>Attorney General of Alberta and Canadian Bankers Association</w:t>
      </w:r>
    </w:p>
    <w:p w:rsidR="00195532" w:rsidRDefault="00195532" w:rsidP="00195532">
      <w:pPr>
        <w:jc w:val="center"/>
      </w:pPr>
      <w:r>
        <w:t>Interveners</w:t>
      </w:r>
    </w:p>
    <w:p w:rsidR="00195532" w:rsidRDefault="00195532" w:rsidP="00195532"/>
    <w:p w:rsidR="00195532" w:rsidRPr="006B210C" w:rsidRDefault="00195532" w:rsidP="00195532"/>
    <w:p w:rsidR="00195532" w:rsidRPr="006B210C" w:rsidRDefault="00195532" w:rsidP="00195532">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and Wagner JJ.</w:t>
      </w:r>
    </w:p>
    <w:p w:rsidR="00195532" w:rsidRPr="006B210C" w:rsidRDefault="00195532" w:rsidP="0019553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95532" w:rsidRPr="006B210C" w:rsidTr="002B419E">
        <w:trPr>
          <w:cantSplit/>
        </w:trPr>
        <w:tc>
          <w:tcPr>
            <w:tcW w:w="3618" w:type="dxa"/>
          </w:tcPr>
          <w:p w:rsidR="00195532" w:rsidRDefault="00195532" w:rsidP="002B419E">
            <w:pPr>
              <w:rPr>
                <w:b/>
                <w:smallCaps/>
              </w:rPr>
            </w:pPr>
            <w:r>
              <w:rPr>
                <w:b/>
                <w:smallCaps/>
              </w:rPr>
              <w:t xml:space="preserve">Joint </w:t>
            </w:r>
            <w:r w:rsidRPr="006B210C">
              <w:rPr>
                <w:b/>
                <w:smallCaps/>
              </w:rPr>
              <w:t>Reasons for Judgment</w:t>
            </w:r>
            <w:r>
              <w:rPr>
                <w:b/>
                <w:smallCaps/>
              </w:rPr>
              <w:t>:</w:t>
            </w:r>
          </w:p>
          <w:p w:rsidR="00195532" w:rsidRPr="006B210C" w:rsidRDefault="00195532" w:rsidP="002B419E">
            <w:r>
              <w:t>(</w:t>
            </w:r>
            <w:proofErr w:type="spellStart"/>
            <w:r>
              <w:t>paras</w:t>
            </w:r>
            <w:proofErr w:type="spellEnd"/>
            <w:r>
              <w:t>. 1 to 40)</w:t>
            </w:r>
          </w:p>
        </w:tc>
        <w:tc>
          <w:tcPr>
            <w:tcW w:w="5958" w:type="dxa"/>
          </w:tcPr>
          <w:p w:rsidR="00195532" w:rsidRPr="006B210C" w:rsidRDefault="00195532" w:rsidP="002B419E">
            <w:r>
              <w:t>Rothstein and Wagner JJ.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Cromwell and </w:t>
            </w:r>
            <w:proofErr w:type="spellStart"/>
            <w:r>
              <w:t>Moldaver</w:t>
            </w:r>
            <w:proofErr w:type="spellEnd"/>
            <w:r>
              <w:t xml:space="preserve"> JJ. concurring)</w:t>
            </w:r>
          </w:p>
        </w:tc>
      </w:tr>
    </w:tbl>
    <w:p w:rsidR="00195532" w:rsidRDefault="00195532" w:rsidP="00195532"/>
    <w:p w:rsidR="00195532" w:rsidRPr="006B210C" w:rsidRDefault="00195532" w:rsidP="00195532">
      <w:r w:rsidRPr="00944387">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95532" w:rsidRDefault="00195532" w:rsidP="00A11E3B">
      <w:pPr>
        <w:spacing w:after="720"/>
        <w:jc w:val="both"/>
        <w:rPr>
          <w:smallCaps/>
        </w:rPr>
      </w:pPr>
    </w:p>
    <w:p w:rsidR="008322BD" w:rsidRPr="007D5F2B" w:rsidRDefault="00B915A6" w:rsidP="00A11E3B">
      <w:pPr>
        <w:spacing w:after="720"/>
        <w:jc w:val="both"/>
      </w:pPr>
      <w:proofErr w:type="spellStart"/>
      <w:r w:rsidRPr="007D5F2B">
        <w:rPr>
          <w:smallCaps/>
        </w:rPr>
        <w:t>a</w:t>
      </w:r>
      <w:r w:rsidR="008F78E9" w:rsidRPr="007D5F2B">
        <w:rPr>
          <w:smallCaps/>
        </w:rPr>
        <w:t>mex</w:t>
      </w:r>
      <w:proofErr w:type="spellEnd"/>
      <w:r w:rsidR="008F78E9" w:rsidRPr="007D5F2B">
        <w:rPr>
          <w:smallCaps/>
        </w:rPr>
        <w:t xml:space="preserve"> </w:t>
      </w:r>
      <w:r w:rsidRPr="007D5F2B">
        <w:rPr>
          <w:smallCaps/>
        </w:rPr>
        <w:t>b</w:t>
      </w:r>
      <w:r w:rsidR="008F78E9" w:rsidRPr="007D5F2B">
        <w:rPr>
          <w:smallCaps/>
        </w:rPr>
        <w:t xml:space="preserve">ank of </w:t>
      </w:r>
      <w:proofErr w:type="spellStart"/>
      <w:r w:rsidRPr="007D5F2B">
        <w:rPr>
          <w:smallCaps/>
        </w:rPr>
        <w:t>c</w:t>
      </w:r>
      <w:r w:rsidR="008F78E9" w:rsidRPr="007D5F2B">
        <w:rPr>
          <w:smallCaps/>
        </w:rPr>
        <w:t>anada</w:t>
      </w:r>
      <w:proofErr w:type="spellEnd"/>
      <w:r w:rsidR="00480C90" w:rsidRPr="007D5F2B">
        <w:t xml:space="preserve"> </w:t>
      </w:r>
      <w:r w:rsidR="009B57B3" w:rsidRPr="007D5F2B">
        <w:rPr>
          <w:i/>
        </w:rPr>
        <w:t>v.</w:t>
      </w:r>
      <w:r w:rsidR="00B000D8" w:rsidRPr="007D5F2B">
        <w:t xml:space="preserve"> </w:t>
      </w:r>
      <w:proofErr w:type="spellStart"/>
      <w:r w:rsidRPr="007D5F2B">
        <w:rPr>
          <w:smallCaps/>
        </w:rPr>
        <w:t>a</w:t>
      </w:r>
      <w:r w:rsidR="008F78E9" w:rsidRPr="007D5F2B">
        <w:rPr>
          <w:smallCaps/>
        </w:rPr>
        <w:t>dams</w:t>
      </w:r>
      <w:proofErr w:type="spellEnd"/>
      <w:r w:rsidR="00A047A1">
        <w:rPr>
          <w:smallCaps/>
        </w:rPr>
        <w:t xml:space="preserve">, </w:t>
      </w:r>
      <w:r w:rsidR="00A047A1" w:rsidRPr="007D5F2B">
        <w:t>2014 SCC</w:t>
      </w:r>
      <w:r w:rsidR="00A047A1">
        <w:t xml:space="preserve"> </w:t>
      </w:r>
      <w:r w:rsidR="00A047A1" w:rsidRPr="007D5F2B">
        <w:t>56</w:t>
      </w:r>
      <w:r w:rsidR="00A047A1">
        <w:t>, [2014] 2 S.C.R. 787</w:t>
      </w:r>
    </w:p>
    <w:p w:rsidR="005236F2" w:rsidRPr="007D5F2B" w:rsidRDefault="00A62D3E" w:rsidP="00A11E3B">
      <w:pPr>
        <w:pStyle w:val="SCCLsocLastPartyInRole"/>
      </w:pPr>
      <w:r w:rsidRPr="007D5F2B">
        <w:t>Amex Bank of Canada</w:t>
      </w:r>
      <w:r w:rsidRPr="007D5F2B">
        <w:rPr>
          <w:rStyle w:val="SCCLsocPartyRole"/>
        </w:rPr>
        <w:tab/>
        <w:t>Appellant</w:t>
      </w:r>
    </w:p>
    <w:p w:rsidR="005236F2" w:rsidRPr="007D5F2B" w:rsidRDefault="00A62D3E" w:rsidP="00A11E3B">
      <w:pPr>
        <w:pStyle w:val="SCCLsocVersus"/>
      </w:pPr>
      <w:r w:rsidRPr="007D5F2B">
        <w:t>v.</w:t>
      </w:r>
    </w:p>
    <w:p w:rsidR="005236F2" w:rsidRPr="007D5F2B" w:rsidRDefault="00A62D3E">
      <w:pPr>
        <w:pStyle w:val="SCCLsocParty"/>
      </w:pPr>
      <w:r w:rsidRPr="007D5F2B">
        <w:t>Sylvan Adams,</w:t>
      </w:r>
      <w:r w:rsidR="00B915A6" w:rsidRPr="007D5F2B">
        <w:t xml:space="preserve"> </w:t>
      </w:r>
      <w:r w:rsidRPr="007D5F2B">
        <w:t>Attorney General of Quebec</w:t>
      </w:r>
      <w:r w:rsidR="00B915A6" w:rsidRPr="007D5F2B">
        <w:t xml:space="preserve"> and </w:t>
      </w:r>
    </w:p>
    <w:p w:rsidR="005236F2" w:rsidRPr="007D5F2B" w:rsidRDefault="00F13840" w:rsidP="00A11E3B">
      <w:pPr>
        <w:pStyle w:val="SCCLsocLastPartyInRole"/>
        <w:rPr>
          <w:lang w:val="fr-CA"/>
        </w:rPr>
      </w:pPr>
      <w:r>
        <w:rPr>
          <w:lang w:val="fr-CA"/>
        </w:rPr>
        <w:lastRenderedPageBreak/>
        <w:t xml:space="preserve">President of the </w:t>
      </w:r>
      <w:r w:rsidR="00A62D3E" w:rsidRPr="007D5F2B">
        <w:rPr>
          <w:lang w:val="fr-CA"/>
        </w:rPr>
        <w:t>Office de la protection du consommateur</w:t>
      </w:r>
      <w:r w:rsidR="00A62D3E" w:rsidRPr="007D5F2B">
        <w:rPr>
          <w:rStyle w:val="SCCLsocPartyRole"/>
          <w:lang w:val="fr-CA"/>
        </w:rPr>
        <w:tab/>
        <w:t>Respondents</w:t>
      </w:r>
    </w:p>
    <w:p w:rsidR="005236F2" w:rsidRPr="007D5F2B" w:rsidRDefault="00A62D3E" w:rsidP="00A11E3B">
      <w:pPr>
        <w:pStyle w:val="SCCLsocOtherPartySeparator"/>
      </w:pPr>
      <w:r w:rsidRPr="007D5F2B">
        <w:t>and</w:t>
      </w:r>
    </w:p>
    <w:p w:rsidR="00B915A6" w:rsidRPr="007D5F2B" w:rsidRDefault="00A62D3E">
      <w:pPr>
        <w:pStyle w:val="SCCLsocParty"/>
      </w:pPr>
      <w:r w:rsidRPr="007D5F2B">
        <w:t>Attorney General of Canada,</w:t>
      </w:r>
      <w:r w:rsidR="00B915A6" w:rsidRPr="007D5F2B">
        <w:t xml:space="preserve"> </w:t>
      </w:r>
      <w:r w:rsidRPr="007D5F2B">
        <w:t xml:space="preserve">Attorney General of </w:t>
      </w:r>
    </w:p>
    <w:p w:rsidR="00B915A6" w:rsidRPr="007D5F2B" w:rsidRDefault="00A62D3E" w:rsidP="00B915A6">
      <w:pPr>
        <w:pStyle w:val="SCCLsocParty"/>
      </w:pPr>
      <w:r w:rsidRPr="007D5F2B">
        <w:t>Ontario,</w:t>
      </w:r>
      <w:r w:rsidR="00B915A6" w:rsidRPr="007D5F2B">
        <w:t xml:space="preserve"> </w:t>
      </w:r>
      <w:r w:rsidRPr="007D5F2B">
        <w:t>Attorney General of Alberta</w:t>
      </w:r>
      <w:r w:rsidR="00B915A6" w:rsidRPr="007D5F2B">
        <w:t xml:space="preserve"> and </w:t>
      </w:r>
    </w:p>
    <w:p w:rsidR="005236F2" w:rsidRPr="007D5F2B" w:rsidRDefault="00A62D3E" w:rsidP="00A11E3B">
      <w:pPr>
        <w:pStyle w:val="SCCLsocParty"/>
        <w:spacing w:after="720"/>
      </w:pPr>
      <w:r w:rsidRPr="007D5F2B">
        <w:t>Canadian Bankers Association</w:t>
      </w:r>
      <w:r w:rsidRPr="007D5F2B">
        <w:rPr>
          <w:rStyle w:val="SCCLsocPartyRole"/>
        </w:rPr>
        <w:tab/>
        <w:t>Interveners</w:t>
      </w:r>
    </w:p>
    <w:p w:rsidR="00426659" w:rsidRPr="007D5F2B" w:rsidRDefault="00426659" w:rsidP="00A11E3B">
      <w:pPr>
        <w:spacing w:after="720"/>
        <w:jc w:val="both"/>
        <w:rPr>
          <w:b/>
        </w:rPr>
      </w:pPr>
      <w:r w:rsidRPr="007D5F2B">
        <w:rPr>
          <w:b/>
        </w:rPr>
        <w:t>Indexed as:</w:t>
      </w:r>
      <w:r w:rsidR="00CB089D">
        <w:rPr>
          <w:b/>
        </w:rPr>
        <w:t xml:space="preserve"> </w:t>
      </w:r>
      <w:r w:rsidRPr="007D5F2B">
        <w:rPr>
          <w:b/>
        </w:rPr>
        <w:t xml:space="preserve">Amex Bank of Canada </w:t>
      </w:r>
      <w:r w:rsidRPr="007D5F2B">
        <w:rPr>
          <w:b/>
          <w:i/>
        </w:rPr>
        <w:t>v.</w:t>
      </w:r>
      <w:r w:rsidRPr="007D5F2B">
        <w:rPr>
          <w:b/>
        </w:rPr>
        <w:t xml:space="preserve"> Adams</w:t>
      </w:r>
    </w:p>
    <w:p w:rsidR="00426659" w:rsidRPr="007D5F2B" w:rsidRDefault="004F36FF" w:rsidP="00A11E3B">
      <w:pPr>
        <w:pStyle w:val="SCCSystemYear"/>
        <w:spacing w:after="720"/>
        <w:jc w:val="both"/>
      </w:pPr>
      <w:r w:rsidRPr="007D5F2B">
        <w:t>2014</w:t>
      </w:r>
      <w:r w:rsidR="003D0399" w:rsidRPr="007D5F2B">
        <w:t xml:space="preserve"> </w:t>
      </w:r>
      <w:r w:rsidR="00310ABF" w:rsidRPr="007D5F2B">
        <w:t>SCC</w:t>
      </w:r>
      <w:r w:rsidR="00CB089D">
        <w:t xml:space="preserve"> </w:t>
      </w:r>
      <w:r w:rsidR="00310ABF" w:rsidRPr="007D5F2B">
        <w:t>56</w:t>
      </w:r>
    </w:p>
    <w:p w:rsidR="008322BD" w:rsidRPr="007D5F2B" w:rsidRDefault="009B57B3" w:rsidP="00A11E3B">
      <w:pPr>
        <w:spacing w:after="720"/>
        <w:jc w:val="both"/>
      </w:pPr>
      <w:r w:rsidRPr="007D5F2B">
        <w:t>File No.:</w:t>
      </w:r>
      <w:r w:rsidR="00CB089D">
        <w:t xml:space="preserve"> </w:t>
      </w:r>
      <w:r w:rsidRPr="007D5F2B">
        <w:t>35033.</w:t>
      </w:r>
    </w:p>
    <w:p w:rsidR="008322BD" w:rsidRPr="007D5F2B" w:rsidRDefault="000074EA" w:rsidP="00A11E3B">
      <w:pPr>
        <w:spacing w:after="720"/>
        <w:jc w:val="both"/>
      </w:pPr>
      <w:r w:rsidRPr="007D5F2B">
        <w:t>2014:</w:t>
      </w:r>
      <w:r w:rsidR="00CB089D">
        <w:t xml:space="preserve"> </w:t>
      </w:r>
      <w:r w:rsidRPr="007D5F2B">
        <w:t>February</w:t>
      </w:r>
      <w:r w:rsidR="00CB089D">
        <w:t xml:space="preserve"> </w:t>
      </w:r>
      <w:r w:rsidR="004F36FF" w:rsidRPr="007D5F2B">
        <w:t>13</w:t>
      </w:r>
      <w:r w:rsidRPr="007D5F2B">
        <w:t>; 2014:</w:t>
      </w:r>
      <w:r w:rsidR="00CB089D">
        <w:t xml:space="preserve"> </w:t>
      </w:r>
      <w:r w:rsidRPr="007D5F2B">
        <w:t>September</w:t>
      </w:r>
      <w:r w:rsidR="00CB089D">
        <w:t xml:space="preserve"> </w:t>
      </w:r>
      <w:r w:rsidR="00051F88" w:rsidRPr="007D5F2B">
        <w:t>19</w:t>
      </w:r>
      <w:r w:rsidR="009B57B3" w:rsidRPr="007D5F2B">
        <w:t>.</w:t>
      </w:r>
    </w:p>
    <w:p w:rsidR="008322BD" w:rsidRPr="007D5F2B" w:rsidRDefault="009B57B3" w:rsidP="00A11E3B">
      <w:pPr>
        <w:spacing w:after="720"/>
        <w:jc w:val="both"/>
      </w:pPr>
      <w:r w:rsidRPr="007D5F2B">
        <w:t>Present:</w:t>
      </w:r>
      <w:r w:rsidR="00CB089D">
        <w:t xml:space="preserve"> </w:t>
      </w:r>
      <w:proofErr w:type="spellStart"/>
      <w:r w:rsidRPr="007D5F2B">
        <w:t>McLachlin</w:t>
      </w:r>
      <w:proofErr w:type="spellEnd"/>
      <w:r w:rsidR="00CB089D">
        <w:t xml:space="preserve"> </w:t>
      </w:r>
      <w:r w:rsidRPr="007D5F2B">
        <w:t xml:space="preserve">C.J. and </w:t>
      </w:r>
      <w:proofErr w:type="spellStart"/>
      <w:r w:rsidRPr="007D5F2B">
        <w:t>LeBel</w:t>
      </w:r>
      <w:proofErr w:type="spellEnd"/>
      <w:r w:rsidRPr="007D5F2B">
        <w:t xml:space="preserve">, </w:t>
      </w:r>
      <w:proofErr w:type="spellStart"/>
      <w:r w:rsidRPr="007D5F2B">
        <w:t>Abella</w:t>
      </w:r>
      <w:proofErr w:type="spellEnd"/>
      <w:r w:rsidRPr="007D5F2B">
        <w:t xml:space="preserve">, Rothstein, Cromwell, </w:t>
      </w:r>
      <w:proofErr w:type="spellStart"/>
      <w:r w:rsidRPr="007D5F2B">
        <w:t>Moldaver</w:t>
      </w:r>
      <w:proofErr w:type="spellEnd"/>
      <w:r w:rsidRPr="007D5F2B">
        <w:t xml:space="preserve"> and Wagner</w:t>
      </w:r>
      <w:r w:rsidR="00CB089D">
        <w:t xml:space="preserve"> </w:t>
      </w:r>
      <w:r w:rsidRPr="007D5F2B">
        <w:t>JJ.</w:t>
      </w:r>
    </w:p>
    <w:p w:rsidR="008322BD" w:rsidRPr="007D5F2B" w:rsidRDefault="00656313" w:rsidP="00A11E3B">
      <w:pPr>
        <w:pStyle w:val="SCCLowerCourtNameLowercase"/>
        <w:spacing w:after="720" w:line="240" w:lineRule="auto"/>
      </w:pPr>
      <w:r w:rsidRPr="007D5F2B">
        <w:t>o</w:t>
      </w:r>
      <w:r w:rsidR="00170592" w:rsidRPr="007D5F2B">
        <w:t>n</w:t>
      </w:r>
      <w:r w:rsidR="00224FC0" w:rsidRPr="007D5F2B">
        <w:t xml:space="preserve"> </w:t>
      </w:r>
      <w:r w:rsidRPr="007D5F2B">
        <w:t>a</w:t>
      </w:r>
      <w:r w:rsidR="00170592" w:rsidRPr="007D5F2B">
        <w:t>ppeal</w:t>
      </w:r>
      <w:r w:rsidR="00224FC0" w:rsidRPr="007D5F2B">
        <w:t xml:space="preserve"> </w:t>
      </w:r>
      <w:r w:rsidR="00170592" w:rsidRPr="007D5F2B">
        <w:t>from</w:t>
      </w:r>
      <w:r w:rsidR="009567AA" w:rsidRPr="007D5F2B">
        <w:t xml:space="preserve"> the</w:t>
      </w:r>
      <w:r w:rsidR="00224FC0" w:rsidRPr="007D5F2B">
        <w:t xml:space="preserve"> </w:t>
      </w:r>
      <w:r w:rsidR="009B57B3" w:rsidRPr="007D5F2B">
        <w:t xml:space="preserve">court of appeal </w:t>
      </w:r>
      <w:r w:rsidR="00B915A6" w:rsidRPr="007D5F2B">
        <w:t>for quebec</w:t>
      </w:r>
    </w:p>
    <w:p w:rsidR="009B0368" w:rsidRPr="007D5F2B" w:rsidRDefault="009B0368" w:rsidP="009B0368">
      <w:pPr>
        <w:pStyle w:val="SCCNormalDoubleSpacing"/>
        <w:spacing w:after="480"/>
        <w:rPr>
          <w:i/>
        </w:rPr>
      </w:pPr>
      <w:r w:rsidRPr="007D5F2B">
        <w:tab/>
      </w:r>
      <w:r w:rsidR="000731C8">
        <w:rPr>
          <w:i/>
        </w:rPr>
        <w:t>Consumer p</w:t>
      </w:r>
      <w:r w:rsidRPr="007D5F2B">
        <w:rPr>
          <w:i/>
        </w:rPr>
        <w:t xml:space="preserve">rotection — Contracts of credit — Contracts extending variable credit — Credit and charge cards — Obligation to disclose costs in contract — Appropriate remedy for failing to disclose — Conversion charges imposed by financial institutions on cardholders for transactions in foreign currencies — Class actions — Whether Amex failed to disclose conversion charges to cardholders — Whether reimbursement of conversion charges collected from consumer class </w:t>
      </w:r>
      <w:r w:rsidRPr="007D5F2B">
        <w:rPr>
          <w:i/>
        </w:rPr>
        <w:lastRenderedPageBreak/>
        <w:t>members should be ordered — Consumer Protection Act</w:t>
      </w:r>
      <w:r w:rsidR="00E16AD9" w:rsidRPr="007D5F2B">
        <w:rPr>
          <w:i/>
        </w:rPr>
        <w:t>, CQLR, c.</w:t>
      </w:r>
      <w:r w:rsidR="00CB089D">
        <w:rPr>
          <w:i/>
        </w:rPr>
        <w:t xml:space="preserve"> </w:t>
      </w:r>
      <w:r w:rsidR="00E16AD9" w:rsidRPr="007D5F2B">
        <w:rPr>
          <w:i/>
        </w:rPr>
        <w:t>P</w:t>
      </w:r>
      <w:r w:rsidR="00CB089D">
        <w:rPr>
          <w:i/>
        </w:rPr>
        <w:t>-</w:t>
      </w:r>
      <w:r w:rsidR="00E16AD9" w:rsidRPr="007D5F2B">
        <w:rPr>
          <w:i/>
        </w:rPr>
        <w:t xml:space="preserve">40.1, </w:t>
      </w:r>
      <w:r w:rsidR="007D5F2B">
        <w:rPr>
          <w:i/>
        </w:rPr>
        <w:t>ss.</w:t>
      </w:r>
      <w:r w:rsidR="00CB089D">
        <w:rPr>
          <w:i/>
        </w:rPr>
        <w:t xml:space="preserve"> </w:t>
      </w:r>
      <w:r w:rsidRPr="007D5F2B">
        <w:rPr>
          <w:i/>
        </w:rPr>
        <w:t>12, 272.</w:t>
      </w:r>
    </w:p>
    <w:p w:rsidR="009B0368" w:rsidRPr="007D5F2B" w:rsidRDefault="009B0368" w:rsidP="009B0368">
      <w:pPr>
        <w:pStyle w:val="SCCNormalDoubleSpacing"/>
        <w:spacing w:after="480"/>
        <w:rPr>
          <w:i/>
        </w:rPr>
      </w:pPr>
      <w:r w:rsidRPr="007D5F2B">
        <w:rPr>
          <w:i/>
        </w:rPr>
        <w:tab/>
        <w:t>Receipt of a payment not due — Contracts of credit — Credit and charge cards — Payment made in error — Class actions — Whether cardholder agreements imposed obligation to pay conversion charges — Whether Amex owes restitution of conversion charges to non</w:t>
      </w:r>
      <w:r w:rsidR="00CB089D">
        <w:rPr>
          <w:i/>
        </w:rPr>
        <w:t>-</w:t>
      </w:r>
      <w:r w:rsidRPr="007D5F2B">
        <w:rPr>
          <w:i/>
        </w:rPr>
        <w:t>consumer class members — Whether restitution would have the effect of according adhering parties with undue advantag</w:t>
      </w:r>
      <w:r w:rsidR="00E16AD9" w:rsidRPr="007D5F2B">
        <w:rPr>
          <w:i/>
        </w:rPr>
        <w:t>e — Civil Code of Québec, arts.</w:t>
      </w:r>
      <w:r w:rsidR="00CB089D">
        <w:rPr>
          <w:i/>
        </w:rPr>
        <w:t xml:space="preserve"> </w:t>
      </w:r>
      <w:r w:rsidRPr="007D5F2B">
        <w:rPr>
          <w:i/>
        </w:rPr>
        <w:t>1491, 1492, 1554, 1699.</w:t>
      </w:r>
    </w:p>
    <w:p w:rsidR="009B0368" w:rsidRPr="007D5F2B" w:rsidRDefault="009B0368" w:rsidP="009B0368">
      <w:pPr>
        <w:pStyle w:val="SCCNormalDoubleSpacing"/>
        <w:spacing w:after="480"/>
        <w:rPr>
          <w:i/>
        </w:rPr>
      </w:pPr>
      <w:r w:rsidRPr="007D5F2B">
        <w:rPr>
          <w:i/>
        </w:rPr>
        <w:tab/>
        <w:t>Constitutional law — Division of powers — Banking — Interjurisdictional immunity — Federal paramountcy — Quebec</w:t>
      </w:r>
      <w:r w:rsidR="00D60211">
        <w:rPr>
          <w:i/>
        </w:rPr>
        <w:t>’</w:t>
      </w:r>
      <w:r w:rsidRPr="007D5F2B">
        <w:rPr>
          <w:i/>
        </w:rPr>
        <w:t>s consumer protection legislation regulating disclosure of conversion charges with respect to contracts of credit — Whether provincial legislation constitutionally inapplicable or inoperative in respect of bank</w:t>
      </w:r>
      <w:r w:rsidR="00CB089D">
        <w:rPr>
          <w:i/>
        </w:rPr>
        <w:t>-</w:t>
      </w:r>
      <w:r w:rsidRPr="007D5F2B">
        <w:rPr>
          <w:i/>
        </w:rPr>
        <w:t xml:space="preserve">issued credit and charge cards by virtue of doctrine of interjurisdictional immunity or federal paramountcy — </w:t>
      </w:r>
      <w:r w:rsidR="00E16AD9" w:rsidRPr="007D5F2B">
        <w:rPr>
          <w:i/>
        </w:rPr>
        <w:t>Constitution Act, 1867, s.</w:t>
      </w:r>
      <w:r w:rsidR="00CB089D">
        <w:rPr>
          <w:i/>
        </w:rPr>
        <w:t xml:space="preserve"> </w:t>
      </w:r>
      <w:r w:rsidRPr="007D5F2B">
        <w:rPr>
          <w:i/>
        </w:rPr>
        <w:t>91(15)</w:t>
      </w:r>
      <w:r w:rsidR="0068485A">
        <w:rPr>
          <w:i/>
        </w:rPr>
        <w:t xml:space="preserve"> —</w:t>
      </w:r>
      <w:r w:rsidRPr="007D5F2B">
        <w:rPr>
          <w:i/>
        </w:rPr>
        <w:t xml:space="preserve"> Consumer Protection Act</w:t>
      </w:r>
      <w:r w:rsidR="00E16AD9" w:rsidRPr="007D5F2B">
        <w:rPr>
          <w:i/>
        </w:rPr>
        <w:t>, CQLR, c.</w:t>
      </w:r>
      <w:r w:rsidR="00CB089D">
        <w:rPr>
          <w:i/>
        </w:rPr>
        <w:t xml:space="preserve"> </w:t>
      </w:r>
      <w:r w:rsidR="00E16AD9" w:rsidRPr="007D5F2B">
        <w:rPr>
          <w:i/>
        </w:rPr>
        <w:t>P</w:t>
      </w:r>
      <w:r w:rsidR="00CB089D">
        <w:rPr>
          <w:i/>
        </w:rPr>
        <w:t>-</w:t>
      </w:r>
      <w:r w:rsidR="00E16AD9" w:rsidRPr="007D5F2B">
        <w:rPr>
          <w:i/>
        </w:rPr>
        <w:t xml:space="preserve">40.1, </w:t>
      </w:r>
      <w:r w:rsidR="007D5F2B">
        <w:rPr>
          <w:i/>
        </w:rPr>
        <w:t>ss.</w:t>
      </w:r>
      <w:r w:rsidR="00CB089D">
        <w:rPr>
          <w:i/>
        </w:rPr>
        <w:t xml:space="preserve"> </w:t>
      </w:r>
      <w:r w:rsidRPr="007D5F2B">
        <w:rPr>
          <w:i/>
        </w:rPr>
        <w:t>12, 272.</w:t>
      </w:r>
    </w:p>
    <w:p w:rsidR="009B0368" w:rsidRPr="007D5F2B" w:rsidRDefault="009B0368" w:rsidP="009B0368">
      <w:pPr>
        <w:pStyle w:val="SCCNormalDoubleSpacing"/>
        <w:spacing w:after="480"/>
      </w:pPr>
      <w:r w:rsidRPr="007D5F2B">
        <w:tab/>
        <w:t>Amex</w:t>
      </w:r>
      <w:r w:rsidR="00D60211">
        <w:t>’</w:t>
      </w:r>
      <w:r w:rsidRPr="007D5F2B">
        <w:t>s credit and charge cards offer the ability to make purchases in foreign currencies. Such purchases are subject to a conversion charge, whereby a percentage of the converted amount is charged as a fee for the conversion service. Quebec</w:t>
      </w:r>
      <w:r w:rsidR="00D60211">
        <w:t>’</w:t>
      </w:r>
      <w:r w:rsidRPr="007D5F2B">
        <w:t xml:space="preserve">s </w:t>
      </w:r>
      <w:r w:rsidRPr="007D5F2B">
        <w:rPr>
          <w:i/>
        </w:rPr>
        <w:t>Consumer Protection Act</w:t>
      </w:r>
      <w:r w:rsidRPr="007D5F2B">
        <w:t xml:space="preserve"> (“</w:t>
      </w:r>
      <w:r w:rsidRPr="007D5F2B">
        <w:rPr>
          <w:i/>
        </w:rPr>
        <w:t>CPA</w:t>
      </w:r>
      <w:r w:rsidRPr="007D5F2B">
        <w:t>”) imposes various rules on the content and disclosure of charges and fees in contracts extending variable credit.</w:t>
      </w:r>
      <w:r w:rsidR="00CB089D">
        <w:t xml:space="preserve"> </w:t>
      </w:r>
      <w:r w:rsidRPr="007D5F2B">
        <w:t>The conversion charge was not disclosed in Amex</w:t>
      </w:r>
      <w:r w:rsidR="00D60211">
        <w:t>’</w:t>
      </w:r>
      <w:r w:rsidRPr="007D5F2B">
        <w:t>s cardholder agreements between 1993 and 2003.</w:t>
      </w:r>
      <w:r w:rsidR="00CB089D">
        <w:t xml:space="preserve"> </w:t>
      </w:r>
      <w:r w:rsidRPr="007D5F2B">
        <w:lastRenderedPageBreak/>
        <w:t xml:space="preserve">A, the representative plaintiff, filed a class action against Amex to seek repayment of the conversion charges imposed by Amex on credit or charge card purchases made in foreign currencies on the basis that the conversion charges violated the </w:t>
      </w:r>
      <w:r w:rsidRPr="007D5F2B">
        <w:rPr>
          <w:i/>
        </w:rPr>
        <w:t xml:space="preserve">CPA </w:t>
      </w:r>
      <w:r w:rsidRPr="007D5F2B">
        <w:t xml:space="preserve">and the </w:t>
      </w:r>
      <w:r w:rsidRPr="007D5F2B">
        <w:rPr>
          <w:i/>
        </w:rPr>
        <w:t>Civil Code of Québec</w:t>
      </w:r>
      <w:r w:rsidRPr="007D5F2B">
        <w:t xml:space="preserve"> provisions.</w:t>
      </w:r>
      <w:r w:rsidR="00CB089D">
        <w:t xml:space="preserve"> </w:t>
      </w:r>
      <w:r w:rsidRPr="007D5F2B">
        <w:t>The class at issue in this action includes both consumer and non</w:t>
      </w:r>
      <w:r w:rsidR="00CB089D">
        <w:t>-</w:t>
      </w:r>
      <w:r w:rsidRPr="007D5F2B">
        <w:t>consumer cardholders of both credit and charge cards.</w:t>
      </w:r>
      <w:r w:rsidR="00CB089D">
        <w:t xml:space="preserve"> </w:t>
      </w:r>
      <w:r w:rsidRPr="007D5F2B">
        <w:t xml:space="preserve">Amex argued that the </w:t>
      </w:r>
      <w:r w:rsidRPr="007D5F2B">
        <w:rPr>
          <w:i/>
        </w:rPr>
        <w:t>CPA</w:t>
      </w:r>
      <w:r w:rsidRPr="007D5F2B">
        <w:t xml:space="preserve"> is constitutionally inapplicable to a bank such as Amex and that no repayment of the conversion charges is owed.</w:t>
      </w:r>
      <w:r w:rsidR="00CB089D">
        <w:t xml:space="preserve"> </w:t>
      </w:r>
      <w:r w:rsidRPr="007D5F2B">
        <w:t>The Superior Court maintained the class action and condemned Amex to reimburse the conversion charges collected from all cardholders between 1993 and 2003.</w:t>
      </w:r>
      <w:r w:rsidR="00CB089D">
        <w:t xml:space="preserve"> </w:t>
      </w:r>
      <w:r w:rsidRPr="007D5F2B">
        <w:t>The Court of Appeal allowed the appeal but only to the extent of overturning the trial judge</w:t>
      </w:r>
      <w:r w:rsidR="00D60211">
        <w:t>’</w:t>
      </w:r>
      <w:r w:rsidRPr="007D5F2B">
        <w:t>s decision to award punitive damages.</w:t>
      </w:r>
    </w:p>
    <w:p w:rsidR="009B0368" w:rsidRPr="007D5F2B" w:rsidRDefault="009B0368" w:rsidP="009B0368">
      <w:pPr>
        <w:pStyle w:val="SCCNormalDoubleSpacing"/>
        <w:spacing w:after="480"/>
      </w:pPr>
      <w:r w:rsidRPr="007D5F2B">
        <w:tab/>
      </w:r>
      <w:r w:rsidRPr="007D5F2B">
        <w:rPr>
          <w:i/>
        </w:rPr>
        <w:t>Held</w:t>
      </w:r>
      <w:r w:rsidRPr="007D5F2B">
        <w:t>:</w:t>
      </w:r>
      <w:r w:rsidR="00CB089D">
        <w:t xml:space="preserve"> </w:t>
      </w:r>
      <w:r w:rsidRPr="007D5F2B">
        <w:t>The appeal should be dismissed.</w:t>
      </w:r>
    </w:p>
    <w:p w:rsidR="009B0368" w:rsidRPr="007D5F2B" w:rsidRDefault="009B0368" w:rsidP="009B0368">
      <w:pPr>
        <w:pStyle w:val="SCCNormalDoubleSpacing"/>
        <w:spacing w:after="480"/>
      </w:pPr>
      <w:r w:rsidRPr="007D5F2B">
        <w:tab/>
        <w:t xml:space="preserve">For the reasons given in the companion case of </w:t>
      </w:r>
      <w:r w:rsidRPr="007D5F2B">
        <w:rPr>
          <w:i/>
        </w:rPr>
        <w:t>Bank of Montreal v. Marcotte</w:t>
      </w:r>
      <w:r w:rsidRPr="007D5F2B">
        <w:t xml:space="preserve">, 2014 SCC 55, </w:t>
      </w:r>
      <w:r w:rsidR="00C66A89">
        <w:t xml:space="preserve">[2014] 2 S.C.R. 726, </w:t>
      </w:r>
      <w:r w:rsidRPr="007D5F2B">
        <w:t xml:space="preserve">the relevant </w:t>
      </w:r>
      <w:r w:rsidRPr="007D5F2B">
        <w:rPr>
          <w:i/>
        </w:rPr>
        <w:t>CPA</w:t>
      </w:r>
      <w:r w:rsidRPr="007D5F2B">
        <w:t xml:space="preserve"> provisions are neither inapplicable nor inoperative under the doctrine of interjurisdictional immunity or federal paramountcy.</w:t>
      </w:r>
    </w:p>
    <w:p w:rsidR="009B0368" w:rsidRPr="007D5F2B" w:rsidRDefault="009B0368" w:rsidP="009B0368">
      <w:pPr>
        <w:pStyle w:val="SCCNormalDoubleSpacing"/>
        <w:spacing w:after="480"/>
      </w:pPr>
      <w:r w:rsidRPr="007D5F2B">
        <w:tab/>
        <w:t>The trial judge</w:t>
      </w:r>
      <w:r w:rsidR="00D60211">
        <w:t>’</w:t>
      </w:r>
      <w:r w:rsidRPr="007D5F2B">
        <w:t>s finding that the conversion charge was a separate fee rather than a component of the exchange rate was a determination of fact, or at most of mixed fact and law, and should therefore not be disturbed given the lack of any palpable and overriding error.</w:t>
      </w:r>
      <w:r w:rsidR="00CB089D">
        <w:t xml:space="preserve"> </w:t>
      </w:r>
      <w:r w:rsidRPr="007D5F2B">
        <w:t>As a result, Ame</w:t>
      </w:r>
      <w:r w:rsidR="00E16AD9" w:rsidRPr="007D5F2B">
        <w:t>x violated s.</w:t>
      </w:r>
      <w:r w:rsidR="00CB089D">
        <w:t xml:space="preserve"> </w:t>
      </w:r>
      <w:r w:rsidRPr="007D5F2B">
        <w:t xml:space="preserve">12 of the </w:t>
      </w:r>
      <w:r w:rsidRPr="007D5F2B">
        <w:rPr>
          <w:i/>
        </w:rPr>
        <w:t xml:space="preserve">CPA </w:t>
      </w:r>
      <w:r w:rsidR="00E16AD9" w:rsidRPr="007D5F2B">
        <w:t xml:space="preserve">and must, </w:t>
      </w:r>
      <w:r w:rsidR="00E16AD9" w:rsidRPr="007D5F2B">
        <w:lastRenderedPageBreak/>
        <w:t>under s.</w:t>
      </w:r>
      <w:r w:rsidR="00CB089D">
        <w:t xml:space="preserve"> </w:t>
      </w:r>
      <w:r w:rsidRPr="007D5F2B">
        <w:t>272(</w:t>
      </w:r>
      <w:r w:rsidRPr="007D5F2B">
        <w:rPr>
          <w:i/>
        </w:rPr>
        <w:t>c</w:t>
      </w:r>
      <w:r w:rsidRPr="007D5F2B">
        <w:t>) of that Act, reimburse the conversion charges collected from the consumer class members between 1993 and 2003 as described by the trial judge.</w:t>
      </w:r>
    </w:p>
    <w:p w:rsidR="009B0368" w:rsidRPr="007D5F2B" w:rsidRDefault="009B0368" w:rsidP="009B0368">
      <w:pPr>
        <w:pStyle w:val="SCCNormalDoubleSpacing"/>
        <w:spacing w:after="480"/>
      </w:pPr>
      <w:r w:rsidRPr="007D5F2B">
        <w:tab/>
        <w:t>With respect to the non</w:t>
      </w:r>
      <w:r w:rsidR="00CB089D">
        <w:t>-</w:t>
      </w:r>
      <w:r w:rsidRPr="007D5F2B">
        <w:t xml:space="preserve">consumer class members, the </w:t>
      </w:r>
      <w:r w:rsidRPr="007D5F2B">
        <w:rPr>
          <w:i/>
        </w:rPr>
        <w:t>CPA</w:t>
      </w:r>
      <w:r w:rsidRPr="007D5F2B">
        <w:t xml:space="preserve"> does not apply.</w:t>
      </w:r>
      <w:r w:rsidR="00CB089D">
        <w:t xml:space="preserve"> </w:t>
      </w:r>
      <w:r w:rsidRPr="007D5F2B">
        <w:t xml:space="preserve">Amex must instead restore the conversion charges under the </w:t>
      </w:r>
      <w:r w:rsidRPr="007D5F2B">
        <w:rPr>
          <w:i/>
        </w:rPr>
        <w:t>Civil Code of Québec</w:t>
      </w:r>
      <w:r w:rsidRPr="007D5F2B">
        <w:t>.</w:t>
      </w:r>
      <w:r w:rsidR="00CB089D">
        <w:t xml:space="preserve"> </w:t>
      </w:r>
      <w:r w:rsidRPr="007D5F2B">
        <w:t>The receipt of a payment not due provisions allow someone to recover an amount paid in excess by creating an obligation on the part of the party who received the amount paid without debt, to return that amount.</w:t>
      </w:r>
      <w:r w:rsidR="00CB089D">
        <w:t xml:space="preserve"> </w:t>
      </w:r>
      <w:r w:rsidRPr="007D5F2B">
        <w:t>Here, the evidence was clear that from 1993 to 2003 there was no reference in the cardholder agreement to the conversion charge because an “exchange rate determined by Amex” could not be understood as including such a charge, and therefore there was no obligation for cardholders to pay the conversion charge.</w:t>
      </w:r>
      <w:r w:rsidR="00CB089D">
        <w:t xml:space="preserve"> </w:t>
      </w:r>
      <w:r w:rsidRPr="007D5F2B">
        <w:t>All payments of the conversion charge by cardholders were therefore made in error and accordingly, Amex owes restitution of the conversion charges to the non</w:t>
      </w:r>
      <w:r w:rsidR="00CB089D">
        <w:t>-</w:t>
      </w:r>
      <w:r w:rsidRPr="007D5F2B">
        <w:t>consumer class members.</w:t>
      </w:r>
      <w:r w:rsidR="00CB089D">
        <w:t xml:space="preserve"> </w:t>
      </w:r>
      <w:proofErr w:type="gramStart"/>
      <w:r w:rsidRPr="007D5F2B">
        <w:t xml:space="preserve">The power to refuse </w:t>
      </w:r>
      <w:r w:rsidR="00E16AD9" w:rsidRPr="007D5F2B">
        <w:t xml:space="preserve">to grant restitution under </w:t>
      </w:r>
      <w:r w:rsidR="007D5F2B">
        <w:t>art.</w:t>
      </w:r>
      <w:proofErr w:type="gramEnd"/>
      <w:r w:rsidR="00CB089D">
        <w:t xml:space="preserve"> </w:t>
      </w:r>
      <w:proofErr w:type="gramStart"/>
      <w:r w:rsidRPr="007D5F2B">
        <w:t xml:space="preserve">1699 </w:t>
      </w:r>
      <w:proofErr w:type="spellStart"/>
      <w:r w:rsidR="007D5F2B">
        <w:t>para</w:t>
      </w:r>
      <w:proofErr w:type="spellEnd"/>
      <w:r w:rsidR="007D5F2B">
        <w:t>.</w:t>
      </w:r>
      <w:proofErr w:type="gramEnd"/>
      <w:r w:rsidR="00CB089D">
        <w:t xml:space="preserve"> </w:t>
      </w:r>
      <w:r w:rsidRPr="007D5F2B">
        <w:t xml:space="preserve">2 of the </w:t>
      </w:r>
      <w:r w:rsidRPr="007D5F2B">
        <w:rPr>
          <w:i/>
        </w:rPr>
        <w:t>C</w:t>
      </w:r>
      <w:r w:rsidR="00552130">
        <w:rPr>
          <w:i/>
        </w:rPr>
        <w:t>ode civil</w:t>
      </w:r>
      <w:r w:rsidRPr="007D5F2B">
        <w:rPr>
          <w:i/>
        </w:rPr>
        <w:t xml:space="preserve"> </w:t>
      </w:r>
      <w:r w:rsidRPr="007D5F2B">
        <w:t xml:space="preserve">if restitution would confer an undue advantage on one party </w:t>
      </w:r>
      <w:proofErr w:type="gramStart"/>
      <w:r w:rsidRPr="007D5F2B">
        <w:t>is</w:t>
      </w:r>
      <w:proofErr w:type="gramEnd"/>
      <w:r w:rsidRPr="007D5F2B">
        <w:t xml:space="preserve"> quite exceptional and must be exercised sparingly.</w:t>
      </w:r>
      <w:r w:rsidR="00CB089D">
        <w:t xml:space="preserve"> </w:t>
      </w:r>
      <w:r w:rsidRPr="007D5F2B">
        <w:t>In this case, nothing indicates that the trial judge acted improperly in refusing to exercise his discretion to not grant restitution.</w:t>
      </w:r>
    </w:p>
    <w:p w:rsidR="007E1C47" w:rsidRPr="007D5F2B" w:rsidRDefault="002E6705" w:rsidP="00A11E3B">
      <w:pPr>
        <w:pStyle w:val="SCCNormalDoubleSpacing"/>
        <w:spacing w:after="720" w:line="240" w:lineRule="auto"/>
        <w:rPr>
          <w:b/>
        </w:rPr>
      </w:pPr>
      <w:r w:rsidRPr="007D5F2B">
        <w:rPr>
          <w:b/>
        </w:rPr>
        <w:t>Cases Cited</w:t>
      </w:r>
    </w:p>
    <w:p w:rsidR="004E2C26" w:rsidRPr="007D5F2B" w:rsidRDefault="002E6705" w:rsidP="00283282">
      <w:pPr>
        <w:pStyle w:val="SCCNormalDoubleSpacing"/>
        <w:spacing w:after="480"/>
      </w:pPr>
      <w:r w:rsidRPr="007D5F2B">
        <w:tab/>
      </w:r>
      <w:r w:rsidR="00BE568D" w:rsidRPr="007D5F2B">
        <w:rPr>
          <w:b/>
        </w:rPr>
        <w:t>Applied:</w:t>
      </w:r>
      <w:r w:rsidR="00CB089D">
        <w:t xml:space="preserve"> </w:t>
      </w:r>
      <w:r w:rsidR="00A5111A" w:rsidRPr="007D5F2B">
        <w:rPr>
          <w:i/>
        </w:rPr>
        <w:t>Bank of Montreal v. Marcotte</w:t>
      </w:r>
      <w:r w:rsidR="00A5111A" w:rsidRPr="007D5F2B">
        <w:t>, 2014 SCC</w:t>
      </w:r>
      <w:r w:rsidR="00D7348C" w:rsidRPr="007D5F2B">
        <w:t xml:space="preserve"> 55</w:t>
      </w:r>
      <w:r w:rsidR="005077C1">
        <w:t>, [2014] 2 S.C.R. 726</w:t>
      </w:r>
      <w:r w:rsidR="00A5111A" w:rsidRPr="007D5F2B">
        <w:t xml:space="preserve">; </w:t>
      </w:r>
      <w:r w:rsidR="00BE568D" w:rsidRPr="007D5F2B">
        <w:rPr>
          <w:b/>
        </w:rPr>
        <w:t>referred to:</w:t>
      </w:r>
      <w:r w:rsidR="00CB089D">
        <w:t xml:space="preserve"> </w:t>
      </w:r>
      <w:proofErr w:type="spellStart"/>
      <w:r w:rsidR="00A5111A" w:rsidRPr="007D5F2B">
        <w:rPr>
          <w:i/>
        </w:rPr>
        <w:t>Marcotte</w:t>
      </w:r>
      <w:proofErr w:type="spellEnd"/>
      <w:r w:rsidR="00A5111A" w:rsidRPr="007D5F2B">
        <w:rPr>
          <w:i/>
        </w:rPr>
        <w:t xml:space="preserve"> v. </w:t>
      </w:r>
      <w:proofErr w:type="spellStart"/>
      <w:r w:rsidR="00A5111A" w:rsidRPr="007D5F2B">
        <w:rPr>
          <w:i/>
        </w:rPr>
        <w:t>Fédération</w:t>
      </w:r>
      <w:proofErr w:type="spellEnd"/>
      <w:r w:rsidR="00A5111A" w:rsidRPr="007D5F2B">
        <w:rPr>
          <w:i/>
        </w:rPr>
        <w:t xml:space="preserve"> des </w:t>
      </w:r>
      <w:proofErr w:type="spellStart"/>
      <w:r w:rsidR="00A5111A" w:rsidRPr="007D5F2B">
        <w:rPr>
          <w:i/>
        </w:rPr>
        <w:t>caisses</w:t>
      </w:r>
      <w:proofErr w:type="spellEnd"/>
      <w:r w:rsidR="00A5111A" w:rsidRPr="007D5F2B">
        <w:rPr>
          <w:i/>
        </w:rPr>
        <w:t xml:space="preserve"> Desjardins du Québec</w:t>
      </w:r>
      <w:r w:rsidR="00A5111A" w:rsidRPr="007D5F2B">
        <w:t xml:space="preserve">, 2014 SCC </w:t>
      </w:r>
      <w:r w:rsidR="00310ABF" w:rsidRPr="007D5F2B">
        <w:t>57</w:t>
      </w:r>
      <w:r w:rsidR="005077C1">
        <w:t xml:space="preserve">, [2014] 2 S.C.R. </w:t>
      </w:r>
      <w:r w:rsidR="00552130">
        <w:t>806</w:t>
      </w:r>
      <w:r w:rsidR="00A5111A" w:rsidRPr="007D5F2B">
        <w:t xml:space="preserve">; </w:t>
      </w:r>
      <w:r w:rsidR="005D2504" w:rsidRPr="007D5F2B">
        <w:rPr>
          <w:i/>
        </w:rPr>
        <w:t xml:space="preserve">Service aux </w:t>
      </w:r>
      <w:proofErr w:type="spellStart"/>
      <w:r w:rsidR="005D2504" w:rsidRPr="007D5F2B">
        <w:rPr>
          <w:i/>
        </w:rPr>
        <w:t>marchands</w:t>
      </w:r>
      <w:proofErr w:type="spellEnd"/>
      <w:r w:rsidR="005D2504" w:rsidRPr="007D5F2B">
        <w:rPr>
          <w:i/>
        </w:rPr>
        <w:t xml:space="preserve"> </w:t>
      </w:r>
      <w:proofErr w:type="spellStart"/>
      <w:r w:rsidR="005D2504" w:rsidRPr="007D5F2B">
        <w:rPr>
          <w:i/>
        </w:rPr>
        <w:t>détaillants</w:t>
      </w:r>
      <w:proofErr w:type="spellEnd"/>
      <w:r w:rsidR="005D2504" w:rsidRPr="007D5F2B">
        <w:rPr>
          <w:i/>
        </w:rPr>
        <w:t xml:space="preserve"> </w:t>
      </w:r>
      <w:proofErr w:type="spellStart"/>
      <w:r w:rsidR="005D2504" w:rsidRPr="007D5F2B">
        <w:rPr>
          <w:i/>
        </w:rPr>
        <w:t>ltée</w:t>
      </w:r>
      <w:proofErr w:type="spellEnd"/>
      <w:r w:rsidR="005D2504" w:rsidRPr="007D5F2B">
        <w:rPr>
          <w:i/>
        </w:rPr>
        <w:t xml:space="preserve"> (Household </w:t>
      </w:r>
      <w:r w:rsidR="005D2504" w:rsidRPr="007D5F2B">
        <w:rPr>
          <w:i/>
        </w:rPr>
        <w:lastRenderedPageBreak/>
        <w:t>Finance) v. Option consommateurs</w:t>
      </w:r>
      <w:r w:rsidR="005D2504" w:rsidRPr="007D5F2B">
        <w:t xml:space="preserve">, 2006 QCCA 1319 (CanLII), leave to appeal refused, [2007] 1 S.C.R. xi; </w:t>
      </w:r>
      <w:r w:rsidR="005D2504" w:rsidRPr="007D5F2B">
        <w:rPr>
          <w:i/>
        </w:rPr>
        <w:t>International Paper Co. v. Valeurs Trimont Ltée</w:t>
      </w:r>
      <w:r w:rsidR="005D2504" w:rsidRPr="007D5F2B">
        <w:t>, [1989] R.J.Q. 1187.</w:t>
      </w:r>
    </w:p>
    <w:p w:rsidR="003B215F" w:rsidRPr="007D5F2B" w:rsidRDefault="002E6705" w:rsidP="00A11E3B">
      <w:pPr>
        <w:pStyle w:val="SCCNormalDoubleSpacing"/>
        <w:spacing w:after="720" w:line="240" w:lineRule="auto"/>
      </w:pPr>
      <w:r w:rsidRPr="007D5F2B">
        <w:rPr>
          <w:b/>
        </w:rPr>
        <w:t>Statutes and Regulations Cite</w:t>
      </w:r>
      <w:r w:rsidR="00A41805" w:rsidRPr="007D5F2B">
        <w:rPr>
          <w:b/>
        </w:rPr>
        <w:t>d</w:t>
      </w:r>
    </w:p>
    <w:p w:rsidR="00A149DF" w:rsidRPr="007D5F2B" w:rsidRDefault="005D2504" w:rsidP="00283282">
      <w:pPr>
        <w:pStyle w:val="SCCNormalDoubleSpacing"/>
        <w:spacing w:after="240" w:line="240" w:lineRule="auto"/>
        <w:ind w:left="539" w:hanging="539"/>
      </w:pPr>
      <w:r w:rsidRPr="007D5F2B">
        <w:rPr>
          <w:i/>
        </w:rPr>
        <w:t>Bank Act</w:t>
      </w:r>
      <w:r w:rsidRPr="007D5F2B">
        <w:t>, S.C. 1991, c.</w:t>
      </w:r>
      <w:r w:rsidR="00CB089D">
        <w:t xml:space="preserve"> </w:t>
      </w:r>
      <w:r w:rsidRPr="007D5F2B">
        <w:t>46, s.</w:t>
      </w:r>
      <w:r w:rsidR="00CB089D">
        <w:t xml:space="preserve"> </w:t>
      </w:r>
      <w:r w:rsidRPr="007D5F2B">
        <w:t>452(2</w:t>
      </w:r>
      <w:proofErr w:type="gramStart"/>
      <w:r w:rsidRPr="007D5F2B">
        <w:t>)(</w:t>
      </w:r>
      <w:proofErr w:type="gramEnd"/>
      <w:r w:rsidRPr="007D5F2B">
        <w:rPr>
          <w:i/>
        </w:rPr>
        <w:t>c</w:t>
      </w:r>
      <w:r w:rsidRPr="007D5F2B">
        <w:t>)</w:t>
      </w:r>
      <w:r w:rsidR="009F45BA">
        <w:t>, Schedule II</w:t>
      </w:r>
      <w:r w:rsidRPr="007D5F2B">
        <w:t>.</w:t>
      </w:r>
    </w:p>
    <w:p w:rsidR="005D2504" w:rsidRPr="007D5F2B" w:rsidRDefault="005D2504" w:rsidP="00283282">
      <w:pPr>
        <w:pStyle w:val="SCCNormalDoubleSpacing"/>
        <w:spacing w:after="240" w:line="240" w:lineRule="auto"/>
        <w:ind w:left="539" w:hanging="539"/>
      </w:pPr>
      <w:r w:rsidRPr="007D5F2B">
        <w:rPr>
          <w:i/>
        </w:rPr>
        <w:t>Civil Code of Québec</w:t>
      </w:r>
      <w:r w:rsidRPr="007D5F2B">
        <w:t>, arts. 1422, 1491, 1492, 1554, 1699.</w:t>
      </w:r>
    </w:p>
    <w:p w:rsidR="005D2504" w:rsidRPr="007D5F2B" w:rsidRDefault="005D2504" w:rsidP="00A11E3B">
      <w:pPr>
        <w:pStyle w:val="SCCNormalDoubleSpacing"/>
        <w:spacing w:after="720" w:line="240" w:lineRule="auto"/>
        <w:ind w:left="540" w:hanging="540"/>
      </w:pPr>
      <w:proofErr w:type="gramStart"/>
      <w:r w:rsidRPr="007D5F2B">
        <w:rPr>
          <w:i/>
        </w:rPr>
        <w:t>Consumer Protection Act</w:t>
      </w:r>
      <w:r w:rsidRPr="007D5F2B">
        <w:t>, CQLR,</w:t>
      </w:r>
      <w:r w:rsidR="00E16AD9" w:rsidRPr="007D5F2B">
        <w:t xml:space="preserve"> c.</w:t>
      </w:r>
      <w:r w:rsidR="00CB089D">
        <w:t xml:space="preserve"> </w:t>
      </w:r>
      <w:r w:rsidRPr="007D5F2B">
        <w:t>P</w:t>
      </w:r>
      <w:r w:rsidR="00CB089D">
        <w:t>-</w:t>
      </w:r>
      <w:r w:rsidRPr="007D5F2B">
        <w:t xml:space="preserve">40.1, </w:t>
      </w:r>
      <w:r w:rsidR="007D5F2B">
        <w:t>ss.</w:t>
      </w:r>
      <w:r w:rsidR="00CB089D">
        <w:t xml:space="preserve"> </w:t>
      </w:r>
      <w:r w:rsidRPr="007D5F2B">
        <w:t>12, 219, 271, 272.</w:t>
      </w:r>
      <w:proofErr w:type="gramEnd"/>
    </w:p>
    <w:p w:rsidR="002E6705" w:rsidRPr="000731C8" w:rsidRDefault="002E6705" w:rsidP="00A11E3B">
      <w:pPr>
        <w:pStyle w:val="SCCNormalDoubleSpacing"/>
        <w:spacing w:after="720" w:line="240" w:lineRule="auto"/>
        <w:rPr>
          <w:b/>
          <w:lang w:val="fr-CA"/>
        </w:rPr>
      </w:pPr>
      <w:proofErr w:type="spellStart"/>
      <w:r w:rsidRPr="000731C8">
        <w:rPr>
          <w:b/>
          <w:lang w:val="fr-CA"/>
        </w:rPr>
        <w:t>Authors</w:t>
      </w:r>
      <w:proofErr w:type="spellEnd"/>
      <w:r w:rsidRPr="000731C8">
        <w:rPr>
          <w:b/>
          <w:lang w:val="fr-CA"/>
        </w:rPr>
        <w:t xml:space="preserve"> </w:t>
      </w:r>
      <w:proofErr w:type="spellStart"/>
      <w:r w:rsidRPr="000731C8">
        <w:rPr>
          <w:b/>
          <w:lang w:val="fr-CA"/>
        </w:rPr>
        <w:t>Cited</w:t>
      </w:r>
      <w:proofErr w:type="spellEnd"/>
    </w:p>
    <w:p w:rsidR="005D2504" w:rsidRPr="007D5F2B" w:rsidRDefault="00650B39" w:rsidP="00283282">
      <w:pPr>
        <w:pStyle w:val="SCCNormalDoubleSpacing"/>
        <w:spacing w:after="240" w:line="240" w:lineRule="auto"/>
        <w:ind w:left="539" w:hanging="539"/>
        <w:rPr>
          <w:lang w:val="fr-CA"/>
        </w:rPr>
      </w:pPr>
      <w:r w:rsidRPr="007D5F2B">
        <w:rPr>
          <w:lang w:val="fr-CA"/>
        </w:rPr>
        <w:t>Baudouin, Jean</w:t>
      </w:r>
      <w:r w:rsidR="00CB089D">
        <w:rPr>
          <w:lang w:val="fr-CA"/>
        </w:rPr>
        <w:t>-</w:t>
      </w:r>
      <w:r w:rsidRPr="007D5F2B">
        <w:rPr>
          <w:lang w:val="fr-CA"/>
        </w:rPr>
        <w:t>Louis, et Pierre</w:t>
      </w:r>
      <w:r w:rsidR="00CB089D">
        <w:rPr>
          <w:lang w:val="fr-CA"/>
        </w:rPr>
        <w:t>-</w:t>
      </w:r>
      <w:r w:rsidRPr="007D5F2B">
        <w:rPr>
          <w:lang w:val="fr-CA"/>
        </w:rPr>
        <w:t xml:space="preserve">Gabriel </w:t>
      </w:r>
      <w:proofErr w:type="spellStart"/>
      <w:r w:rsidRPr="007D5F2B">
        <w:rPr>
          <w:lang w:val="fr-CA"/>
        </w:rPr>
        <w:t>Jobin</w:t>
      </w:r>
      <w:proofErr w:type="spellEnd"/>
      <w:r w:rsidRPr="007D5F2B">
        <w:rPr>
          <w:lang w:val="fr-CA"/>
        </w:rPr>
        <w:t>.</w:t>
      </w:r>
      <w:r w:rsidR="00CB089D">
        <w:rPr>
          <w:lang w:val="fr-CA"/>
        </w:rPr>
        <w:t xml:space="preserve"> </w:t>
      </w:r>
      <w:r w:rsidRPr="007D5F2B">
        <w:rPr>
          <w:i/>
          <w:lang w:val="fr-CA"/>
        </w:rPr>
        <w:t>Les obligations</w:t>
      </w:r>
      <w:r w:rsidRPr="007D5F2B">
        <w:rPr>
          <w:lang w:val="fr-CA"/>
        </w:rPr>
        <w:t>, 7</w:t>
      </w:r>
      <w:r w:rsidRPr="007D5F2B">
        <w:rPr>
          <w:vertAlign w:val="superscript"/>
          <w:lang w:val="fr-CA"/>
        </w:rPr>
        <w:t>e</w:t>
      </w:r>
      <w:r w:rsidRPr="007D5F2B">
        <w:rPr>
          <w:lang w:val="fr-CA"/>
        </w:rPr>
        <w:t xml:space="preserve"> éd. par Pierre</w:t>
      </w:r>
      <w:r w:rsidR="00CB089D">
        <w:rPr>
          <w:lang w:val="fr-CA"/>
        </w:rPr>
        <w:t>-</w:t>
      </w:r>
      <w:r w:rsidRPr="007D5F2B">
        <w:rPr>
          <w:lang w:val="fr-CA"/>
        </w:rPr>
        <w:t xml:space="preserve">Gabriel </w:t>
      </w:r>
      <w:proofErr w:type="spellStart"/>
      <w:r w:rsidRPr="007D5F2B">
        <w:rPr>
          <w:lang w:val="fr-CA"/>
        </w:rPr>
        <w:t>Jobin</w:t>
      </w:r>
      <w:proofErr w:type="spellEnd"/>
      <w:r w:rsidRPr="007D5F2B">
        <w:rPr>
          <w:lang w:val="fr-CA"/>
        </w:rPr>
        <w:t xml:space="preserve"> et Nathalie </w:t>
      </w:r>
      <w:proofErr w:type="spellStart"/>
      <w:r w:rsidRPr="007D5F2B">
        <w:rPr>
          <w:lang w:val="fr-CA"/>
        </w:rPr>
        <w:t>Vézina</w:t>
      </w:r>
      <w:proofErr w:type="spellEnd"/>
      <w:r w:rsidRPr="007D5F2B">
        <w:rPr>
          <w:lang w:val="fr-CA"/>
        </w:rPr>
        <w:t>.</w:t>
      </w:r>
      <w:r w:rsidR="00CB089D">
        <w:rPr>
          <w:lang w:val="fr-CA"/>
        </w:rPr>
        <w:t xml:space="preserve"> </w:t>
      </w:r>
      <w:proofErr w:type="spellStart"/>
      <w:r w:rsidRPr="007D5F2B">
        <w:rPr>
          <w:lang w:val="fr-CA"/>
        </w:rPr>
        <w:t>Cowansville</w:t>
      </w:r>
      <w:proofErr w:type="spellEnd"/>
      <w:r w:rsidRPr="007D5F2B">
        <w:rPr>
          <w:lang w:val="fr-CA"/>
        </w:rPr>
        <w:t xml:space="preserve">, </w:t>
      </w:r>
      <w:proofErr w:type="spellStart"/>
      <w:r w:rsidRPr="007D5F2B">
        <w:rPr>
          <w:lang w:val="fr-CA"/>
        </w:rPr>
        <w:t>Qué</w:t>
      </w:r>
      <w:proofErr w:type="spellEnd"/>
      <w:r w:rsidRPr="007D5F2B">
        <w:rPr>
          <w:lang w:val="fr-CA"/>
        </w:rPr>
        <w:t>.:</w:t>
      </w:r>
      <w:r w:rsidR="00CB089D">
        <w:rPr>
          <w:lang w:val="fr-CA"/>
        </w:rPr>
        <w:t xml:space="preserve"> </w:t>
      </w:r>
      <w:r w:rsidRPr="007D5F2B">
        <w:rPr>
          <w:lang w:val="fr-CA"/>
        </w:rPr>
        <w:t>Yvon Blais, 2013</w:t>
      </w:r>
      <w:r w:rsidR="004928A6" w:rsidRPr="007D5F2B">
        <w:rPr>
          <w:lang w:val="fr-CA"/>
        </w:rPr>
        <w:t>.</w:t>
      </w:r>
    </w:p>
    <w:p w:rsidR="00A149DF" w:rsidRPr="007D5F2B" w:rsidRDefault="00650B39" w:rsidP="00A11E3B">
      <w:pPr>
        <w:pStyle w:val="SCCNormalDoubleSpacing"/>
        <w:spacing w:after="720" w:line="240" w:lineRule="auto"/>
        <w:ind w:left="540" w:hanging="540"/>
      </w:pPr>
      <w:r w:rsidRPr="007D5F2B">
        <w:rPr>
          <w:lang w:val="fr-CA"/>
        </w:rPr>
        <w:t>Lluelles, Didier, et Benoît Moore.</w:t>
      </w:r>
      <w:r w:rsidR="00CB089D">
        <w:rPr>
          <w:lang w:val="fr-CA"/>
        </w:rPr>
        <w:t xml:space="preserve"> </w:t>
      </w:r>
      <w:r w:rsidRPr="007D5F2B">
        <w:rPr>
          <w:i/>
          <w:lang w:val="fr-CA"/>
        </w:rPr>
        <w:t>Droit des obligations</w:t>
      </w:r>
      <w:r w:rsidRPr="007D5F2B">
        <w:rPr>
          <w:lang w:val="fr-CA"/>
        </w:rPr>
        <w:t>, 2</w:t>
      </w:r>
      <w:r w:rsidRPr="007D5F2B">
        <w:rPr>
          <w:vertAlign w:val="superscript"/>
          <w:lang w:val="fr-CA"/>
        </w:rPr>
        <w:t>e</w:t>
      </w:r>
      <w:r w:rsidRPr="007D5F2B">
        <w:rPr>
          <w:lang w:val="fr-CA"/>
        </w:rPr>
        <w:t xml:space="preserve"> éd.</w:t>
      </w:r>
      <w:r w:rsidR="00CB089D">
        <w:rPr>
          <w:lang w:val="fr-CA"/>
        </w:rPr>
        <w:t xml:space="preserve"> </w:t>
      </w:r>
      <w:r w:rsidRPr="007D5F2B">
        <w:t>Montréal:</w:t>
      </w:r>
      <w:r w:rsidR="00CB089D">
        <w:t xml:space="preserve"> </w:t>
      </w:r>
      <w:proofErr w:type="spellStart"/>
      <w:r w:rsidRPr="007D5F2B">
        <w:t>Thémis</w:t>
      </w:r>
      <w:proofErr w:type="spellEnd"/>
      <w:r w:rsidRPr="007D5F2B">
        <w:t>, 2012</w:t>
      </w:r>
      <w:r w:rsidR="004928A6" w:rsidRPr="007D5F2B">
        <w:t>.</w:t>
      </w:r>
    </w:p>
    <w:p w:rsidR="00656313" w:rsidRPr="007D5F2B" w:rsidRDefault="009B57B3" w:rsidP="00283282">
      <w:pPr>
        <w:pStyle w:val="SCCNormalDoubleSpacing"/>
        <w:spacing w:after="480"/>
      </w:pPr>
      <w:r w:rsidRPr="007D5F2B">
        <w:tab/>
        <w:t xml:space="preserve">APPEAL from a judgment of the </w:t>
      </w:r>
      <w:r w:rsidR="00B915A6" w:rsidRPr="007D5F2B">
        <w:t xml:space="preserve">Quebec </w:t>
      </w:r>
      <w:r w:rsidRPr="007D5F2B">
        <w:t xml:space="preserve">Court of Appeal </w:t>
      </w:r>
      <w:r w:rsidR="00B915A6" w:rsidRPr="007D5F2B">
        <w:t xml:space="preserve">(Forget, </w:t>
      </w:r>
      <w:proofErr w:type="spellStart"/>
      <w:r w:rsidR="00B915A6" w:rsidRPr="007D5F2B">
        <w:t>Dalphond</w:t>
      </w:r>
      <w:proofErr w:type="spellEnd"/>
      <w:r w:rsidR="00B915A6" w:rsidRPr="007D5F2B">
        <w:t xml:space="preserve"> and </w:t>
      </w:r>
      <w:proofErr w:type="spellStart"/>
      <w:r w:rsidR="00B915A6" w:rsidRPr="007D5F2B">
        <w:t>Bich</w:t>
      </w:r>
      <w:proofErr w:type="spellEnd"/>
      <w:r w:rsidR="00B915A6" w:rsidRPr="007D5F2B">
        <w:t xml:space="preserve"> JJ.A.), 2012 QCCA 1394, [2012] R.J.Q. 1512, 353 D.L.R. (4th) 296, </w:t>
      </w:r>
      <w:r w:rsidR="006E3966" w:rsidRPr="007D5F2B">
        <w:t>[2012]</w:t>
      </w:r>
      <w:r w:rsidR="00B915A6" w:rsidRPr="007D5F2B">
        <w:t xml:space="preserve"> AZ</w:t>
      </w:r>
      <w:r w:rsidR="00CB089D">
        <w:t>-</w:t>
      </w:r>
      <w:r w:rsidR="00B915A6" w:rsidRPr="007D5F2B">
        <w:t xml:space="preserve">50881447, [2012] Q.J. </w:t>
      </w:r>
      <w:r w:rsidR="007D5F2B">
        <w:t>No.</w:t>
      </w:r>
      <w:r w:rsidR="00CB089D">
        <w:t xml:space="preserve"> </w:t>
      </w:r>
      <w:r w:rsidR="00B915A6" w:rsidRPr="007D5F2B">
        <w:t xml:space="preserve">7426 (QL), 2012 </w:t>
      </w:r>
      <w:proofErr w:type="spellStart"/>
      <w:r w:rsidR="00B915A6" w:rsidRPr="007D5F2B">
        <w:t>CarswellQue</w:t>
      </w:r>
      <w:proofErr w:type="spellEnd"/>
      <w:r w:rsidR="00B915A6" w:rsidRPr="007D5F2B">
        <w:t xml:space="preserve"> 7779, </w:t>
      </w:r>
      <w:r w:rsidR="006E3966" w:rsidRPr="007D5F2B">
        <w:t>setting aside</w:t>
      </w:r>
      <w:r w:rsidR="00B915A6" w:rsidRPr="007D5F2B">
        <w:t xml:space="preserve"> in part a decision of </w:t>
      </w:r>
      <w:proofErr w:type="spellStart"/>
      <w:r w:rsidR="00B915A6" w:rsidRPr="007D5F2B">
        <w:t>Gascon</w:t>
      </w:r>
      <w:proofErr w:type="spellEnd"/>
      <w:r w:rsidR="00CB089D">
        <w:t xml:space="preserve"> </w:t>
      </w:r>
      <w:r w:rsidR="00B915A6" w:rsidRPr="007D5F2B">
        <w:t xml:space="preserve">J., 2009 QCCS 2695, [2009] R.J.Q. 1746, </w:t>
      </w:r>
      <w:r w:rsidR="006E3966" w:rsidRPr="007D5F2B">
        <w:t>[2009]</w:t>
      </w:r>
      <w:r w:rsidR="00B915A6" w:rsidRPr="007D5F2B">
        <w:t xml:space="preserve"> AZ</w:t>
      </w:r>
      <w:r w:rsidR="00CB089D">
        <w:t>-</w:t>
      </w:r>
      <w:r w:rsidR="00B915A6" w:rsidRPr="007D5F2B">
        <w:t xml:space="preserve">50560798, [2009] Q.J. </w:t>
      </w:r>
      <w:r w:rsidR="007D5F2B">
        <w:t>No.</w:t>
      </w:r>
      <w:r w:rsidR="00CB089D">
        <w:t xml:space="preserve"> </w:t>
      </w:r>
      <w:r w:rsidR="00B915A6" w:rsidRPr="007D5F2B">
        <w:t>5769</w:t>
      </w:r>
      <w:r w:rsidR="002B1517" w:rsidRPr="007D5F2B">
        <w:t xml:space="preserve"> (QL)</w:t>
      </w:r>
      <w:r w:rsidR="00B915A6" w:rsidRPr="007D5F2B">
        <w:t xml:space="preserve">, 2009 </w:t>
      </w:r>
      <w:proofErr w:type="spellStart"/>
      <w:r w:rsidR="00B915A6" w:rsidRPr="007D5F2B">
        <w:t>CarswellQue</w:t>
      </w:r>
      <w:proofErr w:type="spellEnd"/>
      <w:r w:rsidR="00B915A6" w:rsidRPr="007D5F2B">
        <w:t xml:space="preserve"> 6873.</w:t>
      </w:r>
      <w:r w:rsidR="00CB089D">
        <w:t xml:space="preserve"> </w:t>
      </w:r>
      <w:r w:rsidR="00B915A6" w:rsidRPr="007D5F2B">
        <w:t xml:space="preserve">Appeal </w:t>
      </w:r>
      <w:r w:rsidR="00D7348C" w:rsidRPr="007D5F2B">
        <w:t>dismissed</w:t>
      </w:r>
      <w:r w:rsidR="00B915A6" w:rsidRPr="007D5F2B">
        <w:t>.</w:t>
      </w:r>
    </w:p>
    <w:p w:rsidR="005236F2" w:rsidRPr="007D5F2B" w:rsidRDefault="00A62D3E" w:rsidP="00283282">
      <w:pPr>
        <w:pStyle w:val="SCCNormalDoubleSpacing"/>
        <w:spacing w:after="480"/>
      </w:pPr>
      <w:r w:rsidRPr="007D5F2B">
        <w:rPr>
          <w:i/>
        </w:rPr>
        <w:tab/>
      </w:r>
      <w:r w:rsidR="008E58B7" w:rsidRPr="007D5F2B">
        <w:rPr>
          <w:i/>
        </w:rPr>
        <w:t>Mahmud Jamal</w:t>
      </w:r>
      <w:r w:rsidR="008E58B7" w:rsidRPr="007D5F2B">
        <w:t xml:space="preserve">, </w:t>
      </w:r>
      <w:r w:rsidR="008E58B7" w:rsidRPr="007D5F2B">
        <w:rPr>
          <w:i/>
        </w:rPr>
        <w:t>Sylvain Deslauriers</w:t>
      </w:r>
      <w:r w:rsidR="008E58B7" w:rsidRPr="007D5F2B">
        <w:t xml:space="preserve">, </w:t>
      </w:r>
      <w:r w:rsidR="008E58B7" w:rsidRPr="007D5F2B">
        <w:rPr>
          <w:i/>
        </w:rPr>
        <w:t>S</w:t>
      </w:r>
      <w:r w:rsidR="00F84AB4" w:rsidRPr="007D5F2B">
        <w:rPr>
          <w:i/>
        </w:rPr>
        <w:t>i</w:t>
      </w:r>
      <w:r w:rsidR="008E58B7" w:rsidRPr="007D5F2B">
        <w:rPr>
          <w:i/>
        </w:rPr>
        <w:t>lvana Conte</w:t>
      </w:r>
      <w:r w:rsidR="008E58B7" w:rsidRPr="007D5F2B">
        <w:t xml:space="preserve">, </w:t>
      </w:r>
      <w:r w:rsidR="008E58B7" w:rsidRPr="007D5F2B">
        <w:rPr>
          <w:i/>
        </w:rPr>
        <w:t>Alberto Martinez</w:t>
      </w:r>
      <w:r w:rsidR="008E58B7" w:rsidRPr="007D5F2B">
        <w:t xml:space="preserve">, </w:t>
      </w:r>
      <w:r w:rsidR="00884BE9" w:rsidRPr="007D5F2B">
        <w:rPr>
          <w:i/>
        </w:rPr>
        <w:t>W.</w:t>
      </w:r>
      <w:r w:rsidR="00CB089D">
        <w:rPr>
          <w:i/>
        </w:rPr>
        <w:t xml:space="preserve"> </w:t>
      </w:r>
      <w:r w:rsidR="008E58B7" w:rsidRPr="007D5F2B">
        <w:rPr>
          <w:i/>
        </w:rPr>
        <w:t>David Rankin</w:t>
      </w:r>
      <w:r w:rsidR="008E58B7" w:rsidRPr="007D5F2B">
        <w:t xml:space="preserve">, </w:t>
      </w:r>
      <w:r w:rsidR="008E58B7" w:rsidRPr="007D5F2B">
        <w:rPr>
          <w:i/>
        </w:rPr>
        <w:t>Anne</w:t>
      </w:r>
      <w:r w:rsidR="00CB089D">
        <w:rPr>
          <w:i/>
        </w:rPr>
        <w:t>-</w:t>
      </w:r>
      <w:r w:rsidR="008E58B7" w:rsidRPr="007D5F2B">
        <w:rPr>
          <w:i/>
        </w:rPr>
        <w:t xml:space="preserve">Marie </w:t>
      </w:r>
      <w:proofErr w:type="spellStart"/>
      <w:r w:rsidR="008E58B7" w:rsidRPr="007D5F2B">
        <w:rPr>
          <w:i/>
        </w:rPr>
        <w:t>Lizotte</w:t>
      </w:r>
      <w:proofErr w:type="spellEnd"/>
      <w:r w:rsidR="008E58B7" w:rsidRPr="007D5F2B">
        <w:rPr>
          <w:i/>
        </w:rPr>
        <w:t xml:space="preserve"> </w:t>
      </w:r>
      <w:r w:rsidR="008E58B7" w:rsidRPr="007D5F2B">
        <w:t xml:space="preserve">and </w:t>
      </w:r>
      <w:proofErr w:type="spellStart"/>
      <w:r w:rsidR="008E58B7" w:rsidRPr="007D5F2B">
        <w:rPr>
          <w:i/>
        </w:rPr>
        <w:t>Alexandre</w:t>
      </w:r>
      <w:proofErr w:type="spellEnd"/>
      <w:r w:rsidR="008E58B7" w:rsidRPr="007D5F2B">
        <w:rPr>
          <w:i/>
        </w:rPr>
        <w:t xml:space="preserve"> Fallon</w:t>
      </w:r>
      <w:r w:rsidR="008E58B7" w:rsidRPr="007D5F2B">
        <w:t xml:space="preserve">, </w:t>
      </w:r>
      <w:r w:rsidRPr="007D5F2B">
        <w:t>for the appellant.</w:t>
      </w:r>
    </w:p>
    <w:p w:rsidR="005236F2" w:rsidRPr="007D5F2B" w:rsidRDefault="00A62D3E" w:rsidP="00283282">
      <w:pPr>
        <w:pStyle w:val="SCCNormalDoubleSpacing"/>
        <w:spacing w:after="480"/>
      </w:pPr>
      <w:r w:rsidRPr="007D5F2B">
        <w:rPr>
          <w:i/>
        </w:rPr>
        <w:lastRenderedPageBreak/>
        <w:tab/>
        <w:t>Peter Kalichman</w:t>
      </w:r>
      <w:r w:rsidRPr="007D5F2B">
        <w:t xml:space="preserve">, </w:t>
      </w:r>
      <w:r w:rsidRPr="007D5F2B">
        <w:rPr>
          <w:i/>
        </w:rPr>
        <w:t>Catherine McKenzie</w:t>
      </w:r>
      <w:r w:rsidR="008E58B7" w:rsidRPr="007D5F2B">
        <w:t xml:space="preserve"> and </w:t>
      </w:r>
      <w:r w:rsidR="008E58B7" w:rsidRPr="007D5F2B">
        <w:rPr>
          <w:i/>
        </w:rPr>
        <w:t>Mathieu Bouchard</w:t>
      </w:r>
      <w:r w:rsidRPr="007D5F2B">
        <w:t>, for the respondent</w:t>
      </w:r>
      <w:r w:rsidR="008E58B7" w:rsidRPr="007D5F2B">
        <w:t xml:space="preserve"> Sylvan Adams</w:t>
      </w:r>
      <w:r w:rsidRPr="007D5F2B">
        <w:t>.</w:t>
      </w:r>
    </w:p>
    <w:p w:rsidR="005236F2" w:rsidRPr="007D5F2B" w:rsidRDefault="00A62D3E" w:rsidP="00283282">
      <w:pPr>
        <w:pStyle w:val="SCCNormalDoubleSpacing"/>
        <w:spacing w:after="480"/>
      </w:pPr>
      <w:r w:rsidRPr="007D5F2B">
        <w:rPr>
          <w:i/>
        </w:rPr>
        <w:tab/>
      </w:r>
      <w:proofErr w:type="gramStart"/>
      <w:r w:rsidRPr="007D5F2B">
        <w:rPr>
          <w:i/>
        </w:rPr>
        <w:t>Jean</w:t>
      </w:r>
      <w:r w:rsidR="00CB089D">
        <w:rPr>
          <w:i/>
        </w:rPr>
        <w:t>-</w:t>
      </w:r>
      <w:r w:rsidRPr="007D5F2B">
        <w:rPr>
          <w:i/>
        </w:rPr>
        <w:t xml:space="preserve">François </w:t>
      </w:r>
      <w:proofErr w:type="spellStart"/>
      <w:r w:rsidRPr="007D5F2B">
        <w:rPr>
          <w:i/>
        </w:rPr>
        <w:t>Jobin</w:t>
      </w:r>
      <w:proofErr w:type="spellEnd"/>
      <w:r w:rsidRPr="007D5F2B">
        <w:t xml:space="preserve">, </w:t>
      </w:r>
      <w:r w:rsidRPr="007D5F2B">
        <w:rPr>
          <w:i/>
        </w:rPr>
        <w:t>Francis Demers</w:t>
      </w:r>
      <w:r w:rsidRPr="007D5F2B">
        <w:t xml:space="preserve"> and </w:t>
      </w:r>
      <w:r w:rsidRPr="007D5F2B">
        <w:rPr>
          <w:i/>
        </w:rPr>
        <w:t>Samuel Chayer</w:t>
      </w:r>
      <w:r w:rsidRPr="007D5F2B">
        <w:t>, for the respondent</w:t>
      </w:r>
      <w:r w:rsidR="008E58B7" w:rsidRPr="007D5F2B">
        <w:t xml:space="preserve"> the Attorney General of Quebec</w:t>
      </w:r>
      <w:r w:rsidRPr="007D5F2B">
        <w:t>.</w:t>
      </w:r>
      <w:proofErr w:type="gramEnd"/>
    </w:p>
    <w:p w:rsidR="005236F2" w:rsidRPr="00153A28" w:rsidRDefault="00A62D3E" w:rsidP="00283282">
      <w:pPr>
        <w:pStyle w:val="SCCNormalDoubleSpacing"/>
        <w:spacing w:after="480"/>
        <w:rPr>
          <w:lang w:val="en-US"/>
        </w:rPr>
      </w:pPr>
      <w:r w:rsidRPr="007D5F2B">
        <w:rPr>
          <w:i/>
        </w:rPr>
        <w:tab/>
      </w:r>
      <w:proofErr w:type="gramStart"/>
      <w:r w:rsidRPr="00153A28">
        <w:rPr>
          <w:i/>
          <w:lang w:val="en-US"/>
        </w:rPr>
        <w:t>Marc Migneault</w:t>
      </w:r>
      <w:r w:rsidR="008E58B7" w:rsidRPr="00153A28">
        <w:rPr>
          <w:lang w:val="en-US"/>
        </w:rPr>
        <w:t xml:space="preserve"> and </w:t>
      </w:r>
      <w:proofErr w:type="spellStart"/>
      <w:r w:rsidR="008E58B7" w:rsidRPr="00153A28">
        <w:rPr>
          <w:i/>
          <w:lang w:val="en-US"/>
        </w:rPr>
        <w:t>Joël</w:t>
      </w:r>
      <w:proofErr w:type="spellEnd"/>
      <w:r w:rsidR="008E58B7" w:rsidRPr="00153A28">
        <w:rPr>
          <w:i/>
          <w:lang w:val="en-US"/>
        </w:rPr>
        <w:t xml:space="preserve"> Simard</w:t>
      </w:r>
      <w:r w:rsidRPr="00153A28">
        <w:rPr>
          <w:lang w:val="en-US"/>
        </w:rPr>
        <w:t>, for the respondent</w:t>
      </w:r>
      <w:r w:rsidR="008E58B7" w:rsidRPr="00153A28">
        <w:rPr>
          <w:lang w:val="en-US"/>
        </w:rPr>
        <w:t xml:space="preserve"> </w:t>
      </w:r>
      <w:r w:rsidR="00153A28" w:rsidRPr="00153A28">
        <w:rPr>
          <w:lang w:val="en-US"/>
        </w:rPr>
        <w:t>the Pre</w:t>
      </w:r>
      <w:r w:rsidR="008E58B7" w:rsidRPr="00153A28">
        <w:rPr>
          <w:lang w:val="en-US"/>
        </w:rPr>
        <w:t xml:space="preserve">sident </w:t>
      </w:r>
      <w:r w:rsidR="00153A28" w:rsidRPr="00153A28">
        <w:rPr>
          <w:lang w:val="en-US"/>
        </w:rPr>
        <w:t>of the</w:t>
      </w:r>
      <w:r w:rsidR="00153A28">
        <w:rPr>
          <w:lang w:val="en-US"/>
        </w:rPr>
        <w:t xml:space="preserve"> </w:t>
      </w:r>
      <w:r w:rsidR="008E58B7" w:rsidRPr="00153A28">
        <w:rPr>
          <w:lang w:val="en-US"/>
        </w:rPr>
        <w:t xml:space="preserve">Office de la protection du </w:t>
      </w:r>
      <w:proofErr w:type="spellStart"/>
      <w:r w:rsidR="008E58B7" w:rsidRPr="00153A28">
        <w:rPr>
          <w:lang w:val="en-US"/>
        </w:rPr>
        <w:t>consommateur</w:t>
      </w:r>
      <w:proofErr w:type="spellEnd"/>
      <w:r w:rsidRPr="00153A28">
        <w:rPr>
          <w:lang w:val="en-US"/>
        </w:rPr>
        <w:t>.</w:t>
      </w:r>
      <w:proofErr w:type="gramEnd"/>
    </w:p>
    <w:p w:rsidR="005236F2" w:rsidRPr="007D5F2B" w:rsidRDefault="00A62D3E" w:rsidP="00283282">
      <w:pPr>
        <w:pStyle w:val="SCCNormalDoubleSpacing"/>
        <w:spacing w:after="480"/>
      </w:pPr>
      <w:r w:rsidRPr="00153A28">
        <w:rPr>
          <w:i/>
          <w:lang w:val="en-US"/>
        </w:rPr>
        <w:tab/>
      </w:r>
      <w:proofErr w:type="gramStart"/>
      <w:r w:rsidRPr="007D5F2B">
        <w:rPr>
          <w:i/>
        </w:rPr>
        <w:t>Bernard Letarte</w:t>
      </w:r>
      <w:r w:rsidR="008E58B7" w:rsidRPr="007D5F2B">
        <w:t xml:space="preserve"> and </w:t>
      </w:r>
      <w:r w:rsidR="008E58B7" w:rsidRPr="007D5F2B">
        <w:rPr>
          <w:i/>
        </w:rPr>
        <w:t>Pierre S</w:t>
      </w:r>
      <w:r w:rsidR="00A87112" w:rsidRPr="007D5F2B">
        <w:rPr>
          <w:i/>
        </w:rPr>
        <w:t>al</w:t>
      </w:r>
      <w:r w:rsidR="008E58B7" w:rsidRPr="007D5F2B">
        <w:rPr>
          <w:i/>
        </w:rPr>
        <w:t>ois</w:t>
      </w:r>
      <w:r w:rsidRPr="007D5F2B">
        <w:t>, for the intervener</w:t>
      </w:r>
      <w:r w:rsidR="008E58B7" w:rsidRPr="007D5F2B">
        <w:t xml:space="preserve"> the</w:t>
      </w:r>
      <w:r w:rsidRPr="007D5F2B">
        <w:t xml:space="preserve"> Attorney General of Canada.</w:t>
      </w:r>
      <w:proofErr w:type="gramEnd"/>
    </w:p>
    <w:p w:rsidR="005236F2" w:rsidRPr="007D5F2B" w:rsidRDefault="00A87112" w:rsidP="00283282">
      <w:pPr>
        <w:pStyle w:val="SCCNormalDoubleSpacing"/>
        <w:spacing w:after="480"/>
      </w:pPr>
      <w:r w:rsidRPr="007D5F2B">
        <w:rPr>
          <w:i/>
        </w:rPr>
        <w:tab/>
      </w:r>
      <w:proofErr w:type="gramStart"/>
      <w:r w:rsidRPr="007D5F2B">
        <w:rPr>
          <w:i/>
        </w:rPr>
        <w:t>Janet</w:t>
      </w:r>
      <w:r w:rsidR="00CB089D">
        <w:rPr>
          <w:i/>
        </w:rPr>
        <w:t xml:space="preserve"> </w:t>
      </w:r>
      <w:r w:rsidR="00A62D3E" w:rsidRPr="007D5F2B">
        <w:rPr>
          <w:i/>
        </w:rPr>
        <w:t>E. Minor</w:t>
      </w:r>
      <w:r w:rsidR="00A62D3E" w:rsidRPr="007D5F2B">
        <w:t xml:space="preserve"> and </w:t>
      </w:r>
      <w:r w:rsidRPr="007D5F2B">
        <w:rPr>
          <w:i/>
        </w:rPr>
        <w:t>Robert</w:t>
      </w:r>
      <w:r w:rsidR="00CB089D">
        <w:rPr>
          <w:i/>
        </w:rPr>
        <w:t xml:space="preserve"> </w:t>
      </w:r>
      <w:r w:rsidR="00A62D3E" w:rsidRPr="007D5F2B">
        <w:rPr>
          <w:i/>
        </w:rPr>
        <w:t>A. Donato</w:t>
      </w:r>
      <w:r w:rsidR="00A62D3E" w:rsidRPr="007D5F2B">
        <w:t xml:space="preserve">, for the intervener </w:t>
      </w:r>
      <w:r w:rsidR="008E58B7" w:rsidRPr="007D5F2B">
        <w:t xml:space="preserve">the </w:t>
      </w:r>
      <w:r w:rsidR="00A62D3E" w:rsidRPr="007D5F2B">
        <w:t>Attorney General of Ontario.</w:t>
      </w:r>
      <w:proofErr w:type="gramEnd"/>
    </w:p>
    <w:p w:rsidR="005236F2" w:rsidRPr="007D5F2B" w:rsidRDefault="00A87112" w:rsidP="00283282">
      <w:pPr>
        <w:pStyle w:val="SCCNormalDoubleSpacing"/>
        <w:spacing w:after="480"/>
      </w:pPr>
      <w:r w:rsidRPr="007D5F2B">
        <w:rPr>
          <w:i/>
        </w:rPr>
        <w:tab/>
      </w:r>
      <w:proofErr w:type="gramStart"/>
      <w:r w:rsidRPr="007D5F2B">
        <w:rPr>
          <w:i/>
        </w:rPr>
        <w:t>Robert</w:t>
      </w:r>
      <w:r w:rsidR="00CB089D">
        <w:rPr>
          <w:i/>
        </w:rPr>
        <w:t xml:space="preserve"> </w:t>
      </w:r>
      <w:r w:rsidR="00A62D3E" w:rsidRPr="007D5F2B">
        <w:rPr>
          <w:i/>
        </w:rPr>
        <w:t>J. Normey</w:t>
      </w:r>
      <w:r w:rsidR="00A62D3E" w:rsidRPr="007D5F2B">
        <w:t xml:space="preserve">, for the intervener </w:t>
      </w:r>
      <w:r w:rsidR="008E58B7" w:rsidRPr="007D5F2B">
        <w:t xml:space="preserve">the </w:t>
      </w:r>
      <w:r w:rsidR="00A62D3E" w:rsidRPr="007D5F2B">
        <w:t>Attorney General of Alberta.</w:t>
      </w:r>
      <w:proofErr w:type="gramEnd"/>
    </w:p>
    <w:p w:rsidR="005236F2" w:rsidRPr="007D5F2B" w:rsidRDefault="00A87112" w:rsidP="00283282">
      <w:pPr>
        <w:pStyle w:val="SCCNormalDoubleSpacing"/>
        <w:spacing w:after="480"/>
      </w:pPr>
      <w:r w:rsidRPr="007D5F2B">
        <w:rPr>
          <w:i/>
        </w:rPr>
        <w:tab/>
      </w:r>
      <w:proofErr w:type="gramStart"/>
      <w:r w:rsidRPr="007D5F2B">
        <w:rPr>
          <w:i/>
        </w:rPr>
        <w:t>John</w:t>
      </w:r>
      <w:r w:rsidR="00CB089D">
        <w:rPr>
          <w:i/>
        </w:rPr>
        <w:t xml:space="preserve"> </w:t>
      </w:r>
      <w:r w:rsidR="00A62D3E" w:rsidRPr="007D5F2B">
        <w:rPr>
          <w:i/>
        </w:rPr>
        <w:t xml:space="preserve">B. </w:t>
      </w:r>
      <w:proofErr w:type="spellStart"/>
      <w:r w:rsidR="00A62D3E" w:rsidRPr="007D5F2B">
        <w:rPr>
          <w:i/>
        </w:rPr>
        <w:t>Laskin</w:t>
      </w:r>
      <w:proofErr w:type="spellEnd"/>
      <w:r w:rsidR="00A62D3E" w:rsidRPr="007D5F2B">
        <w:t xml:space="preserve"> and </w:t>
      </w:r>
      <w:proofErr w:type="spellStart"/>
      <w:r w:rsidRPr="007D5F2B">
        <w:rPr>
          <w:i/>
        </w:rPr>
        <w:t>Myriam</w:t>
      </w:r>
      <w:proofErr w:type="spellEnd"/>
      <w:r w:rsidR="00CB089D">
        <w:rPr>
          <w:i/>
        </w:rPr>
        <w:t xml:space="preserve"> </w:t>
      </w:r>
      <w:r w:rsidR="00A62D3E" w:rsidRPr="007D5F2B">
        <w:rPr>
          <w:i/>
        </w:rPr>
        <w:t>M. Seers</w:t>
      </w:r>
      <w:r w:rsidR="00A62D3E" w:rsidRPr="007D5F2B">
        <w:t>, for the intervener</w:t>
      </w:r>
      <w:r w:rsidR="008E58B7" w:rsidRPr="007D5F2B">
        <w:t xml:space="preserve"> the</w:t>
      </w:r>
      <w:r w:rsidR="00A62D3E" w:rsidRPr="007D5F2B">
        <w:t xml:space="preserve"> Canadian Bankers Association.</w:t>
      </w:r>
      <w:proofErr w:type="gramEnd"/>
    </w:p>
    <w:p w:rsidR="00A07B51" w:rsidRPr="005077C1" w:rsidRDefault="005077C1" w:rsidP="00A07B51">
      <w:pPr>
        <w:pStyle w:val="JudgeJuge"/>
        <w:rPr>
          <w:smallCaps w:val="0"/>
        </w:rPr>
      </w:pPr>
      <w:r>
        <w:tab/>
      </w:r>
      <w:r w:rsidRPr="005077C1">
        <w:rPr>
          <w:smallCaps w:val="0"/>
        </w:rPr>
        <w:t>The judgmen</w:t>
      </w:r>
      <w:r>
        <w:rPr>
          <w:smallCaps w:val="0"/>
        </w:rPr>
        <w:t>t of the Court was delivered by</w:t>
      </w:r>
    </w:p>
    <w:p w:rsidR="00A07B51" w:rsidRPr="008737E1" w:rsidRDefault="00A07B51" w:rsidP="00A07B51">
      <w:pPr>
        <w:pStyle w:val="JudgeJuge"/>
      </w:pPr>
      <w:r w:rsidRPr="008737E1">
        <w:tab/>
        <w:t xml:space="preserve">Rothstein and Wagner JJ. — </w:t>
      </w:r>
    </w:p>
    <w:p w:rsidR="00A07B51" w:rsidRPr="008737E1" w:rsidRDefault="00A07B51" w:rsidP="00A07B51">
      <w:pPr>
        <w:pStyle w:val="Title1LevelTitre1Niveau-AltL"/>
        <w:rPr>
          <w:rFonts w:cs="Times New Roman"/>
        </w:rPr>
      </w:pPr>
      <w:r w:rsidRPr="008737E1">
        <w:rPr>
          <w:rFonts w:cs="Times New Roman"/>
        </w:rPr>
        <w:t>Introduction</w:t>
      </w:r>
    </w:p>
    <w:p w:rsidR="00A07B51" w:rsidRPr="008737E1" w:rsidRDefault="00A07B51" w:rsidP="00A07B51">
      <w:pPr>
        <w:pStyle w:val="ParaNoNdepar-AltN"/>
        <w:rPr>
          <w:rFonts w:cs="Times New Roman"/>
        </w:rPr>
      </w:pPr>
      <w:r w:rsidRPr="008737E1">
        <w:rPr>
          <w:rFonts w:cs="Times New Roman"/>
        </w:rPr>
        <w:lastRenderedPageBreak/>
        <w:t xml:space="preserve">Amex Bank of Canada (“Amex”) is a Schedule II bank under the </w:t>
      </w:r>
      <w:r w:rsidRPr="008737E1">
        <w:rPr>
          <w:rFonts w:cs="Times New Roman"/>
          <w:i/>
        </w:rPr>
        <w:t>Bank Act</w:t>
      </w:r>
      <w:r w:rsidRPr="008737E1">
        <w:rPr>
          <w:rFonts w:cs="Times New Roman"/>
        </w:rPr>
        <w:t xml:space="preserve">, S.C. 1991, c. 46. Its primary function is to issue credit cards and charge cards, which comprise approximately 98 percent of its activities. One service offered through its credit and charge cards is the ability to make purchases in foreign currencies. Such purchases are subject to a conversion charge, whereby a percentage of the converted amount is charged as a fee for the conversion service. Quebec’s </w:t>
      </w:r>
      <w:r w:rsidRPr="008737E1">
        <w:rPr>
          <w:rFonts w:cs="Times New Roman"/>
          <w:i/>
        </w:rPr>
        <w:t>Consumer Protection Act</w:t>
      </w:r>
      <w:r w:rsidRPr="008737E1">
        <w:rPr>
          <w:rFonts w:cs="Times New Roman"/>
        </w:rPr>
        <w:t>, CQLR, c. P-40.1 (“</w:t>
      </w:r>
      <w:r w:rsidRPr="008737E1">
        <w:rPr>
          <w:rFonts w:cs="Times New Roman"/>
          <w:i/>
        </w:rPr>
        <w:t>CPA</w:t>
      </w:r>
      <w:r w:rsidRPr="008737E1">
        <w:rPr>
          <w:rFonts w:cs="Times New Roman"/>
        </w:rPr>
        <w:t xml:space="preserve">”), imposes various rules on the content and disclosure of charges and fees in contracts extending variable credit, such as credit card and charge card contracts. Similar to the companion cases of </w:t>
      </w:r>
      <w:r w:rsidRPr="008737E1">
        <w:rPr>
          <w:rFonts w:cs="Times New Roman"/>
          <w:i/>
        </w:rPr>
        <w:t>Bank of Montreal v. Marcotte</w:t>
      </w:r>
      <w:r w:rsidRPr="008737E1">
        <w:rPr>
          <w:rFonts w:cs="Times New Roman"/>
        </w:rPr>
        <w:t>, 2014 SCC 55</w:t>
      </w:r>
      <w:r w:rsidR="005077C1">
        <w:rPr>
          <w:rFonts w:cs="Times New Roman"/>
        </w:rPr>
        <w:t>, [2014] 2 S.C.R. 726</w:t>
      </w:r>
      <w:r w:rsidRPr="008737E1">
        <w:rPr>
          <w:rFonts w:cs="Times New Roman"/>
        </w:rPr>
        <w:t xml:space="preserve"> (“BMO Decision”), and </w:t>
      </w:r>
      <w:r w:rsidRPr="008737E1">
        <w:rPr>
          <w:rFonts w:cs="Times New Roman"/>
          <w:i/>
        </w:rPr>
        <w:t xml:space="preserve">Marcotte v. </w:t>
      </w:r>
      <w:proofErr w:type="spellStart"/>
      <w:r w:rsidRPr="008737E1">
        <w:rPr>
          <w:rFonts w:cs="Times New Roman"/>
          <w:i/>
        </w:rPr>
        <w:t>Fédération</w:t>
      </w:r>
      <w:proofErr w:type="spellEnd"/>
      <w:r w:rsidRPr="008737E1">
        <w:rPr>
          <w:rFonts w:cs="Times New Roman"/>
          <w:i/>
        </w:rPr>
        <w:t xml:space="preserve"> des </w:t>
      </w:r>
      <w:proofErr w:type="spellStart"/>
      <w:r w:rsidRPr="008737E1">
        <w:rPr>
          <w:rFonts w:cs="Times New Roman"/>
          <w:i/>
        </w:rPr>
        <w:t>caisses</w:t>
      </w:r>
      <w:proofErr w:type="spellEnd"/>
      <w:r w:rsidRPr="008737E1">
        <w:rPr>
          <w:rFonts w:cs="Times New Roman"/>
          <w:i/>
        </w:rPr>
        <w:t xml:space="preserve"> Desjardins du Québec</w:t>
      </w:r>
      <w:r w:rsidRPr="008737E1">
        <w:rPr>
          <w:rFonts w:cs="Times New Roman"/>
        </w:rPr>
        <w:t>, 2014 SCC 57</w:t>
      </w:r>
      <w:r w:rsidR="003D03A7">
        <w:rPr>
          <w:rFonts w:cs="Times New Roman"/>
        </w:rPr>
        <w:t xml:space="preserve">, [2014] 2 S.C.R. </w:t>
      </w:r>
      <w:r w:rsidR="009F45BA">
        <w:rPr>
          <w:rFonts w:cs="Times New Roman"/>
        </w:rPr>
        <w:t>806</w:t>
      </w:r>
      <w:r w:rsidRPr="008737E1">
        <w:rPr>
          <w:rFonts w:cs="Times New Roman"/>
        </w:rPr>
        <w:t xml:space="preserve"> (“Desjardins Decision”), this appeal raises the issue of whether the manner in which the conversion charge was disclosed and imposed by Amex complied with the </w:t>
      </w:r>
      <w:r w:rsidRPr="008737E1">
        <w:rPr>
          <w:rFonts w:cs="Times New Roman"/>
          <w:i/>
        </w:rPr>
        <w:t>CPA</w:t>
      </w:r>
      <w:r w:rsidRPr="008737E1">
        <w:rPr>
          <w:rFonts w:cs="Times New Roman"/>
        </w:rPr>
        <w:t>.</w:t>
      </w:r>
    </w:p>
    <w:p w:rsidR="00A07B51" w:rsidRPr="008737E1" w:rsidRDefault="00A07B51" w:rsidP="00A07B51">
      <w:pPr>
        <w:pStyle w:val="ParaNoNdepar-AltN"/>
        <w:rPr>
          <w:rFonts w:cs="Times New Roman"/>
        </w:rPr>
      </w:pPr>
      <w:r w:rsidRPr="008737E1">
        <w:rPr>
          <w:rFonts w:cs="Times New Roman"/>
        </w:rPr>
        <w:t>Most of the issues raised in this appeal are addressed in the BMO Decision. These reasons will apply the principles of law discussed in that case to the Amex cardholder agreements at issue in this appeal.</w:t>
      </w:r>
    </w:p>
    <w:p w:rsidR="00A07B51" w:rsidRPr="008737E1" w:rsidRDefault="00A07B51" w:rsidP="00A07B51">
      <w:pPr>
        <w:pStyle w:val="Title1LevelTitre1Niveau-AltL"/>
        <w:rPr>
          <w:rFonts w:cs="Times New Roman"/>
        </w:rPr>
      </w:pPr>
      <w:r w:rsidRPr="008737E1">
        <w:rPr>
          <w:rFonts w:cs="Times New Roman"/>
        </w:rPr>
        <w:t>Facts</w:t>
      </w:r>
    </w:p>
    <w:p w:rsidR="00A07B51" w:rsidRPr="008737E1" w:rsidRDefault="00A07B51" w:rsidP="00A07B51">
      <w:pPr>
        <w:pStyle w:val="Title2LevelTitre2Niveau"/>
        <w:numPr>
          <w:ilvl w:val="0"/>
          <w:numId w:val="0"/>
        </w:numPr>
        <w:rPr>
          <w:rFonts w:cs="Times New Roman"/>
        </w:rPr>
      </w:pPr>
      <w:r w:rsidRPr="008737E1">
        <w:rPr>
          <w:rFonts w:cs="Times New Roman"/>
        </w:rPr>
        <w:t xml:space="preserve">Amex Cardholder Agreements </w:t>
      </w:r>
    </w:p>
    <w:p w:rsidR="00A07B51" w:rsidRPr="008737E1" w:rsidRDefault="00A07B51" w:rsidP="00A07B51">
      <w:pPr>
        <w:pStyle w:val="ParaNoNdepar-AltN"/>
        <w:rPr>
          <w:rFonts w:cs="Times New Roman"/>
        </w:rPr>
      </w:pPr>
      <w:r w:rsidRPr="008737E1">
        <w:rPr>
          <w:rFonts w:cs="Times New Roman"/>
        </w:rPr>
        <w:lastRenderedPageBreak/>
        <w:t xml:space="preserve">An overview of credit cards and conversion charges, and the procedural history of the class actions against the nine banks, Desjardins, and Amex (respectively, the “BMO Action”, the “Desjardins Action” and the “Amex Action”), are provided in the BMO Decision. Charge cards, which are not discussed in the BMO or Desjardins Decisions, are similar to credit cards except that the balance due at the end of the delay provided must be repaid in full; no balance can be carried forward to the next month. </w:t>
      </w:r>
    </w:p>
    <w:p w:rsidR="00A07B51" w:rsidRPr="008737E1" w:rsidRDefault="00A07B51" w:rsidP="00A07B51">
      <w:pPr>
        <w:pStyle w:val="ParaNoNdepar-AltN"/>
        <w:rPr>
          <w:rFonts w:cs="Times New Roman"/>
        </w:rPr>
      </w:pPr>
      <w:r w:rsidRPr="008737E1">
        <w:rPr>
          <w:rFonts w:cs="Times New Roman"/>
        </w:rPr>
        <w:t xml:space="preserve"> From 1990 to March 1993, Amex cardholder agreements included the following clause:</w:t>
      </w:r>
    </w:p>
    <w:p w:rsidR="00A07B51" w:rsidRPr="00354BA1" w:rsidRDefault="00354BA1" w:rsidP="00A07B51">
      <w:pPr>
        <w:pStyle w:val="Citation-AltC"/>
        <w:rPr>
          <w:caps/>
          <w:smallCaps/>
        </w:rPr>
      </w:pPr>
      <w:r w:rsidRPr="00354BA1">
        <w:rPr>
          <w:smallCaps/>
        </w:rPr>
        <w:t>charges made in foreign countries</w:t>
      </w:r>
    </w:p>
    <w:p w:rsidR="00A07B51" w:rsidRPr="008737E1" w:rsidRDefault="00A07B51" w:rsidP="00A07B51">
      <w:pPr>
        <w:pStyle w:val="Citation-AltC"/>
        <w:rPr>
          <w:b/>
          <w:caps/>
        </w:rPr>
      </w:pPr>
    </w:p>
    <w:p w:rsidR="00A07B51" w:rsidRPr="008737E1" w:rsidRDefault="00A07B51" w:rsidP="00A07B51">
      <w:pPr>
        <w:pStyle w:val="Citation-AltC"/>
      </w:pPr>
      <w:r w:rsidRPr="008737E1">
        <w:t>If you incur a Charge in a foreign currency, it will be converted into Canadian Dollars.</w:t>
      </w:r>
      <w:r w:rsidR="00CB089D">
        <w:t xml:space="preserve"> </w:t>
      </w:r>
      <w:r w:rsidRPr="008737E1">
        <w:rPr>
          <w:u w:val="single"/>
        </w:rPr>
        <w:t>The conversion rate used will be at least as favourable to you as the interbank rate, tourist rate or, where required by law, official rate</w:t>
      </w:r>
      <w:r w:rsidRPr="008737E1">
        <w:t xml:space="preserve">, in effect within 24 hours of the time that the Charge is processed by us or by our authorized agents, </w:t>
      </w:r>
      <w:r w:rsidRPr="008737E1">
        <w:rPr>
          <w:u w:val="single"/>
        </w:rPr>
        <w:t>plus 1% of the converted amount</w:t>
      </w:r>
      <w:r w:rsidRPr="008737E1">
        <w:t>.</w:t>
      </w:r>
      <w:r w:rsidR="00CB089D">
        <w:t xml:space="preserve"> </w:t>
      </w:r>
      <w:r w:rsidRPr="008737E1">
        <w:t>Amounts converted by establishments — such as airlines — will be billed at the rates such establishments use. [Emphasis added.]</w:t>
      </w:r>
    </w:p>
    <w:p w:rsidR="00A07B51" w:rsidRPr="008737E1" w:rsidRDefault="00A07B51" w:rsidP="00A07B51">
      <w:pPr>
        <w:pStyle w:val="ParaNoNdepar-AltN"/>
        <w:rPr>
          <w:rFonts w:cs="Times New Roman"/>
        </w:rPr>
      </w:pPr>
      <w:r w:rsidRPr="008737E1">
        <w:rPr>
          <w:rFonts w:eastAsia="Times New Roman" w:cs="Times New Roman"/>
          <w:szCs w:val="24"/>
          <w:lang w:eastAsia="en-CA"/>
        </w:rPr>
        <w:t xml:space="preserve"> </w:t>
      </w:r>
      <w:r w:rsidRPr="008737E1">
        <w:rPr>
          <w:rFonts w:cs="Times New Roman"/>
        </w:rPr>
        <w:t>Effective March 1993, this clause was changed to the following:</w:t>
      </w:r>
    </w:p>
    <w:p w:rsidR="00A07B51" w:rsidRPr="008737E1" w:rsidRDefault="00A07B51" w:rsidP="00A07B51">
      <w:pPr>
        <w:pStyle w:val="Citation-AltC"/>
        <w:ind w:firstLine="4"/>
      </w:pPr>
      <w:r w:rsidRPr="008737E1">
        <w:t xml:space="preserve">If you incur a Charge in a foreign currency, it will be converted into Canadian dollars </w:t>
      </w:r>
      <w:r w:rsidRPr="008737E1">
        <w:rPr>
          <w:u w:val="single"/>
        </w:rPr>
        <w:t>at the exchange rate determined by us</w:t>
      </w:r>
      <w:r w:rsidRPr="008737E1">
        <w:t xml:space="preserve"> on the date when the Charge is processed by us or by our authorized agents.</w:t>
      </w:r>
      <w:r w:rsidR="00CB089D">
        <w:t xml:space="preserve"> </w:t>
      </w:r>
      <w:r w:rsidRPr="008737E1">
        <w:t>This rate may differ from the rate in effect on the date of your Charge. Amounts converted by establishments — such as airlines — will be billed at the rates such establishments charge. [Emphasis added.]</w:t>
      </w:r>
    </w:p>
    <w:p w:rsidR="00A07B51" w:rsidRPr="008737E1" w:rsidRDefault="00A07B51" w:rsidP="00A07B51">
      <w:pPr>
        <w:pStyle w:val="ParaNoNdepar-AltN"/>
        <w:rPr>
          <w:rFonts w:cs="Times New Roman"/>
        </w:rPr>
      </w:pPr>
      <w:r w:rsidRPr="008737E1">
        <w:rPr>
          <w:rFonts w:cs="Times New Roman"/>
        </w:rPr>
        <w:lastRenderedPageBreak/>
        <w:t>In December 2002, the Financial Consumer Agency of Canada (“FCAC”) held that Amex had failed to comply with s. 452(2)(</w:t>
      </w:r>
      <w:r w:rsidRPr="008737E1">
        <w:rPr>
          <w:rFonts w:cs="Times New Roman"/>
          <w:i/>
        </w:rPr>
        <w:t>c</w:t>
      </w:r>
      <w:r w:rsidRPr="008737E1">
        <w:rPr>
          <w:rFonts w:cs="Times New Roman"/>
        </w:rPr>
        <w:t xml:space="preserve">) of the </w:t>
      </w:r>
      <w:r w:rsidRPr="008737E1">
        <w:rPr>
          <w:rFonts w:cs="Times New Roman"/>
          <w:i/>
        </w:rPr>
        <w:t>Bank Act</w:t>
      </w:r>
      <w:r w:rsidRPr="008737E1">
        <w:rPr>
          <w:rFonts w:cs="Times New Roman"/>
        </w:rPr>
        <w:t>, which requires that all non-interest charges “for which the person becomes responsible by accepting or using the card” be disclosed in accordance with the regulations, with respect to Amex’s disclosure of the conversion charge.</w:t>
      </w:r>
    </w:p>
    <w:p w:rsidR="00A07B51" w:rsidRPr="008737E1" w:rsidRDefault="00A07B51" w:rsidP="00A07B51">
      <w:pPr>
        <w:pStyle w:val="ParaNoNdepar-AltN"/>
        <w:rPr>
          <w:rFonts w:cs="Times New Roman"/>
        </w:rPr>
      </w:pPr>
      <w:r w:rsidRPr="008737E1">
        <w:rPr>
          <w:rFonts w:cs="Times New Roman"/>
        </w:rPr>
        <w:t>In February 2003, Amex changed the “Charges Made in Foreign Countries” clause to the following:</w:t>
      </w:r>
    </w:p>
    <w:p w:rsidR="00A07B51" w:rsidRPr="008737E1" w:rsidRDefault="00A07B51" w:rsidP="00A07B51">
      <w:pPr>
        <w:pStyle w:val="Citation-AltC"/>
      </w:pPr>
      <w:r w:rsidRPr="008737E1">
        <w:t xml:space="preserve">If you incur a Charge in a foreign currency, it will be converted into Canadian dollars </w:t>
      </w:r>
      <w:r w:rsidRPr="008737E1">
        <w:rPr>
          <w:u w:val="single"/>
        </w:rPr>
        <w:t>at an exchange rate determined by us</w:t>
      </w:r>
      <w:r w:rsidRPr="008737E1">
        <w:t xml:space="preserve"> on the date processed by us or our authorized agents.</w:t>
      </w:r>
      <w:r w:rsidR="00CB089D">
        <w:t xml:space="preserve"> </w:t>
      </w:r>
      <w:r w:rsidRPr="008737E1">
        <w:t>This rate may differ from the rate in effect on the date of your Charge.</w:t>
      </w:r>
      <w:r w:rsidR="00CB089D">
        <w:t xml:space="preserve"> </w:t>
      </w:r>
      <w:r w:rsidRPr="008737E1">
        <w:rPr>
          <w:u w:val="single"/>
        </w:rPr>
        <w:t>This exchange rate includes a conversion rate adjustment</w:t>
      </w:r>
      <w:r w:rsidRPr="008737E1">
        <w:t xml:space="preserve"> as shown in the Disclosure Statement or as otherwise disclosed by us.</w:t>
      </w:r>
      <w:r w:rsidR="00CB089D">
        <w:t xml:space="preserve"> </w:t>
      </w:r>
      <w:r w:rsidRPr="008737E1">
        <w:t>Amounts converted by establishments — such as airlines — will be billed at the rates such establishments charge.</w:t>
      </w:r>
      <w:r w:rsidR="00CB089D">
        <w:t xml:space="preserve"> </w:t>
      </w:r>
      <w:r w:rsidRPr="008737E1">
        <w:rPr>
          <w:u w:val="single"/>
        </w:rPr>
        <w:t>The conversion rate adjustment is 2.2%</w:t>
      </w:r>
      <w:r w:rsidRPr="00354BA1">
        <w:rPr>
          <w:u w:val="single"/>
        </w:rPr>
        <w:t>.</w:t>
      </w:r>
      <w:r w:rsidRPr="008737E1">
        <w:t xml:space="preserve"> [Emphasis added.]</w:t>
      </w:r>
    </w:p>
    <w:p w:rsidR="00A07B51" w:rsidRPr="008737E1" w:rsidRDefault="00A07B51" w:rsidP="00A07B51">
      <w:pPr>
        <w:pStyle w:val="ParaNoNdepar-AltN"/>
        <w:rPr>
          <w:rFonts w:cs="Times New Roman"/>
        </w:rPr>
      </w:pPr>
      <w:r w:rsidRPr="008737E1">
        <w:rPr>
          <w:rFonts w:cs="Times New Roman"/>
        </w:rPr>
        <w:t>In September 2003, Amex changed the clause to the following:</w:t>
      </w:r>
    </w:p>
    <w:p w:rsidR="00A07B51" w:rsidRPr="00354BA1" w:rsidRDefault="00354BA1" w:rsidP="00A07B51">
      <w:pPr>
        <w:pStyle w:val="Citation-AltC"/>
        <w:rPr>
          <w:smallCaps/>
        </w:rPr>
      </w:pPr>
      <w:r w:rsidRPr="00354BA1">
        <w:rPr>
          <w:smallCaps/>
        </w:rPr>
        <w:t>charges made in foreign currencies</w:t>
      </w:r>
    </w:p>
    <w:p w:rsidR="00A07B51" w:rsidRPr="008737E1" w:rsidRDefault="00A07B51" w:rsidP="00A07B51">
      <w:pPr>
        <w:pStyle w:val="Citation-AltC"/>
      </w:pPr>
    </w:p>
    <w:p w:rsidR="00A07B51" w:rsidRPr="008737E1" w:rsidRDefault="00A07B51" w:rsidP="00A07B51">
      <w:pPr>
        <w:pStyle w:val="Citation-AltC"/>
      </w:pPr>
      <w:r w:rsidRPr="008737E1">
        <w:t>If you make a charge in a currency other than Canadian dollars that charge will be converted into Canadian dollars.</w:t>
      </w:r>
      <w:r w:rsidR="00CB089D">
        <w:t xml:space="preserve"> </w:t>
      </w:r>
      <w:r w:rsidRPr="008737E1">
        <w:t>The conversion will take place on the date the charge is processed by us, which may not be the same date on which you made your charge as it depends on when the charge was submitted to us.</w:t>
      </w:r>
      <w:r w:rsidR="00CB089D">
        <w:t xml:space="preserve"> </w:t>
      </w:r>
      <w:r w:rsidRPr="008737E1">
        <w:t>If the charge is not in U.S. dollars, the conversion will be made through U.S. dollars, by converting the charge amount into U.S. dollars and then by converting the U.S. dollar amount into Canadian dollars.</w:t>
      </w:r>
      <w:r w:rsidR="00CB089D">
        <w:t xml:space="preserve"> </w:t>
      </w:r>
      <w:r w:rsidRPr="008737E1">
        <w:t>If the charge is in U.S. dollars, it will be converted directly into Canadian dollars.</w:t>
      </w:r>
    </w:p>
    <w:p w:rsidR="00A07B51" w:rsidRPr="008737E1" w:rsidRDefault="00A07B51" w:rsidP="00A07B51">
      <w:pPr>
        <w:pStyle w:val="Citation-AltC"/>
      </w:pPr>
    </w:p>
    <w:p w:rsidR="00A07B51" w:rsidRPr="008737E1" w:rsidRDefault="00A07B51" w:rsidP="00A07B51">
      <w:pPr>
        <w:pStyle w:val="Citation-AltC"/>
      </w:pPr>
      <w:r w:rsidRPr="008737E1">
        <w:t xml:space="preserve">Unless a specific rate is required by applicable law, you understand and agree that the American Express treasury system will use </w:t>
      </w:r>
      <w:r w:rsidRPr="008737E1">
        <w:rPr>
          <w:u w:val="single"/>
        </w:rPr>
        <w:t>conversion rates based on interbank rates</w:t>
      </w:r>
      <w:r w:rsidRPr="008737E1">
        <w:t xml:space="preserve"> that it selects from customary industry </w:t>
      </w:r>
      <w:r w:rsidRPr="008737E1">
        <w:lastRenderedPageBreak/>
        <w:t xml:space="preserve">sources on the business day prior to the processing date, </w:t>
      </w:r>
      <w:r w:rsidRPr="008737E1">
        <w:rPr>
          <w:u w:val="single"/>
        </w:rPr>
        <w:t>increased by a single conversion commission as specified on your Disclosure Statement or as otherwise disclosed by us</w:t>
      </w:r>
      <w:r w:rsidRPr="008737E1">
        <w:t>. [Emphasis added.]</w:t>
      </w:r>
    </w:p>
    <w:p w:rsidR="00A07B51" w:rsidRPr="008737E1" w:rsidRDefault="00A07B51" w:rsidP="00A07B51">
      <w:pPr>
        <w:pStyle w:val="ParaNoNdepar-AltN"/>
        <w:rPr>
          <w:rFonts w:cs="Times New Roman"/>
        </w:rPr>
      </w:pPr>
      <w:r w:rsidRPr="008737E1">
        <w:rPr>
          <w:rFonts w:cs="Times New Roman"/>
        </w:rPr>
        <w:t>The monthly account statements sent to Amex’s cardholders only began to include the rate for the conversion charge in December 2003.</w:t>
      </w:r>
    </w:p>
    <w:p w:rsidR="00A07B51" w:rsidRPr="008737E1" w:rsidRDefault="00A07B51" w:rsidP="00A07B51">
      <w:pPr>
        <w:pStyle w:val="ParaNoNdepar-AltN"/>
        <w:rPr>
          <w:rFonts w:cs="Times New Roman"/>
        </w:rPr>
      </w:pPr>
      <w:r w:rsidRPr="008737E1">
        <w:rPr>
          <w:rFonts w:cs="Times New Roman"/>
        </w:rPr>
        <w:t>Sylvan Adams, the representative plaintiff in the Amex Action, first found out about the conversion charge in 2004 when he was asked to be the class representative. The class at issue in the Amex Action includes both consumer and non-consumer cardholders of both credit and charge cards. The class action was authorized on November 1, 2006, and the hearing on the merits occurred after the hearing for the BMO and Desjardins Actions.</w:t>
      </w:r>
    </w:p>
    <w:p w:rsidR="00A07B51" w:rsidRPr="008737E1" w:rsidRDefault="00A07B51" w:rsidP="00A07B51">
      <w:pPr>
        <w:pStyle w:val="Title1LevelTitre1Niveau-AltL"/>
        <w:rPr>
          <w:rFonts w:cs="Times New Roman"/>
        </w:rPr>
      </w:pPr>
      <w:r w:rsidRPr="008737E1">
        <w:rPr>
          <w:rFonts w:cs="Times New Roman"/>
        </w:rPr>
        <w:t>Judicial History</w:t>
      </w:r>
    </w:p>
    <w:p w:rsidR="00A07B51" w:rsidRPr="008737E1" w:rsidRDefault="00A07B51" w:rsidP="00A07B51">
      <w:pPr>
        <w:pStyle w:val="ParaNoNdepar-AltN"/>
        <w:rPr>
          <w:rFonts w:cs="Times New Roman"/>
        </w:rPr>
      </w:pPr>
      <w:r w:rsidRPr="008737E1">
        <w:rPr>
          <w:rFonts w:cs="Times New Roman"/>
        </w:rPr>
        <w:t>As explained in the BMO Decision, although separate trial and appeal judgments were rendered for the BMO, Desjardins and Amex Actions, the judgments overlap and therefore refer to each other as necessary. The summaries below will focus on the portions of the lower court judgments in the Amex Action that were not summarized in the BMO Decision.</w:t>
      </w:r>
    </w:p>
    <w:p w:rsidR="00A07B51" w:rsidRPr="008737E1" w:rsidRDefault="00A07B51" w:rsidP="00A07B51">
      <w:pPr>
        <w:pStyle w:val="Title2LevelTitre2Niveau"/>
        <w:rPr>
          <w:rFonts w:cs="Times New Roman"/>
        </w:rPr>
      </w:pPr>
      <w:r w:rsidRPr="008737E1">
        <w:rPr>
          <w:rFonts w:cs="Times New Roman"/>
        </w:rPr>
        <w:t>Quebec Superior Court, 2009 QCCS 2695, [2009] R.J.Q. 1746</w:t>
      </w:r>
    </w:p>
    <w:p w:rsidR="00A07B51" w:rsidRPr="008737E1" w:rsidRDefault="00A07B51" w:rsidP="00A07B51">
      <w:pPr>
        <w:pStyle w:val="ParaNoNdepar-AltN"/>
        <w:rPr>
          <w:rFonts w:cs="Times New Roman"/>
        </w:rPr>
      </w:pPr>
      <w:r w:rsidRPr="008737E1">
        <w:rPr>
          <w:rFonts w:cs="Times New Roman"/>
        </w:rPr>
        <w:t xml:space="preserve">Gascon J., as he then was, rejected Amex’s argument that Mr. Adams lacked standing to bring the class action. It is irrelevant whether Mr. Adams knew </w:t>
      </w:r>
      <w:r w:rsidRPr="008737E1">
        <w:rPr>
          <w:rFonts w:cs="Times New Roman"/>
        </w:rPr>
        <w:lastRenderedPageBreak/>
        <w:t xml:space="preserve">about the conversion charge during the class period or whether a third party — Mr. Adams’ company — paid his monthly account. These issues might affect Mr. Adams’ chance of succeeding in his personal claim, but they do not affect his legal interest or standing in the matter. </w:t>
      </w:r>
    </w:p>
    <w:p w:rsidR="00A07B51" w:rsidRPr="008737E1" w:rsidRDefault="00A07B51" w:rsidP="00A07B51">
      <w:pPr>
        <w:pStyle w:val="ParaNoNdepar-AltN"/>
        <w:rPr>
          <w:rFonts w:cs="Times New Roman"/>
        </w:rPr>
      </w:pPr>
      <w:r w:rsidRPr="008737E1">
        <w:rPr>
          <w:rFonts w:cs="Times New Roman"/>
        </w:rPr>
        <w:t>Gascon J. also rejected Amex’s argument that conversion charges were part of the “exchange rate” disclosed to and imposed on cardholders. Conversion of foreign purchases occurs in two steps: first, the amount is converted using the daily exchange rate, which is based on the interbank rate; second, the conversion charge is imposed on the converted amount. The cardholder agreements prior to March 1993 and after March 2003 disclosed the conversion charge separately from the exchange rate in recognition of the two-step process. The FCAC also viewed conversion charges as being akin to fees for cash advances, money orders, or annulled/dishonoured cheques and separate from the exchange rate.</w:t>
      </w:r>
      <w:r w:rsidR="00CB089D">
        <w:rPr>
          <w:rFonts w:cs="Times New Roman"/>
        </w:rPr>
        <w:t xml:space="preserve"> </w:t>
      </w:r>
    </w:p>
    <w:p w:rsidR="00A07B51" w:rsidRPr="008737E1" w:rsidRDefault="00A07B51" w:rsidP="00A07B51">
      <w:pPr>
        <w:pStyle w:val="ParaNoNdepar-AltN"/>
        <w:rPr>
          <w:rFonts w:cs="Times New Roman"/>
        </w:rPr>
      </w:pPr>
      <w:r w:rsidRPr="008737E1">
        <w:rPr>
          <w:rFonts w:cs="Times New Roman"/>
        </w:rPr>
        <w:t xml:space="preserve">As a result, Gascon J. concluded that Amex violated the general disclosure requirement imposed by s. 12 of the </w:t>
      </w:r>
      <w:r w:rsidRPr="008737E1">
        <w:rPr>
          <w:rFonts w:cs="Times New Roman"/>
          <w:i/>
        </w:rPr>
        <w:t>CPA</w:t>
      </w:r>
      <w:r w:rsidRPr="008737E1">
        <w:rPr>
          <w:rFonts w:cs="Times New Roman"/>
        </w:rPr>
        <w:t>. Amex was also held to have violated s. 219</w:t>
      </w:r>
      <w:r w:rsidR="001A7B3B">
        <w:rPr>
          <w:rFonts w:cs="Times New Roman"/>
        </w:rPr>
        <w:t xml:space="preserve"> of the </w:t>
      </w:r>
      <w:r w:rsidR="001A7B3B" w:rsidRPr="001A7B3B">
        <w:rPr>
          <w:rFonts w:cs="Times New Roman"/>
          <w:i/>
        </w:rPr>
        <w:t>CPA</w:t>
      </w:r>
      <w:r w:rsidRPr="008737E1">
        <w:rPr>
          <w:rFonts w:cs="Times New Roman"/>
        </w:rPr>
        <w:t xml:space="preserve">, which forbids the making of “false or misleading representations to a consumer”, because of Amex’s “deliberate and conscientious” removal of any reference to the conversion charge from the cardholder agreements, rendering those agreements misleading to credulous and inexperienced consumers (para. 181). Gascon J. noted that “Amex ended up charging the [conversion charge] with no entitlement in view of its lack of prior disclosure” (para. 197). However, conversion charges imposed after March 2003 were in compliance with ss. 12 and </w:t>
      </w:r>
      <w:r w:rsidRPr="008737E1">
        <w:rPr>
          <w:rFonts w:cs="Times New Roman"/>
        </w:rPr>
        <w:lastRenderedPageBreak/>
        <w:t xml:space="preserve">219, even if the monthly statements did not mention the conversion charge until December 2003, because the existence of the conversion charge was disclosed by Amex in a notice to all cardholders in February 2003. </w:t>
      </w:r>
    </w:p>
    <w:p w:rsidR="00A07B51" w:rsidRPr="008737E1" w:rsidRDefault="00A07B51" w:rsidP="00A07B51">
      <w:pPr>
        <w:pStyle w:val="ParaNoNdepar-AltN"/>
        <w:rPr>
          <w:rFonts w:cs="Times New Roman"/>
        </w:rPr>
      </w:pPr>
      <w:r w:rsidRPr="008737E1">
        <w:rPr>
          <w:rFonts w:cs="Times New Roman"/>
        </w:rPr>
        <w:t>Repayment of all conversion charges collected from consumer cardholders from March 1, 1993</w:t>
      </w:r>
      <w:r w:rsidR="001A7B3B">
        <w:rPr>
          <w:rFonts w:cs="Times New Roman"/>
        </w:rPr>
        <w:t>,</w:t>
      </w:r>
      <w:r w:rsidRPr="008737E1">
        <w:rPr>
          <w:rFonts w:cs="Times New Roman"/>
        </w:rPr>
        <w:t xml:space="preserve"> to March 1, 2003, was ordered by Gascon J. under s. 272 of the </w:t>
      </w:r>
      <w:r w:rsidRPr="008737E1">
        <w:rPr>
          <w:rFonts w:cs="Times New Roman"/>
          <w:i/>
        </w:rPr>
        <w:t>CPA</w:t>
      </w:r>
      <w:r w:rsidRPr="008737E1">
        <w:rPr>
          <w:rFonts w:cs="Times New Roman"/>
        </w:rPr>
        <w:t xml:space="preserve">. In </w:t>
      </w:r>
      <w:r w:rsidRPr="008737E1">
        <w:rPr>
          <w:rFonts w:cs="Times New Roman"/>
          <w:i/>
        </w:rPr>
        <w:t>Service aux marchands détaillants ltée (Household Finance) v. Option consommateurs</w:t>
      </w:r>
      <w:r w:rsidRPr="008737E1">
        <w:rPr>
          <w:rFonts w:cs="Times New Roman"/>
        </w:rPr>
        <w:t xml:space="preserve">, 2006 QCCA 1319 (CanLII), leave to appeal refused, [2007] 1 S.C.R. xi, the Quebec Court of Appeal held that ss. 271 and 272 are mutually exclusive. While the remedies under s. 271 are for “violations of the rules governing the making or the form of the contract”, s. 272 remedies are for “violations of the general obligations imposed by the CPA” (trial reasons, at para. 211). Gascon J. concluded that Amex’s violation of s. 12 of the </w:t>
      </w:r>
      <w:r w:rsidRPr="008737E1">
        <w:rPr>
          <w:rFonts w:cs="Times New Roman"/>
          <w:i/>
        </w:rPr>
        <w:t>CPA</w:t>
      </w:r>
      <w:r w:rsidRPr="008737E1">
        <w:rPr>
          <w:rFonts w:cs="Times New Roman"/>
        </w:rPr>
        <w:t xml:space="preserve"> was “more a question of substance than a mere question of form”, meaning s. 272 applies (para. 215). With respect to s. 219, the Quebec Court of Appeal has previously held that the appropriate sanctions for breaches of business practices provisions such as s. 219 are found in s. 272. </w:t>
      </w:r>
    </w:p>
    <w:p w:rsidR="00A07B51" w:rsidRPr="008737E1" w:rsidRDefault="00A07B51" w:rsidP="00A07B51">
      <w:pPr>
        <w:pStyle w:val="ParaNoNdepar-AltN"/>
        <w:rPr>
          <w:rFonts w:cs="Times New Roman"/>
        </w:rPr>
      </w:pPr>
      <w:r w:rsidRPr="008737E1">
        <w:rPr>
          <w:rFonts w:cs="Times New Roman"/>
        </w:rPr>
        <w:t xml:space="preserve">Under s. 272, the lack of prejudice to consumers is not an available defence, in keeping with the general legal principles of restitution of a thing not due. </w:t>
      </w:r>
    </w:p>
    <w:p w:rsidR="00A07B51" w:rsidRPr="008737E1" w:rsidRDefault="00A07B51" w:rsidP="00A07B51">
      <w:pPr>
        <w:pStyle w:val="ParaNoNdepar-AltN"/>
        <w:rPr>
          <w:rFonts w:cs="Times New Roman"/>
        </w:rPr>
      </w:pPr>
      <w:r w:rsidRPr="008737E1">
        <w:rPr>
          <w:rFonts w:cs="Times New Roman"/>
        </w:rPr>
        <w:t xml:space="preserve">For the same reasons he gave in the BMO Action, Gascon J. concluded that prescription did not bar the claims of any cardholders. The prescription period </w:t>
      </w:r>
      <w:r w:rsidRPr="008737E1">
        <w:rPr>
          <w:rFonts w:cs="Times New Roman"/>
        </w:rPr>
        <w:lastRenderedPageBreak/>
        <w:t xml:space="preserve">was suspended during the period of non-disclosure, and in any case a new contract is formed when cardholders renew their cards. </w:t>
      </w:r>
    </w:p>
    <w:p w:rsidR="00A07B51" w:rsidRPr="008737E1" w:rsidRDefault="00A07B51" w:rsidP="00A07B51">
      <w:pPr>
        <w:pStyle w:val="ParaNoNdepar-AltN"/>
        <w:rPr>
          <w:rFonts w:cs="Times New Roman"/>
        </w:rPr>
      </w:pPr>
      <w:r w:rsidRPr="008737E1">
        <w:rPr>
          <w:rFonts w:cs="Times New Roman"/>
        </w:rPr>
        <w:t xml:space="preserve">Referring to his decision in the BMO Action, Gascon J. rejected Amex’s constitutional arguments that the </w:t>
      </w:r>
      <w:r w:rsidRPr="008737E1">
        <w:rPr>
          <w:rFonts w:cs="Times New Roman"/>
          <w:i/>
        </w:rPr>
        <w:t>CPA</w:t>
      </w:r>
      <w:r w:rsidRPr="008737E1">
        <w:rPr>
          <w:rFonts w:cs="Times New Roman"/>
        </w:rPr>
        <w:t xml:space="preserve"> does not apply to them due to the doctrines of interjurisdictional immunity and paramountcy. He noted that the inapplicability of the two doctrines is even clearer in the Amex Action because (1) the only provisions of the </w:t>
      </w:r>
      <w:r w:rsidRPr="008737E1">
        <w:rPr>
          <w:rFonts w:cs="Times New Roman"/>
          <w:i/>
        </w:rPr>
        <w:t>CPA</w:t>
      </w:r>
      <w:r w:rsidRPr="008737E1">
        <w:rPr>
          <w:rFonts w:cs="Times New Roman"/>
        </w:rPr>
        <w:t xml:space="preserve"> at issue are those concerning disclosure, (2) prior to 1993 Amex demonstrated that it was able to comply with those provisions without any impairment of their operations, and (3) because charge cards — which comprise 95 percent of the amounts of the conversion charges at issue in the Amex Action — are more akin to convenience cards issued by private merchants than to credit granted by banks.</w:t>
      </w:r>
      <w:r w:rsidR="00CB089D">
        <w:rPr>
          <w:rFonts w:cs="Times New Roman"/>
        </w:rPr>
        <w:t xml:space="preserve"> </w:t>
      </w:r>
    </w:p>
    <w:p w:rsidR="00A07B51" w:rsidRPr="008737E1" w:rsidRDefault="00A07B51" w:rsidP="00A07B51">
      <w:pPr>
        <w:pStyle w:val="ParaNoNdepar-AltN"/>
        <w:rPr>
          <w:rFonts w:cs="Times New Roman"/>
        </w:rPr>
      </w:pPr>
      <w:r w:rsidRPr="008737E1">
        <w:rPr>
          <w:rFonts w:cs="Times New Roman"/>
        </w:rPr>
        <w:t xml:space="preserve">Gascon J. also accepted Mr. Adams’ argument that all cardholders, both consumers and non-consumers, are owed restitution of the conversion charges imposed during the period of non-disclosure under arts. 1491 and 1554 of the </w:t>
      </w:r>
      <w:r w:rsidRPr="008737E1">
        <w:rPr>
          <w:rFonts w:cs="Times New Roman"/>
          <w:i/>
        </w:rPr>
        <w:t xml:space="preserve">Civil Code of Québec </w:t>
      </w:r>
      <w:r w:rsidRPr="008737E1">
        <w:rPr>
          <w:rFonts w:cs="Times New Roman"/>
        </w:rPr>
        <w:t>(“</w:t>
      </w:r>
      <w:r w:rsidRPr="008737E1">
        <w:rPr>
          <w:rFonts w:cs="Times New Roman"/>
          <w:i/>
        </w:rPr>
        <w:t>CCQ</w:t>
      </w:r>
      <w:r w:rsidRPr="008737E1">
        <w:rPr>
          <w:rFonts w:cs="Times New Roman"/>
        </w:rPr>
        <w:t xml:space="preserve">”). Because the cardholder agreements made no mention of the conversion charge, and because “exchange rate” cannot be interpreted as imposing an obligation to pay the conversion charge, cardholders had no obligation to pay it and only paid it in error. Gascon J. declined to exercise his discretion to not order restitution under art. 1699 para. 2 of the </w:t>
      </w:r>
      <w:r w:rsidRPr="008737E1">
        <w:rPr>
          <w:rFonts w:cs="Times New Roman"/>
          <w:i/>
        </w:rPr>
        <w:t>CCQ</w:t>
      </w:r>
      <w:r w:rsidRPr="008737E1">
        <w:rPr>
          <w:rFonts w:cs="Times New Roman"/>
        </w:rPr>
        <w:t xml:space="preserve">. Accordingly, restitution in the amount of $9,561,464 for consumer cardholders and $3,536,432 for non-consumer cardholders was ordered on a collective basis. </w:t>
      </w:r>
    </w:p>
    <w:p w:rsidR="00A07B51" w:rsidRPr="008737E1" w:rsidRDefault="00A07B51" w:rsidP="00A07B51">
      <w:pPr>
        <w:pStyle w:val="ParaNoNdepar-AltN"/>
        <w:rPr>
          <w:rFonts w:cs="Times New Roman"/>
        </w:rPr>
      </w:pPr>
      <w:r w:rsidRPr="008737E1">
        <w:rPr>
          <w:rFonts w:cs="Times New Roman"/>
        </w:rPr>
        <w:lastRenderedPageBreak/>
        <w:t xml:space="preserve">Finally, Gascon J. awarded $2.5 million in punitive damages to consumer cardholders on a collective basis under s. 272 of the </w:t>
      </w:r>
      <w:r w:rsidRPr="008737E1">
        <w:rPr>
          <w:rFonts w:cs="Times New Roman"/>
          <w:i/>
        </w:rPr>
        <w:t>CPA</w:t>
      </w:r>
      <w:r w:rsidRPr="008737E1">
        <w:rPr>
          <w:rFonts w:cs="Times New Roman"/>
        </w:rPr>
        <w:t xml:space="preserve">. The punitive damages were awarded in light of Amex’s “rather blunt disregard of its obligations” and its inability to provide a “legitimate excuse” for its behaviour (paras. 425-26). </w:t>
      </w:r>
    </w:p>
    <w:p w:rsidR="00A07B51" w:rsidRPr="008737E1" w:rsidRDefault="00A07B51" w:rsidP="00A07B51">
      <w:pPr>
        <w:pStyle w:val="Title2LevelTitre2Niveau"/>
        <w:rPr>
          <w:rFonts w:cs="Times New Roman"/>
        </w:rPr>
      </w:pPr>
      <w:r w:rsidRPr="008737E1">
        <w:rPr>
          <w:rFonts w:cs="Times New Roman"/>
        </w:rPr>
        <w:t xml:space="preserve">Quebec Court of Appeal, 2012 QCCA 1394, [2012] R.J.Q. 1512 </w:t>
      </w:r>
    </w:p>
    <w:p w:rsidR="00A07B51" w:rsidRPr="008737E1" w:rsidRDefault="00A07B51" w:rsidP="00A07B51">
      <w:pPr>
        <w:pStyle w:val="ParaNoNdepar-AltN"/>
        <w:rPr>
          <w:rFonts w:cs="Times New Roman"/>
        </w:rPr>
      </w:pPr>
      <w:r w:rsidRPr="008737E1">
        <w:rPr>
          <w:rFonts w:cs="Times New Roman"/>
        </w:rPr>
        <w:t xml:space="preserve">Dalphond J.A. agreed with Gascon J. that the doctrines of interjurisdictional immunity and paramountcy did not apply to render the </w:t>
      </w:r>
      <w:r w:rsidRPr="008737E1">
        <w:rPr>
          <w:rFonts w:cs="Times New Roman"/>
          <w:i/>
        </w:rPr>
        <w:t>CPA</w:t>
      </w:r>
      <w:r w:rsidRPr="008737E1">
        <w:rPr>
          <w:rFonts w:cs="Times New Roman"/>
        </w:rPr>
        <w:t xml:space="preserve"> inapplicable or inoperative in the Amex Action, particularly since, unlike in the BMO and Desjardins Actions, Mr. Adams did not argue that the conversion charges were credit charges under the </w:t>
      </w:r>
      <w:r w:rsidRPr="008737E1">
        <w:rPr>
          <w:rFonts w:cs="Times New Roman"/>
          <w:i/>
        </w:rPr>
        <w:t>CPA</w:t>
      </w:r>
      <w:r w:rsidRPr="008737E1">
        <w:rPr>
          <w:rFonts w:cs="Times New Roman"/>
        </w:rPr>
        <w:t xml:space="preserve">. </w:t>
      </w:r>
    </w:p>
    <w:p w:rsidR="00A07B51" w:rsidRPr="008737E1" w:rsidRDefault="00A07B51" w:rsidP="00A07B51">
      <w:pPr>
        <w:pStyle w:val="ParaNoNdepar-AltN"/>
        <w:rPr>
          <w:rFonts w:cs="Times New Roman"/>
        </w:rPr>
      </w:pPr>
      <w:r w:rsidRPr="008737E1">
        <w:rPr>
          <w:rFonts w:cs="Times New Roman"/>
        </w:rPr>
        <w:t xml:space="preserve">Dalphond J.A. characterized Gascon J.’s conclusion that the conversion charge was not part of the exchange rate as a finding of fact, or at most a mixed question of law and fact. As Amex failed to demonstrate a palpable and overriding error in this conclusion, Gascon J.’s finding — and thus his order for restitution of a payment not due — must stand as they were based on facts and an accurate reading of the applicable </w:t>
      </w:r>
      <w:r w:rsidRPr="008737E1">
        <w:rPr>
          <w:rFonts w:cs="Times New Roman"/>
          <w:i/>
        </w:rPr>
        <w:t>CCQ</w:t>
      </w:r>
      <w:r w:rsidRPr="008737E1">
        <w:rPr>
          <w:rFonts w:cs="Times New Roman"/>
        </w:rPr>
        <w:t xml:space="preserve"> articles. Amex failed to demonstrate that Gascon J. erred in refusing to exercise his discretion to not award restitution; it provided no evidence regarding the cost of providing the conversion service to cardholders, received other benefits from offering the charge and credit card products other than the conversion charge, and did not demonstrate that cardholders would receive an undue advantage as a result of restitution. </w:t>
      </w:r>
    </w:p>
    <w:p w:rsidR="00A07B51" w:rsidRPr="008737E1" w:rsidRDefault="00A07B51" w:rsidP="00A07B51">
      <w:pPr>
        <w:pStyle w:val="ParaNoNdepar-AltN"/>
        <w:rPr>
          <w:rFonts w:cs="Times New Roman"/>
        </w:rPr>
      </w:pPr>
      <w:r w:rsidRPr="008737E1">
        <w:rPr>
          <w:rFonts w:cs="Times New Roman"/>
        </w:rPr>
        <w:lastRenderedPageBreak/>
        <w:t xml:space="preserve">However, Dalphond J.A. overturned the award of punitive damages because the trial judgment failed to consider the punitive aspect inherent in collective recovery, the fact that Amex had long since corrected its violation meaning there was no preventive purpose to be served, the lack of evidence that Amex behaved in an antisocial or reprehensible manner, and the fact that with restitution of the conversion charges, cardholders will have received 10-years’ worth of a valuable service for free. </w:t>
      </w:r>
    </w:p>
    <w:p w:rsidR="00A07B51" w:rsidRPr="008737E1" w:rsidRDefault="00A07B51" w:rsidP="00A07B51">
      <w:pPr>
        <w:pStyle w:val="Title1LevelTitre1Niveau-AltL"/>
        <w:rPr>
          <w:rFonts w:cs="Times New Roman"/>
        </w:rPr>
      </w:pPr>
      <w:r w:rsidRPr="008737E1">
        <w:rPr>
          <w:rFonts w:cs="Times New Roman"/>
        </w:rPr>
        <w:t>Issues</w:t>
      </w:r>
    </w:p>
    <w:p w:rsidR="00A07B51" w:rsidRPr="008737E1" w:rsidRDefault="00A07B51" w:rsidP="00A07B51">
      <w:pPr>
        <w:pStyle w:val="ParaNoNdepar-AltN"/>
        <w:rPr>
          <w:rFonts w:cs="Times New Roman"/>
        </w:rPr>
      </w:pPr>
      <w:r w:rsidRPr="008737E1">
        <w:rPr>
          <w:rFonts w:cs="Times New Roman"/>
        </w:rPr>
        <w:t>This appeal raises the following issues:</w:t>
      </w:r>
    </w:p>
    <w:p w:rsidR="00A07B51" w:rsidRPr="008737E1" w:rsidRDefault="00583F8C" w:rsidP="0051044F">
      <w:pPr>
        <w:pStyle w:val="Citation-AltC"/>
        <w:spacing w:line="480" w:lineRule="auto"/>
        <w:ind w:left="0"/>
        <w:rPr>
          <w:rFonts w:eastAsiaTheme="minorEastAsia"/>
        </w:rPr>
      </w:pPr>
      <w:r>
        <w:rPr>
          <w:rFonts w:eastAsiaTheme="minorEastAsia"/>
        </w:rPr>
        <w:t>(a)</w:t>
      </w:r>
      <w:r>
        <w:rPr>
          <w:rFonts w:eastAsiaTheme="minorEastAsia"/>
        </w:rPr>
        <w:tab/>
      </w:r>
      <w:r w:rsidR="00A07B51" w:rsidRPr="008737E1">
        <w:rPr>
          <w:rFonts w:eastAsiaTheme="minorEastAsia"/>
        </w:rPr>
        <w:t xml:space="preserve">Are ss. 12, 219 and 272 of the </w:t>
      </w:r>
      <w:r w:rsidR="00A07B51" w:rsidRPr="008737E1">
        <w:rPr>
          <w:i/>
        </w:rPr>
        <w:t>CPA</w:t>
      </w:r>
      <w:r w:rsidR="00A07B51" w:rsidRPr="008737E1">
        <w:rPr>
          <w:rFonts w:eastAsiaTheme="minorEastAsia"/>
        </w:rPr>
        <w:t xml:space="preserve"> constitutionally inapplicable or inoperative in respect of bank-issued credit and charge cards by reason of the doctrine of interjurisdictional immunity or federal paramountcy?</w:t>
      </w:r>
    </w:p>
    <w:p w:rsidR="00A07B51" w:rsidRPr="008737E1" w:rsidRDefault="00A07B51" w:rsidP="00A07B51">
      <w:pPr>
        <w:pStyle w:val="Citation-AltC"/>
        <w:spacing w:line="480" w:lineRule="auto"/>
        <w:rPr>
          <w:rFonts w:eastAsiaTheme="minorEastAsia"/>
        </w:rPr>
      </w:pPr>
    </w:p>
    <w:p w:rsidR="00A07B51" w:rsidRPr="008737E1" w:rsidRDefault="00583F8C" w:rsidP="0051044F">
      <w:pPr>
        <w:pStyle w:val="Citation-AltC"/>
        <w:spacing w:line="480" w:lineRule="auto"/>
        <w:ind w:left="0"/>
        <w:rPr>
          <w:rFonts w:eastAsiaTheme="minorEastAsia"/>
        </w:rPr>
      </w:pPr>
      <w:r>
        <w:rPr>
          <w:rFonts w:eastAsiaTheme="minorEastAsia"/>
        </w:rPr>
        <w:t>(b)</w:t>
      </w:r>
      <w:r>
        <w:rPr>
          <w:rFonts w:eastAsiaTheme="minorEastAsia"/>
        </w:rPr>
        <w:tab/>
      </w:r>
      <w:r w:rsidR="00A07B51" w:rsidRPr="008737E1">
        <w:rPr>
          <w:rFonts w:eastAsiaTheme="minorEastAsia"/>
        </w:rPr>
        <w:t>Did Amex disclose the conversion charges to its cardholders and if not, what is the appropriate remedy?</w:t>
      </w:r>
    </w:p>
    <w:p w:rsidR="00A07B51" w:rsidRPr="008737E1" w:rsidRDefault="00A07B51" w:rsidP="00A07B51">
      <w:pPr>
        <w:pStyle w:val="Title1LevelTitre1Niveau-AltL"/>
        <w:rPr>
          <w:rFonts w:cs="Times New Roman"/>
        </w:rPr>
      </w:pPr>
      <w:r w:rsidRPr="008737E1">
        <w:rPr>
          <w:rFonts w:cs="Times New Roman"/>
        </w:rPr>
        <w:t>Analysis</w:t>
      </w:r>
    </w:p>
    <w:p w:rsidR="00A07B51" w:rsidRPr="008737E1" w:rsidRDefault="00A07B51" w:rsidP="00641E27">
      <w:pPr>
        <w:pStyle w:val="Title2LevelTitre2Niveau"/>
        <w:jc w:val="both"/>
        <w:rPr>
          <w:rFonts w:cs="Times New Roman"/>
        </w:rPr>
      </w:pPr>
      <w:r w:rsidRPr="008737E1">
        <w:rPr>
          <w:rFonts w:cs="Times New Roman"/>
        </w:rPr>
        <w:t>The Doctrines of Interjurisdictional Immunity and Federal Paramountcy Do Not Apply</w:t>
      </w:r>
    </w:p>
    <w:p w:rsidR="00A07B51" w:rsidRPr="008737E1" w:rsidRDefault="00A07B51" w:rsidP="00A07B51">
      <w:pPr>
        <w:pStyle w:val="ParaNoNdepar-AltN"/>
        <w:rPr>
          <w:rFonts w:cs="Times New Roman"/>
        </w:rPr>
      </w:pPr>
      <w:r w:rsidRPr="008737E1">
        <w:rPr>
          <w:rFonts w:cs="Times New Roman"/>
        </w:rPr>
        <w:lastRenderedPageBreak/>
        <w:t xml:space="preserve">For the reasons given in the BMO Decision, the relevant </w:t>
      </w:r>
      <w:r w:rsidRPr="008737E1">
        <w:rPr>
          <w:rFonts w:cs="Times New Roman"/>
          <w:i/>
        </w:rPr>
        <w:t>CPA</w:t>
      </w:r>
      <w:r w:rsidRPr="008737E1">
        <w:rPr>
          <w:rFonts w:cs="Times New Roman"/>
        </w:rPr>
        <w:t xml:space="preserve"> provisions are neither inapplicable nor inoperative under the doctrine of interjurisdictional immunity or federal paramountcy. </w:t>
      </w:r>
    </w:p>
    <w:p w:rsidR="00A07B51" w:rsidRPr="008737E1" w:rsidRDefault="00A07B51" w:rsidP="00641E27">
      <w:pPr>
        <w:pStyle w:val="Title2LevelTitre2Niveau"/>
        <w:jc w:val="both"/>
        <w:rPr>
          <w:rFonts w:cs="Times New Roman"/>
        </w:rPr>
      </w:pPr>
      <w:r w:rsidRPr="008737E1">
        <w:rPr>
          <w:rFonts w:cs="Times New Roman"/>
        </w:rPr>
        <w:t>Amex Must Reimburse the Conversion Charges Collected During the Class Period</w:t>
      </w:r>
    </w:p>
    <w:p w:rsidR="00A07B51" w:rsidRPr="008737E1" w:rsidRDefault="00A07B51" w:rsidP="00A07B51">
      <w:pPr>
        <w:pStyle w:val="Title3LevelTitre3Niveau"/>
        <w:rPr>
          <w:rFonts w:cs="Times New Roman"/>
        </w:rPr>
      </w:pPr>
      <w:r w:rsidRPr="008737E1">
        <w:rPr>
          <w:rFonts w:cs="Times New Roman"/>
        </w:rPr>
        <w:t>Amex Failed to Disclose the Conversion Charge</w:t>
      </w:r>
    </w:p>
    <w:p w:rsidR="00A07B51" w:rsidRPr="008737E1" w:rsidRDefault="00A07B51" w:rsidP="00A07B51">
      <w:pPr>
        <w:pStyle w:val="ParaNoNdepar-AltN"/>
        <w:rPr>
          <w:rFonts w:cs="Times New Roman"/>
        </w:rPr>
      </w:pPr>
      <w:r w:rsidRPr="008737E1">
        <w:rPr>
          <w:rFonts w:cs="Times New Roman"/>
        </w:rPr>
        <w:t xml:space="preserve">At trial, Gascon J. concluded that the conversion charge was not disclosed in cardholder agreements between 1993 and 2003. As a result, under the </w:t>
      </w:r>
      <w:r w:rsidRPr="008737E1">
        <w:rPr>
          <w:rFonts w:cs="Times New Roman"/>
          <w:i/>
        </w:rPr>
        <w:t>CPA</w:t>
      </w:r>
      <w:r w:rsidRPr="008737E1">
        <w:rPr>
          <w:rFonts w:cs="Times New Roman"/>
        </w:rPr>
        <w:t xml:space="preserve"> it should not have been charged to its consumer cardholders, and under the </w:t>
      </w:r>
      <w:r w:rsidRPr="008737E1">
        <w:rPr>
          <w:rFonts w:cs="Times New Roman"/>
          <w:i/>
        </w:rPr>
        <w:t>CCQ</w:t>
      </w:r>
      <w:r w:rsidRPr="008737E1">
        <w:rPr>
          <w:rFonts w:cs="Times New Roman"/>
        </w:rPr>
        <w:t xml:space="preserve"> it should not have been charged to its non-consumer cardholders. The Court of Appeal held that his finding that the conversion charge was a separate fee rather than a component of the exchange rate was a determination of fact, or at most of mixed fact and law, and should therefore not be disturbed given the lack of any palpable and overriding error (para. 34). We agree with this conclusion. </w:t>
      </w:r>
    </w:p>
    <w:p w:rsidR="00A07B51" w:rsidRPr="008737E1" w:rsidRDefault="00A07B51" w:rsidP="00A07B51">
      <w:pPr>
        <w:pStyle w:val="ParaNoNdepar-AltN"/>
        <w:rPr>
          <w:rFonts w:cs="Times New Roman"/>
        </w:rPr>
      </w:pPr>
      <w:r w:rsidRPr="008737E1">
        <w:rPr>
          <w:rFonts w:cs="Times New Roman"/>
        </w:rPr>
        <w:t xml:space="preserve">As a result, for the same reasons given in the BMO Decision, Amex violated s. 12 of the </w:t>
      </w:r>
      <w:r w:rsidRPr="008737E1">
        <w:rPr>
          <w:rFonts w:cs="Times New Roman"/>
          <w:i/>
        </w:rPr>
        <w:t>CPA</w:t>
      </w:r>
      <w:r w:rsidRPr="008737E1">
        <w:rPr>
          <w:rFonts w:cs="Times New Roman"/>
        </w:rPr>
        <w:t xml:space="preserve"> and must, under s. 272(</w:t>
      </w:r>
      <w:r w:rsidRPr="008737E1">
        <w:rPr>
          <w:rFonts w:cs="Times New Roman"/>
          <w:i/>
        </w:rPr>
        <w:t>c</w:t>
      </w:r>
      <w:r w:rsidRPr="008737E1">
        <w:rPr>
          <w:rFonts w:cs="Times New Roman"/>
        </w:rPr>
        <w:t>) of that Act, reimburse the conversion charges collected from the consumer class members between 1993 and 2003 as described by the trial judge (paras. 494-95). However, unlike the BMO Decision, Amex does not owe punitive damages as a result of its breach of s. 12. This is because Mr. Adams has not cross-appealed in this case, meaning the issue of punitive damages in this action is not before the Court. With respect to the non-</w:t>
      </w:r>
      <w:r w:rsidRPr="008737E1">
        <w:rPr>
          <w:rFonts w:cs="Times New Roman"/>
        </w:rPr>
        <w:lastRenderedPageBreak/>
        <w:t xml:space="preserve">consumer class members, the </w:t>
      </w:r>
      <w:r w:rsidRPr="008737E1">
        <w:rPr>
          <w:rFonts w:cs="Times New Roman"/>
          <w:i/>
        </w:rPr>
        <w:t>CPA</w:t>
      </w:r>
      <w:r w:rsidRPr="008737E1">
        <w:rPr>
          <w:rFonts w:cs="Times New Roman"/>
        </w:rPr>
        <w:t xml:space="preserve"> does not apply. We must instead consider whether Amex must restore the conversion charges under the </w:t>
      </w:r>
      <w:r w:rsidRPr="008737E1">
        <w:rPr>
          <w:rFonts w:cs="Times New Roman"/>
          <w:i/>
        </w:rPr>
        <w:t>CCQ</w:t>
      </w:r>
      <w:r w:rsidRPr="008737E1">
        <w:rPr>
          <w:rFonts w:cs="Times New Roman"/>
        </w:rPr>
        <w:t xml:space="preserve">. </w:t>
      </w:r>
    </w:p>
    <w:p w:rsidR="00A07B51" w:rsidRPr="008737E1" w:rsidRDefault="00A07B51" w:rsidP="00641E27">
      <w:pPr>
        <w:pStyle w:val="Title3LevelTitre3Niveau"/>
        <w:jc w:val="both"/>
        <w:rPr>
          <w:rFonts w:cs="Times New Roman"/>
        </w:rPr>
      </w:pPr>
      <w:r w:rsidRPr="008737E1">
        <w:rPr>
          <w:rFonts w:cs="Times New Roman"/>
        </w:rPr>
        <w:t xml:space="preserve">Amex Must Restore the Conversion Charges Imposed on Non-Consumer Cardholders Under the </w:t>
      </w:r>
      <w:r w:rsidRPr="008737E1">
        <w:rPr>
          <w:rFonts w:cs="Times New Roman"/>
          <w:i/>
        </w:rPr>
        <w:t>CCQ</w:t>
      </w:r>
    </w:p>
    <w:p w:rsidR="00A07B51" w:rsidRPr="008737E1" w:rsidRDefault="00A07B51" w:rsidP="00A07B51">
      <w:pPr>
        <w:pStyle w:val="ParaNoNdepar-AltN"/>
        <w:rPr>
          <w:rFonts w:cs="Times New Roman"/>
        </w:rPr>
      </w:pPr>
      <w:r w:rsidRPr="008737E1">
        <w:rPr>
          <w:rFonts w:cs="Times New Roman"/>
        </w:rPr>
        <w:t xml:space="preserve">Because Amex failed to disclose the conversion charges in its cardholder agreements, those contracts imposed no obligation to pay the conversion charges. All payments of the conversion charge by cardholders were therefore made in error per art. 1491 para. 1 of the </w:t>
      </w:r>
      <w:r w:rsidRPr="008737E1">
        <w:rPr>
          <w:rFonts w:cs="Times New Roman"/>
          <w:i/>
        </w:rPr>
        <w:t>CCQ</w:t>
      </w:r>
      <w:r w:rsidRPr="008737E1">
        <w:rPr>
          <w:rFonts w:cs="Times New Roman"/>
        </w:rPr>
        <w:t>:</w:t>
      </w:r>
    </w:p>
    <w:p w:rsidR="00A07B51" w:rsidRPr="008737E1" w:rsidRDefault="00A07B51" w:rsidP="00A07B51">
      <w:pPr>
        <w:pStyle w:val="Citation-AltC"/>
        <w:rPr>
          <w:lang w:val="en-US"/>
        </w:rPr>
      </w:pPr>
      <w:r w:rsidRPr="008737E1">
        <w:rPr>
          <w:b/>
          <w:bCs/>
          <w:lang w:val="en-US"/>
        </w:rPr>
        <w:t>1491.</w:t>
      </w:r>
      <w:r w:rsidR="00CB089D">
        <w:rPr>
          <w:lang w:val="en-US"/>
        </w:rPr>
        <w:t xml:space="preserve"> </w:t>
      </w:r>
      <w:r w:rsidRPr="008737E1">
        <w:rPr>
          <w:lang w:val="en-US"/>
        </w:rPr>
        <w:t>A person who receives a payment made in error, or merely to avoid injury to the person making it while protesting that he owes nothing, is obliged to restore it.</w:t>
      </w:r>
    </w:p>
    <w:p w:rsidR="00A07B51" w:rsidRPr="008737E1" w:rsidRDefault="00A07B51" w:rsidP="00A07B51">
      <w:pPr>
        <w:pStyle w:val="ParaNoNdepar-AltN"/>
        <w:rPr>
          <w:rFonts w:cs="Times New Roman"/>
        </w:rPr>
      </w:pPr>
      <w:r w:rsidRPr="008737E1">
        <w:rPr>
          <w:rFonts w:cs="Times New Roman"/>
        </w:rPr>
        <w:t>The receipt of a payment not due provisions (arts. 1491, 1492 and 1554 para. 1) codify the principle that [</w:t>
      </w:r>
      <w:r w:rsidRPr="008737E1">
        <w:rPr>
          <w:rFonts w:cs="Times New Roman"/>
          <w:smallCaps/>
        </w:rPr>
        <w:t>translation</w:t>
      </w:r>
      <w:r w:rsidRPr="008737E1">
        <w:rPr>
          <w:rFonts w:cs="Times New Roman"/>
        </w:rPr>
        <w:t xml:space="preserve">] “[a]ny person is required to pay only what he or she owes, and owes only what he or she has an obligation to pay” (D. Lluelles and B. Moore, </w:t>
      </w:r>
      <w:r w:rsidRPr="008737E1">
        <w:rPr>
          <w:rFonts w:cs="Times New Roman"/>
          <w:i/>
        </w:rPr>
        <w:t>Droit des obligations</w:t>
      </w:r>
      <w:r w:rsidRPr="008737E1">
        <w:rPr>
          <w:rFonts w:cs="Times New Roman"/>
        </w:rPr>
        <w:t xml:space="preserve"> (2nd ed. 2012), at p. 725).</w:t>
      </w:r>
      <w:r w:rsidRPr="008737E1">
        <w:rPr>
          <w:rFonts w:cs="Times New Roman"/>
          <w:vertAlign w:val="superscript"/>
        </w:rPr>
        <w:t xml:space="preserve"> </w:t>
      </w:r>
      <w:r w:rsidRPr="008737E1">
        <w:rPr>
          <w:rFonts w:cs="Times New Roman"/>
        </w:rPr>
        <w:t>Receipt</w:t>
      </w:r>
      <w:r w:rsidRPr="008737E1">
        <w:rPr>
          <w:rFonts w:cs="Times New Roman"/>
          <w:vertAlign w:val="superscript"/>
        </w:rPr>
        <w:t xml:space="preserve"> </w:t>
      </w:r>
      <w:r w:rsidRPr="008737E1">
        <w:rPr>
          <w:rFonts w:cs="Times New Roman"/>
        </w:rPr>
        <w:t>of a payment not due allows someone to recover an amount paid in excess by creating an obligation on the part of the party who received the amount paid without debt, to return that amount.</w:t>
      </w:r>
    </w:p>
    <w:p w:rsidR="00A07B51" w:rsidRPr="008737E1" w:rsidRDefault="00A07B51" w:rsidP="00A07B51">
      <w:pPr>
        <w:pStyle w:val="ParaNoNdepar-AltN"/>
        <w:rPr>
          <w:rFonts w:cs="Times New Roman"/>
        </w:rPr>
      </w:pPr>
      <w:r w:rsidRPr="008737E1">
        <w:rPr>
          <w:rFonts w:cs="Times New Roman"/>
        </w:rPr>
        <w:t xml:space="preserve">In the contractual context, the absence of an obligation or debt can be general or specific. It is general when all the prestations received or executed are invalid, for example if a court nullifies an agreement because a formation requirement </w:t>
      </w:r>
      <w:r w:rsidRPr="008737E1">
        <w:rPr>
          <w:rFonts w:cs="Times New Roman"/>
        </w:rPr>
        <w:lastRenderedPageBreak/>
        <w:t xml:space="preserve">is missing (art. 1422 </w:t>
      </w:r>
      <w:r w:rsidRPr="008737E1">
        <w:rPr>
          <w:rFonts w:cs="Times New Roman"/>
          <w:i/>
        </w:rPr>
        <w:t>CCQ</w:t>
      </w:r>
      <w:r w:rsidRPr="008737E1">
        <w:rPr>
          <w:rFonts w:cs="Times New Roman"/>
        </w:rPr>
        <w:t xml:space="preserve">). It is specific when only part of the prestations received or executed are invalid, for example if a clause of a contract is nullified or, as pleaded here, certain prestations of the contract were demanded from a party who did not actually owe them (art. 1554 </w:t>
      </w:r>
      <w:r w:rsidRPr="008737E1">
        <w:rPr>
          <w:rFonts w:cs="Times New Roman"/>
          <w:i/>
        </w:rPr>
        <w:t>CCQ</w:t>
      </w:r>
      <w:r w:rsidRPr="008737E1">
        <w:rPr>
          <w:rFonts w:cs="Times New Roman"/>
        </w:rPr>
        <w:t>).</w:t>
      </w:r>
    </w:p>
    <w:p w:rsidR="00A07B51" w:rsidRPr="008737E1" w:rsidRDefault="00A07B51" w:rsidP="00A07B51">
      <w:pPr>
        <w:pStyle w:val="ParaNoNdepar-AltN"/>
        <w:rPr>
          <w:rFonts w:cs="Times New Roman"/>
        </w:rPr>
      </w:pPr>
      <w:r w:rsidRPr="008737E1">
        <w:rPr>
          <w:rFonts w:cs="Times New Roman"/>
        </w:rPr>
        <w:t xml:space="preserve">Once the payer proves that no debt exists, the payee must prove that the payment was not made in error, i.e. that it resulted from a </w:t>
      </w:r>
      <w:r w:rsidR="00641E27">
        <w:rPr>
          <w:rFonts w:cs="Times New Roman"/>
        </w:rPr>
        <w:t>[</w:t>
      </w:r>
      <w:r w:rsidR="00641E27" w:rsidRPr="00641E27">
        <w:rPr>
          <w:rFonts w:cs="Times New Roman"/>
          <w:smallCaps/>
        </w:rPr>
        <w:t>translation</w:t>
      </w:r>
      <w:r w:rsidR="00641E27">
        <w:rPr>
          <w:rFonts w:cs="Times New Roman"/>
        </w:rPr>
        <w:t xml:space="preserve">] </w:t>
      </w:r>
      <w:r w:rsidRPr="008737E1">
        <w:rPr>
          <w:rFonts w:cs="Times New Roman"/>
        </w:rPr>
        <w:t xml:space="preserve">“liberal intention” (Lluelles and Moore, at pp. 734-35; J.-L. Baudouin and P.-G. Jobin, </w:t>
      </w:r>
      <w:r w:rsidRPr="008737E1">
        <w:rPr>
          <w:rFonts w:cs="Times New Roman"/>
          <w:i/>
        </w:rPr>
        <w:t>Les obligations</w:t>
      </w:r>
      <w:r w:rsidRPr="008737E1">
        <w:rPr>
          <w:rFonts w:cs="Times New Roman"/>
        </w:rPr>
        <w:t xml:space="preserve"> (7th ed. 2013), by P.-G. Jobin and N. Vézina, at p. 624). Liberal intention is not presumed. If the payee cannot prove this, the payment will be deemed undue and the debt inexistent.</w:t>
      </w:r>
    </w:p>
    <w:p w:rsidR="00A07B51" w:rsidRPr="008737E1" w:rsidRDefault="00A07B51" w:rsidP="00A07B51">
      <w:pPr>
        <w:pStyle w:val="ParaNoNdepar-AltN"/>
        <w:rPr>
          <w:rFonts w:cs="Times New Roman"/>
        </w:rPr>
      </w:pPr>
      <w:r w:rsidRPr="008737E1">
        <w:rPr>
          <w:rFonts w:cs="Times New Roman"/>
        </w:rPr>
        <w:t xml:space="preserve">The question to be determined is if a payment, in whole or in part, is without basis — whether an obligation to pay ever existed. The Court here is limited to determining if the conversion charges are the object of a civil obligation binding the cardholders. According to the principles applicable to receipt of a payment not due, the basis for restitution is not the commission of a wrongful act, and the potential remedy is not damages. Rather, the basis for restitution is that there never existed an obligation to perform the prestations, and the remedy is a return of any prestations made without obligation (arts. 1492 and 1699 para. 1). Neither fault, nor statutory violations — here, for example, of the </w:t>
      </w:r>
      <w:r w:rsidRPr="008737E1">
        <w:rPr>
          <w:rFonts w:cs="Times New Roman"/>
          <w:i/>
        </w:rPr>
        <w:t>Bank Act</w:t>
      </w:r>
      <w:r w:rsidRPr="008737E1">
        <w:rPr>
          <w:rFonts w:cs="Times New Roman"/>
        </w:rPr>
        <w:t xml:space="preserve">’s disclosure requirements — nor the notion of compensation play any role in determining whether the receipt of a payment not due provisions apply. As a result, the absence of prejudice to the class action plaintiffs cannot be pleaded, and any rules regarding disclosure in the </w:t>
      </w:r>
      <w:r w:rsidRPr="008737E1">
        <w:rPr>
          <w:rFonts w:cs="Times New Roman"/>
          <w:i/>
        </w:rPr>
        <w:t>Bank Act</w:t>
      </w:r>
      <w:r w:rsidRPr="008737E1">
        <w:rPr>
          <w:rFonts w:cs="Times New Roman"/>
        </w:rPr>
        <w:t xml:space="preserve"> are </w:t>
      </w:r>
      <w:r w:rsidRPr="008737E1">
        <w:rPr>
          <w:rFonts w:cs="Times New Roman"/>
        </w:rPr>
        <w:lastRenderedPageBreak/>
        <w:t xml:space="preserve">irrelevant. Amex’s argument that the </w:t>
      </w:r>
      <w:r w:rsidRPr="008737E1">
        <w:rPr>
          <w:rFonts w:cs="Times New Roman"/>
          <w:i/>
        </w:rPr>
        <w:t>Bank Act</w:t>
      </w:r>
      <w:r w:rsidRPr="008737E1">
        <w:rPr>
          <w:rFonts w:cs="Times New Roman"/>
        </w:rPr>
        <w:t xml:space="preserve"> does not contain any civil remedies for violations of its provisions has no bearing on whether the receipt </w:t>
      </w:r>
      <w:proofErr w:type="gramStart"/>
      <w:r w:rsidRPr="008737E1">
        <w:rPr>
          <w:rFonts w:cs="Times New Roman"/>
        </w:rPr>
        <w:t>of a payment not due provisions</w:t>
      </w:r>
      <w:proofErr w:type="gramEnd"/>
      <w:r w:rsidRPr="008737E1">
        <w:rPr>
          <w:rFonts w:cs="Times New Roman"/>
        </w:rPr>
        <w:t xml:space="preserve"> apply.</w:t>
      </w:r>
      <w:r w:rsidR="00CB089D">
        <w:rPr>
          <w:rFonts w:cs="Times New Roman"/>
        </w:rPr>
        <w:t xml:space="preserve"> </w:t>
      </w:r>
    </w:p>
    <w:p w:rsidR="00A07B51" w:rsidRPr="008737E1" w:rsidRDefault="00A07B51" w:rsidP="00A07B51">
      <w:pPr>
        <w:pStyle w:val="ParaNoNdepar-AltN"/>
        <w:rPr>
          <w:rFonts w:cs="Times New Roman"/>
        </w:rPr>
      </w:pPr>
      <w:r w:rsidRPr="008737E1">
        <w:rPr>
          <w:rFonts w:cs="Times New Roman"/>
        </w:rPr>
        <w:t xml:space="preserve">In short, the Court need only consider whether or not the adhering parties — here, the non-consumer cardholders — were obliged to pay the conversion charge. In this case, the trial judge concluded that the evidence was clear that from 1993 to 2003 there was </w:t>
      </w:r>
      <w:r w:rsidRPr="008737E1">
        <w:rPr>
          <w:rFonts w:cs="Times New Roman"/>
          <w:iCs/>
        </w:rPr>
        <w:t>no</w:t>
      </w:r>
      <w:r w:rsidRPr="008737E1">
        <w:rPr>
          <w:rFonts w:cs="Times New Roman"/>
        </w:rPr>
        <w:t xml:space="preserve"> reference in the cardholder agreement to the conversion charge because</w:t>
      </w:r>
      <w:r w:rsidRPr="008737E1">
        <w:rPr>
          <w:rFonts w:cs="Times New Roman"/>
          <w:bCs/>
        </w:rPr>
        <w:t xml:space="preserve"> </w:t>
      </w:r>
      <w:r w:rsidRPr="008737E1">
        <w:rPr>
          <w:rFonts w:cs="Times New Roman"/>
        </w:rPr>
        <w:t xml:space="preserve">an “exchange rate determined by Amex” could not be understood as including such a charge, and therefore there was no obligation for cardholders to pay the conversion charge (para. 357; see also paras. 123-24 and 358-59). This conclusion, which was based on an attentive and meticulous examination of the evidence and which was confirmed on appeal, has not been shown to rest on a palpable and overriding error. We therefore conclude that there was no obligation on the part of Amex cardholders to pay the conversion charge and the receipt of a payment not due provisions apply. Accordingly, under art. 1699 of the </w:t>
      </w:r>
      <w:r w:rsidRPr="008737E1">
        <w:rPr>
          <w:rFonts w:cs="Times New Roman"/>
          <w:i/>
        </w:rPr>
        <w:t>CCQ</w:t>
      </w:r>
      <w:r w:rsidRPr="008737E1">
        <w:rPr>
          <w:rFonts w:cs="Times New Roman"/>
        </w:rPr>
        <w:t xml:space="preserve"> Amex owes restitution of the conversion charges to the non-consumer class members. </w:t>
      </w:r>
    </w:p>
    <w:p w:rsidR="00A07B51" w:rsidRPr="008737E1" w:rsidRDefault="00A07B51" w:rsidP="00A07B51">
      <w:pPr>
        <w:pStyle w:val="ParaNoNdepar-AltN"/>
        <w:rPr>
          <w:rFonts w:cs="Times New Roman"/>
        </w:rPr>
      </w:pPr>
      <w:r w:rsidRPr="008737E1">
        <w:rPr>
          <w:rFonts w:cs="Times New Roman"/>
        </w:rPr>
        <w:t xml:space="preserve">Amex presents a number of counter-arguments to the trial judge’s order of restitution under the </w:t>
      </w:r>
      <w:r w:rsidRPr="008737E1">
        <w:rPr>
          <w:rFonts w:cs="Times New Roman"/>
          <w:i/>
        </w:rPr>
        <w:t>CCQ</w:t>
      </w:r>
      <w:r w:rsidRPr="008737E1">
        <w:rPr>
          <w:rFonts w:cs="Times New Roman"/>
        </w:rPr>
        <w:t xml:space="preserve">. Amex argues that </w:t>
      </w:r>
      <w:r w:rsidRPr="008737E1">
        <w:rPr>
          <w:rFonts w:cs="Times New Roman"/>
          <w:i/>
        </w:rPr>
        <w:t>quantum meruit</w:t>
      </w:r>
      <w:r w:rsidRPr="008737E1">
        <w:rPr>
          <w:rFonts w:cs="Times New Roman"/>
        </w:rPr>
        <w:t xml:space="preserve"> should apply, and in the alternative argues that even if this Court finds that the cardholder obligation to pay a conversion fee is unenforceable because there was no disclosure, that the Court should order restitution in both directions. Finally, Amex argues that the Court of Appeal erred in suggesting that Amex had failed to satisfy its burden of showing that </w:t>
      </w:r>
      <w:r w:rsidRPr="008737E1">
        <w:rPr>
          <w:rFonts w:cs="Times New Roman"/>
        </w:rPr>
        <w:lastRenderedPageBreak/>
        <w:t xml:space="preserve">restitution in favour of consumers would “have the effect of according an undue advantage to one party” and thus the trial judge should have applied art. 1699 para. 2 of the </w:t>
      </w:r>
      <w:r w:rsidRPr="008737E1">
        <w:rPr>
          <w:rFonts w:cs="Times New Roman"/>
          <w:i/>
        </w:rPr>
        <w:t>CCQ</w:t>
      </w:r>
      <w:r w:rsidRPr="008737E1">
        <w:rPr>
          <w:rFonts w:cs="Times New Roman"/>
        </w:rPr>
        <w:t xml:space="preserve"> and refused to order restitution (A.F., at para. 52).</w:t>
      </w:r>
    </w:p>
    <w:p w:rsidR="00A07B51" w:rsidRPr="008737E1" w:rsidRDefault="00A07B51" w:rsidP="00A07B51">
      <w:pPr>
        <w:pStyle w:val="ParaNoNdepar-AltN"/>
        <w:rPr>
          <w:rFonts w:cs="Times New Roman"/>
        </w:rPr>
      </w:pPr>
      <w:r w:rsidRPr="008737E1">
        <w:rPr>
          <w:rFonts w:cs="Times New Roman"/>
        </w:rPr>
        <w:t xml:space="preserve"> In our opinion none of these defences are compelling.</w:t>
      </w:r>
      <w:r w:rsidR="00CB089D">
        <w:rPr>
          <w:rFonts w:cs="Times New Roman"/>
        </w:rPr>
        <w:t xml:space="preserve"> </w:t>
      </w:r>
    </w:p>
    <w:p w:rsidR="00A07B51" w:rsidRPr="008737E1" w:rsidRDefault="00A07B51" w:rsidP="00A07B51">
      <w:pPr>
        <w:pStyle w:val="ParaNoNdepar-AltN"/>
        <w:rPr>
          <w:rFonts w:cs="Times New Roman"/>
        </w:rPr>
      </w:pPr>
      <w:r w:rsidRPr="008737E1">
        <w:rPr>
          <w:rFonts w:cs="Times New Roman"/>
          <w:i/>
          <w:iCs/>
        </w:rPr>
        <w:t>Quantum meruit</w:t>
      </w:r>
      <w:r w:rsidRPr="008737E1">
        <w:rPr>
          <w:rFonts w:cs="Times New Roman"/>
        </w:rPr>
        <w:t xml:space="preserve"> only permits a judge to fix the price of an obligation that was already contracted. It cannot serve as the source of a new obligation (</w:t>
      </w:r>
      <w:r w:rsidRPr="008737E1">
        <w:rPr>
          <w:rFonts w:cs="Times New Roman"/>
          <w:i/>
        </w:rPr>
        <w:t>International Paper Co.</w:t>
      </w:r>
      <w:r w:rsidRPr="008737E1">
        <w:rPr>
          <w:rFonts w:cs="Times New Roman"/>
        </w:rPr>
        <w:t xml:space="preserve"> </w:t>
      </w:r>
      <w:r w:rsidRPr="008737E1">
        <w:rPr>
          <w:rFonts w:cs="Times New Roman"/>
          <w:i/>
        </w:rPr>
        <w:t>v.</w:t>
      </w:r>
      <w:r w:rsidRPr="008737E1">
        <w:rPr>
          <w:rFonts w:cs="Times New Roman"/>
        </w:rPr>
        <w:t xml:space="preserve"> </w:t>
      </w:r>
      <w:r w:rsidRPr="008737E1">
        <w:rPr>
          <w:rFonts w:cs="Times New Roman"/>
          <w:i/>
        </w:rPr>
        <w:t>Valeurs Trimont Ltée</w:t>
      </w:r>
      <w:r w:rsidRPr="008737E1">
        <w:rPr>
          <w:rFonts w:cs="Times New Roman"/>
        </w:rPr>
        <w:t>, [1989] R.J.Q. 1187 (C.A.)).</w:t>
      </w:r>
    </w:p>
    <w:p w:rsidR="00A07B51" w:rsidRPr="008737E1" w:rsidRDefault="00A07B51" w:rsidP="00A07B51">
      <w:pPr>
        <w:pStyle w:val="ParaNoNdepar-AltN"/>
        <w:rPr>
          <w:rFonts w:cs="Times New Roman"/>
        </w:rPr>
      </w:pPr>
      <w:r w:rsidRPr="008737E1">
        <w:rPr>
          <w:rFonts w:cs="Times New Roman"/>
        </w:rPr>
        <w:t xml:space="preserve">Mutual restitution is also not applicable in these circumstances. This argument confuses restitution pursuant to nullification of a synallagmatic contract, which requires mutual restitution (Lluelles and Moore, at pp. 657-58), with restitution pursuant to receipt of a payment not due, which is based on an absence of debt (art. 1491 para. 1 </w:t>
      </w:r>
      <w:r w:rsidRPr="008737E1">
        <w:rPr>
          <w:rFonts w:cs="Times New Roman"/>
          <w:i/>
        </w:rPr>
        <w:t>CCQ</w:t>
      </w:r>
      <w:r w:rsidRPr="008737E1">
        <w:rPr>
          <w:rFonts w:cs="Times New Roman"/>
        </w:rPr>
        <w:t>). In other words, the contract was not nullified, its effects since its creation are valid, and the only basis for restitution is showing that the contract did not establish an obligation — explicit or implicit — to pay the reclaimed sums. In this case, Amex was obliged to provide the conversion service to its clients; it simply omitted a corresponding obligation on cardholders to pay a separate sum for that service.</w:t>
      </w:r>
    </w:p>
    <w:p w:rsidR="00A07B51" w:rsidRPr="008737E1" w:rsidRDefault="00A07B51" w:rsidP="00A07B51">
      <w:pPr>
        <w:pStyle w:val="ParaNoNdepar-AltN"/>
        <w:rPr>
          <w:rFonts w:cs="Times New Roman"/>
        </w:rPr>
      </w:pPr>
      <w:r w:rsidRPr="008737E1">
        <w:rPr>
          <w:rFonts w:cs="Times New Roman"/>
        </w:rPr>
        <w:t>Finally, the power to refuse to grant restitution under art. 1699 para. 2 if restitution would confer an undue advantage on one party is [</w:t>
      </w:r>
      <w:r w:rsidRPr="008737E1">
        <w:rPr>
          <w:rFonts w:cs="Times New Roman"/>
          <w:smallCaps/>
        </w:rPr>
        <w:t>translation</w:t>
      </w:r>
      <w:r w:rsidRPr="008737E1">
        <w:rPr>
          <w:rFonts w:cs="Times New Roman"/>
        </w:rPr>
        <w:t xml:space="preserve">] “quite exceptional” (Lluelles and Moore, at p. 663) and must be exercised sparingly and on </w:t>
      </w:r>
      <w:r w:rsidRPr="008737E1">
        <w:rPr>
          <w:rFonts w:cs="Times New Roman"/>
        </w:rPr>
        <w:lastRenderedPageBreak/>
        <w:t xml:space="preserve">the basis of full proof, the burden of which falls to the debtor of the restitution. As Professors Jobin and Vézina </w:t>
      </w:r>
      <w:r w:rsidRPr="008737E1">
        <w:rPr>
          <w:rFonts w:cs="Times New Roman"/>
          <w:lang w:val="en-US"/>
        </w:rPr>
        <w:t xml:space="preserve">write, </w:t>
      </w:r>
      <w:r w:rsidRPr="008737E1">
        <w:rPr>
          <w:rFonts w:cs="Times New Roman"/>
        </w:rPr>
        <w:t>[</w:t>
      </w:r>
      <w:r w:rsidRPr="008737E1">
        <w:rPr>
          <w:rFonts w:cs="Times New Roman"/>
          <w:smallCaps/>
        </w:rPr>
        <w:t>translation</w:t>
      </w:r>
      <w:r w:rsidRPr="008737E1">
        <w:rPr>
          <w:rFonts w:cs="Times New Roman"/>
        </w:rPr>
        <w:t xml:space="preserve">] </w:t>
      </w:r>
      <w:r w:rsidRPr="008737E1">
        <w:rPr>
          <w:rFonts w:cs="Times New Roman"/>
          <w:lang w:val="en-US"/>
        </w:rPr>
        <w:t>“[h]owever broad this power might be, it remains exceptional and must be exercised carefully” (</w:t>
      </w:r>
      <w:r w:rsidRPr="008737E1">
        <w:rPr>
          <w:rFonts w:cs="Times New Roman"/>
        </w:rPr>
        <w:t>p. 1139).</w:t>
      </w:r>
    </w:p>
    <w:p w:rsidR="00A07B51" w:rsidRPr="008737E1" w:rsidRDefault="00A07B51" w:rsidP="00A07B51">
      <w:pPr>
        <w:pStyle w:val="ParaNoNdepar-AltN"/>
        <w:rPr>
          <w:rFonts w:cs="Times New Roman"/>
        </w:rPr>
      </w:pPr>
      <w:r w:rsidRPr="008737E1">
        <w:rPr>
          <w:rFonts w:cs="Times New Roman"/>
        </w:rPr>
        <w:t>Nothing indicates that the trial judge acted improperly in refusing to exercise his discretion to not grant restitution.</w:t>
      </w:r>
      <w:r w:rsidR="00CB089D">
        <w:rPr>
          <w:rFonts w:cs="Times New Roman"/>
        </w:rPr>
        <w:t xml:space="preserve"> </w:t>
      </w:r>
      <w:r w:rsidRPr="008737E1">
        <w:rPr>
          <w:rFonts w:cs="Times New Roman"/>
        </w:rPr>
        <w:t xml:space="preserve">In fact, </w:t>
      </w:r>
      <w:proofErr w:type="spellStart"/>
      <w:r w:rsidRPr="008737E1">
        <w:rPr>
          <w:rFonts w:cs="Times New Roman"/>
        </w:rPr>
        <w:t>Gascon</w:t>
      </w:r>
      <w:proofErr w:type="spellEnd"/>
      <w:r w:rsidRPr="008737E1">
        <w:rPr>
          <w:rFonts w:cs="Times New Roman"/>
        </w:rPr>
        <w:t xml:space="preserve"> J. concluded that Amex received other benefits through the use of its charge and credit cards by the class members and there is no evidence that class members would receive any undue advantage from restitution </w:t>
      </w:r>
      <w:r w:rsidRPr="008737E1">
        <w:rPr>
          <w:rFonts w:cs="Times New Roman"/>
          <w:lang w:val="en-US"/>
        </w:rPr>
        <w:t>(</w:t>
      </w:r>
      <w:r w:rsidRPr="008737E1">
        <w:rPr>
          <w:rFonts w:cs="Times New Roman"/>
        </w:rPr>
        <w:t>paras. 380-81)</w:t>
      </w:r>
      <w:r w:rsidRPr="008737E1">
        <w:rPr>
          <w:rFonts w:cs="Times New Roman"/>
          <w:lang w:val="en-US"/>
        </w:rPr>
        <w:t xml:space="preserve">. </w:t>
      </w:r>
      <w:r w:rsidRPr="008737E1">
        <w:rPr>
          <w:rFonts w:cs="Times New Roman"/>
        </w:rPr>
        <w:t xml:space="preserve">In this context, Amex has not proven that restitution would have the effect of according the adhering parties with an undue advantage. There is no basis for this Court to overturn the conclusions of the trial judge. </w:t>
      </w:r>
    </w:p>
    <w:p w:rsidR="00A07B51" w:rsidRPr="008737E1" w:rsidRDefault="00A07B51" w:rsidP="00A07B51">
      <w:pPr>
        <w:pStyle w:val="Title1LevelTitre1Niveau-AltL"/>
        <w:rPr>
          <w:rFonts w:cs="Times New Roman"/>
        </w:rPr>
      </w:pPr>
      <w:r w:rsidRPr="008737E1">
        <w:rPr>
          <w:rFonts w:cs="Times New Roman"/>
        </w:rPr>
        <w:t>Conclusion</w:t>
      </w:r>
    </w:p>
    <w:p w:rsidR="00A07B51" w:rsidRPr="008737E1" w:rsidRDefault="00A07B51" w:rsidP="00A07B51">
      <w:pPr>
        <w:pStyle w:val="ParaNoNdepar-AltN"/>
        <w:rPr>
          <w:rFonts w:cs="Times New Roman"/>
        </w:rPr>
      </w:pPr>
      <w:r w:rsidRPr="008737E1">
        <w:rPr>
          <w:rFonts w:cs="Times New Roman"/>
        </w:rPr>
        <w:t xml:space="preserve">Sections 12, 219 and 272 of the </w:t>
      </w:r>
      <w:r w:rsidRPr="008737E1">
        <w:rPr>
          <w:rFonts w:cs="Times New Roman"/>
          <w:i/>
        </w:rPr>
        <w:t>CPA</w:t>
      </w:r>
      <w:r w:rsidRPr="008737E1">
        <w:rPr>
          <w:rFonts w:cs="Times New Roman"/>
        </w:rPr>
        <w:t xml:space="preserve"> are constitutionally applicable and operative. The appeal is dismissed with costs.</w:t>
      </w:r>
    </w:p>
    <w:p w:rsidR="009B57B3" w:rsidRPr="007D5F2B" w:rsidRDefault="008E58B7" w:rsidP="00283282">
      <w:pPr>
        <w:pStyle w:val="SCCNormalDoubleSpacing"/>
        <w:spacing w:after="480"/>
      </w:pPr>
      <w:r w:rsidRPr="007D5F2B">
        <w:tab/>
      </w:r>
      <w:r w:rsidR="00656313" w:rsidRPr="007D5F2B">
        <w:rPr>
          <w:i/>
        </w:rPr>
        <w:t>Appeal</w:t>
      </w:r>
      <w:r w:rsidRPr="007D5F2B">
        <w:rPr>
          <w:i/>
        </w:rPr>
        <w:t xml:space="preserve"> </w:t>
      </w:r>
      <w:r w:rsidR="00D7348C" w:rsidRPr="007D5F2B">
        <w:rPr>
          <w:i/>
        </w:rPr>
        <w:t>dismissed with costs</w:t>
      </w:r>
      <w:r w:rsidRPr="007D5F2B">
        <w:rPr>
          <w:i/>
        </w:rPr>
        <w:t>.</w:t>
      </w:r>
    </w:p>
    <w:p w:rsidR="008E58B7" w:rsidRPr="007D5F2B" w:rsidRDefault="00713A7B" w:rsidP="00283282">
      <w:pPr>
        <w:pStyle w:val="SCCLawFirm"/>
        <w:spacing w:after="480"/>
      </w:pPr>
      <w:r w:rsidRPr="007D5F2B">
        <w:tab/>
        <w:t>Solicitors for the appellant:</w:t>
      </w:r>
      <w:r w:rsidR="00CB089D">
        <w:t xml:space="preserve"> </w:t>
      </w:r>
      <w:r w:rsidR="008E58B7" w:rsidRPr="007D5F2B">
        <w:t xml:space="preserve">Osler, </w:t>
      </w:r>
      <w:proofErr w:type="spellStart"/>
      <w:r w:rsidR="008E58B7" w:rsidRPr="007D5F2B">
        <w:t>Hoskin</w:t>
      </w:r>
      <w:proofErr w:type="spellEnd"/>
      <w:r w:rsidR="008E58B7" w:rsidRPr="007D5F2B">
        <w:t xml:space="preserve"> &amp; Harcourt, Montréal and Toronto</w:t>
      </w:r>
      <w:r w:rsidR="008E58B7" w:rsidRPr="007D5F2B">
        <w:rPr>
          <w:lang w:val="en-US"/>
        </w:rPr>
        <w:t xml:space="preserve">; </w:t>
      </w:r>
      <w:proofErr w:type="spellStart"/>
      <w:r w:rsidR="008E58B7" w:rsidRPr="007D5F2B">
        <w:rPr>
          <w:lang w:val="en-US"/>
        </w:rPr>
        <w:t>Deslauriers</w:t>
      </w:r>
      <w:proofErr w:type="spellEnd"/>
      <w:r w:rsidR="008E58B7" w:rsidRPr="007D5F2B">
        <w:rPr>
          <w:lang w:val="en-US"/>
        </w:rPr>
        <w:t xml:space="preserve"> &amp; </w:t>
      </w:r>
      <w:proofErr w:type="spellStart"/>
      <w:r w:rsidR="008E58B7" w:rsidRPr="007D5F2B">
        <w:rPr>
          <w:lang w:val="en-US"/>
        </w:rPr>
        <w:t>Cie</w:t>
      </w:r>
      <w:proofErr w:type="spellEnd"/>
      <w:r w:rsidR="008E58B7" w:rsidRPr="007D5F2B">
        <w:rPr>
          <w:lang w:val="en-US"/>
        </w:rPr>
        <w:t>, Montréal</w:t>
      </w:r>
      <w:r w:rsidR="008E58B7" w:rsidRPr="007D5F2B">
        <w:t>.</w:t>
      </w:r>
    </w:p>
    <w:p w:rsidR="008E58B7" w:rsidRPr="007D5F2B" w:rsidRDefault="008E58B7" w:rsidP="00283282">
      <w:pPr>
        <w:pStyle w:val="SCCLawFirm"/>
        <w:spacing w:after="480"/>
      </w:pPr>
      <w:r w:rsidRPr="007D5F2B">
        <w:lastRenderedPageBreak/>
        <w:tab/>
        <w:t>Solicitors fo</w:t>
      </w:r>
      <w:r w:rsidR="00713A7B" w:rsidRPr="007D5F2B">
        <w:t>r the respondent Sylvan Adams:</w:t>
      </w:r>
      <w:r w:rsidR="00CB089D">
        <w:t xml:space="preserve"> </w:t>
      </w:r>
      <w:r w:rsidRPr="007D5F2B">
        <w:t xml:space="preserve">Irving Mitchell </w:t>
      </w:r>
      <w:proofErr w:type="spellStart"/>
      <w:r w:rsidRPr="007D5F2B">
        <w:t>Kalichman</w:t>
      </w:r>
      <w:proofErr w:type="spellEnd"/>
      <w:r w:rsidRPr="007D5F2B">
        <w:t>, Montr</w:t>
      </w:r>
      <w:r w:rsidR="00AB0101" w:rsidRPr="007D5F2B">
        <w:t>é</w:t>
      </w:r>
      <w:r w:rsidRPr="007D5F2B">
        <w:t>al.</w:t>
      </w:r>
    </w:p>
    <w:p w:rsidR="008E58B7" w:rsidRPr="007D5F2B" w:rsidRDefault="008E58B7" w:rsidP="00283282">
      <w:pPr>
        <w:pStyle w:val="SCCLawFirm"/>
        <w:spacing w:after="480"/>
      </w:pPr>
      <w:r w:rsidRPr="007D5F2B">
        <w:tab/>
        <w:t>Solicitors for the respondent t</w:t>
      </w:r>
      <w:r w:rsidR="00713A7B" w:rsidRPr="007D5F2B">
        <w:t>he Attorney General of Quebec:</w:t>
      </w:r>
      <w:r w:rsidR="00CB089D">
        <w:t xml:space="preserve"> </w:t>
      </w:r>
      <w:r w:rsidRPr="007D5F2B">
        <w:t xml:space="preserve">Bernard, Roy &amp; </w:t>
      </w:r>
      <w:proofErr w:type="spellStart"/>
      <w:r w:rsidRPr="007D5F2B">
        <w:t>Associés</w:t>
      </w:r>
      <w:proofErr w:type="spellEnd"/>
      <w:r w:rsidRPr="007D5F2B">
        <w:t>, Montréal.</w:t>
      </w:r>
    </w:p>
    <w:p w:rsidR="008E58B7" w:rsidRPr="007D5F2B" w:rsidRDefault="008E58B7" w:rsidP="00283282">
      <w:pPr>
        <w:pStyle w:val="SCCLawFirm"/>
        <w:spacing w:after="480"/>
        <w:rPr>
          <w:lang w:val="fr-CA"/>
        </w:rPr>
      </w:pPr>
      <w:r w:rsidRPr="007D5F2B">
        <w:tab/>
      </w:r>
      <w:r w:rsidRPr="007D5F2B">
        <w:rPr>
          <w:lang w:val="fr-CA"/>
        </w:rPr>
        <w:t xml:space="preserve">Solicitors for the respondent </w:t>
      </w:r>
      <w:r w:rsidR="00641E27">
        <w:rPr>
          <w:lang w:val="fr-CA"/>
        </w:rPr>
        <w:t>the Pre</w:t>
      </w:r>
      <w:r w:rsidRPr="007D5F2B">
        <w:rPr>
          <w:lang w:val="fr-CA"/>
        </w:rPr>
        <w:t xml:space="preserve">sident </w:t>
      </w:r>
      <w:r w:rsidR="00641E27">
        <w:rPr>
          <w:lang w:val="fr-CA"/>
        </w:rPr>
        <w:t xml:space="preserve">of the </w:t>
      </w:r>
      <w:r w:rsidRPr="007D5F2B">
        <w:rPr>
          <w:lang w:val="fr-CA"/>
        </w:rPr>
        <w:t>Office de la protection du consommateur</w:t>
      </w:r>
      <w:r w:rsidR="00713A7B" w:rsidRPr="007D5F2B">
        <w:rPr>
          <w:lang w:val="fr-CA"/>
        </w:rPr>
        <w:t>:</w:t>
      </w:r>
      <w:r w:rsidR="00CB089D">
        <w:rPr>
          <w:lang w:val="fr-CA"/>
        </w:rPr>
        <w:t xml:space="preserve"> </w:t>
      </w:r>
      <w:r w:rsidRPr="007D5F2B">
        <w:rPr>
          <w:lang w:val="fr-CA"/>
        </w:rPr>
        <w:t>Allard, Renaud et Associés, Trois</w:t>
      </w:r>
      <w:r w:rsidR="00CB089D">
        <w:rPr>
          <w:lang w:val="fr-CA"/>
        </w:rPr>
        <w:t>-</w:t>
      </w:r>
      <w:r w:rsidRPr="007D5F2B">
        <w:rPr>
          <w:lang w:val="fr-CA"/>
        </w:rPr>
        <w:t>Rivières; Office de la protection du consommateur, Trois</w:t>
      </w:r>
      <w:r w:rsidR="00CB089D">
        <w:rPr>
          <w:lang w:val="fr-CA"/>
        </w:rPr>
        <w:t>-</w:t>
      </w:r>
      <w:r w:rsidRPr="007D5F2B">
        <w:rPr>
          <w:lang w:val="fr-CA"/>
        </w:rPr>
        <w:t>Rivières.</w:t>
      </w:r>
    </w:p>
    <w:p w:rsidR="008E58B7" w:rsidRPr="007D5F2B" w:rsidRDefault="008E58B7" w:rsidP="00283282">
      <w:pPr>
        <w:pStyle w:val="SCCLawFirm"/>
        <w:spacing w:after="480"/>
      </w:pPr>
      <w:r w:rsidRPr="007D5F2B">
        <w:rPr>
          <w:lang w:val="fr-CA"/>
        </w:rPr>
        <w:tab/>
      </w:r>
      <w:r w:rsidRPr="007D5F2B">
        <w:t>Solicitor for the intervener t</w:t>
      </w:r>
      <w:r w:rsidR="00713A7B" w:rsidRPr="007D5F2B">
        <w:t>he Attorney General of Canada:</w:t>
      </w:r>
      <w:r w:rsidR="00CB089D">
        <w:t xml:space="preserve"> </w:t>
      </w:r>
      <w:r w:rsidRPr="007D5F2B">
        <w:t>Attorney General of Canada, Montréal.</w:t>
      </w:r>
    </w:p>
    <w:p w:rsidR="008E58B7" w:rsidRPr="007D5F2B" w:rsidRDefault="008E58B7" w:rsidP="00283282">
      <w:pPr>
        <w:pStyle w:val="SCCLawFirm"/>
        <w:spacing w:after="480"/>
      </w:pPr>
      <w:r w:rsidRPr="007D5F2B">
        <w:tab/>
        <w:t>Solicitor for the intervener th</w:t>
      </w:r>
      <w:r w:rsidR="00713A7B" w:rsidRPr="007D5F2B">
        <w:t>e Attorney General of Ontario:</w:t>
      </w:r>
      <w:r w:rsidR="00CB089D">
        <w:t xml:space="preserve"> </w:t>
      </w:r>
      <w:r w:rsidRPr="007D5F2B">
        <w:t>Attorney General of Ontario, Toronto.</w:t>
      </w:r>
    </w:p>
    <w:p w:rsidR="008E58B7" w:rsidRPr="007D5F2B" w:rsidRDefault="008E58B7" w:rsidP="00283282">
      <w:pPr>
        <w:pStyle w:val="SCCLawFirm"/>
        <w:spacing w:after="480"/>
      </w:pPr>
      <w:r w:rsidRPr="007D5F2B">
        <w:tab/>
        <w:t>Solicitor for the intervener the Attorney General</w:t>
      </w:r>
      <w:r w:rsidR="00713A7B" w:rsidRPr="007D5F2B">
        <w:t xml:space="preserve"> of Alberta:</w:t>
      </w:r>
      <w:r w:rsidR="00CB089D">
        <w:t xml:space="preserve"> </w:t>
      </w:r>
      <w:r w:rsidRPr="007D5F2B">
        <w:t>Attorney General of Alberta, Edmonton.</w:t>
      </w:r>
    </w:p>
    <w:p w:rsidR="006A162A" w:rsidRDefault="008E58B7" w:rsidP="00A07B51">
      <w:pPr>
        <w:pStyle w:val="SCCLawFirm"/>
        <w:rPr>
          <w:b/>
          <w:i w:val="0"/>
        </w:rPr>
      </w:pPr>
      <w:r w:rsidRPr="007D5F2B">
        <w:tab/>
        <w:t>Solicitors for the intervener the</w:t>
      </w:r>
      <w:r w:rsidR="00713A7B" w:rsidRPr="007D5F2B">
        <w:t xml:space="preserve"> Canadian Bankers Association:</w:t>
      </w:r>
      <w:r w:rsidR="00CB089D">
        <w:t xml:space="preserve"> </w:t>
      </w:r>
      <w:proofErr w:type="spellStart"/>
      <w:r w:rsidRPr="007D5F2B">
        <w:t>Torys</w:t>
      </w:r>
      <w:proofErr w:type="spellEnd"/>
      <w:r w:rsidRPr="007D5F2B">
        <w:t>, Toronto.</w:t>
      </w:r>
    </w:p>
    <w:p w:rsidR="00A07B51" w:rsidRPr="00A07B51" w:rsidRDefault="00A07B51" w:rsidP="00A07B51">
      <w:pPr>
        <w:pStyle w:val="SCCNormalDoubleSpacing"/>
      </w:pPr>
    </w:p>
    <w:sectPr w:rsidR="00A07B51" w:rsidRPr="00A07B5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9D" w:rsidRDefault="00CB089D">
      <w:r>
        <w:separator/>
      </w:r>
    </w:p>
  </w:endnote>
  <w:endnote w:type="continuationSeparator" w:id="0">
    <w:p w:rsidR="00CB089D" w:rsidRDefault="00CB0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9D" w:rsidRDefault="00CB089D">
      <w:r>
        <w:separator/>
      </w:r>
    </w:p>
  </w:footnote>
  <w:footnote w:type="continuationSeparator" w:id="0">
    <w:p w:rsidR="00CB089D" w:rsidRDefault="00CB0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9D" w:rsidRPr="00450352" w:rsidRDefault="00CB089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074EA"/>
    <w:rsid w:val="00011EE7"/>
    <w:rsid w:val="00025198"/>
    <w:rsid w:val="00030D5D"/>
    <w:rsid w:val="0004225C"/>
    <w:rsid w:val="00051F88"/>
    <w:rsid w:val="000578A3"/>
    <w:rsid w:val="000648CC"/>
    <w:rsid w:val="000731C8"/>
    <w:rsid w:val="00093EE7"/>
    <w:rsid w:val="000A5EAF"/>
    <w:rsid w:val="000B5437"/>
    <w:rsid w:val="000C59B8"/>
    <w:rsid w:val="000C6AF0"/>
    <w:rsid w:val="000D32C2"/>
    <w:rsid w:val="000E41CF"/>
    <w:rsid w:val="00104F33"/>
    <w:rsid w:val="00111DE2"/>
    <w:rsid w:val="00116B38"/>
    <w:rsid w:val="00135406"/>
    <w:rsid w:val="00135972"/>
    <w:rsid w:val="001426A9"/>
    <w:rsid w:val="00153A28"/>
    <w:rsid w:val="00154D7C"/>
    <w:rsid w:val="001570B0"/>
    <w:rsid w:val="0015752C"/>
    <w:rsid w:val="00157737"/>
    <w:rsid w:val="00165277"/>
    <w:rsid w:val="00170592"/>
    <w:rsid w:val="00186351"/>
    <w:rsid w:val="00194FBE"/>
    <w:rsid w:val="00195532"/>
    <w:rsid w:val="00195D83"/>
    <w:rsid w:val="001A00C1"/>
    <w:rsid w:val="001A7B3B"/>
    <w:rsid w:val="001B33E0"/>
    <w:rsid w:val="001B4573"/>
    <w:rsid w:val="001C3104"/>
    <w:rsid w:val="001C779F"/>
    <w:rsid w:val="001D2AC1"/>
    <w:rsid w:val="001D3610"/>
    <w:rsid w:val="001D4E88"/>
    <w:rsid w:val="00220FC2"/>
    <w:rsid w:val="002222F4"/>
    <w:rsid w:val="00224FC0"/>
    <w:rsid w:val="00225EA4"/>
    <w:rsid w:val="00226EAF"/>
    <w:rsid w:val="00231F3A"/>
    <w:rsid w:val="00234199"/>
    <w:rsid w:val="002406EE"/>
    <w:rsid w:val="00243EC8"/>
    <w:rsid w:val="00265F41"/>
    <w:rsid w:val="00270D93"/>
    <w:rsid w:val="002745CC"/>
    <w:rsid w:val="00283282"/>
    <w:rsid w:val="002B1517"/>
    <w:rsid w:val="002B7924"/>
    <w:rsid w:val="002C48D6"/>
    <w:rsid w:val="002D28C3"/>
    <w:rsid w:val="002D39A4"/>
    <w:rsid w:val="002E113A"/>
    <w:rsid w:val="002E25D2"/>
    <w:rsid w:val="002E6705"/>
    <w:rsid w:val="00301D08"/>
    <w:rsid w:val="0030329A"/>
    <w:rsid w:val="0031086F"/>
    <w:rsid w:val="00310ABF"/>
    <w:rsid w:val="0031414C"/>
    <w:rsid w:val="00314E01"/>
    <w:rsid w:val="0032089D"/>
    <w:rsid w:val="003310DE"/>
    <w:rsid w:val="003323B0"/>
    <w:rsid w:val="0035169A"/>
    <w:rsid w:val="0035259D"/>
    <w:rsid w:val="00354BA1"/>
    <w:rsid w:val="00364B18"/>
    <w:rsid w:val="003A125D"/>
    <w:rsid w:val="003A4C70"/>
    <w:rsid w:val="003B215F"/>
    <w:rsid w:val="003C682A"/>
    <w:rsid w:val="003C799C"/>
    <w:rsid w:val="003D0399"/>
    <w:rsid w:val="003D03A7"/>
    <w:rsid w:val="003D79EC"/>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28A6"/>
    <w:rsid w:val="00493C18"/>
    <w:rsid w:val="004A600C"/>
    <w:rsid w:val="004A6118"/>
    <w:rsid w:val="004C478D"/>
    <w:rsid w:val="004E2C26"/>
    <w:rsid w:val="004F30AB"/>
    <w:rsid w:val="004F36FF"/>
    <w:rsid w:val="005077C1"/>
    <w:rsid w:val="0051044F"/>
    <w:rsid w:val="005106CC"/>
    <w:rsid w:val="005125A8"/>
    <w:rsid w:val="00521AE8"/>
    <w:rsid w:val="005236F2"/>
    <w:rsid w:val="00527180"/>
    <w:rsid w:val="0054201E"/>
    <w:rsid w:val="00552130"/>
    <w:rsid w:val="00555291"/>
    <w:rsid w:val="00566AD1"/>
    <w:rsid w:val="00583EDE"/>
    <w:rsid w:val="00583F8C"/>
    <w:rsid w:val="005A6079"/>
    <w:rsid w:val="005C3CAA"/>
    <w:rsid w:val="005D2504"/>
    <w:rsid w:val="005E4698"/>
    <w:rsid w:val="00610539"/>
    <w:rsid w:val="00613969"/>
    <w:rsid w:val="00624E7F"/>
    <w:rsid w:val="00625C35"/>
    <w:rsid w:val="00641E27"/>
    <w:rsid w:val="00650B39"/>
    <w:rsid w:val="00656313"/>
    <w:rsid w:val="006565F4"/>
    <w:rsid w:val="006724FD"/>
    <w:rsid w:val="0068485A"/>
    <w:rsid w:val="00684EEA"/>
    <w:rsid w:val="0069689B"/>
    <w:rsid w:val="006A1551"/>
    <w:rsid w:val="006A162A"/>
    <w:rsid w:val="006B5FF5"/>
    <w:rsid w:val="006E3966"/>
    <w:rsid w:val="006F30AF"/>
    <w:rsid w:val="00701759"/>
    <w:rsid w:val="00705C15"/>
    <w:rsid w:val="00712C89"/>
    <w:rsid w:val="00713A7B"/>
    <w:rsid w:val="0071600E"/>
    <w:rsid w:val="00717947"/>
    <w:rsid w:val="007208D1"/>
    <w:rsid w:val="00747288"/>
    <w:rsid w:val="00747DD3"/>
    <w:rsid w:val="007549C8"/>
    <w:rsid w:val="00754A0B"/>
    <w:rsid w:val="00766D14"/>
    <w:rsid w:val="00767A0F"/>
    <w:rsid w:val="007772C4"/>
    <w:rsid w:val="007A05F6"/>
    <w:rsid w:val="007B6F4A"/>
    <w:rsid w:val="007D17AE"/>
    <w:rsid w:val="007D5F2B"/>
    <w:rsid w:val="007E1C47"/>
    <w:rsid w:val="007E337A"/>
    <w:rsid w:val="007E5C70"/>
    <w:rsid w:val="007F2FF5"/>
    <w:rsid w:val="007F3F08"/>
    <w:rsid w:val="00804CC6"/>
    <w:rsid w:val="008139EC"/>
    <w:rsid w:val="00817190"/>
    <w:rsid w:val="00820EE5"/>
    <w:rsid w:val="008260E2"/>
    <w:rsid w:val="008322BD"/>
    <w:rsid w:val="00833E0A"/>
    <w:rsid w:val="00834F73"/>
    <w:rsid w:val="00864CF8"/>
    <w:rsid w:val="00872819"/>
    <w:rsid w:val="00874914"/>
    <w:rsid w:val="0087598D"/>
    <w:rsid w:val="00884BE9"/>
    <w:rsid w:val="00891422"/>
    <w:rsid w:val="00892E1A"/>
    <w:rsid w:val="008A3F29"/>
    <w:rsid w:val="008B660A"/>
    <w:rsid w:val="008C01DA"/>
    <w:rsid w:val="008E58B7"/>
    <w:rsid w:val="008F78E9"/>
    <w:rsid w:val="00911989"/>
    <w:rsid w:val="009179F9"/>
    <w:rsid w:val="00933E5E"/>
    <w:rsid w:val="00935218"/>
    <w:rsid w:val="009403F3"/>
    <w:rsid w:val="009555B7"/>
    <w:rsid w:val="009567AA"/>
    <w:rsid w:val="00967374"/>
    <w:rsid w:val="0097457C"/>
    <w:rsid w:val="009940A9"/>
    <w:rsid w:val="009A343A"/>
    <w:rsid w:val="009B0368"/>
    <w:rsid w:val="009B2F23"/>
    <w:rsid w:val="009B57B3"/>
    <w:rsid w:val="009C5B92"/>
    <w:rsid w:val="009D2920"/>
    <w:rsid w:val="009D5AEB"/>
    <w:rsid w:val="009F0E33"/>
    <w:rsid w:val="009F20AF"/>
    <w:rsid w:val="009F45BA"/>
    <w:rsid w:val="00A030CE"/>
    <w:rsid w:val="00A047A1"/>
    <w:rsid w:val="00A07B51"/>
    <w:rsid w:val="00A11E3B"/>
    <w:rsid w:val="00A149DF"/>
    <w:rsid w:val="00A1755C"/>
    <w:rsid w:val="00A21B90"/>
    <w:rsid w:val="00A25FF9"/>
    <w:rsid w:val="00A31363"/>
    <w:rsid w:val="00A41805"/>
    <w:rsid w:val="00A42DCD"/>
    <w:rsid w:val="00A5111A"/>
    <w:rsid w:val="00A52AFB"/>
    <w:rsid w:val="00A548CB"/>
    <w:rsid w:val="00A5521C"/>
    <w:rsid w:val="00A62D3E"/>
    <w:rsid w:val="00A643E7"/>
    <w:rsid w:val="00A73C38"/>
    <w:rsid w:val="00A87112"/>
    <w:rsid w:val="00AB0101"/>
    <w:rsid w:val="00AB670D"/>
    <w:rsid w:val="00AF03C5"/>
    <w:rsid w:val="00B000D8"/>
    <w:rsid w:val="00B00F75"/>
    <w:rsid w:val="00B145B6"/>
    <w:rsid w:val="00B279EB"/>
    <w:rsid w:val="00B50A73"/>
    <w:rsid w:val="00B50C81"/>
    <w:rsid w:val="00B557F8"/>
    <w:rsid w:val="00B574AF"/>
    <w:rsid w:val="00B6284F"/>
    <w:rsid w:val="00B815FC"/>
    <w:rsid w:val="00B915A6"/>
    <w:rsid w:val="00B93FBC"/>
    <w:rsid w:val="00B96013"/>
    <w:rsid w:val="00BA7DA0"/>
    <w:rsid w:val="00BB2EE4"/>
    <w:rsid w:val="00BC2108"/>
    <w:rsid w:val="00BC39C4"/>
    <w:rsid w:val="00BD0E9E"/>
    <w:rsid w:val="00BD1BEC"/>
    <w:rsid w:val="00BD32FF"/>
    <w:rsid w:val="00BE568D"/>
    <w:rsid w:val="00C02092"/>
    <w:rsid w:val="00C24D91"/>
    <w:rsid w:val="00C53F14"/>
    <w:rsid w:val="00C600CF"/>
    <w:rsid w:val="00C6084F"/>
    <w:rsid w:val="00C62A66"/>
    <w:rsid w:val="00C64D09"/>
    <w:rsid w:val="00C66A89"/>
    <w:rsid w:val="00C71458"/>
    <w:rsid w:val="00C77613"/>
    <w:rsid w:val="00C828E7"/>
    <w:rsid w:val="00C86719"/>
    <w:rsid w:val="00C921DD"/>
    <w:rsid w:val="00C94F99"/>
    <w:rsid w:val="00CA6391"/>
    <w:rsid w:val="00CB089D"/>
    <w:rsid w:val="00CB4A1A"/>
    <w:rsid w:val="00CC34BD"/>
    <w:rsid w:val="00CE161A"/>
    <w:rsid w:val="00CE3171"/>
    <w:rsid w:val="00CF1601"/>
    <w:rsid w:val="00D0172F"/>
    <w:rsid w:val="00D068A7"/>
    <w:rsid w:val="00D17476"/>
    <w:rsid w:val="00D32086"/>
    <w:rsid w:val="00D37A3F"/>
    <w:rsid w:val="00D4431D"/>
    <w:rsid w:val="00D4667A"/>
    <w:rsid w:val="00D60211"/>
    <w:rsid w:val="00D62AF4"/>
    <w:rsid w:val="00D63A1C"/>
    <w:rsid w:val="00D7348C"/>
    <w:rsid w:val="00D7516F"/>
    <w:rsid w:val="00D8579F"/>
    <w:rsid w:val="00D95F8E"/>
    <w:rsid w:val="00DA0590"/>
    <w:rsid w:val="00DB7BEA"/>
    <w:rsid w:val="00DC1739"/>
    <w:rsid w:val="00DC1788"/>
    <w:rsid w:val="00DE319C"/>
    <w:rsid w:val="00DF0CA8"/>
    <w:rsid w:val="00DF2B48"/>
    <w:rsid w:val="00DF49A7"/>
    <w:rsid w:val="00E07EE2"/>
    <w:rsid w:val="00E07FD1"/>
    <w:rsid w:val="00E16AD9"/>
    <w:rsid w:val="00E24573"/>
    <w:rsid w:val="00E25E1E"/>
    <w:rsid w:val="00E27EE7"/>
    <w:rsid w:val="00E35404"/>
    <w:rsid w:val="00E45109"/>
    <w:rsid w:val="00E47B7A"/>
    <w:rsid w:val="00E56A44"/>
    <w:rsid w:val="00E60269"/>
    <w:rsid w:val="00E669B6"/>
    <w:rsid w:val="00E77932"/>
    <w:rsid w:val="00E82D3A"/>
    <w:rsid w:val="00E97830"/>
    <w:rsid w:val="00EB618F"/>
    <w:rsid w:val="00EC57B3"/>
    <w:rsid w:val="00EE643C"/>
    <w:rsid w:val="00EF0683"/>
    <w:rsid w:val="00EF69D2"/>
    <w:rsid w:val="00EF766E"/>
    <w:rsid w:val="00F0070C"/>
    <w:rsid w:val="00F00EB7"/>
    <w:rsid w:val="00F13840"/>
    <w:rsid w:val="00F36AB6"/>
    <w:rsid w:val="00F37A09"/>
    <w:rsid w:val="00F409CE"/>
    <w:rsid w:val="00F4379D"/>
    <w:rsid w:val="00F50D2D"/>
    <w:rsid w:val="00F5678D"/>
    <w:rsid w:val="00F56C8B"/>
    <w:rsid w:val="00F66810"/>
    <w:rsid w:val="00F846D9"/>
    <w:rsid w:val="00F84AB4"/>
    <w:rsid w:val="00F84DF4"/>
    <w:rsid w:val="00F85C97"/>
    <w:rsid w:val="00F92FFE"/>
    <w:rsid w:val="00F96B48"/>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A07B5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07B51"/>
    <w:rPr>
      <w:rFonts w:eastAsiaTheme="minorHAnsi" w:cstheme="minorBidi"/>
      <w:sz w:val="24"/>
      <w:szCs w:val="22"/>
      <w:lang w:eastAsia="en-US"/>
    </w:rPr>
  </w:style>
  <w:style w:type="table" w:styleId="TableGrid">
    <w:name w:val="Table Grid"/>
    <w:basedOn w:val="TableNormal"/>
    <w:uiPriority w:val="59"/>
    <w:rsid w:val="00A07B51"/>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07B51"/>
    <w:pPr>
      <w:spacing w:after="720"/>
      <w:ind w:left="1166"/>
      <w:contextualSpacing/>
      <w:jc w:val="both"/>
    </w:pPr>
    <w:rPr>
      <w:sz w:val="24"/>
      <w:szCs w:val="24"/>
    </w:rPr>
  </w:style>
  <w:style w:type="paragraph" w:customStyle="1" w:styleId="JudgeJuge">
    <w:name w:val="Judge / Juge"/>
    <w:uiPriority w:val="3"/>
    <w:rsid w:val="00A07B51"/>
    <w:pPr>
      <w:tabs>
        <w:tab w:val="left" w:pos="1166"/>
      </w:tabs>
      <w:spacing w:after="480" w:line="480" w:lineRule="auto"/>
    </w:pPr>
    <w:rPr>
      <w:smallCaps/>
      <w:sz w:val="24"/>
      <w:szCs w:val="24"/>
    </w:rPr>
  </w:style>
  <w:style w:type="paragraph" w:customStyle="1" w:styleId="ParaNoNdepar-AltN">
    <w:name w:val="Para. No. / Nº de par. - Alt N"/>
    <w:qFormat/>
    <w:rsid w:val="00A07B5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07B51"/>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07B51"/>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07B51"/>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07B51"/>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07B51"/>
    <w:pPr>
      <w:numPr>
        <w:ilvl w:val="4"/>
      </w:numPr>
      <w:tabs>
        <w:tab w:val="clear" w:pos="576"/>
        <w:tab w:val="left" w:pos="1620"/>
      </w:tabs>
      <w:ind w:left="1620" w:hanging="540"/>
    </w:pPr>
  </w:style>
  <w:style w:type="character" w:customStyle="1" w:styleId="SCCLsocPartyRoleChar">
    <w:name w:val="SCC.Lsoc.PartyRole Char"/>
    <w:basedOn w:val="DefaultParagraphFont"/>
    <w:rsid w:val="00195532"/>
    <w:rPr>
      <w:lang w:val="en-CA"/>
    </w:rPr>
  </w:style>
  <w:style w:type="paragraph" w:customStyle="1" w:styleId="SCCLsocPrefix">
    <w:name w:val="SCC.Lsoc.Prefix"/>
    <w:basedOn w:val="Normal"/>
    <w:next w:val="Normal"/>
    <w:link w:val="SCCLsocPrefixChar"/>
    <w:rsid w:val="00195532"/>
    <w:rPr>
      <w:rFonts w:eastAsiaTheme="minorHAnsi" w:cstheme="minorBidi"/>
      <w:b/>
      <w:smallCaps/>
      <w:szCs w:val="24"/>
      <w:lang w:eastAsia="en-US"/>
    </w:rPr>
  </w:style>
  <w:style w:type="character" w:customStyle="1" w:styleId="SCCLsocPrefixChar">
    <w:name w:val="SCC.Lsoc.Prefix Char"/>
    <w:basedOn w:val="DefaultParagraphFont"/>
    <w:link w:val="SCCLsocPrefix"/>
    <w:rsid w:val="00195532"/>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AEBD-C403-4C6F-9611-8700778A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5099</Words>
  <Characters>26328</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2014-09-18T18:26:00Z</dcterms:created>
  <dcterms:modified xsi:type="dcterms:W3CDTF">2015-02-26T16:50:00Z</dcterms:modified>
</cp:coreProperties>
</file>