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1D" w:rsidRDefault="0051001D" w:rsidP="0051001D">
      <w:pPr>
        <w:pStyle w:val="Header"/>
      </w:pPr>
      <w:r>
        <w:ptab w:relativeTo="margin" w:alignment="center" w:leader="none"/>
      </w:r>
      <w:r w:rsidRPr="00F72014">
        <w:t xml:space="preserve"> </w:t>
      </w:r>
      <w:r>
        <w:object w:dxaOrig="1365" w:dyaOrig="1440">
          <v:shape id="_x0000_i1029" type="#_x0000_t75" style="width:61pt;height:65pt" o:ole="">
            <v:imagedata r:id="rId8" o:title=""/>
          </v:shape>
          <o:OLEObject Type="Embed" ProgID="Presentations.Drawing.13" ShapeID="_x0000_i1029" DrawAspect="Content" ObjectID="_1487076295" r:id="rId9"/>
        </w:object>
      </w:r>
      <w:r>
        <w:t xml:space="preserve"> </w:t>
      </w:r>
      <w:r>
        <w:ptab w:relativeTo="margin" w:alignment="right" w:leader="none"/>
      </w:r>
    </w:p>
    <w:p w:rsidR="0051001D" w:rsidRDefault="0051001D" w:rsidP="0051001D">
      <w:pPr>
        <w:pStyle w:val="Header"/>
      </w:pPr>
    </w:p>
    <w:p w:rsidR="0051001D" w:rsidRPr="006B210C" w:rsidRDefault="0051001D" w:rsidP="0051001D">
      <w:pPr>
        <w:jc w:val="center"/>
        <w:rPr>
          <w:b/>
        </w:rPr>
      </w:pPr>
      <w:r w:rsidRPr="006B210C">
        <w:rPr>
          <w:b/>
        </w:rPr>
        <w:t>SUPREME COURT OF CANADA</w:t>
      </w:r>
    </w:p>
    <w:p w:rsidR="0051001D" w:rsidRDefault="0051001D" w:rsidP="0051001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1001D" w:rsidRPr="006B210C" w:rsidTr="002B419E">
        <w:trPr>
          <w:cantSplit/>
        </w:trPr>
        <w:tc>
          <w:tcPr>
            <w:tcW w:w="6768" w:type="dxa"/>
          </w:tcPr>
          <w:p w:rsidR="0051001D" w:rsidRPr="00FC58F1" w:rsidRDefault="0051001D" w:rsidP="002B419E">
            <w:r w:rsidRPr="006B210C">
              <w:rPr>
                <w:b/>
                <w:smallCaps/>
              </w:rPr>
              <w:t>Citation</w:t>
            </w:r>
            <w:r>
              <w:rPr>
                <w:b/>
                <w:smallCaps/>
              </w:rPr>
              <w:t>:</w:t>
            </w:r>
            <w:r w:rsidRPr="006B210C">
              <w:t xml:space="preserve"> </w:t>
            </w:r>
            <w:r>
              <w:t xml:space="preserve"> R. </w:t>
            </w:r>
            <w:r>
              <w:rPr>
                <w:i/>
              </w:rPr>
              <w:t>v</w:t>
            </w:r>
            <w:r>
              <w:t>. Steele, 2014 SCC 61, [2014] 3 S.C.R. 138</w:t>
            </w:r>
          </w:p>
        </w:tc>
        <w:tc>
          <w:tcPr>
            <w:tcW w:w="2808" w:type="dxa"/>
          </w:tcPr>
          <w:p w:rsidR="0051001D" w:rsidRPr="006B210C" w:rsidRDefault="0051001D" w:rsidP="002B419E">
            <w:r w:rsidRPr="006B210C">
              <w:rPr>
                <w:b/>
                <w:smallCaps/>
              </w:rPr>
              <w:t>Date</w:t>
            </w:r>
            <w:r>
              <w:rPr>
                <w:b/>
                <w:smallCaps/>
              </w:rPr>
              <w:t>:</w:t>
            </w:r>
            <w:r w:rsidRPr="006B210C">
              <w:t xml:space="preserve"> </w:t>
            </w:r>
            <w:r>
              <w:t>20141009</w:t>
            </w:r>
          </w:p>
          <w:p w:rsidR="0051001D" w:rsidRPr="006B210C" w:rsidRDefault="0051001D" w:rsidP="002B419E">
            <w:r w:rsidRPr="006B210C">
              <w:rPr>
                <w:b/>
                <w:smallCaps/>
              </w:rPr>
              <w:t>Docket</w:t>
            </w:r>
            <w:r>
              <w:rPr>
                <w:b/>
                <w:smallCaps/>
              </w:rPr>
              <w:t>:</w:t>
            </w:r>
            <w:r w:rsidRPr="006B210C">
              <w:t xml:space="preserve"> </w:t>
            </w:r>
            <w:r>
              <w:t>35364</w:t>
            </w:r>
          </w:p>
        </w:tc>
      </w:tr>
    </w:tbl>
    <w:p w:rsidR="0051001D" w:rsidRPr="006B210C" w:rsidRDefault="0051001D" w:rsidP="0051001D"/>
    <w:p w:rsidR="0051001D" w:rsidRDefault="0051001D" w:rsidP="0051001D">
      <w:pPr>
        <w:pStyle w:val="SCCLsocPrefix"/>
      </w:pPr>
      <w:r>
        <w:t>Between:</w:t>
      </w:r>
    </w:p>
    <w:p w:rsidR="0051001D" w:rsidRDefault="0051001D" w:rsidP="0051001D">
      <w:pPr>
        <w:pStyle w:val="SCCLsocParty"/>
        <w:jc w:val="center"/>
      </w:pPr>
      <w:r>
        <w:t xml:space="preserve">Her Majesty </w:t>
      </w:r>
      <w:proofErr w:type="gramStart"/>
      <w:r>
        <w:t>The</w:t>
      </w:r>
      <w:proofErr w:type="gramEnd"/>
      <w:r>
        <w:t xml:space="preserve"> Queen</w:t>
      </w:r>
    </w:p>
    <w:p w:rsidR="0051001D" w:rsidRDefault="0051001D" w:rsidP="0051001D">
      <w:pPr>
        <w:jc w:val="center"/>
      </w:pPr>
      <w:r>
        <w:t>Appellant</w:t>
      </w:r>
    </w:p>
    <w:p w:rsidR="0051001D" w:rsidRPr="00062F7F" w:rsidRDefault="0051001D" w:rsidP="0051001D">
      <w:pPr>
        <w:pStyle w:val="SCCLsocVersus"/>
        <w:spacing w:after="0"/>
        <w:jc w:val="center"/>
        <w:rPr>
          <w:i w:val="0"/>
        </w:rPr>
      </w:pPr>
      <w:proofErr w:type="gramStart"/>
      <w:r w:rsidRPr="00062F7F">
        <w:rPr>
          <w:i w:val="0"/>
        </w:rPr>
        <w:t>and</w:t>
      </w:r>
      <w:proofErr w:type="gramEnd"/>
    </w:p>
    <w:p w:rsidR="0051001D" w:rsidRDefault="0051001D" w:rsidP="0051001D">
      <w:pPr>
        <w:pStyle w:val="SCCLsocParty"/>
        <w:jc w:val="center"/>
      </w:pPr>
      <w:r>
        <w:t>John Melville Steele</w:t>
      </w:r>
    </w:p>
    <w:p w:rsidR="0051001D" w:rsidRDefault="0051001D" w:rsidP="0051001D">
      <w:pPr>
        <w:jc w:val="center"/>
      </w:pPr>
      <w:r>
        <w:t>Respondent</w:t>
      </w:r>
    </w:p>
    <w:p w:rsidR="0051001D" w:rsidRDefault="0051001D" w:rsidP="0051001D">
      <w:pPr>
        <w:pStyle w:val="SCCLsocOtherPartySeparator"/>
        <w:spacing w:after="0"/>
        <w:jc w:val="center"/>
      </w:pPr>
      <w:r>
        <w:t xml:space="preserve">- </w:t>
      </w:r>
      <w:proofErr w:type="gramStart"/>
      <w:r>
        <w:t>and</w:t>
      </w:r>
      <w:proofErr w:type="gramEnd"/>
      <w:r>
        <w:t xml:space="preserve"> -</w:t>
      </w:r>
    </w:p>
    <w:p w:rsidR="0051001D" w:rsidRDefault="0051001D" w:rsidP="0051001D">
      <w:pPr>
        <w:pStyle w:val="SCCLsocParty"/>
        <w:jc w:val="center"/>
      </w:pPr>
      <w:r>
        <w:t>Attorney General of Canada and Attorney General of Ontario</w:t>
      </w:r>
    </w:p>
    <w:p w:rsidR="0051001D" w:rsidRDefault="0051001D" w:rsidP="0051001D">
      <w:pPr>
        <w:jc w:val="center"/>
      </w:pPr>
      <w:r>
        <w:t>Interveners</w:t>
      </w:r>
    </w:p>
    <w:p w:rsidR="0051001D" w:rsidRDefault="0051001D" w:rsidP="0051001D">
      <w:pPr>
        <w:jc w:val="center"/>
        <w:rPr>
          <w:b/>
          <w:smallCaps/>
        </w:rPr>
      </w:pPr>
    </w:p>
    <w:p w:rsidR="0051001D" w:rsidRPr="006B210C" w:rsidRDefault="0051001D" w:rsidP="0051001D">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51001D" w:rsidRPr="006B210C" w:rsidRDefault="0051001D" w:rsidP="005100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1001D" w:rsidRPr="006B210C" w:rsidTr="002B419E">
        <w:trPr>
          <w:cantSplit/>
        </w:trPr>
        <w:tc>
          <w:tcPr>
            <w:tcW w:w="3618" w:type="dxa"/>
          </w:tcPr>
          <w:p w:rsidR="0051001D" w:rsidRDefault="0051001D" w:rsidP="002B419E">
            <w:pPr>
              <w:rPr>
                <w:b/>
                <w:smallCaps/>
              </w:rPr>
            </w:pPr>
            <w:r w:rsidRPr="006B210C">
              <w:rPr>
                <w:b/>
                <w:smallCaps/>
              </w:rPr>
              <w:t>Reasons for Judgment</w:t>
            </w:r>
            <w:r>
              <w:rPr>
                <w:b/>
                <w:smallCaps/>
              </w:rPr>
              <w:t>:</w:t>
            </w:r>
          </w:p>
          <w:p w:rsidR="0051001D" w:rsidRPr="006B210C" w:rsidRDefault="0051001D" w:rsidP="002B419E">
            <w:r>
              <w:t>(</w:t>
            </w:r>
            <w:proofErr w:type="spellStart"/>
            <w:r>
              <w:t>paras</w:t>
            </w:r>
            <w:proofErr w:type="spellEnd"/>
            <w:r>
              <w:t xml:space="preserve">. 1 to </w:t>
            </w:r>
            <w:r w:rsidRPr="00F16EF0">
              <w:t>72</w:t>
            </w:r>
            <w:r>
              <w:t>)</w:t>
            </w:r>
          </w:p>
        </w:tc>
        <w:tc>
          <w:tcPr>
            <w:tcW w:w="5958" w:type="dxa"/>
          </w:tcPr>
          <w:p w:rsidR="0051001D" w:rsidRPr="006B210C" w:rsidRDefault="0051001D" w:rsidP="002B419E">
            <w:r>
              <w:t>Wagner J. (</w:t>
            </w:r>
            <w:proofErr w:type="spellStart"/>
            <w:r w:rsidRPr="002A2A85">
              <w:t>McLachlin</w:t>
            </w:r>
            <w:proofErr w:type="spellEnd"/>
            <w:r w:rsidRPr="002A2A85">
              <w:t xml:space="preserve"> C.J. and</w:t>
            </w:r>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xml:space="preserve"> JJ. concurring)</w:t>
            </w:r>
          </w:p>
        </w:tc>
      </w:tr>
    </w:tbl>
    <w:p w:rsidR="0051001D" w:rsidRDefault="0051001D" w:rsidP="0051001D"/>
    <w:p w:rsidR="0051001D" w:rsidRPr="006B210C" w:rsidRDefault="00A777BE" w:rsidP="0051001D">
      <w:r w:rsidRPr="00A777BE">
        <w:rPr>
          <w:noProof/>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60288" o:connectortype="straight"/>
        </w:pict>
      </w:r>
    </w:p>
    <w:p w:rsidR="0051001D" w:rsidRDefault="0051001D" w:rsidP="00DA111D">
      <w:pPr>
        <w:widowControl w:val="0"/>
        <w:spacing w:after="720"/>
        <w:jc w:val="both"/>
        <w:rPr>
          <w:rStyle w:val="SCCAppellantForRunningHeadChar"/>
        </w:rPr>
      </w:pPr>
    </w:p>
    <w:p w:rsidR="008322BD" w:rsidRPr="00600703" w:rsidRDefault="008E2771" w:rsidP="00DA111D">
      <w:pPr>
        <w:widowControl w:val="0"/>
        <w:spacing w:after="720"/>
        <w:jc w:val="both"/>
      </w:pPr>
      <w:r w:rsidRPr="00600703">
        <w:rPr>
          <w:rStyle w:val="SCCAppellantForRunningHeadChar"/>
        </w:rPr>
        <w:t>r</w:t>
      </w:r>
      <w:r w:rsidR="008F78E9" w:rsidRPr="00600703">
        <w:rPr>
          <w:rStyle w:val="SCCAppellantForRunningHeadChar"/>
        </w:rPr>
        <w:t>.</w:t>
      </w:r>
      <w:r w:rsidR="00480C90" w:rsidRPr="00600703">
        <w:t xml:space="preserve"> </w:t>
      </w:r>
      <w:r w:rsidR="009B57B3" w:rsidRPr="00600703">
        <w:rPr>
          <w:i/>
        </w:rPr>
        <w:t>v</w:t>
      </w:r>
      <w:r w:rsidR="009B57B3" w:rsidRPr="00143C77">
        <w:t>.</w:t>
      </w:r>
      <w:r w:rsidR="00B000D8" w:rsidRPr="00600703">
        <w:t xml:space="preserve"> </w:t>
      </w:r>
      <w:proofErr w:type="spellStart"/>
      <w:r w:rsidRPr="00600703">
        <w:rPr>
          <w:rStyle w:val="SCCRespondentForRunningHeadChar"/>
        </w:rPr>
        <w:t>s</w:t>
      </w:r>
      <w:r w:rsidR="008F78E9" w:rsidRPr="00600703">
        <w:rPr>
          <w:rStyle w:val="SCCRespondentForRunningHeadChar"/>
        </w:rPr>
        <w:t>teele</w:t>
      </w:r>
      <w:proofErr w:type="spellEnd"/>
      <w:r w:rsidR="00DA098B">
        <w:rPr>
          <w:rStyle w:val="SCCRespondentForRunningHeadChar"/>
        </w:rPr>
        <w:t xml:space="preserve">, </w:t>
      </w:r>
      <w:r w:rsidR="00DA098B" w:rsidRPr="00600703">
        <w:t>2014 SCC</w:t>
      </w:r>
      <w:r w:rsidR="00DA098B">
        <w:t xml:space="preserve"> </w:t>
      </w:r>
      <w:r w:rsidR="00DA098B" w:rsidRPr="00600703">
        <w:t>61</w:t>
      </w:r>
      <w:r w:rsidR="00DA098B">
        <w:t>, [2014] 3 S.C.R. 138</w:t>
      </w:r>
    </w:p>
    <w:p w:rsidR="006A6CB2" w:rsidRPr="00600703" w:rsidRDefault="008E2771" w:rsidP="00DA111D">
      <w:pPr>
        <w:pStyle w:val="SCCLsocLastPartyInRole"/>
        <w:widowControl w:val="0"/>
      </w:pPr>
      <w:r w:rsidRPr="00600703">
        <w:t xml:space="preserve">Her Majesty </w:t>
      </w:r>
      <w:proofErr w:type="gramStart"/>
      <w:r w:rsidRPr="00600703">
        <w:t>The</w:t>
      </w:r>
      <w:proofErr w:type="gramEnd"/>
      <w:r w:rsidRPr="00600703">
        <w:t xml:space="preserve"> Queen</w:t>
      </w:r>
      <w:r w:rsidRPr="00600703">
        <w:rPr>
          <w:rStyle w:val="SCCLsocPartyRole"/>
        </w:rPr>
        <w:tab/>
        <w:t>Appellant</w:t>
      </w:r>
    </w:p>
    <w:p w:rsidR="006A6CB2" w:rsidRPr="00600703" w:rsidRDefault="008E2771" w:rsidP="00DA111D">
      <w:pPr>
        <w:pStyle w:val="SCCLsocVersus"/>
        <w:widowControl w:val="0"/>
      </w:pPr>
      <w:proofErr w:type="gramStart"/>
      <w:r w:rsidRPr="00600703">
        <w:t>v</w:t>
      </w:r>
      <w:proofErr w:type="gramEnd"/>
      <w:r w:rsidRPr="00600703">
        <w:t>.</w:t>
      </w:r>
    </w:p>
    <w:p w:rsidR="006A6CB2" w:rsidRPr="00600703" w:rsidRDefault="008E2771" w:rsidP="00DA111D">
      <w:pPr>
        <w:pStyle w:val="SCCLsocLastPartyInRole"/>
        <w:widowControl w:val="0"/>
      </w:pPr>
      <w:r w:rsidRPr="00600703">
        <w:t>John Melville Steele</w:t>
      </w:r>
      <w:r w:rsidRPr="00600703">
        <w:rPr>
          <w:rStyle w:val="SCCLsocPartyRole"/>
        </w:rPr>
        <w:tab/>
        <w:t>Respondent</w:t>
      </w:r>
    </w:p>
    <w:p w:rsidR="006A6CB2" w:rsidRPr="00600703" w:rsidRDefault="008E2771" w:rsidP="00DA111D">
      <w:pPr>
        <w:pStyle w:val="SCCLsocOtherPartySeparator"/>
        <w:widowControl w:val="0"/>
      </w:pPr>
      <w:proofErr w:type="gramStart"/>
      <w:r w:rsidRPr="00600703">
        <w:lastRenderedPageBreak/>
        <w:t>and</w:t>
      </w:r>
      <w:proofErr w:type="gramEnd"/>
    </w:p>
    <w:p w:rsidR="006A6CB2" w:rsidRPr="00600703" w:rsidRDefault="008E2771" w:rsidP="00DA111D">
      <w:pPr>
        <w:pStyle w:val="SCCLsocParty"/>
        <w:widowControl w:val="0"/>
      </w:pPr>
      <w:r w:rsidRPr="00600703">
        <w:t>Attorney General of Canada and</w:t>
      </w:r>
    </w:p>
    <w:p w:rsidR="006A6CB2" w:rsidRPr="00600703" w:rsidRDefault="008E2771" w:rsidP="00DA111D">
      <w:pPr>
        <w:pStyle w:val="SCCLsocLastPartyInRole"/>
        <w:widowControl w:val="0"/>
      </w:pPr>
      <w:r w:rsidRPr="00600703">
        <w:t>Attorney General of Ontario</w:t>
      </w:r>
      <w:r w:rsidRPr="00600703">
        <w:rPr>
          <w:rStyle w:val="SCCLsocPartyRole"/>
        </w:rPr>
        <w:tab/>
        <w:t>Interveners</w:t>
      </w:r>
    </w:p>
    <w:p w:rsidR="00426659" w:rsidRPr="00600703" w:rsidRDefault="00426659" w:rsidP="00DA111D">
      <w:pPr>
        <w:widowControl w:val="0"/>
        <w:spacing w:after="720"/>
        <w:jc w:val="both"/>
        <w:rPr>
          <w:b/>
        </w:rPr>
      </w:pPr>
      <w:r w:rsidRPr="00600703">
        <w:rPr>
          <w:b/>
        </w:rPr>
        <w:t xml:space="preserve">Indexed as:  </w:t>
      </w:r>
      <w:r w:rsidRPr="00600703">
        <w:rPr>
          <w:rStyle w:val="SCCAppellantForIndexChar"/>
        </w:rPr>
        <w:t>R.</w:t>
      </w:r>
      <w:r w:rsidRPr="00600703">
        <w:rPr>
          <w:b/>
        </w:rPr>
        <w:t xml:space="preserve"> </w:t>
      </w:r>
      <w:r w:rsidRPr="00600703">
        <w:rPr>
          <w:b/>
          <w:i/>
        </w:rPr>
        <w:t>v.</w:t>
      </w:r>
      <w:r w:rsidRPr="00600703">
        <w:rPr>
          <w:b/>
        </w:rPr>
        <w:t xml:space="preserve"> </w:t>
      </w:r>
      <w:r w:rsidRPr="00600703">
        <w:rPr>
          <w:rStyle w:val="SCCRespondentForIndexChar"/>
        </w:rPr>
        <w:t>Steele</w:t>
      </w:r>
    </w:p>
    <w:p w:rsidR="00426659" w:rsidRPr="00600703" w:rsidRDefault="004F36FF" w:rsidP="00DA111D">
      <w:pPr>
        <w:pStyle w:val="SCCSystemYear"/>
        <w:widowControl w:val="0"/>
        <w:spacing w:after="720"/>
        <w:jc w:val="both"/>
      </w:pPr>
      <w:r w:rsidRPr="00600703">
        <w:t>2014</w:t>
      </w:r>
      <w:r w:rsidR="003D0399" w:rsidRPr="00600703">
        <w:t xml:space="preserve"> </w:t>
      </w:r>
      <w:r w:rsidR="00DC459D" w:rsidRPr="00600703">
        <w:t>SCC</w:t>
      </w:r>
      <w:r w:rsidR="00DA111D">
        <w:t xml:space="preserve"> </w:t>
      </w:r>
      <w:r w:rsidR="00DC459D" w:rsidRPr="00600703">
        <w:t>61</w:t>
      </w:r>
    </w:p>
    <w:p w:rsidR="008322BD" w:rsidRPr="00600703" w:rsidRDefault="009B57B3" w:rsidP="00DA111D">
      <w:pPr>
        <w:widowControl w:val="0"/>
        <w:spacing w:after="720"/>
        <w:jc w:val="both"/>
      </w:pPr>
      <w:r w:rsidRPr="00600703">
        <w:t>File No.:  35364.</w:t>
      </w:r>
    </w:p>
    <w:p w:rsidR="008322BD" w:rsidRPr="00600703" w:rsidRDefault="00FD06A5" w:rsidP="00DA111D">
      <w:pPr>
        <w:widowControl w:val="0"/>
        <w:spacing w:after="720"/>
        <w:jc w:val="both"/>
      </w:pPr>
      <w:r w:rsidRPr="00600703">
        <w:t>2014:</w:t>
      </w:r>
      <w:r w:rsidR="00DA111D">
        <w:t xml:space="preserve">  </w:t>
      </w:r>
      <w:r w:rsidRPr="00600703">
        <w:t>April</w:t>
      </w:r>
      <w:r w:rsidR="00DA111D">
        <w:t xml:space="preserve"> </w:t>
      </w:r>
      <w:r w:rsidR="004F36FF" w:rsidRPr="00600703">
        <w:t>17</w:t>
      </w:r>
      <w:r w:rsidR="009B57B3" w:rsidRPr="00600703">
        <w:t xml:space="preserve">; </w:t>
      </w:r>
      <w:r w:rsidR="008E2771" w:rsidRPr="00600703">
        <w:t>2014:</w:t>
      </w:r>
      <w:r w:rsidR="00DA111D">
        <w:t xml:space="preserve">  </w:t>
      </w:r>
      <w:r w:rsidR="00F40954" w:rsidRPr="00600703">
        <w:t>October 9</w:t>
      </w:r>
      <w:r w:rsidR="009B57B3" w:rsidRPr="00600703">
        <w:t>.</w:t>
      </w:r>
    </w:p>
    <w:p w:rsidR="008322BD" w:rsidRPr="00600703" w:rsidRDefault="009B57B3" w:rsidP="00DA111D">
      <w:pPr>
        <w:widowControl w:val="0"/>
        <w:spacing w:after="720"/>
        <w:jc w:val="both"/>
      </w:pPr>
      <w:r w:rsidRPr="00600703">
        <w:t>Present:  McLachlin</w:t>
      </w:r>
      <w:r w:rsidR="00DA111D">
        <w:t xml:space="preserve"> </w:t>
      </w:r>
      <w:r w:rsidRPr="00600703">
        <w:t xml:space="preserve">C.J. and </w:t>
      </w:r>
      <w:proofErr w:type="spellStart"/>
      <w:r w:rsidRPr="00600703">
        <w:t>Abella</w:t>
      </w:r>
      <w:proofErr w:type="spellEnd"/>
      <w:r w:rsidRPr="00600703">
        <w:t xml:space="preserve">, Rothstein, Cromwell, </w:t>
      </w:r>
      <w:proofErr w:type="spellStart"/>
      <w:r w:rsidRPr="00600703">
        <w:t>Moldaver</w:t>
      </w:r>
      <w:proofErr w:type="spellEnd"/>
      <w:r w:rsidRPr="00600703">
        <w:t xml:space="preserve">, </w:t>
      </w:r>
      <w:proofErr w:type="spellStart"/>
      <w:r w:rsidRPr="00600703">
        <w:t>Karakatsanis</w:t>
      </w:r>
      <w:proofErr w:type="spellEnd"/>
      <w:r w:rsidRPr="00600703">
        <w:t xml:space="preserve"> and Wagner</w:t>
      </w:r>
      <w:r w:rsidR="00DA111D">
        <w:t xml:space="preserve"> </w:t>
      </w:r>
      <w:r w:rsidRPr="00600703">
        <w:t>JJ.</w:t>
      </w:r>
    </w:p>
    <w:p w:rsidR="008322BD" w:rsidRPr="00600703" w:rsidRDefault="00656313" w:rsidP="00DA111D">
      <w:pPr>
        <w:pStyle w:val="SCCLowerCourtNameLowercase"/>
        <w:widowControl w:val="0"/>
        <w:spacing w:after="720" w:line="240" w:lineRule="auto"/>
      </w:pPr>
      <w:r w:rsidRPr="00600703">
        <w:t>o</w:t>
      </w:r>
      <w:r w:rsidR="00170592" w:rsidRPr="00600703">
        <w:t>n</w:t>
      </w:r>
      <w:r w:rsidR="00224FC0" w:rsidRPr="00600703">
        <w:t xml:space="preserve"> </w:t>
      </w:r>
      <w:r w:rsidRPr="00600703">
        <w:t>a</w:t>
      </w:r>
      <w:r w:rsidR="00170592" w:rsidRPr="00600703">
        <w:t>ppeal</w:t>
      </w:r>
      <w:r w:rsidR="00224FC0" w:rsidRPr="00600703">
        <w:t xml:space="preserve"> </w:t>
      </w:r>
      <w:r w:rsidR="00170592" w:rsidRPr="00600703">
        <w:t>from</w:t>
      </w:r>
      <w:r w:rsidR="009567AA" w:rsidRPr="00600703">
        <w:t xml:space="preserve"> the</w:t>
      </w:r>
      <w:r w:rsidR="00224FC0" w:rsidRPr="00600703">
        <w:t xml:space="preserve"> </w:t>
      </w:r>
      <w:r w:rsidR="008E2771" w:rsidRPr="00600703">
        <w:t xml:space="preserve">court of appeal </w:t>
      </w:r>
      <w:r w:rsidR="009B57B3" w:rsidRPr="00600703">
        <w:t>f</w:t>
      </w:r>
      <w:r w:rsidR="008E2771" w:rsidRPr="00600703">
        <w:t>or</w:t>
      </w:r>
      <w:r w:rsidR="009B57B3" w:rsidRPr="00600703">
        <w:t xml:space="preserve"> </w:t>
      </w:r>
      <w:proofErr w:type="spellStart"/>
      <w:r w:rsidR="009B57B3" w:rsidRPr="00600703">
        <w:t>manitoba</w:t>
      </w:r>
      <w:proofErr w:type="spellEnd"/>
    </w:p>
    <w:p w:rsidR="00B9360C" w:rsidRPr="00600703" w:rsidRDefault="009B57B3" w:rsidP="00DA111D">
      <w:pPr>
        <w:pStyle w:val="SCCNormalDoubleSpacing"/>
        <w:widowControl w:val="0"/>
        <w:spacing w:before="480" w:after="480"/>
        <w:rPr>
          <w:i/>
          <w:szCs w:val="24"/>
        </w:rPr>
      </w:pPr>
      <w:r w:rsidRPr="00600703">
        <w:tab/>
      </w:r>
      <w:r w:rsidR="00B9360C" w:rsidRPr="00600703">
        <w:rPr>
          <w:i/>
          <w:szCs w:val="24"/>
        </w:rPr>
        <w:t xml:space="preserve">Criminal law </w:t>
      </w:r>
      <w:r w:rsidR="004E39D8" w:rsidRPr="00600703">
        <w:rPr>
          <w:i/>
          <w:szCs w:val="24"/>
        </w:rPr>
        <w:t xml:space="preserve">— </w:t>
      </w:r>
      <w:r w:rsidR="00B9360C" w:rsidRPr="00600703">
        <w:rPr>
          <w:i/>
          <w:szCs w:val="24"/>
        </w:rPr>
        <w:t xml:space="preserve">Sentencing </w:t>
      </w:r>
      <w:r w:rsidR="004E39D8" w:rsidRPr="00600703">
        <w:rPr>
          <w:i/>
          <w:szCs w:val="24"/>
        </w:rPr>
        <w:t xml:space="preserve">— </w:t>
      </w:r>
      <w:r w:rsidR="00B9360C" w:rsidRPr="00600703">
        <w:rPr>
          <w:i/>
          <w:szCs w:val="24"/>
        </w:rPr>
        <w:t xml:space="preserve">Dangerous offender </w:t>
      </w:r>
      <w:r w:rsidR="004E39D8" w:rsidRPr="00600703">
        <w:rPr>
          <w:i/>
          <w:szCs w:val="24"/>
        </w:rPr>
        <w:t xml:space="preserve">— </w:t>
      </w:r>
      <w:r w:rsidR="00B9360C" w:rsidRPr="00600703">
        <w:rPr>
          <w:i/>
          <w:szCs w:val="24"/>
        </w:rPr>
        <w:t xml:space="preserve">Application for remand for assessment </w:t>
      </w:r>
      <w:r w:rsidR="004E39D8" w:rsidRPr="00600703">
        <w:rPr>
          <w:i/>
          <w:szCs w:val="24"/>
        </w:rPr>
        <w:t xml:space="preserve">— </w:t>
      </w:r>
      <w:r w:rsidR="00B9360C" w:rsidRPr="00600703">
        <w:rPr>
          <w:i/>
          <w:szCs w:val="24"/>
        </w:rPr>
        <w:t>Meaning of “seri</w:t>
      </w:r>
      <w:r w:rsidR="00CD209E" w:rsidRPr="00600703">
        <w:rPr>
          <w:i/>
          <w:szCs w:val="24"/>
        </w:rPr>
        <w:t xml:space="preserve">ous personal injury offence” </w:t>
      </w:r>
      <w:r w:rsidR="004E39D8" w:rsidRPr="00600703">
        <w:rPr>
          <w:i/>
          <w:szCs w:val="24"/>
        </w:rPr>
        <w:t xml:space="preserve">— </w:t>
      </w:r>
      <w:r w:rsidR="00CD209E" w:rsidRPr="00600703">
        <w:rPr>
          <w:i/>
          <w:szCs w:val="24"/>
        </w:rPr>
        <w:t>Whether</w:t>
      </w:r>
      <w:r w:rsidR="00B9360C" w:rsidRPr="00600703">
        <w:rPr>
          <w:i/>
          <w:szCs w:val="24"/>
        </w:rPr>
        <w:t xml:space="preserve"> robbery committed by using threats of violence to a person </w:t>
      </w:r>
      <w:r w:rsidR="00CD209E" w:rsidRPr="00600703">
        <w:rPr>
          <w:i/>
          <w:szCs w:val="24"/>
        </w:rPr>
        <w:t>falls</w:t>
      </w:r>
      <w:r w:rsidR="00B9360C" w:rsidRPr="00600703">
        <w:rPr>
          <w:i/>
          <w:szCs w:val="24"/>
        </w:rPr>
        <w:t xml:space="preserve"> within the meaning of “serious personal injury offence”</w:t>
      </w:r>
      <w:r w:rsidR="004E39D8" w:rsidRPr="00600703">
        <w:rPr>
          <w:i/>
          <w:szCs w:val="24"/>
        </w:rPr>
        <w:t xml:space="preserve"> — </w:t>
      </w:r>
      <w:r w:rsidR="00B9360C" w:rsidRPr="00600703">
        <w:rPr>
          <w:i/>
          <w:szCs w:val="24"/>
        </w:rPr>
        <w:t>Criminal Code</w:t>
      </w:r>
      <w:r w:rsidR="00556FAC">
        <w:rPr>
          <w:i/>
          <w:szCs w:val="24"/>
        </w:rPr>
        <w:t>,</w:t>
      </w:r>
      <w:r w:rsidR="00B9360C" w:rsidRPr="00600703">
        <w:rPr>
          <w:i/>
          <w:szCs w:val="24"/>
        </w:rPr>
        <w:t xml:space="preserve"> R.S.C. 1985, c.</w:t>
      </w:r>
      <w:r w:rsidR="00DA111D">
        <w:rPr>
          <w:i/>
          <w:szCs w:val="24"/>
        </w:rPr>
        <w:t xml:space="preserve"> </w:t>
      </w:r>
      <w:r w:rsidR="00B9360C" w:rsidRPr="00600703">
        <w:rPr>
          <w:i/>
          <w:szCs w:val="24"/>
        </w:rPr>
        <w:t>C</w:t>
      </w:r>
      <w:r w:rsidR="00DA111D">
        <w:rPr>
          <w:i/>
          <w:szCs w:val="24"/>
        </w:rPr>
        <w:t>-</w:t>
      </w:r>
      <w:r w:rsidR="00B9360C" w:rsidRPr="00600703">
        <w:rPr>
          <w:i/>
          <w:szCs w:val="24"/>
        </w:rPr>
        <w:t xml:space="preserve">46, </w:t>
      </w:r>
      <w:r w:rsidR="00892869" w:rsidRPr="00600703">
        <w:rPr>
          <w:i/>
          <w:szCs w:val="24"/>
        </w:rPr>
        <w:t>ss.</w:t>
      </w:r>
      <w:r w:rsidR="00DA111D">
        <w:rPr>
          <w:i/>
          <w:szCs w:val="24"/>
        </w:rPr>
        <w:t xml:space="preserve"> </w:t>
      </w:r>
      <w:r w:rsidR="00B9360C" w:rsidRPr="00600703">
        <w:rPr>
          <w:i/>
          <w:szCs w:val="24"/>
        </w:rPr>
        <w:t>343(a), 752 “serious personal injury offence”, 752.1(1)</w:t>
      </w:r>
    </w:p>
    <w:p w:rsidR="00B9360C" w:rsidRPr="00600703" w:rsidRDefault="004E39D8" w:rsidP="00DA111D">
      <w:pPr>
        <w:pStyle w:val="SCCNormalDoubleSpacing"/>
        <w:widowControl w:val="0"/>
        <w:spacing w:before="480" w:after="480"/>
        <w:rPr>
          <w:szCs w:val="24"/>
        </w:rPr>
      </w:pPr>
      <w:r w:rsidRPr="00600703">
        <w:rPr>
          <w:szCs w:val="24"/>
        </w:rPr>
        <w:tab/>
      </w:r>
      <w:r w:rsidR="00B9360C" w:rsidRPr="00600703">
        <w:rPr>
          <w:szCs w:val="24"/>
        </w:rPr>
        <w:t xml:space="preserve">S robbed a drugstore, telling the cashiers that he had a gun. There is no evidence that he actually had a gun or that physical force was used. No one was </w:t>
      </w:r>
      <w:r w:rsidR="00B9360C" w:rsidRPr="00600703">
        <w:rPr>
          <w:szCs w:val="24"/>
        </w:rPr>
        <w:lastRenderedPageBreak/>
        <w:t>injured. One of the cashiers testified that she had been scared during the robbery, while the other described her reaction as one of shock.</w:t>
      </w:r>
      <w:r w:rsidRPr="00600703">
        <w:rPr>
          <w:szCs w:val="24"/>
        </w:rPr>
        <w:t xml:space="preserve"> </w:t>
      </w:r>
      <w:r w:rsidR="00B9360C" w:rsidRPr="00600703">
        <w:rPr>
          <w:szCs w:val="24"/>
        </w:rPr>
        <w:t xml:space="preserve">S was convicted of robbery under </w:t>
      </w:r>
      <w:r w:rsidRPr="00600703">
        <w:rPr>
          <w:szCs w:val="24"/>
        </w:rPr>
        <w:t>s.</w:t>
      </w:r>
      <w:r w:rsidR="00DA111D">
        <w:rPr>
          <w:szCs w:val="24"/>
        </w:rPr>
        <w:t xml:space="preserve"> </w:t>
      </w:r>
      <w:r w:rsidR="00B9360C" w:rsidRPr="00600703">
        <w:rPr>
          <w:szCs w:val="24"/>
        </w:rPr>
        <w:t>343(</w:t>
      </w:r>
      <w:r w:rsidR="00B9360C" w:rsidRPr="00600703">
        <w:rPr>
          <w:i/>
          <w:szCs w:val="24"/>
        </w:rPr>
        <w:t>a</w:t>
      </w:r>
      <w:r w:rsidR="00B9360C" w:rsidRPr="00600703">
        <w:rPr>
          <w:szCs w:val="24"/>
        </w:rPr>
        <w:t xml:space="preserve">) of the </w:t>
      </w:r>
      <w:r w:rsidR="00B9360C" w:rsidRPr="00600703">
        <w:rPr>
          <w:i/>
          <w:szCs w:val="24"/>
        </w:rPr>
        <w:t xml:space="preserve">Criminal Code </w:t>
      </w:r>
      <w:r w:rsidR="00B9360C" w:rsidRPr="00600703">
        <w:rPr>
          <w:szCs w:val="24"/>
        </w:rPr>
        <w:t>on the basis that he had “use[d</w:t>
      </w:r>
      <w:proofErr w:type="gramStart"/>
      <w:r w:rsidR="00B9360C" w:rsidRPr="00600703">
        <w:rPr>
          <w:szCs w:val="24"/>
        </w:rPr>
        <w:t xml:space="preserve">] </w:t>
      </w:r>
      <w:r w:rsidR="00DA111D">
        <w:rPr>
          <w:szCs w:val="24"/>
        </w:rPr>
        <w:t>.</w:t>
      </w:r>
      <w:proofErr w:type="gramEnd"/>
      <w:r w:rsidR="00DA111D">
        <w:rPr>
          <w:szCs w:val="24"/>
        </w:rPr>
        <w:t> . .</w:t>
      </w:r>
      <w:r w:rsidR="00B9360C" w:rsidRPr="00600703">
        <w:rPr>
          <w:szCs w:val="24"/>
        </w:rPr>
        <w:t xml:space="preserve"> threats of violence to a person”. </w:t>
      </w:r>
      <w:r w:rsidR="00CD209E" w:rsidRPr="00600703">
        <w:rPr>
          <w:szCs w:val="24"/>
        </w:rPr>
        <w:t>The Crown</w:t>
      </w:r>
      <w:r w:rsidR="00B9360C" w:rsidRPr="00600703">
        <w:rPr>
          <w:szCs w:val="24"/>
        </w:rPr>
        <w:t xml:space="preserve"> applied to the court to remand him for assessment pursuant to </w:t>
      </w:r>
      <w:r w:rsidRPr="00600703">
        <w:rPr>
          <w:szCs w:val="24"/>
        </w:rPr>
        <w:t>s.</w:t>
      </w:r>
      <w:r w:rsidR="00DA111D">
        <w:rPr>
          <w:szCs w:val="24"/>
        </w:rPr>
        <w:t xml:space="preserve"> </w:t>
      </w:r>
      <w:r w:rsidR="00B9360C" w:rsidRPr="00600703">
        <w:rPr>
          <w:szCs w:val="24"/>
        </w:rPr>
        <w:t xml:space="preserve">752.1(1) of the </w:t>
      </w:r>
      <w:r w:rsidR="00B9360C" w:rsidRPr="00600703">
        <w:rPr>
          <w:i/>
          <w:szCs w:val="24"/>
        </w:rPr>
        <w:t>Criminal Code</w:t>
      </w:r>
      <w:r w:rsidR="00B9360C" w:rsidRPr="00600703">
        <w:rPr>
          <w:szCs w:val="24"/>
        </w:rPr>
        <w:t>.</w:t>
      </w:r>
      <w:r w:rsidRPr="00600703">
        <w:rPr>
          <w:szCs w:val="24"/>
        </w:rPr>
        <w:t xml:space="preserve"> </w:t>
      </w:r>
      <w:r w:rsidR="00B9360C" w:rsidRPr="00600703">
        <w:rPr>
          <w:szCs w:val="24"/>
        </w:rPr>
        <w:t>Both the trial judge and the Court of Appeal</w:t>
      </w:r>
      <w:r w:rsidR="00CD209E" w:rsidRPr="00600703">
        <w:rPr>
          <w:szCs w:val="24"/>
        </w:rPr>
        <w:t xml:space="preserve"> found</w:t>
      </w:r>
      <w:r w:rsidR="00B9360C" w:rsidRPr="00600703">
        <w:rPr>
          <w:szCs w:val="24"/>
        </w:rPr>
        <w:t xml:space="preserve"> that a threat of violence does not on its own constitute “the use or attempted use of violence”</w:t>
      </w:r>
      <w:r w:rsidR="00CD209E" w:rsidRPr="00600703">
        <w:rPr>
          <w:szCs w:val="24"/>
        </w:rPr>
        <w:t xml:space="preserve"> </w:t>
      </w:r>
      <w:r w:rsidR="00B9360C" w:rsidRPr="00600703">
        <w:rPr>
          <w:szCs w:val="24"/>
        </w:rPr>
        <w:t xml:space="preserve">in accordance with </w:t>
      </w:r>
      <w:proofErr w:type="spellStart"/>
      <w:r w:rsidR="00B9360C" w:rsidRPr="00600703">
        <w:rPr>
          <w:szCs w:val="24"/>
        </w:rPr>
        <w:t>sub</w:t>
      </w:r>
      <w:r w:rsidR="00892869" w:rsidRPr="00600703">
        <w:rPr>
          <w:szCs w:val="24"/>
        </w:rPr>
        <w:t>para</w:t>
      </w:r>
      <w:proofErr w:type="spellEnd"/>
      <w:r w:rsidR="00892869" w:rsidRPr="00600703">
        <w:rPr>
          <w:szCs w:val="24"/>
        </w:rPr>
        <w:t>.</w:t>
      </w:r>
      <w:r w:rsidR="00DA111D">
        <w:rPr>
          <w:szCs w:val="24"/>
        </w:rPr>
        <w:t xml:space="preserve"> </w:t>
      </w:r>
      <w:r w:rsidR="00B9360C" w:rsidRPr="00600703">
        <w:rPr>
          <w:szCs w:val="24"/>
        </w:rPr>
        <w:t>(</w:t>
      </w:r>
      <w:r w:rsidR="00B9360C" w:rsidRPr="00600703">
        <w:rPr>
          <w:i/>
          <w:szCs w:val="24"/>
        </w:rPr>
        <w:t>a</w:t>
      </w:r>
      <w:r w:rsidR="00B9360C" w:rsidRPr="00600703">
        <w:rPr>
          <w:szCs w:val="24"/>
        </w:rPr>
        <w:t>)(</w:t>
      </w:r>
      <w:proofErr w:type="spellStart"/>
      <w:r w:rsidR="00B9360C" w:rsidRPr="00600703">
        <w:rPr>
          <w:szCs w:val="24"/>
        </w:rPr>
        <w:t>i</w:t>
      </w:r>
      <w:proofErr w:type="spellEnd"/>
      <w:r w:rsidR="00B9360C" w:rsidRPr="00600703">
        <w:rPr>
          <w:szCs w:val="24"/>
        </w:rPr>
        <w:t xml:space="preserve">) </w:t>
      </w:r>
      <w:proofErr w:type="gramStart"/>
      <w:r w:rsidR="00B9360C" w:rsidRPr="00600703">
        <w:rPr>
          <w:szCs w:val="24"/>
        </w:rPr>
        <w:t>of</w:t>
      </w:r>
      <w:proofErr w:type="gramEnd"/>
      <w:r w:rsidR="00B9360C" w:rsidRPr="00600703">
        <w:rPr>
          <w:szCs w:val="24"/>
        </w:rPr>
        <w:t xml:space="preserve"> the definition of “serious personal injury offence” in </w:t>
      </w:r>
      <w:r w:rsidRPr="00600703">
        <w:rPr>
          <w:szCs w:val="24"/>
        </w:rPr>
        <w:t>s.</w:t>
      </w:r>
      <w:r w:rsidR="00DA111D">
        <w:rPr>
          <w:szCs w:val="24"/>
        </w:rPr>
        <w:t xml:space="preserve"> </w:t>
      </w:r>
      <w:r w:rsidR="00B9360C" w:rsidRPr="00600703">
        <w:rPr>
          <w:szCs w:val="24"/>
        </w:rPr>
        <w:t xml:space="preserve">752 of the </w:t>
      </w:r>
      <w:r w:rsidR="00B9360C" w:rsidRPr="00600703">
        <w:rPr>
          <w:i/>
          <w:szCs w:val="24"/>
        </w:rPr>
        <w:t>Criminal Code</w:t>
      </w:r>
      <w:r w:rsidR="00B9360C" w:rsidRPr="00600703">
        <w:rPr>
          <w:szCs w:val="24"/>
        </w:rPr>
        <w:t>.</w:t>
      </w:r>
    </w:p>
    <w:p w:rsidR="008322BD" w:rsidRPr="00600703" w:rsidRDefault="009B57B3" w:rsidP="00DA111D">
      <w:pPr>
        <w:pStyle w:val="SCCNormalDoubleSpacing"/>
        <w:widowControl w:val="0"/>
        <w:spacing w:before="480" w:after="480"/>
      </w:pPr>
      <w:r w:rsidRPr="00600703">
        <w:tab/>
      </w:r>
      <w:r w:rsidRPr="00600703">
        <w:rPr>
          <w:rStyle w:val="QuoteChar"/>
          <w:color w:val="auto"/>
          <w:lang w:val="en-CA"/>
        </w:rPr>
        <w:t>Held</w:t>
      </w:r>
      <w:r w:rsidRPr="00600703">
        <w:rPr>
          <w:rStyle w:val="QuoteChar"/>
          <w:i w:val="0"/>
          <w:color w:val="auto"/>
          <w:lang w:val="en-CA"/>
        </w:rPr>
        <w:t>:</w:t>
      </w:r>
      <w:r w:rsidRPr="00600703">
        <w:t xml:space="preserve">  </w:t>
      </w:r>
      <w:r w:rsidR="00B9360C" w:rsidRPr="00600703">
        <w:rPr>
          <w:lang w:val="en-US"/>
        </w:rPr>
        <w:t>The appeal should be allowed.</w:t>
      </w:r>
    </w:p>
    <w:p w:rsidR="00B9360C" w:rsidRPr="00600703" w:rsidRDefault="009B57B3" w:rsidP="00DA111D">
      <w:pPr>
        <w:pStyle w:val="SCCNormalDoubleSpacing"/>
        <w:widowControl w:val="0"/>
        <w:spacing w:before="480" w:after="480"/>
        <w:rPr>
          <w:szCs w:val="24"/>
        </w:rPr>
      </w:pPr>
      <w:r w:rsidRPr="00600703">
        <w:tab/>
      </w:r>
      <w:r w:rsidR="00B9360C" w:rsidRPr="00600703">
        <w:rPr>
          <w:szCs w:val="24"/>
        </w:rPr>
        <w:t>This case concerns the scope of the definition of a “serious personal injury offence” (SPIO</w:t>
      </w:r>
      <w:r w:rsidR="00CD209E" w:rsidRPr="00600703">
        <w:rPr>
          <w:szCs w:val="24"/>
        </w:rPr>
        <w:t>)</w:t>
      </w:r>
      <w:r w:rsidR="00B9360C" w:rsidRPr="00600703">
        <w:rPr>
          <w:szCs w:val="24"/>
        </w:rPr>
        <w:t xml:space="preserve"> and, consequently, the threshold for entry into the dangerous and long</w:t>
      </w:r>
      <w:r w:rsidR="00DA111D">
        <w:rPr>
          <w:szCs w:val="24"/>
        </w:rPr>
        <w:t>-</w:t>
      </w:r>
      <w:r w:rsidR="00B9360C" w:rsidRPr="00600703">
        <w:rPr>
          <w:szCs w:val="24"/>
        </w:rPr>
        <w:t xml:space="preserve">term offender system. A threat of violence that suffices to ground a conviction for robbery under </w:t>
      </w:r>
      <w:r w:rsidR="004E39D8" w:rsidRPr="00600703">
        <w:rPr>
          <w:szCs w:val="24"/>
        </w:rPr>
        <w:t>s.</w:t>
      </w:r>
      <w:r w:rsidR="00DA111D">
        <w:rPr>
          <w:szCs w:val="24"/>
        </w:rPr>
        <w:t xml:space="preserve"> </w:t>
      </w:r>
      <w:r w:rsidR="00B9360C" w:rsidRPr="00600703">
        <w:rPr>
          <w:szCs w:val="24"/>
        </w:rPr>
        <w:t>343(</w:t>
      </w:r>
      <w:r w:rsidR="00B9360C" w:rsidRPr="00600703">
        <w:rPr>
          <w:i/>
          <w:szCs w:val="24"/>
        </w:rPr>
        <w:t>a</w:t>
      </w:r>
      <w:r w:rsidR="00B9360C" w:rsidRPr="00600703">
        <w:rPr>
          <w:szCs w:val="24"/>
        </w:rPr>
        <w:t xml:space="preserve">) does indeed constitute the use of violence against another person within the meaning of </w:t>
      </w:r>
      <w:proofErr w:type="spellStart"/>
      <w:r w:rsidR="00B9360C" w:rsidRPr="00600703">
        <w:rPr>
          <w:szCs w:val="24"/>
        </w:rPr>
        <w:t>sub</w:t>
      </w:r>
      <w:r w:rsidR="00892869" w:rsidRPr="00600703">
        <w:rPr>
          <w:szCs w:val="24"/>
        </w:rPr>
        <w:t>para</w:t>
      </w:r>
      <w:proofErr w:type="spellEnd"/>
      <w:r w:rsidR="00892869" w:rsidRPr="00600703">
        <w:rPr>
          <w:szCs w:val="24"/>
        </w:rPr>
        <w:t>.</w:t>
      </w:r>
      <w:r w:rsidR="00DA111D">
        <w:rPr>
          <w:szCs w:val="24"/>
        </w:rPr>
        <w:t xml:space="preserve"> </w:t>
      </w:r>
      <w:r w:rsidR="00B9360C" w:rsidRPr="00600703">
        <w:rPr>
          <w:szCs w:val="24"/>
        </w:rPr>
        <w:t>(</w:t>
      </w:r>
      <w:r w:rsidR="00B9360C" w:rsidRPr="00600703">
        <w:rPr>
          <w:i/>
          <w:szCs w:val="24"/>
        </w:rPr>
        <w:t>a</w:t>
      </w:r>
      <w:r w:rsidR="00B9360C" w:rsidRPr="00600703">
        <w:rPr>
          <w:szCs w:val="24"/>
        </w:rPr>
        <w:t>)(</w:t>
      </w:r>
      <w:proofErr w:type="spellStart"/>
      <w:r w:rsidR="00B9360C" w:rsidRPr="00600703">
        <w:rPr>
          <w:szCs w:val="24"/>
        </w:rPr>
        <w:t>i</w:t>
      </w:r>
      <w:proofErr w:type="spellEnd"/>
      <w:r w:rsidR="00B9360C" w:rsidRPr="00600703">
        <w:rPr>
          <w:szCs w:val="24"/>
        </w:rPr>
        <w:t xml:space="preserve">) </w:t>
      </w:r>
      <w:proofErr w:type="gramStart"/>
      <w:r w:rsidR="00B9360C" w:rsidRPr="00600703">
        <w:rPr>
          <w:szCs w:val="24"/>
        </w:rPr>
        <w:t>of</w:t>
      </w:r>
      <w:proofErr w:type="gramEnd"/>
      <w:r w:rsidR="00B9360C" w:rsidRPr="00600703">
        <w:rPr>
          <w:szCs w:val="24"/>
        </w:rPr>
        <w:t xml:space="preserve"> the defi</w:t>
      </w:r>
      <w:r w:rsidR="004E39D8" w:rsidRPr="00600703">
        <w:rPr>
          <w:szCs w:val="24"/>
        </w:rPr>
        <w:t>nition of an SPIO set out in s.</w:t>
      </w:r>
      <w:r w:rsidR="00DA111D">
        <w:rPr>
          <w:szCs w:val="24"/>
        </w:rPr>
        <w:t xml:space="preserve"> </w:t>
      </w:r>
      <w:r w:rsidR="00B9360C" w:rsidRPr="00600703">
        <w:rPr>
          <w:szCs w:val="24"/>
        </w:rPr>
        <w:t xml:space="preserve">752. </w:t>
      </w:r>
    </w:p>
    <w:p w:rsidR="00B9360C" w:rsidRPr="00600703" w:rsidRDefault="004E39D8" w:rsidP="00DA111D">
      <w:pPr>
        <w:pStyle w:val="SCCNormalDoubleSpacing"/>
        <w:widowControl w:val="0"/>
        <w:spacing w:before="480" w:after="480"/>
        <w:rPr>
          <w:i/>
          <w:szCs w:val="24"/>
        </w:rPr>
      </w:pPr>
      <w:r w:rsidRPr="00600703">
        <w:rPr>
          <w:szCs w:val="24"/>
        </w:rPr>
        <w:tab/>
      </w:r>
      <w:r w:rsidR="00B9360C" w:rsidRPr="00600703">
        <w:rPr>
          <w:szCs w:val="24"/>
        </w:rPr>
        <w:t>Indeterminate detention and long</w:t>
      </w:r>
      <w:r w:rsidR="00DA111D">
        <w:rPr>
          <w:szCs w:val="24"/>
        </w:rPr>
        <w:t>-</w:t>
      </w:r>
      <w:r w:rsidR="00B9360C" w:rsidRPr="00600703">
        <w:rPr>
          <w:szCs w:val="24"/>
        </w:rPr>
        <w:t>term supervision</w:t>
      </w:r>
      <w:r w:rsidR="00CD209E" w:rsidRPr="00600703">
        <w:rPr>
          <w:szCs w:val="24"/>
        </w:rPr>
        <w:t xml:space="preserve"> </w:t>
      </w:r>
      <w:r w:rsidR="00B9360C" w:rsidRPr="00600703">
        <w:rPr>
          <w:szCs w:val="24"/>
        </w:rPr>
        <w:t>are exceptional sentences</w:t>
      </w:r>
      <w:r w:rsidR="00CD209E" w:rsidRPr="00600703">
        <w:rPr>
          <w:szCs w:val="24"/>
        </w:rPr>
        <w:t xml:space="preserve"> which </w:t>
      </w:r>
      <w:r w:rsidR="00B9360C" w:rsidRPr="00600703">
        <w:rPr>
          <w:szCs w:val="24"/>
        </w:rPr>
        <w:t>are reserved for individuals who pose an ongoing threat to the public. There are a number of procedural steps and substantive requirements before a court can find that an offender is a dangerous offender or a long</w:t>
      </w:r>
      <w:r w:rsidR="00DA111D">
        <w:rPr>
          <w:szCs w:val="24"/>
        </w:rPr>
        <w:t>-</w:t>
      </w:r>
      <w:r w:rsidR="00B9360C" w:rsidRPr="00600703">
        <w:rPr>
          <w:szCs w:val="24"/>
        </w:rPr>
        <w:t xml:space="preserve">term offender. Before the court remands an offender for assessment, it must be satisfied that the offender has been convicted of an SPIO as defined in </w:t>
      </w:r>
      <w:r w:rsidRPr="00600703">
        <w:rPr>
          <w:szCs w:val="24"/>
        </w:rPr>
        <w:t>s.</w:t>
      </w:r>
      <w:r w:rsidR="00DA111D">
        <w:rPr>
          <w:szCs w:val="24"/>
        </w:rPr>
        <w:t xml:space="preserve"> </w:t>
      </w:r>
      <w:r w:rsidR="00B9360C" w:rsidRPr="00600703">
        <w:rPr>
          <w:szCs w:val="24"/>
        </w:rPr>
        <w:t xml:space="preserve">752. </w:t>
      </w:r>
      <w:r w:rsidR="00CD209E" w:rsidRPr="00600703">
        <w:rPr>
          <w:szCs w:val="24"/>
        </w:rPr>
        <w:t>T</w:t>
      </w:r>
      <w:r w:rsidR="00B9360C" w:rsidRPr="00600703">
        <w:rPr>
          <w:szCs w:val="24"/>
        </w:rPr>
        <w:t xml:space="preserve">here </w:t>
      </w:r>
      <w:r w:rsidR="00CD209E" w:rsidRPr="00600703">
        <w:rPr>
          <w:szCs w:val="24"/>
        </w:rPr>
        <w:t>also</w:t>
      </w:r>
      <w:r w:rsidR="00B9360C" w:rsidRPr="00600703">
        <w:rPr>
          <w:szCs w:val="24"/>
        </w:rPr>
        <w:t xml:space="preserve"> must be </w:t>
      </w:r>
      <w:r w:rsidR="00B9360C" w:rsidRPr="00600703">
        <w:rPr>
          <w:szCs w:val="24"/>
        </w:rPr>
        <w:lastRenderedPageBreak/>
        <w:t xml:space="preserve">reasonable grounds to believe that the offender might be found to be a dangerous offender under </w:t>
      </w:r>
      <w:r w:rsidRPr="00600703">
        <w:rPr>
          <w:szCs w:val="24"/>
        </w:rPr>
        <w:t>s.</w:t>
      </w:r>
      <w:r w:rsidR="00DA111D">
        <w:rPr>
          <w:szCs w:val="24"/>
        </w:rPr>
        <w:t xml:space="preserve"> </w:t>
      </w:r>
      <w:r w:rsidR="00B9360C" w:rsidRPr="00600703">
        <w:rPr>
          <w:szCs w:val="24"/>
        </w:rPr>
        <w:t>753 or a long</w:t>
      </w:r>
      <w:r w:rsidR="00DA111D">
        <w:rPr>
          <w:szCs w:val="24"/>
        </w:rPr>
        <w:t>-</w:t>
      </w:r>
      <w:r w:rsidR="00B9360C" w:rsidRPr="00600703">
        <w:rPr>
          <w:szCs w:val="24"/>
        </w:rPr>
        <w:t xml:space="preserve">term offender under </w:t>
      </w:r>
      <w:r w:rsidRPr="00600703">
        <w:rPr>
          <w:szCs w:val="24"/>
        </w:rPr>
        <w:t>s.</w:t>
      </w:r>
      <w:r w:rsidR="00DA111D">
        <w:rPr>
          <w:szCs w:val="24"/>
        </w:rPr>
        <w:t xml:space="preserve"> </w:t>
      </w:r>
      <w:r w:rsidR="00B9360C" w:rsidRPr="00600703">
        <w:rPr>
          <w:szCs w:val="24"/>
        </w:rPr>
        <w:t>753.1. Thus, the SPIO requirement plays a crucial role in the operation of the dangerous and long</w:t>
      </w:r>
      <w:r w:rsidR="00DA111D">
        <w:rPr>
          <w:szCs w:val="24"/>
        </w:rPr>
        <w:t>-</w:t>
      </w:r>
      <w:r w:rsidR="00B9360C" w:rsidRPr="00600703">
        <w:rPr>
          <w:szCs w:val="24"/>
        </w:rPr>
        <w:t>term offender scheme.</w:t>
      </w:r>
    </w:p>
    <w:p w:rsidR="00B9360C" w:rsidRPr="00600703" w:rsidRDefault="004E39D8" w:rsidP="00DA111D">
      <w:pPr>
        <w:pStyle w:val="SCCNormalDoubleSpacing"/>
        <w:widowControl w:val="0"/>
        <w:spacing w:before="480" w:after="480"/>
        <w:rPr>
          <w:szCs w:val="24"/>
        </w:rPr>
      </w:pPr>
      <w:r w:rsidRPr="00600703">
        <w:rPr>
          <w:szCs w:val="24"/>
        </w:rPr>
        <w:tab/>
      </w:r>
      <w:r w:rsidR="00B9360C" w:rsidRPr="00600703">
        <w:rPr>
          <w:szCs w:val="24"/>
        </w:rPr>
        <w:t>The primary rationale for both indeterminate detention and long</w:t>
      </w:r>
      <w:r w:rsidR="00DA111D">
        <w:rPr>
          <w:szCs w:val="24"/>
        </w:rPr>
        <w:t>-</w:t>
      </w:r>
      <w:r w:rsidRPr="00600703">
        <w:rPr>
          <w:szCs w:val="24"/>
        </w:rPr>
        <w:t>term supervision under Part</w:t>
      </w:r>
      <w:r w:rsidR="00DA111D">
        <w:rPr>
          <w:szCs w:val="24"/>
        </w:rPr>
        <w:t xml:space="preserve"> </w:t>
      </w:r>
      <w:r w:rsidR="00B9360C" w:rsidRPr="00600703">
        <w:rPr>
          <w:szCs w:val="24"/>
        </w:rPr>
        <w:t xml:space="preserve">XXIV is public protection, and an overly narrow construction of the gateway provision would indeed undermine this purpose. However, the specific purpose of the SPIO requirement is to link the sentence to the predicate offence, and an overly broad construction would undermine this purpose and violate the fundamental principle of sentencing, that a sentence must be proportionate to the gravity of the offence and the degree of responsibility of the offender. The SPIO requirement helps safeguard the constitutionality of the scheme. In interpreting the definition of an SPIO, </w:t>
      </w:r>
      <w:r w:rsidR="00CD209E" w:rsidRPr="00600703">
        <w:rPr>
          <w:szCs w:val="24"/>
        </w:rPr>
        <w:t>effect must be given</w:t>
      </w:r>
      <w:r w:rsidR="00B9360C" w:rsidRPr="00600703">
        <w:rPr>
          <w:szCs w:val="24"/>
        </w:rPr>
        <w:t xml:space="preserve"> to the overall protective purpose of Part XXIV, while also furthering the specific purpose of the SPIO requirement by tying the punishment to the predicate offence and safeguarding the objective of proportionality.</w:t>
      </w:r>
    </w:p>
    <w:p w:rsidR="00B9360C" w:rsidRPr="00600703" w:rsidRDefault="004E39D8" w:rsidP="00DA111D">
      <w:pPr>
        <w:pStyle w:val="SCCNormalDoubleSpacing"/>
        <w:widowControl w:val="0"/>
        <w:spacing w:before="480" w:after="480"/>
      </w:pPr>
      <w:r w:rsidRPr="00600703">
        <w:tab/>
      </w:r>
      <w:r w:rsidR="00B9360C" w:rsidRPr="00600703">
        <w:t>Sub</w:t>
      </w:r>
      <w:r w:rsidR="00892869" w:rsidRPr="00600703">
        <w:t>para</w:t>
      </w:r>
      <w:r w:rsidR="00824BC7">
        <w:t>graph</w:t>
      </w:r>
      <w:r w:rsidR="00DA111D">
        <w:t xml:space="preserve"> </w:t>
      </w:r>
      <w:r w:rsidR="00B9360C" w:rsidRPr="00600703">
        <w:t>(</w:t>
      </w:r>
      <w:r w:rsidR="00B9360C" w:rsidRPr="00600703">
        <w:rPr>
          <w:i/>
        </w:rPr>
        <w:t>a</w:t>
      </w:r>
      <w:r w:rsidR="00B9360C" w:rsidRPr="00600703">
        <w:t>)(</w:t>
      </w:r>
      <w:proofErr w:type="spellStart"/>
      <w:r w:rsidR="00B9360C" w:rsidRPr="00600703">
        <w:t>i</w:t>
      </w:r>
      <w:proofErr w:type="spellEnd"/>
      <w:r w:rsidR="00B9360C" w:rsidRPr="00600703">
        <w:t xml:space="preserve">) </w:t>
      </w:r>
      <w:r w:rsidR="00CD209E" w:rsidRPr="00600703">
        <w:t xml:space="preserve">of the definition in </w:t>
      </w:r>
      <w:r w:rsidRPr="00600703">
        <w:t>s.</w:t>
      </w:r>
      <w:r w:rsidR="00DA111D">
        <w:t xml:space="preserve"> </w:t>
      </w:r>
      <w:r w:rsidR="00CD209E" w:rsidRPr="00600703">
        <w:t>752</w:t>
      </w:r>
      <w:r w:rsidR="00B9360C" w:rsidRPr="00600703">
        <w:t xml:space="preserve"> does not invite a</w:t>
      </w:r>
      <w:r w:rsidR="00CD209E" w:rsidRPr="00600703">
        <w:t xml:space="preserve"> court</w:t>
      </w:r>
      <w:r w:rsidR="00B9360C" w:rsidRPr="00600703">
        <w:t xml:space="preserve"> to assess the seriousness of the violence the offender used or attempted to use; any level of violence is sufficient. </w:t>
      </w:r>
      <w:r w:rsidR="00CD209E" w:rsidRPr="00600703">
        <w:t>T</w:t>
      </w:r>
      <w:r w:rsidR="00B9360C" w:rsidRPr="00600703">
        <w:t>he words “use or attempted use of violence” must be read in their grammatical and ordinary sense, having reg</w:t>
      </w:r>
      <w:r w:rsidR="00CD209E" w:rsidRPr="00600703">
        <w:t>ard to their statutory context.</w:t>
      </w:r>
      <w:r w:rsidR="00B9360C" w:rsidRPr="00600703">
        <w:t xml:space="preserve"> Neither the purpose of the SP</w:t>
      </w:r>
      <w:r w:rsidR="00C32561">
        <w:t>IO requirement nor that of Part</w:t>
      </w:r>
      <w:r w:rsidR="00DA111D">
        <w:t xml:space="preserve"> </w:t>
      </w:r>
      <w:r w:rsidR="00B9360C" w:rsidRPr="00600703">
        <w:t xml:space="preserve">XXIV warrants reading in a qualitative minimum level of violence. </w:t>
      </w:r>
      <w:r w:rsidR="00B9360C" w:rsidRPr="00600703">
        <w:rPr>
          <w:lang w:val="en-US"/>
        </w:rPr>
        <w:t xml:space="preserve">This interpretation is consistent with the </w:t>
      </w:r>
      <w:r w:rsidR="00B9360C" w:rsidRPr="00600703">
        <w:rPr>
          <w:lang w:val="en-US"/>
        </w:rPr>
        <w:lastRenderedPageBreak/>
        <w:t>gatekeeper function of the SPIO requirement.</w:t>
      </w:r>
    </w:p>
    <w:p w:rsidR="00B9360C" w:rsidRPr="00600703" w:rsidRDefault="004E39D8" w:rsidP="00DA111D">
      <w:pPr>
        <w:pStyle w:val="SCCNormalDoubleSpacing"/>
        <w:widowControl w:val="0"/>
        <w:spacing w:before="480" w:after="480"/>
        <w:rPr>
          <w:lang w:val="en-US"/>
        </w:rPr>
      </w:pPr>
      <w:r w:rsidRPr="00600703">
        <w:tab/>
      </w:r>
      <w:r w:rsidR="00CD209E" w:rsidRPr="00600703">
        <w:t>U</w:t>
      </w:r>
      <w:r w:rsidR="00B9360C" w:rsidRPr="00600703">
        <w:t>nless the context or the purpose of the statute suggests a different approach, the prevailing definition of “violence” is a harm</w:t>
      </w:r>
      <w:r w:rsidR="00DA111D">
        <w:t>-</w:t>
      </w:r>
      <w:r w:rsidR="00B9360C" w:rsidRPr="00600703">
        <w:t>based one that encompasses acts by which a person causes, attempts to cause or threatens to cause harm</w:t>
      </w:r>
      <w:r w:rsidR="00CD209E" w:rsidRPr="00600703">
        <w:t xml:space="preserve"> </w:t>
      </w:r>
      <w:r w:rsidR="00B9360C" w:rsidRPr="00600703">
        <w:t>and not a force</w:t>
      </w:r>
      <w:r w:rsidR="00DA111D">
        <w:t>-</w:t>
      </w:r>
      <w:r w:rsidR="00CD209E" w:rsidRPr="00600703">
        <w:t>based one</w:t>
      </w:r>
      <w:r w:rsidR="00B9360C" w:rsidRPr="00600703">
        <w:t>.</w:t>
      </w:r>
      <w:r w:rsidR="00CD209E" w:rsidRPr="00600703">
        <w:t xml:space="preserve"> </w:t>
      </w:r>
      <w:r w:rsidR="00B9360C" w:rsidRPr="00600703">
        <w:t>This is not to sa</w:t>
      </w:r>
      <w:r w:rsidR="00CD209E" w:rsidRPr="00600703">
        <w:t xml:space="preserve">y that </w:t>
      </w:r>
      <w:r w:rsidR="00B9360C" w:rsidRPr="00600703">
        <w:t>the definition of violence must be a harm</w:t>
      </w:r>
      <w:r w:rsidR="00DA111D">
        <w:t>-</w:t>
      </w:r>
      <w:r w:rsidR="00B9360C" w:rsidRPr="00600703">
        <w:t>based one in every c</w:t>
      </w:r>
      <w:r w:rsidR="00CD209E" w:rsidRPr="00600703">
        <w:t>ase. Context will be paramount and t</w:t>
      </w:r>
      <w:r w:rsidR="00B9360C" w:rsidRPr="00600703">
        <w:t xml:space="preserve">here may be situations in which the presumption of consistent expression is clearly rebutted by other principles of interpretation and, as a result, the intended meaning of violence may vary between statutes and even, in some circumstances, within them. </w:t>
      </w:r>
      <w:r w:rsidR="00B9360C" w:rsidRPr="00600703">
        <w:rPr>
          <w:lang w:val="en-US"/>
        </w:rPr>
        <w:t xml:space="preserve">The scope of the expression “use or attempted use of violence” must ultimately be determined having regard to the context in which it is used. </w:t>
      </w:r>
    </w:p>
    <w:p w:rsidR="00B9360C" w:rsidRPr="00600703" w:rsidRDefault="004E39D8" w:rsidP="00DA111D">
      <w:pPr>
        <w:pStyle w:val="SCCNormalDoubleSpacing"/>
        <w:widowControl w:val="0"/>
        <w:spacing w:before="480" w:after="480"/>
        <w:rPr>
          <w:lang w:val="en-US"/>
        </w:rPr>
      </w:pPr>
      <w:r w:rsidRPr="00600703">
        <w:rPr>
          <w:lang w:val="en-US"/>
        </w:rPr>
        <w:tab/>
      </w:r>
      <w:r w:rsidR="00CD209E" w:rsidRPr="00600703">
        <w:rPr>
          <w:lang w:val="en-US"/>
        </w:rPr>
        <w:t>T</w:t>
      </w:r>
      <w:r w:rsidR="00B9360C" w:rsidRPr="00600703">
        <w:rPr>
          <w:lang w:val="en-US"/>
        </w:rPr>
        <w:t xml:space="preserve">here is no indication that the various parts of the definition of an SPIO in </w:t>
      </w:r>
      <w:r w:rsidRPr="00600703">
        <w:rPr>
          <w:lang w:val="en-US"/>
        </w:rPr>
        <w:t>s.</w:t>
      </w:r>
      <w:r w:rsidR="00DA111D">
        <w:rPr>
          <w:lang w:val="en-US"/>
        </w:rPr>
        <w:t xml:space="preserve"> </w:t>
      </w:r>
      <w:r w:rsidR="00B9360C" w:rsidRPr="00600703">
        <w:rPr>
          <w:lang w:val="en-US"/>
        </w:rPr>
        <w:t xml:space="preserve">752 are mutually exclusive. The fact that a proposed interpretation would bring some offences within the ambit of more than one part of the definition in </w:t>
      </w:r>
      <w:r w:rsidRPr="00600703">
        <w:rPr>
          <w:lang w:val="en-US"/>
        </w:rPr>
        <w:t>s.</w:t>
      </w:r>
      <w:r w:rsidR="00DA111D">
        <w:rPr>
          <w:lang w:val="en-US"/>
        </w:rPr>
        <w:t xml:space="preserve"> </w:t>
      </w:r>
      <w:r w:rsidR="00B9360C" w:rsidRPr="00600703">
        <w:rPr>
          <w:lang w:val="en-US"/>
        </w:rPr>
        <w:t>752 should not, in itself, justify narrowing the definition to avoid such overlaps. Subparagraph (</w:t>
      </w:r>
      <w:r w:rsidR="00B9360C" w:rsidRPr="00600703">
        <w:rPr>
          <w:i/>
          <w:lang w:val="en-US"/>
        </w:rPr>
        <w:t>a</w:t>
      </w:r>
      <w:proofErr w:type="gramStart"/>
      <w:r w:rsidR="00B9360C" w:rsidRPr="00600703">
        <w:rPr>
          <w:lang w:val="en-US"/>
        </w:rPr>
        <w:t>)(</w:t>
      </w:r>
      <w:proofErr w:type="spellStart"/>
      <w:proofErr w:type="gramEnd"/>
      <w:r w:rsidR="00B9360C" w:rsidRPr="00600703">
        <w:rPr>
          <w:lang w:val="en-US"/>
        </w:rPr>
        <w:t>i</w:t>
      </w:r>
      <w:proofErr w:type="spellEnd"/>
      <w:r w:rsidR="00B9360C" w:rsidRPr="00600703">
        <w:rPr>
          <w:lang w:val="en-US"/>
        </w:rPr>
        <w:t>) concerns violent acts — “the use or attempted use of violence” — and requires violent intent on the offender’s p</w:t>
      </w:r>
      <w:r w:rsidR="00600703" w:rsidRPr="00600703">
        <w:rPr>
          <w:lang w:val="en-US"/>
        </w:rPr>
        <w:t xml:space="preserve">art. </w:t>
      </w:r>
      <w:r w:rsidR="00B9360C" w:rsidRPr="00600703">
        <w:rPr>
          <w:lang w:val="en-US"/>
        </w:rPr>
        <w:t>This part of the definition will apply to an offender who intentionally</w:t>
      </w:r>
      <w:r w:rsidR="00B9360C" w:rsidRPr="00600703">
        <w:rPr>
          <w:i/>
          <w:lang w:val="en-US"/>
        </w:rPr>
        <w:t xml:space="preserve"> </w:t>
      </w:r>
      <w:r w:rsidR="00B9360C" w:rsidRPr="00600703">
        <w:rPr>
          <w:lang w:val="en-US"/>
        </w:rPr>
        <w:t>causes, attempts to cause or threatens to cause harm. Threats are included by virtue of the speaker’s intent that they be taken seriously.</w:t>
      </w:r>
      <w:r w:rsidRPr="00600703">
        <w:rPr>
          <w:lang w:val="en-US"/>
        </w:rPr>
        <w:t xml:space="preserve"> </w:t>
      </w:r>
      <w:r w:rsidR="00B9360C" w:rsidRPr="00600703">
        <w:rPr>
          <w:lang w:val="en-US"/>
        </w:rPr>
        <w:t>Subparagraph (</w:t>
      </w:r>
      <w:r w:rsidR="00B9360C" w:rsidRPr="00600703">
        <w:rPr>
          <w:i/>
          <w:lang w:val="en-US"/>
        </w:rPr>
        <w:t>a</w:t>
      </w:r>
      <w:proofErr w:type="gramStart"/>
      <w:r w:rsidR="00B9360C" w:rsidRPr="00600703">
        <w:rPr>
          <w:lang w:val="en-US"/>
        </w:rPr>
        <w:t>)(</w:t>
      </w:r>
      <w:proofErr w:type="gramEnd"/>
      <w:r w:rsidR="00CD209E" w:rsidRPr="00600703">
        <w:rPr>
          <w:lang w:val="en-US"/>
        </w:rPr>
        <w:t>ii)</w:t>
      </w:r>
      <w:r w:rsidR="00B9360C" w:rsidRPr="00600703">
        <w:rPr>
          <w:lang w:val="en-US"/>
        </w:rPr>
        <w:t xml:space="preserve"> relates solely</w:t>
      </w:r>
      <w:r w:rsidR="00CD209E" w:rsidRPr="00600703">
        <w:rPr>
          <w:lang w:val="en-US"/>
        </w:rPr>
        <w:t xml:space="preserve"> to the effects of the conduct and, as such, will include</w:t>
      </w:r>
      <w:r w:rsidR="00B9360C" w:rsidRPr="00600703">
        <w:rPr>
          <w:lang w:val="en-US"/>
        </w:rPr>
        <w:t xml:space="preserve"> </w:t>
      </w:r>
      <w:r w:rsidR="00CD209E" w:rsidRPr="00600703">
        <w:rPr>
          <w:lang w:val="en-US"/>
        </w:rPr>
        <w:t xml:space="preserve">offences involving negligence. </w:t>
      </w:r>
      <w:proofErr w:type="gramStart"/>
      <w:r w:rsidR="00CD209E" w:rsidRPr="00600703">
        <w:rPr>
          <w:lang w:val="en-US"/>
        </w:rPr>
        <w:t>Therefore, a</w:t>
      </w:r>
      <w:r w:rsidR="00B9360C" w:rsidRPr="00600703">
        <w:rPr>
          <w:lang w:val="en-US"/>
        </w:rPr>
        <w:t xml:space="preserve"> harm</w:t>
      </w:r>
      <w:r w:rsidR="00DA111D">
        <w:rPr>
          <w:lang w:val="en-US"/>
        </w:rPr>
        <w:t>-</w:t>
      </w:r>
      <w:r w:rsidR="00B9360C" w:rsidRPr="00600703">
        <w:rPr>
          <w:lang w:val="en-US"/>
        </w:rPr>
        <w:t xml:space="preserve">based approach to </w:t>
      </w:r>
      <w:proofErr w:type="spellStart"/>
      <w:r w:rsidR="00B9360C" w:rsidRPr="00600703">
        <w:rPr>
          <w:lang w:val="en-US"/>
        </w:rPr>
        <w:t>sub</w:t>
      </w:r>
      <w:r w:rsidR="00892869" w:rsidRPr="00600703">
        <w:rPr>
          <w:lang w:val="en-US"/>
        </w:rPr>
        <w:t>para</w:t>
      </w:r>
      <w:proofErr w:type="spellEnd"/>
      <w:r w:rsidR="00892869" w:rsidRPr="00600703">
        <w:rPr>
          <w:lang w:val="en-US"/>
        </w:rPr>
        <w:t>.</w:t>
      </w:r>
      <w:proofErr w:type="gramEnd"/>
      <w:r w:rsidR="00DA111D">
        <w:rPr>
          <w:lang w:val="en-US"/>
        </w:rPr>
        <w:t xml:space="preserve"> </w:t>
      </w:r>
      <w:r w:rsidR="00B9360C" w:rsidRPr="00600703">
        <w:rPr>
          <w:lang w:val="en-US"/>
        </w:rPr>
        <w:t>(</w:t>
      </w:r>
      <w:r w:rsidR="00B9360C" w:rsidRPr="00600703">
        <w:rPr>
          <w:i/>
          <w:lang w:val="en-US"/>
        </w:rPr>
        <w:t>a</w:t>
      </w:r>
      <w:r w:rsidR="00B9360C" w:rsidRPr="00600703">
        <w:rPr>
          <w:lang w:val="en-US"/>
        </w:rPr>
        <w:t>)(</w:t>
      </w:r>
      <w:proofErr w:type="spellStart"/>
      <w:r w:rsidR="00B9360C" w:rsidRPr="00600703">
        <w:rPr>
          <w:lang w:val="en-US"/>
        </w:rPr>
        <w:t>i</w:t>
      </w:r>
      <w:proofErr w:type="spellEnd"/>
      <w:r w:rsidR="00B9360C" w:rsidRPr="00600703">
        <w:rPr>
          <w:lang w:val="en-US"/>
        </w:rPr>
        <w:t xml:space="preserve">) </w:t>
      </w:r>
      <w:proofErr w:type="gramStart"/>
      <w:r w:rsidR="00B9360C" w:rsidRPr="00600703">
        <w:rPr>
          <w:lang w:val="en-US"/>
        </w:rPr>
        <w:t>according</w:t>
      </w:r>
      <w:proofErr w:type="gramEnd"/>
      <w:r w:rsidR="00B9360C" w:rsidRPr="00600703">
        <w:rPr>
          <w:lang w:val="en-US"/>
        </w:rPr>
        <w:t xml:space="preserve"> to which threatening violence constitutes a form of use of </w:t>
      </w:r>
      <w:r w:rsidR="00B9360C" w:rsidRPr="00600703">
        <w:rPr>
          <w:lang w:val="en-US"/>
        </w:rPr>
        <w:lastRenderedPageBreak/>
        <w:t xml:space="preserve">violence is not inconsistent with the endangerment and psychological damage aspects of the definition in </w:t>
      </w:r>
      <w:proofErr w:type="spellStart"/>
      <w:r w:rsidR="00B9360C" w:rsidRPr="00600703">
        <w:rPr>
          <w:lang w:val="en-US"/>
        </w:rPr>
        <w:t>sub</w:t>
      </w:r>
      <w:r w:rsidR="00892869" w:rsidRPr="00600703">
        <w:rPr>
          <w:lang w:val="en-US"/>
        </w:rPr>
        <w:t>para</w:t>
      </w:r>
      <w:proofErr w:type="spellEnd"/>
      <w:r w:rsidR="00892869" w:rsidRPr="00600703">
        <w:rPr>
          <w:lang w:val="en-US"/>
        </w:rPr>
        <w:t>.</w:t>
      </w:r>
      <w:r w:rsidR="00DA111D">
        <w:rPr>
          <w:lang w:val="en-US"/>
        </w:rPr>
        <w:t xml:space="preserve"> </w:t>
      </w:r>
      <w:r w:rsidR="00B9360C" w:rsidRPr="00600703">
        <w:rPr>
          <w:lang w:val="en-US"/>
        </w:rPr>
        <w:t>(</w:t>
      </w:r>
      <w:r w:rsidR="00B9360C" w:rsidRPr="00600703">
        <w:rPr>
          <w:i/>
          <w:lang w:val="en-US"/>
        </w:rPr>
        <w:t>a</w:t>
      </w:r>
      <w:r w:rsidR="00B9360C" w:rsidRPr="00600703">
        <w:rPr>
          <w:lang w:val="en-US"/>
        </w:rPr>
        <w:t>)(ii).</w:t>
      </w:r>
    </w:p>
    <w:p w:rsidR="00B9360C" w:rsidRPr="00600703" w:rsidRDefault="004E39D8" w:rsidP="00DA111D">
      <w:pPr>
        <w:pStyle w:val="SCCNormalDoubleSpacing"/>
        <w:widowControl w:val="0"/>
        <w:spacing w:before="480" w:after="480"/>
        <w:rPr>
          <w:lang w:val="en-US"/>
        </w:rPr>
      </w:pPr>
      <w:r w:rsidRPr="00600703">
        <w:rPr>
          <w:lang w:val="en-US"/>
        </w:rPr>
        <w:tab/>
      </w:r>
      <w:r w:rsidR="00CD209E" w:rsidRPr="00600703">
        <w:rPr>
          <w:lang w:val="en-US"/>
        </w:rPr>
        <w:t>T</w:t>
      </w:r>
      <w:r w:rsidR="00B9360C" w:rsidRPr="00600703">
        <w:rPr>
          <w:lang w:val="en-US"/>
        </w:rPr>
        <w:t xml:space="preserve">he exclusion of robbery from the offences listed in </w:t>
      </w:r>
      <w:proofErr w:type="spellStart"/>
      <w:r w:rsidR="00892869" w:rsidRPr="00600703">
        <w:rPr>
          <w:lang w:val="en-US"/>
        </w:rPr>
        <w:t>para</w:t>
      </w:r>
      <w:proofErr w:type="spellEnd"/>
      <w:r w:rsidR="00892869" w:rsidRPr="00600703">
        <w:rPr>
          <w:lang w:val="en-US"/>
        </w:rPr>
        <w:t>.</w:t>
      </w:r>
      <w:r w:rsidR="00DA111D">
        <w:rPr>
          <w:lang w:val="en-US"/>
        </w:rPr>
        <w:t xml:space="preserve"> </w:t>
      </w:r>
      <w:r w:rsidR="00B9360C" w:rsidRPr="00600703">
        <w:rPr>
          <w:lang w:val="en-US"/>
        </w:rPr>
        <w:t>(</w:t>
      </w:r>
      <w:r w:rsidR="00B9360C" w:rsidRPr="00600703">
        <w:rPr>
          <w:i/>
          <w:lang w:val="en-US"/>
        </w:rPr>
        <w:t>b</w:t>
      </w:r>
      <w:r w:rsidR="00B9360C" w:rsidRPr="00600703">
        <w:rPr>
          <w:lang w:val="en-US"/>
        </w:rPr>
        <w:t xml:space="preserve">) </w:t>
      </w:r>
      <w:proofErr w:type="gramStart"/>
      <w:r w:rsidR="00B9360C" w:rsidRPr="00600703">
        <w:rPr>
          <w:lang w:val="en-US"/>
        </w:rPr>
        <w:t>of</w:t>
      </w:r>
      <w:proofErr w:type="gramEnd"/>
      <w:r w:rsidR="00B9360C" w:rsidRPr="00600703">
        <w:rPr>
          <w:lang w:val="en-US"/>
        </w:rPr>
        <w:t xml:space="preserve"> the definition is not relevant to the determ</w:t>
      </w:r>
      <w:r w:rsidR="00CD209E" w:rsidRPr="00600703">
        <w:rPr>
          <w:lang w:val="en-US"/>
        </w:rPr>
        <w:t xml:space="preserve">ination of legislative intent. </w:t>
      </w:r>
      <w:r w:rsidR="00B9360C" w:rsidRPr="00600703">
        <w:rPr>
          <w:lang w:val="en-US"/>
        </w:rPr>
        <w:t xml:space="preserve">There is no indication that Parliament intended to create an exhaustive list of all offences constituting SPIOs in all cases. </w:t>
      </w:r>
    </w:p>
    <w:p w:rsidR="00B9360C" w:rsidRPr="00600703" w:rsidRDefault="004E39D8" w:rsidP="00DA111D">
      <w:pPr>
        <w:pStyle w:val="SCCNormalDoubleSpacing"/>
        <w:widowControl w:val="0"/>
        <w:spacing w:before="480" w:after="480"/>
        <w:rPr>
          <w:lang w:val="en-US"/>
        </w:rPr>
      </w:pPr>
      <w:r w:rsidRPr="00600703">
        <w:rPr>
          <w:lang w:val="en-US"/>
        </w:rPr>
        <w:tab/>
      </w:r>
      <w:r w:rsidR="00B9360C" w:rsidRPr="00600703">
        <w:rPr>
          <w:lang w:val="en-US"/>
        </w:rPr>
        <w:t xml:space="preserve">The </w:t>
      </w:r>
      <w:r w:rsidR="00B9360C" w:rsidRPr="00600703">
        <w:t xml:space="preserve">Court of Appeal </w:t>
      </w:r>
      <w:r w:rsidR="00CD209E" w:rsidRPr="00600703">
        <w:t>relied on</w:t>
      </w:r>
      <w:r w:rsidR="00B9360C" w:rsidRPr="00600703">
        <w:t xml:space="preserve"> the presumption that the use of different language suggests that the legislature intended different meanings and the principle that the same words have the same meaning throughout a </w:t>
      </w:r>
      <w:r w:rsidR="00CD209E" w:rsidRPr="00600703">
        <w:t>statute</w:t>
      </w:r>
      <w:r w:rsidR="00B9360C" w:rsidRPr="00600703">
        <w:t>; however, it</w:t>
      </w:r>
      <w:r w:rsidR="00CD209E" w:rsidRPr="00600703">
        <w:t xml:space="preserve"> failed</w:t>
      </w:r>
      <w:r w:rsidR="00B9360C" w:rsidRPr="00600703">
        <w:t xml:space="preserve"> to take into account the full context in which the expressions “uses violence” and “use of violence” appear in </w:t>
      </w:r>
      <w:r w:rsidRPr="00600703">
        <w:rPr>
          <w:lang w:val="en-US"/>
        </w:rPr>
        <w:t>s.</w:t>
      </w:r>
      <w:r w:rsidR="00DA111D">
        <w:rPr>
          <w:lang w:val="en-US"/>
        </w:rPr>
        <w:t xml:space="preserve"> </w:t>
      </w:r>
      <w:r w:rsidR="00B9360C" w:rsidRPr="00600703">
        <w:rPr>
          <w:lang w:val="en-US"/>
        </w:rPr>
        <w:t xml:space="preserve">343 and </w:t>
      </w:r>
      <w:proofErr w:type="spellStart"/>
      <w:r w:rsidR="00B9360C" w:rsidRPr="00600703">
        <w:rPr>
          <w:lang w:val="en-US"/>
        </w:rPr>
        <w:t>sub</w:t>
      </w:r>
      <w:r w:rsidR="00892869" w:rsidRPr="00600703">
        <w:rPr>
          <w:lang w:val="en-US"/>
        </w:rPr>
        <w:t>para</w:t>
      </w:r>
      <w:proofErr w:type="spellEnd"/>
      <w:r w:rsidR="00892869" w:rsidRPr="00600703">
        <w:rPr>
          <w:lang w:val="en-US"/>
        </w:rPr>
        <w:t>.</w:t>
      </w:r>
      <w:r w:rsidR="00DA111D">
        <w:rPr>
          <w:lang w:val="en-US"/>
        </w:rPr>
        <w:t xml:space="preserve"> </w:t>
      </w:r>
      <w:r w:rsidR="00B9360C" w:rsidRPr="00600703">
        <w:rPr>
          <w:lang w:val="en-US"/>
        </w:rPr>
        <w:t>(</w:t>
      </w:r>
      <w:r w:rsidR="00B9360C" w:rsidRPr="00600703">
        <w:rPr>
          <w:i/>
          <w:lang w:val="en-US"/>
        </w:rPr>
        <w:t>a</w:t>
      </w:r>
      <w:r w:rsidR="00B9360C" w:rsidRPr="00600703">
        <w:rPr>
          <w:lang w:val="en-US"/>
        </w:rPr>
        <w:t>)(</w:t>
      </w:r>
      <w:proofErr w:type="spellStart"/>
      <w:r w:rsidR="00B9360C" w:rsidRPr="00600703">
        <w:rPr>
          <w:lang w:val="en-US"/>
        </w:rPr>
        <w:t>i</w:t>
      </w:r>
      <w:proofErr w:type="spellEnd"/>
      <w:r w:rsidR="00B9360C" w:rsidRPr="00600703">
        <w:rPr>
          <w:lang w:val="en-US"/>
        </w:rPr>
        <w:t xml:space="preserve">) </w:t>
      </w:r>
      <w:proofErr w:type="gramStart"/>
      <w:r w:rsidR="00B9360C" w:rsidRPr="00600703">
        <w:rPr>
          <w:lang w:val="en-US"/>
        </w:rPr>
        <w:t>of</w:t>
      </w:r>
      <w:proofErr w:type="gramEnd"/>
      <w:r w:rsidR="00B9360C" w:rsidRPr="00600703">
        <w:rPr>
          <w:lang w:val="en-US"/>
        </w:rPr>
        <w:t xml:space="preserve"> the definition of an SPIO in </w:t>
      </w:r>
      <w:r w:rsidRPr="00600703">
        <w:rPr>
          <w:lang w:val="en-US"/>
        </w:rPr>
        <w:t>s.</w:t>
      </w:r>
      <w:r w:rsidR="00DA111D">
        <w:rPr>
          <w:lang w:val="en-US"/>
        </w:rPr>
        <w:t xml:space="preserve"> </w:t>
      </w:r>
      <w:r w:rsidR="00B9360C" w:rsidRPr="00600703">
        <w:rPr>
          <w:lang w:val="en-US"/>
        </w:rPr>
        <w:t>752</w:t>
      </w:r>
      <w:r w:rsidRPr="00600703">
        <w:rPr>
          <w:lang w:val="en-US"/>
        </w:rPr>
        <w:t>.</w:t>
      </w:r>
      <w:r w:rsidR="00B9360C" w:rsidRPr="00600703">
        <w:rPr>
          <w:lang w:val="en-US"/>
        </w:rPr>
        <w:t xml:space="preserve"> The two provisions are in unrelated parts of the </w:t>
      </w:r>
      <w:r w:rsidR="00B9360C" w:rsidRPr="00600703">
        <w:rPr>
          <w:i/>
          <w:lang w:val="en-US"/>
        </w:rPr>
        <w:t>Criminal Code</w:t>
      </w:r>
      <w:r w:rsidR="00B9360C" w:rsidRPr="00600703">
        <w:rPr>
          <w:lang w:val="en-US"/>
        </w:rPr>
        <w:t>, and they have distinct purposes and legislative histories.</w:t>
      </w:r>
      <w:r w:rsidRPr="00600703">
        <w:rPr>
          <w:lang w:val="en-US"/>
        </w:rPr>
        <w:t xml:space="preserve"> </w:t>
      </w:r>
      <w:r w:rsidR="00CD209E" w:rsidRPr="00600703">
        <w:rPr>
          <w:lang w:val="en-US"/>
        </w:rPr>
        <w:t>T</w:t>
      </w:r>
      <w:r w:rsidR="00B9360C" w:rsidRPr="00600703">
        <w:rPr>
          <w:lang w:val="en-US"/>
        </w:rPr>
        <w:t xml:space="preserve">he Court of Appeal’s approach is </w:t>
      </w:r>
      <w:r w:rsidR="00CD209E" w:rsidRPr="00600703">
        <w:rPr>
          <w:lang w:val="en-US"/>
        </w:rPr>
        <w:t>also</w:t>
      </w:r>
      <w:r w:rsidR="00B9360C" w:rsidRPr="00600703">
        <w:rPr>
          <w:lang w:val="en-US"/>
        </w:rPr>
        <w:t xml:space="preserve"> inconsistent with the principles of statutory interpretation</w:t>
      </w:r>
      <w:r w:rsidR="00CD209E" w:rsidRPr="00600703">
        <w:rPr>
          <w:lang w:val="en-US"/>
        </w:rPr>
        <w:t xml:space="preserve"> and</w:t>
      </w:r>
      <w:r w:rsidR="00B9360C" w:rsidRPr="00600703">
        <w:t xml:space="preserve"> </w:t>
      </w:r>
      <w:r w:rsidR="00B9360C" w:rsidRPr="00600703">
        <w:rPr>
          <w:lang w:val="en-US"/>
        </w:rPr>
        <w:t xml:space="preserve">would result in untold difficulties for trial judges seeking to establish the elusive dividing line between threats that are inherently violent and those that are not. </w:t>
      </w:r>
      <w:r w:rsidR="00CD209E" w:rsidRPr="00600703">
        <w:rPr>
          <w:lang w:val="en-US"/>
        </w:rPr>
        <w:t>I</w:t>
      </w:r>
      <w:r w:rsidR="00B9360C" w:rsidRPr="00600703">
        <w:rPr>
          <w:lang w:val="en-US"/>
        </w:rPr>
        <w:t xml:space="preserve">t </w:t>
      </w:r>
      <w:r w:rsidR="00B9360C" w:rsidRPr="00600703">
        <w:t>is moreover incompatible with the plain meaning and the purpose of the provision. All threats of violence are themselves violent, even though the seriousness of the violence may be quite limited. In seeking to distinguish violent from non</w:t>
      </w:r>
      <w:r w:rsidR="00DA111D">
        <w:t>-</w:t>
      </w:r>
      <w:r w:rsidR="00B9360C" w:rsidRPr="00600703">
        <w:t>violent threats, courts are in effect reading in an objective minimum level of violence. The</w:t>
      </w:r>
      <w:r w:rsidRPr="00600703">
        <w:t xml:space="preserve"> </w:t>
      </w:r>
      <w:r w:rsidR="00B9360C" w:rsidRPr="00600703">
        <w:t>C</w:t>
      </w:r>
      <w:r w:rsidR="00453AA2" w:rsidRPr="00600703">
        <w:t>ourt of Appeal’s interpretation</w:t>
      </w:r>
      <w:r w:rsidR="00B9360C" w:rsidRPr="00600703">
        <w:t xml:space="preserve"> is inconsistent with the clear language of </w:t>
      </w:r>
      <w:proofErr w:type="spellStart"/>
      <w:r w:rsidR="00B9360C" w:rsidRPr="00600703">
        <w:t>sub</w:t>
      </w:r>
      <w:r w:rsidR="00892869" w:rsidRPr="00600703">
        <w:t>para</w:t>
      </w:r>
      <w:proofErr w:type="spellEnd"/>
      <w:r w:rsidR="00892869" w:rsidRPr="00600703">
        <w:t>.</w:t>
      </w:r>
      <w:r w:rsidR="00DA111D">
        <w:t xml:space="preserve"> </w:t>
      </w:r>
      <w:r w:rsidR="00B9360C" w:rsidRPr="00600703">
        <w:t>(</w:t>
      </w:r>
      <w:r w:rsidR="00B9360C" w:rsidRPr="00600703">
        <w:rPr>
          <w:i/>
        </w:rPr>
        <w:t>a</w:t>
      </w:r>
      <w:r w:rsidR="00B9360C" w:rsidRPr="00600703">
        <w:t>)(</w:t>
      </w:r>
      <w:proofErr w:type="spellStart"/>
      <w:r w:rsidR="00B9360C" w:rsidRPr="00600703">
        <w:t>i</w:t>
      </w:r>
      <w:proofErr w:type="spellEnd"/>
      <w:r w:rsidR="00B9360C" w:rsidRPr="00600703">
        <w:t xml:space="preserve">) </w:t>
      </w:r>
      <w:proofErr w:type="gramStart"/>
      <w:r w:rsidR="00B9360C" w:rsidRPr="00600703">
        <w:t>of</w:t>
      </w:r>
      <w:proofErr w:type="gramEnd"/>
      <w:r w:rsidR="00B9360C" w:rsidRPr="00600703">
        <w:t xml:space="preserve"> the definition, which requires violence, not serious violence, and it risks undermin</w:t>
      </w:r>
      <w:r w:rsidR="00C32561">
        <w:t>ing the overall purpose of Part</w:t>
      </w:r>
      <w:r w:rsidR="00DA111D">
        <w:t xml:space="preserve"> </w:t>
      </w:r>
      <w:r w:rsidR="00B9360C" w:rsidRPr="00600703">
        <w:lastRenderedPageBreak/>
        <w:t xml:space="preserve">XXIV by precluding courts from remanding potentially dangerous offenders for assessment. </w:t>
      </w:r>
    </w:p>
    <w:p w:rsidR="00B9360C" w:rsidRPr="00600703" w:rsidRDefault="004E39D8" w:rsidP="00DA111D">
      <w:pPr>
        <w:pStyle w:val="SCCNormalDoubleSpacing"/>
        <w:widowControl w:val="0"/>
        <w:spacing w:before="480" w:after="480"/>
      </w:pPr>
      <w:r w:rsidRPr="00600703">
        <w:rPr>
          <w:lang w:val="en-US"/>
        </w:rPr>
        <w:tab/>
      </w:r>
      <w:r w:rsidR="00453AA2" w:rsidRPr="00600703">
        <w:rPr>
          <w:lang w:val="en-US"/>
        </w:rPr>
        <w:t>T</w:t>
      </w:r>
      <w:r w:rsidR="00B9360C" w:rsidRPr="00600703">
        <w:rPr>
          <w:lang w:val="en-US"/>
        </w:rPr>
        <w:t xml:space="preserve">hreats of violence to a person that are sufficient to ground a conviction for robbery under </w:t>
      </w:r>
      <w:r w:rsidRPr="00600703">
        <w:rPr>
          <w:lang w:val="en-US"/>
        </w:rPr>
        <w:t>s.</w:t>
      </w:r>
      <w:r w:rsidR="00DA111D">
        <w:rPr>
          <w:lang w:val="en-US"/>
        </w:rPr>
        <w:t xml:space="preserve"> </w:t>
      </w:r>
      <w:r w:rsidR="00B9360C" w:rsidRPr="00600703">
        <w:rPr>
          <w:lang w:val="en-US"/>
        </w:rPr>
        <w:t>343(</w:t>
      </w:r>
      <w:r w:rsidR="00B9360C" w:rsidRPr="00600703">
        <w:rPr>
          <w:i/>
          <w:lang w:val="en-US"/>
        </w:rPr>
        <w:t>a</w:t>
      </w:r>
      <w:r w:rsidR="00B9360C" w:rsidRPr="00600703">
        <w:rPr>
          <w:lang w:val="en-US"/>
        </w:rPr>
        <w:t>) meet the “</w:t>
      </w:r>
      <w:proofErr w:type="gramStart"/>
      <w:r w:rsidR="00B9360C" w:rsidRPr="00600703">
        <w:rPr>
          <w:lang w:val="en-US"/>
        </w:rPr>
        <w:t xml:space="preserve">use </w:t>
      </w:r>
      <w:r w:rsidR="00DA111D">
        <w:rPr>
          <w:lang w:val="en-US"/>
        </w:rPr>
        <w:t>.</w:t>
      </w:r>
      <w:proofErr w:type="gramEnd"/>
      <w:r w:rsidR="00DA111D">
        <w:rPr>
          <w:lang w:val="en-US"/>
        </w:rPr>
        <w:t> . .</w:t>
      </w:r>
      <w:r w:rsidR="00B9360C" w:rsidRPr="00600703">
        <w:rPr>
          <w:lang w:val="en-US"/>
        </w:rPr>
        <w:t xml:space="preserve"> of violence” criterion in </w:t>
      </w:r>
      <w:proofErr w:type="spellStart"/>
      <w:r w:rsidR="00B9360C" w:rsidRPr="00600703">
        <w:rPr>
          <w:lang w:val="en-US"/>
        </w:rPr>
        <w:t>sub</w:t>
      </w:r>
      <w:r w:rsidR="00892869" w:rsidRPr="00600703">
        <w:rPr>
          <w:lang w:val="en-US"/>
        </w:rPr>
        <w:t>para</w:t>
      </w:r>
      <w:proofErr w:type="spellEnd"/>
      <w:r w:rsidR="00892869" w:rsidRPr="00600703">
        <w:rPr>
          <w:lang w:val="en-US"/>
        </w:rPr>
        <w:t>.</w:t>
      </w:r>
      <w:r w:rsidR="00DA111D">
        <w:rPr>
          <w:lang w:val="en-US"/>
        </w:rPr>
        <w:t xml:space="preserve"> </w:t>
      </w:r>
      <w:r w:rsidR="00B9360C" w:rsidRPr="00600703">
        <w:rPr>
          <w:lang w:val="en-US"/>
        </w:rPr>
        <w:t>(</w:t>
      </w:r>
      <w:r w:rsidR="00B9360C" w:rsidRPr="00600703">
        <w:rPr>
          <w:i/>
          <w:lang w:val="en-US"/>
        </w:rPr>
        <w:t>a</w:t>
      </w:r>
      <w:r w:rsidR="00B9360C" w:rsidRPr="00600703">
        <w:rPr>
          <w:lang w:val="en-US"/>
        </w:rPr>
        <w:t>)(</w:t>
      </w:r>
      <w:proofErr w:type="spellStart"/>
      <w:r w:rsidR="00B9360C" w:rsidRPr="00600703">
        <w:rPr>
          <w:lang w:val="en-US"/>
        </w:rPr>
        <w:t>i</w:t>
      </w:r>
      <w:proofErr w:type="spellEnd"/>
      <w:r w:rsidR="00B9360C" w:rsidRPr="00600703">
        <w:rPr>
          <w:lang w:val="en-US"/>
        </w:rPr>
        <w:t xml:space="preserve">) </w:t>
      </w:r>
      <w:proofErr w:type="gramStart"/>
      <w:r w:rsidR="00B9360C" w:rsidRPr="00600703">
        <w:rPr>
          <w:lang w:val="en-US"/>
        </w:rPr>
        <w:t>of</w:t>
      </w:r>
      <w:proofErr w:type="gramEnd"/>
      <w:r w:rsidR="00B9360C" w:rsidRPr="00600703">
        <w:rPr>
          <w:lang w:val="en-US"/>
        </w:rPr>
        <w:t xml:space="preserve"> the definition of an SPIO in </w:t>
      </w:r>
      <w:r w:rsidRPr="00600703">
        <w:rPr>
          <w:lang w:val="en-US"/>
        </w:rPr>
        <w:t>s.</w:t>
      </w:r>
      <w:r w:rsidR="00DA111D">
        <w:rPr>
          <w:lang w:val="en-US"/>
        </w:rPr>
        <w:t xml:space="preserve"> </w:t>
      </w:r>
      <w:r w:rsidR="00B9360C" w:rsidRPr="00600703">
        <w:rPr>
          <w:lang w:val="en-US"/>
        </w:rPr>
        <w:t xml:space="preserve">752. </w:t>
      </w:r>
      <w:r w:rsidR="00B9360C" w:rsidRPr="00600703">
        <w:rPr>
          <w:szCs w:val="24"/>
        </w:rPr>
        <w:t xml:space="preserve">By threatening to harm his victims while committing robbery, S used violence against them. Since the other requirements of the definition are clearly met, his offence qualifies as an SPIO. </w:t>
      </w:r>
    </w:p>
    <w:p w:rsidR="007E1C47" w:rsidRPr="00600703" w:rsidRDefault="002E6705" w:rsidP="00DA111D">
      <w:pPr>
        <w:pStyle w:val="SCCNormalDoubleSpacing"/>
        <w:widowControl w:val="0"/>
        <w:spacing w:after="720" w:line="240" w:lineRule="auto"/>
        <w:rPr>
          <w:b/>
        </w:rPr>
      </w:pPr>
      <w:r w:rsidRPr="00600703">
        <w:rPr>
          <w:b/>
        </w:rPr>
        <w:t>Cases Cited</w:t>
      </w:r>
    </w:p>
    <w:p w:rsidR="001C3656" w:rsidRPr="00600703" w:rsidRDefault="002E6705" w:rsidP="00DA111D">
      <w:pPr>
        <w:pStyle w:val="SCCNormalDoubleSpacing"/>
        <w:widowControl w:val="0"/>
        <w:spacing w:after="480"/>
        <w:rPr>
          <w:bCs/>
          <w:szCs w:val="24"/>
        </w:rPr>
      </w:pPr>
      <w:r w:rsidRPr="00600703">
        <w:tab/>
      </w:r>
      <w:r w:rsidR="007B4A79" w:rsidRPr="00600703">
        <w:rPr>
          <w:b/>
        </w:rPr>
        <w:t>Discussed:</w:t>
      </w:r>
      <w:r w:rsidR="007B4A79" w:rsidRPr="00600703">
        <w:t xml:space="preserve"> </w:t>
      </w:r>
      <w:r w:rsidR="007B4A79" w:rsidRPr="00600703">
        <w:rPr>
          <w:bCs/>
          <w:i/>
          <w:szCs w:val="24"/>
        </w:rPr>
        <w:t>R. v. C.D.</w:t>
      </w:r>
      <w:r w:rsidR="007B4A79" w:rsidRPr="00600703">
        <w:rPr>
          <w:bCs/>
          <w:szCs w:val="24"/>
        </w:rPr>
        <w:t xml:space="preserve">, 2005 SCC 78, [2005] 3 S.C.R. 668; </w:t>
      </w:r>
      <w:r w:rsidR="007B4A79" w:rsidRPr="00600703">
        <w:rPr>
          <w:b/>
        </w:rPr>
        <w:t>r</w:t>
      </w:r>
      <w:r w:rsidRPr="00600703">
        <w:rPr>
          <w:b/>
        </w:rPr>
        <w:t>eferred to:</w:t>
      </w:r>
      <w:r w:rsidR="00BD0E9E" w:rsidRPr="00600703">
        <w:t xml:space="preserve"> </w:t>
      </w:r>
      <w:r w:rsidR="008E2771" w:rsidRPr="00600703">
        <w:t xml:space="preserve"> </w:t>
      </w:r>
      <w:r w:rsidR="001C3656" w:rsidRPr="00600703">
        <w:rPr>
          <w:bCs/>
          <w:i/>
          <w:szCs w:val="24"/>
        </w:rPr>
        <w:t xml:space="preserve">R. v. </w:t>
      </w:r>
      <w:proofErr w:type="spellStart"/>
      <w:r w:rsidR="001C3656" w:rsidRPr="00600703">
        <w:rPr>
          <w:bCs/>
          <w:i/>
          <w:szCs w:val="24"/>
        </w:rPr>
        <w:t>Neve</w:t>
      </w:r>
      <w:proofErr w:type="spellEnd"/>
      <w:r w:rsidR="001C3656" w:rsidRPr="00600703">
        <w:rPr>
          <w:bCs/>
          <w:szCs w:val="24"/>
        </w:rPr>
        <w:t xml:space="preserve">, 1999 ABCA 206, 71 Alta. L.R. (3d) 92; </w:t>
      </w:r>
      <w:r w:rsidR="001C3656" w:rsidRPr="00600703">
        <w:rPr>
          <w:bCs/>
          <w:i/>
          <w:szCs w:val="24"/>
        </w:rPr>
        <w:t xml:space="preserve">R. v. </w:t>
      </w:r>
      <w:proofErr w:type="spellStart"/>
      <w:r w:rsidR="001C3656" w:rsidRPr="00600703">
        <w:rPr>
          <w:bCs/>
          <w:i/>
          <w:szCs w:val="24"/>
        </w:rPr>
        <w:t>Goforth</w:t>
      </w:r>
      <w:proofErr w:type="spellEnd"/>
      <w:r w:rsidR="001C3656" w:rsidRPr="00600703">
        <w:rPr>
          <w:bCs/>
          <w:szCs w:val="24"/>
        </w:rPr>
        <w:t xml:space="preserve">, 2005 SKCA 12, 257 Sask. R. 123; </w:t>
      </w:r>
      <w:r w:rsidR="001C3656" w:rsidRPr="00600703">
        <w:rPr>
          <w:bCs/>
          <w:i/>
          <w:szCs w:val="24"/>
        </w:rPr>
        <w:t xml:space="preserve">R. v. </w:t>
      </w:r>
      <w:proofErr w:type="spellStart"/>
      <w:r w:rsidR="001C3656" w:rsidRPr="00600703">
        <w:rPr>
          <w:bCs/>
          <w:i/>
          <w:szCs w:val="24"/>
        </w:rPr>
        <w:t>Lebar</w:t>
      </w:r>
      <w:proofErr w:type="spellEnd"/>
      <w:r w:rsidR="001C3656" w:rsidRPr="00600703">
        <w:rPr>
          <w:bCs/>
          <w:szCs w:val="24"/>
        </w:rPr>
        <w:t>, 2010 ONCA 220, 101 O.R. (3d) 263;</w:t>
      </w:r>
      <w:r w:rsidR="005F04A4" w:rsidRPr="00600703">
        <w:rPr>
          <w:bCs/>
          <w:szCs w:val="24"/>
        </w:rPr>
        <w:t xml:space="preserve"> </w:t>
      </w:r>
      <w:r w:rsidR="001C3656" w:rsidRPr="00600703">
        <w:rPr>
          <w:bCs/>
          <w:i/>
          <w:szCs w:val="24"/>
        </w:rPr>
        <w:t>R. v. Thompson</w:t>
      </w:r>
      <w:r w:rsidR="001C3656" w:rsidRPr="00600703">
        <w:rPr>
          <w:bCs/>
          <w:szCs w:val="24"/>
        </w:rPr>
        <w:t>, 2009 ONCJ 359</w:t>
      </w:r>
      <w:r w:rsidR="00F7605B" w:rsidRPr="00600703">
        <w:rPr>
          <w:bCs/>
          <w:szCs w:val="24"/>
        </w:rPr>
        <w:t xml:space="preserve"> (</w:t>
      </w:r>
      <w:proofErr w:type="spellStart"/>
      <w:r w:rsidR="00F7605B" w:rsidRPr="00600703">
        <w:rPr>
          <w:bCs/>
          <w:szCs w:val="24"/>
        </w:rPr>
        <w:t>CanLII</w:t>
      </w:r>
      <w:proofErr w:type="spellEnd"/>
      <w:r w:rsidR="00F7605B" w:rsidRPr="00600703">
        <w:rPr>
          <w:bCs/>
          <w:szCs w:val="24"/>
        </w:rPr>
        <w:t>)</w:t>
      </w:r>
      <w:r w:rsidR="001C3656" w:rsidRPr="00600703">
        <w:rPr>
          <w:bCs/>
          <w:szCs w:val="24"/>
        </w:rPr>
        <w:t xml:space="preserve">; </w:t>
      </w:r>
      <w:r w:rsidR="001C3656" w:rsidRPr="00600703">
        <w:rPr>
          <w:bCs/>
          <w:i/>
          <w:szCs w:val="24"/>
        </w:rPr>
        <w:t>R. v. Roy</w:t>
      </w:r>
      <w:r w:rsidR="001C3656" w:rsidRPr="00600703">
        <w:rPr>
          <w:bCs/>
          <w:szCs w:val="24"/>
        </w:rPr>
        <w:t>, 2008 SKCA 41</w:t>
      </w:r>
      <w:r w:rsidR="00F7605B" w:rsidRPr="00600703">
        <w:rPr>
          <w:bCs/>
          <w:szCs w:val="24"/>
        </w:rPr>
        <w:t>, 307 Sask. R. 276</w:t>
      </w:r>
      <w:r w:rsidR="001C3656" w:rsidRPr="00600703">
        <w:rPr>
          <w:bCs/>
          <w:szCs w:val="24"/>
        </w:rPr>
        <w:t xml:space="preserve">; </w:t>
      </w:r>
      <w:r w:rsidR="001C3656" w:rsidRPr="00600703">
        <w:rPr>
          <w:bCs/>
          <w:i/>
          <w:szCs w:val="24"/>
        </w:rPr>
        <w:t>R. v. Jolicoeur</w:t>
      </w:r>
      <w:r w:rsidR="001C3656" w:rsidRPr="00600703">
        <w:rPr>
          <w:bCs/>
          <w:szCs w:val="24"/>
        </w:rPr>
        <w:t>, 2011 MBQB 129</w:t>
      </w:r>
      <w:r w:rsidR="00F7605B" w:rsidRPr="00600703">
        <w:rPr>
          <w:bCs/>
          <w:szCs w:val="24"/>
        </w:rPr>
        <w:t>, 265 Man. R. (2d) 225</w:t>
      </w:r>
      <w:r w:rsidR="00556D89" w:rsidRPr="00600703">
        <w:rPr>
          <w:bCs/>
          <w:szCs w:val="24"/>
        </w:rPr>
        <w:t xml:space="preserve">; </w:t>
      </w:r>
      <w:r w:rsidR="001C3656" w:rsidRPr="00600703">
        <w:rPr>
          <w:bCs/>
          <w:i/>
          <w:szCs w:val="24"/>
        </w:rPr>
        <w:t>R. v. Currie</w:t>
      </w:r>
      <w:r w:rsidR="001C3656" w:rsidRPr="00600703">
        <w:rPr>
          <w:bCs/>
          <w:szCs w:val="24"/>
        </w:rPr>
        <w:t>, [</w:t>
      </w:r>
      <w:r w:rsidR="00D60254" w:rsidRPr="00600703">
        <w:rPr>
          <w:bCs/>
          <w:szCs w:val="24"/>
        </w:rPr>
        <w:t>1997] 2 S.C.R. 260;</w:t>
      </w:r>
      <w:r w:rsidR="002723B1" w:rsidRPr="00600703">
        <w:rPr>
          <w:bCs/>
          <w:szCs w:val="24"/>
        </w:rPr>
        <w:t xml:space="preserve"> </w:t>
      </w:r>
      <w:r w:rsidR="001C3656" w:rsidRPr="00600703">
        <w:rPr>
          <w:bCs/>
          <w:i/>
          <w:szCs w:val="24"/>
        </w:rPr>
        <w:t xml:space="preserve">R. v. </w:t>
      </w:r>
      <w:proofErr w:type="spellStart"/>
      <w:r w:rsidR="001C3656" w:rsidRPr="00600703">
        <w:rPr>
          <w:bCs/>
          <w:i/>
          <w:szCs w:val="24"/>
        </w:rPr>
        <w:t>Cepic</w:t>
      </w:r>
      <w:proofErr w:type="spellEnd"/>
      <w:r w:rsidR="001C3656" w:rsidRPr="00600703">
        <w:rPr>
          <w:bCs/>
          <w:szCs w:val="24"/>
        </w:rPr>
        <w:t>,</w:t>
      </w:r>
      <w:r w:rsidR="001C3656" w:rsidRPr="00600703">
        <w:rPr>
          <w:bCs/>
          <w:i/>
          <w:szCs w:val="24"/>
        </w:rPr>
        <w:t xml:space="preserve"> </w:t>
      </w:r>
      <w:r w:rsidR="001C3656" w:rsidRPr="00600703">
        <w:rPr>
          <w:bCs/>
          <w:szCs w:val="24"/>
        </w:rPr>
        <w:t xml:space="preserve">2010 ONSC 561, </w:t>
      </w:r>
      <w:r w:rsidR="002723B1" w:rsidRPr="00600703">
        <w:rPr>
          <w:bCs/>
          <w:szCs w:val="24"/>
        </w:rPr>
        <w:t>93 M.V.R. (5th) 129</w:t>
      </w:r>
      <w:r w:rsidR="003F10B8" w:rsidRPr="00600703">
        <w:rPr>
          <w:bCs/>
          <w:szCs w:val="24"/>
        </w:rPr>
        <w:t xml:space="preserve">; </w:t>
      </w:r>
      <w:proofErr w:type="spellStart"/>
      <w:r w:rsidR="001C3656" w:rsidRPr="00600703">
        <w:rPr>
          <w:bCs/>
          <w:i/>
          <w:szCs w:val="24"/>
        </w:rPr>
        <w:t>Hatchwell</w:t>
      </w:r>
      <w:proofErr w:type="spellEnd"/>
      <w:r w:rsidR="001C3656" w:rsidRPr="00600703">
        <w:rPr>
          <w:bCs/>
          <w:i/>
          <w:szCs w:val="24"/>
        </w:rPr>
        <w:t xml:space="preserve"> v. </w:t>
      </w:r>
      <w:r w:rsidR="006C612F" w:rsidRPr="00600703">
        <w:rPr>
          <w:bCs/>
          <w:i/>
          <w:szCs w:val="24"/>
        </w:rPr>
        <w:t>The Queen</w:t>
      </w:r>
      <w:r w:rsidR="001C3656" w:rsidRPr="00600703">
        <w:rPr>
          <w:bCs/>
          <w:szCs w:val="24"/>
        </w:rPr>
        <w:t>,</w:t>
      </w:r>
      <w:r w:rsidR="001C3656" w:rsidRPr="00600703">
        <w:rPr>
          <w:bCs/>
          <w:i/>
          <w:szCs w:val="24"/>
        </w:rPr>
        <w:t xml:space="preserve"> </w:t>
      </w:r>
      <w:r w:rsidR="001C3656" w:rsidRPr="00600703">
        <w:rPr>
          <w:bCs/>
          <w:szCs w:val="24"/>
        </w:rPr>
        <w:t>[1976] 1 S.C.R. 39</w:t>
      </w:r>
      <w:r w:rsidR="006C612F" w:rsidRPr="00600703">
        <w:rPr>
          <w:bCs/>
          <w:szCs w:val="24"/>
        </w:rPr>
        <w:t xml:space="preserve">; </w:t>
      </w:r>
      <w:r w:rsidR="001C3656" w:rsidRPr="00600703">
        <w:rPr>
          <w:bCs/>
          <w:i/>
          <w:szCs w:val="24"/>
        </w:rPr>
        <w:t>R. v. Lyons</w:t>
      </w:r>
      <w:r w:rsidR="001C3656" w:rsidRPr="00600703">
        <w:rPr>
          <w:bCs/>
          <w:szCs w:val="24"/>
        </w:rPr>
        <w:t>, [1987] 2 S.C.R. 309</w:t>
      </w:r>
      <w:r w:rsidR="006C612F" w:rsidRPr="00600703">
        <w:rPr>
          <w:bCs/>
          <w:szCs w:val="24"/>
        </w:rPr>
        <w:t xml:space="preserve">; </w:t>
      </w:r>
      <w:r w:rsidR="001C3656" w:rsidRPr="00600703">
        <w:rPr>
          <w:bCs/>
          <w:i/>
          <w:szCs w:val="24"/>
        </w:rPr>
        <w:t xml:space="preserve">R. v. </w:t>
      </w:r>
      <w:proofErr w:type="spellStart"/>
      <w:r w:rsidR="001C3656" w:rsidRPr="00600703">
        <w:rPr>
          <w:bCs/>
          <w:i/>
          <w:szCs w:val="24"/>
        </w:rPr>
        <w:t>Sipos</w:t>
      </w:r>
      <w:proofErr w:type="spellEnd"/>
      <w:r w:rsidR="001C3656" w:rsidRPr="00600703">
        <w:rPr>
          <w:bCs/>
          <w:szCs w:val="24"/>
        </w:rPr>
        <w:t>,</w:t>
      </w:r>
      <w:r w:rsidR="001C3656" w:rsidRPr="00600703">
        <w:rPr>
          <w:bCs/>
          <w:i/>
          <w:szCs w:val="24"/>
        </w:rPr>
        <w:t xml:space="preserve"> </w:t>
      </w:r>
      <w:r w:rsidR="001C3656" w:rsidRPr="00600703">
        <w:rPr>
          <w:bCs/>
          <w:szCs w:val="24"/>
        </w:rPr>
        <w:t>2014 SCC 47</w:t>
      </w:r>
      <w:r w:rsidR="003E79D6">
        <w:rPr>
          <w:bCs/>
          <w:szCs w:val="24"/>
        </w:rPr>
        <w:t>, [2014] 2 S.C.R. 423</w:t>
      </w:r>
      <w:r w:rsidR="006C612F" w:rsidRPr="00600703">
        <w:rPr>
          <w:bCs/>
          <w:szCs w:val="24"/>
        </w:rPr>
        <w:t>;</w:t>
      </w:r>
      <w:r w:rsidR="009B21EE" w:rsidRPr="00600703">
        <w:rPr>
          <w:bCs/>
          <w:szCs w:val="24"/>
        </w:rPr>
        <w:t xml:space="preserve"> </w:t>
      </w:r>
      <w:r w:rsidR="001C3656" w:rsidRPr="00600703">
        <w:rPr>
          <w:bCs/>
          <w:i/>
          <w:szCs w:val="24"/>
        </w:rPr>
        <w:t xml:space="preserve">R. v. </w:t>
      </w:r>
      <w:proofErr w:type="spellStart"/>
      <w:r w:rsidR="001C3656" w:rsidRPr="00600703">
        <w:rPr>
          <w:bCs/>
          <w:i/>
          <w:szCs w:val="24"/>
        </w:rPr>
        <w:t>Ipeelee</w:t>
      </w:r>
      <w:proofErr w:type="spellEnd"/>
      <w:r w:rsidR="001C3656" w:rsidRPr="00600703">
        <w:rPr>
          <w:bCs/>
          <w:szCs w:val="24"/>
        </w:rPr>
        <w:t>, 2012 SCC 13, [2012] 1 S.C.R. 433</w:t>
      </w:r>
      <w:r w:rsidR="009B21EE" w:rsidRPr="00600703">
        <w:rPr>
          <w:bCs/>
          <w:szCs w:val="24"/>
        </w:rPr>
        <w:t xml:space="preserve">; </w:t>
      </w:r>
      <w:r w:rsidR="001C3656" w:rsidRPr="00600703">
        <w:rPr>
          <w:bCs/>
          <w:i/>
          <w:szCs w:val="24"/>
        </w:rPr>
        <w:t>R. v. Johnson</w:t>
      </w:r>
      <w:r w:rsidR="001C3656" w:rsidRPr="00600703">
        <w:rPr>
          <w:bCs/>
          <w:szCs w:val="24"/>
        </w:rPr>
        <w:t>,</w:t>
      </w:r>
      <w:r w:rsidR="001C3656" w:rsidRPr="00600703">
        <w:rPr>
          <w:bCs/>
          <w:i/>
          <w:szCs w:val="24"/>
        </w:rPr>
        <w:t xml:space="preserve"> </w:t>
      </w:r>
      <w:r w:rsidR="001C3656" w:rsidRPr="00600703">
        <w:rPr>
          <w:bCs/>
          <w:szCs w:val="24"/>
        </w:rPr>
        <w:t>2003 SCC 46</w:t>
      </w:r>
      <w:r w:rsidR="009B21EE" w:rsidRPr="00600703">
        <w:rPr>
          <w:bCs/>
          <w:szCs w:val="24"/>
        </w:rPr>
        <w:t>, [2003] 2 S.C.R. 357</w:t>
      </w:r>
      <w:r w:rsidR="00615ADC" w:rsidRPr="00600703">
        <w:rPr>
          <w:bCs/>
          <w:szCs w:val="24"/>
        </w:rPr>
        <w:t xml:space="preserve">; </w:t>
      </w:r>
      <w:r w:rsidR="00615ADC" w:rsidRPr="00600703">
        <w:rPr>
          <w:bCs/>
          <w:i/>
          <w:szCs w:val="24"/>
        </w:rPr>
        <w:t>R. v. Smith</w:t>
      </w:r>
      <w:r w:rsidR="00615ADC" w:rsidRPr="00600703">
        <w:rPr>
          <w:bCs/>
          <w:szCs w:val="24"/>
        </w:rPr>
        <w:t>, 2012 ONCA 645 (</w:t>
      </w:r>
      <w:proofErr w:type="spellStart"/>
      <w:r w:rsidR="00615ADC" w:rsidRPr="00600703">
        <w:rPr>
          <w:bCs/>
          <w:szCs w:val="24"/>
        </w:rPr>
        <w:t>CanLII</w:t>
      </w:r>
      <w:proofErr w:type="spellEnd"/>
      <w:r w:rsidR="00615ADC" w:rsidRPr="00600703">
        <w:rPr>
          <w:bCs/>
          <w:szCs w:val="24"/>
        </w:rPr>
        <w:t>)</w:t>
      </w:r>
      <w:r w:rsidR="00D93EA8" w:rsidRPr="00600703">
        <w:rPr>
          <w:bCs/>
          <w:szCs w:val="24"/>
        </w:rPr>
        <w:t>;</w:t>
      </w:r>
      <w:r w:rsidR="00D93EA8" w:rsidRPr="00600703">
        <w:rPr>
          <w:i/>
        </w:rPr>
        <w:t xml:space="preserve"> R</w:t>
      </w:r>
      <w:r w:rsidR="001C3656" w:rsidRPr="00600703">
        <w:rPr>
          <w:i/>
        </w:rPr>
        <w:t>. v. McRae</w:t>
      </w:r>
      <w:r w:rsidR="001C3656" w:rsidRPr="00600703">
        <w:t>, 2013 SCC 68, [2013] 3 S.C.R. 931</w:t>
      </w:r>
      <w:r w:rsidR="00E87100" w:rsidRPr="00600703">
        <w:t xml:space="preserve">; </w:t>
      </w:r>
      <w:r w:rsidR="001C3656" w:rsidRPr="00600703">
        <w:rPr>
          <w:bCs/>
          <w:i/>
          <w:szCs w:val="24"/>
        </w:rPr>
        <w:t xml:space="preserve">R. v. </w:t>
      </w:r>
      <w:proofErr w:type="spellStart"/>
      <w:r w:rsidR="001C3656" w:rsidRPr="00600703">
        <w:rPr>
          <w:bCs/>
          <w:i/>
          <w:szCs w:val="24"/>
        </w:rPr>
        <w:t>Keegstra</w:t>
      </w:r>
      <w:proofErr w:type="spellEnd"/>
      <w:r w:rsidR="001C3656" w:rsidRPr="00600703">
        <w:rPr>
          <w:bCs/>
          <w:szCs w:val="24"/>
        </w:rPr>
        <w:t>, [1990] 3 S.C.R. 697</w:t>
      </w:r>
      <w:r w:rsidR="00F017FA" w:rsidRPr="00600703">
        <w:rPr>
          <w:bCs/>
          <w:szCs w:val="24"/>
        </w:rPr>
        <w:t>;</w:t>
      </w:r>
      <w:r w:rsidR="000A2B03" w:rsidRPr="00600703">
        <w:rPr>
          <w:bCs/>
          <w:szCs w:val="24"/>
        </w:rPr>
        <w:t xml:space="preserve"> </w:t>
      </w:r>
      <w:r w:rsidR="001C3656" w:rsidRPr="00600703">
        <w:rPr>
          <w:bCs/>
          <w:i/>
          <w:szCs w:val="24"/>
        </w:rPr>
        <w:t xml:space="preserve">R. v. </w:t>
      </w:r>
      <w:proofErr w:type="spellStart"/>
      <w:r w:rsidR="001C3656" w:rsidRPr="00600703">
        <w:rPr>
          <w:bCs/>
          <w:i/>
          <w:szCs w:val="24"/>
        </w:rPr>
        <w:t>Khawaja</w:t>
      </w:r>
      <w:proofErr w:type="spellEnd"/>
      <w:r w:rsidR="001C3656" w:rsidRPr="00600703">
        <w:rPr>
          <w:bCs/>
          <w:szCs w:val="24"/>
        </w:rPr>
        <w:t>, 2012 SCC 69, [2012] 3 S.C.R. 555</w:t>
      </w:r>
      <w:r w:rsidR="000A2B03" w:rsidRPr="00600703">
        <w:rPr>
          <w:bCs/>
          <w:szCs w:val="24"/>
        </w:rPr>
        <w:t>;</w:t>
      </w:r>
      <w:r w:rsidR="00F45CC8" w:rsidRPr="00600703">
        <w:rPr>
          <w:bCs/>
          <w:szCs w:val="24"/>
        </w:rPr>
        <w:t xml:space="preserve"> </w:t>
      </w:r>
      <w:r w:rsidR="001C3656" w:rsidRPr="00600703">
        <w:rPr>
          <w:bCs/>
          <w:i/>
          <w:szCs w:val="24"/>
        </w:rPr>
        <w:t xml:space="preserve">R. v. </w:t>
      </w:r>
      <w:proofErr w:type="spellStart"/>
      <w:r w:rsidR="001C3656" w:rsidRPr="00600703">
        <w:rPr>
          <w:bCs/>
          <w:i/>
          <w:szCs w:val="24"/>
        </w:rPr>
        <w:t>Goulet</w:t>
      </w:r>
      <w:proofErr w:type="spellEnd"/>
      <w:r w:rsidR="001C3656" w:rsidRPr="00600703">
        <w:rPr>
          <w:bCs/>
          <w:szCs w:val="24"/>
        </w:rPr>
        <w:t>,</w:t>
      </w:r>
      <w:r w:rsidR="001C3656" w:rsidRPr="00600703">
        <w:rPr>
          <w:bCs/>
          <w:i/>
          <w:szCs w:val="24"/>
        </w:rPr>
        <w:t xml:space="preserve"> </w:t>
      </w:r>
      <w:r w:rsidR="001C3656" w:rsidRPr="00600703">
        <w:rPr>
          <w:bCs/>
          <w:szCs w:val="24"/>
        </w:rPr>
        <w:t>2011 ABCA 230</w:t>
      </w:r>
      <w:r w:rsidR="00F45CC8" w:rsidRPr="00600703">
        <w:rPr>
          <w:bCs/>
          <w:szCs w:val="24"/>
        </w:rPr>
        <w:t>, 52 Alta. L.R. (5th) 241</w:t>
      </w:r>
      <w:r w:rsidR="00F42889" w:rsidRPr="00600703">
        <w:rPr>
          <w:bCs/>
          <w:szCs w:val="24"/>
        </w:rPr>
        <w:t xml:space="preserve">; </w:t>
      </w:r>
      <w:r w:rsidR="001C3656" w:rsidRPr="00600703">
        <w:rPr>
          <w:bCs/>
          <w:i/>
          <w:szCs w:val="24"/>
        </w:rPr>
        <w:t xml:space="preserve">R. v. J.Y. </w:t>
      </w:r>
      <w:r w:rsidR="00F42889" w:rsidRPr="00600703">
        <w:rPr>
          <w:bCs/>
          <w:szCs w:val="24"/>
        </w:rPr>
        <w:t>(</w:t>
      </w:r>
      <w:r w:rsidR="001C3656" w:rsidRPr="00600703">
        <w:rPr>
          <w:bCs/>
          <w:szCs w:val="24"/>
        </w:rPr>
        <w:t>1996</w:t>
      </w:r>
      <w:r w:rsidR="00A314A3" w:rsidRPr="00600703">
        <w:rPr>
          <w:bCs/>
          <w:szCs w:val="24"/>
        </w:rPr>
        <w:t>), 141</w:t>
      </w:r>
      <w:r w:rsidR="00F42889" w:rsidRPr="00600703">
        <w:rPr>
          <w:bCs/>
          <w:szCs w:val="24"/>
        </w:rPr>
        <w:t xml:space="preserve"> </w:t>
      </w:r>
      <w:r w:rsidR="001C3656" w:rsidRPr="00600703">
        <w:rPr>
          <w:bCs/>
          <w:szCs w:val="24"/>
        </w:rPr>
        <w:t>S</w:t>
      </w:r>
      <w:r w:rsidR="00F42889" w:rsidRPr="00600703">
        <w:rPr>
          <w:bCs/>
          <w:szCs w:val="24"/>
        </w:rPr>
        <w:t>ask</w:t>
      </w:r>
      <w:r w:rsidR="001C3656" w:rsidRPr="00600703">
        <w:rPr>
          <w:bCs/>
          <w:szCs w:val="24"/>
        </w:rPr>
        <w:t>.</w:t>
      </w:r>
      <w:r w:rsidR="00F42889" w:rsidRPr="00600703">
        <w:rPr>
          <w:bCs/>
          <w:szCs w:val="24"/>
        </w:rPr>
        <w:t xml:space="preserve"> R</w:t>
      </w:r>
      <w:r w:rsidR="001C3656" w:rsidRPr="00600703">
        <w:rPr>
          <w:bCs/>
          <w:szCs w:val="24"/>
        </w:rPr>
        <w:t xml:space="preserve">. </w:t>
      </w:r>
      <w:r w:rsidR="00F42889" w:rsidRPr="00600703">
        <w:rPr>
          <w:bCs/>
          <w:szCs w:val="24"/>
        </w:rPr>
        <w:t xml:space="preserve">132; </w:t>
      </w:r>
      <w:r w:rsidR="001C3656" w:rsidRPr="00600703">
        <w:rPr>
          <w:bCs/>
          <w:i/>
          <w:szCs w:val="24"/>
        </w:rPr>
        <w:t>R. v. O’Keefe</w:t>
      </w:r>
      <w:r w:rsidR="001C3656" w:rsidRPr="00600703">
        <w:rPr>
          <w:bCs/>
          <w:szCs w:val="24"/>
        </w:rPr>
        <w:t>, 2011 NLCA 41</w:t>
      </w:r>
      <w:r w:rsidR="00F42889" w:rsidRPr="00600703">
        <w:rPr>
          <w:bCs/>
          <w:szCs w:val="24"/>
        </w:rPr>
        <w:t>, 309 Nfld. &amp; P.E.I.R. 253.</w:t>
      </w:r>
    </w:p>
    <w:p w:rsidR="003B215F" w:rsidRPr="00600703" w:rsidRDefault="002E6705" w:rsidP="00DA111D">
      <w:pPr>
        <w:pStyle w:val="SCCNormalDoubleSpacing"/>
        <w:widowControl w:val="0"/>
        <w:spacing w:after="720" w:line="240" w:lineRule="auto"/>
      </w:pPr>
      <w:r w:rsidRPr="00600703">
        <w:rPr>
          <w:b/>
        </w:rPr>
        <w:lastRenderedPageBreak/>
        <w:t>Statutes and Regulations Cite</w:t>
      </w:r>
      <w:r w:rsidR="00A41805" w:rsidRPr="00600703">
        <w:rPr>
          <w:b/>
        </w:rPr>
        <w:t>d</w:t>
      </w:r>
    </w:p>
    <w:p w:rsidR="002F0648" w:rsidRPr="00600703" w:rsidRDefault="002F0648" w:rsidP="00DA111D">
      <w:pPr>
        <w:pStyle w:val="SCCNormalDoubleSpacing"/>
        <w:widowControl w:val="0"/>
        <w:spacing w:after="240" w:line="240" w:lineRule="auto"/>
        <w:ind w:left="547" w:hanging="547"/>
        <w:rPr>
          <w:i/>
          <w:lang w:val="en-US"/>
        </w:rPr>
      </w:pPr>
      <w:r w:rsidRPr="00600703">
        <w:rPr>
          <w:i/>
          <w:lang w:val="en-US"/>
        </w:rPr>
        <w:t>Canadian Charter of Rights and Freedoms</w:t>
      </w:r>
      <w:r w:rsidRPr="00600703">
        <w:rPr>
          <w:lang w:val="en-US"/>
        </w:rPr>
        <w:t xml:space="preserve">, </w:t>
      </w:r>
      <w:r w:rsidR="004E39D8" w:rsidRPr="00600703">
        <w:rPr>
          <w:lang w:val="en-US"/>
        </w:rPr>
        <w:t>s.</w:t>
      </w:r>
      <w:r w:rsidR="00DA111D">
        <w:rPr>
          <w:lang w:val="en-US"/>
        </w:rPr>
        <w:t xml:space="preserve"> </w:t>
      </w:r>
      <w:r w:rsidRPr="00600703">
        <w:rPr>
          <w:lang w:val="en-US"/>
        </w:rPr>
        <w:t>2(</w:t>
      </w:r>
      <w:r w:rsidRPr="00600703">
        <w:rPr>
          <w:i/>
          <w:lang w:val="en-US"/>
        </w:rPr>
        <w:t>b</w:t>
      </w:r>
      <w:r w:rsidRPr="00600703">
        <w:rPr>
          <w:lang w:val="en-US"/>
        </w:rPr>
        <w:t>).</w:t>
      </w:r>
    </w:p>
    <w:p w:rsidR="00FD286F" w:rsidRPr="00600703" w:rsidRDefault="004A22ED" w:rsidP="00DA111D">
      <w:pPr>
        <w:pStyle w:val="SCCNormalDoubleSpacing"/>
        <w:widowControl w:val="0"/>
        <w:spacing w:after="240" w:line="240" w:lineRule="auto"/>
        <w:ind w:left="547" w:hanging="547"/>
        <w:rPr>
          <w:lang w:val="en-US"/>
        </w:rPr>
      </w:pPr>
      <w:r w:rsidRPr="00600703">
        <w:rPr>
          <w:i/>
          <w:lang w:val="en-US"/>
        </w:rPr>
        <w:t>Criminal Code</w:t>
      </w:r>
      <w:r w:rsidR="009702E8" w:rsidRPr="00600703">
        <w:rPr>
          <w:lang w:val="en-US"/>
        </w:rPr>
        <w:t>, R.S.C. 1985, c.</w:t>
      </w:r>
      <w:r w:rsidR="00DA111D">
        <w:rPr>
          <w:lang w:val="en-US"/>
        </w:rPr>
        <w:t xml:space="preserve"> </w:t>
      </w:r>
      <w:r w:rsidRPr="00600703">
        <w:rPr>
          <w:lang w:val="en-US"/>
        </w:rPr>
        <w:t>C</w:t>
      </w:r>
      <w:r w:rsidR="00DA111D">
        <w:rPr>
          <w:lang w:val="en-US"/>
        </w:rPr>
        <w:t>-</w:t>
      </w:r>
      <w:r w:rsidRPr="00600703">
        <w:rPr>
          <w:lang w:val="en-US"/>
        </w:rPr>
        <w:t xml:space="preserve">46, </w:t>
      </w:r>
      <w:r w:rsidR="00892869" w:rsidRPr="00600703">
        <w:rPr>
          <w:lang w:val="en-US"/>
        </w:rPr>
        <w:t>ss.</w:t>
      </w:r>
      <w:r w:rsidR="00DA111D">
        <w:rPr>
          <w:lang w:val="en-US"/>
        </w:rPr>
        <w:t xml:space="preserve"> </w:t>
      </w:r>
      <w:r w:rsidR="0098759C" w:rsidRPr="00600703">
        <w:rPr>
          <w:lang w:val="en-US"/>
        </w:rPr>
        <w:t xml:space="preserve">249(3), </w:t>
      </w:r>
      <w:r w:rsidR="00FD372F" w:rsidRPr="00600703">
        <w:rPr>
          <w:lang w:val="en-US"/>
        </w:rPr>
        <w:t>264.1(1</w:t>
      </w:r>
      <w:proofErr w:type="gramStart"/>
      <w:r w:rsidR="00FD372F" w:rsidRPr="00600703">
        <w:rPr>
          <w:lang w:val="en-US"/>
        </w:rPr>
        <w:t>)(</w:t>
      </w:r>
      <w:proofErr w:type="gramEnd"/>
      <w:r w:rsidR="00FD372F" w:rsidRPr="00600703">
        <w:rPr>
          <w:i/>
          <w:lang w:val="en-US"/>
        </w:rPr>
        <w:t>a</w:t>
      </w:r>
      <w:r w:rsidR="00FD372F" w:rsidRPr="00600703">
        <w:rPr>
          <w:lang w:val="en-US"/>
        </w:rPr>
        <w:t xml:space="preserve">), </w:t>
      </w:r>
      <w:r w:rsidR="003F31ED" w:rsidRPr="00600703">
        <w:rPr>
          <w:lang w:val="en-US"/>
        </w:rPr>
        <w:t>(2)(</w:t>
      </w:r>
      <w:r w:rsidR="003F31ED" w:rsidRPr="00600703">
        <w:rPr>
          <w:i/>
          <w:lang w:val="en-US"/>
        </w:rPr>
        <w:t>a</w:t>
      </w:r>
      <w:r w:rsidR="00960B13" w:rsidRPr="00600703">
        <w:rPr>
          <w:lang w:val="en-US"/>
        </w:rPr>
        <w:t>),</w:t>
      </w:r>
      <w:r w:rsidR="00D82809" w:rsidRPr="00600703">
        <w:rPr>
          <w:lang w:val="en-US"/>
        </w:rPr>
        <w:t xml:space="preserve"> </w:t>
      </w:r>
      <w:r w:rsidR="00992BEF" w:rsidRPr="00600703">
        <w:rPr>
          <w:lang w:val="en-US"/>
        </w:rPr>
        <w:t>343</w:t>
      </w:r>
      <w:r w:rsidR="00B65680" w:rsidRPr="00600703">
        <w:rPr>
          <w:lang w:val="en-US"/>
        </w:rPr>
        <w:t xml:space="preserve">, </w:t>
      </w:r>
      <w:r w:rsidR="006D1A35" w:rsidRPr="00600703">
        <w:rPr>
          <w:lang w:val="en-US"/>
        </w:rPr>
        <w:t xml:space="preserve">344, </w:t>
      </w:r>
      <w:r w:rsidR="00305BCE" w:rsidRPr="00600703">
        <w:rPr>
          <w:lang w:val="en-US"/>
        </w:rPr>
        <w:t xml:space="preserve">742.1, </w:t>
      </w:r>
      <w:r w:rsidRPr="00600703">
        <w:rPr>
          <w:lang w:val="en-US"/>
        </w:rPr>
        <w:t>Part</w:t>
      </w:r>
      <w:r w:rsidR="00DA111D">
        <w:rPr>
          <w:lang w:val="en-US"/>
        </w:rPr>
        <w:t xml:space="preserve"> </w:t>
      </w:r>
      <w:r w:rsidRPr="00600703">
        <w:rPr>
          <w:lang w:val="en-US"/>
        </w:rPr>
        <w:t>XXIV, 752</w:t>
      </w:r>
      <w:r w:rsidR="00DA7864" w:rsidRPr="00600703">
        <w:rPr>
          <w:lang w:val="en-US"/>
        </w:rPr>
        <w:t xml:space="preserve"> “serious personal injury offence”</w:t>
      </w:r>
      <w:r w:rsidRPr="00600703">
        <w:rPr>
          <w:lang w:val="en-US"/>
        </w:rPr>
        <w:t>, 752.1</w:t>
      </w:r>
      <w:r w:rsidR="00960B13" w:rsidRPr="00600703">
        <w:rPr>
          <w:lang w:val="en-US"/>
        </w:rPr>
        <w:t>(1)</w:t>
      </w:r>
      <w:r w:rsidR="00C72F2E" w:rsidRPr="00600703">
        <w:rPr>
          <w:lang w:val="en-US"/>
        </w:rPr>
        <w:t>, 753, 753.1</w:t>
      </w:r>
      <w:r w:rsidR="00176FFC" w:rsidRPr="00600703">
        <w:rPr>
          <w:lang w:val="en-US"/>
        </w:rPr>
        <w:t>, 754(1)(</w:t>
      </w:r>
      <w:r w:rsidR="00176FFC" w:rsidRPr="00600703">
        <w:rPr>
          <w:i/>
          <w:lang w:val="en-US"/>
        </w:rPr>
        <w:t>a</w:t>
      </w:r>
      <w:r w:rsidR="00176FFC" w:rsidRPr="00600703">
        <w:rPr>
          <w:lang w:val="en-US"/>
        </w:rPr>
        <w:t>), (</w:t>
      </w:r>
      <w:r w:rsidR="00176FFC" w:rsidRPr="00600703">
        <w:rPr>
          <w:i/>
          <w:lang w:val="en-US"/>
        </w:rPr>
        <w:t>b</w:t>
      </w:r>
      <w:r w:rsidR="00176FFC" w:rsidRPr="00600703">
        <w:rPr>
          <w:lang w:val="en-US"/>
        </w:rPr>
        <w:t>)</w:t>
      </w:r>
      <w:r w:rsidRPr="00600703">
        <w:rPr>
          <w:lang w:val="en-US"/>
        </w:rPr>
        <w:t>.</w:t>
      </w:r>
    </w:p>
    <w:p w:rsidR="00960B13" w:rsidRPr="00600703" w:rsidRDefault="00960B13" w:rsidP="00DA111D">
      <w:pPr>
        <w:pStyle w:val="SCCNormalDoubleSpacing"/>
        <w:widowControl w:val="0"/>
        <w:spacing w:after="720" w:line="240" w:lineRule="auto"/>
        <w:ind w:left="547" w:hanging="547"/>
      </w:pPr>
      <w:r w:rsidRPr="00600703">
        <w:rPr>
          <w:i/>
          <w:lang w:val="en-US"/>
        </w:rPr>
        <w:t>Youth Criminal Justice Act</w:t>
      </w:r>
      <w:r w:rsidRPr="00600703">
        <w:rPr>
          <w:lang w:val="en-US"/>
        </w:rPr>
        <w:t xml:space="preserve">, S.C. 2002, </w:t>
      </w:r>
      <w:r w:rsidR="004E39D8" w:rsidRPr="00600703">
        <w:rPr>
          <w:lang w:val="en-US"/>
        </w:rPr>
        <w:t>c.</w:t>
      </w:r>
      <w:r w:rsidR="00DA111D">
        <w:rPr>
          <w:lang w:val="en-US"/>
        </w:rPr>
        <w:t xml:space="preserve"> </w:t>
      </w:r>
      <w:r w:rsidRPr="00600703">
        <w:rPr>
          <w:lang w:val="en-US"/>
        </w:rPr>
        <w:t xml:space="preserve">1, </w:t>
      </w:r>
      <w:r w:rsidR="004E39D8" w:rsidRPr="00600703">
        <w:rPr>
          <w:lang w:val="en-US"/>
        </w:rPr>
        <w:t>s.</w:t>
      </w:r>
      <w:r w:rsidR="00DA111D">
        <w:rPr>
          <w:lang w:val="en-US"/>
        </w:rPr>
        <w:t xml:space="preserve"> </w:t>
      </w:r>
      <w:r w:rsidRPr="00600703">
        <w:rPr>
          <w:lang w:val="en-US"/>
        </w:rPr>
        <w:t>39(1</w:t>
      </w:r>
      <w:proofErr w:type="gramStart"/>
      <w:r w:rsidRPr="00600703">
        <w:rPr>
          <w:lang w:val="en-US"/>
        </w:rPr>
        <w:t>)(</w:t>
      </w:r>
      <w:proofErr w:type="gramEnd"/>
      <w:r w:rsidRPr="00600703">
        <w:rPr>
          <w:i/>
          <w:lang w:val="en-US"/>
        </w:rPr>
        <w:t>a</w:t>
      </w:r>
      <w:r w:rsidRPr="00600703">
        <w:rPr>
          <w:lang w:val="en-US"/>
        </w:rPr>
        <w:t>).</w:t>
      </w:r>
    </w:p>
    <w:p w:rsidR="002E6705" w:rsidRPr="00600703" w:rsidRDefault="002E6705" w:rsidP="00DA111D">
      <w:pPr>
        <w:pStyle w:val="SCCNormalDoubleSpacing"/>
        <w:widowControl w:val="0"/>
        <w:spacing w:after="720" w:line="240" w:lineRule="auto"/>
        <w:rPr>
          <w:b/>
        </w:rPr>
      </w:pPr>
      <w:r w:rsidRPr="00600703">
        <w:rPr>
          <w:b/>
        </w:rPr>
        <w:t>Authors Cited</w:t>
      </w:r>
    </w:p>
    <w:p w:rsidR="00B21138" w:rsidRPr="00600703" w:rsidRDefault="00B21138" w:rsidP="00DA111D">
      <w:pPr>
        <w:pStyle w:val="SCCNormalDoubleSpacing"/>
        <w:widowControl w:val="0"/>
        <w:spacing w:after="240" w:line="240" w:lineRule="auto"/>
        <w:ind w:left="540" w:hanging="540"/>
      </w:pPr>
      <w:proofErr w:type="spellStart"/>
      <w:r w:rsidRPr="00600703">
        <w:t>Driedger</w:t>
      </w:r>
      <w:proofErr w:type="spellEnd"/>
      <w:r w:rsidRPr="00600703">
        <w:t>, Elmer</w:t>
      </w:r>
      <w:r w:rsidR="00DA111D">
        <w:t xml:space="preserve"> </w:t>
      </w:r>
      <w:r w:rsidRPr="00600703">
        <w:t xml:space="preserve">A.  </w:t>
      </w:r>
      <w:r w:rsidRPr="00600703">
        <w:rPr>
          <w:i/>
        </w:rPr>
        <w:t>Construction of Statutes</w:t>
      </w:r>
      <w:r w:rsidRPr="00600703">
        <w:t xml:space="preserve">, 2nd </w:t>
      </w:r>
      <w:proofErr w:type="gramStart"/>
      <w:r w:rsidRPr="00600703">
        <w:t>ed</w:t>
      </w:r>
      <w:proofErr w:type="gramEnd"/>
      <w:r w:rsidRPr="00600703">
        <w:t xml:space="preserve">.  Toronto:  </w:t>
      </w:r>
      <w:proofErr w:type="spellStart"/>
      <w:r w:rsidRPr="00600703">
        <w:t>Butterworths</w:t>
      </w:r>
      <w:proofErr w:type="spellEnd"/>
      <w:r w:rsidRPr="00600703">
        <w:t>, 1983.</w:t>
      </w:r>
    </w:p>
    <w:p w:rsidR="00B21138" w:rsidRPr="00383B2A" w:rsidRDefault="001D6DEA" w:rsidP="00DA111D">
      <w:pPr>
        <w:pStyle w:val="SCCNormalDoubleSpacing"/>
        <w:widowControl w:val="0"/>
        <w:tabs>
          <w:tab w:val="clear" w:pos="1168"/>
          <w:tab w:val="left" w:pos="4620"/>
        </w:tabs>
        <w:spacing w:after="240" w:line="240" w:lineRule="auto"/>
        <w:rPr>
          <w:lang w:val="fr-CA"/>
        </w:rPr>
      </w:pPr>
      <w:r w:rsidRPr="00600703">
        <w:rPr>
          <w:i/>
          <w:iCs/>
        </w:rPr>
        <w:t>Oxford English Dictionary</w:t>
      </w:r>
      <w:r w:rsidRPr="00600703">
        <w:t xml:space="preserve">, 2nd </w:t>
      </w:r>
      <w:proofErr w:type="gramStart"/>
      <w:r w:rsidRPr="00600703">
        <w:t>ed</w:t>
      </w:r>
      <w:proofErr w:type="gramEnd"/>
      <w:r w:rsidRPr="00600703">
        <w:t xml:space="preserve">.  </w:t>
      </w:r>
      <w:r w:rsidRPr="00383B2A">
        <w:rPr>
          <w:lang w:val="fr-CA"/>
        </w:rPr>
        <w:t>Oxford</w:t>
      </w:r>
      <w:proofErr w:type="gramStart"/>
      <w:r w:rsidRPr="00383B2A">
        <w:rPr>
          <w:lang w:val="fr-CA"/>
        </w:rPr>
        <w:t xml:space="preserve">:  </w:t>
      </w:r>
      <w:proofErr w:type="spellStart"/>
      <w:r w:rsidRPr="00383B2A">
        <w:rPr>
          <w:lang w:val="fr-CA"/>
        </w:rPr>
        <w:t>Clarendon</w:t>
      </w:r>
      <w:proofErr w:type="spellEnd"/>
      <w:proofErr w:type="gramEnd"/>
      <w:r w:rsidRPr="00383B2A">
        <w:rPr>
          <w:lang w:val="fr-CA"/>
        </w:rPr>
        <w:t xml:space="preserve"> Press, 1989, “violence”.</w:t>
      </w:r>
    </w:p>
    <w:p w:rsidR="00B647CE" w:rsidRPr="006944DE" w:rsidRDefault="00B647CE" w:rsidP="00DA111D">
      <w:pPr>
        <w:pStyle w:val="SCCNormalDoubleSpacing"/>
        <w:widowControl w:val="0"/>
        <w:spacing w:after="240" w:line="240" w:lineRule="auto"/>
        <w:ind w:left="540" w:hanging="540"/>
        <w:rPr>
          <w:i/>
          <w:lang w:val="en-US"/>
        </w:rPr>
      </w:pPr>
      <w:r w:rsidRPr="00600703">
        <w:rPr>
          <w:i/>
          <w:lang w:val="fr-CA"/>
        </w:rPr>
        <w:t>Petit</w:t>
      </w:r>
      <w:r w:rsidR="00383B2A">
        <w:rPr>
          <w:i/>
          <w:lang w:val="fr-CA"/>
        </w:rPr>
        <w:t xml:space="preserve"> Robert</w:t>
      </w:r>
      <w:proofErr w:type="gramStart"/>
      <w:r w:rsidR="00383B2A">
        <w:rPr>
          <w:i/>
          <w:lang w:val="fr-CA"/>
        </w:rPr>
        <w:t>:  dictionnaire</w:t>
      </w:r>
      <w:proofErr w:type="gramEnd"/>
      <w:r w:rsidR="00383B2A">
        <w:rPr>
          <w:i/>
          <w:lang w:val="fr-CA"/>
        </w:rPr>
        <w:t xml:space="preserve"> alphabét</w:t>
      </w:r>
      <w:r w:rsidRPr="00600703">
        <w:rPr>
          <w:i/>
          <w:lang w:val="fr-CA"/>
        </w:rPr>
        <w:t>ique et analogique de la langue française</w:t>
      </w:r>
      <w:r w:rsidRPr="00600703">
        <w:rPr>
          <w:lang w:val="fr-CA"/>
        </w:rPr>
        <w:t xml:space="preserve">, nouvelle éd.  </w:t>
      </w:r>
      <w:r w:rsidRPr="006944DE">
        <w:rPr>
          <w:lang w:val="en-US"/>
        </w:rPr>
        <w:t>Paris:  Le Robert, 2012, “</w:t>
      </w:r>
      <w:r w:rsidRPr="006944DE">
        <w:rPr>
          <w:i/>
          <w:lang w:val="en-US"/>
        </w:rPr>
        <w:t>violence</w:t>
      </w:r>
      <w:r w:rsidRPr="006944DE">
        <w:rPr>
          <w:lang w:val="en-US"/>
        </w:rPr>
        <w:t>”.</w:t>
      </w:r>
    </w:p>
    <w:p w:rsidR="009826C5" w:rsidRPr="00600703" w:rsidRDefault="009E4210" w:rsidP="00DA111D">
      <w:pPr>
        <w:pStyle w:val="SCCNormalDoubleSpacing"/>
        <w:widowControl w:val="0"/>
        <w:spacing w:after="240" w:line="240" w:lineRule="auto"/>
        <w:ind w:left="540" w:hanging="540"/>
      </w:pPr>
      <w:proofErr w:type="spellStart"/>
      <w:r w:rsidRPr="00600703">
        <w:t>Scassa</w:t>
      </w:r>
      <w:proofErr w:type="spellEnd"/>
      <w:r w:rsidRPr="00600703">
        <w:t xml:space="preserve">, Teresa.  “Violence </w:t>
      </w:r>
      <w:proofErr w:type="gramStart"/>
      <w:r w:rsidRPr="00600703">
        <w:t>Against</w:t>
      </w:r>
      <w:proofErr w:type="gramEnd"/>
      <w:r w:rsidRPr="00600703">
        <w:t xml:space="preserve"> Women in Law Schools” (1992), 30 </w:t>
      </w:r>
      <w:r w:rsidRPr="00600703">
        <w:rPr>
          <w:i/>
        </w:rPr>
        <w:t>Alta. L. Rev.</w:t>
      </w:r>
      <w:r w:rsidRPr="00600703">
        <w:t xml:space="preserve"> 809.</w:t>
      </w:r>
    </w:p>
    <w:p w:rsidR="009E4210" w:rsidRPr="00600703" w:rsidRDefault="00F1428E" w:rsidP="00DA111D">
      <w:pPr>
        <w:pStyle w:val="SCCNormalDoubleSpacing"/>
        <w:widowControl w:val="0"/>
        <w:spacing w:after="720" w:line="240" w:lineRule="auto"/>
        <w:ind w:left="547" w:hanging="547"/>
      </w:pPr>
      <w:r w:rsidRPr="00600703">
        <w:rPr>
          <w:bCs/>
          <w:szCs w:val="24"/>
        </w:rPr>
        <w:t xml:space="preserve">Sullivan, Ruth.  </w:t>
      </w:r>
      <w:r w:rsidRPr="00600703">
        <w:rPr>
          <w:bCs/>
          <w:i/>
          <w:szCs w:val="24"/>
        </w:rPr>
        <w:t>Sullivan on the Construction of Statutes</w:t>
      </w:r>
      <w:r w:rsidRPr="00600703">
        <w:rPr>
          <w:bCs/>
          <w:szCs w:val="24"/>
        </w:rPr>
        <w:t>, 5th</w:t>
      </w:r>
      <w:r w:rsidRPr="00600703">
        <w:rPr>
          <w:bCs/>
          <w:szCs w:val="24"/>
          <w:vertAlign w:val="superscript"/>
        </w:rPr>
        <w:t xml:space="preserve"> </w:t>
      </w:r>
      <w:proofErr w:type="gramStart"/>
      <w:r w:rsidRPr="00600703">
        <w:rPr>
          <w:bCs/>
          <w:szCs w:val="24"/>
        </w:rPr>
        <w:t>ed</w:t>
      </w:r>
      <w:proofErr w:type="gramEnd"/>
      <w:r w:rsidRPr="00600703">
        <w:rPr>
          <w:bCs/>
          <w:szCs w:val="24"/>
        </w:rPr>
        <w:t>.  Markham, Ont.:  LexisNexis, 2008.</w:t>
      </w:r>
    </w:p>
    <w:p w:rsidR="00656313" w:rsidRPr="00600703" w:rsidRDefault="008E2771" w:rsidP="00DA111D">
      <w:pPr>
        <w:pStyle w:val="SCCNormalDoubleSpacing"/>
        <w:widowControl w:val="0"/>
        <w:spacing w:before="480" w:after="480"/>
      </w:pPr>
      <w:r w:rsidRPr="00600703">
        <w:tab/>
      </w:r>
      <w:r w:rsidR="009B57B3" w:rsidRPr="00600703">
        <w:t xml:space="preserve">APPEAL from a judgment of the </w:t>
      </w:r>
      <w:r w:rsidRPr="00600703">
        <w:t xml:space="preserve">Manitoba </w:t>
      </w:r>
      <w:r w:rsidR="009B57B3" w:rsidRPr="00600703">
        <w:t>Court of Appeal</w:t>
      </w:r>
      <w:r w:rsidR="009702E8" w:rsidRPr="00600703">
        <w:t xml:space="preserve"> (Scott</w:t>
      </w:r>
      <w:r w:rsidR="00DA111D">
        <w:t xml:space="preserve"> </w:t>
      </w:r>
      <w:r w:rsidRPr="00600703">
        <w:t xml:space="preserve">C.J.M. and Beard and </w:t>
      </w:r>
      <w:proofErr w:type="spellStart"/>
      <w:r w:rsidRPr="00600703">
        <w:t>Monnin</w:t>
      </w:r>
      <w:proofErr w:type="spellEnd"/>
      <w:r w:rsidR="00DA111D">
        <w:t xml:space="preserve"> </w:t>
      </w:r>
      <w:r w:rsidRPr="00600703">
        <w:t xml:space="preserve">JJ.A.), 2013 MBCA 21, 288 Man. R. (2d) 304, 564 W.A.C. 304, [2013] 5 W.W.R. 635, [2013] M.J. </w:t>
      </w:r>
      <w:r w:rsidR="00892869" w:rsidRPr="00600703">
        <w:t>No.</w:t>
      </w:r>
      <w:r w:rsidR="00DA111D">
        <w:t xml:space="preserve"> </w:t>
      </w:r>
      <w:r w:rsidRPr="00600703">
        <w:t xml:space="preserve">77 (QL), 2013 </w:t>
      </w:r>
      <w:proofErr w:type="spellStart"/>
      <w:r w:rsidRPr="00600703">
        <w:t>CarswellMan</w:t>
      </w:r>
      <w:proofErr w:type="spellEnd"/>
      <w:r w:rsidRPr="00600703">
        <w:t xml:space="preserve"> 108, a</w:t>
      </w:r>
      <w:r w:rsidR="009702E8" w:rsidRPr="00600703">
        <w:t xml:space="preserve">ffirming a decision of </w:t>
      </w:r>
      <w:proofErr w:type="spellStart"/>
      <w:r w:rsidR="009702E8" w:rsidRPr="00600703">
        <w:t>McKelvey</w:t>
      </w:r>
      <w:proofErr w:type="spellEnd"/>
      <w:r w:rsidR="00DA111D">
        <w:t xml:space="preserve"> </w:t>
      </w:r>
      <w:r w:rsidRPr="00600703">
        <w:t xml:space="preserve">J., 2011 MBQB 181, 267 Man. R. (2d) 91, [2011] M.J. </w:t>
      </w:r>
      <w:r w:rsidR="00892869" w:rsidRPr="00600703">
        <w:t>No.</w:t>
      </w:r>
      <w:r w:rsidR="00DA111D">
        <w:t xml:space="preserve"> </w:t>
      </w:r>
      <w:r w:rsidRPr="00600703">
        <w:t xml:space="preserve">250 (QL), 2011 </w:t>
      </w:r>
      <w:proofErr w:type="spellStart"/>
      <w:r w:rsidRPr="00600703">
        <w:t>CarswellMan</w:t>
      </w:r>
      <w:proofErr w:type="spellEnd"/>
      <w:r w:rsidRPr="00600703">
        <w:t xml:space="preserve"> 403</w:t>
      </w:r>
      <w:r w:rsidR="00EF6A71" w:rsidRPr="00600703">
        <w:t>.  Appeal allowed</w:t>
      </w:r>
      <w:r w:rsidRPr="00600703">
        <w:t>.</w:t>
      </w:r>
    </w:p>
    <w:p w:rsidR="006A6CB2" w:rsidRPr="00600703" w:rsidRDefault="008E2771" w:rsidP="00DA111D">
      <w:pPr>
        <w:pStyle w:val="SCCNormalDoubleSpacing"/>
        <w:widowControl w:val="0"/>
        <w:spacing w:before="480" w:after="480"/>
      </w:pPr>
      <w:r w:rsidRPr="00600703">
        <w:rPr>
          <w:rStyle w:val="SCCCounselNameChar"/>
        </w:rPr>
        <w:tab/>
      </w:r>
      <w:proofErr w:type="gramStart"/>
      <w:r w:rsidRPr="00600703">
        <w:rPr>
          <w:rStyle w:val="SCCCounselNameChar"/>
        </w:rPr>
        <w:t xml:space="preserve">Ami </w:t>
      </w:r>
      <w:proofErr w:type="spellStart"/>
      <w:r w:rsidRPr="00600703">
        <w:rPr>
          <w:rStyle w:val="SCCCounselNameChar"/>
        </w:rPr>
        <w:t>Kotler</w:t>
      </w:r>
      <w:proofErr w:type="spellEnd"/>
      <w:r w:rsidRPr="00600703">
        <w:rPr>
          <w:rStyle w:val="SCCCounselSeparatorChar"/>
        </w:rPr>
        <w:t xml:space="preserve"> and </w:t>
      </w:r>
      <w:r w:rsidRPr="00600703">
        <w:rPr>
          <w:rStyle w:val="SCCCounselNameChar"/>
        </w:rPr>
        <w:t>Neil Steen</w:t>
      </w:r>
      <w:r w:rsidRPr="00600703">
        <w:rPr>
          <w:rStyle w:val="SCCCounselPartyRoleChar"/>
        </w:rPr>
        <w:t>, for the appellant.</w:t>
      </w:r>
      <w:proofErr w:type="gramEnd"/>
    </w:p>
    <w:p w:rsidR="006A6CB2" w:rsidRPr="00600703" w:rsidRDefault="008E2771" w:rsidP="00DA111D">
      <w:pPr>
        <w:pStyle w:val="SCCNormalDoubleSpacing"/>
        <w:widowControl w:val="0"/>
        <w:spacing w:before="480" w:after="480"/>
      </w:pPr>
      <w:r w:rsidRPr="00600703">
        <w:rPr>
          <w:rStyle w:val="SCCCounselNameChar"/>
        </w:rPr>
        <w:tab/>
      </w:r>
      <w:proofErr w:type="gramStart"/>
      <w:r w:rsidRPr="00600703">
        <w:rPr>
          <w:rStyle w:val="SCCCounselNameChar"/>
        </w:rPr>
        <w:t>J.</w:t>
      </w:r>
      <w:r w:rsidR="00DA111D">
        <w:rPr>
          <w:rStyle w:val="SCCCounselNameChar"/>
        </w:rPr>
        <w:t xml:space="preserve"> </w:t>
      </w:r>
      <w:r w:rsidRPr="00600703">
        <w:rPr>
          <w:rStyle w:val="SCCCounselNameChar"/>
        </w:rPr>
        <w:t>David</w:t>
      </w:r>
      <w:r w:rsidR="00DA111D">
        <w:rPr>
          <w:rStyle w:val="SCCCounselNameChar"/>
        </w:rPr>
        <w:t xml:space="preserve"> </w:t>
      </w:r>
      <w:r w:rsidRPr="00600703">
        <w:rPr>
          <w:rStyle w:val="SCCCounselNameChar"/>
        </w:rPr>
        <w:t xml:space="preserve">L. </w:t>
      </w:r>
      <w:proofErr w:type="spellStart"/>
      <w:r w:rsidRPr="00600703">
        <w:rPr>
          <w:rStyle w:val="SCCCounselNameChar"/>
        </w:rPr>
        <w:t>Soper</w:t>
      </w:r>
      <w:proofErr w:type="spellEnd"/>
      <w:r w:rsidRPr="00600703">
        <w:rPr>
          <w:rStyle w:val="SCCCounselSeparatorChar"/>
        </w:rPr>
        <w:t xml:space="preserve"> and </w:t>
      </w:r>
      <w:r w:rsidRPr="00600703">
        <w:rPr>
          <w:rStyle w:val="SCCCounselNameChar"/>
        </w:rPr>
        <w:t xml:space="preserve">Amanda </w:t>
      </w:r>
      <w:proofErr w:type="spellStart"/>
      <w:r w:rsidRPr="00600703">
        <w:rPr>
          <w:rStyle w:val="SCCCounselNameChar"/>
        </w:rPr>
        <w:t>Sansregret</w:t>
      </w:r>
      <w:proofErr w:type="spellEnd"/>
      <w:r w:rsidRPr="00600703">
        <w:rPr>
          <w:rStyle w:val="SCCCounselPartyRoleChar"/>
        </w:rPr>
        <w:t>, for the respondent.</w:t>
      </w:r>
      <w:proofErr w:type="gramEnd"/>
    </w:p>
    <w:p w:rsidR="006A6CB2" w:rsidRPr="00600703" w:rsidRDefault="008E2771" w:rsidP="00DA111D">
      <w:pPr>
        <w:pStyle w:val="SCCNormalDoubleSpacing"/>
        <w:widowControl w:val="0"/>
        <w:spacing w:before="480" w:after="480"/>
      </w:pPr>
      <w:r w:rsidRPr="00600703">
        <w:rPr>
          <w:rStyle w:val="SCCCounselNameChar"/>
        </w:rPr>
        <w:lastRenderedPageBreak/>
        <w:tab/>
      </w:r>
      <w:proofErr w:type="gramStart"/>
      <w:r w:rsidRPr="00600703">
        <w:rPr>
          <w:rStyle w:val="SCCCounselNameChar"/>
        </w:rPr>
        <w:t>Jeffrey</w:t>
      </w:r>
      <w:r w:rsidR="00DA111D">
        <w:rPr>
          <w:rStyle w:val="SCCCounselNameChar"/>
        </w:rPr>
        <w:t xml:space="preserve"> </w:t>
      </w:r>
      <w:r w:rsidRPr="00600703">
        <w:rPr>
          <w:rStyle w:val="SCCCounselNameChar"/>
        </w:rPr>
        <w:t>G. Johnston</w:t>
      </w:r>
      <w:r w:rsidRPr="00600703">
        <w:rPr>
          <w:rStyle w:val="SCCCounselPartyRoleChar"/>
        </w:rPr>
        <w:t>, for the intervener the Attorney General of Canada.</w:t>
      </w:r>
      <w:proofErr w:type="gramEnd"/>
    </w:p>
    <w:p w:rsidR="006A6CB2" w:rsidRPr="00600703" w:rsidRDefault="008E2771" w:rsidP="00DA111D">
      <w:pPr>
        <w:pStyle w:val="SCCNormalDoubleSpacing"/>
        <w:widowControl w:val="0"/>
        <w:spacing w:before="480" w:after="480"/>
      </w:pPr>
      <w:r w:rsidRPr="00600703">
        <w:rPr>
          <w:rStyle w:val="SCCCounselNameChar"/>
        </w:rPr>
        <w:tab/>
      </w:r>
      <w:proofErr w:type="gramStart"/>
      <w:r w:rsidRPr="00600703">
        <w:rPr>
          <w:rStyle w:val="SCCCounselNameChar"/>
        </w:rPr>
        <w:t>Leslie Paine</w:t>
      </w:r>
      <w:r w:rsidRPr="00600703">
        <w:rPr>
          <w:rStyle w:val="SCCCounselSeparatorChar"/>
        </w:rPr>
        <w:t xml:space="preserve"> and </w:t>
      </w:r>
      <w:r w:rsidRPr="00600703">
        <w:rPr>
          <w:rStyle w:val="SCCCounselNameChar"/>
        </w:rPr>
        <w:t>Michelle Campbell</w:t>
      </w:r>
      <w:r w:rsidRPr="00600703">
        <w:rPr>
          <w:rStyle w:val="SCCCounselPartyRoleChar"/>
        </w:rPr>
        <w:t>, for the intervener the Attorney General of Ontario.</w:t>
      </w:r>
      <w:proofErr w:type="gramEnd"/>
    </w:p>
    <w:p w:rsidR="00DA111D" w:rsidRDefault="00EA78EB" w:rsidP="00DA111D">
      <w:pPr>
        <w:pStyle w:val="SCCNormalDoubleSpacing"/>
        <w:widowControl w:val="0"/>
        <w:spacing w:before="480" w:after="480"/>
      </w:pPr>
      <w:r>
        <w:tab/>
        <w:t>The judgment of the Court was delivered by</w:t>
      </w:r>
    </w:p>
    <w:p w:rsidR="00DA111D" w:rsidRPr="00A54D93" w:rsidRDefault="00DA111D" w:rsidP="00DA111D">
      <w:pPr>
        <w:pStyle w:val="JudgeJuge"/>
        <w:widowControl w:val="0"/>
      </w:pPr>
      <w:r w:rsidRPr="00A54D93">
        <w:tab/>
      </w:r>
      <w:proofErr w:type="gramStart"/>
      <w:r w:rsidRPr="00A54D93">
        <w:t>Wagner J. —</w:t>
      </w:r>
      <w:proofErr w:type="gramEnd"/>
      <w:r w:rsidRPr="00A54D93">
        <w:t xml:space="preserve"> </w:t>
      </w:r>
    </w:p>
    <w:p w:rsidR="00DA111D" w:rsidRPr="00A54D93" w:rsidRDefault="00DA111D" w:rsidP="00DA111D">
      <w:pPr>
        <w:pStyle w:val="Title1LevelTitre1Niveau-AltL"/>
        <w:widowControl w:val="0"/>
        <w:rPr>
          <w:rFonts w:cs="Times New Roman"/>
        </w:rPr>
      </w:pPr>
      <w:r w:rsidRPr="00A54D93">
        <w:rPr>
          <w:rFonts w:cs="Times New Roman"/>
        </w:rPr>
        <w:t>Introduction</w:t>
      </w:r>
    </w:p>
    <w:p w:rsidR="00DA111D" w:rsidRPr="00A54D93" w:rsidRDefault="00DA111D" w:rsidP="00DA111D">
      <w:pPr>
        <w:pStyle w:val="ParaNoNdepar-AltN"/>
        <w:widowControl w:val="0"/>
        <w:rPr>
          <w:rFonts w:cs="Times New Roman"/>
        </w:rPr>
      </w:pPr>
      <w:r w:rsidRPr="00A54D93">
        <w:rPr>
          <w:rFonts w:cs="Times New Roman"/>
        </w:rPr>
        <w:t xml:space="preserve">Indeterminate detention and long-term supervision under Part XXIV of the </w:t>
      </w:r>
      <w:r w:rsidRPr="00A54D93">
        <w:rPr>
          <w:rFonts w:cs="Times New Roman"/>
          <w:i/>
        </w:rPr>
        <w:t>Criminal Code</w:t>
      </w:r>
      <w:r w:rsidRPr="00A54D93">
        <w:rPr>
          <w:rFonts w:cs="Times New Roman"/>
        </w:rPr>
        <w:t xml:space="preserve">, R.S.C. 1985, c. C-46, are exceptional sentences in our criminal justice system. They are reserved for individuals who pose an ongoing threat to the public and accordingly merit enhanced sentences on preventive grounds. Part XXIV outlines the process by which an offender may be designated as a dangerous offender or a long-term offender and be sentenced accordingly. Before either of these designations can be made, a number of conditions must be met. One such condition is that the offence that forms the basis for the dangerous offender or long-term offender application must be a “serious personal injury offence” as defined in s. 752 of the </w:t>
      </w:r>
      <w:r w:rsidRPr="00A54D93">
        <w:rPr>
          <w:rFonts w:cs="Times New Roman"/>
          <w:i/>
        </w:rPr>
        <w:t xml:space="preserve">Criminal Code. </w:t>
      </w:r>
    </w:p>
    <w:p w:rsidR="00DA111D" w:rsidRPr="00A54D93" w:rsidRDefault="00DA111D" w:rsidP="00DA111D">
      <w:pPr>
        <w:pStyle w:val="ParaNoNdepar-AltN"/>
        <w:widowControl w:val="0"/>
        <w:rPr>
          <w:rFonts w:cs="Times New Roman"/>
        </w:rPr>
      </w:pPr>
      <w:r w:rsidRPr="00A54D93">
        <w:rPr>
          <w:rFonts w:cs="Times New Roman"/>
        </w:rPr>
        <w:t xml:space="preserve">The term “serious personal injury offence” means, </w:t>
      </w:r>
      <w:r w:rsidRPr="00A54D93">
        <w:rPr>
          <w:rFonts w:cs="Times New Roman"/>
          <w:i/>
        </w:rPr>
        <w:t>inter alia</w:t>
      </w:r>
      <w:r w:rsidRPr="00A54D93">
        <w:rPr>
          <w:rFonts w:cs="Times New Roman"/>
        </w:rPr>
        <w:t xml:space="preserve">, an indictable offence involving “the use or attempted use of violence against another </w:t>
      </w:r>
      <w:r w:rsidRPr="00A54D93">
        <w:rPr>
          <w:rFonts w:cs="Times New Roman"/>
        </w:rPr>
        <w:lastRenderedPageBreak/>
        <w:t xml:space="preserve">person” for which the offender may be sentenced to imprisonment for 10 years or more: s. 752,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“serious personal injury offence”</w:t>
      </w:r>
      <w:r w:rsidR="009371DE">
        <w:rPr>
          <w:rFonts w:cs="Times New Roman"/>
        </w:rPr>
        <w:t xml:space="preserve"> </w:t>
      </w:r>
      <w:r w:rsidR="009371DE" w:rsidRPr="00A54D93">
        <w:rPr>
          <w:rFonts w:cs="Times New Roman"/>
        </w:rPr>
        <w:t>(“SPIO”)</w:t>
      </w:r>
      <w:r w:rsidRPr="00A54D93">
        <w:rPr>
          <w:rFonts w:cs="Times New Roman"/>
        </w:rPr>
        <w:t xml:space="preserve">. On application by a prosecutor, where an individual has been convicted of such an offence, and if the court finds that there are reasonable grounds to believe that the individual might be found to be a dangerous offender or a long-term offender, the court must remand the individual for a psychological assessment: s. 752.1(1). This assessment then forms the basis for an application for a finding that the individual is a dangerous offender or a long-term offender. </w:t>
      </w:r>
    </w:p>
    <w:p w:rsidR="00DA111D" w:rsidRPr="00A54D93" w:rsidRDefault="00DA111D" w:rsidP="00DA111D">
      <w:pPr>
        <w:pStyle w:val="ParaNoNdepar-AltN"/>
        <w:widowControl w:val="0"/>
        <w:rPr>
          <w:rFonts w:cs="Times New Roman"/>
        </w:rPr>
      </w:pPr>
      <w:r w:rsidRPr="00A54D93">
        <w:rPr>
          <w:rFonts w:cs="Times New Roman"/>
        </w:rPr>
        <w:t>This case concerns the scope of the definition of an SPIO and, consequently, the threshold for entry into the dangerous and long-term offender system. The offender, Mr. Steele, robbed a drugstore, telling the cashiers that he had a gun. There is no evidence that he actually had a gun or that physical force was used. Mr. Steele was convicted of robbery under s. 343(</w:t>
      </w:r>
      <w:r w:rsidRPr="00A54D93">
        <w:rPr>
          <w:rFonts w:cs="Times New Roman"/>
          <w:i/>
        </w:rPr>
        <w:t>a</w:t>
      </w:r>
      <w:r w:rsidRPr="00A54D93">
        <w:rPr>
          <w:rFonts w:cs="Times New Roman"/>
        </w:rPr>
        <w:t xml:space="preserve">) of the </w:t>
      </w:r>
      <w:r w:rsidRPr="00A54D93">
        <w:rPr>
          <w:rFonts w:cs="Times New Roman"/>
          <w:i/>
        </w:rPr>
        <w:t xml:space="preserve">Criminal Code </w:t>
      </w:r>
      <w:r w:rsidRPr="00A54D93">
        <w:rPr>
          <w:rFonts w:cs="Times New Roman"/>
        </w:rPr>
        <w:t>on the basis that he had “use[d</w:t>
      </w:r>
      <w:proofErr w:type="gramStart"/>
      <w:r w:rsidRPr="00A54D93">
        <w:rPr>
          <w:rFonts w:cs="Times New Roman"/>
        </w:rPr>
        <w:t xml:space="preserve">] </w:t>
      </w:r>
      <w:r>
        <w:rPr>
          <w:rFonts w:cs="Times New Roman"/>
        </w:rPr>
        <w:t>.</w:t>
      </w:r>
      <w:proofErr w:type="gramEnd"/>
      <w:r>
        <w:rPr>
          <w:rFonts w:cs="Times New Roman"/>
        </w:rPr>
        <w:t> . .</w:t>
      </w:r>
      <w:r w:rsidRPr="00A54D93">
        <w:rPr>
          <w:rFonts w:cs="Times New Roman"/>
        </w:rPr>
        <w:t xml:space="preserve"> threats of violence to a person”. The Crown, viewing this as an SPIO, gave notice of its intention to apply to the court to remand Mr. Steele for assessment pursuant to s. 752.1(1)</w:t>
      </w:r>
      <w:r w:rsidRPr="00A54D93">
        <w:rPr>
          <w:rFonts w:cs="Times New Roman"/>
          <w:i/>
        </w:rPr>
        <w:t xml:space="preserve">. </w:t>
      </w:r>
      <w:r w:rsidRPr="00A54D93">
        <w:rPr>
          <w:rFonts w:cs="Times New Roman"/>
        </w:rPr>
        <w:t xml:space="preserve">Mr. Steele’s offence clearly meets two of the requirements of the definition of an SPIO referred to above: robbery is an indictable offence for which the offender may be sentenced to imprisonment for 10 years or more (see s. 344). The question is whether the offence — which involved threats of violence to a person, but no physical force — meets the other requirement of that definition: that of involving “the use or attempted use of violence against another person”. </w:t>
      </w:r>
    </w:p>
    <w:p w:rsidR="00DA111D" w:rsidRPr="00A54D93" w:rsidRDefault="00DA111D" w:rsidP="00DA111D">
      <w:pPr>
        <w:pStyle w:val="ParaNoNdepar-AltN"/>
        <w:widowControl w:val="0"/>
        <w:rPr>
          <w:rFonts w:cs="Times New Roman"/>
        </w:rPr>
      </w:pPr>
      <w:r w:rsidRPr="00A54D93">
        <w:rPr>
          <w:rFonts w:cs="Times New Roman"/>
        </w:rPr>
        <w:lastRenderedPageBreak/>
        <w:t xml:space="preserve">Both the trial judge and the Court of Appeal answered this question in the negative. They found, in essence, that a threat of violence does not on its own constitute “the use or attempted use of violence”. For the reasons that follow, I respectfully disagree. </w:t>
      </w:r>
    </w:p>
    <w:p w:rsidR="00DA111D" w:rsidRPr="00A54D93" w:rsidRDefault="00DA111D" w:rsidP="00DA111D">
      <w:pPr>
        <w:pStyle w:val="ParaNoNdepar-AltN"/>
        <w:widowControl w:val="0"/>
        <w:rPr>
          <w:rFonts w:cs="Times New Roman"/>
        </w:rPr>
      </w:pPr>
      <w:r w:rsidRPr="00A54D93">
        <w:rPr>
          <w:rFonts w:cs="Times New Roman"/>
        </w:rPr>
        <w:t>A threat of violence that suffices to ground a conviction for robbery under s. 343(</w:t>
      </w:r>
      <w:r w:rsidRPr="00A54D93">
        <w:rPr>
          <w:rFonts w:cs="Times New Roman"/>
          <w:i/>
        </w:rPr>
        <w:t>a</w:t>
      </w:r>
      <w:r w:rsidRPr="00A54D93">
        <w:rPr>
          <w:rFonts w:cs="Times New Roman"/>
        </w:rPr>
        <w:t xml:space="preserve">) does indeed constitute the use of violence against another person within the meaning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set out in s. 752. By threatening to harm his victims while committing robbery, Mr. Steele used violence against them. Since the other requirements of the definition are clearly met, his offence qualifies as an SPIO. </w:t>
      </w:r>
    </w:p>
    <w:p w:rsidR="00DA111D" w:rsidRPr="00A54D93" w:rsidRDefault="00DA111D" w:rsidP="00DA111D">
      <w:pPr>
        <w:pStyle w:val="ParaNoNdepar-AltN"/>
        <w:widowControl w:val="0"/>
        <w:rPr>
          <w:rFonts w:cs="Times New Roman"/>
        </w:rPr>
      </w:pPr>
      <w:r w:rsidRPr="00A54D93">
        <w:rPr>
          <w:rFonts w:cs="Times New Roman"/>
        </w:rPr>
        <w:t xml:space="preserve">In the result, I would allow the Crown’s appeal. The other requirements for the Crown’s application for remand for an assessment have not been contested, which means that all the requirements are met. I would therefore grant the application and order that Mr. Steele be remanded for assessment pursuant to s. 752.1(1) of the </w:t>
      </w:r>
      <w:r w:rsidRPr="00A54D93">
        <w:rPr>
          <w:rFonts w:cs="Times New Roman"/>
          <w:i/>
        </w:rPr>
        <w:t>Criminal Code</w:t>
      </w:r>
      <w:r w:rsidRPr="00A54D93">
        <w:rPr>
          <w:rFonts w:cs="Times New Roman"/>
        </w:rPr>
        <w:t xml:space="preserve">. </w:t>
      </w:r>
    </w:p>
    <w:p w:rsidR="00DA111D" w:rsidRPr="00A54D93" w:rsidRDefault="00DA111D" w:rsidP="00DA111D">
      <w:pPr>
        <w:pStyle w:val="Title1LevelTitre1Niveau-AltL"/>
        <w:widowControl w:val="0"/>
        <w:rPr>
          <w:rFonts w:cs="Times New Roman"/>
        </w:rPr>
      </w:pPr>
      <w:r w:rsidRPr="00A54D93">
        <w:rPr>
          <w:rFonts w:cs="Times New Roman"/>
        </w:rPr>
        <w:t>Relevant Statutory Provisions</w:t>
      </w:r>
    </w:p>
    <w:p w:rsidR="00DA111D" w:rsidRPr="00A54D93" w:rsidRDefault="00DA111D" w:rsidP="00DA111D">
      <w:pPr>
        <w:pStyle w:val="ParaNoNdepar-AltN"/>
        <w:widowControl w:val="0"/>
        <w:rPr>
          <w:rFonts w:cs="Times New Roman"/>
        </w:rPr>
      </w:pPr>
      <w:r w:rsidRPr="00A54D93">
        <w:rPr>
          <w:rFonts w:cs="Times New Roman"/>
        </w:rPr>
        <w:t xml:space="preserve">The dispute over the definition of an SPIO arises in the context of the Crown’s application for remand for an assessment, which is a step that must be taken before applying for a finding that an offender is a dangerous offender or a long-term offender: </w:t>
      </w:r>
    </w:p>
    <w:p w:rsidR="00DA111D" w:rsidRPr="00A54D93" w:rsidRDefault="00DA111D" w:rsidP="00DA111D">
      <w:pPr>
        <w:pStyle w:val="Citation-AltC"/>
        <w:widowControl w:val="0"/>
        <w:ind w:firstLine="274"/>
      </w:pPr>
      <w:r w:rsidRPr="00A54D93">
        <w:rPr>
          <w:rStyle w:val="sectionlabel"/>
        </w:rPr>
        <w:lastRenderedPageBreak/>
        <w:t>752.1</w:t>
      </w:r>
      <w:r>
        <w:t xml:space="preserve"> </w:t>
      </w:r>
      <w:r w:rsidRPr="00A54D93">
        <w:t>(1)</w:t>
      </w:r>
      <w:r w:rsidRPr="00DA111D">
        <w:t xml:space="preserve"> [</w:t>
      </w:r>
      <w:r w:rsidRPr="00DA111D">
        <w:rPr>
          <w:rStyle w:val="sectionlabel"/>
          <w:b w:val="0"/>
        </w:rPr>
        <w:t>Application for remand for assessment</w:t>
      </w:r>
      <w:r w:rsidRPr="00DA111D">
        <w:t xml:space="preserve">] </w:t>
      </w:r>
      <w:r w:rsidRPr="00A54D93">
        <w:t xml:space="preserve">On application by the prosecutor, if the court is of the opinion that there are reasonable grounds to believe that an </w:t>
      </w:r>
      <w:r w:rsidRPr="00A54D93">
        <w:rPr>
          <w:u w:val="single"/>
        </w:rPr>
        <w:t>offender who is convicted of a serious personal injury offence</w:t>
      </w:r>
      <w:r w:rsidRPr="00A54D93">
        <w:t xml:space="preserve"> or an offence referred to in paragraph 753.1(2)(</w:t>
      </w:r>
      <w:r w:rsidRPr="00A54D93">
        <w:rPr>
          <w:rStyle w:val="Emphasis"/>
        </w:rPr>
        <w:t>a</w:t>
      </w:r>
      <w:r w:rsidRPr="00A54D93">
        <w:t>) might be found to be a dangerous offender under section 753 or a long-term offender under section 753.1, the court shall, by order in writing, before sentence is imposed, remand the offender, for a period not exceeding 60 days, to the custody of a person designated by the court who can perform an assessment or have an assessment performed by experts for use as evidence in an application under section 753 or 753.1.</w:t>
      </w:r>
    </w:p>
    <w:p w:rsidR="00DA111D" w:rsidRPr="00A54D93" w:rsidRDefault="00DA111D" w:rsidP="00DA111D">
      <w:pPr>
        <w:pStyle w:val="ParaNoNdepar-AltN"/>
        <w:widowControl w:val="0"/>
        <w:rPr>
          <w:rFonts w:cs="Times New Roman"/>
        </w:rPr>
      </w:pPr>
      <w:r w:rsidRPr="00A54D93">
        <w:rPr>
          <w:rFonts w:cs="Times New Roman"/>
        </w:rPr>
        <w:t>The requirements of the definition of an SPIO must be met both at the stage of the application for an assessment (s. 752.1(1)) and, subsequently, at that of the application for a finding that the offender is a dangerous offender (s. 753(1)). The definition reads as follows:</w:t>
      </w:r>
    </w:p>
    <w:p w:rsidR="00DA111D" w:rsidRPr="00A54D93" w:rsidRDefault="00DA111D" w:rsidP="00DA111D">
      <w:pPr>
        <w:pStyle w:val="Citation-AltC"/>
        <w:widowControl w:val="0"/>
        <w:ind w:firstLine="274"/>
      </w:pPr>
      <w:r w:rsidRPr="00A54D93">
        <w:rPr>
          <w:b/>
        </w:rPr>
        <w:t>752.</w:t>
      </w:r>
      <w:r w:rsidRPr="00A54D93">
        <w:t xml:space="preserve"> [Definitions] In this Part,</w:t>
      </w:r>
    </w:p>
    <w:p w:rsidR="00DA111D" w:rsidRPr="00A54D93" w:rsidRDefault="00DA111D" w:rsidP="00DA111D">
      <w:pPr>
        <w:pStyle w:val="Citation-AltC"/>
        <w:widowControl w:val="0"/>
        <w:jc w:val="center"/>
      </w:pPr>
      <w:r>
        <w:t>. . .</w:t>
      </w:r>
    </w:p>
    <w:p w:rsidR="00DA111D" w:rsidRPr="00A54D93" w:rsidRDefault="00DA111D" w:rsidP="00DA111D">
      <w:pPr>
        <w:pStyle w:val="Citation-AltC"/>
        <w:widowControl w:val="0"/>
      </w:pPr>
    </w:p>
    <w:p w:rsidR="00DA111D" w:rsidRPr="00A54D93" w:rsidRDefault="00DA111D" w:rsidP="00DA111D">
      <w:pPr>
        <w:pStyle w:val="Citation-AltC"/>
        <w:widowControl w:val="0"/>
      </w:pPr>
      <w:r w:rsidRPr="00A54D93">
        <w:rPr>
          <w:rStyle w:val="HTMLDefinition"/>
        </w:rPr>
        <w:t>“</w:t>
      </w:r>
      <w:proofErr w:type="gramStart"/>
      <w:r w:rsidRPr="00A54D93">
        <w:rPr>
          <w:rStyle w:val="HTMLDefinition"/>
        </w:rPr>
        <w:t>serious</w:t>
      </w:r>
      <w:proofErr w:type="gramEnd"/>
      <w:r w:rsidRPr="00A54D93">
        <w:rPr>
          <w:rStyle w:val="HTMLDefinition"/>
        </w:rPr>
        <w:t xml:space="preserve"> personal injury offence”</w:t>
      </w:r>
      <w:r w:rsidRPr="00A54D93">
        <w:t xml:space="preserve"> means</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r w:rsidRPr="00A54D93">
        <w:t>(</w:t>
      </w:r>
      <w:r w:rsidRPr="00A54D93">
        <w:rPr>
          <w:rStyle w:val="Emphasis"/>
        </w:rPr>
        <w:t>a</w:t>
      </w:r>
      <w:r w:rsidRPr="00A54D93">
        <w:t>)</w:t>
      </w:r>
      <w:r w:rsidR="002E724E">
        <w:tab/>
      </w:r>
      <w:proofErr w:type="gramStart"/>
      <w:r w:rsidRPr="00A54D93">
        <w:t>an</w:t>
      </w:r>
      <w:proofErr w:type="gramEnd"/>
      <w:r w:rsidRPr="00A54D93">
        <w:t xml:space="preserve"> indictable offence, other than high treason, treason, first degree murder or second degree murder, involving</w:t>
      </w:r>
    </w:p>
    <w:p w:rsidR="00DA111D" w:rsidRPr="00A54D93" w:rsidRDefault="00DA111D" w:rsidP="00DA111D">
      <w:pPr>
        <w:pStyle w:val="Citation-AltC"/>
        <w:widowControl w:val="0"/>
        <w:ind w:left="1440"/>
      </w:pPr>
    </w:p>
    <w:p w:rsidR="00DA111D" w:rsidRPr="00A54D93" w:rsidRDefault="00DA111D" w:rsidP="00DA111D">
      <w:pPr>
        <w:pStyle w:val="Citation-AltC"/>
        <w:widowControl w:val="0"/>
        <w:ind w:left="2160"/>
      </w:pPr>
      <w:r w:rsidRPr="00A54D93">
        <w:t>(</w:t>
      </w:r>
      <w:proofErr w:type="spellStart"/>
      <w:r w:rsidRPr="00A54D93">
        <w:t>i</w:t>
      </w:r>
      <w:proofErr w:type="spellEnd"/>
      <w:r w:rsidRPr="00A54D93">
        <w:t>)</w:t>
      </w:r>
      <w:r>
        <w:t xml:space="preserve"> </w:t>
      </w:r>
      <w:proofErr w:type="gramStart"/>
      <w:r w:rsidRPr="00A54D93">
        <w:rPr>
          <w:u w:val="single"/>
        </w:rPr>
        <w:t>the</w:t>
      </w:r>
      <w:proofErr w:type="gramEnd"/>
      <w:r w:rsidRPr="00A54D93">
        <w:rPr>
          <w:u w:val="single"/>
        </w:rPr>
        <w:t xml:space="preserve"> use or attempted use of violence against another person</w:t>
      </w:r>
      <w:r w:rsidRPr="00A54D93">
        <w:t>, or</w:t>
      </w:r>
    </w:p>
    <w:p w:rsidR="00DA111D" w:rsidRPr="00A54D93" w:rsidRDefault="00DA111D" w:rsidP="00DA111D">
      <w:pPr>
        <w:pStyle w:val="Citation-AltC"/>
        <w:widowControl w:val="0"/>
        <w:ind w:left="1440"/>
      </w:pPr>
    </w:p>
    <w:p w:rsidR="00DA111D" w:rsidRPr="00A54D93" w:rsidRDefault="00DA111D" w:rsidP="00DA111D">
      <w:pPr>
        <w:pStyle w:val="Citation-AltC"/>
        <w:widowControl w:val="0"/>
        <w:ind w:left="2160"/>
      </w:pPr>
      <w:r w:rsidRPr="00A54D93">
        <w:t>(ii)</w:t>
      </w:r>
      <w:r>
        <w:t xml:space="preserve"> </w:t>
      </w:r>
      <w:proofErr w:type="gramStart"/>
      <w:r w:rsidRPr="00A54D93">
        <w:t>conduct</w:t>
      </w:r>
      <w:proofErr w:type="gramEnd"/>
      <w:r w:rsidRPr="00A54D93">
        <w:t xml:space="preserve"> endangering or likely to endanger the life or safety of another person or inflicting or likely to inflict severe psychological damage on another person,</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proofErr w:type="gramStart"/>
      <w:r w:rsidRPr="00A54D93">
        <w:t>and</w:t>
      </w:r>
      <w:proofErr w:type="gramEnd"/>
      <w:r w:rsidRPr="00A54D93">
        <w:t xml:space="preserve"> for which the offender may be sentenced to imprisonment for ten years or more, or</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r w:rsidRPr="00A54D93">
        <w:t>(</w:t>
      </w:r>
      <w:r w:rsidRPr="00A54D93">
        <w:rPr>
          <w:rStyle w:val="Emphasis"/>
        </w:rPr>
        <w:t>b</w:t>
      </w:r>
      <w:r w:rsidR="002E724E" w:rsidRPr="002E724E">
        <w:rPr>
          <w:rStyle w:val="Emphasis"/>
          <w:i w:val="0"/>
        </w:rPr>
        <w:t>)</w:t>
      </w:r>
      <w:r w:rsidR="002E724E">
        <w:tab/>
      </w:r>
      <w:r>
        <w:t xml:space="preserve"> </w:t>
      </w:r>
      <w:proofErr w:type="gramStart"/>
      <w:r w:rsidRPr="00A54D93">
        <w:t>an</w:t>
      </w:r>
      <w:proofErr w:type="gramEnd"/>
      <w:r w:rsidRPr="00A54D93">
        <w:t xml:space="preserve"> offence or attempt to commit an offence mentioned in section 271 (sexual assault), 272 (sexual assault with a weapon, threats to a third party or causing bodily harm) or 273 (aggravated sexual assault).</w:t>
      </w:r>
    </w:p>
    <w:p w:rsidR="00DA111D" w:rsidRPr="00A54D93" w:rsidRDefault="00DA111D" w:rsidP="00DA111D">
      <w:pPr>
        <w:pStyle w:val="ParaNoNdepar-AltN"/>
        <w:widowControl w:val="0"/>
        <w:rPr>
          <w:rFonts w:cs="Times New Roman"/>
        </w:rPr>
      </w:pPr>
      <w:r w:rsidRPr="00A54D93">
        <w:rPr>
          <w:rFonts w:cs="Times New Roman"/>
        </w:rPr>
        <w:lastRenderedPageBreak/>
        <w:t>The offence of robbery under s. 343 encompasses a number of different acts. Section 343 reads as follows:</w:t>
      </w:r>
    </w:p>
    <w:p w:rsidR="00DA111D" w:rsidRPr="00A54D93" w:rsidRDefault="00DA111D" w:rsidP="002E724E">
      <w:pPr>
        <w:pStyle w:val="Citation-AltC"/>
        <w:widowControl w:val="0"/>
        <w:ind w:left="1436" w:firstLine="274"/>
      </w:pPr>
      <w:r w:rsidRPr="00A54D93">
        <w:rPr>
          <w:rStyle w:val="sectionlabel"/>
        </w:rPr>
        <w:t>343.</w:t>
      </w:r>
      <w:r>
        <w:t xml:space="preserve"> </w:t>
      </w:r>
      <w:r w:rsidRPr="00A54D93">
        <w:t>[Robbery] Every one commits robbery who</w:t>
      </w:r>
    </w:p>
    <w:p w:rsidR="00DA111D" w:rsidRPr="00A54D93" w:rsidRDefault="00DA111D" w:rsidP="00DA111D">
      <w:pPr>
        <w:pStyle w:val="Citation-AltC"/>
        <w:widowControl w:val="0"/>
      </w:pPr>
    </w:p>
    <w:p w:rsidR="00DA111D" w:rsidRPr="00A54D93" w:rsidRDefault="00DA111D" w:rsidP="00DA111D">
      <w:pPr>
        <w:pStyle w:val="Citation-AltC"/>
        <w:widowControl w:val="0"/>
        <w:ind w:left="1710" w:firstLine="4"/>
      </w:pPr>
      <w:r w:rsidRPr="00A54D93">
        <w:t>(</w:t>
      </w:r>
      <w:r w:rsidRPr="00A54D93">
        <w:rPr>
          <w:rStyle w:val="Emphasis"/>
        </w:rPr>
        <w:t>a</w:t>
      </w:r>
      <w:r w:rsidRPr="00A54D93">
        <w:t>)</w:t>
      </w:r>
      <w:r>
        <w:t xml:space="preserve"> </w:t>
      </w:r>
      <w:proofErr w:type="gramStart"/>
      <w:r w:rsidRPr="00A54D93">
        <w:t>steals</w:t>
      </w:r>
      <w:proofErr w:type="gramEnd"/>
      <w:r w:rsidRPr="00A54D93">
        <w:t xml:space="preserve">, and for the purpose of extorting whatever is stolen or to prevent or overcome resistance to the stealing, </w:t>
      </w:r>
      <w:r w:rsidRPr="00A54D93">
        <w:rPr>
          <w:u w:val="single"/>
        </w:rPr>
        <w:t>uses violence or threats of violence to a person or property</w:t>
      </w:r>
      <w:r w:rsidRPr="00A54D93">
        <w:t>;</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r w:rsidRPr="00A54D93">
        <w:t>(</w:t>
      </w:r>
      <w:r w:rsidRPr="00A54D93">
        <w:rPr>
          <w:rStyle w:val="Emphasis"/>
        </w:rPr>
        <w:t>b</w:t>
      </w:r>
      <w:r w:rsidRPr="00A54D93">
        <w:t>)</w:t>
      </w:r>
      <w:r>
        <w:t xml:space="preserve"> </w:t>
      </w:r>
      <w:r w:rsidRPr="00A54D93">
        <w:t>steals from any person and, at the time he steals or immediately before or immediately thereafter, wounds, beats, strikes or uses any personal violence to that person;</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r w:rsidRPr="00A54D93">
        <w:t>(</w:t>
      </w:r>
      <w:r w:rsidRPr="00A54D93">
        <w:rPr>
          <w:rStyle w:val="Emphasis"/>
        </w:rPr>
        <w:t>c</w:t>
      </w:r>
      <w:r w:rsidRPr="00A54D93">
        <w:t>)</w:t>
      </w:r>
      <w:r>
        <w:t xml:space="preserve"> </w:t>
      </w:r>
      <w:proofErr w:type="gramStart"/>
      <w:r w:rsidRPr="00A54D93">
        <w:t>assaults</w:t>
      </w:r>
      <w:proofErr w:type="gramEnd"/>
      <w:r w:rsidRPr="00A54D93">
        <w:t xml:space="preserve"> any person with intent to steal from him; or</w:t>
      </w:r>
    </w:p>
    <w:p w:rsidR="00DA111D" w:rsidRPr="00A54D93" w:rsidRDefault="00DA111D" w:rsidP="00DA111D">
      <w:pPr>
        <w:pStyle w:val="Citation-AltC"/>
        <w:widowControl w:val="0"/>
      </w:pPr>
    </w:p>
    <w:p w:rsidR="00DA111D" w:rsidRPr="00A54D93" w:rsidRDefault="00DA111D" w:rsidP="00DA111D">
      <w:pPr>
        <w:pStyle w:val="Citation-AltC"/>
        <w:widowControl w:val="0"/>
        <w:ind w:left="1710"/>
      </w:pPr>
      <w:r w:rsidRPr="00A54D93">
        <w:t>(</w:t>
      </w:r>
      <w:r w:rsidRPr="00A54D93">
        <w:rPr>
          <w:rStyle w:val="Emphasis"/>
        </w:rPr>
        <w:t>d</w:t>
      </w:r>
      <w:r w:rsidRPr="00A54D93">
        <w:t>)</w:t>
      </w:r>
      <w:r>
        <w:t xml:space="preserve"> </w:t>
      </w:r>
      <w:proofErr w:type="gramStart"/>
      <w:r w:rsidRPr="00A54D93">
        <w:t>steals</w:t>
      </w:r>
      <w:proofErr w:type="gramEnd"/>
      <w:r w:rsidRPr="00A54D93">
        <w:t xml:space="preserve"> from any person while armed with an offensive weapon or imitation thereof.</w:t>
      </w:r>
    </w:p>
    <w:p w:rsidR="00DA111D" w:rsidRPr="00A54D93" w:rsidRDefault="00DA111D" w:rsidP="00DA111D">
      <w:pPr>
        <w:pStyle w:val="Title1LevelTitre1Niveau-AltL"/>
        <w:widowControl w:val="0"/>
        <w:rPr>
          <w:rFonts w:cs="Times New Roman"/>
        </w:rPr>
      </w:pPr>
      <w:r w:rsidRPr="00A54D93">
        <w:rPr>
          <w:rFonts w:cs="Times New Roman"/>
        </w:rPr>
        <w:t>Background</w:t>
      </w:r>
    </w:p>
    <w:p w:rsidR="00DA111D" w:rsidRPr="00A54D93" w:rsidRDefault="00DA111D" w:rsidP="00DA111D">
      <w:pPr>
        <w:pStyle w:val="ParaNoNdepar-AltN"/>
        <w:widowControl w:val="0"/>
        <w:rPr>
          <w:rFonts w:cs="Times New Roman"/>
        </w:rPr>
      </w:pPr>
      <w:r w:rsidRPr="00A54D93">
        <w:rPr>
          <w:rFonts w:cs="Times New Roman"/>
        </w:rPr>
        <w:t xml:space="preserve">The key facts are not in dispute. At approximately 1:35 p.m. on May 28, 2010, Mr. Steele entered a drugstore with his face concealed by a tightly drawn </w:t>
      </w:r>
      <w:proofErr w:type="spellStart"/>
      <w:r w:rsidRPr="00A54D93">
        <w:rPr>
          <w:rFonts w:cs="Times New Roman"/>
        </w:rPr>
        <w:t>hoodie</w:t>
      </w:r>
      <w:proofErr w:type="spellEnd"/>
      <w:r w:rsidRPr="00A54D93">
        <w:rPr>
          <w:rFonts w:cs="Times New Roman"/>
        </w:rPr>
        <w:t xml:space="preserve">, as could be seen on a surveillance videotape. He approached the checkout counter and said something like, “Give me the money. It’s a robbery. I have a gun”. The cashier was unable to open the register and requested the assistance of another cashier, who opened it and positioned the cash tray so that Mr. Steele could reach it.  Mr. Steele left the store approximately one minute and ten seconds after entering it. He was at the checkout counter for 39 seconds. </w:t>
      </w:r>
    </w:p>
    <w:p w:rsidR="00DA111D" w:rsidRPr="00A54D93" w:rsidRDefault="00DA111D" w:rsidP="00DA111D">
      <w:pPr>
        <w:pStyle w:val="ParaNoNdepar-AltN"/>
        <w:widowControl w:val="0"/>
        <w:rPr>
          <w:rFonts w:cs="Times New Roman"/>
        </w:rPr>
      </w:pPr>
      <w:r w:rsidRPr="00A54D93">
        <w:rPr>
          <w:rFonts w:cs="Times New Roman"/>
        </w:rPr>
        <w:t xml:space="preserve">No weapon was seen in Mr. Steele’s possession either inside or outside the store. No one was injured. One of the cashiers testified that she had been scared </w:t>
      </w:r>
      <w:r w:rsidRPr="00A54D93">
        <w:rPr>
          <w:rFonts w:cs="Times New Roman"/>
        </w:rPr>
        <w:lastRenderedPageBreak/>
        <w:t xml:space="preserve">during the robbery, while the other described her reaction as one of shock. </w:t>
      </w:r>
    </w:p>
    <w:p w:rsidR="00DA111D" w:rsidRPr="00A54D93" w:rsidRDefault="00DA111D" w:rsidP="00DA111D">
      <w:pPr>
        <w:pStyle w:val="ParaNoNdepar-AltN"/>
        <w:widowControl w:val="0"/>
        <w:rPr>
          <w:rFonts w:cs="Times New Roman"/>
        </w:rPr>
      </w:pPr>
      <w:r w:rsidRPr="00A54D93">
        <w:rPr>
          <w:rFonts w:cs="Times New Roman"/>
        </w:rPr>
        <w:t xml:space="preserve">Mr. Steele was convicted of robbery, disguise with intent and failure to comply with a probation order: 2011 MBQB 67. The Crown then applied to the court to remand him for assessment pursuant to s. 752.1(1) of the </w:t>
      </w:r>
      <w:r w:rsidRPr="00A54D93">
        <w:rPr>
          <w:rFonts w:cs="Times New Roman"/>
          <w:i/>
        </w:rPr>
        <w:t>Criminal Code</w:t>
      </w:r>
      <w:r w:rsidRPr="00A54D93">
        <w:rPr>
          <w:rFonts w:cs="Times New Roman"/>
        </w:rPr>
        <w:t>.</w:t>
      </w:r>
      <w:r>
        <w:rPr>
          <w:rFonts w:cs="Times New Roman"/>
        </w:rPr>
        <w:t xml:space="preserve"> </w:t>
      </w:r>
      <w:r w:rsidRPr="00A54D93">
        <w:rPr>
          <w:rFonts w:cs="Times New Roman"/>
        </w:rPr>
        <w:t xml:space="preserve"> </w:t>
      </w:r>
    </w:p>
    <w:p w:rsidR="00DA111D" w:rsidRPr="00A54D93" w:rsidRDefault="00DA111D" w:rsidP="00DA111D">
      <w:pPr>
        <w:pStyle w:val="Title2LevelTitre2Niveau"/>
        <w:widowControl w:val="0"/>
        <w:rPr>
          <w:rFonts w:cs="Times New Roman"/>
        </w:rPr>
      </w:pPr>
      <w:r w:rsidRPr="00A54D93">
        <w:rPr>
          <w:rFonts w:cs="Times New Roman"/>
        </w:rPr>
        <w:t>Manitoba Court of Queen’s Bench, 2011 MBQB 181, 267 Man. R. (2d) 91</w:t>
      </w:r>
    </w:p>
    <w:p w:rsidR="00DA111D" w:rsidRPr="00A54D93" w:rsidRDefault="00DA111D" w:rsidP="00DA111D">
      <w:pPr>
        <w:pStyle w:val="ParaNoNdepar-AltN"/>
        <w:widowControl w:val="0"/>
        <w:rPr>
          <w:rFonts w:cs="Times New Roman"/>
        </w:rPr>
      </w:pPr>
      <w:proofErr w:type="spellStart"/>
      <w:r w:rsidRPr="00A54D93">
        <w:rPr>
          <w:rFonts w:cs="Times New Roman"/>
        </w:rPr>
        <w:t>McKelvey</w:t>
      </w:r>
      <w:proofErr w:type="spellEnd"/>
      <w:r w:rsidRPr="00A54D93">
        <w:rPr>
          <w:rFonts w:cs="Times New Roman"/>
        </w:rPr>
        <w:t xml:space="preserve"> J. denied the Crown’s application. She began her analysis by noting that the legislature has not specified that robbery is an SPIO, as it has done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with respect to certain sexually based offences. She then said that there was no evidence that Mr. Steele’s conduct had endangered or been likely to endanger the lives or safety of the cashiers or that severe psychological damage had been inflicted on them within the meaning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of</w:t>
      </w:r>
      <w:proofErr w:type="gramEnd"/>
      <w:r w:rsidRPr="00A54D93">
        <w:rPr>
          <w:rFonts w:cs="Times New Roman"/>
        </w:rPr>
        <w:t xml:space="preserve"> the definition. The case therefore turned on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Did Mr. Steele’s conduct involve the use or attempted use of violence against the cashiers?</w:t>
      </w:r>
    </w:p>
    <w:p w:rsidR="00DA111D" w:rsidRPr="00A54D93" w:rsidRDefault="00DA111D" w:rsidP="00DA111D">
      <w:pPr>
        <w:pStyle w:val="ParaNoNdepar-AltN"/>
        <w:widowControl w:val="0"/>
        <w:rPr>
          <w:rFonts w:cs="Times New Roman"/>
        </w:rPr>
      </w:pPr>
      <w:r w:rsidRPr="00A54D93">
        <w:rPr>
          <w:rFonts w:cs="Times New Roman"/>
        </w:rPr>
        <w:t xml:space="preserve">On this question, </w:t>
      </w:r>
      <w:proofErr w:type="spellStart"/>
      <w:r w:rsidRPr="00A54D93">
        <w:rPr>
          <w:rFonts w:cs="Times New Roman"/>
        </w:rPr>
        <w:t>McKelvey</w:t>
      </w:r>
      <w:proofErr w:type="spellEnd"/>
      <w:r w:rsidRPr="00A54D93">
        <w:rPr>
          <w:rFonts w:cs="Times New Roman"/>
        </w:rPr>
        <w:t xml:space="preserve"> J. acknowledged two lines of authority. According to the first, that of </w:t>
      </w:r>
      <w:r w:rsidRPr="00A54D93">
        <w:rPr>
          <w:rFonts w:cs="Times New Roman"/>
          <w:i/>
        </w:rPr>
        <w:t xml:space="preserve">R. v. </w:t>
      </w:r>
      <w:proofErr w:type="spellStart"/>
      <w:r w:rsidRPr="00A54D93">
        <w:rPr>
          <w:rFonts w:cs="Times New Roman"/>
          <w:i/>
        </w:rPr>
        <w:t>Neve</w:t>
      </w:r>
      <w:proofErr w:type="spellEnd"/>
      <w:r w:rsidRPr="00A54D93">
        <w:rPr>
          <w:rFonts w:cs="Times New Roman"/>
        </w:rPr>
        <w:t>, 1999 ABCA 206, 71 Alta. L.R. (3d) 92, the “use or attempted use of violence” threshold requires that the violence be “objectively serious” (</w:t>
      </w:r>
      <w:proofErr w:type="spellStart"/>
      <w:r w:rsidRPr="00A54D93">
        <w:rPr>
          <w:rFonts w:cs="Times New Roman"/>
        </w:rPr>
        <w:t>para</w:t>
      </w:r>
      <w:proofErr w:type="spellEnd"/>
      <w:r w:rsidRPr="00A54D93">
        <w:rPr>
          <w:rFonts w:cs="Times New Roman"/>
        </w:rPr>
        <w:t xml:space="preserve">. 76). The second, that of </w:t>
      </w:r>
      <w:r w:rsidRPr="00A54D93">
        <w:rPr>
          <w:rFonts w:cs="Times New Roman"/>
          <w:i/>
        </w:rPr>
        <w:t xml:space="preserve">R. v. </w:t>
      </w:r>
      <w:proofErr w:type="spellStart"/>
      <w:r w:rsidRPr="00A54D93">
        <w:rPr>
          <w:rFonts w:cs="Times New Roman"/>
          <w:i/>
        </w:rPr>
        <w:t>Goforth</w:t>
      </w:r>
      <w:proofErr w:type="spellEnd"/>
      <w:r w:rsidRPr="00A54D93">
        <w:rPr>
          <w:rFonts w:cs="Times New Roman"/>
        </w:rPr>
        <w:t xml:space="preserve">, 2005 SKCA 12, 257 Sask. R. 123, and </w:t>
      </w:r>
      <w:r w:rsidRPr="00A54D93">
        <w:rPr>
          <w:rFonts w:cs="Times New Roman"/>
          <w:i/>
        </w:rPr>
        <w:t xml:space="preserve">R. v. </w:t>
      </w:r>
      <w:proofErr w:type="spellStart"/>
      <w:r w:rsidRPr="00A54D93">
        <w:rPr>
          <w:rFonts w:cs="Times New Roman"/>
          <w:i/>
        </w:rPr>
        <w:t>Lebar</w:t>
      </w:r>
      <w:proofErr w:type="spellEnd"/>
      <w:r w:rsidRPr="00A54D93">
        <w:rPr>
          <w:rFonts w:cs="Times New Roman"/>
        </w:rPr>
        <w:t xml:space="preserve">, 2010 ONCA 220, 101 O.R. (3d) 263, rejects this requirement. </w:t>
      </w:r>
      <w:proofErr w:type="spellStart"/>
      <w:r w:rsidRPr="00A54D93">
        <w:rPr>
          <w:rFonts w:cs="Times New Roman"/>
        </w:rPr>
        <w:t>McKelvey</w:t>
      </w:r>
      <w:proofErr w:type="spellEnd"/>
      <w:r w:rsidRPr="00A54D93">
        <w:rPr>
          <w:rFonts w:cs="Times New Roman"/>
        </w:rPr>
        <w:t xml:space="preserve"> J. noted (at </w:t>
      </w:r>
      <w:proofErr w:type="spellStart"/>
      <w:r w:rsidRPr="00A54D93">
        <w:rPr>
          <w:rFonts w:cs="Times New Roman"/>
        </w:rPr>
        <w:t>para</w:t>
      </w:r>
      <w:proofErr w:type="spellEnd"/>
      <w:r w:rsidRPr="00A54D93">
        <w:rPr>
          <w:rFonts w:cs="Times New Roman"/>
        </w:rPr>
        <w:t xml:space="preserve">. 11) that “[t]he case law is trending towards an acceptance of [the latter approach]”, according to which the expression “use or attempted use of </w:t>
      </w:r>
      <w:r w:rsidRPr="00A54D93">
        <w:rPr>
          <w:rFonts w:cs="Times New Roman"/>
        </w:rPr>
        <w:lastRenderedPageBreak/>
        <w:t xml:space="preserve">violence” encompasses all violent conduct irrespective of how serious it is. </w:t>
      </w:r>
    </w:p>
    <w:p w:rsidR="00DA111D" w:rsidRPr="00A54D93" w:rsidRDefault="00DA111D" w:rsidP="00DA111D">
      <w:pPr>
        <w:pStyle w:val="ParaNoNdepar-AltN"/>
        <w:widowControl w:val="0"/>
        <w:rPr>
          <w:rFonts w:cs="Times New Roman"/>
        </w:rPr>
      </w:pPr>
      <w:proofErr w:type="spellStart"/>
      <w:r w:rsidRPr="00A54D93">
        <w:rPr>
          <w:rFonts w:cs="Times New Roman"/>
        </w:rPr>
        <w:t>McKelvey</w:t>
      </w:r>
      <w:proofErr w:type="spellEnd"/>
      <w:r w:rsidRPr="00A54D93">
        <w:rPr>
          <w:rFonts w:cs="Times New Roman"/>
        </w:rPr>
        <w:t xml:space="preserve"> J. nevertheless found that the “implied threat of violence” (</w:t>
      </w:r>
      <w:proofErr w:type="spellStart"/>
      <w:r w:rsidRPr="00A54D93">
        <w:rPr>
          <w:rFonts w:cs="Times New Roman"/>
        </w:rPr>
        <w:t>para</w:t>
      </w:r>
      <w:proofErr w:type="spellEnd"/>
      <w:r w:rsidRPr="00A54D93">
        <w:rPr>
          <w:rFonts w:cs="Times New Roman"/>
        </w:rPr>
        <w:t xml:space="preserve">. 28) in the case at bar fell short of the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threshold</w:t>
      </w:r>
      <w:proofErr w:type="gramEnd"/>
      <w:r w:rsidRPr="00A54D93">
        <w:rPr>
          <w:rFonts w:cs="Times New Roman"/>
        </w:rPr>
        <w:t xml:space="preserve">. She noted that no one had been injured. Although Mr. Steele’s hands were in his pockets when he uttered the threat, he had done nothing that could be likened to pulling out a weapon. </w:t>
      </w:r>
      <w:proofErr w:type="spellStart"/>
      <w:r w:rsidRPr="00A54D93">
        <w:rPr>
          <w:rFonts w:cs="Times New Roman"/>
        </w:rPr>
        <w:t>McKelvey</w:t>
      </w:r>
      <w:proofErr w:type="spellEnd"/>
      <w:r w:rsidRPr="00A54D93">
        <w:rPr>
          <w:rFonts w:cs="Times New Roman"/>
        </w:rPr>
        <w:t xml:space="preserve"> J. accepted that the two cashiers had experienced shock and fear as a result of Mr. Steele’s actions, but nevertheless concluded that those actions had not constituted the use or attempted use of violence. In reaching this conclusion, she relied on the reasoning of other courts that had found that similar threats of violence failed to meet the SPIO threshold:  e.g., </w:t>
      </w:r>
      <w:r w:rsidRPr="00A54D93">
        <w:rPr>
          <w:rFonts w:cs="Times New Roman"/>
          <w:i/>
        </w:rPr>
        <w:t>R. v. Thompson</w:t>
      </w:r>
      <w:r w:rsidRPr="00A54D93">
        <w:rPr>
          <w:rFonts w:cs="Times New Roman"/>
        </w:rPr>
        <w:t>, 2009 ONCJ 359 (</w:t>
      </w:r>
      <w:proofErr w:type="spellStart"/>
      <w:r w:rsidRPr="00A54D93">
        <w:rPr>
          <w:rFonts w:cs="Times New Roman"/>
        </w:rPr>
        <w:t>CanLII</w:t>
      </w:r>
      <w:proofErr w:type="spellEnd"/>
      <w:r w:rsidRPr="00A54D93">
        <w:rPr>
          <w:rFonts w:cs="Times New Roman"/>
        </w:rPr>
        <w:t xml:space="preserve">); </w:t>
      </w:r>
      <w:r w:rsidRPr="00A54D93">
        <w:rPr>
          <w:rFonts w:cs="Times New Roman"/>
          <w:i/>
        </w:rPr>
        <w:t>R. v. Roy</w:t>
      </w:r>
      <w:r w:rsidRPr="00A54D93">
        <w:rPr>
          <w:rFonts w:cs="Times New Roman"/>
        </w:rPr>
        <w:t xml:space="preserve">, 2008 SKCA 41, 307 Sask. R. 276; </w:t>
      </w:r>
      <w:r w:rsidRPr="00A54D93">
        <w:rPr>
          <w:rFonts w:cs="Times New Roman"/>
          <w:i/>
        </w:rPr>
        <w:t>R. v. Jolicoeur</w:t>
      </w:r>
      <w:r w:rsidRPr="00A54D93">
        <w:rPr>
          <w:rFonts w:cs="Times New Roman"/>
        </w:rPr>
        <w:t xml:space="preserve">, 2011 MBQB 129, 265 Man. R. (2d) 225. </w:t>
      </w:r>
    </w:p>
    <w:p w:rsidR="00DA111D" w:rsidRPr="00A54D93" w:rsidRDefault="00DA111D" w:rsidP="002E724E">
      <w:pPr>
        <w:pStyle w:val="Title2LevelTitre2Niveau"/>
        <w:widowControl w:val="0"/>
        <w:jc w:val="both"/>
        <w:rPr>
          <w:rFonts w:cs="Times New Roman"/>
        </w:rPr>
      </w:pPr>
      <w:r w:rsidRPr="00A54D93">
        <w:rPr>
          <w:rFonts w:cs="Times New Roman"/>
        </w:rPr>
        <w:t xml:space="preserve">Manitoba Court of Appeal, 2013 MBCA 21, 288 Man. R. (2d) 304 (per Scott C.J.M. and Beard and </w:t>
      </w:r>
      <w:proofErr w:type="spellStart"/>
      <w:r w:rsidRPr="00A54D93">
        <w:rPr>
          <w:rFonts w:cs="Times New Roman"/>
        </w:rPr>
        <w:t>Monnin</w:t>
      </w:r>
      <w:proofErr w:type="spellEnd"/>
      <w:r w:rsidRPr="00A54D93">
        <w:rPr>
          <w:rFonts w:cs="Times New Roman"/>
        </w:rPr>
        <w:t xml:space="preserve"> JJ.A.)</w:t>
      </w:r>
    </w:p>
    <w:p w:rsidR="00DA111D" w:rsidRPr="00A54D93" w:rsidRDefault="00DA111D" w:rsidP="00DA111D">
      <w:pPr>
        <w:pStyle w:val="ParaNoNdepar-AltN"/>
        <w:widowControl w:val="0"/>
        <w:rPr>
          <w:rFonts w:cs="Times New Roman"/>
        </w:rPr>
      </w:pPr>
      <w:r w:rsidRPr="00A54D93">
        <w:rPr>
          <w:rFonts w:cs="Times New Roman"/>
        </w:rPr>
        <w:t xml:space="preserve">The Manitoba Court of Appeal, </w:t>
      </w:r>
      <w:r w:rsidRPr="00A54D93">
        <w:rPr>
          <w:rFonts w:cs="Times New Roman"/>
          <w:i/>
        </w:rPr>
        <w:t>per</w:t>
      </w:r>
      <w:r w:rsidRPr="00A54D93">
        <w:rPr>
          <w:rFonts w:cs="Times New Roman"/>
        </w:rPr>
        <w:t xml:space="preserve"> Scott C.J.M., unanimously upheld </w:t>
      </w:r>
      <w:proofErr w:type="spellStart"/>
      <w:r w:rsidRPr="00A54D93">
        <w:rPr>
          <w:rFonts w:cs="Times New Roman"/>
        </w:rPr>
        <w:t>McKelvey</w:t>
      </w:r>
      <w:proofErr w:type="spellEnd"/>
      <w:r w:rsidRPr="00A54D93">
        <w:rPr>
          <w:rFonts w:cs="Times New Roman"/>
        </w:rPr>
        <w:t xml:space="preserve"> J.’s decision. The definition of robbery in s. 343(</w:t>
      </w:r>
      <w:r w:rsidRPr="00A54D93">
        <w:rPr>
          <w:rFonts w:cs="Times New Roman"/>
          <w:i/>
        </w:rPr>
        <w:t>a</w:t>
      </w:r>
      <w:r w:rsidRPr="00A54D93">
        <w:rPr>
          <w:rFonts w:cs="Times New Roman"/>
        </w:rPr>
        <w:t>) refers to a person who “uses violence” or “</w:t>
      </w:r>
      <w:proofErr w:type="gramStart"/>
      <w:r w:rsidRPr="00A54D93">
        <w:rPr>
          <w:rFonts w:cs="Times New Roman"/>
        </w:rPr>
        <w:t xml:space="preserve">uses </w:t>
      </w:r>
      <w:r>
        <w:rPr>
          <w:rFonts w:cs="Times New Roman"/>
        </w:rPr>
        <w:t>.</w:t>
      </w:r>
      <w:proofErr w:type="gramEnd"/>
      <w:r>
        <w:rPr>
          <w:rFonts w:cs="Times New Roman"/>
        </w:rPr>
        <w:t> . .</w:t>
      </w:r>
      <w:r w:rsidRPr="00A54D93">
        <w:rPr>
          <w:rFonts w:cs="Times New Roman"/>
        </w:rPr>
        <w:t xml:space="preserve"> threats of violence”, whereas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 s. 752 refers to the “use </w:t>
      </w:r>
      <w:r>
        <w:rPr>
          <w:rFonts w:cs="Times New Roman"/>
        </w:rPr>
        <w:t>. . .</w:t>
      </w:r>
      <w:r w:rsidRPr="00A54D93">
        <w:rPr>
          <w:rFonts w:cs="Times New Roman"/>
        </w:rPr>
        <w:t xml:space="preserve"> of violence” or the “attempted use of violence”. Scott C.J.M. reasoned that these differences in language imply that not all robberies involve the use or attempted use of violence. He discussed </w:t>
      </w:r>
      <w:r w:rsidRPr="00A54D93">
        <w:rPr>
          <w:rFonts w:cs="Times New Roman"/>
          <w:i/>
        </w:rPr>
        <w:t>R. v. C.D.</w:t>
      </w:r>
      <w:r w:rsidRPr="00A54D93">
        <w:rPr>
          <w:rFonts w:cs="Times New Roman"/>
        </w:rPr>
        <w:t>, 2005 SCC 78, [2005] 3 S.C.R. 668, in which this Court had adopted a definition of the expression “violent offence” as used in</w:t>
      </w:r>
      <w:r w:rsidR="002E724E">
        <w:rPr>
          <w:rFonts w:cs="Times New Roman"/>
        </w:rPr>
        <w:t xml:space="preserve"> s. 39(1)(</w:t>
      </w:r>
      <w:r w:rsidR="002E724E" w:rsidRPr="002E724E">
        <w:rPr>
          <w:rFonts w:cs="Times New Roman"/>
          <w:i/>
        </w:rPr>
        <w:t>a</w:t>
      </w:r>
      <w:r w:rsidR="002E724E">
        <w:rPr>
          <w:rFonts w:cs="Times New Roman"/>
        </w:rPr>
        <w:t>) of</w:t>
      </w:r>
      <w:r w:rsidRPr="00A54D93">
        <w:rPr>
          <w:rFonts w:cs="Times New Roman"/>
        </w:rPr>
        <w:t xml:space="preserve"> the </w:t>
      </w:r>
      <w:r w:rsidRPr="00A54D93">
        <w:rPr>
          <w:rFonts w:cs="Times New Roman"/>
          <w:i/>
        </w:rPr>
        <w:t xml:space="preserve">Youth Criminal </w:t>
      </w:r>
      <w:r w:rsidRPr="00A54D93">
        <w:rPr>
          <w:rFonts w:cs="Times New Roman"/>
          <w:i/>
        </w:rPr>
        <w:lastRenderedPageBreak/>
        <w:t>Justice Act</w:t>
      </w:r>
      <w:r w:rsidRPr="00A54D93">
        <w:rPr>
          <w:rFonts w:cs="Times New Roman"/>
        </w:rPr>
        <w:t>, S.C. 2002, c. 1 (“</w:t>
      </w:r>
      <w:r w:rsidRPr="00A54D93">
        <w:rPr>
          <w:rFonts w:cs="Times New Roman"/>
          <w:i/>
        </w:rPr>
        <w:t>YCJA</w:t>
      </w:r>
      <w:r w:rsidRPr="00A54D93">
        <w:rPr>
          <w:rFonts w:cs="Times New Roman"/>
        </w:rPr>
        <w:t>”),</w:t>
      </w:r>
      <w:r w:rsidRPr="00A54D93">
        <w:rPr>
          <w:rFonts w:cs="Times New Roman"/>
          <w:i/>
        </w:rPr>
        <w:t xml:space="preserve"> </w:t>
      </w:r>
      <w:r w:rsidRPr="00A54D93">
        <w:rPr>
          <w:rFonts w:cs="Times New Roman"/>
        </w:rPr>
        <w:t>that included threats to cause bodily harm, but found that that case should be distinguished. In his opinion, the fact that s. 343(</w:t>
      </w:r>
      <w:r w:rsidRPr="00A54D93">
        <w:rPr>
          <w:rFonts w:cs="Times New Roman"/>
          <w:i/>
        </w:rPr>
        <w:t>a</w:t>
      </w:r>
      <w:r w:rsidRPr="00A54D93">
        <w:rPr>
          <w:rFonts w:cs="Times New Roman"/>
        </w:rPr>
        <w:t xml:space="preserve">) refers to the use of both violence and threats of violence means that there must be some difference between the two. </w:t>
      </w:r>
    </w:p>
    <w:p w:rsidR="00DA111D" w:rsidRPr="00A54D93" w:rsidRDefault="00DA111D" w:rsidP="00DA111D">
      <w:pPr>
        <w:pStyle w:val="ParaNoNdepar-AltN"/>
        <w:widowControl w:val="0"/>
        <w:rPr>
          <w:rFonts w:cs="Times New Roman"/>
        </w:rPr>
      </w:pPr>
      <w:r w:rsidRPr="00A54D93">
        <w:rPr>
          <w:rFonts w:cs="Times New Roman"/>
        </w:rPr>
        <w:t>After surveying the various types of threats that might support a robbery conviction under s. 343(</w:t>
      </w:r>
      <w:r w:rsidRPr="00A54D93">
        <w:rPr>
          <w:rFonts w:cs="Times New Roman"/>
          <w:i/>
        </w:rPr>
        <w:t>a</w:t>
      </w:r>
      <w:r w:rsidRPr="00A54D93">
        <w:rPr>
          <w:rFonts w:cs="Times New Roman"/>
        </w:rPr>
        <w:t xml:space="preserve">), Scott C.J.M. noted that whether or not violence was used or attempted is a factual </w:t>
      </w:r>
      <w:proofErr w:type="gramStart"/>
      <w:r w:rsidRPr="00A54D93">
        <w:rPr>
          <w:rFonts w:cs="Times New Roman"/>
        </w:rPr>
        <w:t>determination,</w:t>
      </w:r>
      <w:proofErr w:type="gramEnd"/>
      <w:r w:rsidRPr="00A54D93">
        <w:rPr>
          <w:rFonts w:cs="Times New Roman"/>
        </w:rPr>
        <w:t xml:space="preserve"> and a matter for the trial judge. He agreed with </w:t>
      </w:r>
      <w:proofErr w:type="spellStart"/>
      <w:r w:rsidRPr="00A54D93">
        <w:rPr>
          <w:rFonts w:cs="Times New Roman"/>
        </w:rPr>
        <w:t>McKelvey</w:t>
      </w:r>
      <w:proofErr w:type="spellEnd"/>
      <w:r w:rsidRPr="00A54D93">
        <w:rPr>
          <w:rFonts w:cs="Times New Roman"/>
        </w:rPr>
        <w:t xml:space="preserve"> J. in endorsing the holding in </w:t>
      </w:r>
      <w:proofErr w:type="spellStart"/>
      <w:r w:rsidRPr="00A54D93">
        <w:rPr>
          <w:rFonts w:cs="Times New Roman"/>
          <w:i/>
        </w:rPr>
        <w:t>Goforth</w:t>
      </w:r>
      <w:proofErr w:type="spellEnd"/>
      <w:r w:rsidRPr="00A54D93">
        <w:rPr>
          <w:rFonts w:cs="Times New Roman"/>
          <w:i/>
        </w:rPr>
        <w:t xml:space="preserve"> </w:t>
      </w:r>
      <w:r w:rsidRPr="00A54D93">
        <w:rPr>
          <w:rFonts w:cs="Times New Roman"/>
        </w:rPr>
        <w:t xml:space="preserve">and </w:t>
      </w:r>
      <w:proofErr w:type="spellStart"/>
      <w:r w:rsidRPr="00A54D93">
        <w:rPr>
          <w:rFonts w:cs="Times New Roman"/>
          <w:i/>
        </w:rPr>
        <w:t>Lebar</w:t>
      </w:r>
      <w:proofErr w:type="spellEnd"/>
      <w:r w:rsidRPr="00A54D93">
        <w:rPr>
          <w:rFonts w:cs="Times New Roman"/>
          <w:i/>
        </w:rPr>
        <w:t xml:space="preserve"> </w:t>
      </w:r>
      <w:r w:rsidRPr="00A54D93">
        <w:rPr>
          <w:rFonts w:cs="Times New Roman"/>
        </w:rPr>
        <w:t xml:space="preserve">that the issue is not whether the violence used in committing the predicate offence was objectively serious. What must be determined, according to the court in </w:t>
      </w:r>
      <w:proofErr w:type="spellStart"/>
      <w:r w:rsidRPr="00A54D93">
        <w:rPr>
          <w:rFonts w:cs="Times New Roman"/>
          <w:i/>
        </w:rPr>
        <w:t>Lebar</w:t>
      </w:r>
      <w:proofErr w:type="spellEnd"/>
      <w:r w:rsidRPr="00A54D93">
        <w:rPr>
          <w:rFonts w:cs="Times New Roman"/>
        </w:rPr>
        <w:t xml:space="preserve">, is “whether the evidence proves that violence was actually used” (Scott C.J.M., at </w:t>
      </w:r>
      <w:proofErr w:type="spellStart"/>
      <w:r w:rsidRPr="00A54D93">
        <w:rPr>
          <w:rFonts w:cs="Times New Roman"/>
        </w:rPr>
        <w:t>para</w:t>
      </w:r>
      <w:proofErr w:type="spellEnd"/>
      <w:r w:rsidRPr="00A54D93">
        <w:rPr>
          <w:rFonts w:cs="Times New Roman"/>
        </w:rPr>
        <w:t xml:space="preserve">. 70, quoting </w:t>
      </w:r>
      <w:proofErr w:type="spellStart"/>
      <w:r w:rsidRPr="00A54D93">
        <w:rPr>
          <w:rFonts w:cs="Times New Roman"/>
          <w:i/>
        </w:rPr>
        <w:t>Lebar</w:t>
      </w:r>
      <w:proofErr w:type="spellEnd"/>
      <w:r w:rsidRPr="00A54D93">
        <w:rPr>
          <w:rFonts w:cs="Times New Roman"/>
        </w:rPr>
        <w:t xml:space="preserve">, at </w:t>
      </w:r>
      <w:proofErr w:type="spellStart"/>
      <w:r w:rsidRPr="00A54D93">
        <w:rPr>
          <w:rFonts w:cs="Times New Roman"/>
        </w:rPr>
        <w:t>para</w:t>
      </w:r>
      <w:proofErr w:type="spellEnd"/>
      <w:r w:rsidRPr="00A54D93">
        <w:rPr>
          <w:rFonts w:cs="Times New Roman"/>
        </w:rPr>
        <w:t xml:space="preserve">. 50). Although he agreed in substance with this approach, Scott C.J.M. found that the court had sidestepped the distinction between the concepts of use of violence and attempted use of violence referred to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 s. 752. The use of violence to a person in committing robbery will also constitute a use of violence within the meaning of that provision. Where, on the other hand, robbery is committed by the use of </w:t>
      </w:r>
      <w:r w:rsidRPr="00A54D93">
        <w:rPr>
          <w:rFonts w:cs="Times New Roman"/>
          <w:i/>
        </w:rPr>
        <w:t xml:space="preserve">threats </w:t>
      </w:r>
      <w:r w:rsidRPr="00A54D93">
        <w:rPr>
          <w:rFonts w:cs="Times New Roman"/>
        </w:rPr>
        <w:t xml:space="preserve">of violence against a person, the question is whether those threats also constitute the </w:t>
      </w:r>
      <w:r w:rsidRPr="00A54D93">
        <w:rPr>
          <w:rFonts w:cs="Times New Roman"/>
          <w:i/>
        </w:rPr>
        <w:t xml:space="preserve">attempted use </w:t>
      </w:r>
      <w:r w:rsidRPr="00A54D93">
        <w:rPr>
          <w:rFonts w:cs="Times New Roman"/>
        </w:rPr>
        <w:t xml:space="preserve">of violence within the meaning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
    <w:p w:rsidR="00DA111D" w:rsidRPr="00A54D93" w:rsidRDefault="00DA111D" w:rsidP="00DA111D">
      <w:pPr>
        <w:pStyle w:val="ParaNoNdepar-AltN"/>
        <w:widowControl w:val="0"/>
        <w:rPr>
          <w:rFonts w:cs="Times New Roman"/>
        </w:rPr>
      </w:pPr>
      <w:r w:rsidRPr="00A54D93">
        <w:rPr>
          <w:rFonts w:cs="Times New Roman"/>
        </w:rPr>
        <w:t xml:space="preserve">In this regard, Scott C.J.M. approved the approach adopted in </w:t>
      </w:r>
      <w:r w:rsidRPr="00A54D93">
        <w:rPr>
          <w:rFonts w:cs="Times New Roman"/>
          <w:i/>
        </w:rPr>
        <w:t>Thompson</w:t>
      </w:r>
      <w:r w:rsidRPr="00A54D93">
        <w:rPr>
          <w:rFonts w:cs="Times New Roman"/>
        </w:rPr>
        <w:t xml:space="preserve">, at </w:t>
      </w:r>
      <w:proofErr w:type="spellStart"/>
      <w:r w:rsidRPr="00A54D93">
        <w:rPr>
          <w:rFonts w:cs="Times New Roman"/>
        </w:rPr>
        <w:t>para</w:t>
      </w:r>
      <w:proofErr w:type="spellEnd"/>
      <w:r w:rsidRPr="00A54D93">
        <w:rPr>
          <w:rFonts w:cs="Times New Roman"/>
        </w:rPr>
        <w:t>. 28:</w:t>
      </w:r>
    </w:p>
    <w:p w:rsidR="00DA111D" w:rsidRPr="00A54D93" w:rsidRDefault="00DA111D" w:rsidP="00DA111D">
      <w:pPr>
        <w:pStyle w:val="Citation-AltC"/>
        <w:widowControl w:val="0"/>
      </w:pPr>
      <w:r w:rsidRPr="00A54D93">
        <w:lastRenderedPageBreak/>
        <w:t xml:space="preserve">In the myriad of factual circumstances that can constitute criminal offences, there is often a threat of violence, sometimes explicit and sometimes implicit. </w:t>
      </w:r>
      <w:r w:rsidRPr="00A54D93">
        <w:rPr>
          <w:u w:val="single"/>
        </w:rPr>
        <w:t>There may be instances when that threat of violence is so real that one could reasonably characterize it as an attempted use of violence.</w:t>
      </w:r>
      <w:r w:rsidRPr="00A54D93">
        <w:t xml:space="preserve"> In other words, very little more need be done by the offender before the threat becomes actual use. To try and distinguish an attempt from a threat on such facts may be nothing more than semantics. </w:t>
      </w:r>
      <w:r w:rsidRPr="00A54D93">
        <w:rPr>
          <w:u w:val="single"/>
        </w:rPr>
        <w:t>However, in other cases, the threat of violence may be so remote from any actual perpetration of violence such that it cannot reasonably amount to an attempted use.</w:t>
      </w:r>
      <w:r w:rsidRPr="00A54D93">
        <w:t xml:space="preserve"> [Emphasis added.]</w:t>
      </w:r>
    </w:p>
    <w:p w:rsidR="00DA111D" w:rsidRPr="00A54D93" w:rsidRDefault="00DA111D" w:rsidP="00DA111D">
      <w:pPr>
        <w:pStyle w:val="ParaNoNdepar-AltN"/>
        <w:widowControl w:val="0"/>
        <w:rPr>
          <w:rFonts w:cs="Times New Roman"/>
        </w:rPr>
      </w:pPr>
      <w:r w:rsidRPr="00A54D93">
        <w:rPr>
          <w:rFonts w:cs="Times New Roman"/>
        </w:rPr>
        <w:t>Scott C.J.M. proposed the following approach for determining whether a given threat amounts to an attempted use of violence (</w:t>
      </w:r>
      <w:proofErr w:type="spellStart"/>
      <w:r w:rsidRPr="00A54D93">
        <w:rPr>
          <w:rFonts w:cs="Times New Roman"/>
        </w:rPr>
        <w:t>para</w:t>
      </w:r>
      <w:proofErr w:type="spellEnd"/>
      <w:r w:rsidRPr="00A54D93">
        <w:rPr>
          <w:rFonts w:cs="Times New Roman"/>
        </w:rPr>
        <w:t>. 85):</w:t>
      </w:r>
    </w:p>
    <w:p w:rsidR="00DA111D" w:rsidRPr="00A54D93" w:rsidRDefault="00DA111D" w:rsidP="00DA111D">
      <w:pPr>
        <w:pStyle w:val="Citation-AltC"/>
        <w:widowControl w:val="0"/>
      </w:pPr>
      <w:r w:rsidRPr="00A54D93">
        <w:t>[S]</w:t>
      </w:r>
      <w:proofErr w:type="spellStart"/>
      <w:r w:rsidRPr="00A54D93">
        <w:t>ome</w:t>
      </w:r>
      <w:proofErr w:type="spellEnd"/>
      <w:r w:rsidRPr="00A54D93">
        <w:t xml:space="preserve"> degree of physical action must be part of </w:t>
      </w:r>
      <w:r w:rsidR="002E724E">
        <w:t xml:space="preserve">a </w:t>
      </w:r>
      <w:r w:rsidRPr="00A54D93">
        <w:t xml:space="preserve">threat for it to constitute the “attempted use of violence”. That is, there needs to be some indication of imminent apparent danger to a person or some overt act directed towards the actual use of violence against a person for a threat of violence to also constitute the attempted use of violence. </w:t>
      </w:r>
    </w:p>
    <w:p w:rsidR="00DA111D" w:rsidRPr="00A54D93" w:rsidRDefault="00DA111D" w:rsidP="00DA111D">
      <w:pPr>
        <w:pStyle w:val="ParaNoNdepar-AltN"/>
        <w:widowControl w:val="0"/>
        <w:rPr>
          <w:rFonts w:cs="Times New Roman"/>
        </w:rPr>
      </w:pPr>
      <w:r w:rsidRPr="00A54D93">
        <w:rPr>
          <w:rFonts w:cs="Times New Roman"/>
        </w:rPr>
        <w:t xml:space="preserve">Finally, Scott C.J.M. noted that </w:t>
      </w:r>
      <w:proofErr w:type="spellStart"/>
      <w:r w:rsidRPr="00A54D93">
        <w:rPr>
          <w:rFonts w:cs="Times New Roman"/>
        </w:rPr>
        <w:t>McKelvey</w:t>
      </w:r>
      <w:proofErr w:type="spellEnd"/>
      <w:r w:rsidRPr="00A54D93">
        <w:rPr>
          <w:rFonts w:cs="Times New Roman"/>
        </w:rPr>
        <w:t xml:space="preserve"> J.’s findings of fact had not been challenged, and because the threat of violence was not associated with either imminent danger or “any, even minimal, overt physical act”, he upheld the trial judge’s decision (</w:t>
      </w:r>
      <w:proofErr w:type="spellStart"/>
      <w:r w:rsidRPr="00A54D93">
        <w:rPr>
          <w:rFonts w:cs="Times New Roman"/>
        </w:rPr>
        <w:t>para</w:t>
      </w:r>
      <w:proofErr w:type="spellEnd"/>
      <w:r w:rsidRPr="00A54D93">
        <w:rPr>
          <w:rFonts w:cs="Times New Roman"/>
        </w:rPr>
        <w:t>. 86). The threat, while sufficient to ground a conviction for robbery under s. 343(</w:t>
      </w:r>
      <w:r w:rsidRPr="00A54D93">
        <w:rPr>
          <w:rFonts w:cs="Times New Roman"/>
          <w:i/>
        </w:rPr>
        <w:t>a</w:t>
      </w:r>
      <w:r w:rsidRPr="00A54D93">
        <w:rPr>
          <w:rFonts w:cs="Times New Roman"/>
        </w:rPr>
        <w:t xml:space="preserve">), did not constitute the use or attempted use of violence for the purposes of the definition of an SPIO and did not trigger the sentencing procedures under Part XXIV. </w:t>
      </w:r>
    </w:p>
    <w:p w:rsidR="00DA111D" w:rsidRPr="00A54D93" w:rsidRDefault="00DA111D" w:rsidP="00DA111D">
      <w:pPr>
        <w:pStyle w:val="Title1LevelTitre1Niveau-AltL"/>
        <w:widowControl w:val="0"/>
        <w:rPr>
          <w:rFonts w:cs="Times New Roman"/>
        </w:rPr>
      </w:pPr>
      <w:r w:rsidRPr="00A54D93">
        <w:rPr>
          <w:rFonts w:cs="Times New Roman"/>
        </w:rPr>
        <w:t>Issue</w:t>
      </w:r>
    </w:p>
    <w:p w:rsidR="00DA111D" w:rsidRPr="00A54D93" w:rsidRDefault="00DA111D" w:rsidP="00DA111D">
      <w:pPr>
        <w:pStyle w:val="ParaNoNdepar-AltN"/>
        <w:widowControl w:val="0"/>
        <w:rPr>
          <w:rFonts w:cs="Times New Roman"/>
        </w:rPr>
      </w:pPr>
      <w:r w:rsidRPr="00A54D93">
        <w:rPr>
          <w:rFonts w:cs="Times New Roman"/>
        </w:rPr>
        <w:t xml:space="preserve">Does robbery committed by using threats of violence to a person within </w:t>
      </w:r>
      <w:r w:rsidRPr="00A54D93">
        <w:rPr>
          <w:rFonts w:cs="Times New Roman"/>
        </w:rPr>
        <w:lastRenderedPageBreak/>
        <w:t>the meaning of s. 343(</w:t>
      </w:r>
      <w:r w:rsidRPr="00A54D93">
        <w:rPr>
          <w:rFonts w:cs="Times New Roman"/>
          <w:i/>
        </w:rPr>
        <w:t>a</w:t>
      </w:r>
      <w:r w:rsidRPr="00A54D93">
        <w:rPr>
          <w:rFonts w:cs="Times New Roman"/>
        </w:rPr>
        <w:t xml:space="preserve">) of the </w:t>
      </w:r>
      <w:r w:rsidRPr="00A54D93">
        <w:rPr>
          <w:rFonts w:cs="Times New Roman"/>
          <w:i/>
        </w:rPr>
        <w:t xml:space="preserve">Criminal Code </w:t>
      </w:r>
      <w:r w:rsidRPr="00A54D93">
        <w:rPr>
          <w:rFonts w:cs="Times New Roman"/>
        </w:rPr>
        <w:t xml:space="preserve">constitute an SPIO in accordance with </w:t>
      </w:r>
      <w:proofErr w:type="spellStart"/>
      <w:proofErr w:type="gramStart"/>
      <w:r w:rsidRPr="00A54D93">
        <w:rPr>
          <w:rFonts w:cs="Times New Roman"/>
        </w:rPr>
        <w:t>subpara</w:t>
      </w:r>
      <w:proofErr w:type="spellEnd"/>
      <w:r w:rsidRPr="00A54D93">
        <w:rPr>
          <w:rFonts w:cs="Times New Roman"/>
        </w:rPr>
        <w:t>.</w:t>
      </w:r>
      <w:proofErr w:type="gramEnd"/>
      <w:r w:rsidRPr="00A54D93">
        <w:rPr>
          <w:rFonts w:cs="Times New Roman"/>
        </w:rPr>
        <w:t xml:space="preserve">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that expression set out in s. 752?</w:t>
      </w:r>
    </w:p>
    <w:p w:rsidR="00DA111D" w:rsidRPr="00A54D93" w:rsidRDefault="00DA111D" w:rsidP="00DA111D">
      <w:pPr>
        <w:pStyle w:val="Title1LevelTitre1Niveau-AltL"/>
        <w:widowControl w:val="0"/>
        <w:rPr>
          <w:rFonts w:cs="Times New Roman"/>
        </w:rPr>
      </w:pPr>
      <w:r w:rsidRPr="00A54D93">
        <w:rPr>
          <w:rFonts w:cs="Times New Roman"/>
        </w:rPr>
        <w:t>Analysis</w:t>
      </w:r>
    </w:p>
    <w:p w:rsidR="00DA111D" w:rsidRPr="00A54D93" w:rsidRDefault="00DA111D" w:rsidP="00DA111D">
      <w:pPr>
        <w:pStyle w:val="ParaNoNdepar-AltN"/>
        <w:widowControl w:val="0"/>
        <w:rPr>
          <w:rFonts w:cs="Times New Roman"/>
        </w:rPr>
      </w:pPr>
      <w:r w:rsidRPr="00A54D93">
        <w:rPr>
          <w:rFonts w:cs="Times New Roman"/>
        </w:rPr>
        <w:t xml:space="preserve">To determine whether an offence constitutes an SPIO, it is necessary to review the elements of the offence, but it may also be necessary, if that review is insufficient, to consider the factual circumstances in which the offence was committed. Certain offences automatically constitute SPIOs regardless of the manner in which they are committed: s. 752,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“serious personal injury offence”; see </w:t>
      </w:r>
      <w:r w:rsidRPr="00A54D93">
        <w:rPr>
          <w:rFonts w:cs="Times New Roman"/>
          <w:i/>
          <w:spacing w:val="-3"/>
        </w:rPr>
        <w:t>R. v. Currie</w:t>
      </w:r>
      <w:r w:rsidRPr="00A54D93">
        <w:rPr>
          <w:rFonts w:cs="Times New Roman"/>
        </w:rPr>
        <w:t xml:space="preserve">, [1997] 2 S.C.R. 260, at </w:t>
      </w:r>
      <w:proofErr w:type="spellStart"/>
      <w:r w:rsidRPr="00A54D93">
        <w:rPr>
          <w:rFonts w:cs="Times New Roman"/>
        </w:rPr>
        <w:t>paras</w:t>
      </w:r>
      <w:proofErr w:type="spellEnd"/>
      <w:r w:rsidRPr="00A54D93">
        <w:rPr>
          <w:rFonts w:cs="Times New Roman"/>
        </w:rPr>
        <w:t xml:space="preserve">. 21-22. </w:t>
      </w:r>
      <w:proofErr w:type="gramStart"/>
      <w:r w:rsidRPr="00A54D93">
        <w:rPr>
          <w:rFonts w:cs="Times New Roman"/>
        </w:rPr>
        <w:t>There</w:t>
      </w:r>
      <w:proofErr w:type="gramEnd"/>
      <w:r w:rsidRPr="00A54D93">
        <w:rPr>
          <w:rFonts w:cs="Times New Roman"/>
        </w:rPr>
        <w:t xml:space="preserve"> are other offences that always constitute SPIOs in that one of their elements automatically satisfies the descriptive criteria set out in </w:t>
      </w:r>
      <w:proofErr w:type="spellStart"/>
      <w:r w:rsidRPr="00A54D93">
        <w:rPr>
          <w:rFonts w:cs="Times New Roman"/>
        </w:rPr>
        <w:t>para</w:t>
      </w:r>
      <w:proofErr w:type="spellEnd"/>
      <w:r w:rsidRPr="00A54D93">
        <w:rPr>
          <w:rFonts w:cs="Times New Roman"/>
        </w:rPr>
        <w:t>. (</w:t>
      </w:r>
      <w:r w:rsidRPr="00A54D93">
        <w:rPr>
          <w:rFonts w:cs="Times New Roman"/>
          <w:i/>
        </w:rPr>
        <w:t>a</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One example would be where personal violence or endangerment forms part of the definition of the offence: see, e.g., </w:t>
      </w:r>
      <w:r w:rsidRPr="00A54D93">
        <w:rPr>
          <w:rFonts w:cs="Times New Roman"/>
          <w:i/>
        </w:rPr>
        <w:t xml:space="preserve">R. v. </w:t>
      </w:r>
      <w:proofErr w:type="spellStart"/>
      <w:r w:rsidRPr="00A54D93">
        <w:rPr>
          <w:rFonts w:cs="Times New Roman"/>
          <w:i/>
        </w:rPr>
        <w:t>Cepic</w:t>
      </w:r>
      <w:proofErr w:type="spellEnd"/>
      <w:r w:rsidRPr="00A54D93">
        <w:rPr>
          <w:rFonts w:cs="Times New Roman"/>
        </w:rPr>
        <w:t>,</w:t>
      </w:r>
      <w:r w:rsidRPr="00A54D93">
        <w:rPr>
          <w:rFonts w:cs="Times New Roman"/>
          <w:i/>
        </w:rPr>
        <w:t xml:space="preserve"> </w:t>
      </w:r>
      <w:r w:rsidRPr="00A54D93">
        <w:rPr>
          <w:rFonts w:cs="Times New Roman"/>
        </w:rPr>
        <w:t xml:space="preserve">2010 ONSC 561, 93 M.V.R. (5th) 129, at </w:t>
      </w:r>
      <w:proofErr w:type="spellStart"/>
      <w:r w:rsidRPr="00A54D93">
        <w:rPr>
          <w:rFonts w:cs="Times New Roman"/>
        </w:rPr>
        <w:t>para</w:t>
      </w:r>
      <w:proofErr w:type="spellEnd"/>
      <w:r w:rsidRPr="00A54D93">
        <w:rPr>
          <w:rFonts w:cs="Times New Roman"/>
        </w:rPr>
        <w:t xml:space="preserve">. 18. Robbery is clearly not one of this second type of offences, since it can involve the use of violence or threats of violence to a person </w:t>
      </w:r>
      <w:r w:rsidRPr="00A54D93">
        <w:rPr>
          <w:rFonts w:cs="Times New Roman"/>
          <w:i/>
        </w:rPr>
        <w:t>or property</w:t>
      </w:r>
      <w:r w:rsidRPr="00A54D93">
        <w:rPr>
          <w:rFonts w:cs="Times New Roman"/>
        </w:rPr>
        <w:t xml:space="preserve">, whereas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refers only to the use or attempted use of violence </w:t>
      </w:r>
      <w:r w:rsidRPr="00A54D93">
        <w:rPr>
          <w:rFonts w:cs="Times New Roman"/>
          <w:i/>
        </w:rPr>
        <w:t>against another person</w:t>
      </w:r>
      <w:r w:rsidRPr="00A54D93">
        <w:rPr>
          <w:rFonts w:cs="Times New Roman"/>
        </w:rPr>
        <w:t xml:space="preserve">: see </w:t>
      </w:r>
      <w:proofErr w:type="spellStart"/>
      <w:r w:rsidRPr="00A54D93">
        <w:rPr>
          <w:rFonts w:cs="Times New Roman"/>
          <w:i/>
        </w:rPr>
        <w:t>Lebar</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65. </w:t>
      </w:r>
    </w:p>
    <w:p w:rsidR="00DA111D" w:rsidRPr="00A54D93" w:rsidRDefault="00DA111D" w:rsidP="00DA111D">
      <w:pPr>
        <w:pStyle w:val="ParaNoNdepar-AltN"/>
        <w:widowControl w:val="0"/>
        <w:rPr>
          <w:rFonts w:cs="Times New Roman"/>
        </w:rPr>
      </w:pPr>
      <w:r w:rsidRPr="00A54D93">
        <w:rPr>
          <w:rFonts w:cs="Times New Roman"/>
        </w:rPr>
        <w:t xml:space="preserve">Thus, the question is whether a robbery committed as in the instant case — by using threats of violence to a person, but without using actual physical violence — satisfies the criterion of “use or attempted use of violence against another person” set out in the definition. I conclude that it does. I reach this conclusion in light of the </w:t>
      </w:r>
      <w:r w:rsidRPr="00A54D93">
        <w:rPr>
          <w:rFonts w:cs="Times New Roman"/>
        </w:rPr>
        <w:lastRenderedPageBreak/>
        <w:t xml:space="preserve">modern principle of statutory interpretation that the words of legislation must be read “in their entire context and in their grammatical and ordinary sense harmoniously with the scheme of the Act, the object of the Act, and the intention of Parliament”: E. A. </w:t>
      </w:r>
      <w:proofErr w:type="spellStart"/>
      <w:r w:rsidRPr="00A54D93">
        <w:rPr>
          <w:rFonts w:cs="Times New Roman"/>
        </w:rPr>
        <w:t>Driedger</w:t>
      </w:r>
      <w:proofErr w:type="spellEnd"/>
      <w:r w:rsidRPr="00A54D93">
        <w:rPr>
          <w:rFonts w:cs="Times New Roman"/>
        </w:rPr>
        <w:t xml:space="preserve">, </w:t>
      </w:r>
      <w:r w:rsidRPr="00A54D93">
        <w:rPr>
          <w:rFonts w:cs="Times New Roman"/>
          <w:i/>
        </w:rPr>
        <w:t>Construction of Statutes</w:t>
      </w:r>
      <w:r w:rsidRPr="00A54D93">
        <w:rPr>
          <w:rFonts w:cs="Times New Roman"/>
        </w:rPr>
        <w:t xml:space="preserve"> (2nd ed. 1983), at p. 87. </w:t>
      </w:r>
    </w:p>
    <w:p w:rsidR="00DA111D" w:rsidRPr="00A54D93" w:rsidRDefault="00DA111D" w:rsidP="00DA111D">
      <w:pPr>
        <w:pStyle w:val="ParaNoNdepar-AltN"/>
        <w:widowControl w:val="0"/>
        <w:rPr>
          <w:rFonts w:cs="Times New Roman"/>
        </w:rPr>
      </w:pPr>
      <w:r w:rsidRPr="00A54D93">
        <w:rPr>
          <w:rFonts w:cs="Times New Roman"/>
        </w:rPr>
        <w:t xml:space="preserve">I will begin by discussing the purpose of the SPIO threshold and its function within the scheme of Part XXIV. I will then consider the plain meaning of the term “violence” in the context of the </w:t>
      </w:r>
      <w:r w:rsidRPr="00A54D93">
        <w:rPr>
          <w:rFonts w:cs="Times New Roman"/>
          <w:i/>
        </w:rPr>
        <w:t>Criminal Code</w:t>
      </w:r>
      <w:r w:rsidRPr="00A54D93">
        <w:rPr>
          <w:rFonts w:cs="Times New Roman"/>
        </w:rPr>
        <w:t xml:space="preserve"> and other legislation. Finally, I will discuss the statutory context of the provision in which the phrase “use or attempted use of violence” appears, including the other provisions of the definition of an SPIO and the provision that defines the offence of robbery. Taken together, these considerations support the view that threats of violence to a person that suffice to ground a conviction for robbery meet the violence criterion in the definition of an SPIO. Because robbery is an indictable offence for which the offender may be sentenced to imprisonment for 10 years or more, all the criteria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are satisfied. </w:t>
      </w:r>
    </w:p>
    <w:p w:rsidR="00DA111D" w:rsidRPr="00A54D93" w:rsidRDefault="00DA111D" w:rsidP="00DA111D">
      <w:pPr>
        <w:pStyle w:val="Title2LevelTitre2Niveau"/>
        <w:widowControl w:val="0"/>
        <w:rPr>
          <w:rFonts w:cs="Times New Roman"/>
        </w:rPr>
      </w:pPr>
      <w:r w:rsidRPr="00A54D93">
        <w:rPr>
          <w:rFonts w:cs="Times New Roman"/>
        </w:rPr>
        <w:t>Purpose of the SPIO Requirement</w:t>
      </w:r>
    </w:p>
    <w:p w:rsidR="00DA111D" w:rsidRPr="00A54D93" w:rsidRDefault="00DA111D" w:rsidP="00DA111D">
      <w:pPr>
        <w:pStyle w:val="ParaNoNdepar-AltN"/>
        <w:widowControl w:val="0"/>
        <w:rPr>
          <w:rFonts w:cs="Times New Roman"/>
        </w:rPr>
      </w:pPr>
      <w:r w:rsidRPr="00A54D93">
        <w:rPr>
          <w:rFonts w:cs="Times New Roman"/>
        </w:rPr>
        <w:t xml:space="preserve">The Crown emphasizes that the SPIO requirement serves as a gateway in that it is applied before an offender is assessed for dangerousness and before an application can be made for a finding that he or she is a dangerous offender or a long-term offender. The “use or attempted use of violence” criterion must therefore, the Crown argues, be interpreted broadly to ensure that offenders who might meet the </w:t>
      </w:r>
      <w:r w:rsidRPr="00A54D93">
        <w:rPr>
          <w:rFonts w:cs="Times New Roman"/>
        </w:rPr>
        <w:lastRenderedPageBreak/>
        <w:t xml:space="preserve">criteria are not excluded from being assessed, which would undermine the goal of public protection. </w:t>
      </w:r>
    </w:p>
    <w:p w:rsidR="00DA111D" w:rsidRPr="00A54D93" w:rsidRDefault="00DA111D" w:rsidP="00DA111D">
      <w:pPr>
        <w:pStyle w:val="ParaNoNdepar-AltN"/>
        <w:widowControl w:val="0"/>
        <w:rPr>
          <w:rFonts w:cs="Times New Roman"/>
        </w:rPr>
      </w:pPr>
      <w:r w:rsidRPr="00A54D93">
        <w:rPr>
          <w:rFonts w:cs="Times New Roman"/>
        </w:rPr>
        <w:t xml:space="preserve">Mr. Steele counters that the SPIO requirement performs an important function in Part XXIV by ensuring that offenders may only be sentenced to indeterminate detention for sufficiently serious crimes. He argues that an overly broad construction of this requirement would frustrate the scheme’s objective of proportionality. </w:t>
      </w:r>
    </w:p>
    <w:p w:rsidR="00DA111D" w:rsidRPr="00A54D93" w:rsidRDefault="00DA111D" w:rsidP="00DA111D">
      <w:pPr>
        <w:pStyle w:val="ParaNoNdepar-AltN"/>
        <w:widowControl w:val="0"/>
        <w:rPr>
          <w:rFonts w:cs="Times New Roman"/>
        </w:rPr>
      </w:pPr>
      <w:r w:rsidRPr="00A54D93">
        <w:rPr>
          <w:rFonts w:cs="Times New Roman"/>
        </w:rPr>
        <w:t xml:space="preserve">As I will explain, both these purposive arguments have merit. The general purpose of Part XXIV is public protection, and an overly narrow construction of the gateway provision would indeed undermine this purpose. However, the specific purpose of the SPIO requirement is to link the sentence to the predicate offence, and an overly broad construction would undermine this purpose and jeopardize the objective of proportionality. My interpretive approach must be sensitive to both the general and the specific purpose.  I will now discuss each of these purposes in detail and will conclude that the seriousness requirement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is satisfied by a textual and contextual interpretation of the words “use or attempted use of violence”, and that it would be wrong to read in an objective minimum level of violence. </w:t>
      </w:r>
    </w:p>
    <w:p w:rsidR="00DA111D" w:rsidRPr="00A54D93" w:rsidRDefault="00DA111D" w:rsidP="00DA111D">
      <w:pPr>
        <w:pStyle w:val="Title3LevelTitre3Niveau"/>
        <w:widowControl w:val="0"/>
        <w:rPr>
          <w:rFonts w:cs="Times New Roman"/>
        </w:rPr>
      </w:pPr>
      <w:r w:rsidRPr="00A54D93">
        <w:rPr>
          <w:rFonts w:cs="Times New Roman"/>
        </w:rPr>
        <w:t xml:space="preserve">General Purpose of the Dangerous and Long-term Offender Provisions </w:t>
      </w:r>
    </w:p>
    <w:p w:rsidR="00DA111D" w:rsidRPr="00A54D93" w:rsidRDefault="00DA111D" w:rsidP="00DA111D">
      <w:pPr>
        <w:pStyle w:val="ParaNoNdepar-AltN"/>
        <w:widowControl w:val="0"/>
        <w:rPr>
          <w:rFonts w:cs="Times New Roman"/>
        </w:rPr>
      </w:pPr>
      <w:r w:rsidRPr="00A54D93">
        <w:rPr>
          <w:rFonts w:cs="Times New Roman"/>
        </w:rPr>
        <w:t xml:space="preserve">Part XXIV of the </w:t>
      </w:r>
      <w:r w:rsidRPr="00A54D93">
        <w:rPr>
          <w:rFonts w:cs="Times New Roman"/>
          <w:i/>
        </w:rPr>
        <w:t xml:space="preserve">Criminal Code </w:t>
      </w:r>
      <w:r w:rsidRPr="00A54D93">
        <w:rPr>
          <w:rFonts w:cs="Times New Roman"/>
        </w:rPr>
        <w:t xml:space="preserve">authorizes the indeterminate detention </w:t>
      </w:r>
      <w:r w:rsidRPr="00A54D93">
        <w:rPr>
          <w:rFonts w:cs="Times New Roman"/>
        </w:rPr>
        <w:lastRenderedPageBreak/>
        <w:t>of individuals who are found to be “dangerous offender[s]” on the basis that their past conduct and patterns of behaviour show that they constitute a threat to the life, safety or physical or mental well-being of other persons (s. 753(1)(</w:t>
      </w:r>
      <w:r w:rsidRPr="00A54D93">
        <w:rPr>
          <w:rFonts w:cs="Times New Roman"/>
          <w:i/>
        </w:rPr>
        <w:t>a</w:t>
      </w:r>
      <w:r w:rsidRPr="00A54D93">
        <w:rPr>
          <w:rFonts w:cs="Times New Roman"/>
        </w:rPr>
        <w:t>)), or that their failure to control sexual impulses means that they are likely to cause injury, pain or other evil to other persons (s. 753(1)(</w:t>
      </w:r>
      <w:r w:rsidRPr="00A54D93">
        <w:rPr>
          <w:rFonts w:cs="Times New Roman"/>
          <w:i/>
        </w:rPr>
        <w:t>b</w:t>
      </w:r>
      <w:r w:rsidRPr="00A54D93">
        <w:rPr>
          <w:rFonts w:cs="Times New Roman"/>
        </w:rPr>
        <w:t xml:space="preserve">)). It also authorizes the long-term supervision of individuals who are found to be “long-term offender[s]” where a sentence of imprisonment of two years or more would be appropriate, there is a substantial risk that the individuals will reoffend, and there is a reasonable possibility of eventual control of that risk in the community (s. 753.1(1)). </w:t>
      </w:r>
    </w:p>
    <w:p w:rsidR="00DA111D" w:rsidRPr="00A54D93" w:rsidRDefault="00DA111D" w:rsidP="00DA111D">
      <w:pPr>
        <w:pStyle w:val="ParaNoNdepar-AltN"/>
        <w:widowControl w:val="0"/>
        <w:rPr>
          <w:rFonts w:cs="Times New Roman"/>
        </w:rPr>
      </w:pPr>
      <w:r w:rsidRPr="00A54D93">
        <w:rPr>
          <w:rFonts w:cs="Times New Roman"/>
        </w:rPr>
        <w:t xml:space="preserve">The primary rationale for both indeterminate detention and long-term supervision under Part XXIV is public protection. Both sentences advance the “dominant purpose” of preventive detention identified by Dickson J. in </w:t>
      </w:r>
      <w:proofErr w:type="spellStart"/>
      <w:r w:rsidRPr="00A54D93">
        <w:rPr>
          <w:rFonts w:cs="Times New Roman"/>
          <w:i/>
        </w:rPr>
        <w:t>Hatchwell</w:t>
      </w:r>
      <w:proofErr w:type="spellEnd"/>
      <w:r w:rsidRPr="00A54D93">
        <w:rPr>
          <w:rFonts w:cs="Times New Roman"/>
          <w:i/>
        </w:rPr>
        <w:t xml:space="preserve"> v. The Queen</w:t>
      </w:r>
      <w:r w:rsidRPr="00A54D93">
        <w:rPr>
          <w:rFonts w:cs="Times New Roman"/>
        </w:rPr>
        <w:t xml:space="preserve">, [1976] 1 S.C.R. 39, at p. 43, namely “to protect the public when the past conduct of the criminal demonstrates a propensity for crimes of violence against the person, and there is a real and present danger to life or limb”. When the constitutionality of the dangerous offender provisions came before this Court in </w:t>
      </w:r>
      <w:r w:rsidRPr="00A54D93">
        <w:rPr>
          <w:rFonts w:cs="Times New Roman"/>
          <w:i/>
        </w:rPr>
        <w:t>R. v. Lyons</w:t>
      </w:r>
      <w:r w:rsidRPr="00A54D93">
        <w:rPr>
          <w:rFonts w:cs="Times New Roman"/>
        </w:rPr>
        <w:t xml:space="preserve">, [1987] 2 S.C.R. 309, La Forest J., wrote at p. 329, </w:t>
      </w:r>
      <w:r w:rsidRPr="00A54D93">
        <w:rPr>
          <w:rFonts w:cs="Times New Roman"/>
          <w:spacing w:val="-3"/>
        </w:rPr>
        <w:t xml:space="preserve">“[Part XXIV] merely enables the court to accommodate its sentence to the common sense reality that the </w:t>
      </w:r>
      <w:r w:rsidRPr="00A54D93">
        <w:rPr>
          <w:rFonts w:cs="Times New Roman"/>
          <w:spacing w:val="-3"/>
          <w:u w:val="single"/>
        </w:rPr>
        <w:t>present</w:t>
      </w:r>
      <w:r w:rsidRPr="00A54D93">
        <w:rPr>
          <w:rFonts w:cs="Times New Roman"/>
          <w:spacing w:val="-3"/>
        </w:rPr>
        <w:t xml:space="preserve"> condition of the offender is such that he or she is not inhibited by normal standards of behavioural restraint so that </w:t>
      </w:r>
      <w:r w:rsidRPr="00A54D93">
        <w:rPr>
          <w:rFonts w:cs="Times New Roman"/>
          <w:spacing w:val="-3"/>
          <w:u w:val="single"/>
        </w:rPr>
        <w:t>future</w:t>
      </w:r>
      <w:r w:rsidRPr="00A54D93">
        <w:rPr>
          <w:rFonts w:cs="Times New Roman"/>
          <w:spacing w:val="-3"/>
        </w:rPr>
        <w:t xml:space="preserve"> violent acts can quite confidently be expected of that person” (emphasis in original). Lamer C.J. subsequently explained this rationale as follows in </w:t>
      </w:r>
      <w:r w:rsidRPr="00A54D93">
        <w:rPr>
          <w:rFonts w:cs="Times New Roman"/>
          <w:i/>
          <w:spacing w:val="-3"/>
        </w:rPr>
        <w:t>Currie</w:t>
      </w:r>
      <w:r w:rsidRPr="00A54D93">
        <w:rPr>
          <w:rFonts w:cs="Times New Roman"/>
        </w:rPr>
        <w:t xml:space="preserve">, at </w:t>
      </w:r>
      <w:proofErr w:type="spellStart"/>
      <w:r w:rsidRPr="00A54D93">
        <w:rPr>
          <w:rFonts w:cs="Times New Roman"/>
        </w:rPr>
        <w:t>para</w:t>
      </w:r>
      <w:proofErr w:type="spellEnd"/>
      <w:r w:rsidRPr="00A54D93">
        <w:rPr>
          <w:rFonts w:cs="Times New Roman"/>
        </w:rPr>
        <w:t xml:space="preserve">. 26: “Parliament has thus created a standard of preventive detention that measures an </w:t>
      </w:r>
      <w:proofErr w:type="spellStart"/>
      <w:r w:rsidRPr="00A54D93">
        <w:rPr>
          <w:rFonts w:cs="Times New Roman"/>
        </w:rPr>
        <w:t>accused’s</w:t>
      </w:r>
      <w:proofErr w:type="spellEnd"/>
      <w:r w:rsidRPr="00A54D93">
        <w:rPr>
          <w:rFonts w:cs="Times New Roman"/>
        </w:rPr>
        <w:t xml:space="preserve"> present condition according to past </w:t>
      </w:r>
      <w:r w:rsidRPr="00A54D93">
        <w:rPr>
          <w:rFonts w:cs="Times New Roman"/>
        </w:rPr>
        <w:lastRenderedPageBreak/>
        <w:t xml:space="preserve">behaviour and patterns of conduct.” See also </w:t>
      </w:r>
      <w:r w:rsidRPr="00A54D93">
        <w:rPr>
          <w:rFonts w:cs="Times New Roman"/>
          <w:i/>
        </w:rPr>
        <w:t xml:space="preserve">R. v. </w:t>
      </w:r>
      <w:proofErr w:type="spellStart"/>
      <w:r w:rsidRPr="00A54D93">
        <w:rPr>
          <w:rFonts w:cs="Times New Roman"/>
          <w:i/>
        </w:rPr>
        <w:t>Sipos</w:t>
      </w:r>
      <w:proofErr w:type="spellEnd"/>
      <w:r w:rsidRPr="00A54D93">
        <w:rPr>
          <w:rFonts w:cs="Times New Roman"/>
        </w:rPr>
        <w:t>,</w:t>
      </w:r>
      <w:r w:rsidRPr="00A54D93">
        <w:rPr>
          <w:rFonts w:cs="Times New Roman"/>
          <w:i/>
        </w:rPr>
        <w:t xml:space="preserve"> </w:t>
      </w:r>
      <w:r w:rsidRPr="00A54D93">
        <w:rPr>
          <w:rFonts w:cs="Times New Roman"/>
        </w:rPr>
        <w:t xml:space="preserve">2014 SCC 47, </w:t>
      </w:r>
      <w:r w:rsidR="002E724E">
        <w:rPr>
          <w:rFonts w:cs="Times New Roman"/>
        </w:rPr>
        <w:t xml:space="preserve">[2014] 2 S.C.R. 423,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19. </w:t>
      </w:r>
    </w:p>
    <w:p w:rsidR="00DA111D" w:rsidRPr="00A54D93" w:rsidRDefault="00DA111D" w:rsidP="00DA111D">
      <w:pPr>
        <w:pStyle w:val="ParaNoNdepar-AltN"/>
        <w:widowControl w:val="0"/>
        <w:rPr>
          <w:rFonts w:cs="Times New Roman"/>
        </w:rPr>
      </w:pPr>
      <w:r w:rsidRPr="00A54D93">
        <w:rPr>
          <w:rFonts w:cs="Times New Roman"/>
        </w:rPr>
        <w:t xml:space="preserve">Parliament amended Part XXIV in 1997 to create the category of “long-term offenders” and make it possible to supervise such offenders in the community, thus establishing an alternative to the indeterminate detention of persons designated as “dangerous offenders”. Long-term offenders, those who meet the criteria specified in s. 753.1(1), may be ordered to be subject to supervision in the community for a specified period (maximum of 10 years) after the expiry of a determinate sentence, which must be for a term of two years or more: s. 753.1(3). The purpose of the long-term supervision provisions is twofold: to protect the public and to rehabilitate offenders and facilitate their reintegration into the community: </w:t>
      </w:r>
      <w:r w:rsidRPr="00A54D93">
        <w:rPr>
          <w:rFonts w:cs="Times New Roman"/>
          <w:i/>
        </w:rPr>
        <w:t xml:space="preserve">R. v. </w:t>
      </w:r>
      <w:proofErr w:type="spellStart"/>
      <w:r w:rsidRPr="00A54D93">
        <w:rPr>
          <w:rFonts w:cs="Times New Roman"/>
          <w:i/>
        </w:rPr>
        <w:t>Ipeelee</w:t>
      </w:r>
      <w:proofErr w:type="spellEnd"/>
      <w:r w:rsidRPr="00A54D93">
        <w:rPr>
          <w:rFonts w:cs="Times New Roman"/>
        </w:rPr>
        <w:t xml:space="preserve">, 2012 SCC 13, [2012] 1 S.C.R. 433, at </w:t>
      </w:r>
      <w:proofErr w:type="spellStart"/>
      <w:r w:rsidRPr="00A54D93">
        <w:rPr>
          <w:rFonts w:cs="Times New Roman"/>
        </w:rPr>
        <w:t>para</w:t>
      </w:r>
      <w:proofErr w:type="spellEnd"/>
      <w:r w:rsidRPr="00A54D93">
        <w:rPr>
          <w:rFonts w:cs="Times New Roman"/>
        </w:rPr>
        <w:t xml:space="preserve">. 50. </w:t>
      </w:r>
    </w:p>
    <w:p w:rsidR="00DA111D" w:rsidRPr="00A54D93" w:rsidRDefault="00DA111D" w:rsidP="00DA111D">
      <w:pPr>
        <w:pStyle w:val="ParaNoNdepar-AltN"/>
        <w:widowControl w:val="0"/>
        <w:rPr>
          <w:rFonts w:cs="Times New Roman"/>
        </w:rPr>
      </w:pPr>
      <w:r w:rsidRPr="00A54D93">
        <w:rPr>
          <w:rFonts w:cs="Times New Roman"/>
        </w:rPr>
        <w:t xml:space="preserve">In </w:t>
      </w:r>
      <w:r w:rsidRPr="00A54D93">
        <w:rPr>
          <w:rFonts w:cs="Times New Roman"/>
          <w:i/>
        </w:rPr>
        <w:t>R. v. Johnson</w:t>
      </w:r>
      <w:r w:rsidRPr="00A54D93">
        <w:rPr>
          <w:rFonts w:cs="Times New Roman"/>
        </w:rPr>
        <w:t>,</w:t>
      </w:r>
      <w:r w:rsidRPr="00A54D93">
        <w:rPr>
          <w:rFonts w:cs="Times New Roman"/>
          <w:i/>
        </w:rPr>
        <w:t xml:space="preserve"> </w:t>
      </w:r>
      <w:r w:rsidRPr="00A54D93">
        <w:rPr>
          <w:rFonts w:cs="Times New Roman"/>
        </w:rPr>
        <w:t xml:space="preserve">2003 SCC 46, [2003] 2 S.C.R. 357, </w:t>
      </w:r>
      <w:proofErr w:type="spellStart"/>
      <w:r w:rsidRPr="00A54D93">
        <w:rPr>
          <w:rFonts w:cs="Times New Roman"/>
        </w:rPr>
        <w:t>Iacobucci</w:t>
      </w:r>
      <w:proofErr w:type="spellEnd"/>
      <w:r w:rsidRPr="00A54D93">
        <w:rPr>
          <w:rFonts w:cs="Times New Roman"/>
        </w:rPr>
        <w:t xml:space="preserve"> and Arbour JJ. </w:t>
      </w:r>
      <w:proofErr w:type="gramStart"/>
      <w:r w:rsidRPr="00A54D93">
        <w:rPr>
          <w:rFonts w:cs="Times New Roman"/>
        </w:rPr>
        <w:t>considered</w:t>
      </w:r>
      <w:proofErr w:type="gramEnd"/>
      <w:r w:rsidRPr="00A54D93">
        <w:rPr>
          <w:rFonts w:cs="Times New Roman"/>
        </w:rPr>
        <w:t xml:space="preserve"> the purpose of the long-term supervision provisions and the relationship between them and the dangerous offender provisions. At the time, the use of the word “may” indicated that, even if all the criteria were met, designation as either a long-term offender or a dangerous offender was discretionary. The Court held that, in light of the discretionary nature of a finding that an offender was a dangerous offender and given the principles of sentencing in s. 718.2 of the </w:t>
      </w:r>
      <w:r w:rsidRPr="00A54D93">
        <w:rPr>
          <w:rFonts w:cs="Times New Roman"/>
          <w:i/>
        </w:rPr>
        <w:t>Criminal Code</w:t>
      </w:r>
      <w:r w:rsidRPr="00A54D93">
        <w:rPr>
          <w:rFonts w:cs="Times New Roman"/>
        </w:rPr>
        <w:t xml:space="preserve">, a judge was required to consider finding an offender to be a long-term offender — inquiring in particular into the possibility of eventual control of the risk posed by the offender in the community — before imposing the harsher punishment applicable to a </w:t>
      </w:r>
      <w:r w:rsidRPr="00A54D93">
        <w:rPr>
          <w:rFonts w:cs="Times New Roman"/>
        </w:rPr>
        <w:lastRenderedPageBreak/>
        <w:t>dangerous offender (</w:t>
      </w:r>
      <w:proofErr w:type="spellStart"/>
      <w:r w:rsidRPr="00A54D93">
        <w:rPr>
          <w:rFonts w:cs="Times New Roman"/>
        </w:rPr>
        <w:t>para</w:t>
      </w:r>
      <w:proofErr w:type="spellEnd"/>
      <w:r w:rsidRPr="00A54D93">
        <w:rPr>
          <w:rFonts w:cs="Times New Roman"/>
        </w:rPr>
        <w:t xml:space="preserve">. 28; </w:t>
      </w:r>
      <w:proofErr w:type="spellStart"/>
      <w:r w:rsidRPr="00A54D93">
        <w:rPr>
          <w:rFonts w:cs="Times New Roman"/>
          <w:i/>
        </w:rPr>
        <w:t>Sipos</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22). Subsequent to the Court’s decision in </w:t>
      </w:r>
      <w:r w:rsidRPr="00A54D93">
        <w:rPr>
          <w:rFonts w:cs="Times New Roman"/>
          <w:i/>
        </w:rPr>
        <w:t>Johnson</w:t>
      </w:r>
      <w:r w:rsidRPr="00A54D93">
        <w:rPr>
          <w:rFonts w:cs="Times New Roman"/>
        </w:rPr>
        <w:t>, Parliament acted in 2008 to eliminate the judge’s discretion in the context of a dangerous offender application. The word “shall” now indicates that if a court is satisfied that the criteria in s. 753(1) have been met, it must find the offender to be a dangerous offender. In eliminating this discretion, however, Parliament built in a new flexibility regarding the consequences of such a finding. Before 2008, a court that found an offender to be a dangerous offender was obliged to (“shall”) impose a sentence of detention for an indeterminate period (</w:t>
      </w:r>
      <w:r w:rsidRPr="00A54D93">
        <w:rPr>
          <w:rFonts w:cs="Times New Roman"/>
          <w:i/>
        </w:rPr>
        <w:t>Johnson</w:t>
      </w:r>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5). Today, a court that makes such a finding has the option of imposing an indeterminate sentence, a determinate sentence of two years or more combined with long-term supervision for up to 10 years, or a sentence for the offence for which the offender has been convicted: s. 753(4). It may impose one of the latter two sentences only if it is satisfied that the sentence will adequately protect the public: s. 753(4.1). </w:t>
      </w:r>
    </w:p>
    <w:p w:rsidR="00DA111D" w:rsidRPr="00A54D93" w:rsidRDefault="00DA111D" w:rsidP="00DA111D">
      <w:pPr>
        <w:pStyle w:val="Title3LevelTitre3Niveau"/>
        <w:widowControl w:val="0"/>
        <w:jc w:val="both"/>
        <w:rPr>
          <w:rFonts w:cs="Times New Roman"/>
        </w:rPr>
      </w:pPr>
      <w:r w:rsidRPr="00A54D93">
        <w:rPr>
          <w:rFonts w:cs="Times New Roman"/>
        </w:rPr>
        <w:t>Specific Purpose of the SPIO Requirement in the Dangerous and Long-term Offender Scheme</w:t>
      </w:r>
    </w:p>
    <w:p w:rsidR="00DA111D" w:rsidRPr="00A54D93" w:rsidRDefault="00DA111D" w:rsidP="00DA111D">
      <w:pPr>
        <w:pStyle w:val="ParaNoNdepar-AltN"/>
        <w:widowControl w:val="0"/>
        <w:rPr>
          <w:rFonts w:cs="Times New Roman"/>
        </w:rPr>
      </w:pPr>
      <w:r w:rsidRPr="00A54D93">
        <w:rPr>
          <w:rFonts w:cs="Times New Roman"/>
        </w:rPr>
        <w:t>There are a number of procedural steps that must be taken before a court can find that an offender is a dangerous offender or a long-term offender. First of all, the prosecutor must apply to have the offender remanded for assessment: s. 752.1(1). An assessment report must then be filed before the prosecutor can apply for a finding that the offender is a dangerous offender or a long-term offender: ss. 753(1) or 753.1(1). The prosecutor must give notice to the offender outlining the basis on which it is intended to found the application: s. 754(1</w:t>
      </w:r>
      <w:proofErr w:type="gramStart"/>
      <w:r w:rsidRPr="00A54D93">
        <w:rPr>
          <w:rFonts w:cs="Times New Roman"/>
        </w:rPr>
        <w:t>)(</w:t>
      </w:r>
      <w:proofErr w:type="gramEnd"/>
      <w:r w:rsidRPr="00A54D93">
        <w:rPr>
          <w:rFonts w:cs="Times New Roman"/>
          <w:i/>
        </w:rPr>
        <w:t>b</w:t>
      </w:r>
      <w:r w:rsidRPr="00A54D93">
        <w:rPr>
          <w:rFonts w:cs="Times New Roman"/>
        </w:rPr>
        <w:t xml:space="preserve">). The Attorney General of the </w:t>
      </w:r>
      <w:r w:rsidRPr="00A54D93">
        <w:rPr>
          <w:rFonts w:cs="Times New Roman"/>
        </w:rPr>
        <w:lastRenderedPageBreak/>
        <w:t>province must consent to the application: s. 754(1</w:t>
      </w:r>
      <w:proofErr w:type="gramStart"/>
      <w:r w:rsidRPr="00A54D93">
        <w:rPr>
          <w:rFonts w:cs="Times New Roman"/>
        </w:rPr>
        <w:t>)(</w:t>
      </w:r>
      <w:proofErr w:type="gramEnd"/>
      <w:r w:rsidRPr="00A54D93">
        <w:rPr>
          <w:rFonts w:cs="Times New Roman"/>
          <w:i/>
        </w:rPr>
        <w:t>a</w:t>
      </w:r>
      <w:r w:rsidRPr="00A54D93">
        <w:rPr>
          <w:rFonts w:cs="Times New Roman"/>
        </w:rPr>
        <w:t xml:space="preserve">). All these procedural protections enhance the overall fairness of the scheme. See </w:t>
      </w:r>
      <w:r w:rsidRPr="00A54D93">
        <w:rPr>
          <w:rFonts w:cs="Times New Roman"/>
          <w:i/>
        </w:rPr>
        <w:t>Lyons</w:t>
      </w:r>
      <w:r w:rsidRPr="00A54D93">
        <w:rPr>
          <w:rFonts w:cs="Times New Roman"/>
        </w:rPr>
        <w:t>,</w:t>
      </w:r>
      <w:r w:rsidRPr="00A54D93">
        <w:rPr>
          <w:rFonts w:cs="Times New Roman"/>
          <w:i/>
        </w:rPr>
        <w:t xml:space="preserve"> </w:t>
      </w:r>
      <w:r w:rsidRPr="00A54D93">
        <w:rPr>
          <w:rFonts w:cs="Times New Roman"/>
        </w:rPr>
        <w:t>at</w:t>
      </w:r>
      <w:r w:rsidRPr="00A54D93">
        <w:rPr>
          <w:rFonts w:cs="Times New Roman"/>
          <w:i/>
        </w:rPr>
        <w:t xml:space="preserve"> </w:t>
      </w:r>
      <w:r w:rsidRPr="00A54D93">
        <w:rPr>
          <w:rFonts w:cs="Times New Roman"/>
        </w:rPr>
        <w:t xml:space="preserve">pp 362-63, for a discussion of the procedural safeguards provided for in Part XXIV. </w:t>
      </w:r>
    </w:p>
    <w:p w:rsidR="00DA111D" w:rsidRPr="00A54D93" w:rsidRDefault="00DA111D" w:rsidP="00DA111D">
      <w:pPr>
        <w:pStyle w:val="ParaNoNdepar-AltN"/>
        <w:widowControl w:val="0"/>
        <w:rPr>
          <w:rFonts w:cs="Times New Roman"/>
        </w:rPr>
      </w:pPr>
      <w:r w:rsidRPr="00A54D93">
        <w:rPr>
          <w:rFonts w:cs="Times New Roman"/>
        </w:rPr>
        <w:t xml:space="preserve">There are also substantive requirements to be met. Before the court remands an offender for assessment, it must be satisfied, first, that the offender has been convicted of an SPIO as defined in s. 752. Second, there must be reasonable grounds to believe that the offender might be found to be a dangerous offender under s. 753 or a long-term offender under s. 753.1. The SPIO requirement comes into play once again at the stage of the application for a finding that the offender is a dangerous offender, as the court must be satisfied that the offence is an SPIO before making such a finding: s. 753(1). </w:t>
      </w:r>
    </w:p>
    <w:p w:rsidR="00DA111D" w:rsidRPr="00A54D93" w:rsidRDefault="00DA111D" w:rsidP="00DA111D">
      <w:pPr>
        <w:pStyle w:val="ParaNoNdepar-AltN"/>
        <w:widowControl w:val="0"/>
        <w:rPr>
          <w:rFonts w:cs="Times New Roman"/>
        </w:rPr>
      </w:pPr>
      <w:r w:rsidRPr="00A54D93">
        <w:rPr>
          <w:rFonts w:cs="Times New Roman"/>
        </w:rPr>
        <w:t>Thus, the SPIO requirement plays a crucial role in the operation of the dangerous and long-term offender scheme. The sentences that can be imposed under Part XXIV, including indeterminate detention and long-term supervision, serve the purposes of both prevention and punishment. To the extent that the sentence is based on a risk established in light of past conduct and patterns of behaviour, it is preventive. As La</w:t>
      </w:r>
      <w:r>
        <w:rPr>
          <w:rFonts w:cs="Times New Roman"/>
        </w:rPr>
        <w:t xml:space="preserve"> </w:t>
      </w:r>
      <w:r w:rsidRPr="00A54D93">
        <w:rPr>
          <w:rFonts w:cs="Times New Roman"/>
        </w:rPr>
        <w:t xml:space="preserve">Forest J. held in </w:t>
      </w:r>
      <w:r w:rsidRPr="00A54D93">
        <w:rPr>
          <w:rFonts w:cs="Times New Roman"/>
          <w:i/>
        </w:rPr>
        <w:t>Lyons</w:t>
      </w:r>
      <w:r w:rsidRPr="00A54D93">
        <w:rPr>
          <w:rFonts w:cs="Times New Roman"/>
        </w:rPr>
        <w:t>,</w:t>
      </w:r>
      <w:r w:rsidRPr="00A54D93">
        <w:rPr>
          <w:rFonts w:cs="Times New Roman"/>
          <w:i/>
        </w:rPr>
        <w:t xml:space="preserve"> </w:t>
      </w:r>
      <w:r w:rsidRPr="00A54D93">
        <w:rPr>
          <w:rFonts w:cs="Times New Roman"/>
        </w:rPr>
        <w:t xml:space="preserve">preventive detention under Part XXIV “represents a judgment that the relative importance of the objectives of rehabilitation, deterrence and retribution are greatly attenuated in the circumstances of the individual </w:t>
      </w:r>
      <w:proofErr w:type="gramStart"/>
      <w:r w:rsidRPr="00A54D93">
        <w:rPr>
          <w:rFonts w:cs="Times New Roman"/>
        </w:rPr>
        <w:t>case,</w:t>
      </w:r>
      <w:proofErr w:type="gramEnd"/>
      <w:r w:rsidRPr="00A54D93">
        <w:rPr>
          <w:rFonts w:cs="Times New Roman"/>
        </w:rPr>
        <w:t xml:space="preserve"> and that of prevention, correspondingly increased” (p. 329). </w:t>
      </w:r>
    </w:p>
    <w:p w:rsidR="00DA111D" w:rsidRPr="00A54D93" w:rsidRDefault="00DA111D" w:rsidP="00DA111D">
      <w:pPr>
        <w:pStyle w:val="ParaNoNdepar-AltN"/>
        <w:widowControl w:val="0"/>
        <w:rPr>
          <w:rFonts w:cs="Times New Roman"/>
        </w:rPr>
      </w:pPr>
      <w:r w:rsidRPr="00A54D93">
        <w:rPr>
          <w:rFonts w:cs="Times New Roman"/>
        </w:rPr>
        <w:t xml:space="preserve">These sentences are also punitive, however, and in this regard, the </w:t>
      </w:r>
      <w:r w:rsidRPr="00A54D93">
        <w:rPr>
          <w:rFonts w:cs="Times New Roman"/>
        </w:rPr>
        <w:lastRenderedPageBreak/>
        <w:t>function of the SPIO requirement is twofold: first, it serves as a “gatekeeper” for entry into the dangerous or long-term offender system (s. 752.1(1)); second, if the Crown applies for a finding that the offender is a dangerous offender, it serves as a requirement for</w:t>
      </w:r>
      <w:r w:rsidR="008C6CE6">
        <w:rPr>
          <w:rFonts w:cs="Times New Roman"/>
        </w:rPr>
        <w:t xml:space="preserve"> the making of such a finding (</w:t>
      </w:r>
      <w:r w:rsidRPr="00A54D93">
        <w:rPr>
          <w:rFonts w:cs="Times New Roman"/>
        </w:rPr>
        <w:t xml:space="preserve">s. 753(1)). If the punitive purpose of these sentencing options were outweighed entirely by their preventive purpose, they might violate the fundamental principle of sentencing, that a sentence must be proportionate to the gravity of the offence and the degree of responsibility of the offender. The SPIO requirement helps safeguard the constitutionality of the scheme: </w:t>
      </w:r>
      <w:r w:rsidRPr="00A54D93">
        <w:rPr>
          <w:rFonts w:cs="Times New Roman"/>
          <w:i/>
        </w:rPr>
        <w:t>Lyons</w:t>
      </w:r>
      <w:r w:rsidRPr="00A54D93">
        <w:rPr>
          <w:rFonts w:cs="Times New Roman"/>
        </w:rPr>
        <w:t xml:space="preserve">, at p. 338. As Lamer C.J. put it in </w:t>
      </w:r>
      <w:r w:rsidRPr="00A54D93">
        <w:rPr>
          <w:rFonts w:cs="Times New Roman"/>
          <w:i/>
        </w:rPr>
        <w:t>Currie</w:t>
      </w:r>
      <w:r w:rsidRPr="00A54D93">
        <w:rPr>
          <w:rFonts w:cs="Times New Roman"/>
        </w:rPr>
        <w:t>, “[t]he [SPIO] requirement acts as a gatekeeper to ensure that the sentence is not disproportionate to the offence” (</w:t>
      </w:r>
      <w:proofErr w:type="spellStart"/>
      <w:r w:rsidRPr="00A54D93">
        <w:rPr>
          <w:rFonts w:cs="Times New Roman"/>
        </w:rPr>
        <w:t>para</w:t>
      </w:r>
      <w:proofErr w:type="spellEnd"/>
      <w:r w:rsidRPr="00A54D93">
        <w:rPr>
          <w:rFonts w:cs="Times New Roman"/>
        </w:rPr>
        <w:t xml:space="preserve">. 31; see also </w:t>
      </w:r>
      <w:proofErr w:type="spellStart"/>
      <w:r w:rsidRPr="00A54D93">
        <w:rPr>
          <w:rFonts w:cs="Times New Roman"/>
          <w:i/>
        </w:rPr>
        <w:t>Goforth</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44).</w:t>
      </w:r>
    </w:p>
    <w:p w:rsidR="00DA111D" w:rsidRPr="00A54D93" w:rsidRDefault="00DA111D" w:rsidP="00DA111D">
      <w:pPr>
        <w:pStyle w:val="ParaNoNdepar-AltN"/>
        <w:widowControl w:val="0"/>
        <w:rPr>
          <w:rFonts w:cs="Times New Roman"/>
        </w:rPr>
      </w:pPr>
      <w:r w:rsidRPr="00A54D93">
        <w:rPr>
          <w:rFonts w:cs="Times New Roman"/>
        </w:rPr>
        <w:t xml:space="preserve">These two purposes, one of them general and the other specific, are in conflict. In interpreting the definition of an SPIO, I must give effect to the overall protective purpose of Part XXIV, while also furthering the specific purpose of the SPIO requirement by tying the punishment to the predicate offence and safeguarding the objective of proportionality. Whereas an unduly narrow interpretation of the words “use or attempted use of violence” could preclude courts from remanding potentially dangerous offenders for assessment and thereby undermine the goal of public protection, an unduly broad interpretation of those words would dilute the gatekeeper function of the SPIO requirement and jeopardize the scheme’s objective of proportionality. </w:t>
      </w:r>
    </w:p>
    <w:p w:rsidR="00DA111D" w:rsidRPr="00A54D93" w:rsidRDefault="00DA111D" w:rsidP="00DA111D">
      <w:pPr>
        <w:pStyle w:val="ParaNoNdepar-AltN"/>
        <w:widowControl w:val="0"/>
        <w:rPr>
          <w:rFonts w:cs="Times New Roman"/>
        </w:rPr>
      </w:pPr>
      <w:r w:rsidRPr="00A54D93">
        <w:rPr>
          <w:rFonts w:cs="Times New Roman"/>
        </w:rPr>
        <w:t xml:space="preserve">The Crown relies on the Court’s statement in </w:t>
      </w:r>
      <w:r w:rsidRPr="00A54D93">
        <w:rPr>
          <w:rFonts w:cs="Times New Roman"/>
          <w:i/>
        </w:rPr>
        <w:t xml:space="preserve">Currie </w:t>
      </w:r>
      <w:r w:rsidRPr="00A54D93">
        <w:rPr>
          <w:rFonts w:cs="Times New Roman"/>
        </w:rPr>
        <w:t xml:space="preserve">that the SPIO </w:t>
      </w:r>
      <w:r w:rsidRPr="00A54D93">
        <w:rPr>
          <w:rFonts w:cs="Times New Roman"/>
        </w:rPr>
        <w:lastRenderedPageBreak/>
        <w:t>requirement “merely triggers the [s. 753(1</w:t>
      </w:r>
      <w:proofErr w:type="gramStart"/>
      <w:r w:rsidRPr="00A54D93">
        <w:rPr>
          <w:rFonts w:cs="Times New Roman"/>
        </w:rPr>
        <w:t>)(</w:t>
      </w:r>
      <w:proofErr w:type="gramEnd"/>
      <w:r w:rsidRPr="00A54D93">
        <w:rPr>
          <w:rFonts w:cs="Times New Roman"/>
          <w:i/>
        </w:rPr>
        <w:t>b</w:t>
      </w:r>
      <w:r w:rsidRPr="00A54D93">
        <w:rPr>
          <w:rFonts w:cs="Times New Roman"/>
        </w:rPr>
        <w:t>)] application process. There remains a second stage to [s. 753(1)(</w:t>
      </w:r>
      <w:r w:rsidRPr="00A54D93">
        <w:rPr>
          <w:rFonts w:cs="Times New Roman"/>
          <w:i/>
        </w:rPr>
        <w:t>b</w:t>
      </w:r>
      <w:r w:rsidRPr="00A54D93">
        <w:rPr>
          <w:rFonts w:cs="Times New Roman"/>
        </w:rPr>
        <w:t>)], at which point the trial judge must be satisfied beyond a reasonable doubt of the likelihood of future danger that an offender presents to society before he or she can impose the dangerous offender designation and an indeterminate sentence” (</w:t>
      </w:r>
      <w:r w:rsidRPr="00A54D93">
        <w:rPr>
          <w:rFonts w:cs="Times New Roman"/>
          <w:i/>
        </w:rPr>
        <w:t>Currie</w:t>
      </w:r>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25). This comment was made in the context of a finding that an offender is a dangerous offender on the basis of s. 753(1</w:t>
      </w:r>
      <w:proofErr w:type="gramStart"/>
      <w:r w:rsidRPr="00A54D93">
        <w:rPr>
          <w:rFonts w:cs="Times New Roman"/>
        </w:rPr>
        <w:t>)(</w:t>
      </w:r>
      <w:proofErr w:type="gramEnd"/>
      <w:r w:rsidRPr="00A54D93">
        <w:rPr>
          <w:rFonts w:cs="Times New Roman"/>
          <w:i/>
        </w:rPr>
        <w:t>b</w:t>
      </w:r>
      <w:r w:rsidRPr="00A54D93">
        <w:rPr>
          <w:rFonts w:cs="Times New Roman"/>
        </w:rPr>
        <w:t xml:space="preserve">) — that is, in relation to the commission of one of the sexual offences enumerated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of the definition of an SPIO in s. 752 — but the same logic applies to a finding made under s. 753(1)(</w:t>
      </w:r>
      <w:r w:rsidRPr="00A54D93">
        <w:rPr>
          <w:rFonts w:cs="Times New Roman"/>
          <w:i/>
        </w:rPr>
        <w:t>a</w:t>
      </w:r>
      <w:r w:rsidRPr="00A54D93">
        <w:rPr>
          <w:rFonts w:cs="Times New Roman"/>
        </w:rPr>
        <w:t xml:space="preserve">), which provides that the predicate offence must “for[m] a part” of a pattern of behaviour underlying the threat the offender constitutes or be “associated with” particularly brutal behaviour relied on as evidence of that threat. In every case, the sentence is based on past conduct or patterns of behaviour, but it cannot be divorced entirely from the predicate offence. </w:t>
      </w:r>
    </w:p>
    <w:p w:rsidR="00DA111D" w:rsidRPr="00A54D93" w:rsidRDefault="00DA111D" w:rsidP="00DA111D">
      <w:pPr>
        <w:pStyle w:val="Title3LevelTitre3Niveau"/>
        <w:widowControl w:val="0"/>
        <w:jc w:val="both"/>
        <w:rPr>
          <w:rFonts w:cs="Times New Roman"/>
        </w:rPr>
      </w:pPr>
      <w:r w:rsidRPr="00A54D93">
        <w:rPr>
          <w:rFonts w:cs="Times New Roman"/>
        </w:rPr>
        <w:t>Words “Use or Attempted Use of Violence” Do Not Include a Requirement of Objective Seriousness</w:t>
      </w:r>
    </w:p>
    <w:p w:rsidR="00DA111D" w:rsidRPr="00A54D93" w:rsidRDefault="00DA111D" w:rsidP="00DA111D">
      <w:pPr>
        <w:pStyle w:val="ParaNoNdepar-AltN"/>
        <w:widowControl w:val="0"/>
        <w:rPr>
          <w:rFonts w:cs="Times New Roman"/>
        </w:rPr>
      </w:pPr>
      <w:r w:rsidRPr="00A54D93">
        <w:rPr>
          <w:rFonts w:cs="Times New Roman"/>
        </w:rPr>
        <w:t xml:space="preserve">This Court’s statement in </w:t>
      </w:r>
      <w:r w:rsidRPr="00A54D93">
        <w:rPr>
          <w:rFonts w:cs="Times New Roman"/>
          <w:i/>
        </w:rPr>
        <w:t xml:space="preserve">Lyons </w:t>
      </w:r>
      <w:r w:rsidRPr="00A54D93">
        <w:rPr>
          <w:rFonts w:cs="Times New Roman"/>
        </w:rPr>
        <w:t xml:space="preserve">(at p. 324) that the offences falling within the definition of an SPIO are “very serious violent crimes” reflects the importance of the SPIO requirement in the overall scheme. Some courts took this statement to mean that in every case the predicate offence must on its own warrant the kind of punishment imposed under Part XXIV, but this represents an incorrect reading of </w:t>
      </w:r>
      <w:r w:rsidRPr="00A54D93">
        <w:rPr>
          <w:rFonts w:cs="Times New Roman"/>
          <w:i/>
        </w:rPr>
        <w:t xml:space="preserve">Lyons. </w:t>
      </w:r>
      <w:r w:rsidRPr="00A54D93">
        <w:rPr>
          <w:rFonts w:cs="Times New Roman"/>
        </w:rPr>
        <w:t xml:space="preserve">As this Court explained in </w:t>
      </w:r>
      <w:r w:rsidRPr="00A54D93">
        <w:rPr>
          <w:rFonts w:cs="Times New Roman"/>
          <w:i/>
        </w:rPr>
        <w:t>Currie</w:t>
      </w:r>
      <w:r w:rsidRPr="00A54D93">
        <w:rPr>
          <w:rFonts w:cs="Times New Roman"/>
        </w:rPr>
        <w:t xml:space="preserve">, at </w:t>
      </w:r>
      <w:proofErr w:type="spellStart"/>
      <w:r w:rsidRPr="00A54D93">
        <w:rPr>
          <w:rFonts w:cs="Times New Roman"/>
        </w:rPr>
        <w:t>para</w:t>
      </w:r>
      <w:proofErr w:type="spellEnd"/>
      <w:r w:rsidRPr="00A54D93">
        <w:rPr>
          <w:rFonts w:cs="Times New Roman"/>
        </w:rPr>
        <w:t>. 28</w:t>
      </w:r>
      <w:r w:rsidRPr="00A54D93">
        <w:rPr>
          <w:rFonts w:cs="Times New Roman"/>
          <w:i/>
        </w:rPr>
        <w:t xml:space="preserve">, </w:t>
      </w:r>
      <w:r w:rsidRPr="00A54D93">
        <w:rPr>
          <w:rFonts w:cs="Times New Roman"/>
        </w:rPr>
        <w:t>the wo</w:t>
      </w:r>
      <w:r w:rsidR="008C6CE6">
        <w:rPr>
          <w:rFonts w:cs="Times New Roman"/>
        </w:rPr>
        <w:t>rds “very serious violent crime</w:t>
      </w:r>
      <w:r w:rsidRPr="00A54D93">
        <w:rPr>
          <w:rFonts w:cs="Times New Roman"/>
        </w:rPr>
        <w:t xml:space="preserve">” </w:t>
      </w:r>
      <w:proofErr w:type="gramStart"/>
      <w:r w:rsidRPr="00A54D93">
        <w:rPr>
          <w:rFonts w:cs="Times New Roman"/>
        </w:rPr>
        <w:t>were</w:t>
      </w:r>
      <w:proofErr w:type="gramEnd"/>
      <w:r w:rsidRPr="00A54D93">
        <w:rPr>
          <w:rFonts w:cs="Times New Roman"/>
        </w:rPr>
        <w:t xml:space="preserve"> used in relation to the specific facts of </w:t>
      </w:r>
      <w:r w:rsidRPr="00A54D93">
        <w:rPr>
          <w:rFonts w:cs="Times New Roman"/>
          <w:i/>
        </w:rPr>
        <w:t xml:space="preserve">Lyons </w:t>
      </w:r>
      <w:r w:rsidRPr="00A54D93">
        <w:rPr>
          <w:rFonts w:cs="Times New Roman"/>
        </w:rPr>
        <w:t xml:space="preserve">and did not require that all </w:t>
      </w:r>
      <w:r w:rsidRPr="00A54D93">
        <w:rPr>
          <w:rFonts w:cs="Times New Roman"/>
        </w:rPr>
        <w:lastRenderedPageBreak/>
        <w:t xml:space="preserve">predicate offences fit that description. A predicate offence must be serious, but the degree of seriousness intended by Parliament is exhaustively set out in the definition of an SPIO in s. 752. </w:t>
      </w:r>
    </w:p>
    <w:p w:rsidR="00DA111D" w:rsidRPr="00A54D93" w:rsidRDefault="00DA111D" w:rsidP="00DA111D">
      <w:pPr>
        <w:pStyle w:val="ParaNoNdepar-AltN"/>
        <w:widowControl w:val="0"/>
        <w:rPr>
          <w:rFonts w:cs="Times New Roman"/>
        </w:rPr>
      </w:pPr>
      <w:r w:rsidRPr="00A54D93">
        <w:rPr>
          <w:rFonts w:cs="Times New Roman"/>
        </w:rPr>
        <w:t>Paragraph (</w:t>
      </w:r>
      <w:r w:rsidRPr="00A54D93">
        <w:rPr>
          <w:rFonts w:cs="Times New Roman"/>
          <w:i/>
        </w:rPr>
        <w:t>a</w:t>
      </w:r>
      <w:r w:rsidRPr="00A54D93">
        <w:rPr>
          <w:rFonts w:cs="Times New Roman"/>
        </w:rPr>
        <w:t>) of the definition in s. 752 requires, first, that the offence be an indictable offence, second, that the maximum sentence for the offence be imprisonment for 10 years or more and, third, that the offence involve (</w:t>
      </w:r>
      <w:proofErr w:type="spellStart"/>
      <w:r w:rsidRPr="00A54D93">
        <w:rPr>
          <w:rFonts w:cs="Times New Roman"/>
        </w:rPr>
        <w:t>i</w:t>
      </w:r>
      <w:proofErr w:type="spellEnd"/>
      <w:r w:rsidRPr="00A54D93">
        <w:rPr>
          <w:rFonts w:cs="Times New Roman"/>
        </w:rPr>
        <w:t xml:space="preserve">) the use or attempted use of violence against another person, or (ii) conduct endangering or likely to endanger the life or safety of another person or inflicting or likely to inflict severe psychological damage on another person.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the word “violence” is not qualified, which means that the criteria may be satisfied even if the violence in question is not in itself “serious” (see </w:t>
      </w:r>
      <w:proofErr w:type="spellStart"/>
      <w:r w:rsidRPr="00A54D93">
        <w:rPr>
          <w:rFonts w:cs="Times New Roman"/>
          <w:i/>
        </w:rPr>
        <w:t>Goforth</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21; </w:t>
      </w:r>
      <w:proofErr w:type="spellStart"/>
      <w:r w:rsidRPr="00A54D93">
        <w:rPr>
          <w:rFonts w:cs="Times New Roman"/>
          <w:i/>
        </w:rPr>
        <w:t>Lebar</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67; </w:t>
      </w:r>
      <w:r w:rsidRPr="00A54D93">
        <w:rPr>
          <w:rFonts w:cs="Times New Roman"/>
          <w:i/>
        </w:rPr>
        <w:t>R. v. Smith</w:t>
      </w:r>
      <w:r w:rsidRPr="00A54D93">
        <w:rPr>
          <w:rFonts w:cs="Times New Roman"/>
        </w:rPr>
        <w:t>,</w:t>
      </w:r>
      <w:r w:rsidRPr="00A54D93">
        <w:rPr>
          <w:rFonts w:cs="Times New Roman"/>
          <w:i/>
        </w:rPr>
        <w:t xml:space="preserve"> </w:t>
      </w:r>
      <w:r w:rsidRPr="00A54D93">
        <w:rPr>
          <w:rFonts w:cs="Times New Roman"/>
        </w:rPr>
        <w:t>2012 ONCA 645 (</w:t>
      </w:r>
      <w:proofErr w:type="spellStart"/>
      <w:r w:rsidRPr="00A54D93">
        <w:rPr>
          <w:rFonts w:cs="Times New Roman"/>
        </w:rPr>
        <w:t>CanLII</w:t>
      </w:r>
      <w:proofErr w:type="spellEnd"/>
      <w:r w:rsidRPr="00A54D93">
        <w:rPr>
          <w:rFonts w:cs="Times New Roman"/>
        </w:rPr>
        <w:t xml:space="preserve">), at </w:t>
      </w:r>
      <w:proofErr w:type="spellStart"/>
      <w:r w:rsidRPr="00A54D93">
        <w:rPr>
          <w:rFonts w:cs="Times New Roman"/>
        </w:rPr>
        <w:t>para</w:t>
      </w:r>
      <w:proofErr w:type="spellEnd"/>
      <w:r w:rsidRPr="00A54D93">
        <w:rPr>
          <w:rFonts w:cs="Times New Roman"/>
        </w:rPr>
        <w:t xml:space="preserve">. 2). The degree of seriousness intended by Parliament exists if all three requirements of the definition are met. Thus, an offence that involves the use or attempted use of violence against another person is not an SPIO under </w:t>
      </w:r>
      <w:proofErr w:type="spellStart"/>
      <w:r w:rsidRPr="00A54D93">
        <w:rPr>
          <w:rFonts w:cs="Times New Roman"/>
        </w:rPr>
        <w:t>para</w:t>
      </w:r>
      <w:proofErr w:type="spellEnd"/>
      <w:r w:rsidRPr="00A54D93">
        <w:rPr>
          <w:rFonts w:cs="Times New Roman"/>
        </w:rPr>
        <w:t>. (</w:t>
      </w:r>
      <w:r w:rsidRPr="00A54D93">
        <w:rPr>
          <w:rFonts w:cs="Times New Roman"/>
          <w:i/>
        </w:rPr>
        <w:t>a</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if it is not an indictable offence or if it is not punishable by a sentence of imprisonment for 10 years or more. Just as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does not invite the court to assess the manner of commission of the enumerated offences,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does</w:t>
      </w:r>
      <w:proofErr w:type="gramEnd"/>
      <w:r w:rsidRPr="00A54D93">
        <w:rPr>
          <w:rFonts w:cs="Times New Roman"/>
        </w:rPr>
        <w:t xml:space="preserve"> not invite it to assess the seriousness of the violence the offender used or attempted to use; any level of violence is sufficient. </w:t>
      </w:r>
    </w:p>
    <w:p w:rsidR="00DA111D" w:rsidRPr="00A54D93" w:rsidRDefault="00DA111D" w:rsidP="00DA111D">
      <w:pPr>
        <w:pStyle w:val="ParaNoNdepar-AltN"/>
        <w:widowControl w:val="0"/>
        <w:rPr>
          <w:rFonts w:cs="Times New Roman"/>
        </w:rPr>
      </w:pPr>
      <w:r w:rsidRPr="00A54D93">
        <w:rPr>
          <w:rFonts w:cs="Times New Roman"/>
        </w:rPr>
        <w:t xml:space="preserve">This interpretation is consistent with the gatekeeper function of the SPIO requirement. An offender who commits an indictable offence for which he or she may be sentenced to imprisonment for 10 years or more and that involves the use or </w:t>
      </w:r>
      <w:r w:rsidRPr="00A54D93">
        <w:rPr>
          <w:rFonts w:cs="Times New Roman"/>
        </w:rPr>
        <w:lastRenderedPageBreak/>
        <w:t>attempted use of violence against a person commits what Parliament has defined as an SPIO; it is not necessary to further inquire into the level of the violence in question. If the offender is remanded for assessment and is then found, on the basis of past conduct and patterns of behaviour, to be a dangerous offender or a long-term offender, it cannot be said that the offender was “</w:t>
      </w:r>
      <w:r w:rsidRPr="00A54D93">
        <w:rPr>
          <w:rFonts w:cs="Times New Roman"/>
          <w:spacing w:val="-3"/>
        </w:rPr>
        <w:t>picked up off the street because of his past criminality (for which he has already been punished), or because of fears or suspicions about his criminal proclivities, and then subjected to a procedure in order to determine whether society would be better off if he were incarcerated indefinitely</w:t>
      </w:r>
      <w:r w:rsidRPr="00A54D93">
        <w:rPr>
          <w:rFonts w:cs="Times New Roman"/>
        </w:rPr>
        <w:t>” (</w:t>
      </w:r>
      <w:r w:rsidRPr="00A54D93">
        <w:rPr>
          <w:rFonts w:cs="Times New Roman"/>
          <w:i/>
        </w:rPr>
        <w:t>Lyons</w:t>
      </w:r>
      <w:r w:rsidRPr="00A54D93">
        <w:rPr>
          <w:rFonts w:cs="Times New Roman"/>
        </w:rPr>
        <w:t>, at p. 328). Rather, the punishment “flows from the actual commission of a specific crime, the requisite elements of which have been proved to exist beyond a reasonable doubt” (</w:t>
      </w:r>
      <w:r w:rsidRPr="00A54D93">
        <w:rPr>
          <w:rFonts w:cs="Times New Roman"/>
          <w:i/>
        </w:rPr>
        <w:t>ibid.</w:t>
      </w:r>
      <w:r w:rsidRPr="00A54D93">
        <w:rPr>
          <w:rFonts w:cs="Times New Roman"/>
        </w:rPr>
        <w:t xml:space="preserve">). See also </w:t>
      </w:r>
      <w:r w:rsidRPr="00A54D93">
        <w:rPr>
          <w:rFonts w:cs="Times New Roman"/>
          <w:i/>
        </w:rPr>
        <w:t>Johnson</w:t>
      </w:r>
      <w:r w:rsidRPr="00A54D93">
        <w:rPr>
          <w:rFonts w:cs="Times New Roman"/>
        </w:rPr>
        <w:t xml:space="preserve">, at </w:t>
      </w:r>
      <w:proofErr w:type="spellStart"/>
      <w:r w:rsidRPr="00A54D93">
        <w:rPr>
          <w:rFonts w:cs="Times New Roman"/>
        </w:rPr>
        <w:t>para</w:t>
      </w:r>
      <w:proofErr w:type="spellEnd"/>
      <w:r w:rsidRPr="00A54D93">
        <w:rPr>
          <w:rFonts w:cs="Times New Roman"/>
        </w:rPr>
        <w:t xml:space="preserve">. 23, in which the Court mentioned that dangerous and long-term offender proceedings form part of the sentencing process. </w:t>
      </w:r>
    </w:p>
    <w:p w:rsidR="00DA111D" w:rsidRPr="00A54D93" w:rsidRDefault="00DA111D" w:rsidP="00DA111D">
      <w:pPr>
        <w:pStyle w:val="ParaNoNdepar-AltN"/>
        <w:widowControl w:val="0"/>
        <w:rPr>
          <w:rFonts w:cs="Times New Roman"/>
        </w:rPr>
      </w:pPr>
      <w:r w:rsidRPr="00A54D93">
        <w:rPr>
          <w:rFonts w:cs="Times New Roman"/>
        </w:rPr>
        <w:t>This statutory framework enables courts to properly sentence dangerous offenders who have committed SPIOs “without having to wait for them to strike out in a particularly egregious way” (</w:t>
      </w:r>
      <w:r w:rsidRPr="00A54D93">
        <w:rPr>
          <w:rFonts w:cs="Times New Roman"/>
          <w:i/>
        </w:rPr>
        <w:t>Currie</w:t>
      </w:r>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26). For our purposes, the jurisprudence confirms that the words “use or attempted use of violence” must be read in their grammatical and ordinary sense, having regard to their statutory context. Neither the purpose of the SPIO requirement nor that of Part XXIV warrants reading in a qualitative minimum level of violence. </w:t>
      </w:r>
    </w:p>
    <w:p w:rsidR="00DA111D" w:rsidRPr="00A54D93" w:rsidRDefault="00DA111D" w:rsidP="00DA111D">
      <w:pPr>
        <w:pStyle w:val="Title2LevelTitre2Niveau"/>
        <w:widowControl w:val="0"/>
        <w:rPr>
          <w:rFonts w:cs="Times New Roman"/>
        </w:rPr>
      </w:pPr>
      <w:r w:rsidRPr="00A54D93">
        <w:rPr>
          <w:rFonts w:cs="Times New Roman"/>
        </w:rPr>
        <w:t>Plain Meaning of the Term “Violence” in the Context of the Criminal Code and Other Legislation</w:t>
      </w:r>
    </w:p>
    <w:p w:rsidR="00DA111D" w:rsidRPr="00A54D93" w:rsidRDefault="00DA111D" w:rsidP="00DA111D">
      <w:pPr>
        <w:pStyle w:val="ParaNoNdepar-AltN"/>
        <w:widowControl w:val="0"/>
        <w:rPr>
          <w:rFonts w:cs="Times New Roman"/>
        </w:rPr>
      </w:pPr>
      <w:r w:rsidRPr="00A54D93">
        <w:rPr>
          <w:rFonts w:cs="Times New Roman"/>
        </w:rPr>
        <w:lastRenderedPageBreak/>
        <w:t xml:space="preserve">The question of what constitutes violence is as old as the criminal law itself. It is a moral question as much as a legal one, and no doubt society’s answer to it has changed in tandem with evolving social mores. I will not attempt — nor am I required — to answer it definitively. However, in interpreting the words “use or attempted use of violence”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 must endeavour to ascertain their “plain meaning”. In this regard, I am aided by dictionary definitions as well as by judicial interpretations from a variety of contexts involving both the </w:t>
      </w:r>
      <w:r w:rsidRPr="00A54D93">
        <w:rPr>
          <w:rFonts w:cs="Times New Roman"/>
          <w:i/>
        </w:rPr>
        <w:t>Criminal Code</w:t>
      </w:r>
      <w:r w:rsidRPr="00A54D93">
        <w:rPr>
          <w:rFonts w:cs="Times New Roman"/>
        </w:rPr>
        <w:t xml:space="preserve"> and other legislation. I will explain a conflict that exists between </w:t>
      </w:r>
      <w:r w:rsidRPr="00A54D93">
        <w:rPr>
          <w:rFonts w:cs="Times New Roman"/>
          <w:i/>
        </w:rPr>
        <w:t>harm-based</w:t>
      </w:r>
      <w:r w:rsidRPr="00A54D93">
        <w:rPr>
          <w:rFonts w:cs="Times New Roman"/>
        </w:rPr>
        <w:t xml:space="preserve"> definitions of violence that focus on acts by which a person causes, attempts to cause or threatens to cause harm, and </w:t>
      </w:r>
      <w:r w:rsidRPr="00A54D93">
        <w:rPr>
          <w:rFonts w:cs="Times New Roman"/>
          <w:i/>
        </w:rPr>
        <w:t>force-based</w:t>
      </w:r>
      <w:r w:rsidRPr="00A54D93">
        <w:rPr>
          <w:rFonts w:cs="Times New Roman"/>
        </w:rPr>
        <w:t xml:space="preserve"> definitions that focus on the physical nature of the act. Building upon this Court’s reasoning in </w:t>
      </w:r>
      <w:r w:rsidRPr="00A54D93">
        <w:rPr>
          <w:rFonts w:cs="Times New Roman"/>
          <w:i/>
        </w:rPr>
        <w:t>C.D.</w:t>
      </w:r>
      <w:r w:rsidRPr="00A54D93">
        <w:rPr>
          <w:rFonts w:cs="Times New Roman"/>
        </w:rPr>
        <w:t xml:space="preserve"> and subsequent cases, I conclude that the prevailing definition of violence is a harm-based one. </w:t>
      </w:r>
    </w:p>
    <w:p w:rsidR="00DA111D" w:rsidRPr="00A54D93" w:rsidRDefault="00DA111D" w:rsidP="00DA111D">
      <w:pPr>
        <w:pStyle w:val="ParaNoNdepar-AltN"/>
        <w:widowControl w:val="0"/>
        <w:rPr>
          <w:rFonts w:cs="Times New Roman"/>
        </w:rPr>
      </w:pPr>
      <w:r w:rsidRPr="00A54D93">
        <w:rPr>
          <w:rFonts w:cs="Times New Roman"/>
        </w:rPr>
        <w:t xml:space="preserve">In </w:t>
      </w:r>
      <w:r w:rsidRPr="00A54D93">
        <w:rPr>
          <w:rFonts w:cs="Times New Roman"/>
          <w:i/>
        </w:rPr>
        <w:t>C.D.</w:t>
      </w:r>
      <w:r w:rsidRPr="00A54D93">
        <w:rPr>
          <w:rFonts w:cs="Times New Roman"/>
        </w:rPr>
        <w:t xml:space="preserve">, </w:t>
      </w:r>
      <w:proofErr w:type="spellStart"/>
      <w:r w:rsidRPr="00A54D93">
        <w:rPr>
          <w:rFonts w:cs="Times New Roman"/>
        </w:rPr>
        <w:t>Bastarache</w:t>
      </w:r>
      <w:proofErr w:type="spellEnd"/>
      <w:r w:rsidRPr="00A54D93">
        <w:rPr>
          <w:rFonts w:cs="Times New Roman"/>
        </w:rPr>
        <w:t xml:space="preserve"> J. began his discussion of the definition of </w:t>
      </w:r>
      <w:r w:rsidR="008C6CE6">
        <w:rPr>
          <w:rFonts w:cs="Times New Roman"/>
        </w:rPr>
        <w:t>“</w:t>
      </w:r>
      <w:r w:rsidRPr="00A54D93">
        <w:rPr>
          <w:rFonts w:cs="Times New Roman"/>
        </w:rPr>
        <w:t>violence</w:t>
      </w:r>
      <w:r w:rsidR="008C6CE6">
        <w:rPr>
          <w:rFonts w:cs="Times New Roman"/>
        </w:rPr>
        <w:t>”</w:t>
      </w:r>
      <w:r w:rsidRPr="00A54D93">
        <w:rPr>
          <w:rFonts w:cs="Times New Roman"/>
        </w:rPr>
        <w:t xml:space="preserve"> by noting that there is disagreement with respect to its grammatical and ordinary meaning. After quoting one dictionary definition of </w:t>
      </w:r>
      <w:r w:rsidR="008C6CE6">
        <w:rPr>
          <w:rFonts w:cs="Times New Roman"/>
        </w:rPr>
        <w:t>“</w:t>
      </w:r>
      <w:r w:rsidRPr="00A54D93">
        <w:rPr>
          <w:rFonts w:cs="Times New Roman"/>
        </w:rPr>
        <w:t>violence</w:t>
      </w:r>
      <w:r w:rsidR="008C6CE6">
        <w:rPr>
          <w:rFonts w:cs="Times New Roman"/>
        </w:rPr>
        <w:t>”</w:t>
      </w:r>
      <w:r w:rsidRPr="00A54D93">
        <w:rPr>
          <w:rFonts w:cs="Times New Roman"/>
        </w:rPr>
        <w:t>, namely “[t]he exercise of physical force so as to inflict injury on, or cause damage to, persons or property” (</w:t>
      </w:r>
      <w:r w:rsidRPr="00A54D93">
        <w:rPr>
          <w:rFonts w:cs="Times New Roman"/>
          <w:i/>
        </w:rPr>
        <w:t xml:space="preserve">The </w:t>
      </w:r>
      <w:r w:rsidRPr="00A54D93">
        <w:rPr>
          <w:rFonts w:cs="Times New Roman"/>
          <w:i/>
          <w:iCs/>
        </w:rPr>
        <w:t>Oxford English Dictionary</w:t>
      </w:r>
      <w:r w:rsidRPr="00A54D93">
        <w:rPr>
          <w:rFonts w:cs="Times New Roman"/>
        </w:rPr>
        <w:t xml:space="preserve"> (2nd ed. 1989), at p. 654), </w:t>
      </w:r>
      <w:proofErr w:type="spellStart"/>
      <w:r w:rsidRPr="00A54D93">
        <w:rPr>
          <w:rFonts w:cs="Times New Roman"/>
        </w:rPr>
        <w:t>Bastarache</w:t>
      </w:r>
      <w:proofErr w:type="spellEnd"/>
      <w:r w:rsidRPr="00A54D93">
        <w:rPr>
          <w:rFonts w:cs="Times New Roman"/>
        </w:rPr>
        <w:t xml:space="preserve"> J. noted that violence is ordinarily understood not only in terms of the use of force, but also in terms of the effects of that use. This conflict is reflected in judicial definitions, as Prof. Teresa </w:t>
      </w:r>
      <w:proofErr w:type="spellStart"/>
      <w:r w:rsidRPr="00A54D93">
        <w:rPr>
          <w:rFonts w:cs="Times New Roman"/>
        </w:rPr>
        <w:t>Scassa</w:t>
      </w:r>
      <w:proofErr w:type="spellEnd"/>
      <w:r w:rsidRPr="00A54D93">
        <w:rPr>
          <w:rFonts w:cs="Times New Roman"/>
        </w:rPr>
        <w:t xml:space="preserve"> explains:</w:t>
      </w:r>
    </w:p>
    <w:p w:rsidR="00DA111D" w:rsidRPr="00A54D93" w:rsidRDefault="00DA111D" w:rsidP="00DA111D">
      <w:pPr>
        <w:pStyle w:val="Citation-AltC"/>
        <w:widowControl w:val="0"/>
        <w:ind w:firstLine="274"/>
      </w:pPr>
      <w:r w:rsidRPr="00A54D93">
        <w:t xml:space="preserve">It is significant that the Criminal Code, which one might assume to be </w:t>
      </w:r>
      <w:r w:rsidRPr="00A54D93">
        <w:lastRenderedPageBreak/>
        <w:t xml:space="preserve">the “bible” of the control of violence in society, offers no definition of violence. It is, surprisingly, perhaps the most “assumed” term within the entire Code. Offences which one might consider the most “violent” of all crimes, such as murder and assault, do not mention violence. Rather, they talk about concrete, measurable things like “death” and “bodily harm.” </w:t>
      </w:r>
    </w:p>
    <w:p w:rsidR="00DA111D" w:rsidRPr="00A54D93" w:rsidRDefault="00DA111D" w:rsidP="00DA111D">
      <w:pPr>
        <w:pStyle w:val="Citation-AltC"/>
        <w:widowControl w:val="0"/>
      </w:pPr>
    </w:p>
    <w:p w:rsidR="00DA111D" w:rsidRPr="00A54D93" w:rsidRDefault="00DA111D" w:rsidP="00570AD5">
      <w:pPr>
        <w:pStyle w:val="Citation-AltC"/>
        <w:widowControl w:val="0"/>
        <w:ind w:left="0"/>
      </w:pPr>
      <w:r w:rsidRPr="00A54D93">
        <w:t>(T.</w:t>
      </w:r>
      <w:r>
        <w:t xml:space="preserve"> </w:t>
      </w:r>
      <w:proofErr w:type="spellStart"/>
      <w:r w:rsidRPr="00A54D93">
        <w:t>Scassa</w:t>
      </w:r>
      <w:proofErr w:type="spellEnd"/>
      <w:r w:rsidRPr="00A54D93">
        <w:t xml:space="preserve">, “Violence Against Women in Law Schools” (1992), 30 </w:t>
      </w:r>
      <w:r w:rsidRPr="00A54D93">
        <w:rPr>
          <w:i/>
          <w:iCs/>
        </w:rPr>
        <w:t>Alta</w:t>
      </w:r>
      <w:r w:rsidRPr="00A54D93">
        <w:t xml:space="preserve">. </w:t>
      </w:r>
      <w:r w:rsidRPr="00A54D93">
        <w:rPr>
          <w:i/>
          <w:iCs/>
        </w:rPr>
        <w:t>L. Rev.</w:t>
      </w:r>
      <w:r w:rsidRPr="00A54D93">
        <w:t xml:space="preserve"> 809, at p. 816, cited in </w:t>
      </w:r>
      <w:r w:rsidRPr="00A54D93">
        <w:rPr>
          <w:i/>
        </w:rPr>
        <w:t>C.D.</w:t>
      </w:r>
      <w:r w:rsidRPr="00A54D93">
        <w:t>,</w:t>
      </w:r>
      <w:r w:rsidRPr="00A54D93">
        <w:rPr>
          <w:i/>
        </w:rPr>
        <w:t xml:space="preserve"> </w:t>
      </w:r>
      <w:r w:rsidRPr="00A54D93">
        <w:t>at</w:t>
      </w:r>
      <w:r w:rsidRPr="00A54D93">
        <w:rPr>
          <w:i/>
        </w:rPr>
        <w:t xml:space="preserve"> </w:t>
      </w:r>
      <w:proofErr w:type="spellStart"/>
      <w:r w:rsidRPr="00A54D93">
        <w:t>para</w:t>
      </w:r>
      <w:proofErr w:type="spellEnd"/>
      <w:r w:rsidRPr="00A54D93">
        <w:t>. 30</w:t>
      </w:r>
      <w:r w:rsidR="008C6CE6">
        <w:t>.</w:t>
      </w:r>
      <w:r w:rsidRPr="00A54D93">
        <w:t>)</w:t>
      </w:r>
    </w:p>
    <w:p w:rsidR="00DA111D" w:rsidRPr="00A54D93" w:rsidRDefault="00DA111D" w:rsidP="00DA111D">
      <w:pPr>
        <w:pStyle w:val="ParaNoNdepar-AltN"/>
        <w:widowControl w:val="0"/>
        <w:rPr>
          <w:rFonts w:cs="Times New Roman"/>
        </w:rPr>
      </w:pPr>
      <w:r w:rsidRPr="00A54D93">
        <w:rPr>
          <w:rFonts w:cs="Times New Roman"/>
        </w:rPr>
        <w:t xml:space="preserve">I would add that even dictionary definitions of </w:t>
      </w:r>
      <w:r w:rsidR="008C6CE6">
        <w:rPr>
          <w:rFonts w:cs="Times New Roman"/>
        </w:rPr>
        <w:t>“</w:t>
      </w:r>
      <w:r w:rsidRPr="00A54D93">
        <w:rPr>
          <w:rFonts w:cs="Times New Roman"/>
        </w:rPr>
        <w:t>violence</w:t>
      </w:r>
      <w:r w:rsidR="008C6CE6">
        <w:rPr>
          <w:rFonts w:cs="Times New Roman"/>
        </w:rPr>
        <w:t>”</w:t>
      </w:r>
      <w:r w:rsidRPr="00A54D93">
        <w:rPr>
          <w:rFonts w:cs="Times New Roman"/>
        </w:rPr>
        <w:t xml:space="preserve"> vary, reflecting both harm-based and force-based approaches. For instance, </w:t>
      </w:r>
      <w:r w:rsidRPr="00A54D93">
        <w:rPr>
          <w:rFonts w:cs="Times New Roman"/>
          <w:i/>
        </w:rPr>
        <w:t>Le</w:t>
      </w:r>
      <w:r w:rsidRPr="00A54D93">
        <w:rPr>
          <w:rFonts w:cs="Times New Roman"/>
        </w:rPr>
        <w:t xml:space="preserve"> </w:t>
      </w:r>
      <w:r w:rsidRPr="00A54D93">
        <w:rPr>
          <w:rFonts w:cs="Times New Roman"/>
          <w:i/>
        </w:rPr>
        <w:t xml:space="preserve">Petit Robert </w:t>
      </w:r>
      <w:r w:rsidRPr="00A54D93">
        <w:rPr>
          <w:rFonts w:cs="Times New Roman"/>
        </w:rPr>
        <w:t xml:space="preserve">dictionary </w:t>
      </w:r>
      <w:r w:rsidR="008C6CE6" w:rsidRPr="00A54D93">
        <w:rPr>
          <w:rFonts w:cs="Times New Roman"/>
        </w:rPr>
        <w:t>(new ed. 2012)</w:t>
      </w:r>
      <w:r w:rsidR="008C6CE6">
        <w:rPr>
          <w:rFonts w:cs="Times New Roman"/>
        </w:rPr>
        <w:t xml:space="preserve"> </w:t>
      </w:r>
      <w:r w:rsidRPr="00A54D93">
        <w:rPr>
          <w:rFonts w:cs="Times New Roman"/>
        </w:rPr>
        <w:t>contains the following definition of the French expression “</w:t>
      </w:r>
      <w:r w:rsidRPr="00A54D93">
        <w:rPr>
          <w:rFonts w:cs="Times New Roman"/>
          <w:i/>
        </w:rPr>
        <w:t>faire violence</w:t>
      </w:r>
      <w:r w:rsidRPr="00A54D93">
        <w:rPr>
          <w:rFonts w:cs="Times New Roman"/>
        </w:rPr>
        <w:t>” (do violence): “</w:t>
      </w:r>
      <w:proofErr w:type="spellStart"/>
      <w:r w:rsidRPr="00A54D93">
        <w:rPr>
          <w:rFonts w:cs="Times New Roman"/>
          <w:i/>
        </w:rPr>
        <w:t>agir</w:t>
      </w:r>
      <w:proofErr w:type="spellEnd"/>
      <w:r w:rsidRPr="00A54D93">
        <w:rPr>
          <w:rFonts w:cs="Times New Roman"/>
          <w:i/>
        </w:rPr>
        <w:t xml:space="preserve"> </w:t>
      </w:r>
      <w:proofErr w:type="spellStart"/>
      <w:r w:rsidRPr="00A54D93">
        <w:rPr>
          <w:rFonts w:cs="Times New Roman"/>
          <w:i/>
        </w:rPr>
        <w:t>sur</w:t>
      </w:r>
      <w:proofErr w:type="spellEnd"/>
      <w:r w:rsidRPr="00A54D93">
        <w:rPr>
          <w:rFonts w:cs="Times New Roman"/>
          <w:i/>
        </w:rPr>
        <w:t xml:space="preserve"> [</w:t>
      </w:r>
      <w:proofErr w:type="spellStart"/>
      <w:r w:rsidRPr="00A54D93">
        <w:rPr>
          <w:rFonts w:cs="Times New Roman"/>
          <w:i/>
        </w:rPr>
        <w:t>quelqu’un</w:t>
      </w:r>
      <w:proofErr w:type="spellEnd"/>
      <w:r w:rsidRPr="00A54D93">
        <w:rPr>
          <w:rFonts w:cs="Times New Roman"/>
          <w:i/>
        </w:rPr>
        <w:t xml:space="preserve">] </w:t>
      </w:r>
      <w:proofErr w:type="spellStart"/>
      <w:r w:rsidRPr="00A54D93">
        <w:rPr>
          <w:rFonts w:cs="Times New Roman"/>
          <w:i/>
        </w:rPr>
        <w:t>ou</w:t>
      </w:r>
      <w:proofErr w:type="spellEnd"/>
      <w:r w:rsidRPr="00A54D93">
        <w:rPr>
          <w:rFonts w:cs="Times New Roman"/>
          <w:i/>
        </w:rPr>
        <w:t xml:space="preserve"> le faire </w:t>
      </w:r>
      <w:proofErr w:type="spellStart"/>
      <w:r w:rsidRPr="00A54D93">
        <w:rPr>
          <w:rFonts w:cs="Times New Roman"/>
          <w:i/>
        </w:rPr>
        <w:t>agir</w:t>
      </w:r>
      <w:proofErr w:type="spellEnd"/>
      <w:r w:rsidRPr="00A54D93">
        <w:rPr>
          <w:rFonts w:cs="Times New Roman"/>
          <w:i/>
        </w:rPr>
        <w:t xml:space="preserve"> </w:t>
      </w:r>
      <w:proofErr w:type="spellStart"/>
      <w:r w:rsidRPr="00A54D93">
        <w:rPr>
          <w:rFonts w:cs="Times New Roman"/>
          <w:i/>
        </w:rPr>
        <w:t>contre</w:t>
      </w:r>
      <w:proofErr w:type="spellEnd"/>
      <w:r w:rsidRPr="00A54D93">
        <w:rPr>
          <w:rFonts w:cs="Times New Roman"/>
          <w:i/>
        </w:rPr>
        <w:t xml:space="preserve"> </w:t>
      </w:r>
      <w:proofErr w:type="spellStart"/>
      <w:r w:rsidRPr="00A54D93">
        <w:rPr>
          <w:rFonts w:cs="Times New Roman"/>
          <w:i/>
        </w:rPr>
        <w:t>sa</w:t>
      </w:r>
      <w:proofErr w:type="spellEnd"/>
      <w:r w:rsidRPr="00A54D93">
        <w:rPr>
          <w:rFonts w:cs="Times New Roman"/>
          <w:i/>
        </w:rPr>
        <w:t xml:space="preserve"> </w:t>
      </w:r>
      <w:proofErr w:type="spellStart"/>
      <w:r w:rsidRPr="00A54D93">
        <w:rPr>
          <w:rFonts w:cs="Times New Roman"/>
          <w:i/>
        </w:rPr>
        <w:t>volonté</w:t>
      </w:r>
      <w:proofErr w:type="spellEnd"/>
      <w:r w:rsidRPr="00A54D93">
        <w:rPr>
          <w:rFonts w:cs="Times New Roman"/>
          <w:i/>
        </w:rPr>
        <w:t xml:space="preserve">, en </w:t>
      </w:r>
      <w:proofErr w:type="spellStart"/>
      <w:r w:rsidRPr="00A54D93">
        <w:rPr>
          <w:rFonts w:cs="Times New Roman"/>
          <w:i/>
        </w:rPr>
        <w:t>employant</w:t>
      </w:r>
      <w:proofErr w:type="spellEnd"/>
      <w:r w:rsidRPr="00A54D93">
        <w:rPr>
          <w:rFonts w:cs="Times New Roman"/>
          <w:i/>
        </w:rPr>
        <w:t xml:space="preserve"> la force </w:t>
      </w:r>
      <w:proofErr w:type="spellStart"/>
      <w:r w:rsidRPr="00A54D93">
        <w:rPr>
          <w:rFonts w:cs="Times New Roman"/>
          <w:i/>
          <w:u w:val="single"/>
        </w:rPr>
        <w:t>ou</w:t>
      </w:r>
      <w:proofErr w:type="spellEnd"/>
      <w:r w:rsidRPr="00A54D93">
        <w:rPr>
          <w:rFonts w:cs="Times New Roman"/>
          <w:i/>
          <w:u w:val="single"/>
        </w:rPr>
        <w:t xml:space="preserve"> </w:t>
      </w:r>
      <w:proofErr w:type="spellStart"/>
      <w:r w:rsidRPr="00A54D93">
        <w:rPr>
          <w:rFonts w:cs="Times New Roman"/>
          <w:i/>
          <w:u w:val="single"/>
        </w:rPr>
        <w:t>l’intimidation</w:t>
      </w:r>
      <w:proofErr w:type="spellEnd"/>
      <w:r w:rsidRPr="00A54D93">
        <w:rPr>
          <w:rFonts w:cs="Times New Roman"/>
        </w:rPr>
        <w:t>” ([</w:t>
      </w:r>
      <w:r w:rsidRPr="00A54D93">
        <w:rPr>
          <w:rFonts w:cs="Times New Roman"/>
          <w:smallCaps/>
        </w:rPr>
        <w:t>translation</w:t>
      </w:r>
      <w:r w:rsidRPr="00A54D93">
        <w:rPr>
          <w:rFonts w:cs="Times New Roman"/>
        </w:rPr>
        <w:t xml:space="preserve">] “act so as to influence a person or to cause the person to act in a manner contrary to his or her wishes, by using force </w:t>
      </w:r>
      <w:r w:rsidRPr="00A54D93">
        <w:rPr>
          <w:rFonts w:cs="Times New Roman"/>
          <w:u w:val="single"/>
        </w:rPr>
        <w:t>or intimidation</w:t>
      </w:r>
      <w:r w:rsidR="007540DA">
        <w:rPr>
          <w:rFonts w:cs="Times New Roman"/>
        </w:rPr>
        <w:t>”)</w:t>
      </w:r>
      <w:r w:rsidRPr="00A54D93">
        <w:rPr>
          <w:rFonts w:cs="Times New Roman"/>
        </w:rPr>
        <w:t xml:space="preserve"> </w:t>
      </w:r>
      <w:r w:rsidR="007540DA">
        <w:rPr>
          <w:rFonts w:cs="Times New Roman"/>
        </w:rPr>
        <w:t>(</w:t>
      </w:r>
      <w:r w:rsidRPr="00A54D93">
        <w:rPr>
          <w:rFonts w:cs="Times New Roman"/>
        </w:rPr>
        <w:t xml:space="preserve">p. 2717 (emphasis added)). The variance among definitions of violence — both those found in dictionaries and those adopted by judges — highlights the need to interpret the word in the context in which it is used. </w:t>
      </w:r>
    </w:p>
    <w:p w:rsidR="00DA111D" w:rsidRPr="00A54D93" w:rsidRDefault="00DA111D" w:rsidP="00DA111D">
      <w:pPr>
        <w:pStyle w:val="ParaNoNdepar-AltN"/>
        <w:widowControl w:val="0"/>
        <w:rPr>
          <w:rFonts w:cs="Times New Roman"/>
        </w:rPr>
      </w:pPr>
      <w:r w:rsidRPr="00A54D93">
        <w:rPr>
          <w:rFonts w:cs="Times New Roman"/>
        </w:rPr>
        <w:t xml:space="preserve">In </w:t>
      </w:r>
      <w:r w:rsidRPr="00A54D93">
        <w:rPr>
          <w:rFonts w:cs="Times New Roman"/>
          <w:i/>
        </w:rPr>
        <w:t>C.D.</w:t>
      </w:r>
      <w:r w:rsidRPr="00A54D93">
        <w:rPr>
          <w:rFonts w:cs="Times New Roman"/>
        </w:rPr>
        <w:t>,</w:t>
      </w:r>
      <w:r w:rsidRPr="00A54D93">
        <w:rPr>
          <w:rFonts w:cs="Times New Roman"/>
          <w:i/>
        </w:rPr>
        <w:t xml:space="preserve"> </w:t>
      </w:r>
      <w:r w:rsidRPr="00A54D93">
        <w:rPr>
          <w:rFonts w:cs="Times New Roman"/>
        </w:rPr>
        <w:t>the Court was being asked to interpret the scope of the term “violent offence” as used in s. 39(1)(</w:t>
      </w:r>
      <w:r w:rsidRPr="00A54D93">
        <w:rPr>
          <w:rFonts w:cs="Times New Roman"/>
          <w:i/>
        </w:rPr>
        <w:t>a</w:t>
      </w:r>
      <w:r w:rsidRPr="00A54D93">
        <w:rPr>
          <w:rFonts w:cs="Times New Roman"/>
        </w:rPr>
        <w:t xml:space="preserve">) of the </w:t>
      </w:r>
      <w:r w:rsidRPr="00A54D93">
        <w:rPr>
          <w:rFonts w:cs="Times New Roman"/>
          <w:i/>
        </w:rPr>
        <w:t xml:space="preserve">YCJA </w:t>
      </w:r>
      <w:r w:rsidRPr="00A54D93">
        <w:rPr>
          <w:rFonts w:cs="Times New Roman"/>
        </w:rPr>
        <w:t xml:space="preserve">with respect to the imposition of custodial sentences on young persons. </w:t>
      </w:r>
      <w:proofErr w:type="spellStart"/>
      <w:r w:rsidRPr="00A54D93">
        <w:rPr>
          <w:rFonts w:cs="Times New Roman"/>
        </w:rPr>
        <w:t>Bastarache</w:t>
      </w:r>
      <w:proofErr w:type="spellEnd"/>
      <w:r w:rsidRPr="00A54D93">
        <w:rPr>
          <w:rFonts w:cs="Times New Roman"/>
        </w:rPr>
        <w:t xml:space="preserve"> J. concluded that in the context of the </w:t>
      </w:r>
      <w:r w:rsidRPr="00A54D93">
        <w:rPr>
          <w:rFonts w:cs="Times New Roman"/>
          <w:i/>
        </w:rPr>
        <w:t>YCJA</w:t>
      </w:r>
      <w:r w:rsidRPr="00A54D93">
        <w:rPr>
          <w:rFonts w:cs="Times New Roman"/>
        </w:rPr>
        <w:t>, the term</w:t>
      </w:r>
      <w:r w:rsidRPr="00A54D93">
        <w:rPr>
          <w:rFonts w:cs="Times New Roman"/>
          <w:i/>
        </w:rPr>
        <w:t xml:space="preserve"> </w:t>
      </w:r>
      <w:r w:rsidRPr="00A54D93">
        <w:rPr>
          <w:rFonts w:cs="Times New Roman"/>
        </w:rPr>
        <w:t>“violent offence” means “an offence in the commission of which a young person causes, attempts to cause or threatens to cause bodily harm” (</w:t>
      </w:r>
      <w:proofErr w:type="spellStart"/>
      <w:r w:rsidRPr="00A54D93">
        <w:rPr>
          <w:rFonts w:cs="Times New Roman"/>
        </w:rPr>
        <w:t>para</w:t>
      </w:r>
      <w:proofErr w:type="spellEnd"/>
      <w:r w:rsidRPr="00A54D93">
        <w:rPr>
          <w:rFonts w:cs="Times New Roman"/>
        </w:rPr>
        <w:t xml:space="preserve">. 17). This definition is notable for its emphasis on the harmful effects of violence rather than on the nature of the force that was applied. Thus, threats of bodily harm are included even if physical force has not been used. </w:t>
      </w:r>
      <w:proofErr w:type="spellStart"/>
      <w:r w:rsidRPr="00A54D93">
        <w:rPr>
          <w:rFonts w:cs="Times New Roman"/>
        </w:rPr>
        <w:t>Bastarache</w:t>
      </w:r>
      <w:proofErr w:type="spellEnd"/>
      <w:r w:rsidRPr="00A54D93">
        <w:rPr>
          <w:rFonts w:cs="Times New Roman"/>
        </w:rPr>
        <w:t xml:space="preserve"> J. explained that a </w:t>
      </w:r>
      <w:r w:rsidRPr="00A54D93">
        <w:rPr>
          <w:rFonts w:cs="Times New Roman"/>
        </w:rPr>
        <w:lastRenderedPageBreak/>
        <w:t>harm-based approach encompasses both physical and psychological harm, whereas a force-based approach would apply only to those “harm-causing” offences that also involve the use, attempted use or threatened use of force (</w:t>
      </w:r>
      <w:proofErr w:type="spellStart"/>
      <w:r w:rsidRPr="00A54D93">
        <w:rPr>
          <w:rFonts w:cs="Times New Roman"/>
        </w:rPr>
        <w:t>para</w:t>
      </w:r>
      <w:proofErr w:type="spellEnd"/>
      <w:r w:rsidRPr="00A54D93">
        <w:rPr>
          <w:rFonts w:cs="Times New Roman"/>
        </w:rPr>
        <w:t>. 66). This definition of “violent offence” also excludes certain acts that might otherwise fall within the ordinary meaning of the word “violence”. For instance, it excludes crimes against property even though such offences are generally considered to involve “violence” to property (</w:t>
      </w:r>
      <w:proofErr w:type="spellStart"/>
      <w:r w:rsidRPr="00A54D93">
        <w:rPr>
          <w:rFonts w:cs="Times New Roman"/>
        </w:rPr>
        <w:t>paras</w:t>
      </w:r>
      <w:proofErr w:type="spellEnd"/>
      <w:r w:rsidRPr="00A54D93">
        <w:rPr>
          <w:rFonts w:cs="Times New Roman"/>
        </w:rPr>
        <w:t>. 33 and 51). It also excludes relatively minor assaults committed without causing, attempting to cause or threatening to cause bodily harm, whereas a force-based definition would tend to encompass such assaults (</w:t>
      </w:r>
      <w:proofErr w:type="spellStart"/>
      <w:r w:rsidRPr="00A54D93">
        <w:rPr>
          <w:rFonts w:cs="Times New Roman"/>
        </w:rPr>
        <w:t>para</w:t>
      </w:r>
      <w:proofErr w:type="spellEnd"/>
      <w:r w:rsidRPr="00A54D93">
        <w:rPr>
          <w:rFonts w:cs="Times New Roman"/>
        </w:rPr>
        <w:t xml:space="preserve">. 64). </w:t>
      </w:r>
    </w:p>
    <w:p w:rsidR="00DA111D" w:rsidRPr="00A54D93" w:rsidRDefault="00DA111D" w:rsidP="00DA111D">
      <w:pPr>
        <w:pStyle w:val="ParaNoNdepar-AltN"/>
        <w:widowControl w:val="0"/>
        <w:tabs>
          <w:tab w:val="clear" w:pos="1152"/>
          <w:tab w:val="left" w:pos="1166"/>
        </w:tabs>
        <w:spacing w:before="240"/>
        <w:rPr>
          <w:rFonts w:cs="Times New Roman"/>
        </w:rPr>
      </w:pPr>
      <w:r w:rsidRPr="00A54D93">
        <w:rPr>
          <w:rFonts w:cs="Times New Roman"/>
        </w:rPr>
        <w:t xml:space="preserve">Some of the reasoning in </w:t>
      </w:r>
      <w:r w:rsidRPr="00A54D93">
        <w:rPr>
          <w:rFonts w:cs="Times New Roman"/>
          <w:i/>
        </w:rPr>
        <w:t xml:space="preserve">C.D. </w:t>
      </w:r>
      <w:r w:rsidRPr="00A54D93">
        <w:rPr>
          <w:rFonts w:cs="Times New Roman"/>
        </w:rPr>
        <w:t xml:space="preserve">was statute-specific. For instance, </w:t>
      </w:r>
      <w:proofErr w:type="spellStart"/>
      <w:r w:rsidRPr="00A54D93">
        <w:rPr>
          <w:rFonts w:cs="Times New Roman"/>
        </w:rPr>
        <w:t>Bastarache</w:t>
      </w:r>
      <w:proofErr w:type="spellEnd"/>
      <w:r w:rsidRPr="00A54D93">
        <w:rPr>
          <w:rFonts w:cs="Times New Roman"/>
        </w:rPr>
        <w:t xml:space="preserve"> J. favoured a harm-based approach in part to include certain offences — e.g. murder committed without the direct application of physical force — that in his view ought to fall within the definition of “violent offence” but that might not be included by a force-based approach (</w:t>
      </w:r>
      <w:proofErr w:type="spellStart"/>
      <w:r w:rsidRPr="00A54D93">
        <w:rPr>
          <w:rFonts w:cs="Times New Roman"/>
        </w:rPr>
        <w:t>paras</w:t>
      </w:r>
      <w:proofErr w:type="spellEnd"/>
      <w:r w:rsidRPr="00A54D93">
        <w:rPr>
          <w:rFonts w:cs="Times New Roman"/>
        </w:rPr>
        <w:t xml:space="preserve">. 58-65). However, he also made some general observations in support of his adoption of a harm-based definition. He stated that such a definition “better accords </w:t>
      </w:r>
      <w:proofErr w:type="gramStart"/>
      <w:r w:rsidRPr="00A54D93">
        <w:rPr>
          <w:rFonts w:cs="Times New Roman"/>
        </w:rPr>
        <w:t xml:space="preserve">with </w:t>
      </w:r>
      <w:r>
        <w:rPr>
          <w:rFonts w:cs="Times New Roman"/>
        </w:rPr>
        <w:t>.</w:t>
      </w:r>
      <w:proofErr w:type="gramEnd"/>
      <w:r>
        <w:rPr>
          <w:rFonts w:cs="Times New Roman"/>
        </w:rPr>
        <w:t> . .</w:t>
      </w:r>
      <w:r w:rsidRPr="00A54D93">
        <w:rPr>
          <w:rFonts w:cs="Times New Roman"/>
        </w:rPr>
        <w:t xml:space="preserve"> the ‘usual’ definition of violence, which tends to focus on its effects (i.e. harm) rather than on the means employed to produce the effects (i.e. force)” (</w:t>
      </w:r>
      <w:proofErr w:type="spellStart"/>
      <w:r w:rsidRPr="00A54D93">
        <w:rPr>
          <w:rFonts w:cs="Times New Roman"/>
        </w:rPr>
        <w:t>para</w:t>
      </w:r>
      <w:proofErr w:type="spellEnd"/>
      <w:r w:rsidRPr="00A54D93">
        <w:rPr>
          <w:rFonts w:cs="Times New Roman"/>
        </w:rPr>
        <w:t>. 67). The inclusion of threats of bodily harm in the definition of “violent offence” “accords with the commonly held view that a threat to cause bodily harm is, at base, an act of violence” (</w:t>
      </w:r>
      <w:proofErr w:type="spellStart"/>
      <w:r w:rsidRPr="00A54D93">
        <w:rPr>
          <w:rFonts w:cs="Times New Roman"/>
        </w:rPr>
        <w:t>para</w:t>
      </w:r>
      <w:proofErr w:type="spellEnd"/>
      <w:r w:rsidRPr="00A54D93">
        <w:rPr>
          <w:rFonts w:cs="Times New Roman"/>
        </w:rPr>
        <w:t>. 85). He added the following:</w:t>
      </w:r>
    </w:p>
    <w:p w:rsidR="00DA111D" w:rsidRPr="00A54D93" w:rsidRDefault="00DA111D" w:rsidP="00DA111D">
      <w:pPr>
        <w:pStyle w:val="Citation-AltC"/>
        <w:widowControl w:val="0"/>
      </w:pPr>
      <w:r w:rsidRPr="00A54D93">
        <w:t xml:space="preserve">The view that threats of bodily harm are essentially acts of violence is </w:t>
      </w:r>
      <w:r w:rsidRPr="00A54D93">
        <w:lastRenderedPageBreak/>
        <w:t>likely based on the fact that threatening to cause bodily harm can often perform the same function as actually causing it, in that both can instill the level of fear in the victim that is needed to achieve the offender’s goal: see [</w:t>
      </w:r>
      <w:r w:rsidRPr="00A54D93">
        <w:rPr>
          <w:i/>
        </w:rPr>
        <w:t xml:space="preserve">R. v. </w:t>
      </w:r>
      <w:proofErr w:type="spellStart"/>
      <w:r w:rsidRPr="00A54D93">
        <w:rPr>
          <w:i/>
        </w:rPr>
        <w:t>McCraw</w:t>
      </w:r>
      <w:proofErr w:type="spellEnd"/>
      <w:r w:rsidRPr="00A54D93">
        <w:rPr>
          <w:i/>
        </w:rPr>
        <w:t xml:space="preserve">, </w:t>
      </w:r>
      <w:r w:rsidRPr="00A54D93">
        <w:t>[1991] 3 S.C.R. 72], at pp. 81-82. In this sense, it can be said that irrespective of whether an offender threatens to cause bodily harm or actually causes bodily harm, in both cases he or she is “wielding violence” to satisfy his or her object(s). [</w:t>
      </w:r>
      <w:proofErr w:type="spellStart"/>
      <w:r w:rsidRPr="00A54D93">
        <w:t>para</w:t>
      </w:r>
      <w:proofErr w:type="spellEnd"/>
      <w:r w:rsidRPr="00A54D93">
        <w:t>. 85]</w:t>
      </w:r>
    </w:p>
    <w:p w:rsidR="00DA111D" w:rsidRPr="00A54D93" w:rsidRDefault="00DA111D" w:rsidP="00DA111D">
      <w:pPr>
        <w:pStyle w:val="ContinueParaSuitedupar-AltP"/>
        <w:widowControl w:val="0"/>
        <w:rPr>
          <w:rFonts w:cs="Times New Roman"/>
        </w:rPr>
      </w:pPr>
      <w:r w:rsidRPr="00A54D93">
        <w:rPr>
          <w:rFonts w:cs="Times New Roman"/>
        </w:rPr>
        <w:t xml:space="preserve">I would endorse these observations of </w:t>
      </w:r>
      <w:proofErr w:type="spellStart"/>
      <w:r w:rsidRPr="00A54D93">
        <w:rPr>
          <w:rFonts w:cs="Times New Roman"/>
        </w:rPr>
        <w:t>Bastarache</w:t>
      </w:r>
      <w:proofErr w:type="spellEnd"/>
      <w:r w:rsidRPr="00A54D93">
        <w:rPr>
          <w:rFonts w:cs="Times New Roman"/>
        </w:rPr>
        <w:t xml:space="preserve"> J. and would note that the harm-based approach he articulated draws additional support from several recent decisions rendered by this Court in a variety of contexts, including those of the offence of uttering threats, the violence exception to freedom of expression, and the offence of robbery. </w:t>
      </w:r>
    </w:p>
    <w:p w:rsidR="00DA111D" w:rsidRPr="00A54D93" w:rsidRDefault="00DA111D" w:rsidP="00DA111D">
      <w:pPr>
        <w:pStyle w:val="ParaNoNdepar-AltN"/>
        <w:widowControl w:val="0"/>
        <w:rPr>
          <w:rFonts w:cs="Times New Roman"/>
        </w:rPr>
      </w:pPr>
      <w:r w:rsidRPr="00A54D93">
        <w:rPr>
          <w:rFonts w:cs="Times New Roman"/>
        </w:rPr>
        <w:t>First, a recent case concerning the offence of uttering threats provided for in s. 264.1(1)(</w:t>
      </w:r>
      <w:r w:rsidRPr="00A54D93">
        <w:rPr>
          <w:rFonts w:cs="Times New Roman"/>
          <w:i/>
        </w:rPr>
        <w:t>a</w:t>
      </w:r>
      <w:r w:rsidRPr="00A54D93">
        <w:rPr>
          <w:rFonts w:cs="Times New Roman"/>
        </w:rPr>
        <w:t xml:space="preserve">) of the </w:t>
      </w:r>
      <w:r w:rsidRPr="00A54D93">
        <w:rPr>
          <w:rFonts w:cs="Times New Roman"/>
          <w:i/>
        </w:rPr>
        <w:t xml:space="preserve">Criminal Code </w:t>
      </w:r>
      <w:r w:rsidRPr="00A54D93">
        <w:rPr>
          <w:rFonts w:cs="Times New Roman"/>
        </w:rPr>
        <w:t xml:space="preserve">supports the proposition that threats of violence are </w:t>
      </w:r>
      <w:r w:rsidRPr="00A54D93">
        <w:rPr>
          <w:rFonts w:cs="Times New Roman"/>
          <w:i/>
        </w:rPr>
        <w:t>inherently</w:t>
      </w:r>
      <w:r w:rsidRPr="00A54D93">
        <w:rPr>
          <w:rFonts w:cs="Times New Roman"/>
        </w:rPr>
        <w:t xml:space="preserve"> violent, not simply a means of communicating future violence</w:t>
      </w:r>
      <w:r w:rsidRPr="00A54D93">
        <w:rPr>
          <w:rFonts w:cs="Times New Roman"/>
          <w:i/>
        </w:rPr>
        <w:t xml:space="preserve">. </w:t>
      </w:r>
      <w:r w:rsidRPr="00A54D93">
        <w:rPr>
          <w:rFonts w:cs="Times New Roman"/>
        </w:rPr>
        <w:t xml:space="preserve">In </w:t>
      </w:r>
      <w:r w:rsidRPr="00A54D93">
        <w:rPr>
          <w:rFonts w:cs="Times New Roman"/>
          <w:i/>
        </w:rPr>
        <w:t>R. v. McRae</w:t>
      </w:r>
      <w:r w:rsidRPr="00A54D93">
        <w:rPr>
          <w:rFonts w:cs="Times New Roman"/>
        </w:rPr>
        <w:t xml:space="preserve">, 2013 SCC 68, [2013] 3 S.C.R. 931, the Court confirmed the elements of the offence of uttering threats: </w:t>
      </w:r>
    </w:p>
    <w:p w:rsidR="00DA111D" w:rsidRPr="00A54D93" w:rsidRDefault="00DA111D" w:rsidP="00DA111D">
      <w:pPr>
        <w:pStyle w:val="Citation-AltC"/>
        <w:widowControl w:val="0"/>
      </w:pPr>
      <w:r w:rsidRPr="00A54D93">
        <w:t>[I]t is not necessary to prove that the threats were conveyed to their intended recipients (prohibited act) or that the accused intended the threats to be so conveyed (fault element). Further, it is not necessary to prove that anyone was actually intimidated by the threats (prohibited act) or that the accused specifically intended to intimidate anyone (fault element). The concept of the “closed circle” is therefore legally wrong.</w:t>
      </w:r>
      <w:r>
        <w:t xml:space="preserve"> </w:t>
      </w:r>
      <w:r w:rsidRPr="00A54D93">
        <w:t xml:space="preserve"> </w:t>
      </w:r>
      <w:r w:rsidRPr="00A54D93">
        <w:rPr>
          <w:u w:val="single"/>
        </w:rPr>
        <w:t>Threats are tools of intimidation and violence.</w:t>
      </w:r>
      <w:r>
        <w:rPr>
          <w:u w:val="single"/>
        </w:rPr>
        <w:t xml:space="preserve"> </w:t>
      </w:r>
      <w:r w:rsidRPr="00A54D93">
        <w:rPr>
          <w:u w:val="single"/>
        </w:rPr>
        <w:t xml:space="preserve"> As such, in any circumstance where threats are spoken with the intent that they be taken seriously, even to third parties, the elements of the offence will be made out.</w:t>
      </w:r>
      <w:r>
        <w:t xml:space="preserve"> </w:t>
      </w:r>
      <w:r w:rsidRPr="00A54D93">
        <w:t xml:space="preserve">[Emphasis added; </w:t>
      </w:r>
      <w:proofErr w:type="spellStart"/>
      <w:r w:rsidRPr="00A54D93">
        <w:t>para</w:t>
      </w:r>
      <w:proofErr w:type="spellEnd"/>
      <w:r w:rsidRPr="00A54D93">
        <w:t>. 24.]</w:t>
      </w:r>
    </w:p>
    <w:p w:rsidR="00DA111D" w:rsidRPr="00A54D93" w:rsidRDefault="00DA111D" w:rsidP="00DA111D">
      <w:pPr>
        <w:pStyle w:val="ContinueParaSuitedupar-AltP"/>
        <w:widowControl w:val="0"/>
        <w:rPr>
          <w:rFonts w:cs="Times New Roman"/>
        </w:rPr>
      </w:pPr>
      <w:r w:rsidRPr="00A54D93">
        <w:rPr>
          <w:rFonts w:cs="Times New Roman"/>
        </w:rPr>
        <w:t xml:space="preserve">In other words, the act of threatening harm can itself be an act of violence even if the </w:t>
      </w:r>
      <w:r w:rsidRPr="00A54D93">
        <w:rPr>
          <w:rFonts w:cs="Times New Roman"/>
        </w:rPr>
        <w:lastRenderedPageBreak/>
        <w:t xml:space="preserve">threats are not conveyed to their intended recipients or are not intended to be so conveyed, so long as they are intended to be taken seriously. </w:t>
      </w:r>
    </w:p>
    <w:p w:rsidR="00DA111D" w:rsidRPr="00A54D93" w:rsidRDefault="00DA111D" w:rsidP="00DA111D">
      <w:pPr>
        <w:pStyle w:val="ParaNoNdepar-AltN"/>
        <w:widowControl w:val="0"/>
        <w:rPr>
          <w:rFonts w:cs="Times New Roman"/>
        </w:rPr>
      </w:pPr>
      <w:r w:rsidRPr="00A54D93">
        <w:rPr>
          <w:rFonts w:cs="Times New Roman"/>
        </w:rPr>
        <w:t>Incidentally, this does not mean that the offence of uttering threats under s. 264.1(1</w:t>
      </w:r>
      <w:proofErr w:type="gramStart"/>
      <w:r w:rsidRPr="00A54D93">
        <w:rPr>
          <w:rFonts w:cs="Times New Roman"/>
        </w:rPr>
        <w:t>)(</w:t>
      </w:r>
      <w:proofErr w:type="gramEnd"/>
      <w:r w:rsidRPr="00A54D93">
        <w:rPr>
          <w:rFonts w:cs="Times New Roman"/>
          <w:i/>
        </w:rPr>
        <w:t>a</w:t>
      </w:r>
      <w:r w:rsidRPr="00A54D93">
        <w:rPr>
          <w:rFonts w:cs="Times New Roman"/>
        </w:rPr>
        <w:t xml:space="preserve">) is an SPIO. Even if the offence were found to meet the violence requirement (“use or attempted use of violence”)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it is not punishable by a sentence of imprisonment for 10 years and therefore fails to meet the seriousness requirement: s. 264.1(2)(</w:t>
      </w:r>
      <w:r w:rsidRPr="00A54D93">
        <w:rPr>
          <w:rFonts w:cs="Times New Roman"/>
          <w:i/>
        </w:rPr>
        <w:t>a</w:t>
      </w:r>
      <w:r w:rsidRPr="00A54D93">
        <w:rPr>
          <w:rFonts w:cs="Times New Roman"/>
        </w:rPr>
        <w:t xml:space="preserve">). </w:t>
      </w:r>
    </w:p>
    <w:p w:rsidR="00DA111D" w:rsidRPr="00A54D93" w:rsidRDefault="00DA111D" w:rsidP="00DA111D">
      <w:pPr>
        <w:pStyle w:val="ParaNoNdepar-AltN"/>
        <w:widowControl w:val="0"/>
        <w:rPr>
          <w:rFonts w:cs="Times New Roman"/>
        </w:rPr>
      </w:pPr>
      <w:r w:rsidRPr="00A54D93">
        <w:rPr>
          <w:rFonts w:cs="Times New Roman"/>
        </w:rPr>
        <w:t xml:space="preserve">Second, in </w:t>
      </w:r>
      <w:r w:rsidRPr="00A54D93">
        <w:rPr>
          <w:rFonts w:cs="Times New Roman"/>
          <w:i/>
        </w:rPr>
        <w:t>C.D.</w:t>
      </w:r>
      <w:r w:rsidRPr="00A54D93">
        <w:rPr>
          <w:rFonts w:cs="Times New Roman"/>
        </w:rPr>
        <w:t xml:space="preserve">, </w:t>
      </w:r>
      <w:proofErr w:type="spellStart"/>
      <w:r w:rsidRPr="00A54D93">
        <w:rPr>
          <w:rFonts w:cs="Times New Roman"/>
        </w:rPr>
        <w:t>Bastarache</w:t>
      </w:r>
      <w:proofErr w:type="spellEnd"/>
      <w:r w:rsidRPr="00A54D93">
        <w:rPr>
          <w:rFonts w:cs="Times New Roman"/>
        </w:rPr>
        <w:t xml:space="preserve"> J. discussed this Court’s decisions with respect to freedom of expression and the question whether threats of violence fall outside the scope of constitutionally protected speech (</w:t>
      </w:r>
      <w:proofErr w:type="spellStart"/>
      <w:r w:rsidRPr="00A54D93">
        <w:rPr>
          <w:rFonts w:cs="Times New Roman"/>
        </w:rPr>
        <w:t>para</w:t>
      </w:r>
      <w:proofErr w:type="spellEnd"/>
      <w:r w:rsidRPr="00A54D93">
        <w:rPr>
          <w:rFonts w:cs="Times New Roman"/>
        </w:rPr>
        <w:t xml:space="preserve">. 31). In </w:t>
      </w:r>
      <w:r w:rsidRPr="00A54D93">
        <w:rPr>
          <w:rFonts w:cs="Times New Roman"/>
          <w:i/>
        </w:rPr>
        <w:t xml:space="preserve">R. v. </w:t>
      </w:r>
      <w:proofErr w:type="spellStart"/>
      <w:r w:rsidRPr="00A54D93">
        <w:rPr>
          <w:rFonts w:cs="Times New Roman"/>
          <w:i/>
        </w:rPr>
        <w:t>Keegstra</w:t>
      </w:r>
      <w:proofErr w:type="spellEnd"/>
      <w:r w:rsidRPr="00A54D93">
        <w:rPr>
          <w:rFonts w:cs="Times New Roman"/>
        </w:rPr>
        <w:t>, [1990] 3 S.C.R. 697, Dickson C.J. had held that only “expression communicated directly through physical harm” could be considered violence and be excluded from the protection of s. 2(</w:t>
      </w:r>
      <w:r w:rsidRPr="00A54D93">
        <w:rPr>
          <w:rFonts w:cs="Times New Roman"/>
          <w:i/>
        </w:rPr>
        <w:t>b</w:t>
      </w:r>
      <w:r w:rsidRPr="00A54D93">
        <w:rPr>
          <w:rFonts w:cs="Times New Roman"/>
        </w:rPr>
        <w:t xml:space="preserve">) of the </w:t>
      </w:r>
      <w:r w:rsidRPr="00A54D93">
        <w:rPr>
          <w:rFonts w:cs="Times New Roman"/>
          <w:i/>
        </w:rPr>
        <w:t>Canadian Charter of Rights and Freedoms</w:t>
      </w:r>
      <w:r w:rsidRPr="00A54D93">
        <w:rPr>
          <w:rFonts w:cs="Times New Roman"/>
        </w:rPr>
        <w:t xml:space="preserve"> on that basis (p. 732). It was unclear from the early cases whether the “violence exception” extended to threats of violence, but any lingering uncertainty was eliminated in </w:t>
      </w:r>
      <w:r w:rsidRPr="00A54D93">
        <w:rPr>
          <w:rFonts w:cs="Times New Roman"/>
          <w:i/>
        </w:rPr>
        <w:t xml:space="preserve">R. v. </w:t>
      </w:r>
      <w:proofErr w:type="spellStart"/>
      <w:r w:rsidRPr="00A54D93">
        <w:rPr>
          <w:rFonts w:cs="Times New Roman"/>
          <w:i/>
        </w:rPr>
        <w:t>Khawaja</w:t>
      </w:r>
      <w:proofErr w:type="spellEnd"/>
      <w:r w:rsidRPr="00A54D93">
        <w:rPr>
          <w:rFonts w:cs="Times New Roman"/>
        </w:rPr>
        <w:t>, 2012 SCC 69, [2012] 3 S.C.R. 555, in which McLachlin C.J. held: “This Court’s jurisprudence supports the proposition that the exclusion of violence from the s. 2(</w:t>
      </w:r>
      <w:r w:rsidRPr="00A54D93">
        <w:rPr>
          <w:rFonts w:cs="Times New Roman"/>
          <w:i/>
        </w:rPr>
        <w:t>b</w:t>
      </w:r>
      <w:r w:rsidRPr="00A54D93">
        <w:rPr>
          <w:rFonts w:cs="Times New Roman"/>
        </w:rPr>
        <w:t>) guarantee of free expression extends to threats of violence” (</w:t>
      </w:r>
      <w:proofErr w:type="spellStart"/>
      <w:r w:rsidRPr="00A54D93">
        <w:rPr>
          <w:rFonts w:cs="Times New Roman"/>
        </w:rPr>
        <w:t>para</w:t>
      </w:r>
      <w:proofErr w:type="spellEnd"/>
      <w:r w:rsidRPr="00A54D93">
        <w:rPr>
          <w:rFonts w:cs="Times New Roman"/>
        </w:rPr>
        <w:t>. 70). The same rationale for excluding expression conveyed by physical violence from the protection of s. 2(</w:t>
      </w:r>
      <w:r w:rsidRPr="00A54D93">
        <w:rPr>
          <w:rFonts w:cs="Times New Roman"/>
          <w:i/>
        </w:rPr>
        <w:t>b</w:t>
      </w:r>
      <w:r w:rsidRPr="00A54D93">
        <w:rPr>
          <w:rFonts w:cs="Times New Roman"/>
        </w:rPr>
        <w:t xml:space="preserve">) also applies to threats of violence. </w:t>
      </w:r>
    </w:p>
    <w:p w:rsidR="00DA111D" w:rsidRPr="00A54D93" w:rsidRDefault="00DA111D" w:rsidP="00DA111D">
      <w:pPr>
        <w:pStyle w:val="ParaNoNdepar-AltN"/>
        <w:widowControl w:val="0"/>
        <w:rPr>
          <w:rFonts w:cs="Times New Roman"/>
        </w:rPr>
      </w:pPr>
      <w:r w:rsidRPr="00A54D93">
        <w:rPr>
          <w:rFonts w:cs="Times New Roman"/>
        </w:rPr>
        <w:t xml:space="preserve">Third, </w:t>
      </w:r>
      <w:proofErr w:type="spellStart"/>
      <w:r w:rsidRPr="00A54D93">
        <w:rPr>
          <w:rFonts w:cs="Times New Roman"/>
        </w:rPr>
        <w:t>Bastarache</w:t>
      </w:r>
      <w:proofErr w:type="spellEnd"/>
      <w:r w:rsidRPr="00A54D93">
        <w:rPr>
          <w:rFonts w:cs="Times New Roman"/>
        </w:rPr>
        <w:t xml:space="preserve"> J. in </w:t>
      </w:r>
      <w:r w:rsidRPr="00A54D93">
        <w:rPr>
          <w:rFonts w:cs="Times New Roman"/>
          <w:i/>
        </w:rPr>
        <w:t xml:space="preserve">C.D. </w:t>
      </w:r>
      <w:r w:rsidRPr="00A54D93">
        <w:rPr>
          <w:rFonts w:cs="Times New Roman"/>
        </w:rPr>
        <w:t xml:space="preserve">discussed the different forms of robbery </w:t>
      </w:r>
      <w:r w:rsidRPr="00A54D93">
        <w:rPr>
          <w:rFonts w:cs="Times New Roman"/>
        </w:rPr>
        <w:lastRenderedPageBreak/>
        <w:t>under s. 343. Regarding s. 343(</w:t>
      </w:r>
      <w:r w:rsidRPr="00A54D93">
        <w:rPr>
          <w:rFonts w:cs="Times New Roman"/>
          <w:i/>
        </w:rPr>
        <w:t>b</w:t>
      </w:r>
      <w:r w:rsidRPr="00A54D93">
        <w:rPr>
          <w:rFonts w:cs="Times New Roman"/>
        </w:rPr>
        <w:t>), he mentioned that the expression “personal violence” in the phrase “wounds, beats, strikes or uses any personal violence” had been interpreted to require something more than a mere technical assault. On the other hand, the phrase “uses violence or threats of violence” in s. 343(</w:t>
      </w:r>
      <w:r w:rsidRPr="00A54D93">
        <w:rPr>
          <w:rFonts w:cs="Times New Roman"/>
          <w:i/>
        </w:rPr>
        <w:t>a</w:t>
      </w:r>
      <w:r w:rsidRPr="00A54D93">
        <w:rPr>
          <w:rFonts w:cs="Times New Roman"/>
        </w:rPr>
        <w:t>) had been interpreted to include simple assault (</w:t>
      </w:r>
      <w:proofErr w:type="spellStart"/>
      <w:r w:rsidRPr="00A54D93">
        <w:rPr>
          <w:rFonts w:cs="Times New Roman"/>
        </w:rPr>
        <w:t>para</w:t>
      </w:r>
      <w:proofErr w:type="spellEnd"/>
      <w:r w:rsidRPr="00A54D93">
        <w:rPr>
          <w:rFonts w:cs="Times New Roman"/>
        </w:rPr>
        <w:t xml:space="preserve">. 32). Putting aside, for a moment, technical arguments about the construction of each of the provisions, I would note that Parliament included threats of violence among the violent acts that elevate the offence of theft to that of robbery. In this regard, I agree with the comment of Epstein J.A. in </w:t>
      </w:r>
      <w:proofErr w:type="spellStart"/>
      <w:r w:rsidRPr="00A54D93">
        <w:rPr>
          <w:rFonts w:cs="Times New Roman"/>
          <w:i/>
        </w:rPr>
        <w:t>Lebar</w:t>
      </w:r>
      <w:proofErr w:type="spellEnd"/>
      <w:r w:rsidRPr="00A54D93">
        <w:rPr>
          <w:rFonts w:cs="Times New Roman"/>
        </w:rPr>
        <w:t>: “Section 343(</w:t>
      </w:r>
      <w:r w:rsidRPr="00A54D93">
        <w:rPr>
          <w:rFonts w:cs="Times New Roman"/>
          <w:i/>
        </w:rPr>
        <w:t>a</w:t>
      </w:r>
      <w:r w:rsidRPr="00A54D93">
        <w:rPr>
          <w:rFonts w:cs="Times New Roman"/>
        </w:rPr>
        <w:t>) applies to a robbery committed with violence. It is categorically a crime of violence — violence is an essential element of an offence under that section” (</w:t>
      </w:r>
      <w:proofErr w:type="spellStart"/>
      <w:r w:rsidRPr="00A54D93">
        <w:rPr>
          <w:rFonts w:cs="Times New Roman"/>
        </w:rPr>
        <w:t>para</w:t>
      </w:r>
      <w:proofErr w:type="spellEnd"/>
      <w:r w:rsidRPr="00A54D93">
        <w:rPr>
          <w:rFonts w:cs="Times New Roman"/>
        </w:rPr>
        <w:t xml:space="preserve">. 33). </w:t>
      </w:r>
    </w:p>
    <w:p w:rsidR="00DA111D" w:rsidRPr="00A54D93" w:rsidRDefault="00DA111D" w:rsidP="00DA111D">
      <w:pPr>
        <w:pStyle w:val="ParaNoNdepar-AltN"/>
        <w:widowControl w:val="0"/>
        <w:rPr>
          <w:rFonts w:cs="Times New Roman"/>
        </w:rPr>
      </w:pPr>
      <w:r w:rsidRPr="00A54D93">
        <w:rPr>
          <w:rFonts w:cs="Times New Roman"/>
        </w:rPr>
        <w:t xml:space="preserve">This brief survey of judicial interpretations of the term “violence” suggests that the focus is on the harm caused, attempted or threatened rather than on the force that was applied. I do not suggest that the definition of violence must be a harm-based one in every case. Context will be paramount. As I mention below (see </w:t>
      </w:r>
      <w:proofErr w:type="spellStart"/>
      <w:r w:rsidRPr="00A54D93">
        <w:rPr>
          <w:rFonts w:cs="Times New Roman"/>
        </w:rPr>
        <w:t>para</w:t>
      </w:r>
      <w:proofErr w:type="spellEnd"/>
      <w:r w:rsidRPr="00A54D93">
        <w:rPr>
          <w:rFonts w:cs="Times New Roman"/>
        </w:rPr>
        <w:t xml:space="preserve">. 65), there may be situations in which the presumption of consistent expression is clearly rebutted by other principles of interpretation and, as a result, the intended meaning of violence may vary between statutes and even, in some circumstances, within them: R. Sullivan, </w:t>
      </w:r>
      <w:r w:rsidRPr="00A54D93">
        <w:rPr>
          <w:rFonts w:cs="Times New Roman"/>
          <w:i/>
        </w:rPr>
        <w:t xml:space="preserve">Sullivan on the Construction of Statutes </w:t>
      </w:r>
      <w:r w:rsidRPr="00A54D93">
        <w:rPr>
          <w:rFonts w:cs="Times New Roman"/>
        </w:rPr>
        <w:t>(5th</w:t>
      </w:r>
      <w:r w:rsidRPr="00A54D93">
        <w:rPr>
          <w:rFonts w:cs="Times New Roman"/>
          <w:vertAlign w:val="superscript"/>
        </w:rPr>
        <w:t xml:space="preserve"> </w:t>
      </w:r>
      <w:r w:rsidRPr="00A54D93">
        <w:rPr>
          <w:rFonts w:cs="Times New Roman"/>
        </w:rPr>
        <w:t>ed. 2008), at</w:t>
      </w:r>
      <w:r w:rsidRPr="00A54D93">
        <w:rPr>
          <w:rFonts w:cs="Times New Roman"/>
          <w:i/>
        </w:rPr>
        <w:t xml:space="preserve"> </w:t>
      </w:r>
      <w:r w:rsidRPr="00A54D93">
        <w:rPr>
          <w:rFonts w:cs="Times New Roman"/>
        </w:rPr>
        <w:t xml:space="preserve">p. 222. However, unless the context or the purpose of the statute suggests a different approach, the prevailing definition of “violence” is a harm-based one that encompasses acts by which a person causes, attempts to cause or threatens to cause harm. </w:t>
      </w:r>
    </w:p>
    <w:p w:rsidR="00DA111D" w:rsidRPr="00A54D93" w:rsidRDefault="00DA111D" w:rsidP="00570AD5">
      <w:pPr>
        <w:pStyle w:val="Title2LevelTitre2Niveau"/>
        <w:widowControl w:val="0"/>
        <w:jc w:val="both"/>
        <w:rPr>
          <w:rFonts w:cs="Times New Roman"/>
        </w:rPr>
      </w:pPr>
      <w:r w:rsidRPr="00A54D93">
        <w:rPr>
          <w:rFonts w:cs="Times New Roman"/>
        </w:rPr>
        <w:lastRenderedPageBreak/>
        <w:t>Statutory Context Su</w:t>
      </w:r>
      <w:r w:rsidR="00570AD5">
        <w:rPr>
          <w:rFonts w:cs="Times New Roman"/>
        </w:rPr>
        <w:t>pports a Harm-Based Definition T</w:t>
      </w:r>
      <w:r w:rsidRPr="00A54D93">
        <w:rPr>
          <w:rFonts w:cs="Times New Roman"/>
        </w:rPr>
        <w:t>hat Encompasses Threats of Violence</w:t>
      </w:r>
    </w:p>
    <w:p w:rsidR="00DA111D" w:rsidRPr="00A54D93" w:rsidRDefault="00DA111D" w:rsidP="00DA111D">
      <w:pPr>
        <w:pStyle w:val="ParaNoNdepar-AltN"/>
        <w:widowControl w:val="0"/>
        <w:rPr>
          <w:rFonts w:cs="Times New Roman"/>
        </w:rPr>
      </w:pPr>
      <w:r w:rsidRPr="00A54D93">
        <w:rPr>
          <w:rFonts w:cs="Times New Roman"/>
        </w:rPr>
        <w:t xml:space="preserve">Having established that the purposive arguments are in conflict, that it is therefore necessary to consider the plain meaning of the words as well as the statutory context, and that the plain meaning generally favours a harm-based definition of violence that includes threats, I will now discuss the context in detail. The scope of the expression “use or attempted use of violence” must ultimately be determined having regard to the context in which it is used: </w:t>
      </w:r>
      <w:r w:rsidRPr="00A54D93">
        <w:rPr>
          <w:rFonts w:cs="Times New Roman"/>
          <w:i/>
        </w:rPr>
        <w:t>C.D.</w:t>
      </w:r>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33; </w:t>
      </w:r>
      <w:proofErr w:type="spellStart"/>
      <w:r w:rsidRPr="00A54D93">
        <w:rPr>
          <w:rFonts w:cs="Times New Roman"/>
          <w:i/>
        </w:rPr>
        <w:t>Lebar</w:t>
      </w:r>
      <w:proofErr w:type="spellEnd"/>
      <w:r w:rsidRPr="00A54D93">
        <w:rPr>
          <w:rFonts w:cs="Times New Roman"/>
        </w:rPr>
        <w:t>,</w:t>
      </w:r>
      <w:r w:rsidRPr="00A54D93">
        <w:rPr>
          <w:rFonts w:cs="Times New Roman"/>
          <w:i/>
        </w:rPr>
        <w:t xml:space="preserve"> </w:t>
      </w:r>
      <w:r w:rsidRPr="00A54D93">
        <w:rPr>
          <w:rFonts w:cs="Times New Roman"/>
        </w:rPr>
        <w:t xml:space="preserve">at </w:t>
      </w:r>
      <w:proofErr w:type="spellStart"/>
      <w:r w:rsidRPr="00A54D93">
        <w:rPr>
          <w:rFonts w:cs="Times New Roman"/>
        </w:rPr>
        <w:t>para</w:t>
      </w:r>
      <w:proofErr w:type="spellEnd"/>
      <w:r w:rsidRPr="00A54D93">
        <w:rPr>
          <w:rFonts w:cs="Times New Roman"/>
        </w:rPr>
        <w:t xml:space="preserve">. 38. </w:t>
      </w:r>
    </w:p>
    <w:p w:rsidR="00DA111D" w:rsidRPr="00A54D93" w:rsidRDefault="00DA111D" w:rsidP="00DA111D">
      <w:pPr>
        <w:pStyle w:val="ParaNoNdepar-AltN"/>
        <w:widowControl w:val="0"/>
        <w:rPr>
          <w:rFonts w:cs="Times New Roman"/>
        </w:rPr>
      </w:pPr>
      <w:r w:rsidRPr="00A54D93">
        <w:rPr>
          <w:rFonts w:cs="Times New Roman"/>
        </w:rPr>
        <w:t xml:space="preserve">Currently, the definition of an SPIO is relevant only to the dangerous and long-term offender scheme in Part XXIV of the </w:t>
      </w:r>
      <w:r w:rsidRPr="00A54D93">
        <w:rPr>
          <w:rFonts w:cs="Times New Roman"/>
          <w:i/>
        </w:rPr>
        <w:t>Criminal Code</w:t>
      </w:r>
      <w:r w:rsidRPr="00A54D93">
        <w:rPr>
          <w:rFonts w:cs="Times New Roman"/>
        </w:rPr>
        <w:t xml:space="preserve">, but this was not always the </w:t>
      </w:r>
      <w:r w:rsidR="008C6CE6">
        <w:rPr>
          <w:rFonts w:cs="Times New Roman"/>
        </w:rPr>
        <w:t>case. Between 2007 and 2012, s.</w:t>
      </w:r>
      <w:r w:rsidRPr="00A54D93">
        <w:rPr>
          <w:rFonts w:cs="Times New Roman"/>
        </w:rPr>
        <w:t xml:space="preserve"> 742.1 of the </w:t>
      </w:r>
      <w:r w:rsidRPr="00A54D93">
        <w:rPr>
          <w:rFonts w:cs="Times New Roman"/>
          <w:i/>
        </w:rPr>
        <w:t xml:space="preserve">Criminal Code </w:t>
      </w:r>
      <w:r w:rsidRPr="00A54D93">
        <w:rPr>
          <w:rFonts w:cs="Times New Roman"/>
        </w:rPr>
        <w:t xml:space="preserve">referred to that definition for the purpose of excluding certain offenders from the imposition of conditional sentences. In interpreting the definition for this purpose, some courts reasoned that the context of s. 742.1 called for a different interpretive approach: see, for example, </w:t>
      </w:r>
      <w:proofErr w:type="spellStart"/>
      <w:r w:rsidRPr="00A54D93">
        <w:rPr>
          <w:rFonts w:cs="Times New Roman"/>
          <w:i/>
        </w:rPr>
        <w:t>Lebar</w:t>
      </w:r>
      <w:proofErr w:type="spellEnd"/>
      <w:r w:rsidRPr="00A54D93">
        <w:rPr>
          <w:rFonts w:cs="Times New Roman"/>
        </w:rPr>
        <w:t xml:space="preserve">; </w:t>
      </w:r>
      <w:r w:rsidRPr="00A54D93">
        <w:rPr>
          <w:rFonts w:cs="Times New Roman"/>
          <w:i/>
        </w:rPr>
        <w:t xml:space="preserve">R. v. </w:t>
      </w:r>
      <w:proofErr w:type="spellStart"/>
      <w:r w:rsidRPr="00A54D93">
        <w:rPr>
          <w:rFonts w:cs="Times New Roman"/>
          <w:i/>
        </w:rPr>
        <w:t>Goulet</w:t>
      </w:r>
      <w:proofErr w:type="spellEnd"/>
      <w:r w:rsidRPr="00A54D93">
        <w:rPr>
          <w:rFonts w:cs="Times New Roman"/>
        </w:rPr>
        <w:t>,</w:t>
      </w:r>
      <w:r w:rsidRPr="00A54D93">
        <w:rPr>
          <w:rFonts w:cs="Times New Roman"/>
          <w:i/>
        </w:rPr>
        <w:t xml:space="preserve"> </w:t>
      </w:r>
      <w:r w:rsidRPr="00A54D93">
        <w:rPr>
          <w:rFonts w:cs="Times New Roman"/>
        </w:rPr>
        <w:t xml:space="preserve">2011 ABCA 230, 52 Alta. L.R. (5th) 241. I mention this in passing because, although some of the SPIO jurisprudence was developed in that context, the definition of an SPIO is no longer relevant to the imposition of such sentences and must therefore be interpreted solely in the context of its role in the dangerous and long-term offender scheme. </w:t>
      </w:r>
    </w:p>
    <w:p w:rsidR="00DA111D" w:rsidRPr="00A54D93" w:rsidRDefault="00DA111D" w:rsidP="00DA111D">
      <w:pPr>
        <w:pStyle w:val="ParaNoNdepar-AltN"/>
        <w:widowControl w:val="0"/>
        <w:rPr>
          <w:rFonts w:cs="Times New Roman"/>
        </w:rPr>
      </w:pPr>
      <w:r w:rsidRPr="00A54D93">
        <w:rPr>
          <w:rFonts w:cs="Times New Roman"/>
        </w:rPr>
        <w:t xml:space="preserve">Mr. Steele relies heavily, as did the Court of Appeal, on contextual arguments and the corresponding principles of statutory interpretation, and in particular on the presumption against tautology and the presumption of consistent </w:t>
      </w:r>
      <w:r w:rsidRPr="00A54D93">
        <w:rPr>
          <w:rFonts w:cs="Times New Roman"/>
        </w:rPr>
        <w:lastRenderedPageBreak/>
        <w:t>expression. I must address the following arguments:  First, it is argued that the words “</w:t>
      </w:r>
      <w:proofErr w:type="gramStart"/>
      <w:r w:rsidRPr="00A54D93">
        <w:rPr>
          <w:rFonts w:cs="Times New Roman"/>
        </w:rPr>
        <w:t xml:space="preserve">conduct </w:t>
      </w:r>
      <w:r>
        <w:rPr>
          <w:rFonts w:cs="Times New Roman"/>
        </w:rPr>
        <w:t>.</w:t>
      </w:r>
      <w:proofErr w:type="gramEnd"/>
      <w:r>
        <w:rPr>
          <w:rFonts w:cs="Times New Roman"/>
        </w:rPr>
        <w:t> . .</w:t>
      </w:r>
      <w:r w:rsidRPr="00A54D93">
        <w:rPr>
          <w:rFonts w:cs="Times New Roman"/>
        </w:rPr>
        <w:t xml:space="preserve"> inflicting or likely to inflict severe psychological damage”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of</w:t>
      </w:r>
      <w:proofErr w:type="gramEnd"/>
      <w:r w:rsidRPr="00A54D93">
        <w:rPr>
          <w:rFonts w:cs="Times New Roman"/>
        </w:rPr>
        <w:t xml:space="preserve"> the definition of an SPIO would be redundant if the words “use or attempted use of violence”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are</w:t>
      </w:r>
      <w:proofErr w:type="gramEnd"/>
      <w:r w:rsidRPr="00A54D93">
        <w:rPr>
          <w:rFonts w:cs="Times New Roman"/>
        </w:rPr>
        <w:t xml:space="preserve"> not interpreted narrowly. Second, according to the Court of Appeal, the fact that robbery is excluded from the offences enumerated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indicates that not every robbery is an SPIO. Third, the Court of Appeal stated that because the definition of robbery in s. 343(</w:t>
      </w:r>
      <w:r w:rsidRPr="00A54D93">
        <w:rPr>
          <w:rFonts w:cs="Times New Roman"/>
          <w:i/>
        </w:rPr>
        <w:t>a</w:t>
      </w:r>
      <w:r w:rsidRPr="00A54D93">
        <w:rPr>
          <w:rFonts w:cs="Times New Roman"/>
        </w:rPr>
        <w:t xml:space="preserve">) refers to the use of both violence and threats of violence, there must be some difference between the two and that, in light of the presumption of consistent expression, the reference to the use of violence in the definition of an SPIO therefore excludes threats of violence. With respect, I disagree with each of these arguments, for the following reasons.  </w:t>
      </w:r>
    </w:p>
    <w:p w:rsidR="00DA111D" w:rsidRPr="00A54D93" w:rsidRDefault="00DA111D" w:rsidP="00DA111D">
      <w:pPr>
        <w:pStyle w:val="Title3LevelTitre3Niveau"/>
        <w:widowControl w:val="0"/>
        <w:rPr>
          <w:rFonts w:cs="Times New Roman"/>
        </w:rPr>
      </w:pPr>
      <w:r w:rsidRPr="00A54D93">
        <w:rPr>
          <w:rFonts w:cs="Times New Roman"/>
        </w:rPr>
        <w:t>Subparagraph (</w:t>
      </w:r>
      <w:r w:rsidRPr="00A54D93">
        <w:rPr>
          <w:rFonts w:cs="Times New Roman"/>
          <w:i/>
        </w:rPr>
        <w:t>a</w:t>
      </w:r>
      <w:r w:rsidRPr="00A54D93">
        <w:rPr>
          <w:rFonts w:cs="Times New Roman"/>
        </w:rPr>
        <w:t>)(ii) of the Definition of an SPIO in Section 752</w:t>
      </w:r>
    </w:p>
    <w:p w:rsidR="00DA111D" w:rsidRPr="00A54D93" w:rsidRDefault="00DA111D" w:rsidP="00DA111D">
      <w:pPr>
        <w:pStyle w:val="ParaNoNdepar-AltN"/>
        <w:widowControl w:val="0"/>
        <w:rPr>
          <w:rFonts w:cs="Times New Roman"/>
        </w:rPr>
      </w:pPr>
      <w:r w:rsidRPr="00A54D93">
        <w:rPr>
          <w:rFonts w:cs="Times New Roman"/>
        </w:rPr>
        <w:t>Subparagraph (</w:t>
      </w:r>
      <w:r w:rsidRPr="00A54D93">
        <w:rPr>
          <w:rFonts w:cs="Times New Roman"/>
          <w:i/>
        </w:rPr>
        <w:t>a</w:t>
      </w:r>
      <w:proofErr w:type="gramStart"/>
      <w:r w:rsidRPr="00A54D93">
        <w:rPr>
          <w:rFonts w:cs="Times New Roman"/>
        </w:rPr>
        <w:t>)(</w:t>
      </w:r>
      <w:proofErr w:type="gramEnd"/>
      <w:r w:rsidRPr="00A54D93">
        <w:rPr>
          <w:rFonts w:cs="Times New Roman"/>
        </w:rPr>
        <w:t xml:space="preserve">ii) of the definition of an SPIO refers to “conduct endangering or likely to endanger the life or safety of another person or inflicting or likely to inflict severe psychological damage on another person”. Mr. Steele argues that if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is interpreted more broadly, it would apply to less serious instances of the very conduct to which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gramStart"/>
      <w:r w:rsidRPr="00A54D93">
        <w:rPr>
          <w:rFonts w:cs="Times New Roman"/>
        </w:rPr>
        <w:t>ii</w:t>
      </w:r>
      <w:proofErr w:type="gramEnd"/>
      <w:r w:rsidRPr="00A54D93">
        <w:rPr>
          <w:rFonts w:cs="Times New Roman"/>
        </w:rPr>
        <w:t xml:space="preserve">) applies, thereby rendering the “severe psychological damage” portion of the definition redundant. If this argument is taken a step further, it might be argued that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targets</w:t>
      </w:r>
      <w:proofErr w:type="gramEnd"/>
      <w:r w:rsidRPr="00A54D93">
        <w:rPr>
          <w:rFonts w:cs="Times New Roman"/>
        </w:rPr>
        <w:t xml:space="preserve"> violent activity on the basis of its </w:t>
      </w:r>
      <w:r w:rsidRPr="00A54D93">
        <w:rPr>
          <w:rFonts w:cs="Times New Roman"/>
          <w:i/>
        </w:rPr>
        <w:t xml:space="preserve">harm </w:t>
      </w:r>
      <w:r w:rsidRPr="00A54D93">
        <w:rPr>
          <w:rFonts w:cs="Times New Roman"/>
        </w:rPr>
        <w:t xml:space="preserve">or </w:t>
      </w:r>
      <w:r w:rsidRPr="00A54D93">
        <w:rPr>
          <w:rFonts w:cs="Times New Roman"/>
          <w:i/>
        </w:rPr>
        <w:t xml:space="preserve">effects </w:t>
      </w:r>
      <w:r w:rsidRPr="00A54D93">
        <w:rPr>
          <w:rFonts w:cs="Times New Roman"/>
        </w:rPr>
        <w:t xml:space="preserve">— i.e. danger to life or safety or severe psychological damage — whereas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targets</w:t>
      </w:r>
      <w:proofErr w:type="gramEnd"/>
      <w:r w:rsidRPr="00A54D93">
        <w:rPr>
          <w:rFonts w:cs="Times New Roman"/>
        </w:rPr>
        <w:t xml:space="preserve"> violent activity on the </w:t>
      </w:r>
      <w:r w:rsidRPr="00A54D93">
        <w:rPr>
          <w:rFonts w:cs="Times New Roman"/>
        </w:rPr>
        <w:lastRenderedPageBreak/>
        <w:t xml:space="preserve">basis of the force that was applied — i.e. </w:t>
      </w:r>
      <w:r w:rsidRPr="00A54D93">
        <w:rPr>
          <w:rFonts w:cs="Times New Roman"/>
          <w:i/>
        </w:rPr>
        <w:t xml:space="preserve">use </w:t>
      </w:r>
      <w:r w:rsidRPr="00A54D93">
        <w:rPr>
          <w:rFonts w:cs="Times New Roman"/>
        </w:rPr>
        <w:t xml:space="preserve">or attempted </w:t>
      </w:r>
      <w:r w:rsidRPr="00A54D93">
        <w:rPr>
          <w:rFonts w:cs="Times New Roman"/>
          <w:i/>
        </w:rPr>
        <w:t xml:space="preserve">use </w:t>
      </w:r>
      <w:r w:rsidRPr="00A54D93">
        <w:rPr>
          <w:rFonts w:cs="Times New Roman"/>
        </w:rPr>
        <w:t xml:space="preserve">of violence. </w:t>
      </w:r>
    </w:p>
    <w:p w:rsidR="00DA111D" w:rsidRPr="00A54D93" w:rsidRDefault="00DA111D" w:rsidP="00DA111D">
      <w:pPr>
        <w:pStyle w:val="ParaNoNdepar-AltN"/>
        <w:widowControl w:val="0"/>
        <w:rPr>
          <w:rFonts w:cs="Times New Roman"/>
        </w:rPr>
      </w:pPr>
      <w:r w:rsidRPr="00A54D93">
        <w:rPr>
          <w:rFonts w:cs="Times New Roman"/>
        </w:rPr>
        <w:t xml:space="preserve">With respect, after considering the relationship between </w:t>
      </w:r>
      <w:proofErr w:type="spellStart"/>
      <w:r w:rsidRPr="00A54D93">
        <w:rPr>
          <w:rFonts w:cs="Times New Roman"/>
        </w:rPr>
        <w:t>subparas</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and</w:t>
      </w:r>
      <w:proofErr w:type="gramEnd"/>
      <w:r w:rsidRPr="00A54D93">
        <w:rPr>
          <w:rFonts w:cs="Times New Roman"/>
        </w:rPr>
        <w:t xml:space="preserve"> (</w:t>
      </w:r>
      <w:r w:rsidRPr="00A54D93">
        <w:rPr>
          <w:rFonts w:cs="Times New Roman"/>
          <w:i/>
        </w:rPr>
        <w:t>a</w:t>
      </w:r>
      <w:r w:rsidRPr="00A54D93">
        <w:rPr>
          <w:rFonts w:cs="Times New Roman"/>
        </w:rPr>
        <w:t xml:space="preserve">)(ii) of the definition, I am led to the opposite conclusion. As a preliminary matter, there is no indication that the various parts of the definition of an SPIO in s. 752 are mutually exclusive: see </w:t>
      </w:r>
      <w:r w:rsidRPr="00A54D93">
        <w:rPr>
          <w:rFonts w:cs="Times New Roman"/>
          <w:i/>
        </w:rPr>
        <w:t>R. v. J.Y.</w:t>
      </w:r>
      <w:r w:rsidRPr="00A54D93">
        <w:rPr>
          <w:rFonts w:cs="Times New Roman"/>
        </w:rPr>
        <w:t xml:space="preserve"> (1996), 141 Sask. R. 132 (C.A.), at </w:t>
      </w:r>
      <w:proofErr w:type="spellStart"/>
      <w:r w:rsidRPr="00A54D93">
        <w:rPr>
          <w:rFonts w:cs="Times New Roman"/>
        </w:rPr>
        <w:t>para</w:t>
      </w:r>
      <w:proofErr w:type="spellEnd"/>
      <w:r w:rsidRPr="00A54D93">
        <w:rPr>
          <w:rFonts w:cs="Times New Roman"/>
        </w:rPr>
        <w:t xml:space="preserve">. 22. On the contrary, I can think of many scenarios in which an offence causing the harms outlined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would</w:t>
      </w:r>
      <w:proofErr w:type="gramEnd"/>
      <w:r w:rsidRPr="00A54D93">
        <w:rPr>
          <w:rFonts w:cs="Times New Roman"/>
        </w:rPr>
        <w:t xml:space="preserve"> clearly also involve “the use or attempted use of violence”. The same can be said about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which lists a number of sexual offences to include them in the definition of an SPIO. The offences enumerated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will</w:t>
      </w:r>
      <w:proofErr w:type="gramEnd"/>
      <w:r w:rsidRPr="00A54D93">
        <w:rPr>
          <w:rFonts w:cs="Times New Roman"/>
        </w:rPr>
        <w:t xml:space="preserve"> of course often also meet the qualitative criteria of </w:t>
      </w:r>
      <w:proofErr w:type="spellStart"/>
      <w:r w:rsidRPr="00A54D93">
        <w:rPr>
          <w:rFonts w:cs="Times New Roman"/>
        </w:rPr>
        <w:t>subparas</w:t>
      </w:r>
      <w:proofErr w:type="spellEnd"/>
      <w:r w:rsidRPr="00A54D93">
        <w:rPr>
          <w:rFonts w:cs="Times New Roman"/>
        </w:rPr>
        <w:t>. (</w:t>
      </w:r>
      <w:r w:rsidRPr="00A54D93">
        <w:rPr>
          <w:rFonts w:cs="Times New Roman"/>
          <w:i/>
        </w:rPr>
        <w:t>a</w:t>
      </w:r>
      <w:r w:rsidRPr="00A54D93">
        <w:rPr>
          <w:rFonts w:cs="Times New Roman"/>
        </w:rPr>
        <w:t>)(</w:t>
      </w:r>
      <w:proofErr w:type="spellStart"/>
      <w:proofErr w:type="gramStart"/>
      <w:r w:rsidRPr="00A54D93">
        <w:rPr>
          <w:rFonts w:cs="Times New Roman"/>
        </w:rPr>
        <w:t>i</w:t>
      </w:r>
      <w:proofErr w:type="spellEnd"/>
      <w:proofErr w:type="gramEnd"/>
      <w:r w:rsidRPr="00A54D93">
        <w:rPr>
          <w:rFonts w:cs="Times New Roman"/>
        </w:rPr>
        <w:t>) and (</w:t>
      </w:r>
      <w:r w:rsidRPr="00A54D93">
        <w:rPr>
          <w:rFonts w:cs="Times New Roman"/>
          <w:i/>
        </w:rPr>
        <w:t>a</w:t>
      </w:r>
      <w:r w:rsidRPr="00A54D93">
        <w:rPr>
          <w:rFonts w:cs="Times New Roman"/>
        </w:rPr>
        <w:t xml:space="preserve">)(ii). The fact that a proposed interpretation would bring some offences within the ambit of more than one part of the definition in s. 752 should not, in itself, justify narrowing the definition to avoid such overlaps. </w:t>
      </w:r>
    </w:p>
    <w:p w:rsidR="00DA111D" w:rsidRPr="00A54D93" w:rsidRDefault="00DA111D" w:rsidP="00DA111D">
      <w:pPr>
        <w:pStyle w:val="ParaNoNdepar-AltN"/>
        <w:widowControl w:val="0"/>
        <w:rPr>
          <w:rFonts w:cs="Times New Roman"/>
        </w:rPr>
      </w:pPr>
      <w:r w:rsidRPr="00A54D93">
        <w:rPr>
          <w:rFonts w:cs="Times New Roman"/>
        </w:rPr>
        <w:t xml:space="preserve">Furthermore, to the extent that redundancy is a problem in the case at bar, I would suggest that the Court of Appeal’s interpretation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adds</w:t>
      </w:r>
      <w:proofErr w:type="gramEnd"/>
      <w:r w:rsidRPr="00A54D93">
        <w:rPr>
          <w:rFonts w:cs="Times New Roman"/>
        </w:rPr>
        <w:t xml:space="preserve"> to the redundancy rather than reducing it. By confining the expression “use or attempted use of violence” to physical action or danger, the Court of Appeal has rendered it largely indistinguishable from the expression “conduct endangering or likely to endanger the life or safety of another person”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The Court of Appeal held that there must be “some degree of physical action” for a threat to amount to an attempted use of violence: “[T]here needs to be some indication of imminent apparent danger to a person or some overt act directed towards the actual use of violence against a </w:t>
      </w:r>
      <w:r w:rsidRPr="00A54D93">
        <w:rPr>
          <w:rFonts w:cs="Times New Roman"/>
        </w:rPr>
        <w:lastRenderedPageBreak/>
        <w:t>person for a threat of violence to also constitute the attempted use of violence” (</w:t>
      </w:r>
      <w:proofErr w:type="spellStart"/>
      <w:r w:rsidRPr="00A54D93">
        <w:rPr>
          <w:rFonts w:cs="Times New Roman"/>
        </w:rPr>
        <w:t>para</w:t>
      </w:r>
      <w:proofErr w:type="spellEnd"/>
      <w:r w:rsidRPr="00A54D93">
        <w:rPr>
          <w:rFonts w:cs="Times New Roman"/>
        </w:rPr>
        <w:t xml:space="preserve">. 85). Scott C.J.M. endorsed the reasoning in </w:t>
      </w:r>
      <w:r w:rsidRPr="00A54D93">
        <w:rPr>
          <w:rFonts w:cs="Times New Roman"/>
          <w:i/>
        </w:rPr>
        <w:t>Thompson</w:t>
      </w:r>
      <w:r w:rsidRPr="00A54D93">
        <w:rPr>
          <w:rFonts w:cs="Times New Roman"/>
        </w:rPr>
        <w:t>, in which a similar distinction was made between violent and non-violent threats on the basis of proximity to the “actual perpetration of violence” (</w:t>
      </w:r>
      <w:proofErr w:type="spellStart"/>
      <w:r w:rsidRPr="00A54D93">
        <w:rPr>
          <w:rFonts w:cs="Times New Roman"/>
        </w:rPr>
        <w:t>para</w:t>
      </w:r>
      <w:proofErr w:type="spellEnd"/>
      <w:r w:rsidRPr="00A54D93">
        <w:rPr>
          <w:rFonts w:cs="Times New Roman"/>
        </w:rPr>
        <w:t xml:space="preserve">. 77). With respect, this interpretation artificially limits the ordinary harm-based meaning of the “violence” concept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and</w:t>
      </w:r>
      <w:proofErr w:type="gramEnd"/>
      <w:r w:rsidRPr="00A54D93">
        <w:rPr>
          <w:rFonts w:cs="Times New Roman"/>
        </w:rPr>
        <w:t xml:space="preserve"> transforms that provision into a replication of the dangerousness portion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As </w:t>
      </w:r>
      <w:proofErr w:type="spellStart"/>
      <w:r w:rsidRPr="00A54D93">
        <w:rPr>
          <w:rFonts w:cs="Times New Roman"/>
        </w:rPr>
        <w:t>Bastarache</w:t>
      </w:r>
      <w:proofErr w:type="spellEnd"/>
      <w:r w:rsidRPr="00A54D93">
        <w:rPr>
          <w:rFonts w:cs="Times New Roman"/>
        </w:rPr>
        <w:t xml:space="preserve"> J. stated in </w:t>
      </w:r>
      <w:r w:rsidRPr="00A54D93">
        <w:rPr>
          <w:rFonts w:cs="Times New Roman"/>
          <w:i/>
        </w:rPr>
        <w:t>C.D.</w:t>
      </w:r>
      <w:r w:rsidRPr="00A54D93">
        <w:rPr>
          <w:rFonts w:cs="Times New Roman"/>
        </w:rPr>
        <w:t xml:space="preserve">, “[t]he fact that violent conduct is different from dangerous conduct is made quite clear in </w:t>
      </w:r>
      <w:r w:rsidR="008C6CE6">
        <w:rPr>
          <w:rFonts w:cs="Times New Roman"/>
        </w:rPr>
        <w:t xml:space="preserve">. . . </w:t>
      </w:r>
      <w:r w:rsidRPr="00A54D93">
        <w:rPr>
          <w:rFonts w:cs="Times New Roman"/>
        </w:rPr>
        <w:t>s. 752” (</w:t>
      </w:r>
      <w:proofErr w:type="spellStart"/>
      <w:r w:rsidRPr="00A54D93">
        <w:rPr>
          <w:rFonts w:cs="Times New Roman"/>
        </w:rPr>
        <w:t>para</w:t>
      </w:r>
      <w:proofErr w:type="spellEnd"/>
      <w:r w:rsidRPr="00A54D93">
        <w:rPr>
          <w:rFonts w:cs="Times New Roman"/>
        </w:rPr>
        <w:t xml:space="preserve">. 79). </w:t>
      </w:r>
    </w:p>
    <w:p w:rsidR="00DA111D" w:rsidRPr="00A54D93" w:rsidRDefault="00DA111D" w:rsidP="00DA111D">
      <w:pPr>
        <w:pStyle w:val="ParaNoNdepar-AltN"/>
        <w:widowControl w:val="0"/>
        <w:rPr>
          <w:rFonts w:cs="Times New Roman"/>
        </w:rPr>
      </w:pPr>
      <w:r w:rsidRPr="00A54D93">
        <w:rPr>
          <w:rFonts w:cs="Times New Roman"/>
        </w:rPr>
        <w:t xml:space="preserve">I agree that the effect of my interpretation will be to include certain offences causing less-than-severe psychological damage within the scope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However, this does not render the reference to “severe psychological damage”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redundant</w:t>
      </w:r>
      <w:proofErr w:type="gramEnd"/>
      <w:r w:rsidRPr="00A54D93">
        <w:rPr>
          <w:rFonts w:cs="Times New Roman"/>
        </w:rPr>
        <w:t xml:space="preserve">. In other words, the endangerment and severe psychological damage referred to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do</w:t>
      </w:r>
      <w:proofErr w:type="gramEnd"/>
      <w:r w:rsidRPr="00A54D93">
        <w:rPr>
          <w:rFonts w:cs="Times New Roman"/>
        </w:rPr>
        <w:t xml:space="preserve"> not merely form a narrower subset of “the use or attempted use of violence”. In my view, the two provisions are qualitatively different owing, in part, to the required level of intent.  Subparagraph (</w:t>
      </w:r>
      <w:r w:rsidRPr="00A54D93">
        <w:rPr>
          <w:rFonts w:cs="Times New Roman"/>
          <w:i/>
        </w:rPr>
        <w:t>a</w:t>
      </w:r>
      <w:proofErr w:type="gramStart"/>
      <w:r w:rsidRPr="00A54D93">
        <w:rPr>
          <w:rFonts w:cs="Times New Roman"/>
        </w:rPr>
        <w:t>)(</w:t>
      </w:r>
      <w:proofErr w:type="spellStart"/>
      <w:proofErr w:type="gramEnd"/>
      <w:r w:rsidRPr="00A54D93">
        <w:rPr>
          <w:rFonts w:cs="Times New Roman"/>
        </w:rPr>
        <w:t>i</w:t>
      </w:r>
      <w:proofErr w:type="spellEnd"/>
      <w:r w:rsidRPr="00A54D93">
        <w:rPr>
          <w:rFonts w:cs="Times New Roman"/>
        </w:rPr>
        <w:t xml:space="preserve">) concerns violent acts — “the use or attempted use of violence” — and requires violent intent on the offender’s part. This part of the definition will apply to an offender who </w:t>
      </w:r>
      <w:r w:rsidRPr="00A54D93">
        <w:rPr>
          <w:rFonts w:cs="Times New Roman"/>
          <w:i/>
        </w:rPr>
        <w:t xml:space="preserve">intentionally </w:t>
      </w:r>
      <w:r w:rsidRPr="00A54D93">
        <w:rPr>
          <w:rFonts w:cs="Times New Roman"/>
        </w:rPr>
        <w:t xml:space="preserve">causes, attempts to cause or threatens to cause harm. Threats are included by virtue of the speaker’s </w:t>
      </w:r>
      <w:r w:rsidRPr="00A54D93">
        <w:rPr>
          <w:rFonts w:cs="Times New Roman"/>
          <w:i/>
        </w:rPr>
        <w:t xml:space="preserve">intent </w:t>
      </w:r>
      <w:r w:rsidRPr="00A54D93">
        <w:rPr>
          <w:rFonts w:cs="Times New Roman"/>
        </w:rPr>
        <w:t>that they be taken seriously.  Subparagraph (</w:t>
      </w:r>
      <w:r w:rsidRPr="00A54D93">
        <w:rPr>
          <w:rFonts w:cs="Times New Roman"/>
          <w:i/>
        </w:rPr>
        <w:t>a</w:t>
      </w:r>
      <w:proofErr w:type="gramStart"/>
      <w:r w:rsidRPr="00A54D93">
        <w:rPr>
          <w:rFonts w:cs="Times New Roman"/>
        </w:rPr>
        <w:t>)(</w:t>
      </w:r>
      <w:proofErr w:type="gramEnd"/>
      <w:r w:rsidRPr="00A54D93">
        <w:rPr>
          <w:rFonts w:cs="Times New Roman"/>
        </w:rPr>
        <w:t xml:space="preserve">ii), on the other hand, relates solely to the effects of conduct. It does not refer to violence in general, or even to intent. Thus, numerous courts have properly included offences involving negligence — for example, dangerous operation </w:t>
      </w:r>
      <w:r w:rsidRPr="00A54D93">
        <w:rPr>
          <w:rFonts w:cs="Times New Roman"/>
        </w:rPr>
        <w:lastRenderedPageBreak/>
        <w:t xml:space="preserve">of a motor vehicle, vessel or aircraft causing bodily harm (s. 249(3)) — within the scope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roofErr w:type="gramStart"/>
      <w:r w:rsidRPr="00A54D93">
        <w:rPr>
          <w:rFonts w:cs="Times New Roman"/>
        </w:rPr>
        <w:t>on</w:t>
      </w:r>
      <w:proofErr w:type="gramEnd"/>
      <w:r w:rsidRPr="00A54D93">
        <w:rPr>
          <w:rFonts w:cs="Times New Roman"/>
        </w:rPr>
        <w:t xml:space="preserve"> the basis that they caused one of the effects in question: see, e.g., </w:t>
      </w:r>
      <w:proofErr w:type="spellStart"/>
      <w:r w:rsidRPr="00A54D93">
        <w:rPr>
          <w:rFonts w:cs="Times New Roman"/>
          <w:i/>
        </w:rPr>
        <w:t>Cepic</w:t>
      </w:r>
      <w:proofErr w:type="spellEnd"/>
      <w:r w:rsidRPr="00A54D93">
        <w:rPr>
          <w:rFonts w:cs="Times New Roman"/>
        </w:rPr>
        <w:t xml:space="preserve">; </w:t>
      </w:r>
      <w:r w:rsidRPr="00A54D93">
        <w:rPr>
          <w:rFonts w:cs="Times New Roman"/>
          <w:i/>
        </w:rPr>
        <w:t>R. v. O’Keefe</w:t>
      </w:r>
      <w:r w:rsidRPr="00A54D93">
        <w:rPr>
          <w:rFonts w:cs="Times New Roman"/>
        </w:rPr>
        <w:t xml:space="preserve">, 2011 NLCA 41, 309 Nfld. &amp; P.E.I.R. 253. Conversely, although I will not decide this issue, I would have difficulty concluding that a negligence-based offence involves “the use or attempted use of violence”. </w:t>
      </w:r>
    </w:p>
    <w:p w:rsidR="00DA111D" w:rsidRPr="00A54D93" w:rsidRDefault="00DA111D" w:rsidP="00DA111D">
      <w:pPr>
        <w:pStyle w:val="ParaNoNdepar-AltN"/>
        <w:widowControl w:val="0"/>
        <w:rPr>
          <w:rFonts w:cs="Times New Roman"/>
        </w:rPr>
      </w:pPr>
      <w:r w:rsidRPr="00A54D93">
        <w:rPr>
          <w:rFonts w:cs="Times New Roman"/>
        </w:rPr>
        <w:t xml:space="preserve">I would note that in </w:t>
      </w:r>
      <w:r w:rsidRPr="00A54D93">
        <w:rPr>
          <w:rFonts w:cs="Times New Roman"/>
          <w:i/>
        </w:rPr>
        <w:t>C.D.</w:t>
      </w:r>
      <w:r w:rsidRPr="00A54D93">
        <w:rPr>
          <w:rFonts w:cs="Times New Roman"/>
        </w:rPr>
        <w:t>,</w:t>
      </w:r>
      <w:r w:rsidRPr="00A54D93">
        <w:rPr>
          <w:rFonts w:cs="Times New Roman"/>
          <w:i/>
        </w:rPr>
        <w:t xml:space="preserve"> </w:t>
      </w:r>
      <w:proofErr w:type="spellStart"/>
      <w:r w:rsidRPr="00A54D93">
        <w:rPr>
          <w:rFonts w:cs="Times New Roman"/>
        </w:rPr>
        <w:t>Bastarache</w:t>
      </w:r>
      <w:proofErr w:type="spellEnd"/>
      <w:r w:rsidRPr="00A54D93">
        <w:rPr>
          <w:rFonts w:cs="Times New Roman"/>
        </w:rPr>
        <w:t xml:space="preserve"> J. excluded offences for which bodily harm need merely be reasonably foreseeable from the definition of “violent offence”. He reasoned: “</w:t>
      </w:r>
      <w:r w:rsidR="00C90728">
        <w:rPr>
          <w:rFonts w:cs="Times New Roman"/>
        </w:rPr>
        <w:t xml:space="preserve">. . . </w:t>
      </w:r>
      <w:r w:rsidRPr="00A54D93">
        <w:rPr>
          <w:rFonts w:cs="Times New Roman"/>
        </w:rPr>
        <w:t xml:space="preserve">I do not support the inclusion of a ‘reasonable </w:t>
      </w:r>
      <w:proofErr w:type="spellStart"/>
      <w:r w:rsidRPr="00A54D93">
        <w:rPr>
          <w:rFonts w:cs="Times New Roman"/>
        </w:rPr>
        <w:t>foreseeability</w:t>
      </w:r>
      <w:proofErr w:type="spellEnd"/>
      <w:r w:rsidRPr="00A54D93">
        <w:rPr>
          <w:rFonts w:cs="Times New Roman"/>
        </w:rPr>
        <w:t xml:space="preserve"> of bodily harm’ aspect in the definition of ‘violent offence’ because, in my view, </w:t>
      </w:r>
      <w:r w:rsidRPr="00A54D93">
        <w:rPr>
          <w:rFonts w:cs="Times New Roman"/>
          <w:u w:val="single"/>
        </w:rPr>
        <w:t>whether an offence is likely to result in bodily harm is really a question of whether the offence is dangerous rather than whether it is violent, and these two concepts are quite distinct from one another</w:t>
      </w:r>
      <w:r w:rsidRPr="00A54D93">
        <w:rPr>
          <w:rFonts w:cs="Times New Roman"/>
        </w:rPr>
        <w:t>” (</w:t>
      </w:r>
      <w:proofErr w:type="spellStart"/>
      <w:r w:rsidRPr="00A54D93">
        <w:rPr>
          <w:rFonts w:cs="Times New Roman"/>
        </w:rPr>
        <w:t>para</w:t>
      </w:r>
      <w:proofErr w:type="spellEnd"/>
      <w:r w:rsidRPr="00A54D93">
        <w:rPr>
          <w:rFonts w:cs="Times New Roman"/>
        </w:rPr>
        <w:t xml:space="preserve">. 79 (emphasis added)). He relied on s. 752 in support of this proposition. </w:t>
      </w:r>
    </w:p>
    <w:p w:rsidR="00DA111D" w:rsidRPr="00A54D93" w:rsidRDefault="00DA111D" w:rsidP="00DA111D">
      <w:pPr>
        <w:pStyle w:val="ParaNoNdepar-AltN"/>
        <w:widowControl w:val="0"/>
        <w:rPr>
          <w:rFonts w:cs="Times New Roman"/>
        </w:rPr>
      </w:pPr>
      <w:r w:rsidRPr="00A54D93">
        <w:rPr>
          <w:rFonts w:cs="Times New Roman"/>
        </w:rPr>
        <w:t xml:space="preserve">In conclusion, a harm-based approach to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according</w:t>
      </w:r>
      <w:proofErr w:type="gramEnd"/>
      <w:r w:rsidRPr="00A54D93">
        <w:rPr>
          <w:rFonts w:cs="Times New Roman"/>
        </w:rPr>
        <w:t xml:space="preserve"> to which threatening violence constitutes a form of use of violence is not inconsistent with the endangerment and psychological damage aspects of the definition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 xml:space="preserve">)(ii). </w:t>
      </w:r>
    </w:p>
    <w:p w:rsidR="00DA111D" w:rsidRPr="00A54D93" w:rsidRDefault="00DA111D" w:rsidP="00DA111D">
      <w:pPr>
        <w:pStyle w:val="Title3LevelTitre3Niveau"/>
        <w:widowControl w:val="0"/>
        <w:rPr>
          <w:rFonts w:cs="Times New Roman"/>
        </w:rPr>
      </w:pPr>
      <w:r w:rsidRPr="00A54D93">
        <w:rPr>
          <w:rFonts w:cs="Times New Roman"/>
        </w:rPr>
        <w:t>Paragraph (</w:t>
      </w:r>
      <w:r w:rsidRPr="00A54D93">
        <w:rPr>
          <w:rFonts w:cs="Times New Roman"/>
          <w:i/>
        </w:rPr>
        <w:t>b</w:t>
      </w:r>
      <w:r w:rsidRPr="00A54D93">
        <w:rPr>
          <w:rFonts w:cs="Times New Roman"/>
        </w:rPr>
        <w:t>) of the Definition</w:t>
      </w:r>
    </w:p>
    <w:p w:rsidR="00DA111D" w:rsidRPr="00A54D93" w:rsidRDefault="00DA111D" w:rsidP="00DA111D">
      <w:pPr>
        <w:pStyle w:val="ParaNoNdepar-AltN"/>
        <w:widowControl w:val="0"/>
        <w:rPr>
          <w:rFonts w:cs="Times New Roman"/>
        </w:rPr>
      </w:pPr>
      <w:r w:rsidRPr="00A54D93">
        <w:rPr>
          <w:rFonts w:cs="Times New Roman"/>
        </w:rPr>
        <w:t xml:space="preserve">I have already briefly addressed the argument that the exclusion of robbery from the offences listed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is relevant to the </w:t>
      </w:r>
      <w:r w:rsidRPr="00A54D93">
        <w:rPr>
          <w:rFonts w:cs="Times New Roman"/>
        </w:rPr>
        <w:lastRenderedPageBreak/>
        <w:t xml:space="preserve">determination of legislative intent. With respect, this argument is based on two false premises. First, robbery may be committed by way of threats of violence to property and such threats are clearly excluded from the definition of an SPIO, which means that Parliament could not have categorically defined robbery as an SPIO even if it considered the threats to be violent. Second, Parliament identified three sexual offences each of which categorically qualifies as an SPIO in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There is no indication that Parliament intended to create an exhaustive list of all offences constituting SPIOs in all cases. Rather, as this Court stated in </w:t>
      </w:r>
      <w:r w:rsidRPr="00A54D93">
        <w:rPr>
          <w:rFonts w:cs="Times New Roman"/>
          <w:i/>
        </w:rPr>
        <w:t>Currie</w:t>
      </w:r>
      <w:r w:rsidRPr="00A54D93">
        <w:rPr>
          <w:rFonts w:cs="Times New Roman"/>
        </w:rPr>
        <w:t>,</w:t>
      </w:r>
      <w:r w:rsidRPr="00A54D93">
        <w:rPr>
          <w:rFonts w:cs="Times New Roman"/>
          <w:i/>
        </w:rPr>
        <w:t xml:space="preserve">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serves</w:t>
      </w:r>
      <w:proofErr w:type="gramEnd"/>
      <w:r w:rsidRPr="00A54D93">
        <w:rPr>
          <w:rFonts w:cs="Times New Roman"/>
        </w:rPr>
        <w:t xml:space="preserve"> to make it clear that the enumerated sexual offences, whatever form they may take, are inherently serious and may trigger a dangerous offender application (</w:t>
      </w:r>
      <w:proofErr w:type="spellStart"/>
      <w:r w:rsidRPr="00A54D93">
        <w:rPr>
          <w:rFonts w:cs="Times New Roman"/>
        </w:rPr>
        <w:t>para</w:t>
      </w:r>
      <w:proofErr w:type="spellEnd"/>
      <w:r w:rsidRPr="00A54D93">
        <w:rPr>
          <w:rFonts w:cs="Times New Roman"/>
        </w:rPr>
        <w:t xml:space="preserve">. 22).   </w:t>
      </w:r>
    </w:p>
    <w:p w:rsidR="00DA111D" w:rsidRPr="00A54D93" w:rsidRDefault="00DA111D" w:rsidP="00DA111D">
      <w:pPr>
        <w:pStyle w:val="ParaNoNdepar-AltN"/>
        <w:widowControl w:val="0"/>
        <w:rPr>
          <w:rFonts w:cs="Times New Roman"/>
        </w:rPr>
      </w:pPr>
      <w:r w:rsidRPr="00A54D93">
        <w:rPr>
          <w:rFonts w:cs="Times New Roman"/>
        </w:rPr>
        <w:t xml:space="preserve">The reason why Parliament included a list of sexual offences is surely not that sexual offences are not otherwise covered by the expression “use or attempted use of violence”. The more reasonable view is that Parliament included the list to make it clear that such offences will constitute SPIOs in all circumstances, even those that are committed with minimal physical force and that do not result in bodily harm. Furthermore, the view that Parliament, in enacting </w:t>
      </w:r>
      <w:proofErr w:type="spellStart"/>
      <w:r w:rsidRPr="00A54D93">
        <w:rPr>
          <w:rFonts w:cs="Times New Roman"/>
        </w:rPr>
        <w:t>para</w:t>
      </w:r>
      <w:proofErr w:type="spellEnd"/>
      <w:r w:rsidRPr="00A54D93">
        <w:rPr>
          <w:rFonts w:cs="Times New Roman"/>
        </w:rPr>
        <w:t>. (</w:t>
      </w:r>
      <w:r w:rsidRPr="00A54D93">
        <w:rPr>
          <w:rFonts w:cs="Times New Roman"/>
          <w:i/>
        </w:rPr>
        <w:t>b</w:t>
      </w:r>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was rejecting a narrow approach that might exclude some sexual offences is consistent with my interpretation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which rules out a similarly narrow approach in the context of threats of violence. </w:t>
      </w:r>
    </w:p>
    <w:p w:rsidR="00DA111D" w:rsidRPr="00A54D93" w:rsidRDefault="00DA111D" w:rsidP="00DA111D">
      <w:pPr>
        <w:pStyle w:val="Title3LevelTitre3Niveau"/>
        <w:widowControl w:val="0"/>
        <w:rPr>
          <w:rFonts w:cs="Times New Roman"/>
        </w:rPr>
      </w:pPr>
      <w:r w:rsidRPr="00A54D93">
        <w:rPr>
          <w:rFonts w:cs="Times New Roman"/>
        </w:rPr>
        <w:t>Section 343(</w:t>
      </w:r>
      <w:r w:rsidRPr="00A54D93">
        <w:rPr>
          <w:rFonts w:cs="Times New Roman"/>
          <w:i/>
        </w:rPr>
        <w:t>a</w:t>
      </w:r>
      <w:r w:rsidRPr="00A54D93">
        <w:rPr>
          <w:rFonts w:cs="Times New Roman"/>
        </w:rPr>
        <w:t>)</w:t>
      </w:r>
    </w:p>
    <w:p w:rsidR="00DA111D" w:rsidRPr="00A54D93" w:rsidRDefault="00DA111D" w:rsidP="00DA111D">
      <w:pPr>
        <w:pStyle w:val="ParaNoNdepar-AltN"/>
        <w:widowControl w:val="0"/>
        <w:rPr>
          <w:rFonts w:cs="Times New Roman"/>
        </w:rPr>
      </w:pPr>
      <w:r w:rsidRPr="00A54D93">
        <w:rPr>
          <w:rFonts w:cs="Times New Roman"/>
        </w:rPr>
        <w:t xml:space="preserve">The Court of Appeal relied heavily on the need for consistency in the </w:t>
      </w:r>
      <w:r w:rsidRPr="00A54D93">
        <w:rPr>
          <w:rFonts w:cs="Times New Roman"/>
        </w:rPr>
        <w:lastRenderedPageBreak/>
        <w:t>interpretation of s. 343(</w:t>
      </w:r>
      <w:r w:rsidRPr="00A54D93">
        <w:rPr>
          <w:rFonts w:cs="Times New Roman"/>
          <w:i/>
        </w:rPr>
        <w:t>a</w:t>
      </w:r>
      <w:r w:rsidRPr="00A54D93">
        <w:rPr>
          <w:rFonts w:cs="Times New Roman"/>
        </w:rPr>
        <w:t xml:space="preserve">) and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 s. 752. This argument is appealing at first glance. It can be summarized as follows: Section 343(</w:t>
      </w:r>
      <w:r w:rsidRPr="00A54D93">
        <w:rPr>
          <w:rFonts w:cs="Times New Roman"/>
          <w:i/>
        </w:rPr>
        <w:t>a</w:t>
      </w:r>
      <w:r w:rsidRPr="00A54D93">
        <w:rPr>
          <w:rFonts w:cs="Times New Roman"/>
        </w:rPr>
        <w:t>) refers to the use of violence and the use of threats of violence. Subparagraph (</w:t>
      </w:r>
      <w:r w:rsidRPr="00A54D93">
        <w:rPr>
          <w:rFonts w:cs="Times New Roman"/>
          <w:i/>
        </w:rPr>
        <w:t>a</w:t>
      </w:r>
      <w:proofErr w:type="gramStart"/>
      <w:r w:rsidRPr="00A54D93">
        <w:rPr>
          <w:rFonts w:cs="Times New Roman"/>
        </w:rPr>
        <w:t>)(</w:t>
      </w:r>
      <w:proofErr w:type="spellStart"/>
      <w:proofErr w:type="gramEnd"/>
      <w:r w:rsidRPr="00A54D93">
        <w:rPr>
          <w:rFonts w:cs="Times New Roman"/>
        </w:rPr>
        <w:t>i</w:t>
      </w:r>
      <w:proofErr w:type="spellEnd"/>
      <w:r w:rsidRPr="00A54D93">
        <w:rPr>
          <w:rFonts w:cs="Times New Roman"/>
        </w:rPr>
        <w:t xml:space="preserve">) of the definition refers to the use of violence and the attempted use of violence. Threats of violence are not mentioned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If s. 343(</w:t>
      </w:r>
      <w:r w:rsidRPr="00A54D93">
        <w:rPr>
          <w:rFonts w:cs="Times New Roman"/>
          <w:i/>
        </w:rPr>
        <w:t>a</w:t>
      </w:r>
      <w:r w:rsidRPr="00A54D93">
        <w:rPr>
          <w:rFonts w:cs="Times New Roman"/>
        </w:rPr>
        <w:t>) is read disjunctively, there must be some difference between the use of violence and the use of threats of violence. As a result, the question is whether the expression “</w:t>
      </w:r>
      <w:proofErr w:type="gramStart"/>
      <w:r w:rsidRPr="00A54D93">
        <w:rPr>
          <w:rFonts w:cs="Times New Roman"/>
        </w:rPr>
        <w:t xml:space="preserve">uses </w:t>
      </w:r>
      <w:r>
        <w:rPr>
          <w:rFonts w:cs="Times New Roman"/>
        </w:rPr>
        <w:t>.</w:t>
      </w:r>
      <w:proofErr w:type="gramEnd"/>
      <w:r>
        <w:rPr>
          <w:rFonts w:cs="Times New Roman"/>
        </w:rPr>
        <w:t> . .</w:t>
      </w:r>
      <w:r w:rsidRPr="00A54D93">
        <w:rPr>
          <w:rFonts w:cs="Times New Roman"/>
        </w:rPr>
        <w:t xml:space="preserve"> threats of violence” in s. 343(</w:t>
      </w:r>
      <w:r w:rsidRPr="00A54D93">
        <w:rPr>
          <w:rFonts w:cs="Times New Roman"/>
          <w:i/>
        </w:rPr>
        <w:t>a</w:t>
      </w:r>
      <w:r w:rsidRPr="00A54D93">
        <w:rPr>
          <w:rFonts w:cs="Times New Roman"/>
        </w:rPr>
        <w:t xml:space="preserve">) is equivalent to the expression the “attempted use of violence”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The Court of Appeal cited the presumption that the use of different language suggests that the legislature intended different meanings and the principle that the same words have the same meaning throughout a statute. </w:t>
      </w:r>
    </w:p>
    <w:p w:rsidR="00DA111D" w:rsidRPr="00A54D93" w:rsidRDefault="00DA111D" w:rsidP="00DA111D">
      <w:pPr>
        <w:pStyle w:val="ParaNoNdepar-AltN"/>
        <w:widowControl w:val="0"/>
        <w:rPr>
          <w:rFonts w:cs="Times New Roman"/>
        </w:rPr>
      </w:pPr>
      <w:r w:rsidRPr="00A54D93">
        <w:rPr>
          <w:rFonts w:cs="Times New Roman"/>
        </w:rPr>
        <w:t>With respect, I find this argument to be an overly technical one that fails to take into account the full context in which the expressions “uses violence” and “use of violence” appear in the two provisions. First, the argument is based on a strictly disjunctive reading of the words “uses violence or threats of violence” in s. 343(</w:t>
      </w:r>
      <w:r w:rsidRPr="00A54D93">
        <w:rPr>
          <w:rFonts w:cs="Times New Roman"/>
          <w:i/>
        </w:rPr>
        <w:t>a</w:t>
      </w:r>
      <w:r w:rsidRPr="00A54D93">
        <w:rPr>
          <w:rFonts w:cs="Times New Roman"/>
        </w:rPr>
        <w:t>) that suggests that the expressions “violence” and “threats of violence” have different meanings. But in s. 343(</w:t>
      </w:r>
      <w:r w:rsidRPr="00A54D93">
        <w:rPr>
          <w:rFonts w:cs="Times New Roman"/>
          <w:i/>
        </w:rPr>
        <w:t>b</w:t>
      </w:r>
      <w:r w:rsidRPr="00A54D93">
        <w:rPr>
          <w:rFonts w:cs="Times New Roman"/>
        </w:rPr>
        <w:t>), the list “wounds, beats, strikes or uses any personal violence” is clearly not disjunctive — the words “uses any personal violence” encompass the other acts in the list. In my view, the contextual information from s. 343(</w:t>
      </w:r>
      <w:r w:rsidRPr="00A54D93">
        <w:rPr>
          <w:rFonts w:cs="Times New Roman"/>
          <w:i/>
        </w:rPr>
        <w:t>b</w:t>
      </w:r>
      <w:r w:rsidRPr="00A54D93">
        <w:rPr>
          <w:rFonts w:cs="Times New Roman"/>
        </w:rPr>
        <w:t>) suggests that Parliament may well have included threats of violence in s. 343(</w:t>
      </w:r>
      <w:r w:rsidRPr="00A54D93">
        <w:rPr>
          <w:rFonts w:cs="Times New Roman"/>
          <w:i/>
        </w:rPr>
        <w:t>a</w:t>
      </w:r>
      <w:r w:rsidRPr="00A54D93">
        <w:rPr>
          <w:rFonts w:cs="Times New Roman"/>
        </w:rPr>
        <w:t>) as a way to make it clear that threats of violence were to be included among the violent acts that would be included in the definition of robbery (see Sullivan,</w:t>
      </w:r>
      <w:r w:rsidRPr="00A54D93">
        <w:rPr>
          <w:rFonts w:cs="Times New Roman"/>
          <w:i/>
        </w:rPr>
        <w:t xml:space="preserve"> </w:t>
      </w:r>
      <w:r w:rsidRPr="00A54D93">
        <w:rPr>
          <w:rFonts w:cs="Times New Roman"/>
        </w:rPr>
        <w:t xml:space="preserve">at p. </w:t>
      </w:r>
      <w:r w:rsidRPr="00A54D93">
        <w:rPr>
          <w:rFonts w:cs="Times New Roman"/>
        </w:rPr>
        <w:lastRenderedPageBreak/>
        <w:t>214</w:t>
      </w:r>
      <w:r w:rsidR="00E14C72">
        <w:rPr>
          <w:rFonts w:cs="Times New Roman"/>
        </w:rPr>
        <w:t>)</w:t>
      </w:r>
      <w:r w:rsidRPr="00A54D93">
        <w:rPr>
          <w:rFonts w:cs="Times New Roman"/>
        </w:rPr>
        <w:t xml:space="preserve">. </w:t>
      </w:r>
    </w:p>
    <w:p w:rsidR="00DA111D" w:rsidRPr="00A54D93" w:rsidRDefault="00DA111D" w:rsidP="00DA111D">
      <w:pPr>
        <w:pStyle w:val="ParaNoNdepar-AltN"/>
        <w:widowControl w:val="0"/>
        <w:rPr>
          <w:rFonts w:cs="Times New Roman"/>
        </w:rPr>
      </w:pPr>
      <w:r w:rsidRPr="00A54D93">
        <w:rPr>
          <w:rFonts w:cs="Times New Roman"/>
        </w:rPr>
        <w:t>Second, even a strictly disjunctive reading of the words “uses violence or threats of violence” in s. 343(</w:t>
      </w:r>
      <w:r w:rsidRPr="00A54D93">
        <w:rPr>
          <w:rFonts w:cs="Times New Roman"/>
          <w:i/>
        </w:rPr>
        <w:t>a</w:t>
      </w:r>
      <w:r w:rsidRPr="00A54D93">
        <w:rPr>
          <w:rFonts w:cs="Times New Roman"/>
        </w:rPr>
        <w:t>) does not lead inexorably to the conclusion that the expression “</w:t>
      </w:r>
      <w:proofErr w:type="gramStart"/>
      <w:r w:rsidRPr="00A54D93">
        <w:rPr>
          <w:rFonts w:cs="Times New Roman"/>
        </w:rPr>
        <w:t xml:space="preserve">use </w:t>
      </w:r>
      <w:r>
        <w:rPr>
          <w:rFonts w:cs="Times New Roman"/>
        </w:rPr>
        <w:t>.</w:t>
      </w:r>
      <w:proofErr w:type="gramEnd"/>
      <w:r>
        <w:rPr>
          <w:rFonts w:cs="Times New Roman"/>
        </w:rPr>
        <w:t> . .</w:t>
      </w:r>
      <w:r w:rsidRPr="00A54D93">
        <w:rPr>
          <w:rFonts w:cs="Times New Roman"/>
        </w:rPr>
        <w:t xml:space="preserve"> of violence”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means the same thing as “uses violence” in s. 343(</w:t>
      </w:r>
      <w:r w:rsidRPr="00A54D93">
        <w:rPr>
          <w:rFonts w:cs="Times New Roman"/>
          <w:i/>
        </w:rPr>
        <w:t>a</w:t>
      </w:r>
      <w:r w:rsidRPr="00A54D93">
        <w:rPr>
          <w:rFonts w:cs="Times New Roman"/>
        </w:rPr>
        <w:t xml:space="preserve">). The two provisions are in unrelated parts of the </w:t>
      </w:r>
      <w:r w:rsidRPr="00A54D93">
        <w:rPr>
          <w:rFonts w:cs="Times New Roman"/>
          <w:i/>
        </w:rPr>
        <w:t>Criminal Code</w:t>
      </w:r>
      <w:r w:rsidRPr="00A54D93">
        <w:rPr>
          <w:rFonts w:cs="Times New Roman"/>
        </w:rPr>
        <w:t>, and they have distinct purposes and legislative histories. As Ruth Sullivan notes, “[s]</w:t>
      </w:r>
      <w:proofErr w:type="spellStart"/>
      <w:r w:rsidRPr="00A54D93">
        <w:rPr>
          <w:rFonts w:cs="Times New Roman"/>
          <w:szCs w:val="24"/>
        </w:rPr>
        <w:t>ome</w:t>
      </w:r>
      <w:proofErr w:type="spellEnd"/>
      <w:r w:rsidRPr="00A54D93">
        <w:rPr>
          <w:rFonts w:cs="Times New Roman"/>
          <w:szCs w:val="24"/>
        </w:rPr>
        <w:t xml:space="preserve"> statutes, like Insurance Acts or the </w:t>
      </w:r>
      <w:r w:rsidRPr="00A54D93">
        <w:rPr>
          <w:rFonts w:cs="Times New Roman"/>
          <w:i/>
          <w:szCs w:val="24"/>
        </w:rPr>
        <w:t>Criminal Code</w:t>
      </w:r>
      <w:r w:rsidRPr="00A54D93">
        <w:rPr>
          <w:rFonts w:cs="Times New Roman"/>
          <w:szCs w:val="24"/>
        </w:rPr>
        <w:t>, are frequent[</w:t>
      </w:r>
      <w:proofErr w:type="spellStart"/>
      <w:r w:rsidRPr="00A54D93">
        <w:rPr>
          <w:rFonts w:cs="Times New Roman"/>
          <w:szCs w:val="24"/>
        </w:rPr>
        <w:t>ly</w:t>
      </w:r>
      <w:proofErr w:type="spellEnd"/>
      <w:r w:rsidRPr="00A54D93">
        <w:rPr>
          <w:rFonts w:cs="Times New Roman"/>
          <w:szCs w:val="24"/>
        </w:rPr>
        <w:t xml:space="preserve">] amended decade after decade. It is not surprising, then, that inadvertent variations occur within a single Act. It is even more likely that they would occur within the statute book as a whole” (p. 222). </w:t>
      </w:r>
      <w:r w:rsidRPr="00A54D93">
        <w:rPr>
          <w:rFonts w:cs="Times New Roman"/>
        </w:rPr>
        <w:t>If s. 343(</w:t>
      </w:r>
      <w:r w:rsidRPr="00A54D93">
        <w:rPr>
          <w:rFonts w:cs="Times New Roman"/>
          <w:i/>
        </w:rPr>
        <w:t>a</w:t>
      </w:r>
      <w:r w:rsidRPr="00A54D93">
        <w:rPr>
          <w:rFonts w:cs="Times New Roman"/>
        </w:rPr>
        <w:t xml:space="preserve">) were to be interpreted disjunctively, the use of violence would have to be understood as the use of </w:t>
      </w:r>
      <w:r w:rsidRPr="00A54D93">
        <w:rPr>
          <w:rFonts w:cs="Times New Roman"/>
          <w:i/>
        </w:rPr>
        <w:t xml:space="preserve">physical </w:t>
      </w:r>
      <w:r w:rsidRPr="00A54D93">
        <w:rPr>
          <w:rFonts w:cs="Times New Roman"/>
        </w:rPr>
        <w:t xml:space="preserve">violence in order to exclude threats of violence from the definition. As I mentioned above, however, the meaning of the word “violence” is not limited to physical violence everywhere it appears in the </w:t>
      </w:r>
      <w:r w:rsidRPr="00A54D93">
        <w:rPr>
          <w:rFonts w:cs="Times New Roman"/>
          <w:i/>
        </w:rPr>
        <w:t xml:space="preserve">Criminal Code </w:t>
      </w:r>
      <w:r w:rsidRPr="00A54D93">
        <w:rPr>
          <w:rFonts w:cs="Times New Roman"/>
        </w:rPr>
        <w:t xml:space="preserve">or in other legislation. For instance, as this Court stated in </w:t>
      </w:r>
      <w:r w:rsidRPr="00A54D93">
        <w:rPr>
          <w:rFonts w:cs="Times New Roman"/>
          <w:i/>
        </w:rPr>
        <w:t xml:space="preserve">McRae </w:t>
      </w:r>
      <w:r w:rsidRPr="00A54D93">
        <w:rPr>
          <w:rFonts w:cs="Times New Roman"/>
        </w:rPr>
        <w:t xml:space="preserve">(at </w:t>
      </w:r>
      <w:proofErr w:type="spellStart"/>
      <w:r w:rsidRPr="00A54D93">
        <w:rPr>
          <w:rFonts w:cs="Times New Roman"/>
        </w:rPr>
        <w:t>para</w:t>
      </w:r>
      <w:proofErr w:type="spellEnd"/>
      <w:r w:rsidRPr="00A54D93">
        <w:rPr>
          <w:rFonts w:cs="Times New Roman"/>
        </w:rPr>
        <w:t>. 24), threats are themselves “tools of intimidation and violence” in the context of s. 264.1(1</w:t>
      </w:r>
      <w:proofErr w:type="gramStart"/>
      <w:r w:rsidRPr="00A54D93">
        <w:rPr>
          <w:rFonts w:cs="Times New Roman"/>
        </w:rPr>
        <w:t>)(</w:t>
      </w:r>
      <w:proofErr w:type="gramEnd"/>
      <w:r w:rsidRPr="00A54D93">
        <w:rPr>
          <w:rFonts w:cs="Times New Roman"/>
          <w:i/>
        </w:rPr>
        <w:t>a</w:t>
      </w:r>
      <w:r w:rsidRPr="00A54D93">
        <w:rPr>
          <w:rFonts w:cs="Times New Roman"/>
        </w:rPr>
        <w:t>). Thus, even if the word “violence” in s. 343(</w:t>
      </w:r>
      <w:r w:rsidRPr="00570AD5">
        <w:rPr>
          <w:rFonts w:cs="Times New Roman"/>
          <w:i/>
        </w:rPr>
        <w:t>a</w:t>
      </w:r>
      <w:r w:rsidRPr="00A54D93">
        <w:rPr>
          <w:rFonts w:cs="Times New Roman"/>
        </w:rPr>
        <w:t xml:space="preserve">) is interpreted using a force-based definition, that is, as meaning uses </w:t>
      </w:r>
      <w:r w:rsidRPr="00A54D93">
        <w:rPr>
          <w:rFonts w:cs="Times New Roman"/>
          <w:i/>
        </w:rPr>
        <w:t xml:space="preserve">physical </w:t>
      </w:r>
      <w:r w:rsidRPr="00A54D93">
        <w:rPr>
          <w:rFonts w:cs="Times New Roman"/>
        </w:rPr>
        <w:t xml:space="preserve">violence or threats of </w:t>
      </w:r>
      <w:r w:rsidRPr="00A54D93">
        <w:rPr>
          <w:rFonts w:cs="Times New Roman"/>
          <w:i/>
        </w:rPr>
        <w:t xml:space="preserve">physical </w:t>
      </w:r>
      <w:proofErr w:type="gramStart"/>
      <w:r w:rsidRPr="00A54D93">
        <w:rPr>
          <w:rFonts w:cs="Times New Roman"/>
        </w:rPr>
        <w:t>violence,</w:t>
      </w:r>
      <w:proofErr w:type="gramEnd"/>
      <w:r w:rsidRPr="00A54D93">
        <w:rPr>
          <w:rFonts w:cs="Times New Roman"/>
        </w:rPr>
        <w:t xml:space="preserve"> this need not preclude courts from interpreting the same word in a contextually sensitive manner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 s. 752. </w:t>
      </w:r>
    </w:p>
    <w:p w:rsidR="00DA111D" w:rsidRPr="00A54D93" w:rsidRDefault="00DA111D" w:rsidP="00DA111D">
      <w:pPr>
        <w:pStyle w:val="ParaNoNdepar-AltN"/>
        <w:widowControl w:val="0"/>
        <w:rPr>
          <w:rFonts w:cs="Times New Roman"/>
        </w:rPr>
      </w:pPr>
      <w:r w:rsidRPr="00A54D93">
        <w:rPr>
          <w:rFonts w:cs="Times New Roman"/>
        </w:rPr>
        <w:t>In short, I find that threats of violence to a person (and not threats to property) that are sufficient to ground a conviction for robbery under s. 343(</w:t>
      </w:r>
      <w:r w:rsidRPr="00A54D93">
        <w:rPr>
          <w:rFonts w:cs="Times New Roman"/>
          <w:i/>
        </w:rPr>
        <w:t>a</w:t>
      </w:r>
      <w:r w:rsidRPr="00A54D93">
        <w:rPr>
          <w:rFonts w:cs="Times New Roman"/>
        </w:rPr>
        <w:t xml:space="preserve">) meet </w:t>
      </w:r>
      <w:r w:rsidRPr="00A54D93">
        <w:rPr>
          <w:rFonts w:cs="Times New Roman"/>
        </w:rPr>
        <w:lastRenderedPageBreak/>
        <w:t xml:space="preserve">the “use </w:t>
      </w:r>
      <w:r>
        <w:rPr>
          <w:rFonts w:cs="Times New Roman"/>
        </w:rPr>
        <w:t>. . .</w:t>
      </w:r>
      <w:r w:rsidRPr="00A54D93">
        <w:rPr>
          <w:rFonts w:cs="Times New Roman"/>
        </w:rPr>
        <w:t xml:space="preserve"> of violence” criterion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in s. 752. This approach is consistent with the broader understanding of robbery as the crime of theft committed with violence. </w:t>
      </w:r>
    </w:p>
    <w:p w:rsidR="00DA111D" w:rsidRPr="00A54D93" w:rsidRDefault="00DA111D" w:rsidP="00570AD5">
      <w:pPr>
        <w:pStyle w:val="Title2LevelTitre2Niveau"/>
        <w:widowControl w:val="0"/>
        <w:jc w:val="both"/>
        <w:rPr>
          <w:rFonts w:cs="Times New Roman"/>
        </w:rPr>
      </w:pPr>
      <w:r w:rsidRPr="00A54D93">
        <w:rPr>
          <w:rFonts w:cs="Times New Roman"/>
        </w:rPr>
        <w:t>Conclusion: Robbery Committed by Using Threats of Violence to a Person is a Serious Personal Injury Offence</w:t>
      </w:r>
    </w:p>
    <w:p w:rsidR="00DA111D" w:rsidRPr="00A54D93" w:rsidRDefault="00DA111D" w:rsidP="00DA111D">
      <w:pPr>
        <w:pStyle w:val="ParaNoNdepar-AltN"/>
        <w:widowControl w:val="0"/>
        <w:rPr>
          <w:rFonts w:cs="Times New Roman"/>
        </w:rPr>
      </w:pPr>
      <w:r w:rsidRPr="00A54D93">
        <w:rPr>
          <w:rFonts w:cs="Times New Roman"/>
        </w:rPr>
        <w:t xml:space="preserve">Not all robberies are SPIOs. Robbery committed by using violence or a threat of violence </w:t>
      </w:r>
      <w:r w:rsidRPr="00A54D93">
        <w:rPr>
          <w:rFonts w:cs="Times New Roman"/>
          <w:i/>
        </w:rPr>
        <w:t xml:space="preserve">to property </w:t>
      </w:r>
      <w:r w:rsidRPr="00A54D93">
        <w:rPr>
          <w:rFonts w:cs="Times New Roman"/>
        </w:rPr>
        <w:t xml:space="preserve">is clearly excluded. Robbery committed by using violence </w:t>
      </w:r>
      <w:r w:rsidRPr="00A54D93">
        <w:rPr>
          <w:rFonts w:cs="Times New Roman"/>
          <w:i/>
        </w:rPr>
        <w:t>to a person</w:t>
      </w:r>
      <w:r w:rsidRPr="00A54D93">
        <w:rPr>
          <w:rFonts w:cs="Times New Roman"/>
        </w:rPr>
        <w:t xml:space="preserve"> is clearly included. In the case bar, in the context of a robbery committed by using a </w:t>
      </w:r>
      <w:r w:rsidRPr="00A54D93">
        <w:rPr>
          <w:rFonts w:cs="Times New Roman"/>
          <w:i/>
        </w:rPr>
        <w:t>threat of violence</w:t>
      </w:r>
      <w:r w:rsidRPr="00A54D93">
        <w:rPr>
          <w:rFonts w:cs="Times New Roman"/>
        </w:rPr>
        <w:t xml:space="preserve"> to a person</w:t>
      </w:r>
      <w:r w:rsidRPr="00A54D93">
        <w:rPr>
          <w:rFonts w:cs="Times New Roman"/>
          <w:i/>
        </w:rPr>
        <w:t xml:space="preserve">, </w:t>
      </w:r>
      <w:r w:rsidRPr="00A54D93">
        <w:rPr>
          <w:rFonts w:cs="Times New Roman"/>
        </w:rPr>
        <w:t xml:space="preserve">the trial judge and the Court of Appeal attempted to draw a line. Although the Court of Appeal was not prepared to conclude categorically </w:t>
      </w:r>
      <w:proofErr w:type="gramStart"/>
      <w:r w:rsidRPr="00A54D93">
        <w:rPr>
          <w:rFonts w:cs="Times New Roman"/>
        </w:rPr>
        <w:t>that threats</w:t>
      </w:r>
      <w:proofErr w:type="gramEnd"/>
      <w:r w:rsidRPr="00A54D93">
        <w:rPr>
          <w:rFonts w:cs="Times New Roman"/>
        </w:rPr>
        <w:t xml:space="preserve"> are not violent, it held that some, but not all, threats are violent. Something more than a mere verbal threat is required: “[T]here needs to be some indication of </w:t>
      </w:r>
      <w:r w:rsidRPr="00A54D93">
        <w:rPr>
          <w:rFonts w:cs="Times New Roman"/>
          <w:u w:val="single"/>
        </w:rPr>
        <w:t>imminent apparent danger</w:t>
      </w:r>
      <w:r w:rsidRPr="00A54D93">
        <w:rPr>
          <w:rFonts w:cs="Times New Roman"/>
        </w:rPr>
        <w:t xml:space="preserve"> to a person or </w:t>
      </w:r>
      <w:r w:rsidRPr="00A54D93">
        <w:rPr>
          <w:rFonts w:cs="Times New Roman"/>
          <w:u w:val="single"/>
        </w:rPr>
        <w:t>some overt act</w:t>
      </w:r>
      <w:r w:rsidRPr="00A54D93">
        <w:rPr>
          <w:rFonts w:cs="Times New Roman"/>
        </w:rPr>
        <w:t xml:space="preserve"> directed towards the actual use of violence” (</w:t>
      </w:r>
      <w:proofErr w:type="spellStart"/>
      <w:r w:rsidRPr="00A54D93">
        <w:rPr>
          <w:rFonts w:cs="Times New Roman"/>
        </w:rPr>
        <w:t>para</w:t>
      </w:r>
      <w:proofErr w:type="spellEnd"/>
      <w:r w:rsidRPr="00A54D93">
        <w:rPr>
          <w:rFonts w:cs="Times New Roman"/>
        </w:rPr>
        <w:t>. 85 (emphasis added)).</w:t>
      </w:r>
    </w:p>
    <w:p w:rsidR="00DA111D" w:rsidRPr="00A54D93" w:rsidRDefault="00DA111D" w:rsidP="00DA111D">
      <w:pPr>
        <w:pStyle w:val="ParaNoNdepar-AltN"/>
        <w:widowControl w:val="0"/>
        <w:rPr>
          <w:rFonts w:cs="Times New Roman"/>
        </w:rPr>
      </w:pPr>
      <w:r w:rsidRPr="00A54D93">
        <w:rPr>
          <w:rFonts w:cs="Times New Roman"/>
        </w:rPr>
        <w:t xml:space="preserve">I have rejected this view for the numerous reasons given above. In short, a threat of violence is itself a form of violence, and the respondent’s context-based arguments have not persuaded me to depart from this premise in interpreting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w:t>
      </w:r>
    </w:p>
    <w:p w:rsidR="00DA111D" w:rsidRPr="00A54D93" w:rsidRDefault="00DA111D" w:rsidP="00DA111D">
      <w:pPr>
        <w:pStyle w:val="ParaNoNdepar-AltN"/>
        <w:widowControl w:val="0"/>
        <w:spacing w:before="240"/>
        <w:rPr>
          <w:rFonts w:cs="Times New Roman"/>
        </w:rPr>
      </w:pPr>
      <w:r w:rsidRPr="00A54D93">
        <w:rPr>
          <w:rFonts w:cs="Times New Roman"/>
        </w:rPr>
        <w:t xml:space="preserve">Finally, the Court of Appeal’s interpretation would have undesirable consequences. In seeking to distinguish between violent and non-violent threats, the Court of Appeal referred to a number of cases in which courts have grappled with this </w:t>
      </w:r>
      <w:r w:rsidRPr="00A54D93">
        <w:rPr>
          <w:rFonts w:cs="Times New Roman"/>
        </w:rPr>
        <w:lastRenderedPageBreak/>
        <w:t>very question. Threatening to “splat” the clerk of a cheque cashing business (</w:t>
      </w:r>
      <w:r w:rsidRPr="00A54D93">
        <w:rPr>
          <w:rFonts w:cs="Times New Roman"/>
          <w:i/>
        </w:rPr>
        <w:t>Thompson</w:t>
      </w:r>
      <w:r w:rsidRPr="00A54D93">
        <w:rPr>
          <w:rFonts w:cs="Times New Roman"/>
        </w:rPr>
        <w:t>), raising a baseball bat in a threatening manner in confronting two police officers (</w:t>
      </w:r>
      <w:r w:rsidRPr="00A54D93">
        <w:rPr>
          <w:rFonts w:cs="Times New Roman"/>
          <w:i/>
        </w:rPr>
        <w:t>Roy</w:t>
      </w:r>
      <w:r w:rsidRPr="00A54D93">
        <w:rPr>
          <w:rFonts w:cs="Times New Roman"/>
        </w:rPr>
        <w:t>), and saying “[m]</w:t>
      </w:r>
      <w:proofErr w:type="spellStart"/>
      <w:r w:rsidRPr="00A54D93">
        <w:rPr>
          <w:rFonts w:cs="Times New Roman"/>
        </w:rPr>
        <w:t>oney</w:t>
      </w:r>
      <w:proofErr w:type="spellEnd"/>
      <w:r w:rsidRPr="00A54D93">
        <w:rPr>
          <w:rFonts w:cs="Times New Roman"/>
        </w:rPr>
        <w:t xml:space="preserve"> and cigarettes in the bag” while making an implied threat of violence if this demand were not met (</w:t>
      </w:r>
      <w:r w:rsidRPr="00A54D93">
        <w:rPr>
          <w:rFonts w:cs="Times New Roman"/>
          <w:i/>
        </w:rPr>
        <w:t>Jolicoeur</w:t>
      </w:r>
      <w:r w:rsidRPr="00A54D93">
        <w:rPr>
          <w:rFonts w:cs="Times New Roman"/>
        </w:rPr>
        <w:t xml:space="preserve">, at </w:t>
      </w:r>
      <w:proofErr w:type="spellStart"/>
      <w:r w:rsidRPr="00A54D93">
        <w:rPr>
          <w:rFonts w:cs="Times New Roman"/>
        </w:rPr>
        <w:t>para</w:t>
      </w:r>
      <w:proofErr w:type="spellEnd"/>
      <w:r w:rsidRPr="00A54D93">
        <w:rPr>
          <w:rFonts w:cs="Times New Roman"/>
        </w:rPr>
        <w:t>. 25), have all been held not to satisfy the “use or attempted use of violence” criterion, because they lacked the requisite physical act or danger. On the other hand, an offender who had committed robbery by producing a knife and holding it close to the victim satisfied the criterion despite the absence of physical injury (</w:t>
      </w:r>
      <w:proofErr w:type="spellStart"/>
      <w:r w:rsidRPr="00A54D93">
        <w:rPr>
          <w:rFonts w:cs="Times New Roman"/>
          <w:i/>
        </w:rPr>
        <w:t>Lebar</w:t>
      </w:r>
      <w:proofErr w:type="spellEnd"/>
      <w:r w:rsidRPr="00A54D93">
        <w:rPr>
          <w:rFonts w:cs="Times New Roman"/>
        </w:rPr>
        <w:t xml:space="preserve">). It would be possible to list other examples of cases in which trial judges have endeavoured to distinguish violent from non-violent threats on the facts of the cases before them. At the end of the day, however, I conclude that such an exercise is not just difficult, but pointless. </w:t>
      </w:r>
    </w:p>
    <w:p w:rsidR="00DA111D" w:rsidRPr="00A54D93" w:rsidRDefault="00DA111D" w:rsidP="00DA111D">
      <w:pPr>
        <w:pStyle w:val="ParaNoNdepar-AltN"/>
        <w:widowControl w:val="0"/>
        <w:spacing w:before="240"/>
        <w:rPr>
          <w:rFonts w:cs="Times New Roman"/>
        </w:rPr>
      </w:pPr>
      <w:r w:rsidRPr="00A54D93">
        <w:rPr>
          <w:rFonts w:cs="Times New Roman"/>
        </w:rPr>
        <w:t xml:space="preserve">The Court of Appeal’s approach is inconsistent with the principles of statutory interpretation I discussed above. It would result in untold difficulties for trial judges seeking to establish the elusive dividing line between threats that are inherently violent and those that are not. Finally, in my view, it is incompatible with the plain meaning and the purpose of the provision. All threats of violence are themselves violent, even though the seriousness of the violence may be quite limited. In seeking to distinguish violent from non-violent threats, courts are in effect reading in an objective minimum level of violence. This is inconsistent with the clear language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which requires violence, not serious violence, and it risks undermining the overall purpose of Part XXIV by precluding courts from remanding potentially dangerous offenders for assessment. </w:t>
      </w:r>
    </w:p>
    <w:p w:rsidR="00DA111D" w:rsidRPr="00A54D93" w:rsidRDefault="00DA111D" w:rsidP="00DA111D">
      <w:pPr>
        <w:pStyle w:val="ParaNoNdepar-AltN"/>
        <w:widowControl w:val="0"/>
        <w:spacing w:before="240"/>
        <w:rPr>
          <w:rFonts w:cs="Times New Roman"/>
        </w:rPr>
      </w:pPr>
      <w:r w:rsidRPr="00A54D93">
        <w:rPr>
          <w:rFonts w:cs="Times New Roman"/>
        </w:rPr>
        <w:lastRenderedPageBreak/>
        <w:t xml:space="preserve">When, in committing the robbery, Mr. Steele threatened the cashiers by saying “I have a gun”, he used violence against another person within the meaning of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an SPIO. </w:t>
      </w:r>
    </w:p>
    <w:p w:rsidR="00DA111D" w:rsidRPr="00A54D93" w:rsidRDefault="00DA111D" w:rsidP="00DA111D">
      <w:pPr>
        <w:pStyle w:val="Title1LevelTitre1Niveau-AltL"/>
        <w:widowControl w:val="0"/>
        <w:rPr>
          <w:rFonts w:cs="Times New Roman"/>
        </w:rPr>
      </w:pPr>
      <w:r w:rsidRPr="00A54D93">
        <w:rPr>
          <w:rFonts w:cs="Times New Roman"/>
        </w:rPr>
        <w:t>Disposition</w:t>
      </w:r>
    </w:p>
    <w:p w:rsidR="00DA111D" w:rsidRPr="00A54D93" w:rsidRDefault="00DA111D" w:rsidP="00DA111D">
      <w:pPr>
        <w:pStyle w:val="ParaNoNdepar-AltN"/>
        <w:widowControl w:val="0"/>
        <w:rPr>
          <w:rFonts w:cs="Times New Roman"/>
        </w:rPr>
      </w:pPr>
      <w:r w:rsidRPr="00A54D93">
        <w:rPr>
          <w:rFonts w:cs="Times New Roman"/>
        </w:rPr>
        <w:t>I would allow the appeal without costs. Mr. Steele was convicted under s. 343(</w:t>
      </w:r>
      <w:r w:rsidRPr="00A54D93">
        <w:rPr>
          <w:rFonts w:cs="Times New Roman"/>
          <w:i/>
        </w:rPr>
        <w:t>a</w:t>
      </w:r>
      <w:r w:rsidRPr="00A54D93">
        <w:rPr>
          <w:rFonts w:cs="Times New Roman"/>
        </w:rPr>
        <w:t xml:space="preserve">) of robbery, an offence that satisfies the criterion set out in </w:t>
      </w:r>
      <w:proofErr w:type="spellStart"/>
      <w:r w:rsidRPr="00A54D93">
        <w:rPr>
          <w:rFonts w:cs="Times New Roman"/>
        </w:rPr>
        <w:t>subpara</w:t>
      </w:r>
      <w:proofErr w:type="spellEnd"/>
      <w:r w:rsidRPr="00A54D93">
        <w:rPr>
          <w:rFonts w:cs="Times New Roman"/>
        </w:rPr>
        <w:t>. (</w:t>
      </w:r>
      <w:r w:rsidRPr="00A54D93">
        <w:rPr>
          <w:rFonts w:cs="Times New Roman"/>
          <w:i/>
        </w:rPr>
        <w:t>a</w:t>
      </w:r>
      <w:r w:rsidRPr="00A54D93">
        <w:rPr>
          <w:rFonts w:cs="Times New Roman"/>
        </w:rPr>
        <w:t>)(</w:t>
      </w:r>
      <w:proofErr w:type="spellStart"/>
      <w:r w:rsidRPr="00A54D93">
        <w:rPr>
          <w:rFonts w:cs="Times New Roman"/>
        </w:rPr>
        <w:t>i</w:t>
      </w:r>
      <w:proofErr w:type="spellEnd"/>
      <w:r w:rsidRPr="00A54D93">
        <w:rPr>
          <w:rFonts w:cs="Times New Roman"/>
        </w:rPr>
        <w:t xml:space="preserve">) </w:t>
      </w:r>
      <w:proofErr w:type="gramStart"/>
      <w:r w:rsidRPr="00A54D93">
        <w:rPr>
          <w:rFonts w:cs="Times New Roman"/>
        </w:rPr>
        <w:t>of</w:t>
      </w:r>
      <w:proofErr w:type="gramEnd"/>
      <w:r w:rsidRPr="00A54D93">
        <w:rPr>
          <w:rFonts w:cs="Times New Roman"/>
        </w:rPr>
        <w:t xml:space="preserve"> the definition of a “serious personal injury offence” in s. 752. Since the other requirements for the Crown’s application for remand for an assessment have not been contested, I would grant the application and order that Mr. Steele be remanded for assessment pursuant to s. 752.1(1). </w:t>
      </w:r>
    </w:p>
    <w:p w:rsidR="009B57B3" w:rsidRPr="00600703" w:rsidRDefault="008E2771" w:rsidP="00DA111D">
      <w:pPr>
        <w:pStyle w:val="SCCNormalDoubleSpacing"/>
        <w:widowControl w:val="0"/>
        <w:spacing w:before="480" w:after="480"/>
      </w:pPr>
      <w:r w:rsidRPr="00600703">
        <w:tab/>
      </w:r>
      <w:r w:rsidR="00656313" w:rsidRPr="00600703">
        <w:rPr>
          <w:i/>
        </w:rPr>
        <w:t>Appeal</w:t>
      </w:r>
      <w:r w:rsidR="00EF6A71" w:rsidRPr="00600703">
        <w:rPr>
          <w:i/>
        </w:rPr>
        <w:t xml:space="preserve"> allowed</w:t>
      </w:r>
      <w:r w:rsidRPr="00600703">
        <w:rPr>
          <w:i/>
        </w:rPr>
        <w:t>.</w:t>
      </w:r>
    </w:p>
    <w:p w:rsidR="008E2771" w:rsidRPr="00600703" w:rsidRDefault="008E2771" w:rsidP="00DA111D">
      <w:pPr>
        <w:pStyle w:val="SCCLawFirm"/>
        <w:widowControl w:val="0"/>
        <w:spacing w:before="480" w:after="480"/>
      </w:pPr>
      <w:r w:rsidRPr="00600703">
        <w:tab/>
        <w:t>Solicitor for the appellant</w:t>
      </w:r>
      <w:r w:rsidR="00022962" w:rsidRPr="00600703">
        <w:t>:</w:t>
      </w:r>
      <w:r w:rsidR="00DA111D">
        <w:t xml:space="preserve">  </w:t>
      </w:r>
      <w:r w:rsidRPr="00600703">
        <w:t>Attorney General of Manitoba, Winnipeg.</w:t>
      </w:r>
    </w:p>
    <w:p w:rsidR="008E2771" w:rsidRPr="00600703" w:rsidRDefault="008E2771" w:rsidP="00DA111D">
      <w:pPr>
        <w:pStyle w:val="SCCLawFirm"/>
        <w:widowControl w:val="0"/>
        <w:spacing w:before="480" w:after="480"/>
      </w:pPr>
      <w:r w:rsidRPr="00600703">
        <w:tab/>
        <w:t>Solicitors for the respondent</w:t>
      </w:r>
      <w:proofErr w:type="gramStart"/>
      <w:r w:rsidR="00022962" w:rsidRPr="00600703">
        <w:t>:</w:t>
      </w:r>
      <w:r w:rsidR="00DA111D">
        <w:t xml:space="preserve">  </w:t>
      </w:r>
      <w:r w:rsidRPr="00600703">
        <w:t>Walsh</w:t>
      </w:r>
      <w:proofErr w:type="gramEnd"/>
      <w:r w:rsidRPr="00600703">
        <w:t xml:space="preserve"> &amp; Company, Winnipeg; Legal Aid Manitoba, Winnipeg.</w:t>
      </w:r>
    </w:p>
    <w:p w:rsidR="008E2771" w:rsidRPr="00600703" w:rsidRDefault="008E2771" w:rsidP="00DA111D">
      <w:pPr>
        <w:pStyle w:val="SCCLawFirm"/>
        <w:widowControl w:val="0"/>
        <w:spacing w:before="480" w:after="480"/>
      </w:pPr>
      <w:r w:rsidRPr="00600703">
        <w:tab/>
        <w:t>Solicitor for the intervener the Attorney General of Canada</w:t>
      </w:r>
      <w:r w:rsidR="00022962" w:rsidRPr="00600703">
        <w:t>:</w:t>
      </w:r>
      <w:r w:rsidR="00DA111D">
        <w:t xml:space="preserve">  </w:t>
      </w:r>
      <w:r w:rsidRPr="00600703">
        <w:t>Attorney General of Canada, Ottawa.</w:t>
      </w:r>
    </w:p>
    <w:p w:rsidR="009B57B3" w:rsidRDefault="008E2771" w:rsidP="00DA111D">
      <w:pPr>
        <w:pStyle w:val="SCCLawFirm"/>
        <w:widowControl w:val="0"/>
        <w:rPr>
          <w:b/>
          <w:i w:val="0"/>
        </w:rPr>
      </w:pPr>
      <w:r w:rsidRPr="00600703">
        <w:tab/>
        <w:t>Solicitor for the intervener the Attorney General of Ontario</w:t>
      </w:r>
      <w:r w:rsidR="00022962" w:rsidRPr="00600703">
        <w:t>:</w:t>
      </w:r>
      <w:r w:rsidR="00DA111D">
        <w:t xml:space="preserve">  </w:t>
      </w:r>
      <w:r w:rsidRPr="00600703">
        <w:t>Attorney General of Ontario, Toronto.</w:t>
      </w:r>
    </w:p>
    <w:sectPr w:rsidR="009B57B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9E" w:rsidRDefault="00CD209E">
      <w:r>
        <w:separator/>
      </w:r>
    </w:p>
  </w:endnote>
  <w:endnote w:type="continuationSeparator" w:id="0">
    <w:p w:rsidR="00CD209E" w:rsidRDefault="00CD2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sig w:usb0="00000000" w:usb1="00000000" w:usb2="00000000" w:usb3="00000000" w:csb0="00000000" w:csb1="00000000"/>
  </w:font>
  <w:font w:name="CG Times (W1)">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9E" w:rsidRDefault="00CD209E">
      <w:r>
        <w:separator/>
      </w:r>
    </w:p>
  </w:footnote>
  <w:footnote w:type="continuationSeparator" w:id="0">
    <w:p w:rsidR="00CD209E" w:rsidRDefault="00CD2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9E" w:rsidRPr="00450352" w:rsidRDefault="00CD209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nsid w:val="00A904C9"/>
    <w:multiLevelType w:val="hybridMultilevel"/>
    <w:tmpl w:val="45ECC0C2"/>
    <w:lvl w:ilvl="0" w:tplc="ADA6606A">
      <w:start w:val="1"/>
      <w:numFmt w:val="decimal"/>
      <w:lvlText w:val="%1."/>
      <w:lvlJc w:val="left"/>
      <w:rPr>
        <w:rFonts w:cs="Times New Roman" w:hint="default"/>
        <w:b w:val="0"/>
      </w:rPr>
    </w:lvl>
    <w:lvl w:ilvl="1" w:tplc="CB0C4692">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52E709E"/>
    <w:multiLevelType w:val="hybridMultilevel"/>
    <w:tmpl w:val="4B7A1A2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nsid w:val="07AA30CC"/>
    <w:multiLevelType w:val="multilevel"/>
    <w:tmpl w:val="8B54B9D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C53C3"/>
    <w:multiLevelType w:val="multilevel"/>
    <w:tmpl w:val="745A40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929"/>
    <w:multiLevelType w:val="hybridMultilevel"/>
    <w:tmpl w:val="8ACA096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5B2F55"/>
    <w:multiLevelType w:val="hybridMultilevel"/>
    <w:tmpl w:val="03F2D33A"/>
    <w:lvl w:ilvl="0" w:tplc="AF886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67072"/>
    <w:multiLevelType w:val="hybridMultilevel"/>
    <w:tmpl w:val="9E968786"/>
    <w:lvl w:ilvl="0" w:tplc="2DA22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D49F0"/>
    <w:multiLevelType w:val="multilevel"/>
    <w:tmpl w:val="7C1CE22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AE576D"/>
    <w:multiLevelType w:val="hybridMultilevel"/>
    <w:tmpl w:val="65CA7AAC"/>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nsid w:val="28F208A9"/>
    <w:multiLevelType w:val="hybridMultilevel"/>
    <w:tmpl w:val="2898BDD4"/>
    <w:lvl w:ilvl="0" w:tplc="378072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7C5"/>
    <w:multiLevelType w:val="hybridMultilevel"/>
    <w:tmpl w:val="A46AEA48"/>
    <w:lvl w:ilvl="0" w:tplc="8BA4A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97C13"/>
    <w:multiLevelType w:val="hybridMultilevel"/>
    <w:tmpl w:val="4DD4160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nsid w:val="352877C0"/>
    <w:multiLevelType w:val="hybridMultilevel"/>
    <w:tmpl w:val="83282DE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nsid w:val="356779B2"/>
    <w:multiLevelType w:val="hybridMultilevel"/>
    <w:tmpl w:val="E74E3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DB4C63"/>
    <w:multiLevelType w:val="multilevel"/>
    <w:tmpl w:val="7ED8AF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3414D"/>
    <w:multiLevelType w:val="hybridMultilevel"/>
    <w:tmpl w:val="E916960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nsid w:val="3BD808E4"/>
    <w:multiLevelType w:val="hybridMultilevel"/>
    <w:tmpl w:val="71740668"/>
    <w:lvl w:ilvl="0" w:tplc="1BB8AB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51E3E"/>
    <w:multiLevelType w:val="hybridMultilevel"/>
    <w:tmpl w:val="A162C1CE"/>
    <w:lvl w:ilvl="0" w:tplc="FA2E3B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470F1"/>
    <w:multiLevelType w:val="hybridMultilevel"/>
    <w:tmpl w:val="6EF4DE1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nsid w:val="4B205A12"/>
    <w:multiLevelType w:val="hybridMultilevel"/>
    <w:tmpl w:val="60201DB4"/>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A64DB3"/>
    <w:multiLevelType w:val="hybridMultilevel"/>
    <w:tmpl w:val="0C58C76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nsid w:val="54283EE8"/>
    <w:multiLevelType w:val="multilevel"/>
    <w:tmpl w:val="59B877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794A1B"/>
    <w:multiLevelType w:val="hybridMultilevel"/>
    <w:tmpl w:val="CF9875D2"/>
    <w:lvl w:ilvl="0" w:tplc="FA0C5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07C25"/>
    <w:multiLevelType w:val="hybridMultilevel"/>
    <w:tmpl w:val="9C5E72E2"/>
    <w:lvl w:ilvl="0" w:tplc="3DF4268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159B8"/>
    <w:multiLevelType w:val="hybridMultilevel"/>
    <w:tmpl w:val="5994FE0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61640A14"/>
    <w:multiLevelType w:val="hybridMultilevel"/>
    <w:tmpl w:val="C9F440C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nsid w:val="61B77861"/>
    <w:multiLevelType w:val="multilevel"/>
    <w:tmpl w:val="084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00F35"/>
    <w:multiLevelType w:val="hybridMultilevel"/>
    <w:tmpl w:val="2F6E09A4"/>
    <w:lvl w:ilvl="0" w:tplc="04090011">
      <w:start w:val="1"/>
      <w:numFmt w:val="decimal"/>
      <w:lvlText w:val="%1)"/>
      <w:lvlJc w:val="left"/>
      <w:pPr>
        <w:ind w:left="1886" w:hanging="360"/>
      </w:pPr>
    </w:lvl>
    <w:lvl w:ilvl="1" w:tplc="04090019">
      <w:start w:val="1"/>
      <w:numFmt w:val="lowerLetter"/>
      <w:lvlText w:val="%2."/>
      <w:lvlJc w:val="left"/>
      <w:pPr>
        <w:ind w:left="2606" w:hanging="360"/>
      </w:pPr>
    </w:lvl>
    <w:lvl w:ilvl="2" w:tplc="0409001B">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7154D1"/>
    <w:multiLevelType w:val="hybridMultilevel"/>
    <w:tmpl w:val="4366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A46F55"/>
    <w:multiLevelType w:val="hybridMultilevel"/>
    <w:tmpl w:val="9D3EE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CF4DAE"/>
    <w:multiLevelType w:val="hybridMultilevel"/>
    <w:tmpl w:val="8230CED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26"/>
  </w:num>
  <w:num w:numId="2">
    <w:abstractNumId w:val="33"/>
  </w:num>
  <w:num w:numId="3">
    <w:abstractNumId w:val="9"/>
  </w:num>
  <w:num w:numId="4">
    <w:abstractNumId w:val="5"/>
  </w:num>
  <w:num w:numId="5">
    <w:abstractNumId w:val="23"/>
  </w:num>
  <w:num w:numId="6">
    <w:abstractNumId w:val="24"/>
  </w:num>
  <w:num w:numId="7">
    <w:abstractNumId w:val="21"/>
  </w:num>
  <w:num w:numId="8">
    <w:abstractNumId w:val="16"/>
  </w:num>
  <w:num w:numId="9">
    <w:abstractNumId w:val="8"/>
  </w:num>
  <w:num w:numId="10">
    <w:abstractNumId w:val="2"/>
  </w:num>
  <w:num w:numId="11">
    <w:abstractNumId w:val="3"/>
  </w:num>
  <w:num w:numId="12">
    <w:abstractNumId w:val="28"/>
  </w:num>
  <w:num w:numId="13">
    <w:abstractNumId w:val="22"/>
  </w:num>
  <w:num w:numId="14">
    <w:abstractNumId w:val="13"/>
  </w:num>
  <w:num w:numId="15">
    <w:abstractNumId w:val="14"/>
  </w:num>
  <w:num w:numId="16">
    <w:abstractNumId w:val="4"/>
  </w:num>
  <w:num w:numId="17">
    <w:abstractNumId w:val="10"/>
  </w:num>
  <w:num w:numId="18">
    <w:abstractNumId w:val="29"/>
  </w:num>
  <w:num w:numId="19">
    <w:abstractNumId w:val="36"/>
  </w:num>
  <w:num w:numId="20">
    <w:abstractNumId w:val="20"/>
  </w:num>
  <w:num w:numId="21">
    <w:abstractNumId w:val="11"/>
  </w:num>
  <w:num w:numId="22">
    <w:abstractNumId w:val="1"/>
  </w:num>
  <w:num w:numId="23">
    <w:abstractNumId w:val="25"/>
  </w:num>
  <w:num w:numId="24">
    <w:abstractNumId w:val="31"/>
  </w:num>
  <w:num w:numId="25">
    <w:abstractNumId w:val="35"/>
  </w:num>
  <w:num w:numId="26">
    <w:abstractNumId w:val="34"/>
  </w:num>
  <w:num w:numId="27">
    <w:abstractNumId w:val="32"/>
  </w:num>
  <w:num w:numId="28">
    <w:abstractNumId w:val="0"/>
  </w:num>
  <w:num w:numId="29">
    <w:abstractNumId w:val="30"/>
  </w:num>
  <w:num w:numId="30">
    <w:abstractNumId w:val="17"/>
  </w:num>
  <w:num w:numId="31">
    <w:abstractNumId w:val="7"/>
  </w:num>
  <w:num w:numId="32">
    <w:abstractNumId w:val="12"/>
  </w:num>
  <w:num w:numId="33">
    <w:abstractNumId w:val="6"/>
  </w:num>
  <w:num w:numId="34">
    <w:abstractNumId w:val="19"/>
  </w:num>
  <w:num w:numId="35">
    <w:abstractNumId w:val="27"/>
  </w:num>
  <w:num w:numId="36">
    <w:abstractNumId w:val="18"/>
  </w:num>
  <w:num w:numId="37">
    <w:abstractNumId w:val="15"/>
  </w:num>
  <w:num w:numId="38">
    <w:abstractNumId w:val="26"/>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2962"/>
    <w:rsid w:val="00025198"/>
    <w:rsid w:val="00043CE8"/>
    <w:rsid w:val="00046DCB"/>
    <w:rsid w:val="000578A3"/>
    <w:rsid w:val="00062F7F"/>
    <w:rsid w:val="00063703"/>
    <w:rsid w:val="000648CC"/>
    <w:rsid w:val="000A2B03"/>
    <w:rsid w:val="000A76BD"/>
    <w:rsid w:val="000C194E"/>
    <w:rsid w:val="000C59B8"/>
    <w:rsid w:val="000C6AF0"/>
    <w:rsid w:val="00104F33"/>
    <w:rsid w:val="00111DE2"/>
    <w:rsid w:val="00116B38"/>
    <w:rsid w:val="00135406"/>
    <w:rsid w:val="00135972"/>
    <w:rsid w:val="001426A9"/>
    <w:rsid w:val="00143C77"/>
    <w:rsid w:val="00154D7C"/>
    <w:rsid w:val="001570B0"/>
    <w:rsid w:val="0015752C"/>
    <w:rsid w:val="00157737"/>
    <w:rsid w:val="00165277"/>
    <w:rsid w:val="00170592"/>
    <w:rsid w:val="00176FFC"/>
    <w:rsid w:val="00186351"/>
    <w:rsid w:val="00195D83"/>
    <w:rsid w:val="001A00C1"/>
    <w:rsid w:val="001B33E0"/>
    <w:rsid w:val="001B4573"/>
    <w:rsid w:val="001C3656"/>
    <w:rsid w:val="001C779F"/>
    <w:rsid w:val="001D2AC1"/>
    <w:rsid w:val="001D4E88"/>
    <w:rsid w:val="001D6DEA"/>
    <w:rsid w:val="001F6AEF"/>
    <w:rsid w:val="00202CA4"/>
    <w:rsid w:val="00213BC9"/>
    <w:rsid w:val="00220FC2"/>
    <w:rsid w:val="002222F4"/>
    <w:rsid w:val="00224FC0"/>
    <w:rsid w:val="00225EA4"/>
    <w:rsid w:val="00226EAF"/>
    <w:rsid w:val="00231F3A"/>
    <w:rsid w:val="00234199"/>
    <w:rsid w:val="002406EE"/>
    <w:rsid w:val="00243EC8"/>
    <w:rsid w:val="00270D93"/>
    <w:rsid w:val="002723B1"/>
    <w:rsid w:val="002745CC"/>
    <w:rsid w:val="002924BD"/>
    <w:rsid w:val="002B7924"/>
    <w:rsid w:val="002D28C3"/>
    <w:rsid w:val="002D39A4"/>
    <w:rsid w:val="002E6705"/>
    <w:rsid w:val="002E724E"/>
    <w:rsid w:val="002F0648"/>
    <w:rsid w:val="00301D08"/>
    <w:rsid w:val="0030329A"/>
    <w:rsid w:val="00305BCE"/>
    <w:rsid w:val="0031086F"/>
    <w:rsid w:val="0031414C"/>
    <w:rsid w:val="00314E01"/>
    <w:rsid w:val="0032089D"/>
    <w:rsid w:val="003310DE"/>
    <w:rsid w:val="003323B0"/>
    <w:rsid w:val="0033646C"/>
    <w:rsid w:val="0035169A"/>
    <w:rsid w:val="0035259D"/>
    <w:rsid w:val="00357323"/>
    <w:rsid w:val="00357880"/>
    <w:rsid w:val="00364B18"/>
    <w:rsid w:val="00383B2A"/>
    <w:rsid w:val="00394841"/>
    <w:rsid w:val="003A125D"/>
    <w:rsid w:val="003A4C70"/>
    <w:rsid w:val="003B215F"/>
    <w:rsid w:val="003C799C"/>
    <w:rsid w:val="003D0399"/>
    <w:rsid w:val="003E1C71"/>
    <w:rsid w:val="003E79D6"/>
    <w:rsid w:val="003F0709"/>
    <w:rsid w:val="003F10B8"/>
    <w:rsid w:val="003F31ED"/>
    <w:rsid w:val="003F327B"/>
    <w:rsid w:val="0040043F"/>
    <w:rsid w:val="00406166"/>
    <w:rsid w:val="0040704B"/>
    <w:rsid w:val="00410A55"/>
    <w:rsid w:val="00411300"/>
    <w:rsid w:val="00415417"/>
    <w:rsid w:val="00426659"/>
    <w:rsid w:val="00440E4C"/>
    <w:rsid w:val="00445CF9"/>
    <w:rsid w:val="00450352"/>
    <w:rsid w:val="00453AA2"/>
    <w:rsid w:val="00454BDB"/>
    <w:rsid w:val="00460185"/>
    <w:rsid w:val="00463596"/>
    <w:rsid w:val="00464800"/>
    <w:rsid w:val="00465132"/>
    <w:rsid w:val="00480C90"/>
    <w:rsid w:val="0048396F"/>
    <w:rsid w:val="00493C18"/>
    <w:rsid w:val="004A22ED"/>
    <w:rsid w:val="004A600C"/>
    <w:rsid w:val="004A6118"/>
    <w:rsid w:val="004C478D"/>
    <w:rsid w:val="004E2C26"/>
    <w:rsid w:val="004E39D8"/>
    <w:rsid w:val="004F36FF"/>
    <w:rsid w:val="0051001D"/>
    <w:rsid w:val="005125A8"/>
    <w:rsid w:val="00521AE8"/>
    <w:rsid w:val="00527180"/>
    <w:rsid w:val="00531DFA"/>
    <w:rsid w:val="0054201E"/>
    <w:rsid w:val="00555291"/>
    <w:rsid w:val="00556D89"/>
    <w:rsid w:val="00556FAC"/>
    <w:rsid w:val="00566AD1"/>
    <w:rsid w:val="00570AD5"/>
    <w:rsid w:val="00583EDE"/>
    <w:rsid w:val="005A6079"/>
    <w:rsid w:val="005B22BC"/>
    <w:rsid w:val="005E4698"/>
    <w:rsid w:val="005E49B0"/>
    <w:rsid w:val="005F04A4"/>
    <w:rsid w:val="00600703"/>
    <w:rsid w:val="00610539"/>
    <w:rsid w:val="00613969"/>
    <w:rsid w:val="00615ADC"/>
    <w:rsid w:val="00625C35"/>
    <w:rsid w:val="00656313"/>
    <w:rsid w:val="006565F4"/>
    <w:rsid w:val="00684EEA"/>
    <w:rsid w:val="006944DE"/>
    <w:rsid w:val="0069689B"/>
    <w:rsid w:val="006A1551"/>
    <w:rsid w:val="006A6CB2"/>
    <w:rsid w:val="006B5FF5"/>
    <w:rsid w:val="006C612F"/>
    <w:rsid w:val="006D1A35"/>
    <w:rsid w:val="006D1CE0"/>
    <w:rsid w:val="006F30AF"/>
    <w:rsid w:val="00701759"/>
    <w:rsid w:val="00705C15"/>
    <w:rsid w:val="0071600E"/>
    <w:rsid w:val="007208D1"/>
    <w:rsid w:val="00747288"/>
    <w:rsid w:val="00747DD3"/>
    <w:rsid w:val="007540DA"/>
    <w:rsid w:val="007549C8"/>
    <w:rsid w:val="00754A0B"/>
    <w:rsid w:val="00762401"/>
    <w:rsid w:val="00766D14"/>
    <w:rsid w:val="00767A0F"/>
    <w:rsid w:val="00777270"/>
    <w:rsid w:val="007850B5"/>
    <w:rsid w:val="007A05F6"/>
    <w:rsid w:val="007B4A79"/>
    <w:rsid w:val="007B6F4A"/>
    <w:rsid w:val="007E1C47"/>
    <w:rsid w:val="007E2B72"/>
    <w:rsid w:val="007E337A"/>
    <w:rsid w:val="007E5C70"/>
    <w:rsid w:val="007F2FF5"/>
    <w:rsid w:val="007F3F08"/>
    <w:rsid w:val="00804CC6"/>
    <w:rsid w:val="00817190"/>
    <w:rsid w:val="00820EE5"/>
    <w:rsid w:val="00824BC7"/>
    <w:rsid w:val="008260E2"/>
    <w:rsid w:val="008322BD"/>
    <w:rsid w:val="00833ABE"/>
    <w:rsid w:val="00833E0A"/>
    <w:rsid w:val="00834F73"/>
    <w:rsid w:val="00864CF8"/>
    <w:rsid w:val="00872819"/>
    <w:rsid w:val="00874914"/>
    <w:rsid w:val="00891422"/>
    <w:rsid w:val="00892869"/>
    <w:rsid w:val="00892E1A"/>
    <w:rsid w:val="008A3F29"/>
    <w:rsid w:val="008B660A"/>
    <w:rsid w:val="008C01DA"/>
    <w:rsid w:val="008C6CE6"/>
    <w:rsid w:val="008E2771"/>
    <w:rsid w:val="008F78E9"/>
    <w:rsid w:val="00911989"/>
    <w:rsid w:val="009179F9"/>
    <w:rsid w:val="00933E5E"/>
    <w:rsid w:val="00935218"/>
    <w:rsid w:val="009371DE"/>
    <w:rsid w:val="009403F3"/>
    <w:rsid w:val="009555B7"/>
    <w:rsid w:val="009567AA"/>
    <w:rsid w:val="00960B13"/>
    <w:rsid w:val="00967374"/>
    <w:rsid w:val="009702E8"/>
    <w:rsid w:val="009826C5"/>
    <w:rsid w:val="0098759C"/>
    <w:rsid w:val="00992BEF"/>
    <w:rsid w:val="009A343A"/>
    <w:rsid w:val="009A3817"/>
    <w:rsid w:val="009B21EE"/>
    <w:rsid w:val="009B2F23"/>
    <w:rsid w:val="009B57B3"/>
    <w:rsid w:val="009C5B92"/>
    <w:rsid w:val="009D2920"/>
    <w:rsid w:val="009D5AEB"/>
    <w:rsid w:val="009E4210"/>
    <w:rsid w:val="009F0E33"/>
    <w:rsid w:val="00A030CE"/>
    <w:rsid w:val="00A149DF"/>
    <w:rsid w:val="00A1755C"/>
    <w:rsid w:val="00A21B90"/>
    <w:rsid w:val="00A314A3"/>
    <w:rsid w:val="00A335E6"/>
    <w:rsid w:val="00A3656A"/>
    <w:rsid w:val="00A41805"/>
    <w:rsid w:val="00A42DCD"/>
    <w:rsid w:val="00A52AFB"/>
    <w:rsid w:val="00A548CB"/>
    <w:rsid w:val="00A5521C"/>
    <w:rsid w:val="00A643E7"/>
    <w:rsid w:val="00A73C38"/>
    <w:rsid w:val="00A777BE"/>
    <w:rsid w:val="00AB3F50"/>
    <w:rsid w:val="00AB670D"/>
    <w:rsid w:val="00AF03C5"/>
    <w:rsid w:val="00B000D8"/>
    <w:rsid w:val="00B00F75"/>
    <w:rsid w:val="00B056B7"/>
    <w:rsid w:val="00B145B6"/>
    <w:rsid w:val="00B21138"/>
    <w:rsid w:val="00B279EB"/>
    <w:rsid w:val="00B31545"/>
    <w:rsid w:val="00B50C81"/>
    <w:rsid w:val="00B557F8"/>
    <w:rsid w:val="00B647CE"/>
    <w:rsid w:val="00B65680"/>
    <w:rsid w:val="00B815FC"/>
    <w:rsid w:val="00B9360C"/>
    <w:rsid w:val="00B93FBC"/>
    <w:rsid w:val="00BA7DA0"/>
    <w:rsid w:val="00BB2EE4"/>
    <w:rsid w:val="00BC2108"/>
    <w:rsid w:val="00BD0E9E"/>
    <w:rsid w:val="00BD1BEC"/>
    <w:rsid w:val="00BD32FF"/>
    <w:rsid w:val="00C02092"/>
    <w:rsid w:val="00C24D91"/>
    <w:rsid w:val="00C31E2B"/>
    <w:rsid w:val="00C32561"/>
    <w:rsid w:val="00C32F34"/>
    <w:rsid w:val="00C35AC0"/>
    <w:rsid w:val="00C36E9D"/>
    <w:rsid w:val="00C52FD1"/>
    <w:rsid w:val="00C53F14"/>
    <w:rsid w:val="00C600CF"/>
    <w:rsid w:val="00C6084F"/>
    <w:rsid w:val="00C62A66"/>
    <w:rsid w:val="00C71458"/>
    <w:rsid w:val="00C72F2E"/>
    <w:rsid w:val="00C77613"/>
    <w:rsid w:val="00C828E7"/>
    <w:rsid w:val="00C86719"/>
    <w:rsid w:val="00C90728"/>
    <w:rsid w:val="00C921DD"/>
    <w:rsid w:val="00CA6391"/>
    <w:rsid w:val="00CC34BD"/>
    <w:rsid w:val="00CD209E"/>
    <w:rsid w:val="00CE161A"/>
    <w:rsid w:val="00CE3171"/>
    <w:rsid w:val="00CF1601"/>
    <w:rsid w:val="00D0172F"/>
    <w:rsid w:val="00D068A7"/>
    <w:rsid w:val="00D17476"/>
    <w:rsid w:val="00D32086"/>
    <w:rsid w:val="00D37A3F"/>
    <w:rsid w:val="00D4431D"/>
    <w:rsid w:val="00D4667A"/>
    <w:rsid w:val="00D60254"/>
    <w:rsid w:val="00D63A1C"/>
    <w:rsid w:val="00D7516F"/>
    <w:rsid w:val="00D82809"/>
    <w:rsid w:val="00D8579F"/>
    <w:rsid w:val="00D93EA8"/>
    <w:rsid w:val="00D95F8E"/>
    <w:rsid w:val="00DA0590"/>
    <w:rsid w:val="00DA098B"/>
    <w:rsid w:val="00DA111D"/>
    <w:rsid w:val="00DA7864"/>
    <w:rsid w:val="00DB7BEA"/>
    <w:rsid w:val="00DC1739"/>
    <w:rsid w:val="00DC1788"/>
    <w:rsid w:val="00DC459D"/>
    <w:rsid w:val="00DE319C"/>
    <w:rsid w:val="00DE378D"/>
    <w:rsid w:val="00DF0CA8"/>
    <w:rsid w:val="00DF2B48"/>
    <w:rsid w:val="00DF49A7"/>
    <w:rsid w:val="00E07EE2"/>
    <w:rsid w:val="00E07FD1"/>
    <w:rsid w:val="00E14C72"/>
    <w:rsid w:val="00E24573"/>
    <w:rsid w:val="00E25E1E"/>
    <w:rsid w:val="00E27EE7"/>
    <w:rsid w:val="00E35404"/>
    <w:rsid w:val="00E45109"/>
    <w:rsid w:val="00E47B7A"/>
    <w:rsid w:val="00E56A44"/>
    <w:rsid w:val="00E60269"/>
    <w:rsid w:val="00E77932"/>
    <w:rsid w:val="00E87100"/>
    <w:rsid w:val="00E879A7"/>
    <w:rsid w:val="00E97830"/>
    <w:rsid w:val="00EA78EB"/>
    <w:rsid w:val="00EE643C"/>
    <w:rsid w:val="00EF0683"/>
    <w:rsid w:val="00EF69D2"/>
    <w:rsid w:val="00EF6A71"/>
    <w:rsid w:val="00EF766E"/>
    <w:rsid w:val="00F0070C"/>
    <w:rsid w:val="00F00EB7"/>
    <w:rsid w:val="00F017FA"/>
    <w:rsid w:val="00F1428E"/>
    <w:rsid w:val="00F36AB6"/>
    <w:rsid w:val="00F37A09"/>
    <w:rsid w:val="00F40954"/>
    <w:rsid w:val="00F409CE"/>
    <w:rsid w:val="00F42889"/>
    <w:rsid w:val="00F4379D"/>
    <w:rsid w:val="00F45CC8"/>
    <w:rsid w:val="00F50D2D"/>
    <w:rsid w:val="00F56C8B"/>
    <w:rsid w:val="00F66810"/>
    <w:rsid w:val="00F7605B"/>
    <w:rsid w:val="00F846D9"/>
    <w:rsid w:val="00F84DF4"/>
    <w:rsid w:val="00F85C97"/>
    <w:rsid w:val="00FB37D2"/>
    <w:rsid w:val="00FC4EFB"/>
    <w:rsid w:val="00FD068D"/>
    <w:rsid w:val="00FD06A5"/>
    <w:rsid w:val="00FD286F"/>
    <w:rsid w:val="00FD372F"/>
    <w:rsid w:val="00FD4F28"/>
    <w:rsid w:val="00FE6784"/>
    <w:rsid w:val="00FE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1C3656"/>
    <w:pPr>
      <w:spacing w:after="720"/>
      <w:ind w:left="1166"/>
      <w:contextualSpacing/>
      <w:jc w:val="both"/>
    </w:pPr>
    <w:rPr>
      <w:sz w:val="24"/>
      <w:szCs w:val="24"/>
    </w:rPr>
  </w:style>
  <w:style w:type="paragraph" w:customStyle="1" w:styleId="ParaNoNdepar-AltN">
    <w:name w:val="Para. No. / Nº de par. - Alt N"/>
    <w:qFormat/>
    <w:rsid w:val="001C365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A111D"/>
    <w:pPr>
      <w:spacing w:after="480"/>
    </w:pPr>
    <w:rPr>
      <w:rFonts w:eastAsiaTheme="minorHAnsi" w:cstheme="minorBidi"/>
      <w:szCs w:val="22"/>
      <w:lang w:eastAsia="en-US"/>
    </w:rPr>
  </w:style>
  <w:style w:type="paragraph" w:customStyle="1" w:styleId="SCCCoram">
    <w:name w:val="SCC.Coram"/>
    <w:basedOn w:val="Normal"/>
    <w:next w:val="Normal"/>
    <w:link w:val="SCCCoramChar"/>
    <w:rsid w:val="00DA111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A111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A111D"/>
    <w:rPr>
      <w:rFonts w:eastAsiaTheme="minorHAnsi" w:cstheme="minorBidi"/>
      <w:sz w:val="24"/>
      <w:szCs w:val="22"/>
      <w:lang w:eastAsia="en-US"/>
    </w:rPr>
  </w:style>
  <w:style w:type="character" w:customStyle="1" w:styleId="SCCBanSummaryChar">
    <w:name w:val="SCC.BanSummary Char"/>
    <w:basedOn w:val="DefaultParagraphFont"/>
    <w:link w:val="SCCBanSummary"/>
    <w:rsid w:val="00DA111D"/>
    <w:rPr>
      <w:b/>
      <w:sz w:val="24"/>
    </w:rPr>
  </w:style>
  <w:style w:type="table" w:styleId="TableGrid">
    <w:name w:val="Table Grid"/>
    <w:basedOn w:val="TableNormal"/>
    <w:uiPriority w:val="59"/>
    <w:rsid w:val="00DA111D"/>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DA111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A111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A111D"/>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A111D"/>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DA111D"/>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DA111D"/>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DA111D"/>
    <w:pPr>
      <w:numPr>
        <w:ilvl w:val="4"/>
      </w:numPr>
      <w:tabs>
        <w:tab w:val="clear" w:pos="576"/>
        <w:tab w:val="left" w:pos="1620"/>
      </w:tabs>
      <w:ind w:left="1620" w:hanging="540"/>
    </w:pPr>
  </w:style>
  <w:style w:type="paragraph" w:styleId="TOC1">
    <w:name w:val="toc 1"/>
    <w:basedOn w:val="Normal"/>
    <w:next w:val="Normal"/>
    <w:autoRedefine/>
    <w:uiPriority w:val="39"/>
    <w:unhideWhenUsed/>
    <w:rsid w:val="00DA111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A111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A111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A111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A111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A111D"/>
    <w:pPr>
      <w:tabs>
        <w:tab w:val="left" w:pos="2160"/>
        <w:tab w:val="right" w:leader="dot" w:pos="8270"/>
      </w:tabs>
      <w:spacing w:after="100"/>
      <w:ind w:left="1800"/>
    </w:pPr>
    <w:rPr>
      <w:noProof/>
    </w:rPr>
  </w:style>
  <w:style w:type="table" w:customStyle="1" w:styleId="TableGrid1">
    <w:name w:val="Table Grid1"/>
    <w:basedOn w:val="TableNormal"/>
    <w:uiPriority w:val="59"/>
    <w:rsid w:val="00DA111D"/>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DA111D"/>
    <w:pPr>
      <w:tabs>
        <w:tab w:val="left" w:pos="360"/>
      </w:tabs>
      <w:spacing w:before="480" w:after="720"/>
      <w:ind w:left="360" w:hanging="360"/>
      <w:jc w:val="both"/>
    </w:pPr>
    <w:rPr>
      <w:rFonts w:eastAsiaTheme="minorHAnsi" w:cstheme="minorBidi"/>
      <w:sz w:val="24"/>
      <w:szCs w:val="22"/>
      <w:lang w:eastAsia="en-US"/>
    </w:rPr>
  </w:style>
  <w:style w:type="paragraph" w:customStyle="1" w:styleId="subsection">
    <w:name w:val="subsection"/>
    <w:basedOn w:val="Normal"/>
    <w:rsid w:val="00DA111D"/>
    <w:pPr>
      <w:spacing w:before="168" w:after="120"/>
      <w:ind w:firstLine="360"/>
    </w:pPr>
    <w:rPr>
      <w:szCs w:val="24"/>
      <w:lang w:val="en-US" w:eastAsia="en-US"/>
    </w:rPr>
  </w:style>
  <w:style w:type="character" w:customStyle="1" w:styleId="sectionlabel">
    <w:name w:val="sectionlabel"/>
    <w:basedOn w:val="DefaultParagraphFont"/>
    <w:rsid w:val="00DA111D"/>
    <w:rPr>
      <w:b/>
      <w:bCs/>
    </w:rPr>
  </w:style>
  <w:style w:type="character" w:styleId="Emphasis">
    <w:name w:val="Emphasis"/>
    <w:basedOn w:val="DefaultParagraphFont"/>
    <w:uiPriority w:val="20"/>
    <w:qFormat/>
    <w:rsid w:val="00DA111D"/>
    <w:rPr>
      <w:i/>
      <w:iCs/>
    </w:rPr>
  </w:style>
  <w:style w:type="character" w:styleId="HTMLDefinition">
    <w:name w:val="HTML Definition"/>
    <w:basedOn w:val="DefaultParagraphFont"/>
    <w:uiPriority w:val="99"/>
    <w:semiHidden/>
    <w:unhideWhenUsed/>
    <w:rsid w:val="00DA111D"/>
    <w:rPr>
      <w:i w:val="0"/>
      <w:iCs w:val="0"/>
    </w:rPr>
  </w:style>
  <w:style w:type="paragraph" w:customStyle="1" w:styleId="definition">
    <w:name w:val="definition"/>
    <w:basedOn w:val="Normal"/>
    <w:rsid w:val="00DA111D"/>
    <w:pPr>
      <w:spacing w:before="120" w:after="100" w:afterAutospacing="1"/>
    </w:pPr>
    <w:rPr>
      <w:szCs w:val="24"/>
      <w:lang w:val="en-US" w:eastAsia="en-US"/>
    </w:rPr>
  </w:style>
  <w:style w:type="paragraph" w:customStyle="1" w:styleId="continuedparagraph">
    <w:name w:val="continuedparagraph"/>
    <w:basedOn w:val="Normal"/>
    <w:rsid w:val="00DA111D"/>
    <w:pPr>
      <w:spacing w:before="100" w:beforeAutospacing="1" w:after="100" w:afterAutospacing="1"/>
      <w:ind w:left="360"/>
    </w:pPr>
    <w:rPr>
      <w:szCs w:val="24"/>
      <w:lang w:val="en-US" w:eastAsia="en-US"/>
    </w:rPr>
  </w:style>
  <w:style w:type="paragraph" w:customStyle="1" w:styleId="paragraph">
    <w:name w:val="paragraph"/>
    <w:basedOn w:val="Normal"/>
    <w:rsid w:val="00DA111D"/>
    <w:pPr>
      <w:spacing w:before="168" w:after="120"/>
      <w:ind w:left="360"/>
    </w:pPr>
    <w:rPr>
      <w:szCs w:val="24"/>
      <w:lang w:val="en-US" w:eastAsia="en-US"/>
    </w:rPr>
  </w:style>
  <w:style w:type="paragraph" w:customStyle="1" w:styleId="subparagraph">
    <w:name w:val="subparagraph"/>
    <w:basedOn w:val="Normal"/>
    <w:rsid w:val="00DA111D"/>
    <w:pPr>
      <w:spacing w:before="168" w:after="120"/>
      <w:ind w:left="720"/>
    </w:pPr>
    <w:rPr>
      <w:szCs w:val="24"/>
      <w:lang w:val="en-US" w:eastAsia="en-US"/>
    </w:rPr>
  </w:style>
  <w:style w:type="paragraph" w:customStyle="1" w:styleId="section">
    <w:name w:val="section"/>
    <w:basedOn w:val="Normal"/>
    <w:rsid w:val="00DA111D"/>
    <w:pPr>
      <w:spacing w:before="168" w:after="120"/>
      <w:ind w:firstLine="360"/>
    </w:pPr>
    <w:rPr>
      <w:szCs w:val="24"/>
      <w:lang w:val="en-US" w:eastAsia="en-US"/>
    </w:rPr>
  </w:style>
  <w:style w:type="character" w:customStyle="1" w:styleId="wb-invisible">
    <w:name w:val="wb-invisible"/>
    <w:basedOn w:val="DefaultParagraphFont"/>
    <w:rsid w:val="00DA111D"/>
  </w:style>
  <w:style w:type="paragraph" w:styleId="ListParagraph">
    <w:name w:val="List Paragraph"/>
    <w:basedOn w:val="Normal"/>
    <w:uiPriority w:val="34"/>
    <w:qFormat/>
    <w:rsid w:val="00DA111D"/>
    <w:pPr>
      <w:ind w:left="720"/>
      <w:contextualSpacing/>
    </w:pPr>
    <w:rPr>
      <w:rFonts w:eastAsiaTheme="minorHAnsi" w:cstheme="minorBidi"/>
      <w:szCs w:val="22"/>
      <w:lang w:val="en-US" w:eastAsia="en-US"/>
    </w:rPr>
  </w:style>
  <w:style w:type="paragraph" w:customStyle="1" w:styleId="style11">
    <w:name w:val="style11"/>
    <w:basedOn w:val="Normal"/>
    <w:rsid w:val="00DA111D"/>
    <w:pPr>
      <w:spacing w:before="260"/>
      <w:ind w:hanging="720"/>
      <w:jc w:val="both"/>
    </w:pPr>
    <w:rPr>
      <w:rFonts w:ascii="CG Times" w:hAnsi="CG Times"/>
      <w:sz w:val="28"/>
      <w:szCs w:val="28"/>
      <w:lang w:val="en-US" w:eastAsia="en-US"/>
    </w:rPr>
  </w:style>
  <w:style w:type="paragraph" w:styleId="FootnoteText">
    <w:name w:val="footnote text"/>
    <w:basedOn w:val="Normal"/>
    <w:link w:val="FootnoteTextChar"/>
    <w:uiPriority w:val="99"/>
    <w:unhideWhenUsed/>
    <w:rsid w:val="00DA111D"/>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DA111D"/>
    <w:rPr>
      <w:rFonts w:ascii="Calibri" w:eastAsia="Calibri" w:hAnsi="Calibri"/>
      <w:lang w:eastAsia="en-US"/>
    </w:rPr>
  </w:style>
  <w:style w:type="character" w:styleId="FootnoteReference">
    <w:name w:val="footnote reference"/>
    <w:basedOn w:val="DefaultParagraphFont"/>
    <w:uiPriority w:val="99"/>
    <w:unhideWhenUsed/>
    <w:rsid w:val="00DA111D"/>
    <w:rPr>
      <w:vertAlign w:val="superscript"/>
    </w:rPr>
  </w:style>
  <w:style w:type="character" w:styleId="Hyperlink">
    <w:name w:val="Hyperlink"/>
    <w:basedOn w:val="DefaultParagraphFont"/>
    <w:uiPriority w:val="99"/>
    <w:unhideWhenUsed/>
    <w:rsid w:val="00DA111D"/>
    <w:rPr>
      <w:color w:val="0000FF" w:themeColor="hyperlink"/>
      <w:u w:val="single"/>
    </w:rPr>
  </w:style>
  <w:style w:type="paragraph" w:customStyle="1" w:styleId="style21">
    <w:name w:val="style21"/>
    <w:basedOn w:val="Normal"/>
    <w:rsid w:val="00DA111D"/>
    <w:pPr>
      <w:spacing w:before="160" w:after="120"/>
      <w:ind w:hanging="720"/>
      <w:jc w:val="both"/>
    </w:pPr>
    <w:rPr>
      <w:rFonts w:ascii="CG Times (W1)" w:hAnsi="CG Times (W1)"/>
      <w:sz w:val="28"/>
      <w:szCs w:val="28"/>
      <w:lang w:val="en-US" w:eastAsia="en-US"/>
    </w:rPr>
  </w:style>
  <w:style w:type="paragraph" w:customStyle="1" w:styleId="number1">
    <w:name w:val="number1"/>
    <w:basedOn w:val="Normal"/>
    <w:rsid w:val="00DA111D"/>
    <w:pPr>
      <w:jc w:val="both"/>
    </w:pPr>
    <w:rPr>
      <w:rFonts w:ascii="Tahoma" w:hAnsi="Tahoma" w:cs="Tahoma"/>
      <w:szCs w:val="24"/>
      <w:lang w:val="en-US" w:eastAsia="en-US"/>
    </w:rPr>
  </w:style>
  <w:style w:type="character" w:styleId="CommentReference">
    <w:name w:val="annotation reference"/>
    <w:basedOn w:val="DefaultParagraphFont"/>
    <w:uiPriority w:val="99"/>
    <w:semiHidden/>
    <w:unhideWhenUsed/>
    <w:rsid w:val="00DA111D"/>
    <w:rPr>
      <w:sz w:val="16"/>
      <w:szCs w:val="16"/>
    </w:rPr>
  </w:style>
  <w:style w:type="paragraph" w:styleId="CommentText">
    <w:name w:val="annotation text"/>
    <w:basedOn w:val="Normal"/>
    <w:link w:val="CommentTextChar"/>
    <w:uiPriority w:val="99"/>
    <w:semiHidden/>
    <w:unhideWhenUsed/>
    <w:rsid w:val="00DA111D"/>
    <w:rPr>
      <w:sz w:val="20"/>
    </w:rPr>
  </w:style>
  <w:style w:type="character" w:customStyle="1" w:styleId="CommentTextChar">
    <w:name w:val="Comment Text Char"/>
    <w:basedOn w:val="DefaultParagraphFont"/>
    <w:link w:val="CommentText"/>
    <w:uiPriority w:val="99"/>
    <w:semiHidden/>
    <w:rsid w:val="00DA111D"/>
  </w:style>
  <w:style w:type="paragraph" w:styleId="CommentSubject">
    <w:name w:val="annotation subject"/>
    <w:basedOn w:val="CommentText"/>
    <w:next w:val="CommentText"/>
    <w:link w:val="CommentSubjectChar"/>
    <w:uiPriority w:val="99"/>
    <w:semiHidden/>
    <w:unhideWhenUsed/>
    <w:rsid w:val="00DA111D"/>
    <w:rPr>
      <w:b/>
      <w:bCs/>
    </w:rPr>
  </w:style>
  <w:style w:type="character" w:customStyle="1" w:styleId="CommentSubjectChar">
    <w:name w:val="Comment Subject Char"/>
    <w:basedOn w:val="CommentTextChar"/>
    <w:link w:val="CommentSubject"/>
    <w:uiPriority w:val="99"/>
    <w:semiHidden/>
    <w:rsid w:val="00DA111D"/>
    <w:rPr>
      <w:b/>
      <w:bCs/>
    </w:rPr>
  </w:style>
  <w:style w:type="paragraph" w:customStyle="1" w:styleId="felsky11">
    <w:name w:val="felsky11"/>
    <w:basedOn w:val="Normal"/>
    <w:rsid w:val="00DA111D"/>
    <w:pPr>
      <w:autoSpaceDE w:val="0"/>
      <w:autoSpaceDN w:val="0"/>
    </w:pPr>
    <w:rPr>
      <w:szCs w:val="24"/>
      <w:lang w:val="en-US" w:eastAsia="en-US"/>
    </w:rPr>
  </w:style>
  <w:style w:type="character" w:customStyle="1" w:styleId="term01">
    <w:name w:val="term01"/>
    <w:basedOn w:val="DefaultParagraphFont"/>
    <w:rsid w:val="00DA111D"/>
    <w:rPr>
      <w:shd w:val="clear" w:color="auto" w:fill="BFE8FD"/>
    </w:rPr>
  </w:style>
  <w:style w:type="character" w:customStyle="1" w:styleId="term110">
    <w:name w:val="term110"/>
    <w:basedOn w:val="DefaultParagraphFont"/>
    <w:rsid w:val="00DA111D"/>
    <w:rPr>
      <w:shd w:val="clear" w:color="auto" w:fill="F3BFFD"/>
    </w:rPr>
  </w:style>
  <w:style w:type="character" w:customStyle="1" w:styleId="SCCLsocPartyRoleChar">
    <w:name w:val="SCC.Lsoc.PartyRole Char"/>
    <w:basedOn w:val="DefaultParagraphFont"/>
    <w:rsid w:val="0051001D"/>
    <w:rPr>
      <w:lang w:val="en-CA"/>
    </w:rPr>
  </w:style>
  <w:style w:type="paragraph" w:customStyle="1" w:styleId="SCCLsocPrefix">
    <w:name w:val="SCC.Lsoc.Prefix"/>
    <w:basedOn w:val="Normal"/>
    <w:next w:val="Normal"/>
    <w:link w:val="SCCLsocPrefixChar"/>
    <w:rsid w:val="0051001D"/>
    <w:rPr>
      <w:rFonts w:eastAsiaTheme="minorHAnsi" w:cstheme="minorBidi"/>
      <w:b/>
      <w:smallCaps/>
      <w:szCs w:val="24"/>
      <w:lang w:eastAsia="en-US"/>
    </w:rPr>
  </w:style>
  <w:style w:type="character" w:customStyle="1" w:styleId="SCCLsocPrefixChar">
    <w:name w:val="SCC.Lsoc.Prefix Char"/>
    <w:basedOn w:val="DefaultParagraphFont"/>
    <w:link w:val="SCCLsocPrefix"/>
    <w:rsid w:val="0051001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130758493">
      <w:bodyDiv w:val="1"/>
      <w:marLeft w:val="0"/>
      <w:marRight w:val="0"/>
      <w:marTop w:val="0"/>
      <w:marBottom w:val="0"/>
      <w:divBdr>
        <w:top w:val="none" w:sz="0" w:space="0" w:color="auto"/>
        <w:left w:val="none" w:sz="0" w:space="0" w:color="auto"/>
        <w:bottom w:val="none" w:sz="0" w:space="0" w:color="auto"/>
        <w:right w:val="none" w:sz="0" w:space="0" w:color="auto"/>
      </w:divBdr>
    </w:div>
    <w:div w:id="472332091">
      <w:bodyDiv w:val="1"/>
      <w:marLeft w:val="0"/>
      <w:marRight w:val="0"/>
      <w:marTop w:val="0"/>
      <w:marBottom w:val="0"/>
      <w:divBdr>
        <w:top w:val="none" w:sz="0" w:space="0" w:color="auto"/>
        <w:left w:val="none" w:sz="0" w:space="0" w:color="auto"/>
        <w:bottom w:val="none" w:sz="0" w:space="0" w:color="auto"/>
        <w:right w:val="none" w:sz="0" w:space="0" w:color="auto"/>
      </w:divBdr>
    </w:div>
    <w:div w:id="713120391">
      <w:bodyDiv w:val="1"/>
      <w:marLeft w:val="0"/>
      <w:marRight w:val="0"/>
      <w:marTop w:val="0"/>
      <w:marBottom w:val="0"/>
      <w:divBdr>
        <w:top w:val="none" w:sz="0" w:space="0" w:color="auto"/>
        <w:left w:val="none" w:sz="0" w:space="0" w:color="auto"/>
        <w:bottom w:val="none" w:sz="0" w:space="0" w:color="auto"/>
        <w:right w:val="none" w:sz="0" w:space="0" w:color="auto"/>
      </w:divBdr>
    </w:div>
    <w:div w:id="762804829">
      <w:bodyDiv w:val="1"/>
      <w:marLeft w:val="0"/>
      <w:marRight w:val="0"/>
      <w:marTop w:val="0"/>
      <w:marBottom w:val="0"/>
      <w:divBdr>
        <w:top w:val="none" w:sz="0" w:space="0" w:color="auto"/>
        <w:left w:val="none" w:sz="0" w:space="0" w:color="auto"/>
        <w:bottom w:val="none" w:sz="0" w:space="0" w:color="auto"/>
        <w:right w:val="none" w:sz="0" w:space="0" w:color="auto"/>
      </w:divBdr>
    </w:div>
    <w:div w:id="1563952306">
      <w:bodyDiv w:val="1"/>
      <w:marLeft w:val="0"/>
      <w:marRight w:val="0"/>
      <w:marTop w:val="0"/>
      <w:marBottom w:val="0"/>
      <w:divBdr>
        <w:top w:val="none" w:sz="0" w:space="0" w:color="auto"/>
        <w:left w:val="none" w:sz="0" w:space="0" w:color="auto"/>
        <w:bottom w:val="none" w:sz="0" w:space="0" w:color="auto"/>
        <w:right w:val="none" w:sz="0" w:space="0" w:color="auto"/>
      </w:divBdr>
    </w:div>
    <w:div w:id="17408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F5738-1653-4A47-B23E-17A54E1C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12056</Words>
  <Characters>60545</Characters>
  <Application>Microsoft Office Word</Application>
  <DocSecurity>0</DocSecurity>
  <Lines>504</Lines>
  <Paragraphs>144</Paragraphs>
  <ScaleCrop>false</ScaleCrop>
  <LinksUpToDate>false</LinksUpToDate>
  <CharactersWithSpaces>72457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2014-10-14T20:59:00Z</dcterms:created>
  <dcterms:modified xsi:type="dcterms:W3CDTF">2015-03-05T20:57:00Z</dcterms:modified>
</cp:coreProperties>
</file>