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45" w:rsidRDefault="008F4245" w:rsidP="008F4245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9pt" o:ole="">
            <v:imagedata r:id="rId5" o:title=""/>
          </v:shape>
          <o:OLEObject Type="Embed" ProgID="Presentations.Drawing.13" ShapeID="_x0000_i1025" DrawAspect="Content" ObjectID="_1487075415" r:id="rId6"/>
        </w:object>
      </w:r>
    </w:p>
    <w:p w:rsidR="008F4245" w:rsidRDefault="008F4245" w:rsidP="008F4245">
      <w:pPr>
        <w:pStyle w:val="Header"/>
      </w:pPr>
    </w:p>
    <w:p w:rsidR="008F4245" w:rsidRPr="006B210C" w:rsidRDefault="008F4245" w:rsidP="008F4245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8F4245" w:rsidRDefault="008F4245" w:rsidP="008F4245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8F4245" w:rsidRPr="006B210C" w:rsidTr="001852E9">
        <w:trPr>
          <w:cantSplit/>
        </w:trPr>
        <w:tc>
          <w:tcPr>
            <w:tcW w:w="6768" w:type="dxa"/>
          </w:tcPr>
          <w:p w:rsidR="008F4245" w:rsidRPr="00D11435" w:rsidRDefault="008F4245" w:rsidP="001852E9">
            <w:pPr>
              <w:rPr>
                <w:lang w:val="fr-CA"/>
              </w:rPr>
            </w:pPr>
            <w:r w:rsidRPr="00D11435">
              <w:rPr>
                <w:b/>
                <w:smallCaps/>
                <w:lang w:val="fr-CA"/>
              </w:rPr>
              <w:t>Citation:</w:t>
            </w:r>
            <w:r w:rsidRPr="00D11435">
              <w:rPr>
                <w:lang w:val="fr-CA"/>
              </w:rPr>
              <w:t xml:space="preserve"> </w:t>
            </w:r>
            <w:r w:rsidRPr="00737E1E">
              <w:rPr>
                <w:lang w:val="fr-CA"/>
              </w:rPr>
              <w:t>R.</w:t>
            </w:r>
            <w:r w:rsidRPr="00D11435">
              <w:rPr>
                <w:i/>
                <w:lang w:val="fr-CA"/>
              </w:rPr>
              <w:t xml:space="preserve"> v.</w:t>
            </w:r>
            <w:r w:rsidR="00A8311D">
              <w:rPr>
                <w:i/>
                <w:lang w:val="fr-CA"/>
              </w:rPr>
              <w:t xml:space="preserve"> </w:t>
            </w:r>
            <w:r>
              <w:rPr>
                <w:lang w:val="fr-CA"/>
              </w:rPr>
              <w:t>Bouchard</w:t>
            </w:r>
            <w:r w:rsidRPr="00D11435">
              <w:rPr>
                <w:lang w:val="fr-CA"/>
              </w:rPr>
              <w:t xml:space="preserve">, 2014 SCC </w:t>
            </w:r>
            <w:r>
              <w:rPr>
                <w:lang w:val="fr-CA"/>
              </w:rPr>
              <w:t>6</w:t>
            </w:r>
            <w:r w:rsidRPr="00D11435">
              <w:rPr>
                <w:lang w:val="fr-CA"/>
              </w:rPr>
              <w:t>4</w:t>
            </w:r>
            <w:r>
              <w:rPr>
                <w:lang w:val="fr-CA"/>
              </w:rPr>
              <w:t>, [2014] 3 S.C.R. 283</w:t>
            </w:r>
          </w:p>
        </w:tc>
        <w:tc>
          <w:tcPr>
            <w:tcW w:w="2808" w:type="dxa"/>
          </w:tcPr>
          <w:p w:rsidR="008F4245" w:rsidRPr="006B210C" w:rsidRDefault="008F4245" w:rsidP="001852E9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20141016</w:t>
            </w:r>
          </w:p>
          <w:p w:rsidR="008F4245" w:rsidRPr="006B210C" w:rsidRDefault="008F4245" w:rsidP="001852E9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35690</w:t>
            </w:r>
          </w:p>
        </w:tc>
      </w:tr>
    </w:tbl>
    <w:p w:rsidR="008F4245" w:rsidRPr="006B210C" w:rsidRDefault="008F4245" w:rsidP="008F4245"/>
    <w:p w:rsidR="008F4245" w:rsidRDefault="008F4245" w:rsidP="008F4245">
      <w:pPr>
        <w:pStyle w:val="SCCLsocPrefix"/>
      </w:pPr>
      <w:r>
        <w:t>Between:</w:t>
      </w:r>
    </w:p>
    <w:p w:rsidR="008F4245" w:rsidRDefault="008F4245" w:rsidP="008F4245">
      <w:pPr>
        <w:pStyle w:val="SCCLsocParty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8F4245" w:rsidRDefault="008F4245" w:rsidP="008F4245">
      <w:pPr>
        <w:jc w:val="center"/>
      </w:pPr>
      <w:r>
        <w:t>Appellant</w:t>
      </w:r>
    </w:p>
    <w:p w:rsidR="008F4245" w:rsidRPr="00323459" w:rsidRDefault="008F4245" w:rsidP="008F4245">
      <w:pPr>
        <w:pStyle w:val="SCCLsocVersus"/>
        <w:spacing w:after="0"/>
        <w:jc w:val="center"/>
        <w:rPr>
          <w:i w:val="0"/>
        </w:rPr>
      </w:pPr>
      <w:proofErr w:type="gramStart"/>
      <w:r w:rsidRPr="00323459">
        <w:rPr>
          <w:i w:val="0"/>
        </w:rPr>
        <w:t>and</w:t>
      </w:r>
      <w:proofErr w:type="gramEnd"/>
    </w:p>
    <w:p w:rsidR="008F4245" w:rsidRDefault="008F4245" w:rsidP="008F4245">
      <w:pPr>
        <w:pStyle w:val="SCCLsocParty"/>
      </w:pPr>
      <w:proofErr w:type="spellStart"/>
      <w:r>
        <w:t>Sebastien</w:t>
      </w:r>
      <w:proofErr w:type="spellEnd"/>
      <w:r>
        <w:t xml:space="preserve"> Bouchard</w:t>
      </w:r>
    </w:p>
    <w:p w:rsidR="008F4245" w:rsidRDefault="008F4245" w:rsidP="008F4245">
      <w:pPr>
        <w:jc w:val="center"/>
      </w:pPr>
      <w:r>
        <w:t>Respondent</w:t>
      </w:r>
    </w:p>
    <w:p w:rsidR="008F4245" w:rsidRPr="006B210C" w:rsidRDefault="008F4245" w:rsidP="008F4245"/>
    <w:p w:rsidR="008F4245" w:rsidRDefault="008F4245" w:rsidP="008F4245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proofErr w:type="spellStart"/>
      <w:r>
        <w:t>Abella</w:t>
      </w:r>
      <w:proofErr w:type="spellEnd"/>
      <w:r>
        <w:t xml:space="preserve">, Cromwell, </w:t>
      </w:r>
      <w:proofErr w:type="spellStart"/>
      <w:r>
        <w:t>Moldaver</w:t>
      </w:r>
      <w:proofErr w:type="spellEnd"/>
      <w:r>
        <w:t xml:space="preserve">, Wagner and </w:t>
      </w:r>
      <w:proofErr w:type="spellStart"/>
      <w:r>
        <w:t>Gascon</w:t>
      </w:r>
      <w:proofErr w:type="spellEnd"/>
      <w:r>
        <w:t> JJ.</w:t>
      </w:r>
    </w:p>
    <w:p w:rsidR="008F4245" w:rsidRPr="006B210C" w:rsidRDefault="008F4245" w:rsidP="008F4245"/>
    <w:p w:rsidR="008F4245" w:rsidRPr="006B210C" w:rsidRDefault="008F4245" w:rsidP="008F42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8F4245" w:rsidRPr="006B210C" w:rsidTr="001852E9">
        <w:trPr>
          <w:cantSplit/>
        </w:trPr>
        <w:tc>
          <w:tcPr>
            <w:tcW w:w="3618" w:type="dxa"/>
          </w:tcPr>
          <w:p w:rsidR="008F4245" w:rsidRDefault="008F4245" w:rsidP="001852E9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8F4245" w:rsidRPr="006B210C" w:rsidRDefault="008F4245" w:rsidP="001852E9">
            <w:r>
              <w:t>(</w:t>
            </w:r>
            <w:proofErr w:type="spellStart"/>
            <w:r>
              <w:t>paras</w:t>
            </w:r>
            <w:proofErr w:type="spellEnd"/>
            <w:r>
              <w:t>. 1 to 2)</w:t>
            </w:r>
          </w:p>
        </w:tc>
        <w:tc>
          <w:tcPr>
            <w:tcW w:w="5958" w:type="dxa"/>
          </w:tcPr>
          <w:p w:rsidR="008F4245" w:rsidRPr="006B210C" w:rsidRDefault="008F4245" w:rsidP="008F4245">
            <w:pPr>
              <w:jc w:val="both"/>
            </w:pPr>
            <w:r>
              <w:t>Cromwell J. (</w:t>
            </w:r>
            <w:proofErr w:type="spellStart"/>
            <w:r>
              <w:t>Abella</w:t>
            </w:r>
            <w:proofErr w:type="spellEnd"/>
            <w:r>
              <w:t xml:space="preserve">, </w:t>
            </w:r>
            <w:proofErr w:type="spellStart"/>
            <w:r>
              <w:t>Moldaver</w:t>
            </w:r>
            <w:proofErr w:type="spellEnd"/>
            <w:r>
              <w:t xml:space="preserve">, Wagner and </w:t>
            </w:r>
            <w:proofErr w:type="spellStart"/>
            <w:r>
              <w:t>Gascon</w:t>
            </w:r>
            <w:proofErr w:type="spellEnd"/>
            <w:r>
              <w:t xml:space="preserve"> JJ. concurring) </w:t>
            </w:r>
          </w:p>
        </w:tc>
      </w:tr>
    </w:tbl>
    <w:p w:rsidR="008F4245" w:rsidRDefault="008F4245" w:rsidP="008F4245"/>
    <w:p w:rsidR="008F4245" w:rsidRDefault="00396BEA" w:rsidP="008F4245">
      <w:r w:rsidRPr="00396BE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8F4245" w:rsidRDefault="008F4245" w:rsidP="00CD5828">
      <w:pPr>
        <w:spacing w:line="480" w:lineRule="auto"/>
        <w:jc w:val="both"/>
        <w:rPr>
          <w:rStyle w:val="SCCAppellantForRunningHeadChar"/>
        </w:rPr>
      </w:pPr>
    </w:p>
    <w:p w:rsidR="00CD5828" w:rsidRPr="001426A9" w:rsidRDefault="00CD5828" w:rsidP="00CD5828">
      <w:pPr>
        <w:spacing w:line="480" w:lineRule="auto"/>
        <w:jc w:val="both"/>
      </w:pPr>
      <w:r>
        <w:rPr>
          <w:rStyle w:val="SCCAppellantForRunningHeadChar"/>
        </w:rPr>
        <w:t>r.</w:t>
      </w:r>
      <w:r w:rsidRPr="001426A9">
        <w:t xml:space="preserve"> </w:t>
      </w:r>
      <w:r w:rsidRPr="00C62A66">
        <w:rPr>
          <w:i/>
        </w:rPr>
        <w:t>v.</w:t>
      </w:r>
      <w:r w:rsidRPr="001426A9">
        <w:t xml:space="preserve"> </w:t>
      </w:r>
      <w:proofErr w:type="spellStart"/>
      <w:r w:rsidR="008E65C8">
        <w:rPr>
          <w:rStyle w:val="SCCRespondentForRunningHeadChar"/>
        </w:rPr>
        <w:t>bouchard</w:t>
      </w:r>
      <w:proofErr w:type="spellEnd"/>
      <w:r w:rsidR="006D4E80">
        <w:rPr>
          <w:rStyle w:val="SCCRespondentForRunningHeadChar"/>
        </w:rPr>
        <w:t xml:space="preserve">, </w:t>
      </w:r>
      <w:r w:rsidR="006D4E80">
        <w:t>2014 SCC 64, [2014] 3 S.C.R. 283</w:t>
      </w:r>
    </w:p>
    <w:p w:rsidR="00CD5828" w:rsidRPr="001426A9" w:rsidRDefault="00CD5828" w:rsidP="00CD5828">
      <w:pPr>
        <w:jc w:val="both"/>
      </w:pPr>
    </w:p>
    <w:p w:rsidR="00CD5828" w:rsidRPr="008E65C8" w:rsidRDefault="00CD5828" w:rsidP="00CD5828">
      <w:pPr>
        <w:pStyle w:val="SCCLsocLastPartyInRole"/>
        <w:rPr>
          <w:b w:val="0"/>
        </w:rPr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  <w:r>
        <w:rPr>
          <w:rStyle w:val="SCCLsocPartyRole"/>
        </w:rPr>
        <w:tab/>
      </w:r>
      <w:r w:rsidRPr="008E65C8">
        <w:rPr>
          <w:rStyle w:val="SCCLsocPartyRole"/>
        </w:rPr>
        <w:t>Appellant</w:t>
      </w:r>
    </w:p>
    <w:p w:rsidR="00CD5828" w:rsidRDefault="00CD5828" w:rsidP="00CD5828">
      <w:pPr>
        <w:pStyle w:val="SCCLsocVersus"/>
      </w:pPr>
      <w:proofErr w:type="gramStart"/>
      <w:r>
        <w:t>v</w:t>
      </w:r>
      <w:proofErr w:type="gramEnd"/>
      <w:r>
        <w:t>.</w:t>
      </w:r>
    </w:p>
    <w:p w:rsidR="00CD5828" w:rsidRPr="008E65C8" w:rsidRDefault="008E65C8" w:rsidP="00CD5828">
      <w:pPr>
        <w:pStyle w:val="SCCLsocLastPartyInRole"/>
        <w:rPr>
          <w:b w:val="0"/>
        </w:rPr>
      </w:pPr>
      <w:proofErr w:type="spellStart"/>
      <w:r>
        <w:t>Sebasti</w:t>
      </w:r>
      <w:r w:rsidR="001E2C2A">
        <w:t>e</w:t>
      </w:r>
      <w:r>
        <w:t>n</w:t>
      </w:r>
      <w:proofErr w:type="spellEnd"/>
      <w:r>
        <w:t xml:space="preserve"> Bouchard</w:t>
      </w:r>
      <w:r w:rsidR="00CD5828">
        <w:rPr>
          <w:rStyle w:val="SCCLsocPartyRole"/>
        </w:rPr>
        <w:tab/>
      </w:r>
      <w:r w:rsidR="00CD5828" w:rsidRPr="008E65C8">
        <w:rPr>
          <w:rStyle w:val="SCCLsocPartyRole"/>
        </w:rPr>
        <w:t>Respondent</w:t>
      </w:r>
    </w:p>
    <w:p w:rsidR="00FF4DE7" w:rsidRDefault="00FF4DE7" w:rsidP="00CD5828">
      <w:pPr>
        <w:jc w:val="both"/>
        <w:rPr>
          <w:b/>
        </w:rPr>
      </w:pPr>
    </w:p>
    <w:p w:rsidR="00CD5828" w:rsidRPr="00426659" w:rsidRDefault="00CD5828" w:rsidP="00CD5828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8E65C8">
        <w:rPr>
          <w:rStyle w:val="SCCRespondentForIndexChar"/>
        </w:rPr>
        <w:t>Bouchard</w:t>
      </w:r>
    </w:p>
    <w:p w:rsidR="00CD5828" w:rsidRDefault="00CD5828" w:rsidP="00CD5828">
      <w:pPr>
        <w:jc w:val="both"/>
      </w:pPr>
    </w:p>
    <w:p w:rsidR="00D377F6" w:rsidRDefault="00D377F6" w:rsidP="00CD5828">
      <w:pPr>
        <w:jc w:val="both"/>
      </w:pPr>
    </w:p>
    <w:p w:rsidR="00CD5828" w:rsidRPr="00C02092" w:rsidRDefault="00CD5828" w:rsidP="00CD5828">
      <w:pPr>
        <w:pStyle w:val="SCCSystemYear"/>
        <w:jc w:val="both"/>
      </w:pPr>
      <w:r>
        <w:t>2014 SCC</w:t>
      </w:r>
      <w:r w:rsidR="00A14F8F">
        <w:t xml:space="preserve"> </w:t>
      </w:r>
      <w:r w:rsidR="008E65C8">
        <w:t>64</w:t>
      </w:r>
    </w:p>
    <w:p w:rsidR="00CD5828" w:rsidRDefault="00CD5828" w:rsidP="00CD5828">
      <w:pPr>
        <w:jc w:val="both"/>
      </w:pPr>
    </w:p>
    <w:p w:rsidR="00D377F6" w:rsidRDefault="00D377F6" w:rsidP="00CD5828">
      <w:pPr>
        <w:jc w:val="both"/>
      </w:pPr>
    </w:p>
    <w:p w:rsidR="00CD5828" w:rsidRDefault="00CD5828" w:rsidP="00CD5828">
      <w:pPr>
        <w:jc w:val="both"/>
      </w:pPr>
      <w:r w:rsidRPr="001426A9">
        <w:t xml:space="preserve">File No.:  </w:t>
      </w:r>
      <w:r>
        <w:t>35</w:t>
      </w:r>
      <w:r w:rsidR="00414F4F">
        <w:t>690</w:t>
      </w:r>
      <w:r w:rsidRPr="001426A9">
        <w:t>.</w:t>
      </w:r>
    </w:p>
    <w:p w:rsidR="00CD5828" w:rsidRDefault="00CD5828" w:rsidP="00CD5828">
      <w:pPr>
        <w:jc w:val="both"/>
      </w:pPr>
    </w:p>
    <w:p w:rsidR="00D377F6" w:rsidRDefault="00D377F6" w:rsidP="00CD5828">
      <w:pPr>
        <w:jc w:val="both"/>
      </w:pPr>
    </w:p>
    <w:p w:rsidR="00CD5828" w:rsidRDefault="00CD5828" w:rsidP="00CD5828">
      <w:pPr>
        <w:jc w:val="both"/>
      </w:pPr>
      <w:r>
        <w:t xml:space="preserve">2014:  </w:t>
      </w:r>
      <w:r w:rsidR="00414F4F">
        <w:t>October 16</w:t>
      </w:r>
      <w:r w:rsidRPr="001426A9">
        <w:t>.</w:t>
      </w:r>
    </w:p>
    <w:p w:rsidR="00CD5828" w:rsidRDefault="00CD5828" w:rsidP="00CD5828">
      <w:pPr>
        <w:jc w:val="both"/>
      </w:pPr>
    </w:p>
    <w:p w:rsidR="00D377F6" w:rsidRDefault="00D377F6" w:rsidP="00CD5828">
      <w:pPr>
        <w:jc w:val="both"/>
      </w:pPr>
    </w:p>
    <w:p w:rsidR="00CD5828" w:rsidRDefault="00CD5828" w:rsidP="00CD5828">
      <w:pPr>
        <w:jc w:val="both"/>
      </w:pPr>
      <w:r w:rsidRPr="001426A9">
        <w:t xml:space="preserve">Present:  </w:t>
      </w:r>
      <w:proofErr w:type="spellStart"/>
      <w:r>
        <w:t>Abella</w:t>
      </w:r>
      <w:proofErr w:type="spellEnd"/>
      <w:r>
        <w:t xml:space="preserve">, Cromwell, </w:t>
      </w:r>
      <w:proofErr w:type="spellStart"/>
      <w:r>
        <w:t>Moldaver</w:t>
      </w:r>
      <w:proofErr w:type="spellEnd"/>
      <w:r>
        <w:t xml:space="preserve">, </w:t>
      </w:r>
      <w:r w:rsidR="00426C80">
        <w:t xml:space="preserve">Wagner </w:t>
      </w:r>
      <w:r>
        <w:t xml:space="preserve">and </w:t>
      </w:r>
      <w:proofErr w:type="spellStart"/>
      <w:r w:rsidR="00242082">
        <w:t>Gascon</w:t>
      </w:r>
      <w:proofErr w:type="spellEnd"/>
      <w:r>
        <w:t> JJ.</w:t>
      </w:r>
    </w:p>
    <w:p w:rsidR="00CD5828" w:rsidRDefault="00CD5828" w:rsidP="00CD5828">
      <w:pPr>
        <w:jc w:val="both"/>
      </w:pPr>
    </w:p>
    <w:p w:rsidR="00D377F6" w:rsidRDefault="00D377F6" w:rsidP="00CD5828">
      <w:pPr>
        <w:pStyle w:val="SCCLowerCourtNameLowercase"/>
      </w:pPr>
    </w:p>
    <w:p w:rsidR="00CD5828" w:rsidRPr="001C779F" w:rsidRDefault="00CD5828" w:rsidP="00CD5828">
      <w:pPr>
        <w:pStyle w:val="SCCLowerCourtNameLowercase"/>
      </w:pPr>
      <w:r>
        <w:t xml:space="preserve">on appeal from the court of appeal for </w:t>
      </w:r>
      <w:r w:rsidR="0032219E">
        <w:t>ontario</w:t>
      </w:r>
    </w:p>
    <w:p w:rsidR="00CD5828" w:rsidRPr="001426A9" w:rsidRDefault="00CD5828" w:rsidP="00CD5828">
      <w:pPr>
        <w:pStyle w:val="SCCNormalDoubleSpacing"/>
      </w:pPr>
    </w:p>
    <w:p w:rsidR="00CD5828" w:rsidRPr="001124EB" w:rsidRDefault="00CD5828" w:rsidP="00CD5828">
      <w:pPr>
        <w:pStyle w:val="SCCNormalDoubleSpacing"/>
        <w:rPr>
          <w:i/>
        </w:rPr>
      </w:pPr>
      <w:r w:rsidRPr="001124EB">
        <w:rPr>
          <w:i/>
        </w:rPr>
        <w:tab/>
      </w:r>
      <w:r w:rsidR="001E2C2A">
        <w:rPr>
          <w:i/>
        </w:rPr>
        <w:t xml:space="preserve">Criminal law </w:t>
      </w:r>
      <w:r w:rsidR="00624128" w:rsidRPr="00D377F6">
        <w:rPr>
          <w:lang w:val="en-US"/>
        </w:rPr>
        <w:t xml:space="preserve">― </w:t>
      </w:r>
      <w:r w:rsidR="001E2C2A">
        <w:rPr>
          <w:i/>
        </w:rPr>
        <w:t xml:space="preserve">Defences </w:t>
      </w:r>
      <w:r w:rsidR="00624128" w:rsidRPr="00D377F6">
        <w:rPr>
          <w:lang w:val="en-US"/>
        </w:rPr>
        <w:t xml:space="preserve">― </w:t>
      </w:r>
      <w:r w:rsidR="001E2C2A">
        <w:rPr>
          <w:i/>
        </w:rPr>
        <w:t xml:space="preserve">Provocation </w:t>
      </w:r>
      <w:r w:rsidR="00624128" w:rsidRPr="00D377F6">
        <w:rPr>
          <w:lang w:val="en-US"/>
        </w:rPr>
        <w:t xml:space="preserve">― </w:t>
      </w:r>
      <w:r w:rsidR="001E2C2A">
        <w:rPr>
          <w:i/>
        </w:rPr>
        <w:t xml:space="preserve">Charge to jury </w:t>
      </w:r>
      <w:r w:rsidR="00624128" w:rsidRPr="00D377F6">
        <w:rPr>
          <w:lang w:val="en-US"/>
        </w:rPr>
        <w:t xml:space="preserve">― </w:t>
      </w:r>
      <w:proofErr w:type="gramStart"/>
      <w:r w:rsidR="001E2C2A">
        <w:rPr>
          <w:i/>
        </w:rPr>
        <w:t>Accused</w:t>
      </w:r>
      <w:proofErr w:type="gramEnd"/>
      <w:r w:rsidR="001E2C2A">
        <w:rPr>
          <w:i/>
        </w:rPr>
        <w:t xml:space="preserve"> arguing at trial that Crown did not prove requisite intent for murder and that he was provoked </w:t>
      </w:r>
      <w:r w:rsidR="00624128" w:rsidRPr="00D377F6">
        <w:rPr>
          <w:lang w:val="en-US"/>
        </w:rPr>
        <w:t xml:space="preserve">― </w:t>
      </w:r>
      <w:r w:rsidR="001E2C2A">
        <w:rPr>
          <w:i/>
        </w:rPr>
        <w:t>Evidence of provocative conduct relevant for both statutory defence</w:t>
      </w:r>
      <w:r w:rsidR="00A80F2A">
        <w:rPr>
          <w:i/>
        </w:rPr>
        <w:t xml:space="preserve"> and</w:t>
      </w:r>
      <w:r w:rsidR="001E2C2A">
        <w:rPr>
          <w:i/>
        </w:rPr>
        <w:t xml:space="preserve"> </w:t>
      </w:r>
      <w:proofErr w:type="spellStart"/>
      <w:r w:rsidR="00113FC4">
        <w:rPr>
          <w:i/>
        </w:rPr>
        <w:t>mens</w:t>
      </w:r>
      <w:proofErr w:type="spellEnd"/>
      <w:r w:rsidR="00113FC4">
        <w:rPr>
          <w:i/>
        </w:rPr>
        <w:t xml:space="preserve"> </w:t>
      </w:r>
      <w:proofErr w:type="spellStart"/>
      <w:r w:rsidR="00113FC4">
        <w:rPr>
          <w:i/>
        </w:rPr>
        <w:t>rea</w:t>
      </w:r>
      <w:proofErr w:type="spellEnd"/>
      <w:r w:rsidR="001E2C2A">
        <w:rPr>
          <w:i/>
        </w:rPr>
        <w:t xml:space="preserve"> </w:t>
      </w:r>
      <w:r w:rsidR="00624128" w:rsidRPr="00D377F6">
        <w:rPr>
          <w:lang w:val="en-US"/>
        </w:rPr>
        <w:t xml:space="preserve">― </w:t>
      </w:r>
      <w:r w:rsidR="001E2C2A">
        <w:rPr>
          <w:i/>
        </w:rPr>
        <w:t>Misdirection by trial judge j</w:t>
      </w:r>
      <w:r w:rsidR="00113FC4">
        <w:rPr>
          <w:i/>
        </w:rPr>
        <w:t>ustified order for new trial.</w:t>
      </w:r>
    </w:p>
    <w:p w:rsidR="00CD5828" w:rsidRDefault="00CD5828" w:rsidP="00CD5828">
      <w:pPr>
        <w:pStyle w:val="SCCNormalDoubleSpacing"/>
      </w:pPr>
    </w:p>
    <w:p w:rsidR="00C158E4" w:rsidRDefault="00C158E4" w:rsidP="00426C80">
      <w:pPr>
        <w:pStyle w:val="SCCNormalDoubleSpacing"/>
        <w:spacing w:after="480" w:line="240" w:lineRule="auto"/>
      </w:pPr>
      <w:r w:rsidRPr="00314E01">
        <w:rPr>
          <w:b/>
        </w:rPr>
        <w:t>Statutes and Regulations Cite</w:t>
      </w:r>
      <w:r>
        <w:rPr>
          <w:b/>
        </w:rPr>
        <w:t>d</w:t>
      </w:r>
    </w:p>
    <w:p w:rsidR="00C158E4" w:rsidRPr="00D377F6" w:rsidRDefault="00C158E4" w:rsidP="00CD5828">
      <w:pPr>
        <w:pStyle w:val="SCCNormalDoubleSpacing"/>
        <w:rPr>
          <w:lang w:val="en-US"/>
        </w:rPr>
      </w:pPr>
      <w:r w:rsidRPr="00D377F6">
        <w:rPr>
          <w:i/>
          <w:lang w:val="en-US"/>
        </w:rPr>
        <w:t>Criminal Code</w:t>
      </w:r>
      <w:r w:rsidRPr="00D377F6">
        <w:rPr>
          <w:lang w:val="en-US"/>
        </w:rPr>
        <w:t xml:space="preserve">, R.S.C. </w:t>
      </w:r>
      <w:r w:rsidR="00FB6C0B" w:rsidRPr="00D377F6">
        <w:rPr>
          <w:lang w:val="en-US"/>
        </w:rPr>
        <w:t>1985, c. C-46, s. 232.</w:t>
      </w:r>
    </w:p>
    <w:p w:rsidR="00C158E4" w:rsidRPr="00D377F6" w:rsidRDefault="00C158E4" w:rsidP="00CD5828">
      <w:pPr>
        <w:pStyle w:val="SCCNormalDoubleSpacing"/>
        <w:rPr>
          <w:lang w:val="en-US"/>
        </w:rPr>
      </w:pPr>
    </w:p>
    <w:p w:rsidR="00CD5828" w:rsidRDefault="00CD5828" w:rsidP="00CD5828">
      <w:pPr>
        <w:pStyle w:val="SCCNormalDoubleSpacing"/>
      </w:pPr>
      <w:r w:rsidRPr="00D377F6">
        <w:rPr>
          <w:lang w:val="en-US"/>
        </w:rPr>
        <w:tab/>
      </w:r>
      <w:r w:rsidRPr="001426A9">
        <w:t xml:space="preserve">APPEAL from a judgment of the </w:t>
      </w:r>
      <w:r w:rsidR="002C0ECC">
        <w:t>Ontario</w:t>
      </w:r>
      <w:r>
        <w:t xml:space="preserve"> Court of Appeal (</w:t>
      </w:r>
      <w:r w:rsidR="00834653">
        <w:t xml:space="preserve">Doherty, </w:t>
      </w:r>
      <w:proofErr w:type="spellStart"/>
      <w:r w:rsidR="00834653">
        <w:t>Rouleau</w:t>
      </w:r>
      <w:proofErr w:type="spellEnd"/>
      <w:r w:rsidR="00834653">
        <w:t xml:space="preserve"> and </w:t>
      </w:r>
      <w:proofErr w:type="spellStart"/>
      <w:r w:rsidR="00834653">
        <w:t>Lauwers</w:t>
      </w:r>
      <w:proofErr w:type="spellEnd"/>
      <w:r w:rsidR="00834653">
        <w:t xml:space="preserve"> JJ.A.</w:t>
      </w:r>
      <w:r>
        <w:t xml:space="preserve">), 2013 </w:t>
      </w:r>
      <w:r w:rsidR="00834653">
        <w:t>ONCA 791</w:t>
      </w:r>
      <w:r>
        <w:t xml:space="preserve">, </w:t>
      </w:r>
      <w:r w:rsidR="00834653">
        <w:t>314 O.A.C. 113, 305</w:t>
      </w:r>
      <w:r>
        <w:t xml:space="preserve"> C.C.C. (3d) </w:t>
      </w:r>
      <w:r w:rsidR="00834653">
        <w:t>240</w:t>
      </w:r>
      <w:r>
        <w:t xml:space="preserve">, </w:t>
      </w:r>
      <w:r w:rsidR="00834653">
        <w:t xml:space="preserve">[2013] O.J. No. 5987 </w:t>
      </w:r>
      <w:r>
        <w:t xml:space="preserve">(QL), 2013 </w:t>
      </w:r>
      <w:proofErr w:type="spellStart"/>
      <w:r>
        <w:t>Carswell</w:t>
      </w:r>
      <w:r w:rsidR="00834653">
        <w:t>Ont</w:t>
      </w:r>
      <w:proofErr w:type="spellEnd"/>
      <w:r w:rsidR="00834653">
        <w:t xml:space="preserve"> </w:t>
      </w:r>
      <w:r>
        <w:t>1</w:t>
      </w:r>
      <w:r w:rsidR="00834653">
        <w:t>811</w:t>
      </w:r>
      <w:r w:rsidR="00834653" w:rsidRPr="00624128">
        <w:t>2</w:t>
      </w:r>
      <w:r w:rsidRPr="00624128">
        <w:t xml:space="preserve">, setting aside the </w:t>
      </w:r>
      <w:proofErr w:type="spellStart"/>
      <w:r w:rsidRPr="00624128">
        <w:t>accused’s</w:t>
      </w:r>
      <w:proofErr w:type="spellEnd"/>
      <w:r w:rsidRPr="00624128">
        <w:t xml:space="preserve"> conviction for second degree murder and ordering a new trial.  A</w:t>
      </w:r>
      <w:r>
        <w:t xml:space="preserve">ppeal </w:t>
      </w:r>
      <w:r w:rsidR="00296FA1">
        <w:t>dismissed</w:t>
      </w:r>
      <w:r>
        <w:t>.</w:t>
      </w:r>
    </w:p>
    <w:p w:rsidR="00CD5828" w:rsidRDefault="00CD5828" w:rsidP="00CD5828">
      <w:pPr>
        <w:pStyle w:val="SCCNormalDoubleSpacing"/>
      </w:pPr>
    </w:p>
    <w:p w:rsidR="00CD5828" w:rsidRDefault="00CD5828" w:rsidP="00CD5828">
      <w:pPr>
        <w:pStyle w:val="SCCNormalDoubleSpacing"/>
      </w:pPr>
      <w:r>
        <w:rPr>
          <w:rStyle w:val="SCCCounselNameChar"/>
        </w:rPr>
        <w:tab/>
      </w:r>
      <w:proofErr w:type="gramStart"/>
      <w:r w:rsidR="00D104AB">
        <w:rPr>
          <w:rStyle w:val="SCCCounselNameChar"/>
        </w:rPr>
        <w:t xml:space="preserve">Benita </w:t>
      </w:r>
      <w:proofErr w:type="spellStart"/>
      <w:r w:rsidR="00D104AB">
        <w:rPr>
          <w:rStyle w:val="SCCCounselNameChar"/>
        </w:rPr>
        <w:t>Wassenaar</w:t>
      </w:r>
      <w:proofErr w:type="spellEnd"/>
      <w:r>
        <w:rPr>
          <w:rStyle w:val="SCCCounselPartyRoleChar"/>
        </w:rPr>
        <w:t>, for the appellant.</w:t>
      </w:r>
      <w:proofErr w:type="gramEnd"/>
    </w:p>
    <w:p w:rsidR="00CD5828" w:rsidRDefault="00CD5828" w:rsidP="00CD5828">
      <w:pPr>
        <w:pStyle w:val="SCCNormalDoubleSpacing"/>
      </w:pPr>
    </w:p>
    <w:p w:rsidR="00CD5828" w:rsidRDefault="00CD5828" w:rsidP="00CD5828">
      <w:pPr>
        <w:pStyle w:val="SCCNormalDoubleSpacing"/>
      </w:pPr>
      <w:r>
        <w:rPr>
          <w:rStyle w:val="SCCCounselNameChar"/>
        </w:rPr>
        <w:tab/>
      </w:r>
      <w:proofErr w:type="gramStart"/>
      <w:r w:rsidR="00D104AB">
        <w:rPr>
          <w:rStyle w:val="SCCCounselNameChar"/>
        </w:rPr>
        <w:t xml:space="preserve">Howard L. </w:t>
      </w:r>
      <w:proofErr w:type="spellStart"/>
      <w:r w:rsidR="00D104AB">
        <w:rPr>
          <w:rStyle w:val="SCCCounselNameChar"/>
        </w:rPr>
        <w:t>Krongold</w:t>
      </w:r>
      <w:proofErr w:type="spellEnd"/>
      <w:r>
        <w:rPr>
          <w:rStyle w:val="SCCCounselPartyRoleChar"/>
        </w:rPr>
        <w:t>, for the respondent.</w:t>
      </w:r>
      <w:proofErr w:type="gramEnd"/>
    </w:p>
    <w:p w:rsidR="00CD5828" w:rsidRDefault="00CD5828" w:rsidP="00CD5828">
      <w:pPr>
        <w:pStyle w:val="SCCNormalDoubleSpacing"/>
      </w:pPr>
    </w:p>
    <w:p w:rsidR="00CD5828" w:rsidRDefault="00CD5828" w:rsidP="00CD5828">
      <w:pPr>
        <w:pStyle w:val="SCCNormalDoubleSpacing"/>
      </w:pPr>
      <w:r>
        <w:tab/>
        <w:t>The judgment of the Court was delivered orally by</w:t>
      </w:r>
    </w:p>
    <w:p w:rsidR="00C158E4" w:rsidRPr="004F058F" w:rsidRDefault="00C158E4" w:rsidP="00C158E4">
      <w:pPr>
        <w:pStyle w:val="ParaNoNdepar-AltN"/>
        <w:rPr>
          <w:rFonts w:cs="Times New Roman"/>
          <w:lang w:val="en-US"/>
        </w:rPr>
      </w:pPr>
      <w:r w:rsidRPr="004F058F">
        <w:rPr>
          <w:rFonts w:cs="Times New Roman"/>
          <w:smallCaps/>
        </w:rPr>
        <w:lastRenderedPageBreak/>
        <w:t>Cromwell J.</w:t>
      </w:r>
      <w:r w:rsidRPr="004F058F">
        <w:rPr>
          <w:rFonts w:cs="Times New Roman"/>
        </w:rPr>
        <w:t xml:space="preserve"> ― </w:t>
      </w:r>
      <w:r w:rsidRPr="004F058F">
        <w:rPr>
          <w:rFonts w:cs="Times New Roman"/>
          <w:lang w:val="en-US"/>
        </w:rPr>
        <w:t xml:space="preserve">This Crown </w:t>
      </w:r>
      <w:r w:rsidRPr="00C158E4">
        <w:rPr>
          <w:rFonts w:cs="Times New Roman"/>
          <w:lang w:val="en-US"/>
        </w:rPr>
        <w:t>appeal</w:t>
      </w:r>
      <w:r w:rsidRPr="004F058F">
        <w:rPr>
          <w:rFonts w:cs="Times New Roman"/>
          <w:lang w:val="en-US"/>
        </w:rPr>
        <w:t xml:space="preserve"> comes to us as of right based on the dissent of </w:t>
      </w:r>
      <w:proofErr w:type="spellStart"/>
      <w:r w:rsidRPr="004F058F">
        <w:rPr>
          <w:rFonts w:cs="Times New Roman"/>
          <w:lang w:val="en-US"/>
        </w:rPr>
        <w:t>Rouleau</w:t>
      </w:r>
      <w:proofErr w:type="spellEnd"/>
      <w:r w:rsidRPr="004F058F">
        <w:rPr>
          <w:rFonts w:cs="Times New Roman"/>
          <w:lang w:val="en-US"/>
        </w:rPr>
        <w:t xml:space="preserve"> J.A. in the Court of Appeal for Ontario. </w:t>
      </w:r>
    </w:p>
    <w:p w:rsidR="00C158E4" w:rsidRPr="004F058F" w:rsidRDefault="00C158E4" w:rsidP="00C158E4">
      <w:pPr>
        <w:pStyle w:val="ParaNoNdepar-AltN"/>
        <w:rPr>
          <w:rFonts w:cs="Times New Roman"/>
          <w:lang w:val="en-US"/>
        </w:rPr>
      </w:pPr>
      <w:r w:rsidRPr="004F058F">
        <w:rPr>
          <w:rFonts w:cs="Times New Roman"/>
          <w:lang w:val="en-US"/>
        </w:rPr>
        <w:t xml:space="preserve">We agree with </w:t>
      </w:r>
      <w:r w:rsidRPr="00C158E4">
        <w:rPr>
          <w:rFonts w:cs="Times New Roman"/>
          <w:lang w:val="en-US"/>
        </w:rPr>
        <w:t>Doherty</w:t>
      </w:r>
      <w:r w:rsidRPr="004F058F">
        <w:rPr>
          <w:rFonts w:cs="Times New Roman"/>
          <w:lang w:val="en-US"/>
        </w:rPr>
        <w:t xml:space="preserve"> J.A., </w:t>
      </w:r>
      <w:r w:rsidR="00563B40">
        <w:rPr>
          <w:rFonts w:cs="Times New Roman"/>
          <w:lang w:val="en-US"/>
        </w:rPr>
        <w:t>writing for a majority of that c</w:t>
      </w:r>
      <w:r w:rsidRPr="004F058F">
        <w:rPr>
          <w:rFonts w:cs="Times New Roman"/>
          <w:lang w:val="en-US"/>
        </w:rPr>
        <w:t xml:space="preserve">ourt, that the trial judge’s instructions may well have led the jury to understand that the deceased’s allegedly provocative acts and the respondent’s reaction to them had relevance to the </w:t>
      </w:r>
      <w:proofErr w:type="spellStart"/>
      <w:r w:rsidRPr="004F058F">
        <w:rPr>
          <w:rFonts w:cs="Times New Roman"/>
          <w:i/>
          <w:lang w:val="en-US"/>
        </w:rPr>
        <w:t>mens</w:t>
      </w:r>
      <w:proofErr w:type="spellEnd"/>
      <w:r w:rsidRPr="004F058F">
        <w:rPr>
          <w:rFonts w:cs="Times New Roman"/>
          <w:i/>
          <w:lang w:val="en-US"/>
        </w:rPr>
        <w:t xml:space="preserve"> </w:t>
      </w:r>
      <w:proofErr w:type="spellStart"/>
      <w:r w:rsidRPr="004F058F">
        <w:rPr>
          <w:rFonts w:cs="Times New Roman"/>
          <w:i/>
          <w:lang w:val="en-US"/>
        </w:rPr>
        <w:t>rea</w:t>
      </w:r>
      <w:proofErr w:type="spellEnd"/>
      <w:r w:rsidRPr="004F058F">
        <w:rPr>
          <w:rFonts w:cs="Times New Roman"/>
          <w:lang w:val="en-US"/>
        </w:rPr>
        <w:t xml:space="preserve"> issue only if they met the narrow legal definition of provocation in s. 232 of the </w:t>
      </w:r>
      <w:r w:rsidRPr="004F058F">
        <w:rPr>
          <w:rFonts w:cs="Times New Roman"/>
          <w:i/>
          <w:lang w:val="en-US"/>
        </w:rPr>
        <w:t>Criminal Code</w:t>
      </w:r>
      <w:r w:rsidR="008C76F3">
        <w:rPr>
          <w:rFonts w:cs="Times New Roman"/>
          <w:lang w:val="en-US"/>
        </w:rPr>
        <w:t>, R.S.C. 1985, c. C-46,</w:t>
      </w:r>
      <w:r w:rsidRPr="004F058F">
        <w:rPr>
          <w:rFonts w:cs="Times New Roman"/>
          <w:lang w:val="en-US"/>
        </w:rPr>
        <w:t xml:space="preserve"> and that this constituted misdirection.</w:t>
      </w:r>
    </w:p>
    <w:p w:rsidR="00C158E4" w:rsidRPr="004F058F" w:rsidRDefault="00C158E4" w:rsidP="00C158E4">
      <w:pPr>
        <w:pStyle w:val="ParaNoNdepar-AltN"/>
        <w:rPr>
          <w:rFonts w:cs="Times New Roman"/>
          <w:lang w:val="en-US"/>
        </w:rPr>
      </w:pPr>
      <w:r w:rsidRPr="004F058F">
        <w:rPr>
          <w:rFonts w:cs="Times New Roman"/>
          <w:lang w:val="en-US"/>
        </w:rPr>
        <w:t>We therefore dismiss the appeal and affirm the Court of Appeal’s order for a new trial.</w:t>
      </w:r>
    </w:p>
    <w:p w:rsidR="00CD5828" w:rsidRDefault="00CD5828" w:rsidP="00CD5828">
      <w:pPr>
        <w:pStyle w:val="SCCNormalDoubleSpacing"/>
      </w:pPr>
      <w:r w:rsidRPr="001426A9">
        <w:tab/>
      </w:r>
      <w:proofErr w:type="gramStart"/>
      <w:r>
        <w:rPr>
          <w:i/>
        </w:rPr>
        <w:t>Judgment accordingly.</w:t>
      </w:r>
      <w:proofErr w:type="gramEnd"/>
    </w:p>
    <w:p w:rsidR="00CD5828" w:rsidRPr="001426A9" w:rsidRDefault="00CD5828" w:rsidP="00CD5828">
      <w:pPr>
        <w:pStyle w:val="SCCNormalDoubleSpacing"/>
      </w:pPr>
    </w:p>
    <w:p w:rsidR="00CD5828" w:rsidRDefault="00CD5828" w:rsidP="00CD5828">
      <w:pPr>
        <w:pStyle w:val="SCCLawFirm"/>
      </w:pPr>
      <w:r>
        <w:tab/>
        <w:t xml:space="preserve">Solicitor for the appellant:  Attorney General of </w:t>
      </w:r>
      <w:r w:rsidR="00D104AB">
        <w:t>Ontario</w:t>
      </w:r>
      <w:r>
        <w:t xml:space="preserve">, </w:t>
      </w:r>
      <w:r w:rsidR="00F02812">
        <w:t>Toronto</w:t>
      </w:r>
      <w:r>
        <w:t>.</w:t>
      </w:r>
    </w:p>
    <w:p w:rsidR="00CD5828" w:rsidRDefault="00CD5828" w:rsidP="00CD5828">
      <w:pPr>
        <w:pStyle w:val="SCCLawFirm"/>
      </w:pPr>
    </w:p>
    <w:p w:rsidR="00CD5828" w:rsidRDefault="00CD5828" w:rsidP="00CD5828">
      <w:pPr>
        <w:pStyle w:val="SCCLawFirm"/>
      </w:pPr>
      <w:r>
        <w:tab/>
        <w:t xml:space="preserve">Solicitors for the respondent:  </w:t>
      </w:r>
      <w:proofErr w:type="spellStart"/>
      <w:r w:rsidR="00B728D5">
        <w:t>Abergel</w:t>
      </w:r>
      <w:proofErr w:type="spellEnd"/>
      <w:r w:rsidR="00B728D5">
        <w:t xml:space="preserve"> Goldstein &amp; Partners</w:t>
      </w:r>
      <w:r>
        <w:t xml:space="preserve">, </w:t>
      </w:r>
      <w:r w:rsidR="00B728D5">
        <w:t>Ottawa</w:t>
      </w:r>
      <w:r>
        <w:t>.</w:t>
      </w:r>
    </w:p>
    <w:p w:rsidR="00E005E9" w:rsidRDefault="00E005E9"/>
    <w:sectPr w:rsidR="00E005E9" w:rsidSect="002C0E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12021FF4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CD5828"/>
    <w:rsid w:val="00000E1C"/>
    <w:rsid w:val="00010080"/>
    <w:rsid w:val="00011371"/>
    <w:rsid w:val="00011C46"/>
    <w:rsid w:val="00013F1C"/>
    <w:rsid w:val="00015F6D"/>
    <w:rsid w:val="00017094"/>
    <w:rsid w:val="00032600"/>
    <w:rsid w:val="00032A3E"/>
    <w:rsid w:val="000366C8"/>
    <w:rsid w:val="00036FBC"/>
    <w:rsid w:val="00040D63"/>
    <w:rsid w:val="0004737D"/>
    <w:rsid w:val="00047BED"/>
    <w:rsid w:val="000518E8"/>
    <w:rsid w:val="000520DD"/>
    <w:rsid w:val="00053DC8"/>
    <w:rsid w:val="000579B2"/>
    <w:rsid w:val="000614F0"/>
    <w:rsid w:val="000724A8"/>
    <w:rsid w:val="00073921"/>
    <w:rsid w:val="000750F5"/>
    <w:rsid w:val="000816A4"/>
    <w:rsid w:val="00083A63"/>
    <w:rsid w:val="00087ABC"/>
    <w:rsid w:val="000952C5"/>
    <w:rsid w:val="00095A2E"/>
    <w:rsid w:val="000A69D0"/>
    <w:rsid w:val="000B0046"/>
    <w:rsid w:val="000B3033"/>
    <w:rsid w:val="000B54F7"/>
    <w:rsid w:val="000B625B"/>
    <w:rsid w:val="000D0302"/>
    <w:rsid w:val="000D2356"/>
    <w:rsid w:val="000D3034"/>
    <w:rsid w:val="000D57F5"/>
    <w:rsid w:val="000E3543"/>
    <w:rsid w:val="000F0AFE"/>
    <w:rsid w:val="000F0C3E"/>
    <w:rsid w:val="000F330E"/>
    <w:rsid w:val="000F3B8D"/>
    <w:rsid w:val="000F4124"/>
    <w:rsid w:val="000F695E"/>
    <w:rsid w:val="0010174D"/>
    <w:rsid w:val="00102052"/>
    <w:rsid w:val="00103879"/>
    <w:rsid w:val="001122B2"/>
    <w:rsid w:val="00113FC4"/>
    <w:rsid w:val="00115C4C"/>
    <w:rsid w:val="00116D00"/>
    <w:rsid w:val="00116FCF"/>
    <w:rsid w:val="00125351"/>
    <w:rsid w:val="0013481D"/>
    <w:rsid w:val="001355B2"/>
    <w:rsid w:val="001355D0"/>
    <w:rsid w:val="00137C6B"/>
    <w:rsid w:val="00142BB0"/>
    <w:rsid w:val="00145655"/>
    <w:rsid w:val="00147A8C"/>
    <w:rsid w:val="00150E8F"/>
    <w:rsid w:val="001511E2"/>
    <w:rsid w:val="001576C5"/>
    <w:rsid w:val="00157E8B"/>
    <w:rsid w:val="00160E84"/>
    <w:rsid w:val="00165A08"/>
    <w:rsid w:val="001678A2"/>
    <w:rsid w:val="00173CCE"/>
    <w:rsid w:val="00174EF2"/>
    <w:rsid w:val="00180FAE"/>
    <w:rsid w:val="00183AB5"/>
    <w:rsid w:val="00190376"/>
    <w:rsid w:val="00190422"/>
    <w:rsid w:val="001A0567"/>
    <w:rsid w:val="001A104F"/>
    <w:rsid w:val="001A5BA6"/>
    <w:rsid w:val="001A7D84"/>
    <w:rsid w:val="001B0310"/>
    <w:rsid w:val="001B2ABF"/>
    <w:rsid w:val="001B31ED"/>
    <w:rsid w:val="001C25DA"/>
    <w:rsid w:val="001C28D4"/>
    <w:rsid w:val="001C3097"/>
    <w:rsid w:val="001C58F9"/>
    <w:rsid w:val="001D02BE"/>
    <w:rsid w:val="001D2625"/>
    <w:rsid w:val="001D27D7"/>
    <w:rsid w:val="001E0D98"/>
    <w:rsid w:val="001E2ADB"/>
    <w:rsid w:val="001E2C2A"/>
    <w:rsid w:val="001E625E"/>
    <w:rsid w:val="001F0621"/>
    <w:rsid w:val="002012C2"/>
    <w:rsid w:val="0020509A"/>
    <w:rsid w:val="00210C59"/>
    <w:rsid w:val="002139BB"/>
    <w:rsid w:val="0021458C"/>
    <w:rsid w:val="00217496"/>
    <w:rsid w:val="00221677"/>
    <w:rsid w:val="00222398"/>
    <w:rsid w:val="00225857"/>
    <w:rsid w:val="002260FF"/>
    <w:rsid w:val="00230459"/>
    <w:rsid w:val="002308F9"/>
    <w:rsid w:val="00234EB1"/>
    <w:rsid w:val="00241BB8"/>
    <w:rsid w:val="00242082"/>
    <w:rsid w:val="00242E70"/>
    <w:rsid w:val="00243822"/>
    <w:rsid w:val="00243C2B"/>
    <w:rsid w:val="00245402"/>
    <w:rsid w:val="00246469"/>
    <w:rsid w:val="00247ECF"/>
    <w:rsid w:val="00251886"/>
    <w:rsid w:val="0025221F"/>
    <w:rsid w:val="00254121"/>
    <w:rsid w:val="00256F50"/>
    <w:rsid w:val="002600A7"/>
    <w:rsid w:val="002610A3"/>
    <w:rsid w:val="002634C5"/>
    <w:rsid w:val="00265E5A"/>
    <w:rsid w:val="00272DED"/>
    <w:rsid w:val="00274C6A"/>
    <w:rsid w:val="00275325"/>
    <w:rsid w:val="002768AE"/>
    <w:rsid w:val="002820B3"/>
    <w:rsid w:val="00282135"/>
    <w:rsid w:val="00286BCA"/>
    <w:rsid w:val="0029248B"/>
    <w:rsid w:val="00292ED2"/>
    <w:rsid w:val="00293A64"/>
    <w:rsid w:val="00295F78"/>
    <w:rsid w:val="00296FA1"/>
    <w:rsid w:val="00297115"/>
    <w:rsid w:val="002A0198"/>
    <w:rsid w:val="002B41E5"/>
    <w:rsid w:val="002B77DB"/>
    <w:rsid w:val="002C0ECC"/>
    <w:rsid w:val="002C118A"/>
    <w:rsid w:val="002C6123"/>
    <w:rsid w:val="002C645F"/>
    <w:rsid w:val="002C6AE9"/>
    <w:rsid w:val="002C6F04"/>
    <w:rsid w:val="002E03D4"/>
    <w:rsid w:val="002E37E4"/>
    <w:rsid w:val="002E4630"/>
    <w:rsid w:val="002E7345"/>
    <w:rsid w:val="002E7CE1"/>
    <w:rsid w:val="00303A1D"/>
    <w:rsid w:val="0030585A"/>
    <w:rsid w:val="00315EDD"/>
    <w:rsid w:val="0032219E"/>
    <w:rsid w:val="00323459"/>
    <w:rsid w:val="00325595"/>
    <w:rsid w:val="00331CA2"/>
    <w:rsid w:val="003329BF"/>
    <w:rsid w:val="003341EE"/>
    <w:rsid w:val="00337DC3"/>
    <w:rsid w:val="00341D2F"/>
    <w:rsid w:val="00343DC0"/>
    <w:rsid w:val="00352090"/>
    <w:rsid w:val="00361CDA"/>
    <w:rsid w:val="00362D88"/>
    <w:rsid w:val="00367D99"/>
    <w:rsid w:val="00370F3D"/>
    <w:rsid w:val="003730D0"/>
    <w:rsid w:val="003731FC"/>
    <w:rsid w:val="00381C38"/>
    <w:rsid w:val="0038377D"/>
    <w:rsid w:val="00386975"/>
    <w:rsid w:val="00387120"/>
    <w:rsid w:val="00393B08"/>
    <w:rsid w:val="00393D37"/>
    <w:rsid w:val="00394DEC"/>
    <w:rsid w:val="00396BEA"/>
    <w:rsid w:val="003A031B"/>
    <w:rsid w:val="003B3F96"/>
    <w:rsid w:val="003C0894"/>
    <w:rsid w:val="003C2F3E"/>
    <w:rsid w:val="003C39D4"/>
    <w:rsid w:val="003C4FB0"/>
    <w:rsid w:val="003D13F6"/>
    <w:rsid w:val="003D3DFA"/>
    <w:rsid w:val="003D4040"/>
    <w:rsid w:val="003D4523"/>
    <w:rsid w:val="003D4D8D"/>
    <w:rsid w:val="003E1AB8"/>
    <w:rsid w:val="003E539C"/>
    <w:rsid w:val="003E773E"/>
    <w:rsid w:val="003E7C73"/>
    <w:rsid w:val="003F02C5"/>
    <w:rsid w:val="003F05DD"/>
    <w:rsid w:val="003F1B95"/>
    <w:rsid w:val="003F4C92"/>
    <w:rsid w:val="00400CA7"/>
    <w:rsid w:val="00403290"/>
    <w:rsid w:val="00403F4E"/>
    <w:rsid w:val="004048B5"/>
    <w:rsid w:val="00406986"/>
    <w:rsid w:val="00411876"/>
    <w:rsid w:val="00414829"/>
    <w:rsid w:val="00414F4F"/>
    <w:rsid w:val="00425992"/>
    <w:rsid w:val="00426C80"/>
    <w:rsid w:val="00427074"/>
    <w:rsid w:val="00431207"/>
    <w:rsid w:val="00433028"/>
    <w:rsid w:val="0043463B"/>
    <w:rsid w:val="00434C0D"/>
    <w:rsid w:val="0043528E"/>
    <w:rsid w:val="0044162C"/>
    <w:rsid w:val="00441A0A"/>
    <w:rsid w:val="00442F96"/>
    <w:rsid w:val="0044535A"/>
    <w:rsid w:val="00445811"/>
    <w:rsid w:val="00454B53"/>
    <w:rsid w:val="00455C02"/>
    <w:rsid w:val="004601E8"/>
    <w:rsid w:val="00460465"/>
    <w:rsid w:val="004624BF"/>
    <w:rsid w:val="00464F12"/>
    <w:rsid w:val="00466D0D"/>
    <w:rsid w:val="00471418"/>
    <w:rsid w:val="00472AAD"/>
    <w:rsid w:val="00475EA5"/>
    <w:rsid w:val="004762ED"/>
    <w:rsid w:val="0047768F"/>
    <w:rsid w:val="00480C18"/>
    <w:rsid w:val="00483027"/>
    <w:rsid w:val="00494390"/>
    <w:rsid w:val="00497AB8"/>
    <w:rsid w:val="004A048D"/>
    <w:rsid w:val="004A2198"/>
    <w:rsid w:val="004A289F"/>
    <w:rsid w:val="004A44F0"/>
    <w:rsid w:val="004B469A"/>
    <w:rsid w:val="004C69F1"/>
    <w:rsid w:val="004D22BD"/>
    <w:rsid w:val="004D4C6A"/>
    <w:rsid w:val="004E16AA"/>
    <w:rsid w:val="004F60E6"/>
    <w:rsid w:val="004F6C4F"/>
    <w:rsid w:val="00500936"/>
    <w:rsid w:val="00502A82"/>
    <w:rsid w:val="00503630"/>
    <w:rsid w:val="005107F8"/>
    <w:rsid w:val="00515C41"/>
    <w:rsid w:val="00516227"/>
    <w:rsid w:val="00517C6F"/>
    <w:rsid w:val="005220EB"/>
    <w:rsid w:val="0052526D"/>
    <w:rsid w:val="005268ED"/>
    <w:rsid w:val="00531778"/>
    <w:rsid w:val="0053271E"/>
    <w:rsid w:val="00532C67"/>
    <w:rsid w:val="00532E9A"/>
    <w:rsid w:val="0054256C"/>
    <w:rsid w:val="005469A0"/>
    <w:rsid w:val="00550AEF"/>
    <w:rsid w:val="0055201F"/>
    <w:rsid w:val="0055276C"/>
    <w:rsid w:val="0055292C"/>
    <w:rsid w:val="00553462"/>
    <w:rsid w:val="0055613D"/>
    <w:rsid w:val="005564BE"/>
    <w:rsid w:val="00562A35"/>
    <w:rsid w:val="00562B55"/>
    <w:rsid w:val="00563B40"/>
    <w:rsid w:val="00567C0D"/>
    <w:rsid w:val="00582F50"/>
    <w:rsid w:val="00583A1A"/>
    <w:rsid w:val="00585625"/>
    <w:rsid w:val="005951EE"/>
    <w:rsid w:val="00595BCC"/>
    <w:rsid w:val="00596C8C"/>
    <w:rsid w:val="00597BB8"/>
    <w:rsid w:val="005A1AEF"/>
    <w:rsid w:val="005B02F6"/>
    <w:rsid w:val="005B0889"/>
    <w:rsid w:val="005B48D8"/>
    <w:rsid w:val="005B652A"/>
    <w:rsid w:val="005C12F9"/>
    <w:rsid w:val="005C5511"/>
    <w:rsid w:val="005C5B93"/>
    <w:rsid w:val="005C5BAD"/>
    <w:rsid w:val="005C681B"/>
    <w:rsid w:val="005C73DF"/>
    <w:rsid w:val="005C74BC"/>
    <w:rsid w:val="005D217E"/>
    <w:rsid w:val="005D279C"/>
    <w:rsid w:val="005D32D2"/>
    <w:rsid w:val="005E5420"/>
    <w:rsid w:val="005E59AA"/>
    <w:rsid w:val="005E61B0"/>
    <w:rsid w:val="005E66E6"/>
    <w:rsid w:val="005F2DE4"/>
    <w:rsid w:val="005F7259"/>
    <w:rsid w:val="006022EA"/>
    <w:rsid w:val="00603395"/>
    <w:rsid w:val="006104EB"/>
    <w:rsid w:val="006113F6"/>
    <w:rsid w:val="006118DB"/>
    <w:rsid w:val="006155CE"/>
    <w:rsid w:val="0061564F"/>
    <w:rsid w:val="006173C1"/>
    <w:rsid w:val="00622BE7"/>
    <w:rsid w:val="00623E1D"/>
    <w:rsid w:val="00624128"/>
    <w:rsid w:val="00633654"/>
    <w:rsid w:val="00634FD8"/>
    <w:rsid w:val="0064014A"/>
    <w:rsid w:val="00641583"/>
    <w:rsid w:val="00643DDF"/>
    <w:rsid w:val="006470B3"/>
    <w:rsid w:val="006506A7"/>
    <w:rsid w:val="00652DCC"/>
    <w:rsid w:val="006537A6"/>
    <w:rsid w:val="00654C8A"/>
    <w:rsid w:val="006559D8"/>
    <w:rsid w:val="00661F7E"/>
    <w:rsid w:val="0066375F"/>
    <w:rsid w:val="00663D8D"/>
    <w:rsid w:val="00664D36"/>
    <w:rsid w:val="006653E7"/>
    <w:rsid w:val="006672BA"/>
    <w:rsid w:val="00667F9B"/>
    <w:rsid w:val="00672C76"/>
    <w:rsid w:val="00673D25"/>
    <w:rsid w:val="00682E6A"/>
    <w:rsid w:val="0068388B"/>
    <w:rsid w:val="00686BCD"/>
    <w:rsid w:val="0069588E"/>
    <w:rsid w:val="00695DA2"/>
    <w:rsid w:val="00697D41"/>
    <w:rsid w:val="006A111C"/>
    <w:rsid w:val="006A289B"/>
    <w:rsid w:val="006A4151"/>
    <w:rsid w:val="006A41D6"/>
    <w:rsid w:val="006A584F"/>
    <w:rsid w:val="006A739A"/>
    <w:rsid w:val="006B20A1"/>
    <w:rsid w:val="006B29BE"/>
    <w:rsid w:val="006B3695"/>
    <w:rsid w:val="006B5AF5"/>
    <w:rsid w:val="006C4517"/>
    <w:rsid w:val="006C6666"/>
    <w:rsid w:val="006D2438"/>
    <w:rsid w:val="006D3DC6"/>
    <w:rsid w:val="006D40D3"/>
    <w:rsid w:val="006D4E80"/>
    <w:rsid w:val="006E0D55"/>
    <w:rsid w:val="006E1D73"/>
    <w:rsid w:val="006E58E2"/>
    <w:rsid w:val="006E64AA"/>
    <w:rsid w:val="006E76C7"/>
    <w:rsid w:val="006F5EC3"/>
    <w:rsid w:val="006F643E"/>
    <w:rsid w:val="006F6C0C"/>
    <w:rsid w:val="00700FF1"/>
    <w:rsid w:val="007020EC"/>
    <w:rsid w:val="0071141C"/>
    <w:rsid w:val="00711618"/>
    <w:rsid w:val="007153CF"/>
    <w:rsid w:val="0072443B"/>
    <w:rsid w:val="00730566"/>
    <w:rsid w:val="00733960"/>
    <w:rsid w:val="007374BF"/>
    <w:rsid w:val="007410F3"/>
    <w:rsid w:val="00741BEC"/>
    <w:rsid w:val="00741C37"/>
    <w:rsid w:val="0075021C"/>
    <w:rsid w:val="00750F8A"/>
    <w:rsid w:val="00757E4E"/>
    <w:rsid w:val="00760ECD"/>
    <w:rsid w:val="00762743"/>
    <w:rsid w:val="00763C18"/>
    <w:rsid w:val="00765806"/>
    <w:rsid w:val="007659CE"/>
    <w:rsid w:val="00766A2E"/>
    <w:rsid w:val="0076730A"/>
    <w:rsid w:val="00767F17"/>
    <w:rsid w:val="007709A6"/>
    <w:rsid w:val="00772D38"/>
    <w:rsid w:val="0078001C"/>
    <w:rsid w:val="007918F1"/>
    <w:rsid w:val="007929D6"/>
    <w:rsid w:val="007A0D1B"/>
    <w:rsid w:val="007A4C00"/>
    <w:rsid w:val="007A66CE"/>
    <w:rsid w:val="007A72E4"/>
    <w:rsid w:val="007B07AD"/>
    <w:rsid w:val="007B55CF"/>
    <w:rsid w:val="007B5A8E"/>
    <w:rsid w:val="007C0205"/>
    <w:rsid w:val="007C027D"/>
    <w:rsid w:val="007C0634"/>
    <w:rsid w:val="007C4B60"/>
    <w:rsid w:val="007D28B6"/>
    <w:rsid w:val="007D43C3"/>
    <w:rsid w:val="007D5909"/>
    <w:rsid w:val="007D7534"/>
    <w:rsid w:val="007D7973"/>
    <w:rsid w:val="007E4605"/>
    <w:rsid w:val="007E531F"/>
    <w:rsid w:val="007E570F"/>
    <w:rsid w:val="007E5B48"/>
    <w:rsid w:val="007F3451"/>
    <w:rsid w:val="007F49C7"/>
    <w:rsid w:val="007F68ED"/>
    <w:rsid w:val="00800A10"/>
    <w:rsid w:val="008076EA"/>
    <w:rsid w:val="008111D7"/>
    <w:rsid w:val="00814A81"/>
    <w:rsid w:val="00816B8D"/>
    <w:rsid w:val="00825940"/>
    <w:rsid w:val="00827A48"/>
    <w:rsid w:val="008317F8"/>
    <w:rsid w:val="00834653"/>
    <w:rsid w:val="00834B21"/>
    <w:rsid w:val="00846CA3"/>
    <w:rsid w:val="008477F5"/>
    <w:rsid w:val="00850921"/>
    <w:rsid w:val="0085229E"/>
    <w:rsid w:val="008628E3"/>
    <w:rsid w:val="0086323A"/>
    <w:rsid w:val="00870F90"/>
    <w:rsid w:val="00871314"/>
    <w:rsid w:val="008747C9"/>
    <w:rsid w:val="00876E4B"/>
    <w:rsid w:val="00883964"/>
    <w:rsid w:val="00890CBB"/>
    <w:rsid w:val="00891AB7"/>
    <w:rsid w:val="008926BB"/>
    <w:rsid w:val="00893EA4"/>
    <w:rsid w:val="00894CAA"/>
    <w:rsid w:val="008A03B7"/>
    <w:rsid w:val="008A1FE9"/>
    <w:rsid w:val="008A660E"/>
    <w:rsid w:val="008A7B8C"/>
    <w:rsid w:val="008C1957"/>
    <w:rsid w:val="008C76F3"/>
    <w:rsid w:val="008D14C5"/>
    <w:rsid w:val="008D3BA5"/>
    <w:rsid w:val="008D5660"/>
    <w:rsid w:val="008E0DAF"/>
    <w:rsid w:val="008E1178"/>
    <w:rsid w:val="008E53BD"/>
    <w:rsid w:val="008E65C8"/>
    <w:rsid w:val="008E6CDD"/>
    <w:rsid w:val="008E6D14"/>
    <w:rsid w:val="008F026F"/>
    <w:rsid w:val="008F3253"/>
    <w:rsid w:val="008F3A1F"/>
    <w:rsid w:val="008F4245"/>
    <w:rsid w:val="00900F2F"/>
    <w:rsid w:val="009016B4"/>
    <w:rsid w:val="00903705"/>
    <w:rsid w:val="00904FCC"/>
    <w:rsid w:val="00912A37"/>
    <w:rsid w:val="00923F56"/>
    <w:rsid w:val="009263C2"/>
    <w:rsid w:val="00926A72"/>
    <w:rsid w:val="00927FF6"/>
    <w:rsid w:val="0093309D"/>
    <w:rsid w:val="00934586"/>
    <w:rsid w:val="00955D3C"/>
    <w:rsid w:val="0096206F"/>
    <w:rsid w:val="009624C1"/>
    <w:rsid w:val="0096582F"/>
    <w:rsid w:val="009658D0"/>
    <w:rsid w:val="00966957"/>
    <w:rsid w:val="00970907"/>
    <w:rsid w:val="00973C42"/>
    <w:rsid w:val="009778DD"/>
    <w:rsid w:val="00985963"/>
    <w:rsid w:val="00986F2A"/>
    <w:rsid w:val="00991F58"/>
    <w:rsid w:val="009A3EA6"/>
    <w:rsid w:val="009A5AE1"/>
    <w:rsid w:val="009B072C"/>
    <w:rsid w:val="009B3DCE"/>
    <w:rsid w:val="009B7388"/>
    <w:rsid w:val="009C0675"/>
    <w:rsid w:val="009C0942"/>
    <w:rsid w:val="009C462A"/>
    <w:rsid w:val="009D246A"/>
    <w:rsid w:val="009D576B"/>
    <w:rsid w:val="009D6571"/>
    <w:rsid w:val="009D6FA0"/>
    <w:rsid w:val="009E3461"/>
    <w:rsid w:val="009F36FF"/>
    <w:rsid w:val="009F392E"/>
    <w:rsid w:val="00A019D6"/>
    <w:rsid w:val="00A0520D"/>
    <w:rsid w:val="00A108D1"/>
    <w:rsid w:val="00A14F8F"/>
    <w:rsid w:val="00A16E81"/>
    <w:rsid w:val="00A22228"/>
    <w:rsid w:val="00A222DC"/>
    <w:rsid w:val="00A25751"/>
    <w:rsid w:val="00A25900"/>
    <w:rsid w:val="00A30392"/>
    <w:rsid w:val="00A32307"/>
    <w:rsid w:val="00A34676"/>
    <w:rsid w:val="00A428F3"/>
    <w:rsid w:val="00A45231"/>
    <w:rsid w:val="00A50A81"/>
    <w:rsid w:val="00A51AE0"/>
    <w:rsid w:val="00A56078"/>
    <w:rsid w:val="00A566E6"/>
    <w:rsid w:val="00A601E6"/>
    <w:rsid w:val="00A60D90"/>
    <w:rsid w:val="00A643D4"/>
    <w:rsid w:val="00A716E8"/>
    <w:rsid w:val="00A72E33"/>
    <w:rsid w:val="00A748AA"/>
    <w:rsid w:val="00A749A0"/>
    <w:rsid w:val="00A80F2A"/>
    <w:rsid w:val="00A82A9B"/>
    <w:rsid w:val="00A8311D"/>
    <w:rsid w:val="00A877B8"/>
    <w:rsid w:val="00A91D49"/>
    <w:rsid w:val="00A92D63"/>
    <w:rsid w:val="00A936AE"/>
    <w:rsid w:val="00A939C6"/>
    <w:rsid w:val="00AA048E"/>
    <w:rsid w:val="00AA0770"/>
    <w:rsid w:val="00AA1268"/>
    <w:rsid w:val="00AA2878"/>
    <w:rsid w:val="00AA4B7A"/>
    <w:rsid w:val="00AB0BE1"/>
    <w:rsid w:val="00AB4D99"/>
    <w:rsid w:val="00AC228C"/>
    <w:rsid w:val="00AD01EA"/>
    <w:rsid w:val="00AD1865"/>
    <w:rsid w:val="00AD6C78"/>
    <w:rsid w:val="00AE15BA"/>
    <w:rsid w:val="00AE498A"/>
    <w:rsid w:val="00AE4FDE"/>
    <w:rsid w:val="00AE57F1"/>
    <w:rsid w:val="00AE701A"/>
    <w:rsid w:val="00AF22C2"/>
    <w:rsid w:val="00AF3D50"/>
    <w:rsid w:val="00B14F1C"/>
    <w:rsid w:val="00B2301D"/>
    <w:rsid w:val="00B31F43"/>
    <w:rsid w:val="00B325E1"/>
    <w:rsid w:val="00B32807"/>
    <w:rsid w:val="00B34BCC"/>
    <w:rsid w:val="00B35EAF"/>
    <w:rsid w:val="00B36546"/>
    <w:rsid w:val="00B36DED"/>
    <w:rsid w:val="00B46E74"/>
    <w:rsid w:val="00B567CB"/>
    <w:rsid w:val="00B60F6B"/>
    <w:rsid w:val="00B6782F"/>
    <w:rsid w:val="00B71B15"/>
    <w:rsid w:val="00B728D5"/>
    <w:rsid w:val="00B85B7F"/>
    <w:rsid w:val="00B85E48"/>
    <w:rsid w:val="00BA00CE"/>
    <w:rsid w:val="00BA05FF"/>
    <w:rsid w:val="00BA18AC"/>
    <w:rsid w:val="00BA29A4"/>
    <w:rsid w:val="00BA2AB4"/>
    <w:rsid w:val="00BA2C24"/>
    <w:rsid w:val="00BA626A"/>
    <w:rsid w:val="00BB03C9"/>
    <w:rsid w:val="00BB177A"/>
    <w:rsid w:val="00BB1A6B"/>
    <w:rsid w:val="00BB3C8C"/>
    <w:rsid w:val="00BB439B"/>
    <w:rsid w:val="00BC53ED"/>
    <w:rsid w:val="00BD0D71"/>
    <w:rsid w:val="00BE1432"/>
    <w:rsid w:val="00BF284A"/>
    <w:rsid w:val="00C00EE5"/>
    <w:rsid w:val="00C04786"/>
    <w:rsid w:val="00C04995"/>
    <w:rsid w:val="00C078BF"/>
    <w:rsid w:val="00C130BA"/>
    <w:rsid w:val="00C158E4"/>
    <w:rsid w:val="00C16774"/>
    <w:rsid w:val="00C2435E"/>
    <w:rsid w:val="00C244E4"/>
    <w:rsid w:val="00C26F35"/>
    <w:rsid w:val="00C334D8"/>
    <w:rsid w:val="00C3519D"/>
    <w:rsid w:val="00C424B5"/>
    <w:rsid w:val="00C4441B"/>
    <w:rsid w:val="00C47650"/>
    <w:rsid w:val="00C509D8"/>
    <w:rsid w:val="00C50FB4"/>
    <w:rsid w:val="00C51A0F"/>
    <w:rsid w:val="00C52D1F"/>
    <w:rsid w:val="00C53BDE"/>
    <w:rsid w:val="00C62823"/>
    <w:rsid w:val="00C673C6"/>
    <w:rsid w:val="00C81DC0"/>
    <w:rsid w:val="00C86402"/>
    <w:rsid w:val="00C902B0"/>
    <w:rsid w:val="00C93003"/>
    <w:rsid w:val="00C939C7"/>
    <w:rsid w:val="00CA0FCF"/>
    <w:rsid w:val="00CA2C85"/>
    <w:rsid w:val="00CA47EE"/>
    <w:rsid w:val="00CA5435"/>
    <w:rsid w:val="00CB212C"/>
    <w:rsid w:val="00CB2742"/>
    <w:rsid w:val="00CB2C35"/>
    <w:rsid w:val="00CB54FB"/>
    <w:rsid w:val="00CC07D8"/>
    <w:rsid w:val="00CD107C"/>
    <w:rsid w:val="00CD5828"/>
    <w:rsid w:val="00CE5CD6"/>
    <w:rsid w:val="00CF4AFB"/>
    <w:rsid w:val="00CF69F2"/>
    <w:rsid w:val="00CF6E6C"/>
    <w:rsid w:val="00CF7A17"/>
    <w:rsid w:val="00D060B9"/>
    <w:rsid w:val="00D07750"/>
    <w:rsid w:val="00D104AB"/>
    <w:rsid w:val="00D1182F"/>
    <w:rsid w:val="00D12656"/>
    <w:rsid w:val="00D16FE3"/>
    <w:rsid w:val="00D26CD7"/>
    <w:rsid w:val="00D2764A"/>
    <w:rsid w:val="00D30B4C"/>
    <w:rsid w:val="00D3425E"/>
    <w:rsid w:val="00D3647A"/>
    <w:rsid w:val="00D377F6"/>
    <w:rsid w:val="00D41641"/>
    <w:rsid w:val="00D45256"/>
    <w:rsid w:val="00D46DC4"/>
    <w:rsid w:val="00D479A2"/>
    <w:rsid w:val="00D511EA"/>
    <w:rsid w:val="00D52442"/>
    <w:rsid w:val="00D559BE"/>
    <w:rsid w:val="00D606A2"/>
    <w:rsid w:val="00D62B5D"/>
    <w:rsid w:val="00D644E2"/>
    <w:rsid w:val="00D6581F"/>
    <w:rsid w:val="00D72048"/>
    <w:rsid w:val="00D74F4C"/>
    <w:rsid w:val="00D758D3"/>
    <w:rsid w:val="00D763DF"/>
    <w:rsid w:val="00D84E28"/>
    <w:rsid w:val="00D86CDC"/>
    <w:rsid w:val="00D921C2"/>
    <w:rsid w:val="00D96F4E"/>
    <w:rsid w:val="00DA1CC3"/>
    <w:rsid w:val="00DA3461"/>
    <w:rsid w:val="00DA5EEF"/>
    <w:rsid w:val="00DB0D62"/>
    <w:rsid w:val="00DB1E04"/>
    <w:rsid w:val="00DB23DD"/>
    <w:rsid w:val="00DB4085"/>
    <w:rsid w:val="00DB57B5"/>
    <w:rsid w:val="00DD220D"/>
    <w:rsid w:val="00DD2AF4"/>
    <w:rsid w:val="00DD56C9"/>
    <w:rsid w:val="00DD56D0"/>
    <w:rsid w:val="00DD6259"/>
    <w:rsid w:val="00DD6428"/>
    <w:rsid w:val="00DE1D76"/>
    <w:rsid w:val="00E00487"/>
    <w:rsid w:val="00E005E9"/>
    <w:rsid w:val="00E01E7A"/>
    <w:rsid w:val="00E060A0"/>
    <w:rsid w:val="00E06CFD"/>
    <w:rsid w:val="00E06D11"/>
    <w:rsid w:val="00E122DB"/>
    <w:rsid w:val="00E167D0"/>
    <w:rsid w:val="00E2001E"/>
    <w:rsid w:val="00E21D30"/>
    <w:rsid w:val="00E22F4F"/>
    <w:rsid w:val="00E23DE9"/>
    <w:rsid w:val="00E2461D"/>
    <w:rsid w:val="00E26570"/>
    <w:rsid w:val="00E27BB2"/>
    <w:rsid w:val="00E305D2"/>
    <w:rsid w:val="00E30698"/>
    <w:rsid w:val="00E353DD"/>
    <w:rsid w:val="00E365F4"/>
    <w:rsid w:val="00E37B36"/>
    <w:rsid w:val="00E50DB4"/>
    <w:rsid w:val="00E511A3"/>
    <w:rsid w:val="00E52695"/>
    <w:rsid w:val="00E5432F"/>
    <w:rsid w:val="00E5568A"/>
    <w:rsid w:val="00E55998"/>
    <w:rsid w:val="00E576B0"/>
    <w:rsid w:val="00E576E9"/>
    <w:rsid w:val="00E65483"/>
    <w:rsid w:val="00E659D7"/>
    <w:rsid w:val="00E65C30"/>
    <w:rsid w:val="00E71C44"/>
    <w:rsid w:val="00E75986"/>
    <w:rsid w:val="00E80286"/>
    <w:rsid w:val="00E80A05"/>
    <w:rsid w:val="00E84720"/>
    <w:rsid w:val="00E86A6B"/>
    <w:rsid w:val="00E90E89"/>
    <w:rsid w:val="00E9135E"/>
    <w:rsid w:val="00E91DFD"/>
    <w:rsid w:val="00EA1A62"/>
    <w:rsid w:val="00EB4516"/>
    <w:rsid w:val="00EB63A8"/>
    <w:rsid w:val="00EC280C"/>
    <w:rsid w:val="00EC645C"/>
    <w:rsid w:val="00EC7011"/>
    <w:rsid w:val="00ED25F9"/>
    <w:rsid w:val="00ED27BF"/>
    <w:rsid w:val="00ED353D"/>
    <w:rsid w:val="00ED6D67"/>
    <w:rsid w:val="00EE1778"/>
    <w:rsid w:val="00EE3FC6"/>
    <w:rsid w:val="00EE53C4"/>
    <w:rsid w:val="00EF2028"/>
    <w:rsid w:val="00EF26C7"/>
    <w:rsid w:val="00EF2B16"/>
    <w:rsid w:val="00EF335A"/>
    <w:rsid w:val="00EF3900"/>
    <w:rsid w:val="00EF7D8C"/>
    <w:rsid w:val="00F01EC8"/>
    <w:rsid w:val="00F02812"/>
    <w:rsid w:val="00F04A6F"/>
    <w:rsid w:val="00F0532D"/>
    <w:rsid w:val="00F06308"/>
    <w:rsid w:val="00F12E41"/>
    <w:rsid w:val="00F1312C"/>
    <w:rsid w:val="00F1349E"/>
    <w:rsid w:val="00F17542"/>
    <w:rsid w:val="00F17C4E"/>
    <w:rsid w:val="00F21103"/>
    <w:rsid w:val="00F21122"/>
    <w:rsid w:val="00F2164B"/>
    <w:rsid w:val="00F232F4"/>
    <w:rsid w:val="00F256DB"/>
    <w:rsid w:val="00F258A5"/>
    <w:rsid w:val="00F27169"/>
    <w:rsid w:val="00F30B0D"/>
    <w:rsid w:val="00F33CE0"/>
    <w:rsid w:val="00F36934"/>
    <w:rsid w:val="00F40271"/>
    <w:rsid w:val="00F4638D"/>
    <w:rsid w:val="00F51F1E"/>
    <w:rsid w:val="00F5292B"/>
    <w:rsid w:val="00F57980"/>
    <w:rsid w:val="00F57DE2"/>
    <w:rsid w:val="00F6298B"/>
    <w:rsid w:val="00F62D58"/>
    <w:rsid w:val="00F63E92"/>
    <w:rsid w:val="00F653BC"/>
    <w:rsid w:val="00F70286"/>
    <w:rsid w:val="00F76924"/>
    <w:rsid w:val="00F81AFB"/>
    <w:rsid w:val="00F82213"/>
    <w:rsid w:val="00F828FC"/>
    <w:rsid w:val="00F85447"/>
    <w:rsid w:val="00F90C4F"/>
    <w:rsid w:val="00F91EF9"/>
    <w:rsid w:val="00F92938"/>
    <w:rsid w:val="00F96416"/>
    <w:rsid w:val="00FB36D9"/>
    <w:rsid w:val="00FB3A70"/>
    <w:rsid w:val="00FB6C0B"/>
    <w:rsid w:val="00FC12C9"/>
    <w:rsid w:val="00FC3A59"/>
    <w:rsid w:val="00FC50DC"/>
    <w:rsid w:val="00FC593D"/>
    <w:rsid w:val="00FC6B8C"/>
    <w:rsid w:val="00FD3171"/>
    <w:rsid w:val="00FD7D4A"/>
    <w:rsid w:val="00FE58D0"/>
    <w:rsid w:val="00FF097A"/>
    <w:rsid w:val="00FF3C8C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2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paragraph" w:customStyle="1" w:styleId="SCCNormalDoubleSpacing">
    <w:name w:val="SCC.Normal.DoubleSpacing"/>
    <w:basedOn w:val="Normal"/>
    <w:link w:val="SCCNormalDoubleSpacingChar"/>
    <w:rsid w:val="00CD5828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CD5828"/>
    <w:rPr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CD5828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CD5828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CD5828"/>
    <w:rPr>
      <w:i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CD5828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CD5828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CD5828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CD5828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D5828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D5828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D5828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D5828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CD5828"/>
    <w:rPr>
      <w:b/>
    </w:rPr>
  </w:style>
  <w:style w:type="character" w:customStyle="1" w:styleId="SCCSystemYearChar">
    <w:name w:val="SCC.SystemYear Char"/>
    <w:basedOn w:val="DefaultParagraphFont"/>
    <w:link w:val="SCCSystemYear"/>
    <w:rsid w:val="00CD5828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CD5828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CD5828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CD5828"/>
    <w:rPr>
      <w:i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CD5828"/>
    <w:rPr>
      <w:i/>
    </w:rPr>
  </w:style>
  <w:style w:type="character" w:customStyle="1" w:styleId="SCCLawFirmChar">
    <w:name w:val="SCC.LawFirm Char"/>
    <w:basedOn w:val="SCCNormalDoubleSpacingChar"/>
    <w:link w:val="SCCLawFirm"/>
    <w:rsid w:val="00CD582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CD5828"/>
  </w:style>
  <w:style w:type="character" w:customStyle="1" w:styleId="SCCCounselPartyRoleChar">
    <w:name w:val="SCC.CounselPartyRole Char"/>
    <w:basedOn w:val="SCCNormalDoubleSpacingChar"/>
    <w:link w:val="SCCCounselPartyRole"/>
    <w:rsid w:val="00CD5828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CD582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CD5828"/>
    <w:rPr>
      <w:b/>
      <w:sz w:val="24"/>
    </w:rPr>
  </w:style>
  <w:style w:type="paragraph" w:styleId="ListParagraph">
    <w:name w:val="List Paragraph"/>
    <w:basedOn w:val="Normal"/>
    <w:uiPriority w:val="34"/>
    <w:qFormat/>
    <w:rsid w:val="00C158E4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ParaNoNdepar-AltN">
    <w:name w:val="Para. No. / Nº de par. - Alt N"/>
    <w:qFormat/>
    <w:rsid w:val="00C158E4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F4245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4245"/>
    <w:pPr>
      <w:tabs>
        <w:tab w:val="center" w:pos="4680"/>
        <w:tab w:val="right" w:pos="9360"/>
      </w:tabs>
    </w:pPr>
    <w:rPr>
      <w:rFonts w:eastAsia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4245"/>
    <w:rPr>
      <w:rFonts w:eastAsiaTheme="minorHAnsi" w:cstheme="minorBidi"/>
      <w:sz w:val="24"/>
      <w:szCs w:val="24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8F4245"/>
    <w:pPr>
      <w:jc w:val="center"/>
    </w:pPr>
    <w:rPr>
      <w:rFonts w:eastAsiaTheme="minorHAnsi" w:cstheme="minorBidi"/>
      <w:b/>
      <w:szCs w:val="24"/>
      <w:lang w:eastAsia="en-US"/>
    </w:rPr>
  </w:style>
  <w:style w:type="character" w:customStyle="1" w:styleId="SCCLsocPartyChar">
    <w:name w:val="SCC.Lsoc.Party Char"/>
    <w:basedOn w:val="DefaultParagraphFont"/>
    <w:link w:val="SCCLsocParty"/>
    <w:rsid w:val="008F4245"/>
    <w:rPr>
      <w:rFonts w:eastAsiaTheme="minorHAnsi" w:cstheme="minorBidi"/>
      <w:b/>
      <w:sz w:val="24"/>
      <w:szCs w:val="24"/>
      <w:lang w:eastAsia="en-US"/>
    </w:rPr>
  </w:style>
  <w:style w:type="character" w:customStyle="1" w:styleId="SCCLsocPartyRoleChar">
    <w:name w:val="SCC.Lsoc.PartyRole Char"/>
    <w:basedOn w:val="DefaultParagraphFont"/>
    <w:rsid w:val="008F4245"/>
    <w:rPr>
      <w:rFonts w:eastAsiaTheme="minorHAnsi" w:cstheme="minorBidi"/>
      <w:sz w:val="24"/>
      <w:szCs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8F4245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F4245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23</cp:revision>
  <cp:lastPrinted>2015-03-05T20:33:00Z</cp:lastPrinted>
  <dcterms:created xsi:type="dcterms:W3CDTF">2014-10-20T14:55:00Z</dcterms:created>
  <dcterms:modified xsi:type="dcterms:W3CDTF">2015-03-05T20:42:00Z</dcterms:modified>
</cp:coreProperties>
</file>