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8A" w:rsidRDefault="005F1B8A" w:rsidP="005F1B8A">
      <w:pPr>
        <w:pStyle w:val="En-tte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64.5pt" o:ole="">
            <v:imagedata r:id="rId9" o:title=""/>
          </v:shape>
          <o:OLEObject Type="Embed" ProgID="Presentations.Drawing.15" ShapeID="_x0000_i1025" DrawAspect="Content" ObjectID="_1502798874" r:id="rId10"/>
        </w:object>
      </w:r>
      <w:r>
        <w:t xml:space="preserve"> </w:t>
      </w:r>
      <w:r>
        <w:ptab w:relativeTo="margin" w:alignment="right" w:leader="none"/>
      </w:r>
    </w:p>
    <w:p w:rsidR="005F1B8A" w:rsidRDefault="005F1B8A" w:rsidP="005F1B8A">
      <w:pPr>
        <w:pStyle w:val="En-tte"/>
      </w:pPr>
    </w:p>
    <w:p w:rsidR="005F1B8A" w:rsidRPr="006B210C" w:rsidRDefault="005F1B8A" w:rsidP="005F1B8A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5F1B8A" w:rsidRDefault="005F1B8A" w:rsidP="005F1B8A"/>
    <w:tbl>
      <w:tblPr>
        <w:tblStyle w:val="Grilledutableau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5F1B8A" w:rsidRPr="006B210C" w:rsidTr="00687568">
        <w:trPr>
          <w:cantSplit/>
        </w:trPr>
        <w:tc>
          <w:tcPr>
            <w:tcW w:w="6768" w:type="dxa"/>
          </w:tcPr>
          <w:p w:rsidR="005F1B8A" w:rsidRPr="006B210C" w:rsidRDefault="005F1B8A" w:rsidP="005A7333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 xml:space="preserve"> </w:t>
            </w:r>
            <w:r w:rsidRPr="006E39E2">
              <w:t xml:space="preserve">Bhasin </w:t>
            </w:r>
            <w:r w:rsidRPr="006E39E2">
              <w:rPr>
                <w:i/>
              </w:rPr>
              <w:t>v.</w:t>
            </w:r>
            <w:r w:rsidRPr="006E39E2">
              <w:t xml:space="preserve"> Hrynew</w:t>
            </w:r>
            <w:r>
              <w:t>, 2014 SCC 71, [2014] 3 S.C.R. 49</w:t>
            </w:r>
            <w:r w:rsidR="005A7333">
              <w:t>4</w:t>
            </w:r>
            <w:r>
              <w:t xml:space="preserve"> </w:t>
            </w:r>
          </w:p>
        </w:tc>
        <w:tc>
          <w:tcPr>
            <w:tcW w:w="2808" w:type="dxa"/>
          </w:tcPr>
          <w:p w:rsidR="005F1B8A" w:rsidRPr="006B210C" w:rsidRDefault="005F1B8A" w:rsidP="00687568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20141113</w:t>
            </w:r>
          </w:p>
          <w:p w:rsidR="005F1B8A" w:rsidRPr="006B210C" w:rsidRDefault="005F1B8A" w:rsidP="00687568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35380</w:t>
            </w:r>
          </w:p>
        </w:tc>
      </w:tr>
    </w:tbl>
    <w:p w:rsidR="005F1B8A" w:rsidRPr="006B210C" w:rsidRDefault="005F1B8A" w:rsidP="005F1B8A"/>
    <w:p w:rsidR="005F1B8A" w:rsidRDefault="005F1B8A" w:rsidP="005F1B8A">
      <w:pPr>
        <w:pStyle w:val="SCCLsocPrefix"/>
      </w:pPr>
      <w:r>
        <w:t>Between:</w:t>
      </w:r>
    </w:p>
    <w:p w:rsidR="005F1B8A" w:rsidRDefault="005F1B8A" w:rsidP="005F1B8A">
      <w:pPr>
        <w:pStyle w:val="SCCLsocParty"/>
        <w:jc w:val="center"/>
      </w:pPr>
      <w:r>
        <w:t>Harish Bhasin, carrying on business as Bhasin &amp; Associates</w:t>
      </w:r>
    </w:p>
    <w:p w:rsidR="005F1B8A" w:rsidRDefault="005F1B8A" w:rsidP="005F1B8A">
      <w:pPr>
        <w:jc w:val="center"/>
      </w:pPr>
      <w:r>
        <w:t>Appellant</w:t>
      </w:r>
    </w:p>
    <w:p w:rsidR="005F1B8A" w:rsidRPr="005F1B8A" w:rsidRDefault="005F1B8A" w:rsidP="005F1B8A">
      <w:pPr>
        <w:pStyle w:val="SCCLsocVersus"/>
        <w:spacing w:after="0"/>
        <w:jc w:val="center"/>
        <w:rPr>
          <w:i w:val="0"/>
        </w:rPr>
      </w:pPr>
      <w:r w:rsidRPr="005F1B8A">
        <w:rPr>
          <w:i w:val="0"/>
        </w:rPr>
        <w:t>and</w:t>
      </w:r>
    </w:p>
    <w:p w:rsidR="005F1B8A" w:rsidRDefault="005F1B8A" w:rsidP="005F1B8A">
      <w:pPr>
        <w:pStyle w:val="SCCLsocParty"/>
        <w:jc w:val="center"/>
      </w:pPr>
      <w:r>
        <w:t>Larry Hrynew and Heritage Education Funds Inc. (formerly known as Allianz Education Funds Inc., formerly known as Canadian American Financial Corp. (Canada) Limited)</w:t>
      </w:r>
    </w:p>
    <w:p w:rsidR="005F1B8A" w:rsidRDefault="005F1B8A" w:rsidP="005F1B8A">
      <w:pPr>
        <w:jc w:val="center"/>
      </w:pPr>
      <w:r>
        <w:t>Respondents</w:t>
      </w:r>
    </w:p>
    <w:p w:rsidR="005F1B8A" w:rsidRDefault="005F1B8A" w:rsidP="005F1B8A"/>
    <w:p w:rsidR="005F1B8A" w:rsidRPr="006B210C" w:rsidRDefault="005F1B8A" w:rsidP="005F1B8A"/>
    <w:p w:rsidR="005F1B8A" w:rsidRPr="006B210C" w:rsidRDefault="005F1B8A" w:rsidP="005F1B8A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>McLachlin C.J. and LeBel, Abella, Rothstein, Cromwell, Karakatsanis and Wagner JJ.</w:t>
      </w:r>
    </w:p>
    <w:p w:rsidR="005F1B8A" w:rsidRPr="006B210C" w:rsidRDefault="005F1B8A" w:rsidP="005F1B8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5F1B8A" w:rsidRPr="006B210C" w:rsidTr="00687568">
        <w:trPr>
          <w:cantSplit/>
        </w:trPr>
        <w:tc>
          <w:tcPr>
            <w:tcW w:w="3618" w:type="dxa"/>
          </w:tcPr>
          <w:p w:rsidR="005F1B8A" w:rsidRDefault="005F1B8A" w:rsidP="00687568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5F1B8A" w:rsidRPr="006E39E2" w:rsidRDefault="005F1B8A" w:rsidP="00687568">
            <w:pPr>
              <w:rPr>
                <w:smallCaps/>
              </w:rPr>
            </w:pPr>
            <w:r>
              <w:t>(paras. 1 to 112)</w:t>
            </w:r>
          </w:p>
          <w:p w:rsidR="005F1B8A" w:rsidRPr="006B210C" w:rsidRDefault="005F1B8A" w:rsidP="00687568"/>
        </w:tc>
        <w:tc>
          <w:tcPr>
            <w:tcW w:w="5958" w:type="dxa"/>
          </w:tcPr>
          <w:p w:rsidR="005F1B8A" w:rsidRPr="006B210C" w:rsidRDefault="005F1B8A" w:rsidP="00687568">
            <w:r>
              <w:t>Cromwell J. (McLachlin C.J. and LeBel, Abella, Rothstein, Karakatsanis and Wagner JJ. concurring)</w:t>
            </w:r>
          </w:p>
        </w:tc>
      </w:tr>
    </w:tbl>
    <w:p w:rsidR="005F1B8A" w:rsidRDefault="005F1B8A" w:rsidP="005F1B8A"/>
    <w:p w:rsidR="005F1B8A" w:rsidRPr="006B210C" w:rsidRDefault="005A7333" w:rsidP="005F1B8A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5F1B8A" w:rsidRDefault="005F1B8A" w:rsidP="00733EEE">
      <w:pPr>
        <w:spacing w:after="720"/>
        <w:jc w:val="both"/>
        <w:rPr>
          <w:smallCaps/>
        </w:rPr>
      </w:pPr>
    </w:p>
    <w:p w:rsidR="008322BD" w:rsidRPr="00CF2184" w:rsidRDefault="00300FC4" w:rsidP="00733EEE">
      <w:pPr>
        <w:spacing w:after="720"/>
        <w:jc w:val="both"/>
      </w:pPr>
      <w:r w:rsidRPr="006A2BF7">
        <w:rPr>
          <w:smallCaps/>
        </w:rPr>
        <w:t>b</w:t>
      </w:r>
      <w:r w:rsidR="008F78E9" w:rsidRPr="006A2BF7">
        <w:rPr>
          <w:smallCaps/>
        </w:rPr>
        <w:t>hasin</w:t>
      </w:r>
      <w:r w:rsidR="00733EEE">
        <w:t xml:space="preserve"> </w:t>
      </w:r>
      <w:r w:rsidR="009B57B3" w:rsidRPr="00CF2184">
        <w:rPr>
          <w:i/>
        </w:rPr>
        <w:t>v.</w:t>
      </w:r>
      <w:r w:rsidR="00733EEE">
        <w:t xml:space="preserve"> </w:t>
      </w:r>
      <w:r w:rsidRPr="006A2BF7">
        <w:rPr>
          <w:smallCaps/>
        </w:rPr>
        <w:t>h</w:t>
      </w:r>
      <w:r w:rsidR="008F78E9" w:rsidRPr="006A2BF7">
        <w:rPr>
          <w:smallCaps/>
        </w:rPr>
        <w:t>rynew</w:t>
      </w:r>
      <w:r w:rsidR="00E14CAE">
        <w:rPr>
          <w:smallCaps/>
        </w:rPr>
        <w:t xml:space="preserve">, </w:t>
      </w:r>
      <w:r w:rsidR="00E14CAE" w:rsidRPr="00CF2184">
        <w:t>2014</w:t>
      </w:r>
      <w:r w:rsidR="00E14CAE">
        <w:t xml:space="preserve"> SCC 71, [2014] 3 S.C.R. 49</w:t>
      </w:r>
      <w:r w:rsidR="005A7333">
        <w:t>4</w:t>
      </w:r>
      <w:bookmarkStart w:id="0" w:name="_GoBack"/>
      <w:bookmarkEnd w:id="0"/>
    </w:p>
    <w:p w:rsidR="00CB7D99" w:rsidRPr="00CF2184" w:rsidRDefault="00260143" w:rsidP="00733EEE">
      <w:pPr>
        <w:pStyle w:val="SCCLsocLastPartyInRole"/>
      </w:pPr>
      <w:r w:rsidRPr="00CF2184">
        <w:t>Harish</w:t>
      </w:r>
      <w:r w:rsidR="00733EEE">
        <w:t xml:space="preserve"> </w:t>
      </w:r>
      <w:r w:rsidRPr="00CF2184">
        <w:t>Bhasin,</w:t>
      </w:r>
      <w:r w:rsidR="00733EEE">
        <w:t xml:space="preserve"> </w:t>
      </w:r>
      <w:r w:rsidRPr="00CF2184">
        <w:t>carrying</w:t>
      </w:r>
      <w:r w:rsidR="00733EEE">
        <w:t xml:space="preserve"> </w:t>
      </w:r>
      <w:r w:rsidRPr="00CF2184">
        <w:t>on</w:t>
      </w:r>
      <w:r w:rsidR="00733EEE">
        <w:t xml:space="preserve"> </w:t>
      </w:r>
      <w:r w:rsidRPr="00CF2184">
        <w:t>business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Bhasin</w:t>
      </w:r>
      <w:r w:rsidR="00733EEE">
        <w:t xml:space="preserve"> </w:t>
      </w:r>
      <w:r w:rsidRPr="00CF2184">
        <w:t>&amp;</w:t>
      </w:r>
      <w:r w:rsidR="00733EEE">
        <w:t xml:space="preserve"> </w:t>
      </w:r>
      <w:r w:rsidRPr="00CF2184">
        <w:t>Associates</w:t>
      </w:r>
      <w:r w:rsidRPr="00CF2184">
        <w:rPr>
          <w:rStyle w:val="SCCLsocPartyRole"/>
        </w:rPr>
        <w:tab/>
        <w:t>Appellant</w:t>
      </w:r>
    </w:p>
    <w:p w:rsidR="00CB7D99" w:rsidRPr="00CF2184" w:rsidRDefault="00260143" w:rsidP="00733EEE">
      <w:pPr>
        <w:pStyle w:val="SCCLsocVersus"/>
      </w:pPr>
      <w:r w:rsidRPr="00CF2184">
        <w:t>v.</w:t>
      </w:r>
    </w:p>
    <w:p w:rsidR="00CB7D99" w:rsidRPr="00CF2184" w:rsidRDefault="007C2C03" w:rsidP="00733EEE">
      <w:pPr>
        <w:pStyle w:val="SCCLsocParty"/>
      </w:pPr>
      <w:r w:rsidRPr="00CF2184">
        <w:t>Larry</w:t>
      </w:r>
      <w:r w:rsidR="00733EEE">
        <w:t xml:space="preserve"> </w:t>
      </w:r>
      <w:r w:rsidRPr="00CF2184">
        <w:t>Hrynew</w:t>
      </w:r>
      <w:r w:rsidR="00733EEE">
        <w:t xml:space="preserve"> </w:t>
      </w:r>
      <w:r w:rsidRPr="00CF2184">
        <w:t>and</w:t>
      </w:r>
    </w:p>
    <w:p w:rsidR="00A506C5" w:rsidRPr="00CF2184" w:rsidRDefault="00260143" w:rsidP="00733EEE">
      <w:pPr>
        <w:pStyle w:val="SCCLsocLastPartyInRole"/>
        <w:spacing w:after="0"/>
      </w:pPr>
      <w:r w:rsidRPr="00CF2184">
        <w:t>Heritage</w:t>
      </w:r>
      <w:r w:rsidR="00733EEE">
        <w:t xml:space="preserve"> </w:t>
      </w:r>
      <w:r w:rsidRPr="00CF2184">
        <w:t>Education</w:t>
      </w:r>
      <w:r w:rsidR="00733EEE">
        <w:t xml:space="preserve"> </w:t>
      </w:r>
      <w:r w:rsidRPr="00CF2184">
        <w:t>Funds</w:t>
      </w:r>
      <w:r w:rsidR="00733EEE">
        <w:t xml:space="preserve"> </w:t>
      </w:r>
      <w:r w:rsidRPr="00CF2184">
        <w:t>Inc.</w:t>
      </w:r>
      <w:r w:rsidR="00733EEE">
        <w:t xml:space="preserve"> </w:t>
      </w:r>
    </w:p>
    <w:p w:rsidR="00A506C5" w:rsidRPr="00CF2184" w:rsidRDefault="00260143" w:rsidP="00733EEE">
      <w:pPr>
        <w:pStyle w:val="SCCLsocLastPartyInRole"/>
        <w:spacing w:after="0"/>
      </w:pPr>
      <w:r w:rsidRPr="00CF2184">
        <w:t>(formerly</w:t>
      </w:r>
      <w:r w:rsidR="00733EEE">
        <w:t xml:space="preserve"> </w:t>
      </w:r>
      <w:r w:rsidRPr="00CF2184">
        <w:t>known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Allianz</w:t>
      </w:r>
      <w:r w:rsidR="00733EEE">
        <w:t xml:space="preserve"> </w:t>
      </w:r>
      <w:r w:rsidRPr="00CF2184">
        <w:t>Education</w:t>
      </w:r>
      <w:r w:rsidR="00733EEE">
        <w:t xml:space="preserve"> </w:t>
      </w:r>
      <w:r w:rsidRPr="00CF2184">
        <w:t>Funds</w:t>
      </w:r>
      <w:r w:rsidR="00733EEE">
        <w:t xml:space="preserve"> </w:t>
      </w:r>
      <w:r w:rsidRPr="00CF2184">
        <w:t>Inc.,</w:t>
      </w:r>
      <w:r w:rsidR="00733EEE">
        <w:t xml:space="preserve"> </w:t>
      </w:r>
    </w:p>
    <w:p w:rsidR="00A506C5" w:rsidRPr="00CF2184" w:rsidRDefault="00260143" w:rsidP="00733EEE">
      <w:pPr>
        <w:pStyle w:val="SCCLsocLastPartyInRole"/>
        <w:spacing w:after="0"/>
      </w:pPr>
      <w:r w:rsidRPr="00CF2184">
        <w:lastRenderedPageBreak/>
        <w:t>formerly</w:t>
      </w:r>
      <w:r w:rsidR="00733EEE">
        <w:t xml:space="preserve"> </w:t>
      </w:r>
      <w:r w:rsidRPr="00CF2184">
        <w:t>known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Ca</w:t>
      </w:r>
      <w:r w:rsidR="00A506C5" w:rsidRPr="00CF2184">
        <w:t>nadian</w:t>
      </w:r>
      <w:r w:rsidR="00733EEE">
        <w:t xml:space="preserve"> </w:t>
      </w:r>
      <w:r w:rsidR="00A506C5" w:rsidRPr="00CF2184">
        <w:t>American</w:t>
      </w:r>
      <w:r w:rsidR="00733EEE">
        <w:t xml:space="preserve"> </w:t>
      </w:r>
      <w:r w:rsidR="00A506C5" w:rsidRPr="00CF2184">
        <w:t>Financial</w:t>
      </w:r>
      <w:r w:rsidR="00733EEE">
        <w:t xml:space="preserve"> </w:t>
      </w:r>
      <w:r w:rsidR="00A506C5" w:rsidRPr="00CF2184">
        <w:t>Corp.</w:t>
      </w:r>
    </w:p>
    <w:p w:rsidR="00CB7D99" w:rsidRPr="00CF2184" w:rsidRDefault="00260143" w:rsidP="00733EEE">
      <w:pPr>
        <w:pStyle w:val="SCCLsocLastPartyInRole"/>
      </w:pPr>
      <w:r w:rsidRPr="00CF2184">
        <w:t>(Canada)</w:t>
      </w:r>
      <w:r w:rsidR="00733EEE">
        <w:t xml:space="preserve"> </w:t>
      </w:r>
      <w:r w:rsidRPr="00CF2184">
        <w:t>Limited)</w:t>
      </w:r>
      <w:r w:rsidRPr="00CF2184">
        <w:rPr>
          <w:rStyle w:val="SCCLsocPartyRole"/>
        </w:rPr>
        <w:tab/>
        <w:t>Respondents</w:t>
      </w:r>
    </w:p>
    <w:p w:rsidR="00426659" w:rsidRPr="00CF2184" w:rsidRDefault="00426659" w:rsidP="00733EEE">
      <w:pPr>
        <w:spacing w:after="720"/>
        <w:jc w:val="both"/>
        <w:rPr>
          <w:b/>
        </w:rPr>
      </w:pPr>
      <w:r w:rsidRPr="00CF2184">
        <w:rPr>
          <w:b/>
        </w:rPr>
        <w:t>Indexed</w:t>
      </w:r>
      <w:r w:rsidR="00733EEE">
        <w:rPr>
          <w:b/>
        </w:rPr>
        <w:t xml:space="preserve"> </w:t>
      </w:r>
      <w:r w:rsidRPr="00CF2184">
        <w:rPr>
          <w:b/>
        </w:rPr>
        <w:t>as:</w:t>
      </w:r>
      <w:r w:rsidR="00733EEE">
        <w:rPr>
          <w:b/>
        </w:rPr>
        <w:t xml:space="preserve">  </w:t>
      </w:r>
      <w:r w:rsidRPr="006A2BF7">
        <w:rPr>
          <w:b/>
        </w:rPr>
        <w:t>Bhasin</w:t>
      </w:r>
      <w:r w:rsidR="00733EEE">
        <w:rPr>
          <w:b/>
        </w:rPr>
        <w:t xml:space="preserve"> </w:t>
      </w:r>
      <w:r w:rsidRPr="00CF2184">
        <w:rPr>
          <w:b/>
          <w:i/>
        </w:rPr>
        <w:t>v.</w:t>
      </w:r>
      <w:r w:rsidR="00733EEE">
        <w:rPr>
          <w:b/>
        </w:rPr>
        <w:t xml:space="preserve"> </w:t>
      </w:r>
      <w:r w:rsidRPr="006A2BF7">
        <w:rPr>
          <w:b/>
        </w:rPr>
        <w:t>Hrynew</w:t>
      </w:r>
    </w:p>
    <w:p w:rsidR="00426659" w:rsidRPr="00CF2184" w:rsidRDefault="004F36FF" w:rsidP="00733EEE">
      <w:pPr>
        <w:pStyle w:val="SCCSystemYear"/>
        <w:spacing w:after="720"/>
        <w:jc w:val="both"/>
      </w:pPr>
      <w:r w:rsidRPr="00CF2184">
        <w:t>2014</w:t>
      </w:r>
      <w:r w:rsidR="00733EEE">
        <w:t xml:space="preserve"> </w:t>
      </w:r>
      <w:r w:rsidR="000E4BCF">
        <w:t>SCC</w:t>
      </w:r>
      <w:r w:rsidR="00733EEE">
        <w:t xml:space="preserve"> </w:t>
      </w:r>
      <w:r w:rsidR="000E4BCF">
        <w:t>71</w:t>
      </w:r>
    </w:p>
    <w:p w:rsidR="008322BD" w:rsidRPr="00CF2184" w:rsidRDefault="009B57B3" w:rsidP="00733EEE">
      <w:pPr>
        <w:spacing w:after="720"/>
        <w:jc w:val="both"/>
      </w:pPr>
      <w:r w:rsidRPr="00CF2184">
        <w:t>File</w:t>
      </w:r>
      <w:r w:rsidR="00733EEE">
        <w:t xml:space="preserve"> </w:t>
      </w:r>
      <w:r w:rsidRPr="00CF2184">
        <w:t>No.:</w:t>
      </w:r>
      <w:r w:rsidR="00733EEE">
        <w:t xml:space="preserve">  </w:t>
      </w:r>
      <w:r w:rsidRPr="00CF2184">
        <w:t>35380.</w:t>
      </w:r>
    </w:p>
    <w:p w:rsidR="008322BD" w:rsidRPr="00CF2184" w:rsidRDefault="007C2C03" w:rsidP="00733EEE">
      <w:pPr>
        <w:spacing w:after="720"/>
        <w:jc w:val="both"/>
      </w:pPr>
      <w:r w:rsidRPr="00CF2184">
        <w:t>2014:</w:t>
      </w:r>
      <w:r w:rsidR="00733EEE">
        <w:t xml:space="preserve">  </w:t>
      </w:r>
      <w:r w:rsidRPr="00CF2184">
        <w:t>February</w:t>
      </w:r>
      <w:r w:rsidR="00733EEE">
        <w:t xml:space="preserve"> </w:t>
      </w:r>
      <w:r w:rsidR="004F36FF" w:rsidRPr="00CF2184">
        <w:t>12</w:t>
      </w:r>
      <w:r w:rsidR="009B57B3" w:rsidRPr="00CF2184">
        <w:t>;</w:t>
      </w:r>
      <w:r w:rsidR="00733EEE">
        <w:t xml:space="preserve"> </w:t>
      </w:r>
      <w:r w:rsidRPr="00CF2184">
        <w:t>2014:</w:t>
      </w:r>
      <w:r w:rsidR="00733EEE">
        <w:t xml:space="preserve">  </w:t>
      </w:r>
      <w:r w:rsidR="00600583" w:rsidRPr="00CF2184">
        <w:t>November</w:t>
      </w:r>
      <w:r w:rsidR="00733EEE">
        <w:t xml:space="preserve"> </w:t>
      </w:r>
      <w:r w:rsidR="00600583" w:rsidRPr="00CF2184">
        <w:t>13</w:t>
      </w:r>
      <w:r w:rsidR="009B57B3" w:rsidRPr="00CF2184">
        <w:t>.</w:t>
      </w:r>
    </w:p>
    <w:p w:rsidR="008322BD" w:rsidRPr="00CF2184" w:rsidRDefault="009B57B3" w:rsidP="00733EEE">
      <w:pPr>
        <w:spacing w:after="720"/>
        <w:jc w:val="both"/>
      </w:pPr>
      <w:r w:rsidRPr="00CF2184">
        <w:t>Present:</w:t>
      </w:r>
      <w:r w:rsidR="00733EEE">
        <w:t xml:space="preserve">  </w:t>
      </w:r>
      <w:r w:rsidRPr="00CF2184">
        <w:t>McLachlin</w:t>
      </w:r>
      <w:r w:rsidR="00733EEE">
        <w:t xml:space="preserve"> </w:t>
      </w:r>
      <w:r w:rsidRPr="00CF2184">
        <w:t>C.J.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LeBel,</w:t>
      </w:r>
      <w:r w:rsidR="00733EEE">
        <w:t xml:space="preserve"> </w:t>
      </w:r>
      <w:r w:rsidRPr="00CF2184">
        <w:t>Abella,</w:t>
      </w:r>
      <w:r w:rsidR="00733EEE">
        <w:t xml:space="preserve"> </w:t>
      </w:r>
      <w:r w:rsidRPr="00CF2184">
        <w:t>Rothstein,</w:t>
      </w:r>
      <w:r w:rsidR="00733EEE">
        <w:t xml:space="preserve"> </w:t>
      </w:r>
      <w:r w:rsidRPr="00CF2184">
        <w:t>Cromwell,</w:t>
      </w:r>
      <w:r w:rsidR="00733EEE">
        <w:t xml:space="preserve"> </w:t>
      </w:r>
      <w:r w:rsidRPr="00CF2184">
        <w:t>Karakatsanis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Wagner</w:t>
      </w:r>
      <w:r w:rsidR="00733EEE">
        <w:t xml:space="preserve"> </w:t>
      </w:r>
      <w:r w:rsidRPr="00CF2184">
        <w:t>JJ.</w:t>
      </w:r>
    </w:p>
    <w:p w:rsidR="008322BD" w:rsidRPr="00CF2184" w:rsidRDefault="00656313" w:rsidP="00733EEE">
      <w:pPr>
        <w:pStyle w:val="SCCLowerCourtNameLowercase"/>
        <w:spacing w:after="720" w:line="240" w:lineRule="auto"/>
      </w:pPr>
      <w:r w:rsidRPr="00CF2184">
        <w:t>o</w:t>
      </w:r>
      <w:r w:rsidR="00170592" w:rsidRPr="00CF2184">
        <w:t>n</w:t>
      </w:r>
      <w:r w:rsidR="00733EEE">
        <w:t xml:space="preserve"> </w:t>
      </w:r>
      <w:r w:rsidRPr="00CF2184">
        <w:t>a</w:t>
      </w:r>
      <w:r w:rsidR="00170592" w:rsidRPr="00CF2184">
        <w:t>ppeal</w:t>
      </w:r>
      <w:r w:rsidR="00733EEE">
        <w:t xml:space="preserve"> </w:t>
      </w:r>
      <w:r w:rsidR="00170592" w:rsidRPr="00CF2184">
        <w:t>from</w:t>
      </w:r>
      <w:r w:rsidR="00733EEE">
        <w:t xml:space="preserve"> </w:t>
      </w:r>
      <w:r w:rsidR="009567AA" w:rsidRPr="00CF2184">
        <w:t>the</w:t>
      </w:r>
      <w:r w:rsidR="00733EEE">
        <w:t xml:space="preserve"> </w:t>
      </w:r>
      <w:r w:rsidR="009B57B3" w:rsidRPr="00CF2184">
        <w:t>court</w:t>
      </w:r>
      <w:r w:rsidR="00733EEE">
        <w:t xml:space="preserve"> </w:t>
      </w:r>
      <w:r w:rsidR="009B57B3" w:rsidRPr="00CF2184">
        <w:t>of</w:t>
      </w:r>
      <w:r w:rsidR="00733EEE">
        <w:t xml:space="preserve"> </w:t>
      </w:r>
      <w:r w:rsidR="009B57B3" w:rsidRPr="00CF2184">
        <w:t>appeal</w:t>
      </w:r>
      <w:r w:rsidR="00733EEE">
        <w:t xml:space="preserve"> </w:t>
      </w:r>
      <w:r w:rsidR="009B57B3" w:rsidRPr="00CF2184">
        <w:t>f</w:t>
      </w:r>
      <w:r w:rsidR="007C2C03" w:rsidRPr="00CF2184">
        <w:t>or</w:t>
      </w:r>
      <w:r w:rsidR="00733EEE">
        <w:t xml:space="preserve"> </w:t>
      </w:r>
      <w:r w:rsidR="009B57B3" w:rsidRPr="00CF2184">
        <w:t>alberta</w:t>
      </w:r>
    </w:p>
    <w:p w:rsidR="001A3D8E" w:rsidRPr="00CF2184" w:rsidRDefault="009B57B3" w:rsidP="00733EEE">
      <w:pPr>
        <w:pStyle w:val="SCCNormalDoubleSpacing"/>
        <w:spacing w:before="480" w:after="480"/>
        <w:rPr>
          <w:i/>
        </w:rPr>
      </w:pPr>
      <w:r w:rsidRPr="00CF2184">
        <w:tab/>
      </w:r>
      <w:r w:rsidR="001A3D8E" w:rsidRPr="00CF2184">
        <w:rPr>
          <w:i/>
        </w:rPr>
        <w:t>Contracts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Breach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Performance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Non</w:t>
      </w:r>
      <w:r w:rsidR="00733EEE">
        <w:rPr>
          <w:i/>
        </w:rPr>
        <w:t>-</w:t>
      </w:r>
      <w:r w:rsidR="001A3D8E" w:rsidRPr="00CF2184">
        <w:rPr>
          <w:i/>
        </w:rPr>
        <w:t>renewal</w:t>
      </w:r>
      <w:r w:rsidR="00733EEE">
        <w:rPr>
          <w:i/>
        </w:rPr>
        <w:t xml:space="preserve"> </w:t>
      </w:r>
      <w:r w:rsidR="001A3D8E" w:rsidRPr="00CF2184">
        <w:rPr>
          <w:i/>
        </w:rPr>
        <w:t>provision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Duty</w:t>
      </w:r>
      <w:r w:rsidR="00733EEE">
        <w:rPr>
          <w:i/>
        </w:rPr>
        <w:t xml:space="preserve"> </w:t>
      </w:r>
      <w:r w:rsidR="001A3D8E" w:rsidRPr="00CF2184">
        <w:rPr>
          <w:i/>
        </w:rPr>
        <w:t>of</w:t>
      </w:r>
      <w:r w:rsidR="00733EEE">
        <w:rPr>
          <w:i/>
        </w:rPr>
        <w:t xml:space="preserve"> </w:t>
      </w:r>
      <w:r w:rsidR="001A3D8E" w:rsidRPr="00CF2184">
        <w:rPr>
          <w:i/>
        </w:rPr>
        <w:t>good</w:t>
      </w:r>
      <w:r w:rsidR="00733EEE">
        <w:rPr>
          <w:i/>
        </w:rPr>
        <w:t xml:space="preserve"> </w:t>
      </w:r>
      <w:r w:rsidR="001A3D8E" w:rsidRPr="00CF2184">
        <w:rPr>
          <w:i/>
        </w:rPr>
        <w:t>faith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Duty</w:t>
      </w:r>
      <w:r w:rsidR="00733EEE">
        <w:rPr>
          <w:i/>
        </w:rPr>
        <w:t xml:space="preserve"> </w:t>
      </w:r>
      <w:r w:rsidR="001A3D8E" w:rsidRPr="00CF2184">
        <w:rPr>
          <w:i/>
        </w:rPr>
        <w:t>of</w:t>
      </w:r>
      <w:r w:rsidR="00733EEE">
        <w:rPr>
          <w:i/>
        </w:rPr>
        <w:t xml:space="preserve"> </w:t>
      </w:r>
      <w:r w:rsidR="001A3D8E" w:rsidRPr="00CF2184">
        <w:rPr>
          <w:i/>
        </w:rPr>
        <w:t>honest</w:t>
      </w:r>
      <w:r w:rsidR="00733EEE">
        <w:rPr>
          <w:i/>
        </w:rPr>
        <w:t xml:space="preserve"> </w:t>
      </w:r>
      <w:r w:rsidR="001A3D8E" w:rsidRPr="00CF2184">
        <w:rPr>
          <w:i/>
        </w:rPr>
        <w:t>performance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Agreement</w:t>
      </w:r>
      <w:r w:rsidR="00733EEE">
        <w:rPr>
          <w:i/>
        </w:rPr>
        <w:t xml:space="preserve"> </w:t>
      </w:r>
      <w:r w:rsidR="001A3D8E" w:rsidRPr="00CF2184">
        <w:rPr>
          <w:i/>
        </w:rPr>
        <w:t>governing</w:t>
      </w:r>
      <w:r w:rsidR="00733EEE">
        <w:rPr>
          <w:i/>
        </w:rPr>
        <w:t xml:space="preserve"> </w:t>
      </w:r>
      <w:r w:rsidR="001A3D8E" w:rsidRPr="00CF2184">
        <w:rPr>
          <w:i/>
        </w:rPr>
        <w:t>relationship</w:t>
      </w:r>
      <w:r w:rsidR="00733EEE">
        <w:rPr>
          <w:i/>
        </w:rPr>
        <w:t xml:space="preserve"> </w:t>
      </w:r>
      <w:r w:rsidR="001A3D8E" w:rsidRPr="00CF2184">
        <w:rPr>
          <w:i/>
        </w:rPr>
        <w:t>between</w:t>
      </w:r>
      <w:r w:rsidR="00733EEE">
        <w:rPr>
          <w:i/>
        </w:rPr>
        <w:t xml:space="preserve"> </w:t>
      </w:r>
      <w:r w:rsidR="001A3D8E" w:rsidRPr="00CF2184">
        <w:rPr>
          <w:i/>
        </w:rPr>
        <w:t>company</w:t>
      </w:r>
      <w:r w:rsidR="00733EEE">
        <w:rPr>
          <w:i/>
        </w:rPr>
        <w:t xml:space="preserve"> </w:t>
      </w:r>
      <w:r w:rsidR="001A3D8E" w:rsidRPr="00CF2184">
        <w:rPr>
          <w:i/>
        </w:rPr>
        <w:t>and</w:t>
      </w:r>
      <w:r w:rsidR="00733EEE">
        <w:rPr>
          <w:i/>
        </w:rPr>
        <w:t xml:space="preserve"> </w:t>
      </w:r>
      <w:r w:rsidR="001A3D8E" w:rsidRPr="00CF2184">
        <w:rPr>
          <w:i/>
        </w:rPr>
        <w:t>retail</w:t>
      </w:r>
      <w:r w:rsidR="00733EEE">
        <w:rPr>
          <w:i/>
        </w:rPr>
        <w:t xml:space="preserve"> </w:t>
      </w:r>
      <w:r w:rsidR="001A3D8E" w:rsidRPr="00CF2184">
        <w:rPr>
          <w:i/>
        </w:rPr>
        <w:t>dealer</w:t>
      </w:r>
      <w:r w:rsidR="00733EEE">
        <w:rPr>
          <w:i/>
        </w:rPr>
        <w:t xml:space="preserve"> </w:t>
      </w:r>
      <w:r w:rsidR="001A3D8E" w:rsidRPr="00CF2184">
        <w:rPr>
          <w:i/>
        </w:rPr>
        <w:t>providing</w:t>
      </w:r>
      <w:r w:rsidR="00733EEE">
        <w:rPr>
          <w:i/>
        </w:rPr>
        <w:t xml:space="preserve"> </w:t>
      </w:r>
      <w:r w:rsidR="001A3D8E" w:rsidRPr="00CF2184">
        <w:rPr>
          <w:i/>
        </w:rPr>
        <w:t>for</w:t>
      </w:r>
      <w:r w:rsidR="00733EEE">
        <w:rPr>
          <w:i/>
        </w:rPr>
        <w:t xml:space="preserve"> </w:t>
      </w:r>
      <w:r w:rsidR="001A3D8E" w:rsidRPr="00CF2184">
        <w:rPr>
          <w:i/>
        </w:rPr>
        <w:t>automatic</w:t>
      </w:r>
      <w:r w:rsidR="00733EEE">
        <w:rPr>
          <w:i/>
        </w:rPr>
        <w:t xml:space="preserve"> </w:t>
      </w:r>
      <w:r w:rsidR="001A3D8E" w:rsidRPr="00CF2184">
        <w:rPr>
          <w:i/>
        </w:rPr>
        <w:t>contract</w:t>
      </w:r>
      <w:r w:rsidR="00733EEE">
        <w:rPr>
          <w:i/>
        </w:rPr>
        <w:t xml:space="preserve"> </w:t>
      </w:r>
      <w:r w:rsidR="001A3D8E" w:rsidRPr="00CF2184">
        <w:rPr>
          <w:i/>
        </w:rPr>
        <w:t>renewal</w:t>
      </w:r>
      <w:r w:rsidR="00733EEE">
        <w:rPr>
          <w:i/>
        </w:rPr>
        <w:t xml:space="preserve"> </w:t>
      </w:r>
      <w:r w:rsidR="001A3D8E" w:rsidRPr="00CF2184">
        <w:rPr>
          <w:i/>
        </w:rPr>
        <w:t>at</w:t>
      </w:r>
      <w:r w:rsidR="00733EEE">
        <w:rPr>
          <w:i/>
        </w:rPr>
        <w:t xml:space="preserve"> </w:t>
      </w:r>
      <w:r w:rsidR="001A3D8E" w:rsidRPr="00CF2184">
        <w:rPr>
          <w:i/>
        </w:rPr>
        <w:t>end</w:t>
      </w:r>
      <w:r w:rsidR="00733EEE">
        <w:rPr>
          <w:i/>
        </w:rPr>
        <w:t xml:space="preserve"> </w:t>
      </w:r>
      <w:r w:rsidR="001A3D8E" w:rsidRPr="00CF2184">
        <w:rPr>
          <w:i/>
        </w:rPr>
        <w:t>of</w:t>
      </w:r>
      <w:r w:rsidR="00733EEE">
        <w:rPr>
          <w:i/>
        </w:rPr>
        <w:t xml:space="preserve"> </w:t>
      </w:r>
      <w:r w:rsidR="001A3D8E" w:rsidRPr="00CF2184">
        <w:rPr>
          <w:i/>
        </w:rPr>
        <w:t>three</w:t>
      </w:r>
      <w:r w:rsidR="00733EEE">
        <w:rPr>
          <w:i/>
        </w:rPr>
        <w:t>-</w:t>
      </w:r>
      <w:r w:rsidR="001A3D8E" w:rsidRPr="00CF2184">
        <w:rPr>
          <w:i/>
        </w:rPr>
        <w:t>year</w:t>
      </w:r>
      <w:r w:rsidR="00733EEE">
        <w:rPr>
          <w:i/>
        </w:rPr>
        <w:t xml:space="preserve"> </w:t>
      </w:r>
      <w:r w:rsidR="001A3D8E" w:rsidRPr="00CF2184">
        <w:rPr>
          <w:i/>
        </w:rPr>
        <w:t>term</w:t>
      </w:r>
      <w:r w:rsidR="00733EEE">
        <w:rPr>
          <w:i/>
        </w:rPr>
        <w:t xml:space="preserve"> </w:t>
      </w:r>
      <w:r w:rsidR="001A3D8E" w:rsidRPr="00CF2184">
        <w:rPr>
          <w:i/>
        </w:rPr>
        <w:t>unless</w:t>
      </w:r>
      <w:r w:rsidR="00733EEE">
        <w:rPr>
          <w:i/>
        </w:rPr>
        <w:t xml:space="preserve"> </w:t>
      </w:r>
      <w:r w:rsidR="001A3D8E" w:rsidRPr="00CF2184">
        <w:rPr>
          <w:i/>
        </w:rPr>
        <w:t>parties</w:t>
      </w:r>
      <w:r w:rsidR="00733EEE">
        <w:rPr>
          <w:i/>
        </w:rPr>
        <w:t xml:space="preserve"> </w:t>
      </w:r>
      <w:r w:rsidR="001A3D8E" w:rsidRPr="00CF2184">
        <w:rPr>
          <w:i/>
        </w:rPr>
        <w:t>giving</w:t>
      </w:r>
      <w:r w:rsidR="00733EEE">
        <w:rPr>
          <w:i/>
        </w:rPr>
        <w:t xml:space="preserve"> </w:t>
      </w:r>
      <w:r w:rsidR="001A3D8E" w:rsidRPr="00CF2184">
        <w:rPr>
          <w:i/>
        </w:rPr>
        <w:t>six</w:t>
      </w:r>
      <w:r w:rsidR="00733EEE">
        <w:rPr>
          <w:i/>
        </w:rPr>
        <w:t xml:space="preserve"> </w:t>
      </w:r>
      <w:r w:rsidR="001A3D8E" w:rsidRPr="00CF2184">
        <w:rPr>
          <w:i/>
        </w:rPr>
        <w:t>months’</w:t>
      </w:r>
      <w:r w:rsidR="00733EEE">
        <w:rPr>
          <w:i/>
        </w:rPr>
        <w:t xml:space="preserve"> </w:t>
      </w:r>
      <w:r w:rsidR="001A3D8E" w:rsidRPr="00CF2184">
        <w:rPr>
          <w:i/>
        </w:rPr>
        <w:t>written</w:t>
      </w:r>
      <w:r w:rsidR="00733EEE">
        <w:rPr>
          <w:i/>
        </w:rPr>
        <w:t xml:space="preserve"> </w:t>
      </w:r>
      <w:r w:rsidR="001A3D8E" w:rsidRPr="00CF2184">
        <w:rPr>
          <w:i/>
        </w:rPr>
        <w:t>notice</w:t>
      </w:r>
      <w:r w:rsidR="00733EEE">
        <w:rPr>
          <w:i/>
        </w:rPr>
        <w:t xml:space="preserve"> </w:t>
      </w:r>
      <w:r w:rsidR="001A3D8E" w:rsidRPr="00CF2184">
        <w:rPr>
          <w:i/>
        </w:rPr>
        <w:t>to</w:t>
      </w:r>
      <w:r w:rsidR="00733EEE">
        <w:rPr>
          <w:i/>
        </w:rPr>
        <w:t xml:space="preserve"> </w:t>
      </w:r>
      <w:r w:rsidR="001A3D8E" w:rsidRPr="00CF2184">
        <w:rPr>
          <w:i/>
        </w:rPr>
        <w:t>contrary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Company</w:t>
      </w:r>
      <w:r w:rsidR="00733EEE">
        <w:rPr>
          <w:i/>
        </w:rPr>
        <w:t xml:space="preserve"> </w:t>
      </w:r>
      <w:r w:rsidR="001A3D8E" w:rsidRPr="00CF2184">
        <w:rPr>
          <w:i/>
        </w:rPr>
        <w:t>deciding</w:t>
      </w:r>
      <w:r w:rsidR="00733EEE">
        <w:rPr>
          <w:i/>
        </w:rPr>
        <w:t xml:space="preserve"> </w:t>
      </w:r>
      <w:r w:rsidR="001A3D8E" w:rsidRPr="00CF2184">
        <w:rPr>
          <w:i/>
        </w:rPr>
        <w:t>not</w:t>
      </w:r>
      <w:r w:rsidR="00733EEE">
        <w:rPr>
          <w:i/>
        </w:rPr>
        <w:t xml:space="preserve"> </w:t>
      </w:r>
      <w:r w:rsidR="001A3D8E" w:rsidRPr="00CF2184">
        <w:rPr>
          <w:i/>
        </w:rPr>
        <w:t>to</w:t>
      </w:r>
      <w:r w:rsidR="00733EEE">
        <w:rPr>
          <w:i/>
        </w:rPr>
        <w:t xml:space="preserve"> </w:t>
      </w:r>
      <w:r w:rsidR="001A3D8E" w:rsidRPr="00CF2184">
        <w:rPr>
          <w:i/>
        </w:rPr>
        <w:t>renew</w:t>
      </w:r>
      <w:r w:rsidR="00733EEE">
        <w:rPr>
          <w:i/>
        </w:rPr>
        <w:t xml:space="preserve"> </w:t>
      </w:r>
      <w:r w:rsidR="001A3D8E" w:rsidRPr="00CF2184">
        <w:rPr>
          <w:i/>
        </w:rPr>
        <w:t>dealership</w:t>
      </w:r>
      <w:r w:rsidR="00733EEE">
        <w:rPr>
          <w:i/>
        </w:rPr>
        <w:t xml:space="preserve"> </w:t>
      </w:r>
      <w:r w:rsidR="001A3D8E" w:rsidRPr="00CF2184">
        <w:rPr>
          <w:i/>
        </w:rPr>
        <w:t>agreement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Retail</w:t>
      </w:r>
      <w:r w:rsidR="00733EEE">
        <w:rPr>
          <w:i/>
        </w:rPr>
        <w:t xml:space="preserve"> </w:t>
      </w:r>
      <w:r w:rsidR="001A3D8E" w:rsidRPr="00CF2184">
        <w:rPr>
          <w:i/>
        </w:rPr>
        <w:t>dealer</w:t>
      </w:r>
      <w:r w:rsidR="00733EEE">
        <w:rPr>
          <w:i/>
        </w:rPr>
        <w:t xml:space="preserve"> </w:t>
      </w:r>
      <w:r w:rsidR="001A3D8E" w:rsidRPr="00CF2184">
        <w:rPr>
          <w:i/>
        </w:rPr>
        <w:t>lost</w:t>
      </w:r>
      <w:r w:rsidR="00733EEE">
        <w:rPr>
          <w:i/>
        </w:rPr>
        <w:t xml:space="preserve"> </w:t>
      </w:r>
      <w:r w:rsidR="001A3D8E" w:rsidRPr="00CF2184">
        <w:rPr>
          <w:i/>
        </w:rPr>
        <w:t>value</w:t>
      </w:r>
      <w:r w:rsidR="00733EEE">
        <w:rPr>
          <w:i/>
        </w:rPr>
        <w:t xml:space="preserve"> </w:t>
      </w:r>
      <w:r w:rsidR="001A3D8E" w:rsidRPr="00CF2184">
        <w:rPr>
          <w:i/>
        </w:rPr>
        <w:t>of</w:t>
      </w:r>
      <w:r w:rsidR="00733EEE">
        <w:rPr>
          <w:i/>
        </w:rPr>
        <w:t xml:space="preserve"> </w:t>
      </w:r>
      <w:r w:rsidR="001A3D8E" w:rsidRPr="00CF2184">
        <w:rPr>
          <w:i/>
        </w:rPr>
        <w:t>business</w:t>
      </w:r>
      <w:r w:rsidR="00733EEE">
        <w:rPr>
          <w:i/>
        </w:rPr>
        <w:t xml:space="preserve"> </w:t>
      </w:r>
      <w:r w:rsidR="001A3D8E" w:rsidRPr="00CF2184">
        <w:rPr>
          <w:i/>
        </w:rPr>
        <w:t>and</w:t>
      </w:r>
      <w:r w:rsidR="00733EEE">
        <w:rPr>
          <w:i/>
        </w:rPr>
        <w:t xml:space="preserve"> </w:t>
      </w:r>
      <w:r w:rsidR="001A3D8E" w:rsidRPr="00CF2184">
        <w:rPr>
          <w:i/>
        </w:rPr>
        <w:t>majority</w:t>
      </w:r>
      <w:r w:rsidR="00733EEE">
        <w:rPr>
          <w:i/>
        </w:rPr>
        <w:t xml:space="preserve"> </w:t>
      </w:r>
      <w:r w:rsidR="001A3D8E" w:rsidRPr="00CF2184">
        <w:rPr>
          <w:i/>
        </w:rPr>
        <w:t>of</w:t>
      </w:r>
      <w:r w:rsidR="00733EEE">
        <w:rPr>
          <w:i/>
        </w:rPr>
        <w:t xml:space="preserve"> </w:t>
      </w:r>
      <w:r w:rsidR="001A3D8E" w:rsidRPr="00CF2184">
        <w:rPr>
          <w:i/>
        </w:rPr>
        <w:t>sales</w:t>
      </w:r>
      <w:r w:rsidR="00733EEE">
        <w:rPr>
          <w:i/>
        </w:rPr>
        <w:t xml:space="preserve"> </w:t>
      </w:r>
      <w:r w:rsidR="001A3D8E" w:rsidRPr="00CF2184">
        <w:rPr>
          <w:i/>
        </w:rPr>
        <w:t>agents</w:t>
      </w:r>
      <w:r w:rsidR="00733EEE">
        <w:rPr>
          <w:i/>
        </w:rPr>
        <w:t xml:space="preserve"> </w:t>
      </w:r>
      <w:r w:rsidR="001A3D8E" w:rsidRPr="00CF2184">
        <w:rPr>
          <w:i/>
        </w:rPr>
        <w:t>solicited</w:t>
      </w:r>
      <w:r w:rsidR="00733EEE">
        <w:rPr>
          <w:i/>
        </w:rPr>
        <w:t xml:space="preserve"> </w:t>
      </w:r>
      <w:r w:rsidR="001A3D8E" w:rsidRPr="00CF2184">
        <w:rPr>
          <w:i/>
        </w:rPr>
        <w:t>by</w:t>
      </w:r>
      <w:r w:rsidR="00733EEE">
        <w:rPr>
          <w:i/>
        </w:rPr>
        <w:t xml:space="preserve"> </w:t>
      </w:r>
      <w:r w:rsidR="001A3D8E" w:rsidRPr="00CF2184">
        <w:rPr>
          <w:i/>
        </w:rPr>
        <w:t>competitor</w:t>
      </w:r>
      <w:r w:rsidR="00733EEE">
        <w:rPr>
          <w:i/>
        </w:rPr>
        <w:t xml:space="preserve"> </w:t>
      </w:r>
      <w:r w:rsidR="001A3D8E" w:rsidRPr="00CF2184">
        <w:rPr>
          <w:i/>
        </w:rPr>
        <w:t>agency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Retail</w:t>
      </w:r>
      <w:r w:rsidR="00733EEE">
        <w:rPr>
          <w:i/>
        </w:rPr>
        <w:t xml:space="preserve"> </w:t>
      </w:r>
      <w:r w:rsidR="001A3D8E" w:rsidRPr="00CF2184">
        <w:rPr>
          <w:i/>
        </w:rPr>
        <w:t>dealer</w:t>
      </w:r>
      <w:r w:rsidR="00733EEE">
        <w:rPr>
          <w:i/>
        </w:rPr>
        <w:t xml:space="preserve"> </w:t>
      </w:r>
      <w:r w:rsidR="001A3D8E" w:rsidRPr="00CF2184">
        <w:rPr>
          <w:i/>
        </w:rPr>
        <w:t>suing</w:t>
      </w:r>
      <w:r w:rsidR="00733EEE">
        <w:rPr>
          <w:i/>
        </w:rPr>
        <w:t xml:space="preserve"> </w:t>
      </w:r>
      <w:r w:rsidR="001A3D8E" w:rsidRPr="00CF2184">
        <w:rPr>
          <w:i/>
        </w:rPr>
        <w:t>company</w:t>
      </w:r>
      <w:r w:rsidR="00733EEE">
        <w:rPr>
          <w:i/>
        </w:rPr>
        <w:t xml:space="preserve"> </w:t>
      </w:r>
      <w:r w:rsidR="001A3D8E" w:rsidRPr="00CF2184">
        <w:rPr>
          <w:i/>
        </w:rPr>
        <w:t>and</w:t>
      </w:r>
      <w:r w:rsidR="00733EEE">
        <w:rPr>
          <w:i/>
        </w:rPr>
        <w:t xml:space="preserve"> </w:t>
      </w:r>
      <w:r w:rsidR="001A3D8E" w:rsidRPr="00CF2184">
        <w:rPr>
          <w:i/>
        </w:rPr>
        <w:t>competitor</w:t>
      </w:r>
      <w:r w:rsidR="00733EEE">
        <w:rPr>
          <w:i/>
        </w:rPr>
        <w:t xml:space="preserve"> </w:t>
      </w:r>
      <w:r w:rsidR="001A3D8E" w:rsidRPr="00CF2184">
        <w:rPr>
          <w:i/>
        </w:rPr>
        <w:t>agency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Whether</w:t>
      </w:r>
      <w:r w:rsidR="00733EEE">
        <w:rPr>
          <w:i/>
        </w:rPr>
        <w:t xml:space="preserve"> </w:t>
      </w:r>
      <w:r w:rsidR="001A3D8E" w:rsidRPr="00CF2184">
        <w:rPr>
          <w:i/>
        </w:rPr>
        <w:t>common</w:t>
      </w:r>
      <w:r w:rsidR="00733EEE">
        <w:rPr>
          <w:i/>
        </w:rPr>
        <w:t xml:space="preserve"> </w:t>
      </w:r>
      <w:r w:rsidR="001A3D8E" w:rsidRPr="00CF2184">
        <w:rPr>
          <w:i/>
        </w:rPr>
        <w:t>law</w:t>
      </w:r>
      <w:r w:rsidR="00733EEE">
        <w:rPr>
          <w:i/>
        </w:rPr>
        <w:t xml:space="preserve"> </w:t>
      </w:r>
      <w:r w:rsidR="001A3D8E" w:rsidRPr="00CF2184">
        <w:rPr>
          <w:i/>
        </w:rPr>
        <w:t>requiring</w:t>
      </w:r>
      <w:r w:rsidR="00733EEE">
        <w:rPr>
          <w:i/>
        </w:rPr>
        <w:t xml:space="preserve"> </w:t>
      </w:r>
      <w:r w:rsidR="001A3D8E" w:rsidRPr="00CF2184">
        <w:rPr>
          <w:i/>
        </w:rPr>
        <w:t>new</w:t>
      </w:r>
      <w:r w:rsidR="00733EEE">
        <w:rPr>
          <w:i/>
        </w:rPr>
        <w:t xml:space="preserve"> </w:t>
      </w:r>
      <w:r w:rsidR="001A3D8E" w:rsidRPr="00CF2184">
        <w:rPr>
          <w:i/>
        </w:rPr>
        <w:t>general</w:t>
      </w:r>
      <w:r w:rsidR="00733EEE">
        <w:rPr>
          <w:i/>
        </w:rPr>
        <w:t xml:space="preserve"> </w:t>
      </w:r>
      <w:r w:rsidR="001A3D8E" w:rsidRPr="00CF2184">
        <w:rPr>
          <w:i/>
        </w:rPr>
        <w:t>duty</w:t>
      </w:r>
      <w:r w:rsidR="00733EEE">
        <w:rPr>
          <w:i/>
        </w:rPr>
        <w:t xml:space="preserve"> </w:t>
      </w:r>
      <w:r w:rsidR="001A3D8E" w:rsidRPr="00CF2184">
        <w:rPr>
          <w:i/>
        </w:rPr>
        <w:t>of</w:t>
      </w:r>
      <w:r w:rsidR="00733EEE">
        <w:rPr>
          <w:i/>
        </w:rPr>
        <w:t xml:space="preserve"> </w:t>
      </w:r>
      <w:r w:rsidR="001A3D8E" w:rsidRPr="00CF2184">
        <w:rPr>
          <w:i/>
        </w:rPr>
        <w:t>honesty</w:t>
      </w:r>
      <w:r w:rsidR="00733EEE">
        <w:rPr>
          <w:i/>
        </w:rPr>
        <w:t xml:space="preserve"> </w:t>
      </w:r>
      <w:r w:rsidR="001A3D8E" w:rsidRPr="00CF2184">
        <w:rPr>
          <w:i/>
        </w:rPr>
        <w:t>in</w:t>
      </w:r>
      <w:r w:rsidR="00733EEE">
        <w:rPr>
          <w:i/>
        </w:rPr>
        <w:t xml:space="preserve"> </w:t>
      </w:r>
      <w:r w:rsidR="001A3D8E" w:rsidRPr="00CF2184">
        <w:rPr>
          <w:i/>
        </w:rPr>
        <w:t>contractual</w:t>
      </w:r>
      <w:r w:rsidR="00733EEE">
        <w:rPr>
          <w:i/>
        </w:rPr>
        <w:t xml:space="preserve"> </w:t>
      </w:r>
      <w:r w:rsidR="001A3D8E" w:rsidRPr="00CF2184">
        <w:rPr>
          <w:i/>
        </w:rPr>
        <w:t>performance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="001A3D8E" w:rsidRPr="00CF2184">
        <w:rPr>
          <w:i/>
        </w:rPr>
        <w:t>Whether</w:t>
      </w:r>
      <w:r w:rsidR="00733EEE">
        <w:rPr>
          <w:i/>
        </w:rPr>
        <w:t xml:space="preserve"> </w:t>
      </w:r>
      <w:r w:rsidR="001A3D8E" w:rsidRPr="00CF2184">
        <w:rPr>
          <w:i/>
        </w:rPr>
        <w:t>company</w:t>
      </w:r>
      <w:r w:rsidR="00733EEE">
        <w:rPr>
          <w:i/>
        </w:rPr>
        <w:t xml:space="preserve"> </w:t>
      </w:r>
      <w:r w:rsidR="001A3D8E" w:rsidRPr="00CF2184">
        <w:rPr>
          <w:i/>
        </w:rPr>
        <w:t>breachin</w:t>
      </w:r>
      <w:r w:rsidR="00B94ED1" w:rsidRPr="00CF2184">
        <w:rPr>
          <w:i/>
        </w:rPr>
        <w:t>g</w:t>
      </w:r>
      <w:r w:rsidR="00733EEE">
        <w:rPr>
          <w:i/>
        </w:rPr>
        <w:t xml:space="preserve"> </w:t>
      </w:r>
      <w:r w:rsidR="00B94ED1" w:rsidRPr="00CF2184">
        <w:rPr>
          <w:i/>
        </w:rPr>
        <w:t>that</w:t>
      </w:r>
      <w:r w:rsidR="00733EEE">
        <w:rPr>
          <w:i/>
        </w:rPr>
        <w:t xml:space="preserve"> </w:t>
      </w:r>
      <w:r w:rsidR="00B94ED1" w:rsidRPr="00CF2184">
        <w:rPr>
          <w:i/>
        </w:rPr>
        <w:t>duty.</w:t>
      </w:r>
    </w:p>
    <w:p w:rsidR="001A3D8E" w:rsidRPr="00CF2184" w:rsidRDefault="001A3D8E" w:rsidP="00733EEE">
      <w:pPr>
        <w:pStyle w:val="SCCNormalDoubleSpacing"/>
        <w:rPr>
          <w:i/>
        </w:rPr>
      </w:pPr>
      <w:r w:rsidRPr="00CF2184">
        <w:rPr>
          <w:i/>
        </w:rPr>
        <w:lastRenderedPageBreak/>
        <w:tab/>
        <w:t>Damages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Quantum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Contracts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Breach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Performance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Non</w:t>
      </w:r>
      <w:r w:rsidR="00733EEE">
        <w:rPr>
          <w:i/>
        </w:rPr>
        <w:t>-</w:t>
      </w:r>
      <w:r w:rsidRPr="00CF2184">
        <w:rPr>
          <w:i/>
        </w:rPr>
        <w:t>renewal</w:t>
      </w:r>
      <w:r w:rsidR="00733EEE">
        <w:rPr>
          <w:i/>
        </w:rPr>
        <w:t xml:space="preserve"> </w:t>
      </w:r>
      <w:r w:rsidRPr="00CF2184">
        <w:rPr>
          <w:i/>
        </w:rPr>
        <w:t>provision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Duty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good</w:t>
      </w:r>
      <w:r w:rsidR="00733EEE">
        <w:rPr>
          <w:i/>
        </w:rPr>
        <w:t xml:space="preserve"> </w:t>
      </w:r>
      <w:r w:rsidRPr="00CF2184">
        <w:rPr>
          <w:i/>
        </w:rPr>
        <w:t>faith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Duty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honest</w:t>
      </w:r>
      <w:r w:rsidR="00733EEE">
        <w:rPr>
          <w:i/>
        </w:rPr>
        <w:t xml:space="preserve"> </w:t>
      </w:r>
      <w:r w:rsidRPr="00CF2184">
        <w:rPr>
          <w:i/>
        </w:rPr>
        <w:t>performance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Agreement</w:t>
      </w:r>
      <w:r w:rsidR="00733EEE">
        <w:rPr>
          <w:i/>
        </w:rPr>
        <w:t xml:space="preserve"> </w:t>
      </w:r>
      <w:r w:rsidRPr="00CF2184">
        <w:rPr>
          <w:i/>
        </w:rPr>
        <w:t>governing</w:t>
      </w:r>
      <w:r w:rsidR="00733EEE">
        <w:rPr>
          <w:i/>
        </w:rPr>
        <w:t xml:space="preserve"> </w:t>
      </w:r>
      <w:r w:rsidRPr="00CF2184">
        <w:rPr>
          <w:i/>
        </w:rPr>
        <w:t>relationship</w:t>
      </w:r>
      <w:r w:rsidR="00733EEE">
        <w:rPr>
          <w:i/>
        </w:rPr>
        <w:t xml:space="preserve"> </w:t>
      </w:r>
      <w:r w:rsidRPr="00CF2184">
        <w:rPr>
          <w:i/>
        </w:rPr>
        <w:t>between</w:t>
      </w:r>
      <w:r w:rsidR="00733EEE">
        <w:rPr>
          <w:i/>
        </w:rPr>
        <w:t xml:space="preserve"> </w:t>
      </w:r>
      <w:r w:rsidRPr="00CF2184">
        <w:rPr>
          <w:i/>
        </w:rPr>
        <w:t>company</w:t>
      </w:r>
      <w:r w:rsidR="00733EEE">
        <w:rPr>
          <w:i/>
        </w:rPr>
        <w:t xml:space="preserve"> </w:t>
      </w:r>
      <w:r w:rsidRPr="00CF2184">
        <w:rPr>
          <w:i/>
        </w:rPr>
        <w:t>and</w:t>
      </w:r>
      <w:r w:rsidR="00733EEE">
        <w:rPr>
          <w:i/>
        </w:rPr>
        <w:t xml:space="preserve"> </w:t>
      </w:r>
      <w:r w:rsidRPr="00CF2184">
        <w:rPr>
          <w:i/>
        </w:rPr>
        <w:t>retail</w:t>
      </w:r>
      <w:r w:rsidR="00733EEE">
        <w:rPr>
          <w:i/>
        </w:rPr>
        <w:t xml:space="preserve"> </w:t>
      </w:r>
      <w:r w:rsidRPr="00CF2184">
        <w:rPr>
          <w:i/>
        </w:rPr>
        <w:t>dealer</w:t>
      </w:r>
      <w:r w:rsidR="00733EEE">
        <w:rPr>
          <w:i/>
        </w:rPr>
        <w:t xml:space="preserve"> </w:t>
      </w:r>
      <w:r w:rsidRPr="00CF2184">
        <w:rPr>
          <w:i/>
        </w:rPr>
        <w:t>providing</w:t>
      </w:r>
      <w:r w:rsidR="00733EEE">
        <w:rPr>
          <w:i/>
        </w:rPr>
        <w:t xml:space="preserve"> </w:t>
      </w:r>
      <w:r w:rsidRPr="00CF2184">
        <w:rPr>
          <w:i/>
        </w:rPr>
        <w:t>for</w:t>
      </w:r>
      <w:r w:rsidR="00733EEE">
        <w:rPr>
          <w:i/>
        </w:rPr>
        <w:t xml:space="preserve"> </w:t>
      </w:r>
      <w:r w:rsidRPr="00CF2184">
        <w:rPr>
          <w:i/>
        </w:rPr>
        <w:t>automatic</w:t>
      </w:r>
      <w:r w:rsidR="00733EEE">
        <w:rPr>
          <w:i/>
        </w:rPr>
        <w:t xml:space="preserve"> </w:t>
      </w:r>
      <w:r w:rsidRPr="00CF2184">
        <w:rPr>
          <w:i/>
        </w:rPr>
        <w:t>contract</w:t>
      </w:r>
      <w:r w:rsidR="00733EEE">
        <w:rPr>
          <w:i/>
        </w:rPr>
        <w:t xml:space="preserve"> </w:t>
      </w:r>
      <w:r w:rsidRPr="00CF2184">
        <w:rPr>
          <w:i/>
        </w:rPr>
        <w:t>renewal</w:t>
      </w:r>
      <w:r w:rsidR="00733EEE">
        <w:rPr>
          <w:i/>
        </w:rPr>
        <w:t xml:space="preserve"> </w:t>
      </w:r>
      <w:r w:rsidRPr="00CF2184">
        <w:rPr>
          <w:i/>
        </w:rPr>
        <w:t>at</w:t>
      </w:r>
      <w:r w:rsidR="00733EEE">
        <w:rPr>
          <w:i/>
        </w:rPr>
        <w:t xml:space="preserve"> </w:t>
      </w:r>
      <w:r w:rsidRPr="00CF2184">
        <w:rPr>
          <w:i/>
        </w:rPr>
        <w:t>end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three</w:t>
      </w:r>
      <w:r w:rsidR="00733EEE">
        <w:rPr>
          <w:i/>
        </w:rPr>
        <w:t>-</w:t>
      </w:r>
      <w:r w:rsidRPr="00CF2184">
        <w:rPr>
          <w:i/>
        </w:rPr>
        <w:t>year</w:t>
      </w:r>
      <w:r w:rsidR="00733EEE">
        <w:rPr>
          <w:i/>
        </w:rPr>
        <w:t xml:space="preserve"> </w:t>
      </w:r>
      <w:r w:rsidRPr="00CF2184">
        <w:rPr>
          <w:i/>
        </w:rPr>
        <w:t>term</w:t>
      </w:r>
      <w:r w:rsidR="00733EEE">
        <w:rPr>
          <w:i/>
        </w:rPr>
        <w:t xml:space="preserve"> </w:t>
      </w:r>
      <w:r w:rsidRPr="00CF2184">
        <w:rPr>
          <w:i/>
        </w:rPr>
        <w:t>unless</w:t>
      </w:r>
      <w:r w:rsidR="00733EEE">
        <w:rPr>
          <w:i/>
        </w:rPr>
        <w:t xml:space="preserve"> </w:t>
      </w:r>
      <w:r w:rsidRPr="00CF2184">
        <w:rPr>
          <w:i/>
        </w:rPr>
        <w:t>parties</w:t>
      </w:r>
      <w:r w:rsidR="00733EEE">
        <w:rPr>
          <w:i/>
        </w:rPr>
        <w:t xml:space="preserve"> </w:t>
      </w:r>
      <w:r w:rsidRPr="00CF2184">
        <w:rPr>
          <w:i/>
        </w:rPr>
        <w:t>giving</w:t>
      </w:r>
      <w:r w:rsidR="00733EEE">
        <w:rPr>
          <w:i/>
        </w:rPr>
        <w:t xml:space="preserve"> </w:t>
      </w:r>
      <w:r w:rsidRPr="00CF2184">
        <w:rPr>
          <w:i/>
        </w:rPr>
        <w:t>six</w:t>
      </w:r>
      <w:r w:rsidR="00733EEE">
        <w:rPr>
          <w:i/>
        </w:rPr>
        <w:t xml:space="preserve"> </w:t>
      </w:r>
      <w:r w:rsidRPr="00CF2184">
        <w:rPr>
          <w:i/>
        </w:rPr>
        <w:t>months’</w:t>
      </w:r>
      <w:r w:rsidR="00733EEE">
        <w:rPr>
          <w:i/>
        </w:rPr>
        <w:t xml:space="preserve"> </w:t>
      </w:r>
      <w:r w:rsidRPr="00CF2184">
        <w:rPr>
          <w:i/>
        </w:rPr>
        <w:t>written</w:t>
      </w:r>
      <w:r w:rsidR="00733EEE">
        <w:rPr>
          <w:i/>
        </w:rPr>
        <w:t xml:space="preserve"> </w:t>
      </w:r>
      <w:r w:rsidRPr="00CF2184">
        <w:rPr>
          <w:i/>
        </w:rPr>
        <w:t>notice</w:t>
      </w:r>
      <w:r w:rsidR="00733EEE">
        <w:rPr>
          <w:i/>
        </w:rPr>
        <w:t xml:space="preserve"> </w:t>
      </w:r>
      <w:r w:rsidRPr="00CF2184">
        <w:rPr>
          <w:i/>
        </w:rPr>
        <w:t>to</w:t>
      </w:r>
      <w:r w:rsidR="00733EEE">
        <w:rPr>
          <w:i/>
        </w:rPr>
        <w:t xml:space="preserve"> </w:t>
      </w:r>
      <w:r w:rsidRPr="00CF2184">
        <w:rPr>
          <w:i/>
        </w:rPr>
        <w:t>contrary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Company</w:t>
      </w:r>
      <w:r w:rsidR="00733EEE">
        <w:rPr>
          <w:i/>
        </w:rPr>
        <w:t xml:space="preserve"> </w:t>
      </w:r>
      <w:r w:rsidRPr="00CF2184">
        <w:rPr>
          <w:i/>
        </w:rPr>
        <w:t>deciding</w:t>
      </w:r>
      <w:r w:rsidR="00733EEE">
        <w:rPr>
          <w:i/>
        </w:rPr>
        <w:t xml:space="preserve"> </w:t>
      </w:r>
      <w:r w:rsidRPr="00CF2184">
        <w:rPr>
          <w:i/>
        </w:rPr>
        <w:t>not</w:t>
      </w:r>
      <w:r w:rsidR="00733EEE">
        <w:rPr>
          <w:i/>
        </w:rPr>
        <w:t xml:space="preserve"> </w:t>
      </w:r>
      <w:r w:rsidRPr="00CF2184">
        <w:rPr>
          <w:i/>
        </w:rPr>
        <w:t>to</w:t>
      </w:r>
      <w:r w:rsidR="00733EEE">
        <w:rPr>
          <w:i/>
        </w:rPr>
        <w:t xml:space="preserve"> </w:t>
      </w:r>
      <w:r w:rsidRPr="00CF2184">
        <w:rPr>
          <w:i/>
        </w:rPr>
        <w:t>renew</w:t>
      </w:r>
      <w:r w:rsidR="00733EEE">
        <w:rPr>
          <w:i/>
        </w:rPr>
        <w:t xml:space="preserve"> </w:t>
      </w:r>
      <w:r w:rsidRPr="00CF2184">
        <w:rPr>
          <w:i/>
        </w:rPr>
        <w:t>dealership</w:t>
      </w:r>
      <w:r w:rsidR="00733EEE">
        <w:rPr>
          <w:i/>
        </w:rPr>
        <w:t xml:space="preserve"> </w:t>
      </w:r>
      <w:r w:rsidRPr="00CF2184">
        <w:rPr>
          <w:i/>
        </w:rPr>
        <w:t>agreement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Retail</w:t>
      </w:r>
      <w:r w:rsidR="00733EEE">
        <w:rPr>
          <w:i/>
        </w:rPr>
        <w:t xml:space="preserve"> </w:t>
      </w:r>
      <w:r w:rsidRPr="00CF2184">
        <w:rPr>
          <w:i/>
        </w:rPr>
        <w:t>dealer</w:t>
      </w:r>
      <w:r w:rsidR="00733EEE">
        <w:rPr>
          <w:i/>
        </w:rPr>
        <w:t xml:space="preserve"> </w:t>
      </w:r>
      <w:r w:rsidRPr="00CF2184">
        <w:rPr>
          <w:i/>
        </w:rPr>
        <w:t>lost</w:t>
      </w:r>
      <w:r w:rsidR="00733EEE">
        <w:rPr>
          <w:i/>
        </w:rPr>
        <w:t xml:space="preserve"> </w:t>
      </w:r>
      <w:r w:rsidRPr="00CF2184">
        <w:rPr>
          <w:i/>
        </w:rPr>
        <w:t>value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business</w:t>
      </w:r>
      <w:r w:rsidR="00733EEE">
        <w:rPr>
          <w:i/>
        </w:rPr>
        <w:t xml:space="preserve"> </w:t>
      </w:r>
      <w:r w:rsidRPr="00CF2184">
        <w:rPr>
          <w:i/>
        </w:rPr>
        <w:t>and</w:t>
      </w:r>
      <w:r w:rsidR="00733EEE">
        <w:rPr>
          <w:i/>
        </w:rPr>
        <w:t xml:space="preserve"> </w:t>
      </w:r>
      <w:r w:rsidRPr="00CF2184">
        <w:rPr>
          <w:i/>
        </w:rPr>
        <w:t>majority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sales</w:t>
      </w:r>
      <w:r w:rsidR="00733EEE">
        <w:rPr>
          <w:i/>
        </w:rPr>
        <w:t xml:space="preserve"> </w:t>
      </w:r>
      <w:r w:rsidRPr="00CF2184">
        <w:rPr>
          <w:i/>
        </w:rPr>
        <w:t>agents</w:t>
      </w:r>
      <w:r w:rsidR="00733EEE">
        <w:rPr>
          <w:i/>
        </w:rPr>
        <w:t xml:space="preserve"> </w:t>
      </w:r>
      <w:r w:rsidRPr="00CF2184">
        <w:rPr>
          <w:i/>
        </w:rPr>
        <w:t>solicited</w:t>
      </w:r>
      <w:r w:rsidR="00733EEE">
        <w:rPr>
          <w:i/>
        </w:rPr>
        <w:t xml:space="preserve"> </w:t>
      </w:r>
      <w:r w:rsidRPr="00CF2184">
        <w:rPr>
          <w:i/>
        </w:rPr>
        <w:t>by</w:t>
      </w:r>
      <w:r w:rsidR="00733EEE">
        <w:rPr>
          <w:i/>
        </w:rPr>
        <w:t xml:space="preserve"> </w:t>
      </w:r>
      <w:r w:rsidRPr="00CF2184">
        <w:rPr>
          <w:i/>
        </w:rPr>
        <w:t>competitor</w:t>
      </w:r>
      <w:r w:rsidR="00733EEE">
        <w:rPr>
          <w:i/>
        </w:rPr>
        <w:t xml:space="preserve"> </w:t>
      </w:r>
      <w:r w:rsidRPr="00CF2184">
        <w:rPr>
          <w:i/>
        </w:rPr>
        <w:t>agency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Retail</w:t>
      </w:r>
      <w:r w:rsidR="00733EEE">
        <w:rPr>
          <w:i/>
        </w:rPr>
        <w:t xml:space="preserve"> </w:t>
      </w:r>
      <w:r w:rsidRPr="00CF2184">
        <w:rPr>
          <w:i/>
        </w:rPr>
        <w:t>dealer</w:t>
      </w:r>
      <w:r w:rsidR="00733EEE">
        <w:rPr>
          <w:i/>
        </w:rPr>
        <w:t xml:space="preserve"> </w:t>
      </w:r>
      <w:r w:rsidRPr="00CF2184">
        <w:rPr>
          <w:i/>
        </w:rPr>
        <w:t>suing</w:t>
      </w:r>
      <w:r w:rsidR="00733EEE">
        <w:rPr>
          <w:i/>
        </w:rPr>
        <w:t xml:space="preserve"> </w:t>
      </w:r>
      <w:r w:rsidRPr="00CF2184">
        <w:rPr>
          <w:i/>
        </w:rPr>
        <w:t>company</w:t>
      </w:r>
      <w:r w:rsidR="00733EEE">
        <w:rPr>
          <w:i/>
        </w:rPr>
        <w:t xml:space="preserve"> </w:t>
      </w:r>
      <w:r w:rsidRPr="00CF2184">
        <w:rPr>
          <w:i/>
        </w:rPr>
        <w:t>and</w:t>
      </w:r>
      <w:r w:rsidR="00733EEE">
        <w:rPr>
          <w:i/>
        </w:rPr>
        <w:t xml:space="preserve"> </w:t>
      </w:r>
      <w:r w:rsidRPr="00CF2184">
        <w:rPr>
          <w:i/>
        </w:rPr>
        <w:t>competitor</w:t>
      </w:r>
      <w:r w:rsidR="00733EEE">
        <w:rPr>
          <w:i/>
        </w:rPr>
        <w:t xml:space="preserve"> </w:t>
      </w:r>
      <w:r w:rsidRPr="00CF2184">
        <w:rPr>
          <w:i/>
        </w:rPr>
        <w:t>agency</w:t>
      </w:r>
      <w:r w:rsidR="00733EEE">
        <w:rPr>
          <w:i/>
        </w:rPr>
        <w:t xml:space="preserve"> </w:t>
      </w:r>
      <w:r w:rsidR="00A506C5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What</w:t>
      </w:r>
      <w:r w:rsidR="00733EEE">
        <w:rPr>
          <w:i/>
        </w:rPr>
        <w:t xml:space="preserve"> </w:t>
      </w:r>
      <w:r w:rsidRPr="00CF2184">
        <w:rPr>
          <w:i/>
        </w:rPr>
        <w:t>is</w:t>
      </w:r>
      <w:r w:rsidR="00733EEE">
        <w:rPr>
          <w:i/>
        </w:rPr>
        <w:t xml:space="preserve"> </w:t>
      </w:r>
      <w:r w:rsidRPr="00CF2184">
        <w:rPr>
          <w:i/>
        </w:rPr>
        <w:t>appropriate</w:t>
      </w:r>
      <w:r w:rsidR="00733EEE">
        <w:rPr>
          <w:i/>
        </w:rPr>
        <w:t xml:space="preserve"> </w:t>
      </w:r>
      <w:r w:rsidRPr="00CF2184">
        <w:rPr>
          <w:i/>
        </w:rPr>
        <w:t>measure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damages.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C</w:t>
      </w:r>
      <w:r w:rsidR="00733EEE">
        <w:t xml:space="preserve"> </w:t>
      </w:r>
      <w:r w:rsidRPr="00CF2184">
        <w:t>markets</w:t>
      </w:r>
      <w:r w:rsidR="00733EEE">
        <w:t xml:space="preserve"> </w:t>
      </w:r>
      <w:r w:rsidRPr="00CF2184">
        <w:t>education</w:t>
      </w:r>
      <w:r w:rsidR="00733EEE">
        <w:t xml:space="preserve"> </w:t>
      </w:r>
      <w:r w:rsidRPr="00CF2184">
        <w:t>savings</w:t>
      </w:r>
      <w:r w:rsidR="00733EEE">
        <w:t xml:space="preserve"> </w:t>
      </w:r>
      <w:r w:rsidRPr="00CF2184">
        <w:t>plans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investors</w:t>
      </w:r>
      <w:r w:rsidR="00733EEE">
        <w:t xml:space="preserve"> </w:t>
      </w:r>
      <w:r w:rsidRPr="00CF2184">
        <w:t>through</w:t>
      </w:r>
      <w:r w:rsidR="00733EEE">
        <w:t xml:space="preserve"> </w:t>
      </w:r>
      <w:r w:rsidRPr="00CF2184">
        <w:t>retail</w:t>
      </w:r>
      <w:r w:rsidR="00733EEE">
        <w:t xml:space="preserve"> </w:t>
      </w:r>
      <w:r w:rsidRPr="00CF2184">
        <w:t>dealers,</w:t>
      </w:r>
      <w:r w:rsidR="00733EEE">
        <w:t xml:space="preserve"> </w:t>
      </w:r>
      <w:r w:rsidRPr="00CF2184">
        <w:t>known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enrollment</w:t>
      </w:r>
      <w:r w:rsidR="00733EEE">
        <w:t xml:space="preserve"> </w:t>
      </w:r>
      <w:r w:rsidRPr="00CF2184">
        <w:t>directors,</w:t>
      </w:r>
      <w:r w:rsidR="00733EEE">
        <w:t xml:space="preserve"> </w:t>
      </w:r>
      <w:r w:rsidRPr="00CF2184">
        <w:t>such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B.</w:t>
      </w:r>
      <w:r w:rsidR="00733EEE">
        <w:t xml:space="preserve">  </w:t>
      </w:r>
      <w:r w:rsidRPr="00CF2184">
        <w:t>An</w:t>
      </w:r>
      <w:r w:rsidR="00733EEE">
        <w:t xml:space="preserve"> </w:t>
      </w:r>
      <w:r w:rsidRPr="00CF2184">
        <w:t>enrollment</w:t>
      </w:r>
      <w:r w:rsidR="00733EEE">
        <w:t xml:space="preserve"> </w:t>
      </w:r>
      <w:r w:rsidRPr="00CF2184">
        <w:t>director’s</w:t>
      </w:r>
      <w:r w:rsidR="00733EEE">
        <w:t xml:space="preserve"> </w:t>
      </w:r>
      <w:r w:rsidRPr="00CF2184">
        <w:t>agreement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took</w:t>
      </w:r>
      <w:r w:rsidR="00733EEE">
        <w:t xml:space="preserve"> </w:t>
      </w:r>
      <w:r w:rsidRPr="00CF2184">
        <w:t>effect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1998</w:t>
      </w:r>
      <w:r w:rsidR="00733EEE">
        <w:t xml:space="preserve"> </w:t>
      </w:r>
      <w:r w:rsidRPr="00CF2184">
        <w:t>governed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relationship</w:t>
      </w:r>
      <w:r w:rsidR="00733EEE">
        <w:t xml:space="preserve"> </w:t>
      </w:r>
      <w:r w:rsidRPr="00CF2184">
        <w:t>between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B.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term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was</w:t>
      </w:r>
      <w:r w:rsidR="00733EEE">
        <w:t xml:space="preserve"> </w:t>
      </w:r>
      <w:r w:rsidRPr="00CF2184">
        <w:t>three</w:t>
      </w:r>
      <w:r w:rsidR="00733EEE">
        <w:t xml:space="preserve"> </w:t>
      </w:r>
      <w:r w:rsidRPr="00CF2184">
        <w:t>years.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applicable</w:t>
      </w:r>
      <w:r w:rsidR="00733EEE">
        <w:t xml:space="preserve"> </w:t>
      </w:r>
      <w:r w:rsidRPr="00CF2184">
        <w:t>provision</w:t>
      </w:r>
      <w:r w:rsidR="00733EEE">
        <w:t xml:space="preserve"> </w:t>
      </w:r>
      <w:r w:rsidRPr="00CF2184">
        <w:t>provided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would</w:t>
      </w:r>
      <w:r w:rsidR="00733EEE">
        <w:t xml:space="preserve"> </w:t>
      </w:r>
      <w:r w:rsidRPr="00CF2184">
        <w:t>automatically</w:t>
      </w:r>
      <w:r w:rsidR="00733EEE">
        <w:t xml:space="preserve"> </w:t>
      </w:r>
      <w:r w:rsidRPr="00CF2184">
        <w:t>renew</w:t>
      </w:r>
      <w:r w:rsidR="00733EEE">
        <w:t xml:space="preserve"> </w:t>
      </w:r>
      <w:r w:rsidRPr="00CF2184">
        <w:t>at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end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three</w:t>
      </w:r>
      <w:r w:rsidR="00DB021D">
        <w:t>-</w:t>
      </w:r>
      <w:r w:rsidRPr="00CF2184">
        <w:t>year</w:t>
      </w:r>
      <w:r w:rsidR="00733EEE">
        <w:t xml:space="preserve"> </w:t>
      </w:r>
      <w:r w:rsidRPr="00CF2184">
        <w:t>term</w:t>
      </w:r>
      <w:r w:rsidR="00733EEE">
        <w:t xml:space="preserve"> </w:t>
      </w:r>
      <w:r w:rsidRPr="00CF2184">
        <w:t>unless</w:t>
      </w:r>
      <w:r w:rsidR="00733EEE">
        <w:t xml:space="preserve"> </w:t>
      </w:r>
      <w:r w:rsidRPr="00CF2184">
        <w:t>one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parties</w:t>
      </w:r>
      <w:r w:rsidR="00733EEE">
        <w:t xml:space="preserve"> </w:t>
      </w:r>
      <w:r w:rsidRPr="00CF2184">
        <w:t>gave</w:t>
      </w:r>
      <w:r w:rsidR="00733EEE">
        <w:t xml:space="preserve"> </w:t>
      </w:r>
      <w:r w:rsidRPr="00CF2184">
        <w:t>six</w:t>
      </w:r>
      <w:r w:rsidR="00733EEE">
        <w:t xml:space="preserve"> </w:t>
      </w:r>
      <w:r w:rsidRPr="00CF2184">
        <w:t>months’</w:t>
      </w:r>
      <w:r w:rsidR="00733EEE">
        <w:t xml:space="preserve"> </w:t>
      </w:r>
      <w:r w:rsidRPr="00CF2184">
        <w:t>written</w:t>
      </w:r>
      <w:r w:rsidR="00733EEE">
        <w:t xml:space="preserve"> </w:t>
      </w:r>
      <w:r w:rsidRPr="00CF2184">
        <w:t>notice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contrary.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H</w:t>
      </w:r>
      <w:r w:rsidR="00733EEE">
        <w:t xml:space="preserve"> </w:t>
      </w:r>
      <w:r w:rsidRPr="00CF2184">
        <w:t>was</w:t>
      </w:r>
      <w:r w:rsidR="00733EEE">
        <w:t xml:space="preserve"> </w:t>
      </w:r>
      <w:r w:rsidRPr="00CF2184">
        <w:t>another</w:t>
      </w:r>
      <w:r w:rsidR="00733EEE">
        <w:t xml:space="preserve"> </w:t>
      </w:r>
      <w:r w:rsidRPr="00CF2184">
        <w:t>enrollment</w:t>
      </w:r>
      <w:r w:rsidR="00733EEE">
        <w:t xml:space="preserve"> </w:t>
      </w:r>
      <w:r w:rsidRPr="00CF2184">
        <w:t>director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was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competitor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B.</w:t>
      </w:r>
      <w:r w:rsidR="00733EEE">
        <w:t xml:space="preserve">  </w:t>
      </w:r>
      <w:r w:rsidRPr="00CF2184">
        <w:t>H</w:t>
      </w:r>
      <w:r w:rsidR="00733EEE">
        <w:t xml:space="preserve"> </w:t>
      </w:r>
      <w:r w:rsidRPr="00CF2184">
        <w:t>wanted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capture</w:t>
      </w:r>
      <w:r w:rsidR="00733EEE">
        <w:t xml:space="preserve"> </w:t>
      </w:r>
      <w:r w:rsidRPr="00CF2184">
        <w:t>B’s</w:t>
      </w:r>
      <w:r w:rsidR="00733EEE">
        <w:t xml:space="preserve"> </w:t>
      </w:r>
      <w:r w:rsidRPr="00CF2184">
        <w:t>lucrative</w:t>
      </w:r>
      <w:r w:rsidR="00733EEE">
        <w:t xml:space="preserve"> </w:t>
      </w:r>
      <w:r w:rsidRPr="00CF2184">
        <w:t>niche</w:t>
      </w:r>
      <w:r w:rsidR="00733EEE">
        <w:t xml:space="preserve"> </w:t>
      </w:r>
      <w:r w:rsidRPr="00CF2184">
        <w:t>market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previously</w:t>
      </w:r>
      <w:r w:rsidR="00733EEE">
        <w:t xml:space="preserve"> </w:t>
      </w:r>
      <w:r w:rsidRPr="00CF2184">
        <w:t>approached</w:t>
      </w:r>
      <w:r w:rsidR="00733EEE">
        <w:t xml:space="preserve"> </w:t>
      </w:r>
      <w:r w:rsidRPr="00CF2184">
        <w:t>B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propose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merger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their</w:t>
      </w:r>
      <w:r w:rsidR="00733EEE">
        <w:t xml:space="preserve"> </w:t>
      </w:r>
      <w:r w:rsidRPr="00CF2184">
        <w:t>agencies</w:t>
      </w:r>
      <w:r w:rsidR="00733EEE">
        <w:t xml:space="preserve"> </w:t>
      </w:r>
      <w:r w:rsidRPr="00CF2184">
        <w:t>on</w:t>
      </w:r>
      <w:r w:rsidR="00733EEE">
        <w:t xml:space="preserve"> </w:t>
      </w:r>
      <w:r w:rsidRPr="00CF2184">
        <w:t>numerous</w:t>
      </w:r>
      <w:r w:rsidR="00733EEE">
        <w:t xml:space="preserve"> </w:t>
      </w:r>
      <w:r w:rsidRPr="00CF2184">
        <w:t>occasions.</w:t>
      </w:r>
      <w:r w:rsidR="00733EEE">
        <w:t xml:space="preserve"> </w:t>
      </w:r>
      <w:r w:rsidRPr="00CF2184">
        <w:t>He</w:t>
      </w:r>
      <w:r w:rsidR="00733EEE">
        <w:t xml:space="preserve"> </w:t>
      </w:r>
      <w:r w:rsidRPr="00CF2184">
        <w:t>also</w:t>
      </w:r>
      <w:r w:rsidR="00733EEE">
        <w:t xml:space="preserve"> </w:t>
      </w:r>
      <w:r w:rsidRPr="00CF2184">
        <w:t>actively</w:t>
      </w:r>
      <w:r w:rsidR="00733EEE">
        <w:t xml:space="preserve"> </w:t>
      </w:r>
      <w:r w:rsidRPr="00CF2184">
        <w:t>encouraged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force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merger.</w:t>
      </w:r>
      <w:r w:rsidR="00733EEE">
        <w:t xml:space="preserve">  </w:t>
      </w:r>
      <w:r w:rsidRPr="00CF2184">
        <w:t>B</w:t>
      </w:r>
      <w:r w:rsidR="00733EEE">
        <w:t xml:space="preserve"> </w:t>
      </w:r>
      <w:r w:rsidRPr="00CF2184">
        <w:t>had</w:t>
      </w:r>
      <w:r w:rsidR="00733EEE">
        <w:t xml:space="preserve"> </w:t>
      </w:r>
      <w:r w:rsidRPr="00CF2184">
        <w:t>refused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participate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such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merger.</w:t>
      </w:r>
      <w:r w:rsidR="00733EEE">
        <w:t xml:space="preserve">  </w:t>
      </w:r>
      <w:r w:rsidRPr="00CF2184">
        <w:t>C</w:t>
      </w:r>
      <w:r w:rsidR="00733EEE">
        <w:t xml:space="preserve"> </w:t>
      </w:r>
      <w:r w:rsidRPr="00CF2184">
        <w:t>appointed</w:t>
      </w:r>
      <w:r w:rsidR="00733EEE">
        <w:t xml:space="preserve"> </w:t>
      </w:r>
      <w:r w:rsidRPr="00CF2184">
        <w:t>H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provincial</w:t>
      </w:r>
      <w:r w:rsidR="00733EEE">
        <w:t xml:space="preserve"> </w:t>
      </w:r>
      <w:r w:rsidRPr="00CF2184">
        <w:t>trading</w:t>
      </w:r>
      <w:r w:rsidR="00733EEE">
        <w:t xml:space="preserve"> </w:t>
      </w:r>
      <w:r w:rsidRPr="00CF2184">
        <w:t>officer</w:t>
      </w:r>
      <w:r w:rsidR="00733EEE">
        <w:t xml:space="preserve"> </w:t>
      </w:r>
      <w:r w:rsidRPr="00CF2184">
        <w:t>(“PTO”)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review</w:t>
      </w:r>
      <w:r w:rsidR="00733EEE">
        <w:t xml:space="preserve"> </w:t>
      </w:r>
      <w:r w:rsidRPr="00CF2184">
        <w:t>its</w:t>
      </w:r>
      <w:r w:rsidR="00733EEE">
        <w:t xml:space="preserve"> </w:t>
      </w:r>
      <w:r w:rsidRPr="00CF2184">
        <w:t>enrollment</w:t>
      </w:r>
      <w:r w:rsidR="00733EEE">
        <w:t xml:space="preserve"> </w:t>
      </w:r>
      <w:r w:rsidRPr="00CF2184">
        <w:t>directors</w:t>
      </w:r>
      <w:r w:rsidR="00733EEE">
        <w:t xml:space="preserve"> </w:t>
      </w:r>
      <w:r w:rsidRPr="00CF2184">
        <w:t>for</w:t>
      </w:r>
      <w:r w:rsidR="00733EEE">
        <w:t xml:space="preserve"> </w:t>
      </w:r>
      <w:r w:rsidRPr="00CF2184">
        <w:t>compliance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securities</w:t>
      </w:r>
      <w:r w:rsidR="00733EEE">
        <w:t xml:space="preserve"> </w:t>
      </w:r>
      <w:r w:rsidRPr="00CF2184">
        <w:t>laws</w:t>
      </w:r>
      <w:r w:rsidR="00733EEE">
        <w:t xml:space="preserve"> </w:t>
      </w:r>
      <w:r w:rsidRPr="00CF2184">
        <w:t>after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Alberta</w:t>
      </w:r>
      <w:r w:rsidR="00733EEE">
        <w:t xml:space="preserve"> </w:t>
      </w:r>
      <w:r w:rsidRPr="00CF2184">
        <w:t>Securities</w:t>
      </w:r>
      <w:r w:rsidR="00733EEE">
        <w:t xml:space="preserve"> </w:t>
      </w:r>
      <w:r w:rsidRPr="00CF2184">
        <w:t>Commission</w:t>
      </w:r>
      <w:r w:rsidR="00733EEE">
        <w:t xml:space="preserve"> </w:t>
      </w:r>
      <w:r w:rsidRPr="00CF2184">
        <w:t>raised</w:t>
      </w:r>
      <w:r w:rsidR="00733EEE">
        <w:t xml:space="preserve"> </w:t>
      </w:r>
      <w:r w:rsidRPr="00CF2184">
        <w:t>concerns</w:t>
      </w:r>
      <w:r w:rsidR="00733EEE">
        <w:t xml:space="preserve"> </w:t>
      </w:r>
      <w:r w:rsidRPr="00CF2184">
        <w:t>about</w:t>
      </w:r>
      <w:r w:rsidR="00733EEE">
        <w:t xml:space="preserve"> </w:t>
      </w:r>
      <w:r w:rsidRPr="00CF2184">
        <w:t>compliance</w:t>
      </w:r>
      <w:r w:rsidR="00733EEE">
        <w:t xml:space="preserve"> </w:t>
      </w:r>
      <w:r w:rsidRPr="00CF2184">
        <w:t>issues</w:t>
      </w:r>
      <w:r w:rsidR="00733EEE">
        <w:t xml:space="preserve"> </w:t>
      </w:r>
      <w:r w:rsidRPr="00CF2184">
        <w:t>among</w:t>
      </w:r>
      <w:r w:rsidR="00733EEE">
        <w:t xml:space="preserve"> </w:t>
      </w:r>
      <w:r w:rsidRPr="00CF2184">
        <w:t>C’s</w:t>
      </w:r>
      <w:r w:rsidR="00733EEE">
        <w:t xml:space="preserve"> </w:t>
      </w:r>
      <w:r w:rsidRPr="00CF2184">
        <w:t>enrollment</w:t>
      </w:r>
      <w:r w:rsidR="00733EEE">
        <w:t xml:space="preserve"> </w:t>
      </w:r>
      <w:r w:rsidRPr="00CF2184">
        <w:t>directors.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role</w:t>
      </w:r>
      <w:r w:rsidR="00733EEE">
        <w:t xml:space="preserve"> </w:t>
      </w:r>
      <w:r w:rsidRPr="00CF2184">
        <w:t>required</w:t>
      </w:r>
      <w:r w:rsidR="00733EEE">
        <w:t xml:space="preserve"> </w:t>
      </w:r>
      <w:r w:rsidRPr="00CF2184">
        <w:t>H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conduct</w:t>
      </w:r>
      <w:r w:rsidR="00733EEE">
        <w:t xml:space="preserve"> </w:t>
      </w:r>
      <w:r w:rsidRPr="00CF2184">
        <w:lastRenderedPageBreak/>
        <w:t>audits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C’s</w:t>
      </w:r>
      <w:r w:rsidR="00733EEE">
        <w:t xml:space="preserve"> </w:t>
      </w:r>
      <w:r w:rsidRPr="00CF2184">
        <w:t>enrollment</w:t>
      </w:r>
      <w:r w:rsidR="00733EEE">
        <w:t xml:space="preserve"> </w:t>
      </w:r>
      <w:r w:rsidRPr="00CF2184">
        <w:t>directors.</w:t>
      </w:r>
      <w:r w:rsidR="00733EEE">
        <w:t xml:space="preserve">  </w:t>
      </w:r>
      <w:r w:rsidRPr="00CF2184">
        <w:t>B</w:t>
      </w:r>
      <w:r w:rsidR="00733EEE">
        <w:t xml:space="preserve"> </w:t>
      </w:r>
      <w:r w:rsidRPr="00CF2184">
        <w:t>objected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having</w:t>
      </w:r>
      <w:r w:rsidR="00733EEE">
        <w:t xml:space="preserve"> </w:t>
      </w:r>
      <w:r w:rsidRPr="00CF2184">
        <w:t>H,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competitor,</w:t>
      </w:r>
      <w:r w:rsidR="00733EEE">
        <w:t xml:space="preserve"> </w:t>
      </w:r>
      <w:r w:rsidRPr="00CF2184">
        <w:t>review</w:t>
      </w:r>
      <w:r w:rsidR="00733EEE">
        <w:t xml:space="preserve"> </w:t>
      </w:r>
      <w:r w:rsidRPr="00CF2184">
        <w:t>his</w:t>
      </w:r>
      <w:r w:rsidR="00733EEE">
        <w:t xml:space="preserve"> </w:t>
      </w:r>
      <w:r w:rsidRPr="00CF2184">
        <w:t>confidential</w:t>
      </w:r>
      <w:r w:rsidR="00733EEE">
        <w:t xml:space="preserve"> </w:t>
      </w:r>
      <w:r w:rsidRPr="00CF2184">
        <w:t>business</w:t>
      </w:r>
      <w:r w:rsidR="00733EEE">
        <w:t xml:space="preserve"> </w:t>
      </w:r>
      <w:r w:rsidRPr="00CF2184">
        <w:t>records.</w:t>
      </w:r>
      <w:r w:rsidR="00733EEE">
        <w:t xml:space="preserve">  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During</w:t>
      </w:r>
      <w:r w:rsidR="00733EEE">
        <w:t xml:space="preserve"> </w:t>
      </w:r>
      <w:r w:rsidRPr="00CF2184">
        <w:t>C’s</w:t>
      </w:r>
      <w:r w:rsidR="00733EEE">
        <w:t xml:space="preserve"> </w:t>
      </w:r>
      <w:r w:rsidRPr="00CF2184">
        <w:t>discussions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Commission</w:t>
      </w:r>
      <w:r w:rsidR="00733EEE">
        <w:t xml:space="preserve"> </w:t>
      </w:r>
      <w:r w:rsidRPr="00CF2184">
        <w:t>about</w:t>
      </w:r>
      <w:r w:rsidR="00733EEE">
        <w:t xml:space="preserve"> </w:t>
      </w:r>
      <w:r w:rsidRPr="00CF2184">
        <w:t>compliance,</w:t>
      </w:r>
      <w:r w:rsidR="00733EEE">
        <w:t xml:space="preserve"> </w:t>
      </w:r>
      <w:r w:rsidRPr="00CF2184">
        <w:t>it</w:t>
      </w:r>
      <w:r w:rsidR="00733EEE">
        <w:t xml:space="preserve"> </w:t>
      </w:r>
      <w:r w:rsidRPr="00CF2184">
        <w:t>was</w:t>
      </w:r>
      <w:r w:rsidR="00733EEE">
        <w:t xml:space="preserve"> </w:t>
      </w:r>
      <w:r w:rsidRPr="00CF2184">
        <w:t>clear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was</w:t>
      </w:r>
      <w:r w:rsidR="00733EEE">
        <w:t xml:space="preserve"> </w:t>
      </w:r>
      <w:r w:rsidRPr="00CF2184">
        <w:t>considering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restructuring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its</w:t>
      </w:r>
      <w:r w:rsidR="00733EEE">
        <w:t xml:space="preserve"> </w:t>
      </w:r>
      <w:r w:rsidRPr="00CF2184">
        <w:t>agencies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Alberta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involved</w:t>
      </w:r>
      <w:r w:rsidR="00733EEE">
        <w:t xml:space="preserve"> </w:t>
      </w:r>
      <w:r w:rsidRPr="00CF2184">
        <w:t>B.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June</w:t>
      </w:r>
      <w:r w:rsidR="00733EEE">
        <w:t xml:space="preserve"> </w:t>
      </w:r>
      <w:r w:rsidRPr="00CF2184">
        <w:t>2000,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outlined</w:t>
      </w:r>
      <w:r w:rsidR="00733EEE">
        <w:t xml:space="preserve"> </w:t>
      </w:r>
      <w:r w:rsidRPr="00CF2184">
        <w:t>its</w:t>
      </w:r>
      <w:r w:rsidR="00733EEE">
        <w:t xml:space="preserve"> </w:t>
      </w:r>
      <w:r w:rsidRPr="00CF2184">
        <w:t>plans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Commission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they</w:t>
      </w:r>
      <w:r w:rsidR="00733EEE">
        <w:t xml:space="preserve"> </w:t>
      </w:r>
      <w:r w:rsidRPr="00CF2184">
        <w:t>included</w:t>
      </w:r>
      <w:r w:rsidR="00733EEE">
        <w:t xml:space="preserve"> </w:t>
      </w:r>
      <w:r w:rsidRPr="00CF2184">
        <w:t>B</w:t>
      </w:r>
      <w:r w:rsidR="00733EEE">
        <w:t xml:space="preserve"> </w:t>
      </w:r>
      <w:r w:rsidRPr="00CF2184">
        <w:t>working</w:t>
      </w:r>
      <w:r w:rsidR="00733EEE">
        <w:t xml:space="preserve"> </w:t>
      </w:r>
      <w:r w:rsidRPr="00CF2184">
        <w:t>for</w:t>
      </w:r>
      <w:r w:rsidR="00733EEE">
        <w:t xml:space="preserve"> </w:t>
      </w:r>
      <w:r w:rsidRPr="00CF2184">
        <w:t>H’s</w:t>
      </w:r>
      <w:r w:rsidR="00733EEE">
        <w:t xml:space="preserve"> </w:t>
      </w:r>
      <w:r w:rsidRPr="00CF2184">
        <w:t>agency.</w:t>
      </w:r>
      <w:r w:rsidR="00733EEE">
        <w:t xml:space="preserve">  </w:t>
      </w:r>
      <w:r w:rsidRPr="00CF2184">
        <w:t>None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this</w:t>
      </w:r>
      <w:r w:rsidR="00733EEE">
        <w:t xml:space="preserve"> </w:t>
      </w:r>
      <w:r w:rsidRPr="00CF2184">
        <w:t>was</w:t>
      </w:r>
      <w:r w:rsidR="00733EEE">
        <w:t xml:space="preserve"> </w:t>
      </w:r>
      <w:r w:rsidRPr="00CF2184">
        <w:t>known</w:t>
      </w:r>
      <w:r w:rsidR="00733EEE">
        <w:t xml:space="preserve"> </w:t>
      </w:r>
      <w:r w:rsidRPr="00CF2184">
        <w:t>by</w:t>
      </w:r>
      <w:r w:rsidR="00733EEE">
        <w:t xml:space="preserve"> </w:t>
      </w:r>
      <w:r w:rsidRPr="00CF2184">
        <w:t>B.</w:t>
      </w:r>
      <w:r w:rsidR="00733EEE">
        <w:t xml:space="preserve">  </w:t>
      </w:r>
      <w:r w:rsidRPr="00CF2184">
        <w:t>C</w:t>
      </w:r>
      <w:r w:rsidR="00733EEE">
        <w:t xml:space="preserve"> </w:t>
      </w:r>
      <w:r w:rsidRPr="00CF2184">
        <w:t>repeatedly</w:t>
      </w:r>
      <w:r w:rsidR="00733EEE">
        <w:t xml:space="preserve"> </w:t>
      </w:r>
      <w:r w:rsidRPr="00CF2184">
        <w:t>misled</w:t>
      </w:r>
      <w:r w:rsidR="00733EEE">
        <w:t xml:space="preserve"> </w:t>
      </w:r>
      <w:r w:rsidRPr="00CF2184">
        <w:t>B</w:t>
      </w:r>
      <w:r w:rsidR="00733EEE">
        <w:t xml:space="preserve"> </w:t>
      </w:r>
      <w:r w:rsidRPr="00CF2184">
        <w:t>by</w:t>
      </w:r>
      <w:r w:rsidR="00733EEE">
        <w:t xml:space="preserve"> </w:t>
      </w:r>
      <w:r w:rsidRPr="00CF2184">
        <w:t>telling</w:t>
      </w:r>
      <w:r w:rsidR="00733EEE">
        <w:t xml:space="preserve"> </w:t>
      </w:r>
      <w:r w:rsidRPr="00CF2184">
        <w:t>him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H,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PTO,</w:t>
      </w:r>
      <w:r w:rsidR="00733EEE">
        <w:t xml:space="preserve"> </w:t>
      </w:r>
      <w:r w:rsidRPr="00CF2184">
        <w:t>was</w:t>
      </w:r>
      <w:r w:rsidR="00733EEE">
        <w:t xml:space="preserve"> </w:t>
      </w:r>
      <w:r w:rsidRPr="00CF2184">
        <w:t>under</w:t>
      </w:r>
      <w:r w:rsidR="00733EEE">
        <w:t xml:space="preserve"> </w:t>
      </w:r>
      <w:r w:rsidRPr="00CF2184">
        <w:t>an</w:t>
      </w:r>
      <w:r w:rsidR="00733EEE">
        <w:t xml:space="preserve"> </w:t>
      </w:r>
      <w:r w:rsidRPr="00CF2184">
        <w:t>obligation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treat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information</w:t>
      </w:r>
      <w:r w:rsidR="00733EEE">
        <w:t xml:space="preserve"> </w:t>
      </w:r>
      <w:r w:rsidRPr="00CF2184">
        <w:t>confidentially.</w:t>
      </w:r>
      <w:r w:rsidR="00733EEE">
        <w:t xml:space="preserve">  </w:t>
      </w:r>
      <w:r w:rsidRPr="00CF2184">
        <w:t>It</w:t>
      </w:r>
      <w:r w:rsidR="00733EEE">
        <w:t xml:space="preserve"> </w:t>
      </w:r>
      <w:r w:rsidRPr="00CF2184">
        <w:t>also</w:t>
      </w:r>
      <w:r w:rsidR="00733EEE">
        <w:t xml:space="preserve"> </w:t>
      </w:r>
      <w:r w:rsidRPr="00CF2184">
        <w:t>responded</w:t>
      </w:r>
      <w:r w:rsidR="00733EEE">
        <w:t xml:space="preserve"> </w:t>
      </w:r>
      <w:r w:rsidRPr="00CF2184">
        <w:t>equivocally</w:t>
      </w:r>
      <w:r w:rsidR="00733EEE">
        <w:t xml:space="preserve"> </w:t>
      </w:r>
      <w:r w:rsidRPr="00CF2184">
        <w:t>when</w:t>
      </w:r>
      <w:r w:rsidR="00733EEE">
        <w:t xml:space="preserve"> </w:t>
      </w:r>
      <w:r w:rsidRPr="00CF2184">
        <w:t>B</w:t>
      </w:r>
      <w:r w:rsidR="00733EEE">
        <w:t xml:space="preserve"> </w:t>
      </w:r>
      <w:r w:rsidRPr="00CF2184">
        <w:t>asked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August</w:t>
      </w:r>
      <w:r w:rsidR="00733EEE">
        <w:t xml:space="preserve"> </w:t>
      </w:r>
      <w:r w:rsidRPr="00CF2184">
        <w:t>2000</w:t>
      </w:r>
      <w:r w:rsidR="00733EEE">
        <w:t xml:space="preserve"> </w:t>
      </w:r>
      <w:r w:rsidRPr="00CF2184">
        <w:t>whether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merger</w:t>
      </w:r>
      <w:r w:rsidR="00733EEE">
        <w:t xml:space="preserve"> </w:t>
      </w:r>
      <w:r w:rsidRPr="00CF2184">
        <w:t>was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“done</w:t>
      </w:r>
      <w:r w:rsidR="00733EEE">
        <w:t xml:space="preserve"> </w:t>
      </w:r>
      <w:r w:rsidRPr="00CF2184">
        <w:t>deal”.</w:t>
      </w:r>
      <w:r w:rsidR="00733EEE">
        <w:t xml:space="preserve">  </w:t>
      </w:r>
      <w:r w:rsidRPr="00CF2184">
        <w:t>When</w:t>
      </w:r>
      <w:r w:rsidR="00733EEE">
        <w:t xml:space="preserve"> </w:t>
      </w:r>
      <w:r w:rsidRPr="00CF2184">
        <w:t>B</w:t>
      </w:r>
      <w:r w:rsidR="00733EEE">
        <w:t xml:space="preserve"> </w:t>
      </w:r>
      <w:r w:rsidRPr="00CF2184">
        <w:t>continued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refuse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allow</w:t>
      </w:r>
      <w:r w:rsidR="00733EEE">
        <w:t xml:space="preserve"> </w:t>
      </w:r>
      <w:r w:rsidRPr="00CF2184">
        <w:t>H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audit</w:t>
      </w:r>
      <w:r w:rsidR="00733EEE">
        <w:t xml:space="preserve"> </w:t>
      </w:r>
      <w:r w:rsidRPr="00CF2184">
        <w:t>his</w:t>
      </w:r>
      <w:r w:rsidR="00733EEE">
        <w:t xml:space="preserve"> </w:t>
      </w:r>
      <w:r w:rsidRPr="00CF2184">
        <w:t>records,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threatened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terminate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1998</w:t>
      </w:r>
      <w:r w:rsidR="00733EEE">
        <w:t xml:space="preserve"> </w:t>
      </w:r>
      <w:r w:rsidRPr="00CF2184">
        <w:t>Agreement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May</w:t>
      </w:r>
      <w:r w:rsidR="00733EEE">
        <w:t xml:space="preserve"> </w:t>
      </w:r>
      <w:r w:rsidRPr="00CF2184">
        <w:t>2001</w:t>
      </w:r>
      <w:r w:rsidR="00733EEE">
        <w:t xml:space="preserve"> </w:t>
      </w:r>
      <w:r w:rsidRPr="00CF2184">
        <w:t>gave</w:t>
      </w:r>
      <w:r w:rsidR="00733EEE">
        <w:t xml:space="preserve"> </w:t>
      </w:r>
      <w:r w:rsidRPr="00CF2184">
        <w:t>notice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non</w:t>
      </w:r>
      <w:r w:rsidR="00733EEE">
        <w:t>-</w:t>
      </w:r>
      <w:r w:rsidRPr="00CF2184">
        <w:t>renewal</w:t>
      </w:r>
      <w:r w:rsidR="00733EEE">
        <w:t xml:space="preserve"> </w:t>
      </w:r>
      <w:r w:rsidRPr="00CF2184">
        <w:t>under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Agreement.</w:t>
      </w:r>
      <w:r w:rsidR="00733EEE">
        <w:t xml:space="preserve">  </w:t>
      </w:r>
      <w:r w:rsidRPr="00CF2184">
        <w:t>At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expiry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term,</w:t>
      </w:r>
      <w:r w:rsidR="00733EEE">
        <w:t xml:space="preserve"> </w:t>
      </w:r>
      <w:r w:rsidRPr="00CF2184">
        <w:t>B</w:t>
      </w:r>
      <w:r w:rsidR="00733EEE">
        <w:t xml:space="preserve"> </w:t>
      </w:r>
      <w:r w:rsidRPr="00CF2184">
        <w:t>lost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value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his</w:t>
      </w:r>
      <w:r w:rsidR="00733EEE">
        <w:t xml:space="preserve"> </w:t>
      </w:r>
      <w:r w:rsidRPr="00CF2184">
        <w:t>business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his</w:t>
      </w:r>
      <w:r w:rsidR="00733EEE">
        <w:t xml:space="preserve"> </w:t>
      </w:r>
      <w:r w:rsidRPr="00CF2184">
        <w:t>assembled</w:t>
      </w:r>
      <w:r w:rsidR="00733EEE">
        <w:t xml:space="preserve"> </w:t>
      </w:r>
      <w:r w:rsidRPr="00CF2184">
        <w:t>workforce.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majority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his</w:t>
      </w:r>
      <w:r w:rsidR="00733EEE">
        <w:t xml:space="preserve"> </w:t>
      </w:r>
      <w:r w:rsidRPr="00CF2184">
        <w:t>sales</w:t>
      </w:r>
      <w:r w:rsidR="00733EEE">
        <w:t xml:space="preserve"> </w:t>
      </w:r>
      <w:r w:rsidRPr="00CF2184">
        <w:t>agents</w:t>
      </w:r>
      <w:r w:rsidR="00733EEE">
        <w:t xml:space="preserve"> </w:t>
      </w:r>
      <w:r w:rsidRPr="00CF2184">
        <w:t>were</w:t>
      </w:r>
      <w:r w:rsidR="00733EEE">
        <w:t xml:space="preserve"> </w:t>
      </w:r>
      <w:r w:rsidRPr="00CF2184">
        <w:t>successfully</w:t>
      </w:r>
      <w:r w:rsidR="00733EEE">
        <w:t xml:space="preserve"> </w:t>
      </w:r>
      <w:r w:rsidRPr="00CF2184">
        <w:t>solicited</w:t>
      </w:r>
      <w:r w:rsidR="00733EEE">
        <w:t xml:space="preserve"> </w:t>
      </w:r>
      <w:r w:rsidRPr="00CF2184">
        <w:t>by</w:t>
      </w:r>
      <w:r w:rsidR="00733EEE">
        <w:t xml:space="preserve"> </w:t>
      </w:r>
      <w:r w:rsidRPr="00CF2184">
        <w:t>H’s</w:t>
      </w:r>
      <w:r w:rsidR="00733EEE">
        <w:t xml:space="preserve"> </w:t>
      </w:r>
      <w:r w:rsidRPr="00CF2184">
        <w:t>agency.</w:t>
      </w:r>
      <w:r w:rsidR="00733EEE">
        <w:t xml:space="preserve">  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B</w:t>
      </w:r>
      <w:r w:rsidR="00733EEE">
        <w:t xml:space="preserve"> </w:t>
      </w:r>
      <w:r w:rsidRPr="00CF2184">
        <w:t>sued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H.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trial</w:t>
      </w:r>
      <w:r w:rsidR="00733EEE">
        <w:t xml:space="preserve"> </w:t>
      </w:r>
      <w:r w:rsidRPr="00CF2184">
        <w:t>judge</w:t>
      </w:r>
      <w:r w:rsidR="00733EEE">
        <w:t xml:space="preserve"> </w:t>
      </w:r>
      <w:r w:rsidRPr="00CF2184">
        <w:t>found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was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breach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implied</w:t>
      </w:r>
      <w:r w:rsidR="00733EEE">
        <w:t xml:space="preserve"> </w:t>
      </w:r>
      <w:r w:rsidRPr="00CF2184">
        <w:t>term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faith,</w:t>
      </w:r>
      <w:r w:rsidR="00733EEE">
        <w:t xml:space="preserve"> </w:t>
      </w:r>
      <w:r w:rsidRPr="00CF2184">
        <w:t>H</w:t>
      </w:r>
      <w:r w:rsidR="00733EEE">
        <w:t xml:space="preserve"> </w:t>
      </w:r>
      <w:r w:rsidRPr="00CF2184">
        <w:t>had</w:t>
      </w:r>
      <w:r w:rsidR="00733EEE">
        <w:t xml:space="preserve"> </w:t>
      </w:r>
      <w:r w:rsidRPr="00CF2184">
        <w:t>intentionally</w:t>
      </w:r>
      <w:r w:rsidR="00733EEE">
        <w:t xml:space="preserve"> </w:t>
      </w:r>
      <w:r w:rsidRPr="00CF2184">
        <w:t>induced</w:t>
      </w:r>
      <w:r w:rsidR="00733EEE">
        <w:t xml:space="preserve"> </w:t>
      </w:r>
      <w:r w:rsidRPr="00CF2184">
        <w:t>breach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contract,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both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H</w:t>
      </w:r>
      <w:r w:rsidR="00733EEE">
        <w:t xml:space="preserve"> </w:t>
      </w:r>
      <w:r w:rsidRPr="00CF2184">
        <w:t>were</w:t>
      </w:r>
      <w:r w:rsidR="00733EEE">
        <w:t xml:space="preserve"> </w:t>
      </w:r>
      <w:r w:rsidRPr="00CF2184">
        <w:t>liable</w:t>
      </w:r>
      <w:r w:rsidR="00733EEE">
        <w:t xml:space="preserve"> </w:t>
      </w:r>
      <w:r w:rsidRPr="00CF2184">
        <w:t>for</w:t>
      </w:r>
      <w:r w:rsidR="00733EEE">
        <w:t xml:space="preserve"> </w:t>
      </w:r>
      <w:r w:rsidRPr="00CF2184">
        <w:t>civil</w:t>
      </w:r>
      <w:r w:rsidR="00733EEE">
        <w:t xml:space="preserve"> </w:t>
      </w:r>
      <w:r w:rsidRPr="00CF2184">
        <w:t>conspiracy.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Court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Appeal</w:t>
      </w:r>
      <w:r w:rsidR="00733EEE">
        <w:t xml:space="preserve"> </w:t>
      </w:r>
      <w:r w:rsidRPr="00CF2184">
        <w:t>allowed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appeal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dismissed</w:t>
      </w:r>
      <w:r w:rsidR="00733EEE">
        <w:t xml:space="preserve"> </w:t>
      </w:r>
      <w:r w:rsidRPr="00CF2184">
        <w:t>B’s</w:t>
      </w:r>
      <w:r w:rsidR="00733EEE">
        <w:t xml:space="preserve"> </w:t>
      </w:r>
      <w:r w:rsidRPr="00CF2184">
        <w:t>lawsuit.</w:t>
      </w:r>
      <w:r w:rsidR="00733EEE">
        <w:t xml:space="preserve"> 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</w:r>
      <w:r w:rsidRPr="00CF2184">
        <w:rPr>
          <w:i/>
        </w:rPr>
        <w:t>Held</w:t>
      </w:r>
      <w:r w:rsidRPr="00CF2184">
        <w:t>: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appeal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respect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should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allowed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appeal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respect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H</w:t>
      </w:r>
      <w:r w:rsidR="00733EEE">
        <w:t xml:space="preserve"> </w:t>
      </w:r>
      <w:r w:rsidRPr="00CF2184">
        <w:t>dismissed.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trial</w:t>
      </w:r>
      <w:r w:rsidR="00733EEE">
        <w:t xml:space="preserve"> </w:t>
      </w:r>
      <w:r w:rsidRPr="00CF2184">
        <w:t>judge’s</w:t>
      </w:r>
      <w:r w:rsidR="00733EEE">
        <w:t xml:space="preserve"> </w:t>
      </w:r>
      <w:r w:rsidRPr="00CF2184">
        <w:t>assessment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damages</w:t>
      </w:r>
      <w:r w:rsidR="00733EEE">
        <w:t xml:space="preserve"> </w:t>
      </w:r>
      <w:r w:rsidRPr="00CF2184">
        <w:t>should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varied</w:t>
      </w:r>
      <w:r w:rsidR="00733EEE">
        <w:t xml:space="preserve"> </w:t>
      </w:r>
      <w:r w:rsidRPr="00CF2184">
        <w:t>to</w:t>
      </w:r>
      <w:r w:rsidR="00733EEE">
        <w:t xml:space="preserve"> </w:t>
      </w:r>
      <w:r w:rsidR="00BF5523" w:rsidRPr="00CF2184">
        <w:t>$</w:t>
      </w:r>
      <w:r w:rsidRPr="00CF2184">
        <w:t>87,000</w:t>
      </w:r>
      <w:r w:rsidR="00733EEE">
        <w:t xml:space="preserve"> </w:t>
      </w:r>
      <w:r w:rsidRPr="00CF2184">
        <w:t>plus</w:t>
      </w:r>
      <w:r w:rsidR="00733EEE">
        <w:t xml:space="preserve"> </w:t>
      </w:r>
      <w:r w:rsidRPr="00CF2184">
        <w:t>interest.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lastRenderedPageBreak/>
        <w:tab/>
        <w:t>Canadian</w:t>
      </w:r>
      <w:r w:rsidR="00733EEE">
        <w:t xml:space="preserve"> </w:t>
      </w:r>
      <w:r w:rsidRPr="00CF2184">
        <w:t>common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relation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performance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contracts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piecemeal,</w:t>
      </w:r>
      <w:r w:rsidR="00733EEE">
        <w:t xml:space="preserve"> </w:t>
      </w:r>
      <w:r w:rsidRPr="00CF2184">
        <w:t>unsettled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unclear.</w:t>
      </w:r>
      <w:r w:rsidR="00733EEE">
        <w:t xml:space="preserve">  </w:t>
      </w:r>
      <w:r w:rsidRPr="00CF2184">
        <w:t>Two</w:t>
      </w:r>
      <w:r w:rsidR="00733EEE">
        <w:t xml:space="preserve"> </w:t>
      </w:r>
      <w:r w:rsidRPr="00CF2184">
        <w:t>incremental</w:t>
      </w:r>
      <w:r w:rsidR="00733EEE">
        <w:t xml:space="preserve"> </w:t>
      </w:r>
      <w:r w:rsidRPr="00CF2184">
        <w:t>steps</w:t>
      </w:r>
      <w:r w:rsidR="00733EEE">
        <w:t xml:space="preserve"> </w:t>
      </w:r>
      <w:r w:rsidRPr="00CF2184">
        <w:t>are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order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make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common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more</w:t>
      </w:r>
      <w:r w:rsidR="00733EEE">
        <w:t xml:space="preserve"> </w:t>
      </w:r>
      <w:r w:rsidRPr="00CF2184">
        <w:t>coherent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more</w:t>
      </w:r>
      <w:r w:rsidR="00733EEE">
        <w:t xml:space="preserve"> </w:t>
      </w:r>
      <w:r w:rsidRPr="00CF2184">
        <w:t>just.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first</w:t>
      </w:r>
      <w:r w:rsidR="00733EEE">
        <w:t xml:space="preserve"> </w:t>
      </w:r>
      <w:r w:rsidRPr="00CF2184">
        <w:t>step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acknowledge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contractual</w:t>
      </w:r>
      <w:r w:rsidR="00733EEE">
        <w:t xml:space="preserve"> </w:t>
      </w:r>
      <w:r w:rsidRPr="00CF2184">
        <w:t>performance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general</w:t>
      </w:r>
      <w:r w:rsidR="00733EEE">
        <w:t xml:space="preserve"> </w:t>
      </w:r>
      <w:r w:rsidRPr="00CF2184">
        <w:t>organizing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common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which</w:t>
      </w:r>
      <w:r w:rsidR="00733EEE">
        <w:t xml:space="preserve"> </w:t>
      </w:r>
      <w:r w:rsidRPr="00CF2184">
        <w:t>underpins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informs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various</w:t>
      </w:r>
      <w:r w:rsidR="00733EEE">
        <w:t xml:space="preserve"> </w:t>
      </w:r>
      <w:r w:rsidRPr="00CF2184">
        <w:t>rules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which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common</w:t>
      </w:r>
      <w:r w:rsidR="00733EEE">
        <w:t xml:space="preserve"> </w:t>
      </w:r>
      <w:r w:rsidRPr="00CF2184">
        <w:t>law,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various</w:t>
      </w:r>
      <w:r w:rsidR="00733EEE">
        <w:t xml:space="preserve"> </w:t>
      </w:r>
      <w:r w:rsidRPr="00CF2184">
        <w:t>situations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types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relationships,</w:t>
      </w:r>
      <w:r w:rsidR="00733EEE">
        <w:t xml:space="preserve"> </w:t>
      </w:r>
      <w:r w:rsidRPr="00CF2184">
        <w:t>recognizes</w:t>
      </w:r>
      <w:r w:rsidR="00733EEE">
        <w:t xml:space="preserve"> </w:t>
      </w:r>
      <w:r w:rsidRPr="00CF2184">
        <w:t>obligations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contractual</w:t>
      </w:r>
      <w:r w:rsidR="00733EEE">
        <w:t xml:space="preserve"> </w:t>
      </w:r>
      <w:r w:rsidRPr="00CF2184">
        <w:t>performance.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second</w:t>
      </w:r>
      <w:r w:rsidR="00733EEE">
        <w:t xml:space="preserve"> </w:t>
      </w:r>
      <w:r w:rsidRPr="00CF2184">
        <w:t>step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recognize,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further</w:t>
      </w:r>
      <w:r w:rsidR="00733EEE">
        <w:t xml:space="preserve"> </w:t>
      </w:r>
      <w:r w:rsidRPr="00CF2184">
        <w:t>manifestation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this</w:t>
      </w:r>
      <w:r w:rsidR="00733EEE">
        <w:t xml:space="preserve"> </w:t>
      </w:r>
      <w:r w:rsidRPr="00CF2184">
        <w:t>organizing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faith,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there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common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duty</w:t>
      </w:r>
      <w:r w:rsidR="00733EEE">
        <w:t xml:space="preserve"> </w:t>
      </w:r>
      <w:r w:rsidRPr="00CF2184">
        <w:t>which</w:t>
      </w:r>
      <w:r w:rsidR="00733EEE">
        <w:t xml:space="preserve"> </w:t>
      </w:r>
      <w:r w:rsidRPr="00CF2184">
        <w:t>applies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all</w:t>
      </w:r>
      <w:r w:rsidR="00733EEE">
        <w:t xml:space="preserve"> </w:t>
      </w:r>
      <w:r w:rsidRPr="00CF2184">
        <w:t>contracts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act</w:t>
      </w:r>
      <w:r w:rsidR="00733EEE">
        <w:t xml:space="preserve"> </w:t>
      </w:r>
      <w:r w:rsidRPr="00CF2184">
        <w:t>honestly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performance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contractual</w:t>
      </w:r>
      <w:r w:rsidR="00733EEE">
        <w:t xml:space="preserve"> </w:t>
      </w:r>
      <w:r w:rsidRPr="00CF2184">
        <w:t>obligations.</w:t>
      </w:r>
      <w:r w:rsidR="00733EEE">
        <w:t xml:space="preserve">  </w:t>
      </w:r>
      <w:r w:rsidRPr="00CF2184">
        <w:t>Taking</w:t>
      </w:r>
      <w:r w:rsidR="00733EEE">
        <w:t xml:space="preserve"> </w:t>
      </w:r>
      <w:r w:rsidRPr="00CF2184">
        <w:t>these</w:t>
      </w:r>
      <w:r w:rsidR="00733EEE">
        <w:t xml:space="preserve"> </w:t>
      </w:r>
      <w:r w:rsidRPr="00CF2184">
        <w:t>two</w:t>
      </w:r>
      <w:r w:rsidR="00733EEE">
        <w:t xml:space="preserve"> </w:t>
      </w:r>
      <w:r w:rsidRPr="00CF2184">
        <w:t>steps</w:t>
      </w:r>
      <w:r w:rsidR="00733EEE">
        <w:t xml:space="preserve"> </w:t>
      </w:r>
      <w:r w:rsidRPr="00CF2184">
        <w:t>will</w:t>
      </w:r>
      <w:r w:rsidR="00733EEE">
        <w:t xml:space="preserve"> </w:t>
      </w:r>
      <w:r w:rsidRPr="00CF2184">
        <w:t>put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place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duty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just,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accords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reasonable</w:t>
      </w:r>
      <w:r w:rsidR="00733EEE">
        <w:t xml:space="preserve"> </w:t>
      </w:r>
      <w:r w:rsidRPr="00CF2184">
        <w:t>expectations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commercial</w:t>
      </w:r>
      <w:r w:rsidR="00733EEE">
        <w:t xml:space="preserve"> </w:t>
      </w:r>
      <w:r w:rsidRPr="00CF2184">
        <w:t>parties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sufficiently</w:t>
      </w:r>
      <w:r w:rsidR="00733EEE">
        <w:t xml:space="preserve"> </w:t>
      </w:r>
      <w:r w:rsidRPr="00CF2184">
        <w:t>precise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it</w:t>
      </w:r>
      <w:r w:rsidR="00733EEE">
        <w:t xml:space="preserve"> </w:t>
      </w:r>
      <w:r w:rsidRPr="00CF2184">
        <w:t>will</w:t>
      </w:r>
      <w:r w:rsidR="00733EEE">
        <w:t xml:space="preserve"> </w:t>
      </w:r>
      <w:r w:rsidRPr="00CF2184">
        <w:t>enhance</w:t>
      </w:r>
      <w:r w:rsidR="00733EEE">
        <w:t xml:space="preserve"> </w:t>
      </w:r>
      <w:r w:rsidRPr="00CF2184">
        <w:t>rather</w:t>
      </w:r>
      <w:r w:rsidR="00733EEE">
        <w:t xml:space="preserve"> </w:t>
      </w:r>
      <w:r w:rsidRPr="00CF2184">
        <w:t>than</w:t>
      </w:r>
      <w:r w:rsidR="00733EEE">
        <w:t xml:space="preserve"> </w:t>
      </w:r>
      <w:r w:rsidRPr="00CF2184">
        <w:t>detract</w:t>
      </w:r>
      <w:r w:rsidR="00733EEE">
        <w:t xml:space="preserve"> </w:t>
      </w:r>
      <w:r w:rsidRPr="00CF2184">
        <w:t>from</w:t>
      </w:r>
      <w:r w:rsidR="00733EEE">
        <w:t xml:space="preserve"> </w:t>
      </w:r>
      <w:r w:rsidRPr="00CF2184">
        <w:t>commercial</w:t>
      </w:r>
      <w:r w:rsidR="00733EEE">
        <w:t xml:space="preserve"> </w:t>
      </w:r>
      <w:r w:rsidRPr="00CF2184">
        <w:t>certainty.</w:t>
      </w:r>
      <w:r w:rsidR="00733EEE">
        <w:t xml:space="preserve"> 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There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an</w:t>
      </w:r>
      <w:r w:rsidR="00733EEE">
        <w:t xml:space="preserve"> </w:t>
      </w:r>
      <w:r w:rsidRPr="00CF2184">
        <w:t>organizing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parties</w:t>
      </w:r>
      <w:r w:rsidR="00733EEE">
        <w:t xml:space="preserve"> </w:t>
      </w:r>
      <w:r w:rsidRPr="00CF2184">
        <w:t>generally</w:t>
      </w:r>
      <w:r w:rsidR="00733EEE">
        <w:t xml:space="preserve"> </w:t>
      </w:r>
      <w:r w:rsidRPr="00CF2184">
        <w:t>must</w:t>
      </w:r>
      <w:r w:rsidR="00733EEE">
        <w:t xml:space="preserve"> </w:t>
      </w:r>
      <w:r w:rsidRPr="00CF2184">
        <w:t>perform</w:t>
      </w:r>
      <w:r w:rsidR="00733EEE">
        <w:t xml:space="preserve"> </w:t>
      </w:r>
      <w:r w:rsidRPr="00CF2184">
        <w:t>their</w:t>
      </w:r>
      <w:r w:rsidR="00733EEE">
        <w:t xml:space="preserve"> </w:t>
      </w:r>
      <w:r w:rsidRPr="00CF2184">
        <w:t>contractual</w:t>
      </w:r>
      <w:r w:rsidR="00733EEE">
        <w:t xml:space="preserve"> </w:t>
      </w:r>
      <w:r w:rsidRPr="00CF2184">
        <w:t>duties</w:t>
      </w:r>
      <w:r w:rsidR="00733EEE">
        <w:t xml:space="preserve"> </w:t>
      </w:r>
      <w:r w:rsidRPr="00CF2184">
        <w:t>honestly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reasonably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capriciously</w:t>
      </w:r>
      <w:r w:rsidR="00733EEE">
        <w:t xml:space="preserve"> </w:t>
      </w:r>
      <w:r w:rsidRPr="00CF2184">
        <w:t>or</w:t>
      </w:r>
      <w:r w:rsidR="00733EEE">
        <w:t xml:space="preserve"> </w:t>
      </w:r>
      <w:r w:rsidRPr="00CF2184">
        <w:t>arbitrarily.</w:t>
      </w:r>
      <w:r w:rsidR="00733EEE">
        <w:t xml:space="preserve">  </w:t>
      </w:r>
      <w:r w:rsidRPr="00CF2184">
        <w:t>An</w:t>
      </w:r>
      <w:r w:rsidR="00733EEE">
        <w:t xml:space="preserve"> </w:t>
      </w:r>
      <w:r w:rsidRPr="00CF2184">
        <w:t>organizing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states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general</w:t>
      </w:r>
      <w:r w:rsidR="00733EEE">
        <w:t xml:space="preserve"> </w:t>
      </w:r>
      <w:r w:rsidRPr="00CF2184">
        <w:t>terms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requirement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justice</w:t>
      </w:r>
      <w:r w:rsidR="00733EEE">
        <w:t xml:space="preserve"> </w:t>
      </w:r>
      <w:r w:rsidRPr="00CF2184">
        <w:t>from</w:t>
      </w:r>
      <w:r w:rsidR="00733EEE">
        <w:t xml:space="preserve"> </w:t>
      </w:r>
      <w:r w:rsidRPr="00CF2184">
        <w:t>which</w:t>
      </w:r>
      <w:r w:rsidR="00733EEE">
        <w:t xml:space="preserve"> </w:t>
      </w:r>
      <w:r w:rsidRPr="00CF2184">
        <w:t>more</w:t>
      </w:r>
      <w:r w:rsidR="00733EEE">
        <w:t xml:space="preserve"> </w:t>
      </w:r>
      <w:r w:rsidRPr="00CF2184">
        <w:t>specific</w:t>
      </w:r>
      <w:r w:rsidR="00733EEE">
        <w:t xml:space="preserve"> </w:t>
      </w:r>
      <w:r w:rsidRPr="00CF2184">
        <w:t>legal</w:t>
      </w:r>
      <w:r w:rsidR="00733EEE">
        <w:t xml:space="preserve"> </w:t>
      </w:r>
      <w:r w:rsidRPr="00CF2184">
        <w:t>doctrines</w:t>
      </w:r>
      <w:r w:rsidR="00733EEE">
        <w:t xml:space="preserve"> </w:t>
      </w:r>
      <w:r w:rsidRPr="00CF2184">
        <w:t>may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derived.</w:t>
      </w:r>
      <w:r w:rsidR="00733EEE">
        <w:t xml:space="preserve"> </w:t>
      </w:r>
      <w:r w:rsidRPr="00CF2184">
        <w:t>An</w:t>
      </w:r>
      <w:r w:rsidR="00733EEE">
        <w:t xml:space="preserve"> </w:t>
      </w:r>
      <w:r w:rsidRPr="00CF2184">
        <w:t>organizing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therefore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free</w:t>
      </w:r>
      <w:r w:rsidR="00733EEE">
        <w:t>-</w:t>
      </w:r>
      <w:r w:rsidRPr="00CF2184">
        <w:t>standing</w:t>
      </w:r>
      <w:r w:rsidR="00733EEE">
        <w:t xml:space="preserve"> </w:t>
      </w:r>
      <w:r w:rsidRPr="00CF2184">
        <w:t>rule,</w:t>
      </w:r>
      <w:r w:rsidR="00733EEE">
        <w:t xml:space="preserve"> </w:t>
      </w:r>
      <w:r w:rsidRPr="00CF2184">
        <w:t>but</w:t>
      </w:r>
      <w:r w:rsidR="00733EEE">
        <w:t xml:space="preserve"> </w:t>
      </w:r>
      <w:r w:rsidRPr="00CF2184">
        <w:t>rather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standard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underpins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manifested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more</w:t>
      </w:r>
      <w:r w:rsidR="00733EEE">
        <w:t xml:space="preserve"> </w:t>
      </w:r>
      <w:r w:rsidRPr="00CF2184">
        <w:t>specific</w:t>
      </w:r>
      <w:r w:rsidR="00733EEE">
        <w:t xml:space="preserve"> </w:t>
      </w:r>
      <w:r w:rsidRPr="00CF2184">
        <w:t>legal</w:t>
      </w:r>
      <w:r w:rsidR="00733EEE">
        <w:t xml:space="preserve"> </w:t>
      </w:r>
      <w:r w:rsidRPr="00CF2184">
        <w:t>doctrines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may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given</w:t>
      </w:r>
      <w:r w:rsidR="00733EEE">
        <w:t xml:space="preserve"> </w:t>
      </w:r>
      <w:r w:rsidRPr="00CF2184">
        <w:t>different</w:t>
      </w:r>
      <w:r w:rsidR="00733EEE">
        <w:t xml:space="preserve"> </w:t>
      </w:r>
      <w:r w:rsidRPr="00CF2184">
        <w:t>weight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different</w:t>
      </w:r>
      <w:r w:rsidR="00733EEE">
        <w:t xml:space="preserve"> </w:t>
      </w:r>
      <w:r w:rsidRPr="00CF2184">
        <w:t>situations</w:t>
      </w:r>
      <w:r w:rsidRPr="00CF2184">
        <w:rPr>
          <w:i/>
        </w:rPr>
        <w:t>.</w:t>
      </w:r>
      <w:r w:rsidR="00733EEE">
        <w:rPr>
          <w:i/>
        </w:rPr>
        <w:t xml:space="preserve">  </w:t>
      </w:r>
      <w:r w:rsidRPr="00CF2184">
        <w:t>It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standard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helps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understand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develop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coherent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principled</w:t>
      </w:r>
      <w:r w:rsidR="00733EEE">
        <w:t xml:space="preserve"> </w:t>
      </w:r>
      <w:r w:rsidRPr="00CF2184">
        <w:t>way.</w:t>
      </w:r>
      <w:r w:rsidR="00733EEE">
        <w:t xml:space="preserve"> 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The</w:t>
      </w:r>
      <w:r w:rsidR="00733EEE">
        <w:t xml:space="preserve"> </w:t>
      </w:r>
      <w:r w:rsidRPr="00CF2184">
        <w:t>organizing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exemplifies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notion</w:t>
      </w:r>
      <w:r w:rsidR="00733EEE">
        <w:t xml:space="preserve"> </w:t>
      </w:r>
      <w:r w:rsidRPr="00CF2184">
        <w:t>that,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carrying</w:t>
      </w:r>
      <w:r w:rsidR="00733EEE">
        <w:t xml:space="preserve"> </w:t>
      </w:r>
      <w:r w:rsidRPr="00CF2184">
        <w:t>out</w:t>
      </w:r>
      <w:r w:rsidR="00733EEE">
        <w:t xml:space="preserve"> </w:t>
      </w:r>
      <w:r w:rsidRPr="00CF2184">
        <w:t>his</w:t>
      </w:r>
      <w:r w:rsidR="00733EEE">
        <w:t xml:space="preserve"> </w:t>
      </w:r>
      <w:r w:rsidRPr="00CF2184">
        <w:t>or</w:t>
      </w:r>
      <w:r w:rsidR="00733EEE">
        <w:t xml:space="preserve"> </w:t>
      </w:r>
      <w:r w:rsidRPr="00CF2184">
        <w:t>her</w:t>
      </w:r>
      <w:r w:rsidR="00733EEE">
        <w:t xml:space="preserve"> </w:t>
      </w:r>
      <w:r w:rsidRPr="00CF2184">
        <w:t>own</w:t>
      </w:r>
      <w:r w:rsidR="00733EEE">
        <w:t xml:space="preserve"> </w:t>
      </w:r>
      <w:r w:rsidRPr="00CF2184">
        <w:t>performance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contract,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contracting</w:t>
      </w:r>
      <w:r w:rsidR="00733EEE">
        <w:t xml:space="preserve"> </w:t>
      </w:r>
      <w:r w:rsidRPr="00CF2184">
        <w:t>party</w:t>
      </w:r>
      <w:r w:rsidR="00733EEE">
        <w:t xml:space="preserve"> </w:t>
      </w:r>
      <w:r w:rsidRPr="00CF2184">
        <w:t>should</w:t>
      </w:r>
      <w:r w:rsidR="00733EEE">
        <w:t xml:space="preserve"> </w:t>
      </w:r>
      <w:r w:rsidRPr="00CF2184">
        <w:lastRenderedPageBreak/>
        <w:t>have</w:t>
      </w:r>
      <w:r w:rsidR="00733EEE">
        <w:t xml:space="preserve"> </w:t>
      </w:r>
      <w:r w:rsidRPr="00CF2184">
        <w:t>appropriate</w:t>
      </w:r>
      <w:r w:rsidR="00733EEE">
        <w:t xml:space="preserve"> </w:t>
      </w:r>
      <w:r w:rsidRPr="00CF2184">
        <w:t>regard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legitimate</w:t>
      </w:r>
      <w:r w:rsidR="00733EEE">
        <w:t xml:space="preserve"> </w:t>
      </w:r>
      <w:r w:rsidRPr="00CF2184">
        <w:t>contractual</w:t>
      </w:r>
      <w:r w:rsidR="00733EEE">
        <w:t xml:space="preserve"> </w:t>
      </w:r>
      <w:r w:rsidRPr="00CF2184">
        <w:t>interests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contracting</w:t>
      </w:r>
      <w:r w:rsidR="00733EEE">
        <w:t xml:space="preserve"> </w:t>
      </w:r>
      <w:r w:rsidRPr="00CF2184">
        <w:t>partner.</w:t>
      </w:r>
      <w:r w:rsidR="00733EEE">
        <w:t xml:space="preserve">  </w:t>
      </w:r>
      <w:r w:rsidRPr="00CF2184">
        <w:t>While</w:t>
      </w:r>
      <w:r w:rsidR="00733EEE">
        <w:t xml:space="preserve"> </w:t>
      </w:r>
      <w:r w:rsidRPr="00CF2184">
        <w:t>“appropriate</w:t>
      </w:r>
      <w:r w:rsidR="00733EEE">
        <w:t xml:space="preserve"> </w:t>
      </w:r>
      <w:r w:rsidRPr="00CF2184">
        <w:t>regard”</w:t>
      </w:r>
      <w:r w:rsidR="00733EEE">
        <w:t xml:space="preserve"> </w:t>
      </w:r>
      <w:r w:rsidRPr="00CF2184">
        <w:t>for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other</w:t>
      </w:r>
      <w:r w:rsidR="00733EEE">
        <w:t xml:space="preserve"> </w:t>
      </w:r>
      <w:r w:rsidRPr="00CF2184">
        <w:t>party’s</w:t>
      </w:r>
      <w:r w:rsidR="00733EEE">
        <w:t xml:space="preserve"> </w:t>
      </w:r>
      <w:r w:rsidRPr="00CF2184">
        <w:t>interests</w:t>
      </w:r>
      <w:r w:rsidR="00733EEE">
        <w:t xml:space="preserve"> </w:t>
      </w:r>
      <w:r w:rsidRPr="00CF2184">
        <w:t>will</w:t>
      </w:r>
      <w:r w:rsidR="00733EEE">
        <w:t xml:space="preserve"> </w:t>
      </w:r>
      <w:r w:rsidRPr="00CF2184">
        <w:t>vary</w:t>
      </w:r>
      <w:r w:rsidR="00733EEE">
        <w:t xml:space="preserve"> </w:t>
      </w:r>
      <w:r w:rsidRPr="00CF2184">
        <w:t>depending</w:t>
      </w:r>
      <w:r w:rsidR="00733EEE">
        <w:t xml:space="preserve"> </w:t>
      </w:r>
      <w:r w:rsidRPr="00CF2184">
        <w:t>on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context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contractual</w:t>
      </w:r>
      <w:r w:rsidR="00733EEE">
        <w:t xml:space="preserve"> </w:t>
      </w:r>
      <w:r w:rsidRPr="00CF2184">
        <w:t>relationship,</w:t>
      </w:r>
      <w:r w:rsidR="00733EEE">
        <w:t xml:space="preserve"> </w:t>
      </w:r>
      <w:r w:rsidRPr="00CF2184">
        <w:t>it</w:t>
      </w:r>
      <w:r w:rsidR="00733EEE">
        <w:t xml:space="preserve"> </w:t>
      </w:r>
      <w:r w:rsidRPr="00CF2184">
        <w:t>does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require</w:t>
      </w:r>
      <w:r w:rsidR="00733EEE">
        <w:t xml:space="preserve"> </w:t>
      </w:r>
      <w:r w:rsidRPr="00CF2184">
        <w:t>acting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serve</w:t>
      </w:r>
      <w:r w:rsidR="00733EEE">
        <w:t xml:space="preserve"> </w:t>
      </w:r>
      <w:r w:rsidRPr="00CF2184">
        <w:t>those</w:t>
      </w:r>
      <w:r w:rsidR="00733EEE">
        <w:t xml:space="preserve"> </w:t>
      </w:r>
      <w:r w:rsidRPr="00CF2184">
        <w:t>interests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all</w:t>
      </w:r>
      <w:r w:rsidR="00733EEE">
        <w:t xml:space="preserve"> </w:t>
      </w:r>
      <w:r w:rsidRPr="00CF2184">
        <w:t>cases.</w:t>
      </w:r>
      <w:r w:rsidR="00733EEE">
        <w:t xml:space="preserve">  </w:t>
      </w:r>
      <w:r w:rsidRPr="00CF2184">
        <w:t>It</w:t>
      </w:r>
      <w:r w:rsidR="00733EEE">
        <w:t xml:space="preserve"> </w:t>
      </w:r>
      <w:r w:rsidRPr="00CF2184">
        <w:t>merely</w:t>
      </w:r>
      <w:r w:rsidR="00733EEE">
        <w:t xml:space="preserve"> </w:t>
      </w:r>
      <w:r w:rsidRPr="00CF2184">
        <w:t>requires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party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seek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undermine</w:t>
      </w:r>
      <w:r w:rsidR="00733EEE">
        <w:t xml:space="preserve"> </w:t>
      </w:r>
      <w:r w:rsidRPr="00CF2184">
        <w:t>those</w:t>
      </w:r>
      <w:r w:rsidR="00733EEE">
        <w:t xml:space="preserve"> </w:t>
      </w:r>
      <w:r w:rsidRPr="00CF2184">
        <w:t>interests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bad</w:t>
      </w:r>
      <w:r w:rsidR="00733EEE">
        <w:t xml:space="preserve"> </w:t>
      </w:r>
      <w:r w:rsidRPr="00CF2184">
        <w:t>faith.</w:t>
      </w:r>
      <w:r w:rsidR="00733EEE">
        <w:t xml:space="preserve">  </w:t>
      </w:r>
      <w:r w:rsidRPr="00CF2184">
        <w:t>This</w:t>
      </w:r>
      <w:r w:rsidR="00733EEE">
        <w:t xml:space="preserve"> </w:t>
      </w:r>
      <w:r w:rsidRPr="00CF2184">
        <w:t>general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has</w:t>
      </w:r>
      <w:r w:rsidR="00733EEE">
        <w:t xml:space="preserve"> </w:t>
      </w:r>
      <w:r w:rsidRPr="00CF2184">
        <w:t>strong</w:t>
      </w:r>
      <w:r w:rsidR="00733EEE">
        <w:t xml:space="preserve"> </w:t>
      </w:r>
      <w:r w:rsidRPr="00CF2184">
        <w:t>conceptual</w:t>
      </w:r>
      <w:r w:rsidR="00733EEE">
        <w:t xml:space="preserve"> </w:t>
      </w:r>
      <w:r w:rsidRPr="00CF2184">
        <w:t>differences</w:t>
      </w:r>
      <w:r w:rsidR="00733EEE">
        <w:t xml:space="preserve"> </w:t>
      </w:r>
      <w:r w:rsidRPr="00CF2184">
        <w:t>from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much</w:t>
      </w:r>
      <w:r w:rsidR="00733EEE">
        <w:t xml:space="preserve"> </w:t>
      </w:r>
      <w:r w:rsidRPr="00CF2184">
        <w:t>higher</w:t>
      </w:r>
      <w:r w:rsidR="00733EEE">
        <w:t xml:space="preserve"> </w:t>
      </w:r>
      <w:r w:rsidRPr="00CF2184">
        <w:t>obligations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fiduciary.</w:t>
      </w:r>
      <w:r w:rsidR="00733EEE">
        <w:t xml:space="preserve">  </w:t>
      </w:r>
      <w:r w:rsidRPr="00CF2184">
        <w:t>Unlike</w:t>
      </w:r>
      <w:r w:rsidR="00733EEE">
        <w:t xml:space="preserve"> </w:t>
      </w:r>
      <w:r w:rsidRPr="00CF2184">
        <w:t>fiduciary</w:t>
      </w:r>
      <w:r w:rsidR="00733EEE">
        <w:t xml:space="preserve"> </w:t>
      </w:r>
      <w:r w:rsidRPr="00CF2184">
        <w:t>duties,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performance</w:t>
      </w:r>
      <w:r w:rsidR="00733EEE">
        <w:t xml:space="preserve"> </w:t>
      </w:r>
      <w:r w:rsidRPr="00CF2184">
        <w:t>does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engage</w:t>
      </w:r>
      <w:r w:rsidR="00733EEE">
        <w:t xml:space="preserve"> </w:t>
      </w:r>
      <w:r w:rsidRPr="00CF2184">
        <w:t>duties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loyalty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other</w:t>
      </w:r>
      <w:r w:rsidR="00733EEE">
        <w:t xml:space="preserve"> </w:t>
      </w:r>
      <w:r w:rsidRPr="00CF2184">
        <w:t>contracting</w:t>
      </w:r>
      <w:r w:rsidR="00733EEE">
        <w:t xml:space="preserve"> </w:t>
      </w:r>
      <w:r w:rsidRPr="00CF2184">
        <w:t>party</w:t>
      </w:r>
      <w:r w:rsidR="00733EEE">
        <w:t xml:space="preserve"> </w:t>
      </w:r>
      <w:r w:rsidRPr="00CF2184">
        <w:t>or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duty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put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interests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other</w:t>
      </w:r>
      <w:r w:rsidR="00733EEE">
        <w:t xml:space="preserve"> </w:t>
      </w:r>
      <w:r w:rsidRPr="00CF2184">
        <w:t>contracting</w:t>
      </w:r>
      <w:r w:rsidR="00733EEE">
        <w:t xml:space="preserve"> </w:t>
      </w:r>
      <w:r w:rsidRPr="00CF2184">
        <w:t>party</w:t>
      </w:r>
      <w:r w:rsidR="00733EEE">
        <w:t xml:space="preserve"> </w:t>
      </w:r>
      <w:r w:rsidRPr="00CF2184">
        <w:t>first.</w:t>
      </w:r>
      <w:r w:rsidR="00733EEE">
        <w:t xml:space="preserve"> 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This</w:t>
      </w:r>
      <w:r w:rsidR="00733EEE">
        <w:t xml:space="preserve"> </w:t>
      </w:r>
      <w:r w:rsidRPr="00CF2184">
        <w:t>organizing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manifests</w:t>
      </w:r>
      <w:r w:rsidR="00733EEE">
        <w:t xml:space="preserve"> </w:t>
      </w:r>
      <w:r w:rsidRPr="00CF2184">
        <w:t>itself</w:t>
      </w:r>
      <w:r w:rsidR="00733EEE">
        <w:t xml:space="preserve"> </w:t>
      </w:r>
      <w:r w:rsidRPr="00CF2184">
        <w:t>through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existing</w:t>
      </w:r>
      <w:r w:rsidR="00733EEE">
        <w:t xml:space="preserve"> </w:t>
      </w:r>
      <w:r w:rsidRPr="00CF2184">
        <w:t>doctrines</w:t>
      </w:r>
      <w:r w:rsidR="00733EEE">
        <w:t xml:space="preserve"> </w:t>
      </w:r>
      <w:r w:rsidRPr="00CF2184">
        <w:t>about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types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situations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relationships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which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requires,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certain</w:t>
      </w:r>
      <w:r w:rsidR="00733EEE">
        <w:t xml:space="preserve"> </w:t>
      </w:r>
      <w:r w:rsidRPr="00CF2184">
        <w:t>respects,</w:t>
      </w:r>
      <w:r w:rsidR="00733EEE">
        <w:t xml:space="preserve"> </w:t>
      </w:r>
      <w:r w:rsidRPr="00CF2184">
        <w:t>honest,</w:t>
      </w:r>
      <w:r w:rsidR="00733EEE">
        <w:t xml:space="preserve"> </w:t>
      </w:r>
      <w:r w:rsidRPr="00CF2184">
        <w:t>candid,</w:t>
      </w:r>
      <w:r w:rsidR="00733EEE">
        <w:t xml:space="preserve"> </w:t>
      </w:r>
      <w:r w:rsidRPr="00CF2184">
        <w:t>forthright</w:t>
      </w:r>
      <w:r w:rsidR="00733EEE">
        <w:t xml:space="preserve"> </w:t>
      </w:r>
      <w:r w:rsidRPr="00CF2184">
        <w:t>or</w:t>
      </w:r>
      <w:r w:rsidR="00733EEE">
        <w:t xml:space="preserve"> </w:t>
      </w:r>
      <w:r w:rsidRPr="00CF2184">
        <w:t>reasonable</w:t>
      </w:r>
      <w:r w:rsidR="00733EEE">
        <w:t xml:space="preserve"> </w:t>
      </w:r>
      <w:r w:rsidRPr="00CF2184">
        <w:t>contractual</w:t>
      </w:r>
      <w:r w:rsidR="00733EEE">
        <w:t xml:space="preserve"> </w:t>
      </w:r>
      <w:r w:rsidRPr="00CF2184">
        <w:t>performance.</w:t>
      </w:r>
      <w:r w:rsidR="00733EEE">
        <w:t xml:space="preserve"> </w:t>
      </w:r>
      <w:r w:rsidRPr="00CF2184">
        <w:t>Generally,</w:t>
      </w:r>
      <w:r w:rsidR="00733EEE">
        <w:t xml:space="preserve"> </w:t>
      </w:r>
      <w:r w:rsidRPr="00CF2184">
        <w:t>claims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will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succeed</w:t>
      </w:r>
      <w:r w:rsidR="00733EEE">
        <w:t xml:space="preserve"> </w:t>
      </w:r>
      <w:r w:rsidRPr="00CF2184">
        <w:t>if</w:t>
      </w:r>
      <w:r w:rsidR="00733EEE">
        <w:t xml:space="preserve"> </w:t>
      </w:r>
      <w:r w:rsidRPr="00CF2184">
        <w:t>they</w:t>
      </w:r>
      <w:r w:rsidR="00733EEE">
        <w:t xml:space="preserve"> </w:t>
      </w:r>
      <w:r w:rsidRPr="00CF2184">
        <w:t>do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fall</w:t>
      </w:r>
      <w:r w:rsidR="00733EEE">
        <w:t xml:space="preserve"> </w:t>
      </w:r>
      <w:r w:rsidRPr="00CF2184">
        <w:t>within</w:t>
      </w:r>
      <w:r w:rsidR="00733EEE">
        <w:t xml:space="preserve"> </w:t>
      </w:r>
      <w:r w:rsidRPr="00CF2184">
        <w:t>these</w:t>
      </w:r>
      <w:r w:rsidR="00733EEE">
        <w:t xml:space="preserve"> </w:t>
      </w:r>
      <w:r w:rsidRPr="00CF2184">
        <w:t>existing</w:t>
      </w:r>
      <w:r w:rsidR="00733EEE">
        <w:t xml:space="preserve"> </w:t>
      </w:r>
      <w:r w:rsidRPr="00CF2184">
        <w:t>doctrines.</w:t>
      </w:r>
      <w:r w:rsidR="00733EEE">
        <w:t xml:space="preserve"> </w:t>
      </w:r>
      <w:r w:rsidRPr="00CF2184">
        <w:t>However,</w:t>
      </w:r>
      <w:r w:rsidR="00733EEE">
        <w:t xml:space="preserve"> </w:t>
      </w:r>
      <w:r w:rsidRPr="00CF2184">
        <w:t>this</w:t>
      </w:r>
      <w:r w:rsidR="00733EEE">
        <w:t xml:space="preserve"> </w:t>
      </w:r>
      <w:r w:rsidRPr="00CF2184">
        <w:t>list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closed.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application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organizing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particular</w:t>
      </w:r>
      <w:r w:rsidR="00733EEE">
        <w:t xml:space="preserve"> </w:t>
      </w:r>
      <w:r w:rsidRPr="00CF2184">
        <w:t>situations</w:t>
      </w:r>
      <w:r w:rsidR="00733EEE">
        <w:t xml:space="preserve"> </w:t>
      </w:r>
      <w:r w:rsidRPr="00CF2184">
        <w:t>should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developed</w:t>
      </w:r>
      <w:r w:rsidR="00733EEE">
        <w:t xml:space="preserve"> </w:t>
      </w:r>
      <w:r w:rsidRPr="00CF2184">
        <w:t>where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existing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found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wanting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where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development</w:t>
      </w:r>
      <w:r w:rsidR="00733EEE">
        <w:t xml:space="preserve"> </w:t>
      </w:r>
      <w:r w:rsidRPr="00CF2184">
        <w:t>may</w:t>
      </w:r>
      <w:r w:rsidR="00733EEE">
        <w:t xml:space="preserve"> </w:t>
      </w:r>
      <w:r w:rsidRPr="00CF2184">
        <w:t>occur</w:t>
      </w:r>
      <w:r w:rsidR="00733EEE">
        <w:t xml:space="preserve"> </w:t>
      </w:r>
      <w:r w:rsidRPr="00CF2184">
        <w:t>incrementally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way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consistent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structure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common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gives</w:t>
      </w:r>
      <w:r w:rsidR="00733EEE">
        <w:t xml:space="preserve"> </w:t>
      </w:r>
      <w:r w:rsidRPr="00CF2184">
        <w:t>due</w:t>
      </w:r>
      <w:r w:rsidR="00733EEE">
        <w:t xml:space="preserve"> </w:t>
      </w:r>
      <w:r w:rsidRPr="00CF2184">
        <w:t>weight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importance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private</w:t>
      </w:r>
      <w:r w:rsidR="00733EEE">
        <w:t xml:space="preserve"> </w:t>
      </w:r>
      <w:r w:rsidRPr="00CF2184">
        <w:t>ordering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certainty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commercial</w:t>
      </w:r>
      <w:r w:rsidR="00733EEE">
        <w:t xml:space="preserve"> </w:t>
      </w:r>
      <w:r w:rsidRPr="00CF2184">
        <w:t>affairs.</w:t>
      </w:r>
      <w:r w:rsidR="00733EEE">
        <w:t xml:space="preserve"> 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The</w:t>
      </w:r>
      <w:r w:rsidR="00733EEE">
        <w:t xml:space="preserve"> </w:t>
      </w:r>
      <w:r w:rsidRPr="00CF2184">
        <w:t>approach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recognizing</w:t>
      </w:r>
      <w:r w:rsidR="00733EEE">
        <w:t xml:space="preserve"> </w:t>
      </w:r>
      <w:r w:rsidRPr="00CF2184">
        <w:t>an</w:t>
      </w:r>
      <w:r w:rsidR="00733EEE">
        <w:t xml:space="preserve"> </w:t>
      </w:r>
      <w:r w:rsidRPr="00CF2184">
        <w:t>overarching</w:t>
      </w:r>
      <w:r w:rsidR="00733EEE">
        <w:t xml:space="preserve"> </w:t>
      </w:r>
      <w:r w:rsidRPr="00CF2184">
        <w:t>organizing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but</w:t>
      </w:r>
      <w:r w:rsidR="00733EEE">
        <w:t xml:space="preserve"> </w:t>
      </w:r>
      <w:r w:rsidRPr="00CF2184">
        <w:t>accepting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existing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primary</w:t>
      </w:r>
      <w:r w:rsidR="00733EEE">
        <w:t xml:space="preserve"> </w:t>
      </w:r>
      <w:r w:rsidRPr="00CF2184">
        <w:t>guide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future</w:t>
      </w:r>
      <w:r w:rsidR="00733EEE">
        <w:t xml:space="preserve"> </w:t>
      </w:r>
      <w:r w:rsidRPr="00CF2184">
        <w:t>development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appropriate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development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doctrine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faith.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may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invoked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widely</w:t>
      </w:r>
      <w:r w:rsidR="00733EEE">
        <w:t xml:space="preserve"> </w:t>
      </w:r>
      <w:r w:rsidRPr="00CF2184">
        <w:t>varying</w:t>
      </w:r>
      <w:r w:rsidR="00733EEE">
        <w:t xml:space="preserve"> </w:t>
      </w:r>
      <w:r w:rsidRPr="00CF2184">
        <w:t>contexts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this</w:t>
      </w:r>
      <w:r w:rsidR="00733EEE">
        <w:t xml:space="preserve"> </w:t>
      </w:r>
      <w:r w:rsidRPr="00CF2184">
        <w:t>calls</w:t>
      </w:r>
      <w:r w:rsidR="00733EEE">
        <w:t xml:space="preserve"> </w:t>
      </w:r>
      <w:r w:rsidRPr="00CF2184">
        <w:t>for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highly</w:t>
      </w:r>
      <w:r w:rsidR="00733EEE">
        <w:t xml:space="preserve"> </w:t>
      </w:r>
      <w:r w:rsidRPr="00CF2184">
        <w:t>context</w:t>
      </w:r>
      <w:r w:rsidR="00733EEE">
        <w:t>-</w:t>
      </w:r>
      <w:r w:rsidRPr="00CF2184">
        <w:t>specific</w:t>
      </w:r>
      <w:r w:rsidR="00733EEE">
        <w:t xml:space="preserve"> </w:t>
      </w:r>
      <w:r w:rsidRPr="00CF2184">
        <w:t>understanding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lastRenderedPageBreak/>
        <w:t>what</w:t>
      </w:r>
      <w:r w:rsidR="00733EEE">
        <w:t xml:space="preserve"> </w:t>
      </w:r>
      <w:r w:rsidRPr="00CF2184">
        <w:t>honesty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reasonableness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performance</w:t>
      </w:r>
      <w:r w:rsidR="00733EEE">
        <w:t xml:space="preserve"> </w:t>
      </w:r>
      <w:r w:rsidRPr="00CF2184">
        <w:t>require</w:t>
      </w:r>
      <w:r w:rsidR="00733EEE">
        <w:t xml:space="preserve"> </w:t>
      </w:r>
      <w:r w:rsidRPr="00CF2184">
        <w:t>so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give</w:t>
      </w:r>
      <w:r w:rsidR="00733EEE">
        <w:t xml:space="preserve"> </w:t>
      </w:r>
      <w:r w:rsidRPr="00CF2184">
        <w:t>appropriate</w:t>
      </w:r>
      <w:r w:rsidR="00733EEE">
        <w:t xml:space="preserve"> </w:t>
      </w:r>
      <w:r w:rsidRPr="00CF2184">
        <w:t>consideration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legitimate</w:t>
      </w:r>
      <w:r w:rsidR="00733EEE">
        <w:t xml:space="preserve"> </w:t>
      </w:r>
      <w:r w:rsidRPr="00CF2184">
        <w:t>interests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both</w:t>
      </w:r>
      <w:r w:rsidR="00733EEE">
        <w:t xml:space="preserve"> </w:t>
      </w:r>
      <w:r w:rsidRPr="00CF2184">
        <w:t>contracting</w:t>
      </w:r>
      <w:r w:rsidR="00733EEE">
        <w:t xml:space="preserve"> </w:t>
      </w:r>
      <w:r w:rsidRPr="00CF2184">
        <w:t>parties.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The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must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applied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manner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consistent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fundamental</w:t>
      </w:r>
      <w:r w:rsidR="00733EEE">
        <w:t xml:space="preserve"> </w:t>
      </w:r>
      <w:r w:rsidRPr="00CF2184">
        <w:t>commitments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common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which</w:t>
      </w:r>
      <w:r w:rsidR="00733EEE">
        <w:t xml:space="preserve"> </w:t>
      </w:r>
      <w:r w:rsidRPr="00CF2184">
        <w:t>generally</w:t>
      </w:r>
      <w:r w:rsidR="00733EEE">
        <w:t xml:space="preserve"> </w:t>
      </w:r>
      <w:r w:rsidRPr="00CF2184">
        <w:t>places</w:t>
      </w:r>
      <w:r w:rsidR="00733EEE">
        <w:t xml:space="preserve"> </w:t>
      </w:r>
      <w:r w:rsidRPr="00CF2184">
        <w:t>great</w:t>
      </w:r>
      <w:r w:rsidR="00733EEE">
        <w:t xml:space="preserve"> </w:t>
      </w:r>
      <w:r w:rsidRPr="00CF2184">
        <w:t>weight</w:t>
      </w:r>
      <w:r w:rsidR="00733EEE">
        <w:t xml:space="preserve"> </w:t>
      </w:r>
      <w:r w:rsidRPr="00CF2184">
        <w:t>on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freedom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contracting</w:t>
      </w:r>
      <w:r w:rsidR="00733EEE">
        <w:t xml:space="preserve"> </w:t>
      </w:r>
      <w:r w:rsidRPr="00CF2184">
        <w:t>parties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pursue</w:t>
      </w:r>
      <w:r w:rsidR="00733EEE">
        <w:t xml:space="preserve"> </w:t>
      </w:r>
      <w:r w:rsidRPr="00CF2184">
        <w:t>their</w:t>
      </w:r>
      <w:r w:rsidR="00733EEE">
        <w:t xml:space="preserve"> </w:t>
      </w:r>
      <w:r w:rsidRPr="00CF2184">
        <w:t>individual</w:t>
      </w:r>
      <w:r w:rsidR="00733EEE">
        <w:t xml:space="preserve"> </w:t>
      </w:r>
      <w:r w:rsidRPr="00CF2184">
        <w:t>self</w:t>
      </w:r>
      <w:r w:rsidR="00733EEE">
        <w:t>-</w:t>
      </w:r>
      <w:r w:rsidRPr="00CF2184">
        <w:t>interest.</w:t>
      </w:r>
      <w:r w:rsidR="00733EEE">
        <w:t xml:space="preserve">  </w:t>
      </w:r>
      <w:r w:rsidRPr="00CF2184">
        <w:t>In</w:t>
      </w:r>
      <w:r w:rsidR="00733EEE">
        <w:t xml:space="preserve"> </w:t>
      </w:r>
      <w:r w:rsidRPr="00CF2184">
        <w:t>commerce,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party</w:t>
      </w:r>
      <w:r w:rsidR="00733EEE">
        <w:t xml:space="preserve"> </w:t>
      </w:r>
      <w:r w:rsidRPr="00CF2184">
        <w:t>may</w:t>
      </w:r>
      <w:r w:rsidR="00733EEE">
        <w:t xml:space="preserve"> </w:t>
      </w:r>
      <w:r w:rsidRPr="00CF2184">
        <w:t>sometimes</w:t>
      </w:r>
      <w:r w:rsidR="00733EEE">
        <w:t xml:space="preserve"> </w:t>
      </w:r>
      <w:r w:rsidRPr="00CF2184">
        <w:t>cause</w:t>
      </w:r>
      <w:r w:rsidR="00733EEE">
        <w:t xml:space="preserve"> </w:t>
      </w:r>
      <w:r w:rsidRPr="00CF2184">
        <w:t>loss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another</w:t>
      </w:r>
      <w:r w:rsidR="00733EEE">
        <w:t xml:space="preserve"> </w:t>
      </w:r>
      <w:r w:rsidR="00A506C5" w:rsidRPr="00CF2184">
        <w:t>—</w:t>
      </w:r>
      <w:r w:rsidR="00733EEE">
        <w:t xml:space="preserve"> </w:t>
      </w:r>
      <w:r w:rsidRPr="00CF2184">
        <w:t>even</w:t>
      </w:r>
      <w:r w:rsidR="00733EEE">
        <w:t xml:space="preserve"> </w:t>
      </w:r>
      <w:r w:rsidRPr="00CF2184">
        <w:t>intentionally</w:t>
      </w:r>
      <w:r w:rsidR="00733EEE">
        <w:t xml:space="preserve"> </w:t>
      </w:r>
      <w:r w:rsidR="00A506C5" w:rsidRPr="00CF2184">
        <w:t>—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legitimate</w:t>
      </w:r>
      <w:r w:rsidR="00733EEE">
        <w:t xml:space="preserve"> </w:t>
      </w:r>
      <w:r w:rsidRPr="00CF2184">
        <w:t>pursuit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economic</w:t>
      </w:r>
      <w:r w:rsidR="00733EEE">
        <w:t xml:space="preserve"> </w:t>
      </w:r>
      <w:r w:rsidRPr="00CF2184">
        <w:t>self</w:t>
      </w:r>
      <w:r w:rsidR="00733EEE">
        <w:t>-</w:t>
      </w:r>
      <w:r w:rsidRPr="00CF2184">
        <w:t>interest.</w:t>
      </w:r>
      <w:r w:rsidR="00733EEE">
        <w:t xml:space="preserve"> </w:t>
      </w:r>
      <w:r w:rsidRPr="00CF2184">
        <w:t>Doing</w:t>
      </w:r>
      <w:r w:rsidR="00733EEE">
        <w:t xml:space="preserve"> </w:t>
      </w:r>
      <w:r w:rsidRPr="00CF2184">
        <w:t>so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necessarily</w:t>
      </w:r>
      <w:r w:rsidR="00733EEE">
        <w:t xml:space="preserve"> </w:t>
      </w:r>
      <w:r w:rsidRPr="00CF2184">
        <w:t>contrary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some</w:t>
      </w:r>
      <w:r w:rsidR="00733EEE">
        <w:t xml:space="preserve"> </w:t>
      </w:r>
      <w:r w:rsidRPr="00CF2184">
        <w:t>cases</w:t>
      </w:r>
      <w:r w:rsidR="00733EEE">
        <w:t xml:space="preserve"> </w:t>
      </w:r>
      <w:r w:rsidRPr="00CF2184">
        <w:t>has</w:t>
      </w:r>
      <w:r w:rsidR="00733EEE">
        <w:t xml:space="preserve"> </w:t>
      </w:r>
      <w:r w:rsidRPr="00CF2184">
        <w:t>actually</w:t>
      </w:r>
      <w:r w:rsidR="00733EEE">
        <w:t xml:space="preserve"> </w:t>
      </w:r>
      <w:r w:rsidRPr="00CF2184">
        <w:t>been</w:t>
      </w:r>
      <w:r w:rsidR="00733EEE">
        <w:t xml:space="preserve"> </w:t>
      </w:r>
      <w:r w:rsidRPr="00CF2184">
        <w:t>encouraged</w:t>
      </w:r>
      <w:r w:rsidR="00733EEE">
        <w:t xml:space="preserve"> </w:t>
      </w:r>
      <w:r w:rsidRPr="00CF2184">
        <w:t>by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courts</w:t>
      </w:r>
      <w:r w:rsidR="00733EEE">
        <w:t xml:space="preserve"> </w:t>
      </w:r>
      <w:r w:rsidRPr="00CF2184">
        <w:t>on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basis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economic</w:t>
      </w:r>
      <w:r w:rsidR="00733EEE">
        <w:t xml:space="preserve"> </w:t>
      </w:r>
      <w:r w:rsidRPr="00CF2184">
        <w:t>efficiency.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development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must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clear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veer</w:t>
      </w:r>
      <w:r w:rsidR="00733EEE">
        <w:t xml:space="preserve"> </w:t>
      </w:r>
      <w:r w:rsidRPr="00CF2184">
        <w:t>into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form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rPr>
          <w:i/>
        </w:rPr>
        <w:t>ad</w:t>
      </w:r>
      <w:r w:rsidR="00733EEE">
        <w:rPr>
          <w:i/>
        </w:rPr>
        <w:t xml:space="preserve"> </w:t>
      </w:r>
      <w:r w:rsidRPr="00CF2184">
        <w:rPr>
          <w:i/>
        </w:rPr>
        <w:t>hoc</w:t>
      </w:r>
      <w:r w:rsidR="00733EEE">
        <w:t xml:space="preserve"> </w:t>
      </w:r>
      <w:r w:rsidRPr="00CF2184">
        <w:t>judicial</w:t>
      </w:r>
      <w:r w:rsidR="00733EEE">
        <w:t xml:space="preserve"> </w:t>
      </w:r>
      <w:r w:rsidRPr="00CF2184">
        <w:t>moralism</w:t>
      </w:r>
      <w:r w:rsidR="00733EEE">
        <w:t xml:space="preserve"> </w:t>
      </w:r>
      <w:r w:rsidRPr="00CF2184">
        <w:t>or</w:t>
      </w:r>
      <w:r w:rsidR="00733EEE">
        <w:t xml:space="preserve"> </w:t>
      </w:r>
      <w:r w:rsidRPr="00CF2184">
        <w:t>“palm</w:t>
      </w:r>
      <w:r w:rsidR="00733EEE">
        <w:t xml:space="preserve"> </w:t>
      </w:r>
      <w:r w:rsidRPr="00CF2184">
        <w:t>tree”</w:t>
      </w:r>
      <w:r w:rsidR="00733EEE">
        <w:t xml:space="preserve"> </w:t>
      </w:r>
      <w:r w:rsidRPr="00CF2184">
        <w:t>justice.</w:t>
      </w:r>
      <w:r w:rsidR="00733EEE">
        <w:t xml:space="preserve">  </w:t>
      </w:r>
      <w:r w:rsidRPr="00CF2184">
        <w:t>In</w:t>
      </w:r>
      <w:r w:rsidR="00733EEE">
        <w:t xml:space="preserve"> </w:t>
      </w:r>
      <w:r w:rsidRPr="00CF2184">
        <w:t>particular,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organizing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should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used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pretext</w:t>
      </w:r>
      <w:r w:rsidR="00733EEE">
        <w:t xml:space="preserve"> </w:t>
      </w:r>
      <w:r w:rsidRPr="00CF2184">
        <w:t>for</w:t>
      </w:r>
      <w:r w:rsidR="00733EEE">
        <w:t xml:space="preserve"> </w:t>
      </w:r>
      <w:r w:rsidRPr="00CF2184">
        <w:t>scrutinizing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motives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contracting</w:t>
      </w:r>
      <w:r w:rsidR="00733EEE">
        <w:t xml:space="preserve"> </w:t>
      </w:r>
      <w:r w:rsidRPr="00CF2184">
        <w:t>parties.</w:t>
      </w:r>
      <w:r w:rsidR="00733EEE">
        <w:t xml:space="preserve">  </w:t>
      </w:r>
    </w:p>
    <w:p w:rsidR="001A3D8E" w:rsidRPr="00CF2184" w:rsidRDefault="00A506C5" w:rsidP="00733EEE">
      <w:pPr>
        <w:pStyle w:val="SCCNormalDoubleSpacing"/>
        <w:spacing w:before="480" w:after="480"/>
      </w:pPr>
      <w:r w:rsidRPr="00CF2184">
        <w:tab/>
      </w:r>
      <w:r w:rsidR="001A3D8E" w:rsidRPr="00CF2184">
        <w:t>The</w:t>
      </w:r>
      <w:r w:rsidR="00733EEE">
        <w:t xml:space="preserve"> </w:t>
      </w:r>
      <w:r w:rsidR="001A3D8E" w:rsidRPr="00CF2184">
        <w:t>objection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C’s</w:t>
      </w:r>
      <w:r w:rsidR="00733EEE">
        <w:t xml:space="preserve"> </w:t>
      </w:r>
      <w:r w:rsidR="001A3D8E" w:rsidRPr="00CF2184">
        <w:t>conduct</w:t>
      </w:r>
      <w:r w:rsidR="00733EEE">
        <w:t xml:space="preserve"> </w:t>
      </w:r>
      <w:r w:rsidR="001A3D8E" w:rsidRPr="00CF2184">
        <w:t>in</w:t>
      </w:r>
      <w:r w:rsidR="00733EEE">
        <w:t xml:space="preserve"> </w:t>
      </w:r>
      <w:r w:rsidR="001A3D8E" w:rsidRPr="00CF2184">
        <w:t>this</w:t>
      </w:r>
      <w:r w:rsidR="00733EEE">
        <w:t xml:space="preserve"> </w:t>
      </w:r>
      <w:r w:rsidR="001A3D8E" w:rsidRPr="00CF2184">
        <w:t>case</w:t>
      </w:r>
      <w:r w:rsidR="00733EEE">
        <w:t xml:space="preserve"> </w:t>
      </w:r>
      <w:r w:rsidR="001A3D8E" w:rsidRPr="00CF2184">
        <w:t>does</w:t>
      </w:r>
      <w:r w:rsidR="00733EEE">
        <w:t xml:space="preserve"> </w:t>
      </w:r>
      <w:r w:rsidR="001A3D8E" w:rsidRPr="00CF2184">
        <w:t>not</w:t>
      </w:r>
      <w:r w:rsidR="00733EEE">
        <w:t xml:space="preserve"> </w:t>
      </w:r>
      <w:r w:rsidR="001A3D8E" w:rsidRPr="00CF2184">
        <w:t>fit</w:t>
      </w:r>
      <w:r w:rsidR="00733EEE">
        <w:t xml:space="preserve"> </w:t>
      </w:r>
      <w:r w:rsidR="001A3D8E" w:rsidRPr="00CF2184">
        <w:t>within</w:t>
      </w:r>
      <w:r w:rsidR="00733EEE">
        <w:t xml:space="preserve"> </w:t>
      </w:r>
      <w:r w:rsidR="001A3D8E" w:rsidRPr="00CF2184">
        <w:t>any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existing</w:t>
      </w:r>
      <w:r w:rsidR="00733EEE">
        <w:t xml:space="preserve"> </w:t>
      </w:r>
      <w:r w:rsidR="001A3D8E" w:rsidRPr="00CF2184">
        <w:t>situations</w:t>
      </w:r>
      <w:r w:rsidR="00733EEE">
        <w:t xml:space="preserve"> </w:t>
      </w:r>
      <w:r w:rsidR="001A3D8E" w:rsidRPr="00CF2184">
        <w:t>or</w:t>
      </w:r>
      <w:r w:rsidR="00733EEE">
        <w:t xml:space="preserve"> </w:t>
      </w:r>
      <w:r w:rsidR="001A3D8E" w:rsidRPr="00CF2184">
        <w:t>relationships</w:t>
      </w:r>
      <w:r w:rsidR="00733EEE">
        <w:t xml:space="preserve"> </w:t>
      </w:r>
      <w:r w:rsidR="001A3D8E" w:rsidRPr="00CF2184">
        <w:t>in</w:t>
      </w:r>
      <w:r w:rsidR="00733EEE">
        <w:t xml:space="preserve"> </w:t>
      </w:r>
      <w:r w:rsidR="001A3D8E" w:rsidRPr="00CF2184">
        <w:t>which</w:t>
      </w:r>
      <w:r w:rsidR="00733EEE">
        <w:t xml:space="preserve"> </w:t>
      </w:r>
      <w:r w:rsidR="001A3D8E" w:rsidRPr="00CF2184">
        <w:t>duties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good</w:t>
      </w:r>
      <w:r w:rsidR="00733EEE">
        <w:t xml:space="preserve"> </w:t>
      </w:r>
      <w:r w:rsidR="001A3D8E" w:rsidRPr="00CF2184">
        <w:t>faith</w:t>
      </w:r>
      <w:r w:rsidR="00733EEE">
        <w:t xml:space="preserve"> </w:t>
      </w:r>
      <w:r w:rsidR="001A3D8E" w:rsidRPr="00CF2184">
        <w:t>have</w:t>
      </w:r>
      <w:r w:rsidR="00733EEE">
        <w:t xml:space="preserve"> </w:t>
      </w:r>
      <w:r w:rsidR="001A3D8E" w:rsidRPr="00CF2184">
        <w:t>been</w:t>
      </w:r>
      <w:r w:rsidR="00733EEE">
        <w:t xml:space="preserve"> </w:t>
      </w:r>
      <w:r w:rsidR="001A3D8E" w:rsidRPr="00CF2184">
        <w:t>found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exist.</w:t>
      </w:r>
      <w:r w:rsidR="00733EEE">
        <w:t xml:space="preserve">  </w:t>
      </w:r>
      <w:r w:rsidR="001A3D8E" w:rsidRPr="00CF2184">
        <w:t>It</w:t>
      </w:r>
      <w:r w:rsidR="00733EEE">
        <w:t xml:space="preserve"> </w:t>
      </w:r>
      <w:r w:rsidR="001A3D8E" w:rsidRPr="00CF2184">
        <w:t>is</w:t>
      </w:r>
      <w:r w:rsidR="00733EEE">
        <w:t xml:space="preserve"> </w:t>
      </w:r>
      <w:r w:rsidR="001A3D8E" w:rsidRPr="00CF2184">
        <w:t>appropriate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recognize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new</w:t>
      </w:r>
      <w:r w:rsidR="00733EEE">
        <w:t xml:space="preserve"> </w:t>
      </w:r>
      <w:r w:rsidR="001A3D8E" w:rsidRPr="00CF2184">
        <w:t>common</w:t>
      </w:r>
      <w:r w:rsidR="00733EEE">
        <w:t xml:space="preserve"> </w:t>
      </w:r>
      <w:r w:rsidR="001A3D8E" w:rsidRPr="00CF2184">
        <w:t>law</w:t>
      </w:r>
      <w:r w:rsidR="00733EEE">
        <w:t xml:space="preserve"> </w:t>
      </w:r>
      <w:r w:rsidR="001A3D8E" w:rsidRPr="00CF2184">
        <w:t>duty</w:t>
      </w:r>
      <w:r w:rsidR="00733EEE">
        <w:t xml:space="preserve"> </w:t>
      </w:r>
      <w:r w:rsidR="001A3D8E" w:rsidRPr="00CF2184">
        <w:t>that</w:t>
      </w:r>
      <w:r w:rsidR="00733EEE">
        <w:t xml:space="preserve"> </w:t>
      </w:r>
      <w:r w:rsidR="001A3D8E" w:rsidRPr="00CF2184">
        <w:t>applies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all</w:t>
      </w:r>
      <w:r w:rsidR="00733EEE">
        <w:t xml:space="preserve"> </w:t>
      </w:r>
      <w:r w:rsidR="001A3D8E" w:rsidRPr="00CF2184">
        <w:t>contracts</w:t>
      </w:r>
      <w:r w:rsidR="00733EEE">
        <w:t xml:space="preserve"> </w:t>
      </w:r>
      <w:r w:rsidR="001A3D8E" w:rsidRPr="00CF2184">
        <w:t>as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manifestation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general</w:t>
      </w:r>
      <w:r w:rsidR="00733EEE">
        <w:t xml:space="preserve"> </w:t>
      </w:r>
      <w:r w:rsidR="001A3D8E" w:rsidRPr="00CF2184">
        <w:t>organizing</w:t>
      </w:r>
      <w:r w:rsidR="00733EEE">
        <w:t xml:space="preserve"> </w:t>
      </w:r>
      <w:r w:rsidR="001A3D8E" w:rsidRPr="00CF2184">
        <w:t>principle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good</w:t>
      </w:r>
      <w:r w:rsidR="00733EEE">
        <w:t xml:space="preserve"> </w:t>
      </w:r>
      <w:r w:rsidR="001A3D8E" w:rsidRPr="00CF2184">
        <w:t>faith:</w:t>
      </w:r>
      <w:r w:rsidR="00733EEE">
        <w:t xml:space="preserve">  </w:t>
      </w:r>
      <w:r w:rsidR="001A3D8E" w:rsidRPr="00CF2184">
        <w:t>a</w:t>
      </w:r>
      <w:r w:rsidR="00733EEE">
        <w:t xml:space="preserve"> </w:t>
      </w:r>
      <w:r w:rsidR="001A3D8E" w:rsidRPr="00CF2184">
        <w:t>duty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honest</w:t>
      </w:r>
      <w:r w:rsidR="00733EEE">
        <w:t xml:space="preserve"> </w:t>
      </w:r>
      <w:r w:rsidR="001A3D8E" w:rsidRPr="00CF2184">
        <w:t>performance,</w:t>
      </w:r>
      <w:r w:rsidR="00733EEE">
        <w:t xml:space="preserve"> </w:t>
      </w:r>
      <w:r w:rsidR="001A3D8E" w:rsidRPr="00CF2184">
        <w:t>which</w:t>
      </w:r>
      <w:r w:rsidR="00733EEE">
        <w:t xml:space="preserve"> </w:t>
      </w:r>
      <w:r w:rsidR="001A3D8E" w:rsidRPr="00CF2184">
        <w:t>requires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parties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be</w:t>
      </w:r>
      <w:r w:rsidR="00733EEE">
        <w:t xml:space="preserve"> </w:t>
      </w:r>
      <w:r w:rsidR="001A3D8E" w:rsidRPr="00CF2184">
        <w:t>honest</w:t>
      </w:r>
      <w:r w:rsidR="00733EEE">
        <w:t xml:space="preserve"> </w:t>
      </w:r>
      <w:r w:rsidR="001A3D8E" w:rsidRPr="00CF2184">
        <w:t>with</w:t>
      </w:r>
      <w:r w:rsidR="00733EEE">
        <w:t xml:space="preserve"> </w:t>
      </w:r>
      <w:r w:rsidR="001A3D8E" w:rsidRPr="00CF2184">
        <w:t>each</w:t>
      </w:r>
      <w:r w:rsidR="00733EEE">
        <w:t xml:space="preserve"> </w:t>
      </w:r>
      <w:r w:rsidR="001A3D8E" w:rsidRPr="00CF2184">
        <w:t>other</w:t>
      </w:r>
      <w:r w:rsidR="00733EEE">
        <w:t xml:space="preserve"> </w:t>
      </w:r>
      <w:r w:rsidR="001A3D8E" w:rsidRPr="00CF2184">
        <w:t>in</w:t>
      </w:r>
      <w:r w:rsidR="00733EEE">
        <w:t xml:space="preserve"> </w:t>
      </w:r>
      <w:r w:rsidR="001A3D8E" w:rsidRPr="00CF2184">
        <w:t>relation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performance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their</w:t>
      </w:r>
      <w:r w:rsidR="00733EEE">
        <w:t xml:space="preserve"> </w:t>
      </w:r>
      <w:r w:rsidR="001A3D8E" w:rsidRPr="00CF2184">
        <w:t>contractual</w:t>
      </w:r>
      <w:r w:rsidR="00733EEE">
        <w:t xml:space="preserve"> </w:t>
      </w:r>
      <w:r w:rsidR="001A3D8E" w:rsidRPr="00CF2184">
        <w:t>obligations.</w:t>
      </w:r>
      <w:r w:rsidR="00733EEE">
        <w:t xml:space="preserve"> </w:t>
      </w:r>
    </w:p>
    <w:p w:rsidR="001A3D8E" w:rsidRPr="00CF2184" w:rsidRDefault="00A506C5" w:rsidP="00733EEE">
      <w:pPr>
        <w:pStyle w:val="SCCNormalDoubleSpacing"/>
        <w:spacing w:before="480" w:after="480"/>
      </w:pPr>
      <w:r w:rsidRPr="00CF2184">
        <w:tab/>
      </w:r>
      <w:r w:rsidR="001A3D8E" w:rsidRPr="00CF2184">
        <w:t>Under</w:t>
      </w:r>
      <w:r w:rsidR="00733EEE">
        <w:t xml:space="preserve"> </w:t>
      </w:r>
      <w:r w:rsidR="001A3D8E" w:rsidRPr="00CF2184">
        <w:t>this</w:t>
      </w:r>
      <w:r w:rsidR="00733EEE">
        <w:t xml:space="preserve"> </w:t>
      </w:r>
      <w:r w:rsidR="001A3D8E" w:rsidRPr="00CF2184">
        <w:t>new</w:t>
      </w:r>
      <w:r w:rsidR="00733EEE">
        <w:t xml:space="preserve"> </w:t>
      </w:r>
      <w:r w:rsidR="001A3D8E" w:rsidRPr="00CF2184">
        <w:t>general</w:t>
      </w:r>
      <w:r w:rsidR="00733EEE">
        <w:t xml:space="preserve"> </w:t>
      </w:r>
      <w:r w:rsidR="001A3D8E" w:rsidRPr="00CF2184">
        <w:t>duty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honesty</w:t>
      </w:r>
      <w:r w:rsidR="00733EEE">
        <w:t xml:space="preserve"> </w:t>
      </w:r>
      <w:r w:rsidR="001A3D8E" w:rsidRPr="00CF2184">
        <w:t>in</w:t>
      </w:r>
      <w:r w:rsidR="00733EEE">
        <w:t xml:space="preserve"> </w:t>
      </w:r>
      <w:r w:rsidR="001A3D8E" w:rsidRPr="00CF2184">
        <w:t>contractual</w:t>
      </w:r>
      <w:r w:rsidR="00733EEE">
        <w:t xml:space="preserve"> </w:t>
      </w:r>
      <w:r w:rsidR="001A3D8E" w:rsidRPr="00CF2184">
        <w:t>performance,</w:t>
      </w:r>
      <w:r w:rsidR="00733EEE">
        <w:t xml:space="preserve"> </w:t>
      </w:r>
      <w:r w:rsidR="001A3D8E" w:rsidRPr="00CF2184">
        <w:t>parties</w:t>
      </w:r>
      <w:r w:rsidR="00733EEE">
        <w:t xml:space="preserve"> </w:t>
      </w:r>
      <w:r w:rsidR="001A3D8E" w:rsidRPr="00CF2184">
        <w:t>must</w:t>
      </w:r>
      <w:r w:rsidR="00733EEE">
        <w:t xml:space="preserve"> </w:t>
      </w:r>
      <w:r w:rsidR="001A3D8E" w:rsidRPr="00CF2184">
        <w:t>not</w:t>
      </w:r>
      <w:r w:rsidR="00733EEE">
        <w:t xml:space="preserve"> </w:t>
      </w:r>
      <w:r w:rsidR="001A3D8E" w:rsidRPr="00CF2184">
        <w:t>lie</w:t>
      </w:r>
      <w:r w:rsidR="00733EEE">
        <w:t xml:space="preserve"> </w:t>
      </w:r>
      <w:r w:rsidR="001A3D8E" w:rsidRPr="00CF2184">
        <w:t>or</w:t>
      </w:r>
      <w:r w:rsidR="00733EEE">
        <w:t xml:space="preserve"> </w:t>
      </w:r>
      <w:r w:rsidR="001A3D8E" w:rsidRPr="00CF2184">
        <w:t>otherwise</w:t>
      </w:r>
      <w:r w:rsidR="00733EEE">
        <w:t xml:space="preserve"> </w:t>
      </w:r>
      <w:r w:rsidR="001A3D8E" w:rsidRPr="00CF2184">
        <w:t>knowingly</w:t>
      </w:r>
      <w:r w:rsidR="00733EEE">
        <w:t xml:space="preserve"> </w:t>
      </w:r>
      <w:r w:rsidR="001A3D8E" w:rsidRPr="00CF2184">
        <w:t>mislead</w:t>
      </w:r>
      <w:r w:rsidR="00733EEE">
        <w:t xml:space="preserve"> </w:t>
      </w:r>
      <w:r w:rsidR="001A3D8E" w:rsidRPr="00CF2184">
        <w:t>each</w:t>
      </w:r>
      <w:r w:rsidR="00733EEE">
        <w:t xml:space="preserve"> </w:t>
      </w:r>
      <w:r w:rsidR="001A3D8E" w:rsidRPr="00CF2184">
        <w:t>other</w:t>
      </w:r>
      <w:r w:rsidR="00733EEE">
        <w:t xml:space="preserve"> </w:t>
      </w:r>
      <w:r w:rsidR="001A3D8E" w:rsidRPr="00CF2184">
        <w:t>about</w:t>
      </w:r>
      <w:r w:rsidR="00733EEE">
        <w:t xml:space="preserve"> </w:t>
      </w:r>
      <w:r w:rsidR="001A3D8E" w:rsidRPr="00CF2184">
        <w:t>matters</w:t>
      </w:r>
      <w:r w:rsidR="00733EEE">
        <w:t xml:space="preserve"> </w:t>
      </w:r>
      <w:r w:rsidR="001A3D8E" w:rsidRPr="00CF2184">
        <w:t>directly</w:t>
      </w:r>
      <w:r w:rsidR="00733EEE">
        <w:t xml:space="preserve"> </w:t>
      </w:r>
      <w:r w:rsidR="001A3D8E" w:rsidRPr="00CF2184">
        <w:t>linked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performance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contract.</w:t>
      </w:r>
      <w:r w:rsidR="00733EEE">
        <w:t xml:space="preserve">  </w:t>
      </w:r>
      <w:r w:rsidR="001A3D8E" w:rsidRPr="00CF2184">
        <w:t>This</w:t>
      </w:r>
      <w:r w:rsidR="00733EEE">
        <w:t xml:space="preserve"> </w:t>
      </w:r>
      <w:r w:rsidR="001A3D8E" w:rsidRPr="00CF2184">
        <w:t>does</w:t>
      </w:r>
      <w:r w:rsidR="00733EEE">
        <w:t xml:space="preserve"> </w:t>
      </w:r>
      <w:r w:rsidR="001A3D8E" w:rsidRPr="00CF2184">
        <w:t>not</w:t>
      </w:r>
      <w:r w:rsidR="00733EEE">
        <w:t xml:space="preserve"> </w:t>
      </w:r>
      <w:r w:rsidR="001A3D8E" w:rsidRPr="00CF2184">
        <w:t>impose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duty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loyalty</w:t>
      </w:r>
      <w:r w:rsidR="00733EEE">
        <w:t xml:space="preserve"> </w:t>
      </w:r>
      <w:r w:rsidR="001A3D8E" w:rsidRPr="00CF2184">
        <w:t>or</w:t>
      </w:r>
      <w:r w:rsidR="00733EEE">
        <w:t xml:space="preserve"> </w:t>
      </w:r>
      <w:r w:rsidR="001A3D8E" w:rsidRPr="00CF2184">
        <w:lastRenderedPageBreak/>
        <w:t>of</w:t>
      </w:r>
      <w:r w:rsidR="00733EEE">
        <w:t xml:space="preserve"> </w:t>
      </w:r>
      <w:r w:rsidR="001A3D8E" w:rsidRPr="00CF2184">
        <w:t>disclosure</w:t>
      </w:r>
      <w:r w:rsidR="00733EEE">
        <w:t xml:space="preserve"> </w:t>
      </w:r>
      <w:r w:rsidR="001A3D8E" w:rsidRPr="00CF2184">
        <w:t>or</w:t>
      </w:r>
      <w:r w:rsidR="00733EEE">
        <w:t xml:space="preserve"> </w:t>
      </w:r>
      <w:r w:rsidR="001A3D8E" w:rsidRPr="00CF2184">
        <w:t>require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party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forego</w:t>
      </w:r>
      <w:r w:rsidR="00733EEE">
        <w:t xml:space="preserve"> </w:t>
      </w:r>
      <w:r w:rsidR="001A3D8E" w:rsidRPr="00CF2184">
        <w:t>advantages</w:t>
      </w:r>
      <w:r w:rsidR="00733EEE">
        <w:t xml:space="preserve"> </w:t>
      </w:r>
      <w:r w:rsidR="001A3D8E" w:rsidRPr="00CF2184">
        <w:t>flowing</w:t>
      </w:r>
      <w:r w:rsidR="00733EEE">
        <w:t xml:space="preserve"> </w:t>
      </w:r>
      <w:r w:rsidR="001A3D8E" w:rsidRPr="00CF2184">
        <w:t>from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contract;</w:t>
      </w:r>
      <w:r w:rsidR="00733EEE">
        <w:t xml:space="preserve"> </w:t>
      </w:r>
      <w:r w:rsidR="001A3D8E" w:rsidRPr="00CF2184">
        <w:t>it</w:t>
      </w:r>
      <w:r w:rsidR="00733EEE">
        <w:t xml:space="preserve"> </w:t>
      </w:r>
      <w:r w:rsidR="001A3D8E" w:rsidRPr="00CF2184">
        <w:t>is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simple</w:t>
      </w:r>
      <w:r w:rsidR="00733EEE">
        <w:t xml:space="preserve"> </w:t>
      </w:r>
      <w:r w:rsidR="001A3D8E" w:rsidRPr="00CF2184">
        <w:t>requirement</w:t>
      </w:r>
      <w:r w:rsidR="00733EEE">
        <w:t xml:space="preserve"> </w:t>
      </w:r>
      <w:r w:rsidR="001A3D8E" w:rsidRPr="00CF2184">
        <w:t>not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lie</w:t>
      </w:r>
      <w:r w:rsidR="00733EEE">
        <w:t xml:space="preserve"> </w:t>
      </w:r>
      <w:r w:rsidR="001A3D8E" w:rsidRPr="00CF2184">
        <w:t>or</w:t>
      </w:r>
      <w:r w:rsidR="00733EEE">
        <w:t xml:space="preserve"> </w:t>
      </w:r>
      <w:r w:rsidR="001A3D8E" w:rsidRPr="00CF2184">
        <w:t>mislead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other</w:t>
      </w:r>
      <w:r w:rsidR="00733EEE">
        <w:t xml:space="preserve"> </w:t>
      </w:r>
      <w:r w:rsidR="001A3D8E" w:rsidRPr="00CF2184">
        <w:t>party</w:t>
      </w:r>
      <w:r w:rsidR="00733EEE">
        <w:t xml:space="preserve"> </w:t>
      </w:r>
      <w:r w:rsidR="001A3D8E" w:rsidRPr="00CF2184">
        <w:t>about</w:t>
      </w:r>
      <w:r w:rsidR="00733EEE">
        <w:t xml:space="preserve"> </w:t>
      </w:r>
      <w:r w:rsidR="001A3D8E" w:rsidRPr="00CF2184">
        <w:t>one’s</w:t>
      </w:r>
      <w:r w:rsidR="00733EEE">
        <w:t xml:space="preserve"> </w:t>
      </w:r>
      <w:r w:rsidR="001A3D8E" w:rsidRPr="00CF2184">
        <w:t>contractual</w:t>
      </w:r>
      <w:r w:rsidR="00733EEE">
        <w:t xml:space="preserve"> </w:t>
      </w:r>
      <w:r w:rsidR="001A3D8E" w:rsidRPr="00CF2184">
        <w:t>performance.</w:t>
      </w:r>
      <w:r w:rsidR="00733EEE">
        <w:t xml:space="preserve">  </w:t>
      </w:r>
      <w:r w:rsidR="001A3D8E" w:rsidRPr="00CF2184">
        <w:t>Recognizing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duty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honest</w:t>
      </w:r>
      <w:r w:rsidR="00733EEE">
        <w:t xml:space="preserve"> </w:t>
      </w:r>
      <w:r w:rsidR="001A3D8E" w:rsidRPr="00CF2184">
        <w:t>performance</w:t>
      </w:r>
      <w:r w:rsidR="00733EEE">
        <w:t xml:space="preserve"> </w:t>
      </w:r>
      <w:r w:rsidR="001A3D8E" w:rsidRPr="00CF2184">
        <w:t>flowing</w:t>
      </w:r>
      <w:r w:rsidR="00733EEE">
        <w:t xml:space="preserve"> </w:t>
      </w:r>
      <w:r w:rsidR="001A3D8E" w:rsidRPr="00CF2184">
        <w:t>directly</w:t>
      </w:r>
      <w:r w:rsidR="00733EEE">
        <w:t xml:space="preserve"> </w:t>
      </w:r>
      <w:r w:rsidR="001A3D8E" w:rsidRPr="00CF2184">
        <w:t>from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common</w:t>
      </w:r>
      <w:r w:rsidR="00733EEE">
        <w:t xml:space="preserve"> </w:t>
      </w:r>
      <w:r w:rsidR="001A3D8E" w:rsidRPr="00CF2184">
        <w:t>law</w:t>
      </w:r>
      <w:r w:rsidR="00733EEE">
        <w:t xml:space="preserve"> </w:t>
      </w:r>
      <w:r w:rsidR="001A3D8E" w:rsidRPr="00CF2184">
        <w:t>organizing</w:t>
      </w:r>
      <w:r w:rsidR="00733EEE">
        <w:t xml:space="preserve"> </w:t>
      </w:r>
      <w:r w:rsidR="001A3D8E" w:rsidRPr="00CF2184">
        <w:t>principle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good</w:t>
      </w:r>
      <w:r w:rsidR="00733EEE">
        <w:t xml:space="preserve"> </w:t>
      </w:r>
      <w:r w:rsidR="001A3D8E" w:rsidRPr="00CF2184">
        <w:t>faith</w:t>
      </w:r>
      <w:r w:rsidR="00733EEE">
        <w:t xml:space="preserve"> </w:t>
      </w:r>
      <w:r w:rsidR="001A3D8E" w:rsidRPr="00CF2184">
        <w:t>is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modest,</w:t>
      </w:r>
      <w:r w:rsidR="00733EEE">
        <w:t xml:space="preserve"> </w:t>
      </w:r>
      <w:r w:rsidR="001A3D8E" w:rsidRPr="00CF2184">
        <w:t>incremental</w:t>
      </w:r>
      <w:r w:rsidR="00733EEE">
        <w:t xml:space="preserve"> </w:t>
      </w:r>
      <w:r w:rsidR="001A3D8E" w:rsidRPr="00CF2184">
        <w:t>ste</w:t>
      </w:r>
      <w:r w:rsidR="00BF5523" w:rsidRPr="00CF2184">
        <w:t>p.</w:t>
      </w:r>
      <w:r w:rsidR="00733EEE">
        <w:t xml:space="preserve"> </w:t>
      </w:r>
    </w:p>
    <w:p w:rsidR="001A3D8E" w:rsidRPr="00CF2184" w:rsidRDefault="00A506C5" w:rsidP="00733EEE">
      <w:pPr>
        <w:pStyle w:val="SCCNormalDoubleSpacing"/>
        <w:spacing w:before="480" w:after="480"/>
      </w:pPr>
      <w:r w:rsidRPr="00CF2184">
        <w:tab/>
      </w:r>
      <w:r w:rsidR="001A3D8E" w:rsidRPr="00CF2184">
        <w:t>This</w:t>
      </w:r>
      <w:r w:rsidR="00733EEE">
        <w:t xml:space="preserve"> </w:t>
      </w:r>
      <w:r w:rsidR="001A3D8E" w:rsidRPr="00CF2184">
        <w:t>new</w:t>
      </w:r>
      <w:r w:rsidR="00733EEE">
        <w:t xml:space="preserve"> </w:t>
      </w:r>
      <w:r w:rsidR="001A3D8E" w:rsidRPr="00CF2184">
        <w:t>duty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honest</w:t>
      </w:r>
      <w:r w:rsidR="00733EEE">
        <w:t xml:space="preserve"> </w:t>
      </w:r>
      <w:r w:rsidR="001A3D8E" w:rsidRPr="00CF2184">
        <w:t>performance</w:t>
      </w:r>
      <w:r w:rsidR="00733EEE">
        <w:t xml:space="preserve"> </w:t>
      </w:r>
      <w:r w:rsidR="001A3D8E" w:rsidRPr="00CF2184">
        <w:t>is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general</w:t>
      </w:r>
      <w:r w:rsidR="00733EEE">
        <w:t xml:space="preserve"> </w:t>
      </w:r>
      <w:r w:rsidR="001A3D8E" w:rsidRPr="00CF2184">
        <w:t>doctrine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contract</w:t>
      </w:r>
      <w:r w:rsidR="00733EEE">
        <w:t xml:space="preserve"> </w:t>
      </w:r>
      <w:r w:rsidR="001A3D8E" w:rsidRPr="00CF2184">
        <w:t>law</w:t>
      </w:r>
      <w:r w:rsidR="00733EEE">
        <w:t xml:space="preserve"> </w:t>
      </w:r>
      <w:r w:rsidR="001A3D8E" w:rsidRPr="00CF2184">
        <w:t>that</w:t>
      </w:r>
      <w:r w:rsidR="00733EEE">
        <w:t xml:space="preserve"> </w:t>
      </w:r>
      <w:r w:rsidR="001A3D8E" w:rsidRPr="00CF2184">
        <w:t>imposes</w:t>
      </w:r>
      <w:r w:rsidR="00733EEE">
        <w:t xml:space="preserve"> </w:t>
      </w:r>
      <w:r w:rsidR="001A3D8E" w:rsidRPr="00CF2184">
        <w:t>as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contractual</w:t>
      </w:r>
      <w:r w:rsidR="00733EEE">
        <w:t xml:space="preserve"> </w:t>
      </w:r>
      <w:r w:rsidR="001A3D8E" w:rsidRPr="00CF2184">
        <w:t>duty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minimum</w:t>
      </w:r>
      <w:r w:rsidR="00733EEE">
        <w:t xml:space="preserve"> </w:t>
      </w:r>
      <w:r w:rsidR="001A3D8E" w:rsidRPr="00CF2184">
        <w:t>standard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honesty</w:t>
      </w:r>
      <w:r w:rsidR="00733EEE">
        <w:t xml:space="preserve"> </w:t>
      </w:r>
      <w:r w:rsidR="001A3D8E" w:rsidRPr="00CF2184">
        <w:t>in</w:t>
      </w:r>
      <w:r w:rsidR="00733EEE">
        <w:t xml:space="preserve"> </w:t>
      </w:r>
      <w:r w:rsidR="001A3D8E" w:rsidRPr="00CF2184">
        <w:t>contractual</w:t>
      </w:r>
      <w:r w:rsidR="00733EEE">
        <w:t xml:space="preserve"> </w:t>
      </w:r>
      <w:r w:rsidR="001A3D8E" w:rsidRPr="00CF2184">
        <w:t>performance.</w:t>
      </w:r>
      <w:r w:rsidR="00733EEE">
        <w:t xml:space="preserve">  </w:t>
      </w:r>
      <w:r w:rsidR="001A3D8E" w:rsidRPr="00CF2184">
        <w:t>It</w:t>
      </w:r>
      <w:r w:rsidR="00733EEE">
        <w:t xml:space="preserve"> </w:t>
      </w:r>
      <w:r w:rsidR="001A3D8E" w:rsidRPr="00CF2184">
        <w:t>operates</w:t>
      </w:r>
      <w:r w:rsidR="00733EEE">
        <w:t xml:space="preserve"> </w:t>
      </w:r>
      <w:r w:rsidR="001A3D8E" w:rsidRPr="00CF2184">
        <w:t>irrespective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intentions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parties,</w:t>
      </w:r>
      <w:r w:rsidR="00733EEE">
        <w:t xml:space="preserve"> </w:t>
      </w:r>
      <w:r w:rsidR="001A3D8E" w:rsidRPr="00CF2184">
        <w:t>and</w:t>
      </w:r>
      <w:r w:rsidR="00733EEE">
        <w:t xml:space="preserve"> </w:t>
      </w:r>
      <w:r w:rsidR="001A3D8E" w:rsidRPr="00CF2184">
        <w:t>is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this</w:t>
      </w:r>
      <w:r w:rsidR="00733EEE">
        <w:t xml:space="preserve"> </w:t>
      </w:r>
      <w:r w:rsidR="001A3D8E" w:rsidRPr="00CF2184">
        <w:t>extent</w:t>
      </w:r>
      <w:r w:rsidR="00733EEE">
        <w:t xml:space="preserve"> </w:t>
      </w:r>
      <w:r w:rsidR="001A3D8E" w:rsidRPr="00CF2184">
        <w:t>analogous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equitable</w:t>
      </w:r>
      <w:r w:rsidR="00733EEE">
        <w:t xml:space="preserve"> </w:t>
      </w:r>
      <w:r w:rsidR="001A3D8E" w:rsidRPr="00CF2184">
        <w:t>doctrines</w:t>
      </w:r>
      <w:r w:rsidR="00733EEE">
        <w:t xml:space="preserve"> </w:t>
      </w:r>
      <w:r w:rsidR="001A3D8E" w:rsidRPr="00CF2184">
        <w:t>which</w:t>
      </w:r>
      <w:r w:rsidR="00733EEE">
        <w:t xml:space="preserve"> </w:t>
      </w:r>
      <w:r w:rsidR="001A3D8E" w:rsidRPr="00CF2184">
        <w:t>impose</w:t>
      </w:r>
      <w:r w:rsidR="00733EEE">
        <w:t xml:space="preserve"> </w:t>
      </w:r>
      <w:r w:rsidR="001A3D8E" w:rsidRPr="00CF2184">
        <w:t>limits</w:t>
      </w:r>
      <w:r w:rsidR="00733EEE">
        <w:t xml:space="preserve"> </w:t>
      </w:r>
      <w:r w:rsidR="001A3D8E" w:rsidRPr="00CF2184">
        <w:t>on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freedom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contract,</w:t>
      </w:r>
      <w:r w:rsidR="00733EEE">
        <w:t xml:space="preserve"> </w:t>
      </w:r>
      <w:r w:rsidR="001A3D8E" w:rsidRPr="00CF2184">
        <w:t>such</w:t>
      </w:r>
      <w:r w:rsidR="00733EEE">
        <w:t xml:space="preserve"> </w:t>
      </w:r>
      <w:r w:rsidR="001A3D8E" w:rsidRPr="00CF2184">
        <w:t>as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doctrine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unconscionability.</w:t>
      </w:r>
      <w:r w:rsidR="00733EEE">
        <w:t xml:space="preserve">  </w:t>
      </w:r>
      <w:r w:rsidR="001A3D8E" w:rsidRPr="00CF2184">
        <w:t>However,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precise</w:t>
      </w:r>
      <w:r w:rsidR="00733EEE">
        <w:t xml:space="preserve"> </w:t>
      </w:r>
      <w:r w:rsidR="001A3D8E" w:rsidRPr="00CF2184">
        <w:t>content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honest</w:t>
      </w:r>
      <w:r w:rsidR="00733EEE">
        <w:t xml:space="preserve"> </w:t>
      </w:r>
      <w:r w:rsidR="001A3D8E" w:rsidRPr="00CF2184">
        <w:t>performance</w:t>
      </w:r>
      <w:r w:rsidR="00733EEE">
        <w:t xml:space="preserve"> </w:t>
      </w:r>
      <w:r w:rsidR="001A3D8E" w:rsidRPr="00CF2184">
        <w:t>will</w:t>
      </w:r>
      <w:r w:rsidR="00733EEE">
        <w:t xml:space="preserve"> </w:t>
      </w:r>
      <w:r w:rsidR="001A3D8E" w:rsidRPr="00CF2184">
        <w:t>vary</w:t>
      </w:r>
      <w:r w:rsidR="00733EEE">
        <w:t xml:space="preserve"> </w:t>
      </w:r>
      <w:r w:rsidR="001A3D8E" w:rsidRPr="00CF2184">
        <w:t>with</w:t>
      </w:r>
      <w:r w:rsidR="00733EEE">
        <w:t xml:space="preserve"> </w:t>
      </w:r>
      <w:r w:rsidR="001A3D8E" w:rsidRPr="00CF2184">
        <w:t>context</w:t>
      </w:r>
      <w:r w:rsidR="00733EEE">
        <w:t xml:space="preserve"> </w:t>
      </w:r>
      <w:r w:rsidR="001A3D8E" w:rsidRPr="00CF2184">
        <w:t>and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parties</w:t>
      </w:r>
      <w:r w:rsidR="00733EEE">
        <w:t xml:space="preserve"> </w:t>
      </w:r>
      <w:r w:rsidR="001A3D8E" w:rsidRPr="00CF2184">
        <w:t>should</w:t>
      </w:r>
      <w:r w:rsidR="00733EEE">
        <w:t xml:space="preserve"> </w:t>
      </w:r>
      <w:r w:rsidR="001A3D8E" w:rsidRPr="00CF2184">
        <w:t>be</w:t>
      </w:r>
      <w:r w:rsidR="00733EEE">
        <w:t xml:space="preserve"> </w:t>
      </w:r>
      <w:r w:rsidR="001A3D8E" w:rsidRPr="00CF2184">
        <w:t>free</w:t>
      </w:r>
      <w:r w:rsidR="00733EEE">
        <w:t xml:space="preserve"> </w:t>
      </w:r>
      <w:r w:rsidR="001A3D8E" w:rsidRPr="00CF2184">
        <w:t>in</w:t>
      </w:r>
      <w:r w:rsidR="00733EEE">
        <w:t xml:space="preserve"> </w:t>
      </w:r>
      <w:r w:rsidR="001A3D8E" w:rsidRPr="00CF2184">
        <w:t>some</w:t>
      </w:r>
      <w:r w:rsidR="00733EEE">
        <w:t xml:space="preserve"> </w:t>
      </w:r>
      <w:r w:rsidR="001A3D8E" w:rsidRPr="00CF2184">
        <w:t>contexts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relax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requirements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doctrine</w:t>
      </w:r>
      <w:r w:rsidR="00733EEE">
        <w:t xml:space="preserve"> </w:t>
      </w:r>
      <w:r w:rsidR="001A3D8E" w:rsidRPr="00CF2184">
        <w:t>so</w:t>
      </w:r>
      <w:r w:rsidR="00733EEE">
        <w:t xml:space="preserve"> </w:t>
      </w:r>
      <w:r w:rsidR="001A3D8E" w:rsidRPr="00CF2184">
        <w:t>long</w:t>
      </w:r>
      <w:r w:rsidR="00733EEE">
        <w:t xml:space="preserve"> </w:t>
      </w:r>
      <w:r w:rsidR="001A3D8E" w:rsidRPr="00CF2184">
        <w:t>as</w:t>
      </w:r>
      <w:r w:rsidR="00733EEE">
        <w:t xml:space="preserve"> </w:t>
      </w:r>
      <w:r w:rsidR="001A3D8E" w:rsidRPr="00CF2184">
        <w:t>they</w:t>
      </w:r>
      <w:r w:rsidR="00733EEE">
        <w:t xml:space="preserve"> </w:t>
      </w:r>
      <w:r w:rsidR="001A3D8E" w:rsidRPr="00CF2184">
        <w:t>respect</w:t>
      </w:r>
      <w:r w:rsidR="00733EEE">
        <w:t xml:space="preserve"> </w:t>
      </w:r>
      <w:r w:rsidR="001A3D8E" w:rsidRPr="00CF2184">
        <w:t>its</w:t>
      </w:r>
      <w:r w:rsidR="00733EEE">
        <w:t xml:space="preserve"> </w:t>
      </w:r>
      <w:r w:rsidR="001A3D8E" w:rsidRPr="00CF2184">
        <w:t>minimum</w:t>
      </w:r>
      <w:r w:rsidR="00733EEE">
        <w:t xml:space="preserve"> </w:t>
      </w:r>
      <w:r w:rsidR="001A3D8E" w:rsidRPr="00CF2184">
        <w:t>core</w:t>
      </w:r>
      <w:r w:rsidR="00733EEE">
        <w:t xml:space="preserve"> </w:t>
      </w:r>
      <w:r w:rsidR="001A3D8E" w:rsidRPr="00CF2184">
        <w:t>requirements.</w:t>
      </w:r>
    </w:p>
    <w:p w:rsidR="001A3D8E" w:rsidRPr="00CF2184" w:rsidRDefault="00A506C5" w:rsidP="00733EEE">
      <w:pPr>
        <w:pStyle w:val="SCCNormalDoubleSpacing"/>
        <w:spacing w:before="480" w:after="480"/>
      </w:pPr>
      <w:r w:rsidRPr="00CF2184">
        <w:tab/>
      </w:r>
      <w:r w:rsidR="001A3D8E" w:rsidRPr="00CF2184">
        <w:t>The</w:t>
      </w:r>
      <w:r w:rsidR="00733EEE">
        <w:t xml:space="preserve"> </w:t>
      </w:r>
      <w:r w:rsidR="001A3D8E" w:rsidRPr="00CF2184">
        <w:t>duty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honest</w:t>
      </w:r>
      <w:r w:rsidR="00733EEE">
        <w:t xml:space="preserve"> </w:t>
      </w:r>
      <w:r w:rsidR="001A3D8E" w:rsidRPr="00CF2184">
        <w:t>performance</w:t>
      </w:r>
      <w:r w:rsidR="00733EEE">
        <w:t xml:space="preserve"> </w:t>
      </w:r>
      <w:r w:rsidR="001A3D8E" w:rsidRPr="00CF2184">
        <w:t>should</w:t>
      </w:r>
      <w:r w:rsidR="00733EEE">
        <w:t xml:space="preserve"> </w:t>
      </w:r>
      <w:r w:rsidR="001A3D8E" w:rsidRPr="00CF2184">
        <w:t>not</w:t>
      </w:r>
      <w:r w:rsidR="00733EEE">
        <w:t xml:space="preserve"> </w:t>
      </w:r>
      <w:r w:rsidR="001A3D8E" w:rsidRPr="00CF2184">
        <w:t>be</w:t>
      </w:r>
      <w:r w:rsidR="00733EEE">
        <w:t xml:space="preserve"> </w:t>
      </w:r>
      <w:r w:rsidR="001A3D8E" w:rsidRPr="00CF2184">
        <w:t>confused</w:t>
      </w:r>
      <w:r w:rsidR="00733EEE">
        <w:t xml:space="preserve"> </w:t>
      </w:r>
      <w:r w:rsidR="001A3D8E" w:rsidRPr="00CF2184">
        <w:t>with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duty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disclosure</w:t>
      </w:r>
      <w:r w:rsidR="00733EEE">
        <w:t xml:space="preserve"> </w:t>
      </w:r>
      <w:r w:rsidR="001A3D8E" w:rsidRPr="00CF2184">
        <w:t>or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fiduciary</w:t>
      </w:r>
      <w:r w:rsidR="00733EEE">
        <w:t xml:space="preserve"> </w:t>
      </w:r>
      <w:r w:rsidR="001A3D8E" w:rsidRPr="00CF2184">
        <w:t>loyalty.</w:t>
      </w:r>
      <w:r w:rsidR="00733EEE">
        <w:t xml:space="preserve">  </w:t>
      </w:r>
      <w:r w:rsidR="001A3D8E" w:rsidRPr="00CF2184">
        <w:t>A</w:t>
      </w:r>
      <w:r w:rsidR="00733EEE">
        <w:t xml:space="preserve"> </w:t>
      </w:r>
      <w:r w:rsidR="001A3D8E" w:rsidRPr="00CF2184">
        <w:t>party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contract</w:t>
      </w:r>
      <w:r w:rsidR="00733EEE">
        <w:t xml:space="preserve"> </w:t>
      </w:r>
      <w:r w:rsidR="001A3D8E" w:rsidRPr="00CF2184">
        <w:t>has</w:t>
      </w:r>
      <w:r w:rsidR="00733EEE">
        <w:t xml:space="preserve"> </w:t>
      </w:r>
      <w:r w:rsidR="001A3D8E" w:rsidRPr="00CF2184">
        <w:t>no</w:t>
      </w:r>
      <w:r w:rsidR="00733EEE">
        <w:t xml:space="preserve"> </w:t>
      </w:r>
      <w:r w:rsidR="001A3D8E" w:rsidRPr="00CF2184">
        <w:t>general</w:t>
      </w:r>
      <w:r w:rsidR="00733EEE">
        <w:t xml:space="preserve"> </w:t>
      </w:r>
      <w:r w:rsidR="001A3D8E" w:rsidRPr="00CF2184">
        <w:t>duty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subordinate</w:t>
      </w:r>
      <w:r w:rsidR="00733EEE">
        <w:t xml:space="preserve"> </w:t>
      </w:r>
      <w:r w:rsidR="001A3D8E" w:rsidRPr="00CF2184">
        <w:t>his</w:t>
      </w:r>
      <w:r w:rsidR="00733EEE">
        <w:t xml:space="preserve"> </w:t>
      </w:r>
      <w:r w:rsidR="001A3D8E" w:rsidRPr="00CF2184">
        <w:t>or</w:t>
      </w:r>
      <w:r w:rsidR="00733EEE">
        <w:t xml:space="preserve"> </w:t>
      </w:r>
      <w:r w:rsidR="001A3D8E" w:rsidRPr="00CF2184">
        <w:t>her</w:t>
      </w:r>
      <w:r w:rsidR="00733EEE">
        <w:t xml:space="preserve"> </w:t>
      </w:r>
      <w:r w:rsidR="001A3D8E" w:rsidRPr="00CF2184">
        <w:t>interest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that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other</w:t>
      </w:r>
      <w:r w:rsidR="00733EEE">
        <w:t xml:space="preserve"> </w:t>
      </w:r>
      <w:r w:rsidR="001A3D8E" w:rsidRPr="00CF2184">
        <w:t>party.</w:t>
      </w:r>
      <w:r w:rsidR="00733EEE">
        <w:t xml:space="preserve">  </w:t>
      </w:r>
      <w:r w:rsidR="001A3D8E" w:rsidRPr="00CF2184">
        <w:t>However,</w:t>
      </w:r>
      <w:r w:rsidR="00733EEE">
        <w:t xml:space="preserve"> </w:t>
      </w:r>
      <w:r w:rsidR="001A3D8E" w:rsidRPr="00CF2184">
        <w:t>contracting</w:t>
      </w:r>
      <w:r w:rsidR="00733EEE">
        <w:t xml:space="preserve"> </w:t>
      </w:r>
      <w:r w:rsidR="001A3D8E" w:rsidRPr="00CF2184">
        <w:t>parties</w:t>
      </w:r>
      <w:r w:rsidR="00733EEE">
        <w:t xml:space="preserve"> </w:t>
      </w:r>
      <w:r w:rsidR="001A3D8E" w:rsidRPr="00CF2184">
        <w:t>must</w:t>
      </w:r>
      <w:r w:rsidR="00733EEE">
        <w:t xml:space="preserve"> </w:t>
      </w:r>
      <w:r w:rsidR="001A3D8E" w:rsidRPr="00CF2184">
        <w:t>be</w:t>
      </w:r>
      <w:r w:rsidR="00733EEE">
        <w:t xml:space="preserve"> </w:t>
      </w:r>
      <w:r w:rsidR="001A3D8E" w:rsidRPr="00CF2184">
        <w:t>able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rely</w:t>
      </w:r>
      <w:r w:rsidR="00733EEE">
        <w:t xml:space="preserve"> </w:t>
      </w:r>
      <w:r w:rsidR="001A3D8E" w:rsidRPr="00CF2184">
        <w:t>on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minimum</w:t>
      </w:r>
      <w:r w:rsidR="00733EEE">
        <w:t xml:space="preserve"> </w:t>
      </w:r>
      <w:r w:rsidR="001A3D8E" w:rsidRPr="00CF2184">
        <w:t>standard</w:t>
      </w:r>
      <w:r w:rsidR="00733EEE">
        <w:t xml:space="preserve"> </w:t>
      </w:r>
      <w:r w:rsidR="001A3D8E" w:rsidRPr="00CF2184">
        <w:t>of</w:t>
      </w:r>
      <w:r w:rsidR="00733EEE">
        <w:t xml:space="preserve"> </w:t>
      </w:r>
      <w:r w:rsidR="001A3D8E" w:rsidRPr="00CF2184">
        <w:t>honesty</w:t>
      </w:r>
      <w:r w:rsidR="00733EEE">
        <w:t xml:space="preserve"> </w:t>
      </w:r>
      <w:r w:rsidR="001A3D8E" w:rsidRPr="00CF2184">
        <w:t>from</w:t>
      </w:r>
      <w:r w:rsidR="00733EEE">
        <w:t xml:space="preserve"> </w:t>
      </w:r>
      <w:r w:rsidR="001A3D8E" w:rsidRPr="00CF2184">
        <w:t>their</w:t>
      </w:r>
      <w:r w:rsidR="00733EEE">
        <w:t xml:space="preserve"> </w:t>
      </w:r>
      <w:r w:rsidR="001A3D8E" w:rsidRPr="00CF2184">
        <w:t>contracting</w:t>
      </w:r>
      <w:r w:rsidR="00733EEE">
        <w:t xml:space="preserve"> </w:t>
      </w:r>
      <w:r w:rsidR="001A3D8E" w:rsidRPr="00CF2184">
        <w:t>partner</w:t>
      </w:r>
      <w:r w:rsidR="00733EEE">
        <w:t xml:space="preserve"> </w:t>
      </w:r>
      <w:r w:rsidR="001A3D8E" w:rsidRPr="00CF2184">
        <w:t>in</w:t>
      </w:r>
      <w:r w:rsidR="00733EEE">
        <w:t xml:space="preserve"> </w:t>
      </w:r>
      <w:r w:rsidR="001A3D8E" w:rsidRPr="00CF2184">
        <w:t>relation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performing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contract</w:t>
      </w:r>
      <w:r w:rsidR="00733EEE">
        <w:t xml:space="preserve"> </w:t>
      </w:r>
      <w:r w:rsidR="001A3D8E" w:rsidRPr="00CF2184">
        <w:t>as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reassurance</w:t>
      </w:r>
      <w:r w:rsidR="00733EEE">
        <w:t xml:space="preserve"> </w:t>
      </w:r>
      <w:r w:rsidR="001A3D8E" w:rsidRPr="00CF2184">
        <w:t>that</w:t>
      </w:r>
      <w:r w:rsidR="00733EEE">
        <w:t xml:space="preserve"> </w:t>
      </w:r>
      <w:r w:rsidR="001A3D8E" w:rsidRPr="00CF2184">
        <w:t>if</w:t>
      </w:r>
      <w:r w:rsidR="00733EEE">
        <w:t xml:space="preserve"> </w:t>
      </w:r>
      <w:r w:rsidR="001A3D8E" w:rsidRPr="00CF2184">
        <w:t>the</w:t>
      </w:r>
      <w:r w:rsidR="00733EEE">
        <w:t xml:space="preserve"> </w:t>
      </w:r>
      <w:r w:rsidR="001A3D8E" w:rsidRPr="00CF2184">
        <w:t>contract</w:t>
      </w:r>
      <w:r w:rsidR="00733EEE">
        <w:t xml:space="preserve"> </w:t>
      </w:r>
      <w:r w:rsidR="001A3D8E" w:rsidRPr="00CF2184">
        <w:t>does</w:t>
      </w:r>
      <w:r w:rsidR="00733EEE">
        <w:t xml:space="preserve"> </w:t>
      </w:r>
      <w:r w:rsidR="001A3D8E" w:rsidRPr="00CF2184">
        <w:t>not</w:t>
      </w:r>
      <w:r w:rsidR="00733EEE">
        <w:t xml:space="preserve"> </w:t>
      </w:r>
      <w:r w:rsidR="001A3D8E" w:rsidRPr="00CF2184">
        <w:t>work</w:t>
      </w:r>
      <w:r w:rsidR="00733EEE">
        <w:t xml:space="preserve"> </w:t>
      </w:r>
      <w:r w:rsidR="001A3D8E" w:rsidRPr="00CF2184">
        <w:t>out,</w:t>
      </w:r>
      <w:r w:rsidR="00733EEE">
        <w:t xml:space="preserve"> </w:t>
      </w:r>
      <w:r w:rsidR="001A3D8E" w:rsidRPr="00CF2184">
        <w:t>they</w:t>
      </w:r>
      <w:r w:rsidR="00733EEE">
        <w:t xml:space="preserve"> </w:t>
      </w:r>
      <w:r w:rsidR="001A3D8E" w:rsidRPr="00CF2184">
        <w:t>will</w:t>
      </w:r>
      <w:r w:rsidR="00733EEE">
        <w:t xml:space="preserve"> </w:t>
      </w:r>
      <w:r w:rsidR="001A3D8E" w:rsidRPr="00CF2184">
        <w:t>have</w:t>
      </w:r>
      <w:r w:rsidR="00733EEE">
        <w:t xml:space="preserve"> </w:t>
      </w:r>
      <w:r w:rsidR="001A3D8E" w:rsidRPr="00CF2184">
        <w:t>a</w:t>
      </w:r>
      <w:r w:rsidR="00733EEE">
        <w:t xml:space="preserve"> </w:t>
      </w:r>
      <w:r w:rsidR="001A3D8E" w:rsidRPr="00CF2184">
        <w:t>fair</w:t>
      </w:r>
      <w:r w:rsidR="00733EEE">
        <w:t xml:space="preserve"> </w:t>
      </w:r>
      <w:r w:rsidR="001A3D8E" w:rsidRPr="00CF2184">
        <w:t>opportunity</w:t>
      </w:r>
      <w:r w:rsidR="00733EEE">
        <w:t xml:space="preserve"> </w:t>
      </w:r>
      <w:r w:rsidR="001A3D8E" w:rsidRPr="00CF2184">
        <w:t>to</w:t>
      </w:r>
      <w:r w:rsidR="00733EEE">
        <w:t xml:space="preserve"> </w:t>
      </w:r>
      <w:r w:rsidR="001A3D8E" w:rsidRPr="00CF2184">
        <w:t>protect</w:t>
      </w:r>
      <w:r w:rsidR="00733EEE">
        <w:t xml:space="preserve"> </w:t>
      </w:r>
      <w:r w:rsidR="001A3D8E" w:rsidRPr="00CF2184">
        <w:t>their</w:t>
      </w:r>
      <w:r w:rsidR="00733EEE">
        <w:t xml:space="preserve"> </w:t>
      </w:r>
      <w:r w:rsidR="001A3D8E" w:rsidRPr="00CF2184">
        <w:t>interests.</w:t>
      </w:r>
      <w:r w:rsidR="00733EEE">
        <w:t xml:space="preserve"> 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In</w:t>
      </w:r>
      <w:r w:rsidR="00733EEE">
        <w:t xml:space="preserve"> </w:t>
      </w:r>
      <w:r w:rsidRPr="00CF2184">
        <w:t>this</w:t>
      </w:r>
      <w:r w:rsidR="00733EEE">
        <w:t xml:space="preserve"> </w:t>
      </w:r>
      <w:r w:rsidRPr="00CF2184">
        <w:t>case,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trial</w:t>
      </w:r>
      <w:r w:rsidR="00733EEE">
        <w:t xml:space="preserve"> </w:t>
      </w:r>
      <w:r w:rsidRPr="00CF2184">
        <w:t>judge</w:t>
      </w:r>
      <w:r w:rsidR="00733EEE">
        <w:t xml:space="preserve"> </w:t>
      </w:r>
      <w:r w:rsidRPr="00CF2184">
        <w:t>did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make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reversible</w:t>
      </w:r>
      <w:r w:rsidR="00733EEE">
        <w:t xml:space="preserve"> </w:t>
      </w:r>
      <w:r w:rsidRPr="00CF2184">
        <w:t>error</w:t>
      </w:r>
      <w:r w:rsidR="00733EEE">
        <w:t xml:space="preserve"> </w:t>
      </w:r>
      <w:r w:rsidRPr="00CF2184">
        <w:t>by</w:t>
      </w:r>
      <w:r w:rsidR="00733EEE">
        <w:t xml:space="preserve"> </w:t>
      </w:r>
      <w:r w:rsidRPr="00CF2184">
        <w:t>adjudicating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issue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faith.</w:t>
      </w:r>
      <w:r w:rsidR="00733EEE">
        <w:t xml:space="preserve">  </w:t>
      </w:r>
      <w:r w:rsidRPr="00CF2184">
        <w:t>C</w:t>
      </w:r>
      <w:r w:rsidR="00733EEE">
        <w:t xml:space="preserve"> </w:t>
      </w:r>
      <w:r w:rsidRPr="00CF2184">
        <w:t>breached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1998</w:t>
      </w:r>
      <w:r w:rsidR="00733EEE">
        <w:t xml:space="preserve"> </w:t>
      </w:r>
      <w:r w:rsidRPr="00CF2184">
        <w:t>Agreement</w:t>
      </w:r>
      <w:r w:rsidR="00733EEE">
        <w:t xml:space="preserve"> </w:t>
      </w:r>
      <w:r w:rsidRPr="00CF2184">
        <w:t>when</w:t>
      </w:r>
      <w:r w:rsidR="00733EEE">
        <w:t xml:space="preserve"> </w:t>
      </w:r>
      <w:r w:rsidRPr="00CF2184">
        <w:t>it</w:t>
      </w:r>
      <w:r w:rsidR="00733EEE">
        <w:t xml:space="preserve"> </w:t>
      </w:r>
      <w:r w:rsidRPr="00CF2184">
        <w:t>failed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act</w:t>
      </w:r>
      <w:r w:rsidR="00733EEE">
        <w:t xml:space="preserve"> </w:t>
      </w:r>
      <w:r w:rsidRPr="00CF2184">
        <w:t>honestly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B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exercising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non</w:t>
      </w:r>
      <w:r w:rsidR="00733EEE">
        <w:t>-</w:t>
      </w:r>
      <w:r w:rsidRPr="00CF2184">
        <w:t>renewal</w:t>
      </w:r>
      <w:r w:rsidR="00733EEE">
        <w:t xml:space="preserve"> </w:t>
      </w:r>
      <w:r w:rsidRPr="00CF2184">
        <w:t>clause.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trial</w:t>
      </w:r>
      <w:r w:rsidR="00733EEE">
        <w:t xml:space="preserve"> </w:t>
      </w:r>
      <w:r w:rsidRPr="00CF2184">
        <w:t>judge</w:t>
      </w:r>
      <w:r w:rsidR="00733EEE">
        <w:t xml:space="preserve"> </w:t>
      </w:r>
      <w:r w:rsidRPr="00CF2184">
        <w:t>concluded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acted</w:t>
      </w:r>
      <w:r w:rsidR="00733EEE">
        <w:t xml:space="preserve"> </w:t>
      </w:r>
      <w:r w:rsidRPr="00CF2184">
        <w:lastRenderedPageBreak/>
        <w:t>dishonestly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B</w:t>
      </w:r>
      <w:r w:rsidR="00733EEE">
        <w:t xml:space="preserve"> </w:t>
      </w:r>
      <w:r w:rsidRPr="00CF2184">
        <w:t>throughout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period</w:t>
      </w:r>
      <w:r w:rsidR="00733EEE">
        <w:t xml:space="preserve"> </w:t>
      </w:r>
      <w:r w:rsidRPr="00CF2184">
        <w:t>leading</w:t>
      </w:r>
      <w:r w:rsidR="00733EEE">
        <w:t xml:space="preserve"> </w:t>
      </w:r>
      <w:r w:rsidRPr="00CF2184">
        <w:t>up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its</w:t>
      </w:r>
      <w:r w:rsidR="00733EEE">
        <w:t xml:space="preserve"> </w:t>
      </w:r>
      <w:r w:rsidRPr="00CF2184">
        <w:t>exercise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non</w:t>
      </w:r>
      <w:r w:rsidR="00733EEE">
        <w:t>-</w:t>
      </w:r>
      <w:r w:rsidRPr="00CF2184">
        <w:t>renewal</w:t>
      </w:r>
      <w:r w:rsidR="00733EEE">
        <w:t xml:space="preserve"> </w:t>
      </w:r>
      <w:r w:rsidRPr="00CF2184">
        <w:t>clause,</w:t>
      </w:r>
      <w:r w:rsidR="00733EEE">
        <w:t xml:space="preserve"> </w:t>
      </w:r>
      <w:r w:rsidRPr="00CF2184">
        <w:t>both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respect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its</w:t>
      </w:r>
      <w:r w:rsidR="00733EEE">
        <w:t xml:space="preserve"> </w:t>
      </w:r>
      <w:r w:rsidRPr="00CF2184">
        <w:t>own</w:t>
      </w:r>
      <w:r w:rsidR="00733EEE">
        <w:t xml:space="preserve"> </w:t>
      </w:r>
      <w:r w:rsidRPr="00CF2184">
        <w:t>intentions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with</w:t>
      </w:r>
      <w:r w:rsidR="00733EEE">
        <w:t xml:space="preserve"> </w:t>
      </w:r>
      <w:r w:rsidRPr="00CF2184">
        <w:t>respect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H’s</w:t>
      </w:r>
      <w:r w:rsidR="00733EEE">
        <w:t xml:space="preserve"> </w:t>
      </w:r>
      <w:r w:rsidRPr="00CF2184">
        <w:t>role</w:t>
      </w:r>
      <w:r w:rsidR="00733EEE">
        <w:t xml:space="preserve"> </w:t>
      </w:r>
      <w:r w:rsidRPr="00CF2184">
        <w:t>as</w:t>
      </w:r>
      <w:r w:rsidR="00733EEE">
        <w:t xml:space="preserve"> </w:t>
      </w:r>
      <w:r w:rsidRPr="00CF2184">
        <w:t>PTO.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trial</w:t>
      </w:r>
      <w:r w:rsidR="00733EEE">
        <w:t xml:space="preserve"> </w:t>
      </w:r>
      <w:r w:rsidRPr="00CF2184">
        <w:t>judge’s</w:t>
      </w:r>
      <w:r w:rsidR="00733EEE">
        <w:t xml:space="preserve"> </w:t>
      </w:r>
      <w:r w:rsidRPr="00CF2184">
        <w:t>detailed</w:t>
      </w:r>
      <w:r w:rsidR="00733EEE">
        <w:t xml:space="preserve"> </w:t>
      </w:r>
      <w:r w:rsidRPr="00CF2184">
        <w:t>findings</w:t>
      </w:r>
      <w:r w:rsidR="00733EEE">
        <w:t xml:space="preserve"> </w:t>
      </w:r>
      <w:r w:rsidRPr="00CF2184">
        <w:t>amply</w:t>
      </w:r>
      <w:r w:rsidR="00733EEE">
        <w:t xml:space="preserve"> </w:t>
      </w:r>
      <w:r w:rsidRPr="00CF2184">
        <w:t>support</w:t>
      </w:r>
      <w:r w:rsidR="00733EEE">
        <w:t xml:space="preserve"> </w:t>
      </w:r>
      <w:r w:rsidRPr="00CF2184">
        <w:t>this</w:t>
      </w:r>
      <w:r w:rsidR="00733EEE">
        <w:t xml:space="preserve"> </w:t>
      </w:r>
      <w:r w:rsidRPr="00CF2184">
        <w:t>overall</w:t>
      </w:r>
      <w:r w:rsidR="00733EEE">
        <w:t xml:space="preserve"> </w:t>
      </w:r>
      <w:r w:rsidRPr="00CF2184">
        <w:t>conclusion.</w:t>
      </w:r>
    </w:p>
    <w:p w:rsidR="001A3D8E" w:rsidRPr="00CF2184" w:rsidRDefault="001A3D8E" w:rsidP="00733EEE">
      <w:pPr>
        <w:pStyle w:val="SCCNormalDoubleSpacing"/>
        <w:spacing w:before="480" w:after="480"/>
      </w:pPr>
      <w:r w:rsidRPr="00CF2184">
        <w:tab/>
        <w:t>C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liable</w:t>
      </w:r>
      <w:r w:rsidR="00733EEE">
        <w:t xml:space="preserve"> </w:t>
      </w:r>
      <w:r w:rsidRPr="00CF2184">
        <w:t>for</w:t>
      </w:r>
      <w:r w:rsidR="00733EEE">
        <w:t xml:space="preserve"> </w:t>
      </w:r>
      <w:r w:rsidRPr="00CF2184">
        <w:t>damages</w:t>
      </w:r>
      <w:r w:rsidR="00733EEE">
        <w:t xml:space="preserve"> </w:t>
      </w:r>
      <w:r w:rsidRPr="00CF2184">
        <w:t>calculated</w:t>
      </w:r>
      <w:r w:rsidR="00733EEE">
        <w:t xml:space="preserve"> </w:t>
      </w:r>
      <w:r w:rsidRPr="00CF2184">
        <w:t>on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basis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what</w:t>
      </w:r>
      <w:r w:rsidR="00733EEE">
        <w:t xml:space="preserve"> </w:t>
      </w:r>
      <w:r w:rsidRPr="00CF2184">
        <w:t>B’s</w:t>
      </w:r>
      <w:r w:rsidR="00733EEE">
        <w:t xml:space="preserve"> </w:t>
      </w:r>
      <w:r w:rsidRPr="00CF2184">
        <w:t>economic</w:t>
      </w:r>
      <w:r w:rsidR="00733EEE">
        <w:t xml:space="preserve"> </w:t>
      </w:r>
      <w:r w:rsidRPr="00CF2184">
        <w:t>position</w:t>
      </w:r>
      <w:r w:rsidR="00733EEE">
        <w:t xml:space="preserve"> </w:t>
      </w:r>
      <w:r w:rsidRPr="00CF2184">
        <w:t>would</w:t>
      </w:r>
      <w:r w:rsidR="00733EEE">
        <w:t xml:space="preserve"> </w:t>
      </w:r>
      <w:r w:rsidRPr="00CF2184">
        <w:t>have</w:t>
      </w:r>
      <w:r w:rsidR="00733EEE">
        <w:t xml:space="preserve"> </w:t>
      </w:r>
      <w:r w:rsidRPr="00CF2184">
        <w:t>been</w:t>
      </w:r>
      <w:r w:rsidR="00733EEE">
        <w:t xml:space="preserve"> </w:t>
      </w:r>
      <w:r w:rsidRPr="00CF2184">
        <w:t>had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fulfilled</w:t>
      </w:r>
      <w:r w:rsidR="00733EEE">
        <w:t xml:space="preserve"> </w:t>
      </w:r>
      <w:r w:rsidRPr="00CF2184">
        <w:t>its</w:t>
      </w:r>
      <w:r w:rsidR="00733EEE">
        <w:t xml:space="preserve"> </w:t>
      </w:r>
      <w:r w:rsidRPr="00CF2184">
        <w:t>duty.</w:t>
      </w:r>
      <w:r w:rsidR="00733EEE">
        <w:t xml:space="preserve">  </w:t>
      </w:r>
      <w:r w:rsidRPr="00CF2184">
        <w:t>While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trial</w:t>
      </w:r>
      <w:r w:rsidR="00733EEE">
        <w:t xml:space="preserve"> </w:t>
      </w:r>
      <w:r w:rsidRPr="00CF2184">
        <w:t>judge</w:t>
      </w:r>
      <w:r w:rsidR="00733EEE">
        <w:t xml:space="preserve"> </w:t>
      </w:r>
      <w:r w:rsidRPr="00CF2184">
        <w:t>did</w:t>
      </w:r>
      <w:r w:rsidR="00733EEE">
        <w:t xml:space="preserve"> </w:t>
      </w:r>
      <w:r w:rsidRPr="00CF2184">
        <w:t>not</w:t>
      </w:r>
      <w:r w:rsidR="00733EEE">
        <w:t xml:space="preserve"> </w:t>
      </w:r>
      <w:r w:rsidRPr="00CF2184">
        <w:t>assess</w:t>
      </w:r>
      <w:r w:rsidR="00733EEE">
        <w:t xml:space="preserve"> </w:t>
      </w:r>
      <w:r w:rsidRPr="00CF2184">
        <w:t>damages</w:t>
      </w:r>
      <w:r w:rsidR="00733EEE">
        <w:t xml:space="preserve"> </w:t>
      </w:r>
      <w:r w:rsidRPr="00CF2184">
        <w:t>on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basis</w:t>
      </w:r>
      <w:r w:rsidR="00733EEE">
        <w:t xml:space="preserve"> </w:t>
      </w:r>
      <w:r w:rsidRPr="00CF2184">
        <w:t>given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different</w:t>
      </w:r>
      <w:r w:rsidR="00733EEE">
        <w:t xml:space="preserve"> </w:t>
      </w:r>
      <w:r w:rsidRPr="00CF2184">
        <w:t>findings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relation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liability,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trial</w:t>
      </w:r>
      <w:r w:rsidR="00733EEE">
        <w:t xml:space="preserve"> </w:t>
      </w:r>
      <w:r w:rsidRPr="00CF2184">
        <w:t>judge</w:t>
      </w:r>
      <w:r w:rsidR="00733EEE">
        <w:t xml:space="preserve"> </w:t>
      </w:r>
      <w:r w:rsidRPr="00CF2184">
        <w:t>made</w:t>
      </w:r>
      <w:r w:rsidR="00733EEE">
        <w:t xml:space="preserve"> </w:t>
      </w:r>
      <w:r w:rsidRPr="00CF2184">
        <w:t>findings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permit</w:t>
      </w:r>
      <w:r w:rsidR="00733EEE">
        <w:t xml:space="preserve"> </w:t>
      </w:r>
      <w:r w:rsidRPr="00CF2184">
        <w:t>this</w:t>
      </w:r>
      <w:r w:rsidR="00733EEE">
        <w:t xml:space="preserve"> </w:t>
      </w:r>
      <w:r w:rsidRPr="00CF2184">
        <w:t>Court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do</w:t>
      </w:r>
      <w:r w:rsidR="00733EEE">
        <w:t xml:space="preserve"> </w:t>
      </w:r>
      <w:r w:rsidRPr="00CF2184">
        <w:t>so.</w:t>
      </w:r>
      <w:r w:rsidR="00733EEE">
        <w:t xml:space="preserve">  </w:t>
      </w:r>
      <w:r w:rsidRPr="00CF2184">
        <w:t>These</w:t>
      </w:r>
      <w:r w:rsidR="00733EEE">
        <w:t xml:space="preserve"> </w:t>
      </w:r>
      <w:r w:rsidRPr="00CF2184">
        <w:t>findings</w:t>
      </w:r>
      <w:r w:rsidR="00733EEE">
        <w:t xml:space="preserve"> </w:t>
      </w:r>
      <w:r w:rsidRPr="00CF2184">
        <w:t>permit</w:t>
      </w:r>
      <w:r w:rsidR="00733EEE">
        <w:t xml:space="preserve"> </w:t>
      </w:r>
      <w:r w:rsidRPr="00CF2184">
        <w:t>damages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assessed</w:t>
      </w:r>
      <w:r w:rsidR="00733EEE">
        <w:t xml:space="preserve"> </w:t>
      </w:r>
      <w:r w:rsidRPr="00CF2184">
        <w:t>on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basis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if</w:t>
      </w:r>
      <w:r w:rsidR="00733EEE">
        <w:t xml:space="preserve"> </w:t>
      </w:r>
      <w:r w:rsidRPr="00CF2184">
        <w:t>C</w:t>
      </w:r>
      <w:r w:rsidR="00733EEE">
        <w:t xml:space="preserve"> </w:t>
      </w:r>
      <w:r w:rsidRPr="00CF2184">
        <w:t>had</w:t>
      </w:r>
      <w:r w:rsidR="00733EEE">
        <w:t xml:space="preserve"> </w:t>
      </w:r>
      <w:r w:rsidRPr="00CF2184">
        <w:t>performed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honestly,</w:t>
      </w:r>
      <w:r w:rsidR="00733EEE">
        <w:t xml:space="preserve"> </w:t>
      </w:r>
      <w:r w:rsidRPr="00CF2184">
        <w:t>B</w:t>
      </w:r>
      <w:r w:rsidR="00733EEE">
        <w:t xml:space="preserve"> </w:t>
      </w:r>
      <w:r w:rsidRPr="00CF2184">
        <w:t>would</w:t>
      </w:r>
      <w:r w:rsidR="00733EEE">
        <w:t xml:space="preserve"> </w:t>
      </w:r>
      <w:r w:rsidRPr="00CF2184">
        <w:t>have</w:t>
      </w:r>
      <w:r w:rsidR="00733EEE">
        <w:t xml:space="preserve"> </w:t>
      </w:r>
      <w:r w:rsidRPr="00CF2184">
        <w:t>been</w:t>
      </w:r>
      <w:r w:rsidR="00733EEE">
        <w:t xml:space="preserve"> </w:t>
      </w:r>
      <w:r w:rsidRPr="00CF2184">
        <w:t>able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retain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value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his</w:t>
      </w:r>
      <w:r w:rsidR="00733EEE">
        <w:t xml:space="preserve"> </w:t>
      </w:r>
      <w:r w:rsidRPr="00CF2184">
        <w:t>business</w:t>
      </w:r>
      <w:r w:rsidR="00733EEE">
        <w:t xml:space="preserve"> </w:t>
      </w:r>
      <w:r w:rsidRPr="00CF2184">
        <w:t>rather</w:t>
      </w:r>
      <w:r w:rsidR="00733EEE">
        <w:t xml:space="preserve"> </w:t>
      </w:r>
      <w:r w:rsidRPr="00CF2184">
        <w:t>than</w:t>
      </w:r>
      <w:r w:rsidR="00733EEE">
        <w:t xml:space="preserve"> </w:t>
      </w:r>
      <w:r w:rsidRPr="00CF2184">
        <w:t>see</w:t>
      </w:r>
      <w:r w:rsidR="00733EEE">
        <w:t xml:space="preserve"> </w:t>
      </w:r>
      <w:r w:rsidRPr="00CF2184">
        <w:t>it,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effect,</w:t>
      </w:r>
      <w:r w:rsidR="00733EEE">
        <w:t xml:space="preserve"> </w:t>
      </w:r>
      <w:r w:rsidRPr="00CF2184">
        <w:t>expropriated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turned</w:t>
      </w:r>
      <w:r w:rsidR="00733EEE">
        <w:t xml:space="preserve"> </w:t>
      </w:r>
      <w:r w:rsidRPr="00CF2184">
        <w:t>over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H.</w:t>
      </w:r>
      <w:r w:rsidR="00733EEE">
        <w:t xml:space="preserve">  </w:t>
      </w:r>
      <w:r w:rsidRPr="00CF2184">
        <w:t>It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clear</w:t>
      </w:r>
      <w:r w:rsidR="00733EEE">
        <w:t xml:space="preserve"> </w:t>
      </w:r>
      <w:r w:rsidRPr="00CF2184">
        <w:t>from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findings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trial</w:t>
      </w:r>
      <w:r w:rsidR="00733EEE">
        <w:t xml:space="preserve"> </w:t>
      </w:r>
      <w:r w:rsidRPr="00CF2184">
        <w:t>judge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from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record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value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business</w:t>
      </w:r>
      <w:r w:rsidR="00733EEE">
        <w:t xml:space="preserve"> </w:t>
      </w:r>
      <w:r w:rsidRPr="00CF2184">
        <w:t>around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time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non</w:t>
      </w:r>
      <w:r w:rsidR="00733EEE">
        <w:t>-</w:t>
      </w:r>
      <w:r w:rsidRPr="00CF2184">
        <w:t>renewal</w:t>
      </w:r>
      <w:r w:rsidR="00733EEE">
        <w:t xml:space="preserve"> </w:t>
      </w:r>
      <w:r w:rsidRPr="00CF2184">
        <w:t>was</w:t>
      </w:r>
      <w:r w:rsidR="00733EEE">
        <w:t xml:space="preserve"> </w:t>
      </w:r>
      <w:r w:rsidR="00BF5523" w:rsidRPr="00CF2184">
        <w:t>$</w:t>
      </w:r>
      <w:r w:rsidRPr="00CF2184">
        <w:t>87,000.</w:t>
      </w:r>
      <w:r w:rsidR="00733EEE">
        <w:t xml:space="preserve"> </w:t>
      </w:r>
      <w:r w:rsidRPr="00CF2184">
        <w:t>B</w:t>
      </w:r>
      <w:r w:rsidR="00733EEE">
        <w:t xml:space="preserve"> </w:t>
      </w:r>
      <w:r w:rsidRPr="00CF2184">
        <w:t>is</w:t>
      </w:r>
      <w:r w:rsidR="00733EEE">
        <w:t xml:space="preserve"> </w:t>
      </w:r>
      <w:r w:rsidRPr="00CF2184">
        <w:t>entitled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damages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amount</w:t>
      </w:r>
      <w:r w:rsidR="00733EEE">
        <w:t xml:space="preserve"> </w:t>
      </w:r>
      <w:r w:rsidRPr="00CF2184">
        <w:t>of</w:t>
      </w:r>
      <w:r w:rsidR="00733EEE">
        <w:t xml:space="preserve"> </w:t>
      </w:r>
      <w:r w:rsidR="00BF5523" w:rsidRPr="00CF2184">
        <w:t>$</w:t>
      </w:r>
      <w:r w:rsidRPr="00CF2184">
        <w:t>87,000.</w:t>
      </w:r>
      <w:r w:rsidR="00733EEE">
        <w:t xml:space="preserve">  </w:t>
      </w:r>
      <w:r w:rsidRPr="00CF2184">
        <w:t>The</w:t>
      </w:r>
      <w:r w:rsidR="00733EEE">
        <w:t xml:space="preserve"> </w:t>
      </w:r>
      <w:r w:rsidRPr="00CF2184">
        <w:t>Court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Appeal</w:t>
      </w:r>
      <w:r w:rsidR="00733EEE">
        <w:t xml:space="preserve"> </w:t>
      </w:r>
      <w:r w:rsidRPr="00CF2184">
        <w:t>was</w:t>
      </w:r>
      <w:r w:rsidR="00733EEE">
        <w:t xml:space="preserve"> </w:t>
      </w:r>
      <w:r w:rsidRPr="00CF2184">
        <w:t>correct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finding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there</w:t>
      </w:r>
      <w:r w:rsidR="00733EEE">
        <w:t xml:space="preserve"> </w:t>
      </w:r>
      <w:r w:rsidRPr="00CF2184">
        <w:t>could</w:t>
      </w:r>
      <w:r w:rsidR="00733EEE">
        <w:t xml:space="preserve"> </w:t>
      </w:r>
      <w:r w:rsidRPr="00CF2184">
        <w:t>be</w:t>
      </w:r>
      <w:r w:rsidR="00733EEE">
        <w:t xml:space="preserve"> </w:t>
      </w:r>
      <w:r w:rsidRPr="00CF2184">
        <w:t>no</w:t>
      </w:r>
      <w:r w:rsidR="00733EEE">
        <w:t xml:space="preserve"> </w:t>
      </w:r>
      <w:r w:rsidRPr="00CF2184">
        <w:t>liability</w:t>
      </w:r>
      <w:r w:rsidR="00733EEE">
        <w:t xml:space="preserve"> </w:t>
      </w:r>
      <w:r w:rsidRPr="00CF2184">
        <w:t>for</w:t>
      </w:r>
      <w:r w:rsidR="00733EEE">
        <w:t xml:space="preserve"> </w:t>
      </w:r>
      <w:r w:rsidRPr="00CF2184">
        <w:t>inducing</w:t>
      </w:r>
      <w:r w:rsidR="00733EEE">
        <w:t xml:space="preserve"> </w:t>
      </w:r>
      <w:r w:rsidRPr="00CF2184">
        <w:t>breach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or</w:t>
      </w:r>
      <w:r w:rsidR="00733EEE">
        <w:t xml:space="preserve"> </w:t>
      </w:r>
      <w:r w:rsidRPr="00CF2184">
        <w:t>unlawful</w:t>
      </w:r>
      <w:r w:rsidR="00733EEE">
        <w:t xml:space="preserve"> </w:t>
      </w:r>
      <w:r w:rsidRPr="00CF2184">
        <w:t>means</w:t>
      </w:r>
      <w:r w:rsidR="00733EEE">
        <w:t xml:space="preserve"> </w:t>
      </w:r>
      <w:r w:rsidRPr="00CF2184">
        <w:t>conspiracy.</w:t>
      </w:r>
      <w:r w:rsidR="00733EEE">
        <w:t xml:space="preserve">  </w:t>
      </w:r>
      <w:r w:rsidRPr="00CF2184">
        <w:t>As</w:t>
      </w:r>
      <w:r w:rsidR="00733EEE">
        <w:t xml:space="preserve"> </w:t>
      </w:r>
      <w:r w:rsidRPr="00CF2184">
        <w:t>such,</w:t>
      </w:r>
      <w:r w:rsidR="00733EEE">
        <w:t xml:space="preserve"> </w:t>
      </w:r>
      <w:r w:rsidRPr="00CF2184">
        <w:t>it</w:t>
      </w:r>
      <w:r w:rsidR="00733EEE">
        <w:t xml:space="preserve"> </w:t>
      </w:r>
      <w:r w:rsidRPr="00CF2184">
        <w:t>follows</w:t>
      </w:r>
      <w:r w:rsidR="00733EEE">
        <w:t xml:space="preserve"> </w:t>
      </w:r>
      <w:r w:rsidRPr="00CF2184">
        <w:t>that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claims</w:t>
      </w:r>
      <w:r w:rsidR="00733EEE">
        <w:t xml:space="preserve"> </w:t>
      </w:r>
      <w:r w:rsidRPr="00CF2184">
        <w:t>against</w:t>
      </w:r>
      <w:r w:rsidR="00733EEE">
        <w:t xml:space="preserve"> </w:t>
      </w:r>
      <w:r w:rsidRPr="00CF2184">
        <w:t>H</w:t>
      </w:r>
      <w:r w:rsidR="00733EEE">
        <w:t xml:space="preserve"> </w:t>
      </w:r>
      <w:r w:rsidRPr="00CF2184">
        <w:t>were</w:t>
      </w:r>
      <w:r w:rsidR="00733EEE">
        <w:t xml:space="preserve"> </w:t>
      </w:r>
      <w:r w:rsidRPr="00CF2184">
        <w:t>rightly</w:t>
      </w:r>
      <w:r w:rsidR="00733EEE">
        <w:t xml:space="preserve"> </w:t>
      </w:r>
      <w:r w:rsidRPr="00CF2184">
        <w:t>dismissed.</w:t>
      </w:r>
    </w:p>
    <w:p w:rsidR="007E1C47" w:rsidRPr="00CF2184" w:rsidRDefault="002E6705" w:rsidP="00733EEE">
      <w:pPr>
        <w:pStyle w:val="SCCNormalDoubleSpacing"/>
        <w:spacing w:after="720" w:line="240" w:lineRule="auto"/>
        <w:rPr>
          <w:b/>
        </w:rPr>
      </w:pPr>
      <w:r w:rsidRPr="00CF2184">
        <w:rPr>
          <w:b/>
        </w:rPr>
        <w:t>Cases</w:t>
      </w:r>
      <w:r w:rsidR="00733EEE">
        <w:rPr>
          <w:b/>
        </w:rPr>
        <w:t xml:space="preserve"> </w:t>
      </w:r>
      <w:r w:rsidRPr="00CF2184">
        <w:rPr>
          <w:b/>
        </w:rPr>
        <w:t>Cited</w:t>
      </w:r>
    </w:p>
    <w:p w:rsidR="004E2C26" w:rsidRPr="00CF2184" w:rsidRDefault="002E6705" w:rsidP="00733EEE">
      <w:pPr>
        <w:pStyle w:val="SCCNormalDoubleSpacing"/>
        <w:spacing w:after="480"/>
      </w:pPr>
      <w:r w:rsidRPr="00CF2184">
        <w:tab/>
      </w:r>
      <w:r w:rsidRPr="00CF2184">
        <w:rPr>
          <w:b/>
        </w:rPr>
        <w:t>Referred</w:t>
      </w:r>
      <w:r w:rsidR="00733EEE">
        <w:rPr>
          <w:b/>
        </w:rPr>
        <w:t xml:space="preserve"> </w:t>
      </w:r>
      <w:r w:rsidRPr="00CF2184">
        <w:rPr>
          <w:b/>
        </w:rPr>
        <w:t>to:</w:t>
      </w:r>
      <w:r w:rsidR="00733EEE">
        <w:t xml:space="preserve">  </w:t>
      </w:r>
      <w:r w:rsidR="00FC1E80" w:rsidRPr="00CF2184">
        <w:rPr>
          <w:i/>
        </w:rPr>
        <w:t>Aleyn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FC1E80" w:rsidRPr="00CF2184">
        <w:rPr>
          <w:i/>
        </w:rPr>
        <w:t>Belchier</w:t>
      </w:r>
      <w:r w:rsidR="00733EEE">
        <w:t xml:space="preserve"> </w:t>
      </w:r>
      <w:r w:rsidR="00FC1E80" w:rsidRPr="00CF2184">
        <w:t>(1758),</w:t>
      </w:r>
      <w:r w:rsidR="00733EEE">
        <w:t xml:space="preserve"> </w:t>
      </w:r>
      <w:r w:rsidR="006D2699" w:rsidRPr="00CF2184">
        <w:t>1</w:t>
      </w:r>
      <w:r w:rsidR="00733EEE">
        <w:t xml:space="preserve"> </w:t>
      </w:r>
      <w:r w:rsidR="006D2699" w:rsidRPr="00CF2184">
        <w:t>Eden</w:t>
      </w:r>
      <w:r w:rsidR="00733EEE">
        <w:t xml:space="preserve"> </w:t>
      </w:r>
      <w:r w:rsidR="006D2699" w:rsidRPr="00CF2184">
        <w:t>132,</w:t>
      </w:r>
      <w:r w:rsidR="00733EEE">
        <w:t xml:space="preserve"> </w:t>
      </w:r>
      <w:r w:rsidR="00FC1E80" w:rsidRPr="00CF2184">
        <w:t>28</w:t>
      </w:r>
      <w:r w:rsidR="00733EEE">
        <w:t xml:space="preserve"> </w:t>
      </w:r>
      <w:r w:rsidR="00FC1E80" w:rsidRPr="00CF2184">
        <w:t>E.R.</w:t>
      </w:r>
      <w:r w:rsidR="00733EEE">
        <w:t xml:space="preserve"> </w:t>
      </w:r>
      <w:r w:rsidR="00FC1E80" w:rsidRPr="00CF2184">
        <w:t>634;</w:t>
      </w:r>
      <w:r w:rsidR="00733EEE">
        <w:t xml:space="preserve"> </w:t>
      </w:r>
      <w:r w:rsidR="00FC1E80" w:rsidRPr="00CF2184">
        <w:rPr>
          <w:i/>
        </w:rPr>
        <w:t>Mills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6D2699" w:rsidRPr="00CF2184">
        <w:rPr>
          <w:i/>
        </w:rPr>
        <w:t>Mills</w:t>
      </w:r>
      <w:r w:rsidR="00733EEE">
        <w:t xml:space="preserve"> </w:t>
      </w:r>
      <w:r w:rsidR="006D2699" w:rsidRPr="00CF2184">
        <w:t>(1938</w:t>
      </w:r>
      <w:r w:rsidR="00FC1E80" w:rsidRPr="00CF2184">
        <w:t>),</w:t>
      </w:r>
      <w:r w:rsidR="00733EEE">
        <w:t xml:space="preserve"> </w:t>
      </w:r>
      <w:r w:rsidR="00FC1E80" w:rsidRPr="00CF2184">
        <w:t>60</w:t>
      </w:r>
      <w:r w:rsidR="00733EEE">
        <w:t xml:space="preserve"> </w:t>
      </w:r>
      <w:r w:rsidR="00FC1E80" w:rsidRPr="00CF2184">
        <w:t>C.L.R.</w:t>
      </w:r>
      <w:r w:rsidR="00733EEE">
        <w:t xml:space="preserve"> </w:t>
      </w:r>
      <w:r w:rsidR="00FC1E80" w:rsidRPr="00CF2184">
        <w:t>150;</w:t>
      </w:r>
      <w:r w:rsidR="00733EEE">
        <w:t xml:space="preserve"> </w:t>
      </w:r>
      <w:r w:rsidR="00FC1E80" w:rsidRPr="00CF2184">
        <w:rPr>
          <w:i/>
        </w:rPr>
        <w:t>Mellish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FC1E80" w:rsidRPr="00CF2184">
        <w:rPr>
          <w:i/>
        </w:rPr>
        <w:t>Motteux</w:t>
      </w:r>
      <w:r w:rsidR="00733EEE">
        <w:t xml:space="preserve"> </w:t>
      </w:r>
      <w:r w:rsidR="00FC1E80" w:rsidRPr="00CF2184">
        <w:t>(1792),</w:t>
      </w:r>
      <w:r w:rsidR="00733EEE">
        <w:t xml:space="preserve"> </w:t>
      </w:r>
      <w:r w:rsidR="006D2699" w:rsidRPr="00CF2184">
        <w:t>Peake</w:t>
      </w:r>
      <w:r w:rsidR="00733EEE">
        <w:t xml:space="preserve"> </w:t>
      </w:r>
      <w:r w:rsidR="006D2699" w:rsidRPr="00CF2184">
        <w:t>156,</w:t>
      </w:r>
      <w:r w:rsidR="00733EEE">
        <w:t xml:space="preserve"> </w:t>
      </w:r>
      <w:r w:rsidR="00FC1E80" w:rsidRPr="00CF2184">
        <w:t>170</w:t>
      </w:r>
      <w:r w:rsidR="00733EEE">
        <w:t xml:space="preserve"> </w:t>
      </w:r>
      <w:r w:rsidR="00FC1E80" w:rsidRPr="00CF2184">
        <w:t>E.R.</w:t>
      </w:r>
      <w:r w:rsidR="00733EEE">
        <w:t xml:space="preserve"> </w:t>
      </w:r>
      <w:r w:rsidR="00FC1E80" w:rsidRPr="00CF2184">
        <w:t>113;</w:t>
      </w:r>
      <w:r w:rsidR="00733EEE">
        <w:t xml:space="preserve"> </w:t>
      </w:r>
      <w:r w:rsidR="00FC1E80" w:rsidRPr="00CF2184">
        <w:rPr>
          <w:i/>
        </w:rPr>
        <w:t>Carter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FC1E80" w:rsidRPr="00CF2184">
        <w:rPr>
          <w:i/>
        </w:rPr>
        <w:t>Boehm</w:t>
      </w:r>
      <w:r w:rsidR="00733EEE">
        <w:t xml:space="preserve"> </w:t>
      </w:r>
      <w:r w:rsidR="00FC1E80" w:rsidRPr="00CF2184">
        <w:t>(1766),</w:t>
      </w:r>
      <w:r w:rsidR="00733EEE">
        <w:t xml:space="preserve"> </w:t>
      </w:r>
      <w:r w:rsidR="006D2699" w:rsidRPr="00CF2184">
        <w:t>3</w:t>
      </w:r>
      <w:r w:rsidR="00733EEE">
        <w:t xml:space="preserve"> </w:t>
      </w:r>
      <w:r w:rsidR="006D2699" w:rsidRPr="00CF2184">
        <w:t>Burr.</w:t>
      </w:r>
      <w:r w:rsidR="00733EEE">
        <w:t xml:space="preserve"> </w:t>
      </w:r>
      <w:r w:rsidR="006D2699" w:rsidRPr="00CF2184">
        <w:t>1905,</w:t>
      </w:r>
      <w:r w:rsidR="00733EEE">
        <w:t xml:space="preserve"> </w:t>
      </w:r>
      <w:r w:rsidR="00FC1E80" w:rsidRPr="00CF2184">
        <w:t>97</w:t>
      </w:r>
      <w:r w:rsidR="00733EEE">
        <w:t xml:space="preserve"> </w:t>
      </w:r>
      <w:r w:rsidR="00FC1E80" w:rsidRPr="00CF2184">
        <w:t>E.R.</w:t>
      </w:r>
      <w:r w:rsidR="00733EEE">
        <w:t xml:space="preserve"> </w:t>
      </w:r>
      <w:r w:rsidR="00FC1E80" w:rsidRPr="00CF2184">
        <w:t>1162;</w:t>
      </w:r>
      <w:r w:rsidR="00733EEE">
        <w:t xml:space="preserve"> </w:t>
      </w:r>
      <w:r w:rsidR="00FC1E80" w:rsidRPr="00CF2184">
        <w:rPr>
          <w:i/>
        </w:rPr>
        <w:t>Herbert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FC1E80" w:rsidRPr="00CF2184">
        <w:rPr>
          <w:i/>
        </w:rPr>
        <w:t>Mercantile</w:t>
      </w:r>
      <w:r w:rsidR="00733EEE">
        <w:rPr>
          <w:i/>
        </w:rPr>
        <w:t xml:space="preserve"> </w:t>
      </w:r>
      <w:r w:rsidR="00FC1E80" w:rsidRPr="00CF2184">
        <w:rPr>
          <w:i/>
        </w:rPr>
        <w:t>Fire</w:t>
      </w:r>
      <w:r w:rsidR="00733EEE">
        <w:rPr>
          <w:i/>
        </w:rPr>
        <w:t xml:space="preserve"> </w:t>
      </w:r>
      <w:r w:rsidR="00FC1E80" w:rsidRPr="00CF2184">
        <w:rPr>
          <w:i/>
        </w:rPr>
        <w:t>Ins</w:t>
      </w:r>
      <w:r w:rsidR="008343B0" w:rsidRPr="00CF2184">
        <w:rPr>
          <w:i/>
        </w:rPr>
        <w:t>.</w:t>
      </w:r>
      <w:r w:rsidR="00733EEE">
        <w:rPr>
          <w:i/>
        </w:rPr>
        <w:t xml:space="preserve"> </w:t>
      </w:r>
      <w:r w:rsidR="00FC1E80" w:rsidRPr="00CF2184">
        <w:rPr>
          <w:i/>
        </w:rPr>
        <w:t>Co.</w:t>
      </w:r>
      <w:r w:rsidR="00733EEE">
        <w:t xml:space="preserve"> </w:t>
      </w:r>
      <w:r w:rsidR="00486DE5" w:rsidRPr="00CF2184">
        <w:t>(1878)</w:t>
      </w:r>
      <w:r w:rsidR="00FC1E80" w:rsidRPr="00CF2184">
        <w:t>,</w:t>
      </w:r>
      <w:r w:rsidR="00733EEE">
        <w:t xml:space="preserve"> </w:t>
      </w:r>
      <w:r w:rsidR="00FC1E80" w:rsidRPr="00CF2184">
        <w:t>43</w:t>
      </w:r>
      <w:r w:rsidR="00733EEE">
        <w:t xml:space="preserve"> </w:t>
      </w:r>
      <w:r w:rsidR="00FC1E80" w:rsidRPr="00CF2184">
        <w:t>U.C.</w:t>
      </w:r>
      <w:r w:rsidR="004558C1" w:rsidRPr="00CF2184">
        <w:t>Q</w:t>
      </w:r>
      <w:r w:rsidR="00FC1E80" w:rsidRPr="00CF2184">
        <w:t>.</w:t>
      </w:r>
      <w:r w:rsidR="004558C1" w:rsidRPr="00CF2184">
        <w:t>B.</w:t>
      </w:r>
      <w:r w:rsidR="00733EEE">
        <w:t xml:space="preserve"> </w:t>
      </w:r>
      <w:r w:rsidR="00FC1E80" w:rsidRPr="00CF2184">
        <w:t>384;</w:t>
      </w:r>
      <w:r w:rsidR="00733EEE">
        <w:t xml:space="preserve"> </w:t>
      </w:r>
      <w:r w:rsidR="00FC1E80" w:rsidRPr="00CF2184">
        <w:rPr>
          <w:i/>
        </w:rPr>
        <w:t>Gateway</w:t>
      </w:r>
      <w:r w:rsidR="00733EEE">
        <w:rPr>
          <w:i/>
        </w:rPr>
        <w:t xml:space="preserve"> </w:t>
      </w:r>
      <w:r w:rsidR="00FC1E80" w:rsidRPr="00CF2184">
        <w:rPr>
          <w:i/>
        </w:rPr>
        <w:t>Realty</w:t>
      </w:r>
      <w:r w:rsidR="00733EEE">
        <w:rPr>
          <w:i/>
        </w:rPr>
        <w:t xml:space="preserve"> </w:t>
      </w:r>
      <w:r w:rsidR="006D2699" w:rsidRPr="00CF2184">
        <w:rPr>
          <w:i/>
        </w:rPr>
        <w:t>Ltd.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FC1E80" w:rsidRPr="00CF2184">
        <w:rPr>
          <w:i/>
        </w:rPr>
        <w:t>Arton</w:t>
      </w:r>
      <w:r w:rsidR="00733EEE">
        <w:rPr>
          <w:i/>
        </w:rPr>
        <w:t xml:space="preserve"> </w:t>
      </w:r>
      <w:r w:rsidR="00FC1E80" w:rsidRPr="00CF2184">
        <w:rPr>
          <w:i/>
        </w:rPr>
        <w:t>Holdings</w:t>
      </w:r>
      <w:r w:rsidR="00733EEE">
        <w:rPr>
          <w:i/>
        </w:rPr>
        <w:t xml:space="preserve"> </w:t>
      </w:r>
      <w:r w:rsidR="006D2699" w:rsidRPr="00CF2184">
        <w:rPr>
          <w:i/>
        </w:rPr>
        <w:t>Ltd.</w:t>
      </w:r>
      <w:r w:rsidR="00733EEE">
        <w:t xml:space="preserve"> </w:t>
      </w:r>
      <w:r w:rsidR="00FC1E80" w:rsidRPr="00CF2184">
        <w:t>(1991),</w:t>
      </w:r>
      <w:r w:rsidR="00733EEE">
        <w:t xml:space="preserve"> </w:t>
      </w:r>
      <w:r w:rsidR="00FC1E80" w:rsidRPr="00CF2184">
        <w:t>106</w:t>
      </w:r>
      <w:r w:rsidR="00733EEE">
        <w:t xml:space="preserve"> </w:t>
      </w:r>
      <w:r w:rsidR="00FC1E80" w:rsidRPr="00CF2184">
        <w:t>N.S.R.</w:t>
      </w:r>
      <w:r w:rsidR="00733EEE">
        <w:t xml:space="preserve"> </w:t>
      </w:r>
      <w:r w:rsidR="00FC1E80" w:rsidRPr="00CF2184">
        <w:t>(2d)</w:t>
      </w:r>
      <w:r w:rsidR="00733EEE">
        <w:t xml:space="preserve"> </w:t>
      </w:r>
      <w:r w:rsidR="00FC1E80" w:rsidRPr="00CF2184">
        <w:t>180,</w:t>
      </w:r>
      <w:r w:rsidR="00733EEE">
        <w:t xml:space="preserve"> </w:t>
      </w:r>
      <w:r w:rsidR="00FC1E80" w:rsidRPr="00CF2184">
        <w:t>aff’d</w:t>
      </w:r>
      <w:r w:rsidR="00733EEE">
        <w:t xml:space="preserve"> </w:t>
      </w:r>
      <w:r w:rsidR="00FC1E80" w:rsidRPr="00CF2184">
        <w:t>(1992),</w:t>
      </w:r>
      <w:r w:rsidR="00733EEE">
        <w:t xml:space="preserve"> </w:t>
      </w:r>
      <w:r w:rsidR="00FC1E80" w:rsidRPr="00CF2184">
        <w:t>112</w:t>
      </w:r>
      <w:r w:rsidR="00733EEE">
        <w:t xml:space="preserve"> </w:t>
      </w:r>
      <w:r w:rsidR="00FC1E80" w:rsidRPr="00CF2184">
        <w:t>N.S.R.</w:t>
      </w:r>
      <w:r w:rsidR="00733EEE">
        <w:t xml:space="preserve"> </w:t>
      </w:r>
      <w:r w:rsidR="00FC1E80" w:rsidRPr="00CF2184">
        <w:t>(2d)</w:t>
      </w:r>
      <w:r w:rsidR="00733EEE">
        <w:t xml:space="preserve"> </w:t>
      </w:r>
      <w:r w:rsidR="00FC1E80" w:rsidRPr="00CF2184">
        <w:t>180;</w:t>
      </w:r>
      <w:r w:rsidR="00733EEE">
        <w:t xml:space="preserve"> </w:t>
      </w:r>
      <w:r w:rsidR="00FC1E80" w:rsidRPr="00CF2184">
        <w:rPr>
          <w:i/>
        </w:rPr>
        <w:t>McDonald’s</w:t>
      </w:r>
      <w:r w:rsidR="00733EEE">
        <w:rPr>
          <w:i/>
        </w:rPr>
        <w:t xml:space="preserve"> </w:t>
      </w:r>
      <w:r w:rsidR="00FC1E80" w:rsidRPr="00CF2184">
        <w:rPr>
          <w:i/>
        </w:rPr>
        <w:t>Restaurant</w:t>
      </w:r>
      <w:r w:rsidR="00733EEE">
        <w:rPr>
          <w:i/>
        </w:rPr>
        <w:t xml:space="preserve"> </w:t>
      </w:r>
      <w:r w:rsidR="006D2699" w:rsidRPr="00CF2184">
        <w:rPr>
          <w:i/>
        </w:rPr>
        <w:t>of</w:t>
      </w:r>
      <w:r w:rsidR="00733EEE">
        <w:rPr>
          <w:i/>
        </w:rPr>
        <w:t xml:space="preserve"> </w:t>
      </w:r>
      <w:r w:rsidR="006D2699" w:rsidRPr="00CF2184">
        <w:rPr>
          <w:i/>
        </w:rPr>
        <w:lastRenderedPageBreak/>
        <w:t>Canada</w:t>
      </w:r>
      <w:r w:rsidR="00733EEE">
        <w:rPr>
          <w:i/>
        </w:rPr>
        <w:t xml:space="preserve"> </w:t>
      </w:r>
      <w:r w:rsidR="006D2699" w:rsidRPr="00CF2184">
        <w:rPr>
          <w:i/>
        </w:rPr>
        <w:t>Ltd.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FC1E80" w:rsidRPr="00CF2184">
        <w:rPr>
          <w:i/>
        </w:rPr>
        <w:t>British</w:t>
      </w:r>
      <w:r w:rsidR="00733EEE">
        <w:rPr>
          <w:i/>
        </w:rPr>
        <w:t xml:space="preserve"> </w:t>
      </w:r>
      <w:r w:rsidR="00FC1E80" w:rsidRPr="00CF2184">
        <w:rPr>
          <w:i/>
        </w:rPr>
        <w:t>Columbia</w:t>
      </w:r>
      <w:r w:rsidR="00733EEE">
        <w:t xml:space="preserve"> </w:t>
      </w:r>
      <w:r w:rsidR="00FC1E80" w:rsidRPr="00CF2184">
        <w:t>(1997),</w:t>
      </w:r>
      <w:r w:rsidR="00733EEE">
        <w:t xml:space="preserve"> </w:t>
      </w:r>
      <w:r w:rsidR="00FC1E80" w:rsidRPr="00CF2184">
        <w:t>29</w:t>
      </w:r>
      <w:r w:rsidR="00733EEE">
        <w:t xml:space="preserve"> </w:t>
      </w:r>
      <w:r w:rsidR="00FC1E80" w:rsidRPr="00CF2184">
        <w:t>B.C.L.R.</w:t>
      </w:r>
      <w:r w:rsidR="00733EEE">
        <w:t xml:space="preserve"> </w:t>
      </w:r>
      <w:r w:rsidR="00FC1E80" w:rsidRPr="00CF2184">
        <w:t>(3d)</w:t>
      </w:r>
      <w:r w:rsidR="00733EEE">
        <w:t xml:space="preserve"> </w:t>
      </w:r>
      <w:r w:rsidR="00FC1E80" w:rsidRPr="00CF2184">
        <w:t>303;</w:t>
      </w:r>
      <w:r w:rsidR="00733EEE">
        <w:t xml:space="preserve"> </w:t>
      </w:r>
      <w:r w:rsidR="00FC1E80" w:rsidRPr="00CF2184">
        <w:rPr>
          <w:i/>
        </w:rPr>
        <w:t>Crawford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FC1E80" w:rsidRPr="00CF2184">
        <w:rPr>
          <w:i/>
        </w:rPr>
        <w:t>Agricultural</w:t>
      </w:r>
      <w:r w:rsidR="00733EEE">
        <w:rPr>
          <w:i/>
        </w:rPr>
        <w:t xml:space="preserve"> </w:t>
      </w:r>
      <w:r w:rsidR="00FC1E80" w:rsidRPr="00CF2184">
        <w:rPr>
          <w:i/>
        </w:rPr>
        <w:t>Development</w:t>
      </w:r>
      <w:r w:rsidR="00733EEE">
        <w:rPr>
          <w:i/>
        </w:rPr>
        <w:t xml:space="preserve"> </w:t>
      </w:r>
      <w:r w:rsidR="00FC1E80" w:rsidRPr="00CF2184">
        <w:rPr>
          <w:i/>
        </w:rPr>
        <w:t>Board</w:t>
      </w:r>
      <w:r w:rsidR="00733EEE">
        <w:rPr>
          <w:i/>
        </w:rPr>
        <w:t xml:space="preserve"> </w:t>
      </w:r>
      <w:r w:rsidR="006D2699" w:rsidRPr="00CF2184">
        <w:rPr>
          <w:i/>
        </w:rPr>
        <w:t>(N.B.</w:t>
      </w:r>
      <w:r w:rsidR="00FC1E80" w:rsidRPr="00CF2184">
        <w:rPr>
          <w:i/>
        </w:rPr>
        <w:t>)</w:t>
      </w:r>
      <w:r w:rsidR="00733EEE">
        <w:t xml:space="preserve"> </w:t>
      </w:r>
      <w:r w:rsidR="00FC1E80" w:rsidRPr="00CF2184">
        <w:t>(1997),</w:t>
      </w:r>
      <w:r w:rsidR="00733EEE">
        <w:t xml:space="preserve"> </w:t>
      </w:r>
      <w:r w:rsidR="00FC1E80" w:rsidRPr="00CF2184">
        <w:t>192</w:t>
      </w:r>
      <w:r w:rsidR="00733EEE">
        <w:t xml:space="preserve"> </w:t>
      </w:r>
      <w:r w:rsidR="00FC1E80" w:rsidRPr="00CF2184">
        <w:t>N.B.R.</w:t>
      </w:r>
      <w:r w:rsidR="00733EEE">
        <w:t xml:space="preserve"> </w:t>
      </w:r>
      <w:r w:rsidR="00FC1E80" w:rsidRPr="00CF2184">
        <w:t>(2d)</w:t>
      </w:r>
      <w:r w:rsidR="00733EEE">
        <w:t xml:space="preserve"> </w:t>
      </w:r>
      <w:r w:rsidR="00FC1E80" w:rsidRPr="00CF2184">
        <w:t>68;</w:t>
      </w:r>
      <w:r w:rsidR="00733EEE">
        <w:t xml:space="preserve"> </w:t>
      </w:r>
      <w:r w:rsidR="00FC1E80" w:rsidRPr="00CF2184">
        <w:rPr>
          <w:i/>
        </w:rPr>
        <w:t>Transamerica</w:t>
      </w:r>
      <w:r w:rsidR="00733EEE">
        <w:rPr>
          <w:i/>
        </w:rPr>
        <w:t xml:space="preserve"> </w:t>
      </w:r>
      <w:r w:rsidR="00FC1E80" w:rsidRPr="00CF2184">
        <w:rPr>
          <w:i/>
        </w:rPr>
        <w:t>Life</w:t>
      </w:r>
      <w:r w:rsidR="00733EEE">
        <w:rPr>
          <w:i/>
        </w:rPr>
        <w:t xml:space="preserve"> </w:t>
      </w:r>
      <w:r w:rsidR="00FC1E80" w:rsidRPr="00CF2184">
        <w:rPr>
          <w:i/>
        </w:rPr>
        <w:t>Canada</w:t>
      </w:r>
      <w:r w:rsidR="00733EEE">
        <w:rPr>
          <w:i/>
        </w:rPr>
        <w:t xml:space="preserve"> </w:t>
      </w:r>
      <w:r w:rsidR="00FC1E80" w:rsidRPr="00CF2184">
        <w:rPr>
          <w:i/>
        </w:rPr>
        <w:t>Inc.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FC1E80" w:rsidRPr="00CF2184">
        <w:rPr>
          <w:i/>
        </w:rPr>
        <w:t>ING</w:t>
      </w:r>
      <w:r w:rsidR="00733EEE">
        <w:rPr>
          <w:i/>
        </w:rPr>
        <w:t xml:space="preserve"> </w:t>
      </w:r>
      <w:r w:rsidR="00FC1E80" w:rsidRPr="00CF2184">
        <w:rPr>
          <w:i/>
        </w:rPr>
        <w:t>Canada</w:t>
      </w:r>
      <w:r w:rsidR="00733EEE">
        <w:rPr>
          <w:i/>
        </w:rPr>
        <w:t xml:space="preserve"> </w:t>
      </w:r>
      <w:r w:rsidR="00FC1E80" w:rsidRPr="00CF2184">
        <w:rPr>
          <w:i/>
        </w:rPr>
        <w:t>Inc.</w:t>
      </w:r>
      <w:r w:rsidR="00733EEE">
        <w:t xml:space="preserve"> </w:t>
      </w:r>
      <w:r w:rsidR="00486DE5" w:rsidRPr="00CF2184">
        <w:t>(2003)</w:t>
      </w:r>
      <w:r w:rsidR="00FC1E80" w:rsidRPr="00CF2184">
        <w:t>,</w:t>
      </w:r>
      <w:r w:rsidR="00733EEE">
        <w:t xml:space="preserve"> </w:t>
      </w:r>
      <w:r w:rsidR="00FC1E80" w:rsidRPr="00CF2184">
        <w:t>68</w:t>
      </w:r>
      <w:r w:rsidR="00733EEE">
        <w:t xml:space="preserve"> </w:t>
      </w:r>
      <w:r w:rsidR="00FC1E80" w:rsidRPr="00CF2184">
        <w:t>O.R.</w:t>
      </w:r>
      <w:r w:rsidR="00733EEE">
        <w:t xml:space="preserve"> </w:t>
      </w:r>
      <w:r w:rsidR="00FC1E80" w:rsidRPr="00CF2184">
        <w:t>(3d)</w:t>
      </w:r>
      <w:r w:rsidR="00733EEE">
        <w:t xml:space="preserve"> </w:t>
      </w:r>
      <w:r w:rsidR="00FC1E80" w:rsidRPr="00CF2184">
        <w:t>457;</w:t>
      </w:r>
      <w:r w:rsidR="00733EEE">
        <w:t xml:space="preserve"> </w:t>
      </w:r>
      <w:r w:rsidR="00FC1E80" w:rsidRPr="00CF2184">
        <w:rPr>
          <w:i/>
        </w:rPr>
        <w:t>Mesa</w:t>
      </w:r>
      <w:r w:rsidR="00733EEE">
        <w:rPr>
          <w:i/>
        </w:rPr>
        <w:t xml:space="preserve"> </w:t>
      </w:r>
      <w:r w:rsidR="00FC1E80" w:rsidRPr="00CF2184">
        <w:rPr>
          <w:i/>
        </w:rPr>
        <w:t>Operating</w:t>
      </w:r>
      <w:r w:rsidR="00733EEE">
        <w:rPr>
          <w:i/>
        </w:rPr>
        <w:t xml:space="preserve"> </w:t>
      </w:r>
      <w:r w:rsidR="008343B0" w:rsidRPr="00CF2184">
        <w:rPr>
          <w:i/>
        </w:rPr>
        <w:t>Limited</w:t>
      </w:r>
      <w:r w:rsidR="00733EEE">
        <w:rPr>
          <w:i/>
        </w:rPr>
        <w:t xml:space="preserve"> </w:t>
      </w:r>
      <w:r w:rsidR="008343B0" w:rsidRPr="00CF2184">
        <w:rPr>
          <w:i/>
        </w:rPr>
        <w:t>Partnership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FC1E80" w:rsidRPr="00CF2184">
        <w:rPr>
          <w:i/>
        </w:rPr>
        <w:t>Amoco</w:t>
      </w:r>
      <w:r w:rsidR="00733EEE">
        <w:rPr>
          <w:i/>
        </w:rPr>
        <w:t xml:space="preserve"> </w:t>
      </w:r>
      <w:r w:rsidR="00FC1E80" w:rsidRPr="00CF2184">
        <w:rPr>
          <w:i/>
        </w:rPr>
        <w:t>Canada</w:t>
      </w:r>
      <w:r w:rsidR="00733EEE">
        <w:rPr>
          <w:i/>
        </w:rPr>
        <w:t xml:space="preserve"> </w:t>
      </w:r>
      <w:r w:rsidR="00FC1E80" w:rsidRPr="00CF2184">
        <w:rPr>
          <w:i/>
        </w:rPr>
        <w:t>Resources</w:t>
      </w:r>
      <w:r w:rsidR="00733EEE">
        <w:rPr>
          <w:i/>
        </w:rPr>
        <w:t xml:space="preserve"> </w:t>
      </w:r>
      <w:r w:rsidR="00FC1E80" w:rsidRPr="00CF2184">
        <w:rPr>
          <w:i/>
        </w:rPr>
        <w:t>Ltd.</w:t>
      </w:r>
      <w:r w:rsidR="00733EEE">
        <w:t xml:space="preserve"> </w:t>
      </w:r>
      <w:r w:rsidR="003F12EA" w:rsidRPr="00CF2184">
        <w:t>(</w:t>
      </w:r>
      <w:r w:rsidR="00FC1E80" w:rsidRPr="00CF2184">
        <w:t>1994</w:t>
      </w:r>
      <w:r w:rsidR="003F12EA" w:rsidRPr="00CF2184">
        <w:t>),</w:t>
      </w:r>
      <w:r w:rsidR="00733EEE">
        <w:t xml:space="preserve"> </w:t>
      </w:r>
      <w:r w:rsidR="003F12EA" w:rsidRPr="00CF2184">
        <w:t>149</w:t>
      </w:r>
      <w:r w:rsidR="00733EEE">
        <w:t xml:space="preserve"> </w:t>
      </w:r>
      <w:r w:rsidR="003F12EA" w:rsidRPr="00CF2184">
        <w:t>A.R.</w:t>
      </w:r>
      <w:r w:rsidR="00733EEE">
        <w:t xml:space="preserve"> </w:t>
      </w:r>
      <w:r w:rsidR="003F12EA" w:rsidRPr="00CF2184">
        <w:t>187</w:t>
      </w:r>
      <w:r w:rsidR="00FC1E80" w:rsidRPr="00CF2184">
        <w:t>;</w:t>
      </w:r>
      <w:r w:rsidR="00733EEE">
        <w:t xml:space="preserve"> </w:t>
      </w:r>
      <w:r w:rsidR="00FC1E80" w:rsidRPr="00CF2184">
        <w:rPr>
          <w:i/>
        </w:rPr>
        <w:t>Barclays</w:t>
      </w:r>
      <w:r w:rsidR="00733EEE">
        <w:rPr>
          <w:i/>
        </w:rPr>
        <w:t xml:space="preserve"> </w:t>
      </w:r>
      <w:r w:rsidR="00FC1E80" w:rsidRPr="00CF2184">
        <w:rPr>
          <w:i/>
        </w:rPr>
        <w:t>Bank</w:t>
      </w:r>
      <w:r w:rsidR="00733EEE">
        <w:rPr>
          <w:i/>
        </w:rPr>
        <w:t xml:space="preserve"> </w:t>
      </w:r>
      <w:r w:rsidR="00FC1E80" w:rsidRPr="00CF2184">
        <w:rPr>
          <w:i/>
        </w:rPr>
        <w:t>PLC</w:t>
      </w:r>
      <w:r w:rsidR="00733EEE">
        <w:rPr>
          <w:i/>
        </w:rPr>
        <w:t xml:space="preserve"> </w:t>
      </w:r>
      <w:r w:rsidR="00FC1E80" w:rsidRPr="00CF2184">
        <w:rPr>
          <w:i/>
        </w:rPr>
        <w:t>v.</w:t>
      </w:r>
      <w:r w:rsidR="00733EEE">
        <w:rPr>
          <w:i/>
        </w:rPr>
        <w:t xml:space="preserve"> </w:t>
      </w:r>
      <w:r w:rsidR="006D2699" w:rsidRPr="00CF2184">
        <w:rPr>
          <w:i/>
        </w:rPr>
        <w:t>Metcalfe</w:t>
      </w:r>
      <w:r w:rsidR="00733EEE">
        <w:rPr>
          <w:i/>
        </w:rPr>
        <w:t xml:space="preserve"> </w:t>
      </w:r>
      <w:r w:rsidR="006D2699" w:rsidRPr="00CF2184">
        <w:rPr>
          <w:i/>
        </w:rPr>
        <w:t>&amp;</w:t>
      </w:r>
      <w:r w:rsidR="00733EEE">
        <w:rPr>
          <w:i/>
        </w:rPr>
        <w:t xml:space="preserve"> </w:t>
      </w:r>
      <w:r w:rsidR="006D2699" w:rsidRPr="00CF2184">
        <w:rPr>
          <w:i/>
        </w:rPr>
        <w:t>Mansfield</w:t>
      </w:r>
      <w:r w:rsidR="00733EEE">
        <w:rPr>
          <w:i/>
        </w:rPr>
        <w:t xml:space="preserve"> </w:t>
      </w:r>
      <w:r w:rsidR="006D2699" w:rsidRPr="00CF2184">
        <w:rPr>
          <w:i/>
        </w:rPr>
        <w:t>Alternative</w:t>
      </w:r>
      <w:r w:rsidR="00733EEE">
        <w:rPr>
          <w:i/>
        </w:rPr>
        <w:t xml:space="preserve"> </w:t>
      </w:r>
      <w:r w:rsidR="006D2699" w:rsidRPr="00CF2184">
        <w:rPr>
          <w:i/>
        </w:rPr>
        <w:t>Investments</w:t>
      </w:r>
      <w:r w:rsidR="00733EEE">
        <w:rPr>
          <w:i/>
        </w:rPr>
        <w:t xml:space="preserve"> </w:t>
      </w:r>
      <w:r w:rsidR="006D2699" w:rsidRPr="00CF2184">
        <w:rPr>
          <w:i/>
        </w:rPr>
        <w:t>VII</w:t>
      </w:r>
      <w:r w:rsidR="00733EEE">
        <w:rPr>
          <w:i/>
        </w:rPr>
        <w:t xml:space="preserve"> </w:t>
      </w:r>
      <w:r w:rsidR="006D2699" w:rsidRPr="00CF2184">
        <w:rPr>
          <w:i/>
        </w:rPr>
        <w:t>Corp.</w:t>
      </w:r>
      <w:r w:rsidR="00FC1E80" w:rsidRPr="00CF2184">
        <w:t>,</w:t>
      </w:r>
      <w:r w:rsidR="00733EEE">
        <w:t xml:space="preserve"> </w:t>
      </w:r>
      <w:r w:rsidR="00FC1E80" w:rsidRPr="00CF2184">
        <w:t>2013</w:t>
      </w:r>
      <w:r w:rsidR="00733EEE">
        <w:t xml:space="preserve"> </w:t>
      </w:r>
      <w:r w:rsidR="00FC1E80" w:rsidRPr="00CF2184">
        <w:t>ONCA</w:t>
      </w:r>
      <w:r w:rsidR="00733EEE">
        <w:t xml:space="preserve"> </w:t>
      </w:r>
      <w:r w:rsidR="00FC1E80" w:rsidRPr="00CF2184">
        <w:t>494</w:t>
      </w:r>
      <w:r w:rsidR="003F12EA" w:rsidRPr="00CF2184">
        <w:t>,</w:t>
      </w:r>
      <w:r w:rsidR="00733EEE">
        <w:t xml:space="preserve"> </w:t>
      </w:r>
      <w:r w:rsidR="003F12EA" w:rsidRPr="00CF2184">
        <w:t>3</w:t>
      </w:r>
      <w:r w:rsidR="006D2699" w:rsidRPr="00CF2184">
        <w:t>65</w:t>
      </w:r>
      <w:r w:rsidR="00733EEE">
        <w:t xml:space="preserve"> </w:t>
      </w:r>
      <w:r w:rsidR="006D2699" w:rsidRPr="00CF2184">
        <w:t>D.L.R.</w:t>
      </w:r>
      <w:r w:rsidR="00733EEE">
        <w:t xml:space="preserve"> </w:t>
      </w:r>
      <w:r w:rsidR="006D2699" w:rsidRPr="00CF2184">
        <w:t>(4th)</w:t>
      </w:r>
      <w:r w:rsidR="00733EEE">
        <w:t xml:space="preserve"> </w:t>
      </w:r>
      <w:r w:rsidR="006D2699" w:rsidRPr="00CF2184">
        <w:t>15</w:t>
      </w:r>
      <w:r w:rsidR="00FC1E80" w:rsidRPr="00CF2184">
        <w:t>;</w:t>
      </w:r>
      <w:r w:rsidR="00733EEE">
        <w:t xml:space="preserve"> </w:t>
      </w:r>
      <w:r w:rsidR="00004946" w:rsidRPr="00CF2184">
        <w:rPr>
          <w:i/>
        </w:rPr>
        <w:t>R.</w:t>
      </w:r>
      <w:r w:rsidR="00733EEE">
        <w:rPr>
          <w:i/>
        </w:rPr>
        <w:t xml:space="preserve"> </w:t>
      </w:r>
      <w:r w:rsidR="00004946" w:rsidRPr="00CF2184">
        <w:rPr>
          <w:i/>
        </w:rPr>
        <w:t>v.</w:t>
      </w:r>
      <w:r w:rsidR="00733EEE">
        <w:rPr>
          <w:i/>
        </w:rPr>
        <w:t xml:space="preserve"> </w:t>
      </w:r>
      <w:r w:rsidR="00004946" w:rsidRPr="00CF2184">
        <w:rPr>
          <w:i/>
        </w:rPr>
        <w:t>Salituro</w:t>
      </w:r>
      <w:r w:rsidR="00004946" w:rsidRPr="00CF2184">
        <w:t>,</w:t>
      </w:r>
      <w:r w:rsidR="00733EEE">
        <w:t xml:space="preserve"> </w:t>
      </w:r>
      <w:r w:rsidR="00004946" w:rsidRPr="00CF2184">
        <w:t>[1991]</w:t>
      </w:r>
      <w:r w:rsidR="00733EEE">
        <w:t xml:space="preserve"> </w:t>
      </w:r>
      <w:r w:rsidR="00004946" w:rsidRPr="00CF2184">
        <w:t>3</w:t>
      </w:r>
      <w:r w:rsidR="00733EEE">
        <w:t xml:space="preserve"> </w:t>
      </w:r>
      <w:r w:rsidR="00004946" w:rsidRPr="00CF2184">
        <w:t>S.C.R.</w:t>
      </w:r>
      <w:r w:rsidR="00733EEE">
        <w:t xml:space="preserve"> </w:t>
      </w:r>
      <w:r w:rsidR="00004946" w:rsidRPr="00CF2184">
        <w:t>654;</w:t>
      </w:r>
      <w:r w:rsidR="00733EEE">
        <w:t xml:space="preserve"> </w:t>
      </w:r>
      <w:r w:rsidR="0077520F" w:rsidRPr="00CF2184">
        <w:rPr>
          <w:i/>
        </w:rPr>
        <w:t>Bow</w:t>
      </w:r>
      <w:r w:rsidR="00733EEE">
        <w:rPr>
          <w:i/>
        </w:rPr>
        <w:t xml:space="preserve"> </w:t>
      </w:r>
      <w:r w:rsidR="0077520F" w:rsidRPr="00CF2184">
        <w:rPr>
          <w:i/>
        </w:rPr>
        <w:t>Valley</w:t>
      </w:r>
      <w:r w:rsidR="00733EEE">
        <w:rPr>
          <w:i/>
        </w:rPr>
        <w:t xml:space="preserve"> </w:t>
      </w:r>
      <w:r w:rsidR="0077520F" w:rsidRPr="00CF2184">
        <w:rPr>
          <w:i/>
        </w:rPr>
        <w:t>Husky</w:t>
      </w:r>
      <w:r w:rsidR="00733EEE">
        <w:rPr>
          <w:i/>
        </w:rPr>
        <w:t xml:space="preserve"> </w:t>
      </w:r>
      <w:r w:rsidR="0077520F" w:rsidRPr="00CF2184">
        <w:rPr>
          <w:i/>
        </w:rPr>
        <w:t>(Bermuda)</w:t>
      </w:r>
      <w:r w:rsidR="00733EEE">
        <w:rPr>
          <w:i/>
        </w:rPr>
        <w:t xml:space="preserve"> </w:t>
      </w:r>
      <w:r w:rsidR="0077520F" w:rsidRPr="00CF2184">
        <w:rPr>
          <w:i/>
        </w:rPr>
        <w:t>Ltd.</w:t>
      </w:r>
      <w:r w:rsidR="00733EEE">
        <w:rPr>
          <w:i/>
        </w:rPr>
        <w:t xml:space="preserve"> </w:t>
      </w:r>
      <w:r w:rsidR="0077520F" w:rsidRPr="00CF2184">
        <w:rPr>
          <w:i/>
        </w:rPr>
        <w:t>v.</w:t>
      </w:r>
      <w:r w:rsidR="00733EEE">
        <w:rPr>
          <w:i/>
        </w:rPr>
        <w:t xml:space="preserve"> </w:t>
      </w:r>
      <w:r w:rsidR="0077520F" w:rsidRPr="00CF2184">
        <w:rPr>
          <w:i/>
        </w:rPr>
        <w:t>Saint</w:t>
      </w:r>
      <w:r w:rsidR="00733EEE">
        <w:rPr>
          <w:i/>
        </w:rPr>
        <w:t xml:space="preserve"> </w:t>
      </w:r>
      <w:r w:rsidR="0077520F" w:rsidRPr="00CF2184">
        <w:rPr>
          <w:i/>
        </w:rPr>
        <w:t>John</w:t>
      </w:r>
      <w:r w:rsidR="00733EEE">
        <w:rPr>
          <w:i/>
        </w:rPr>
        <w:t xml:space="preserve"> </w:t>
      </w:r>
      <w:r w:rsidR="0077520F" w:rsidRPr="00CF2184">
        <w:rPr>
          <w:i/>
        </w:rPr>
        <w:t>Shipbuilding</w:t>
      </w:r>
      <w:r w:rsidR="00733EEE">
        <w:rPr>
          <w:i/>
        </w:rPr>
        <w:t xml:space="preserve"> </w:t>
      </w:r>
      <w:r w:rsidR="0077520F" w:rsidRPr="00CF2184">
        <w:rPr>
          <w:i/>
        </w:rPr>
        <w:t>Ltd.</w:t>
      </w:r>
      <w:r w:rsidR="0077520F" w:rsidRPr="00CF2184">
        <w:t>,</w:t>
      </w:r>
      <w:r w:rsidR="00733EEE">
        <w:t xml:space="preserve"> </w:t>
      </w:r>
      <w:r w:rsidR="0077520F" w:rsidRPr="00CF2184">
        <w:t>[1997]</w:t>
      </w:r>
      <w:r w:rsidR="00733EEE">
        <w:t xml:space="preserve"> </w:t>
      </w:r>
      <w:r w:rsidR="0077520F" w:rsidRPr="00CF2184">
        <w:t>3</w:t>
      </w:r>
      <w:r w:rsidR="00733EEE">
        <w:t xml:space="preserve"> </w:t>
      </w:r>
      <w:r w:rsidR="0077520F" w:rsidRPr="00CF2184">
        <w:t>S.C.R.</w:t>
      </w:r>
      <w:r w:rsidR="00733EEE">
        <w:t xml:space="preserve"> </w:t>
      </w:r>
      <w:r w:rsidR="0077520F" w:rsidRPr="00CF2184">
        <w:t>1210;</w:t>
      </w:r>
      <w:r w:rsidR="00733EEE">
        <w:t xml:space="preserve"> </w:t>
      </w:r>
      <w:r w:rsidR="00004946" w:rsidRPr="00CF2184">
        <w:rPr>
          <w:i/>
        </w:rPr>
        <w:t>Watkins</w:t>
      </w:r>
      <w:r w:rsidR="00733EEE">
        <w:rPr>
          <w:i/>
        </w:rPr>
        <w:t xml:space="preserve"> </w:t>
      </w:r>
      <w:r w:rsidR="00004946" w:rsidRPr="00CF2184">
        <w:rPr>
          <w:i/>
        </w:rPr>
        <w:t>v.</w:t>
      </w:r>
      <w:r w:rsidR="00733EEE">
        <w:rPr>
          <w:i/>
        </w:rPr>
        <w:t xml:space="preserve"> </w:t>
      </w:r>
      <w:r w:rsidR="00004946" w:rsidRPr="00CF2184">
        <w:rPr>
          <w:i/>
        </w:rPr>
        <w:t>Olafson</w:t>
      </w:r>
      <w:r w:rsidR="00004946" w:rsidRPr="00CF2184">
        <w:t>,</w:t>
      </w:r>
      <w:r w:rsidR="00733EEE">
        <w:t xml:space="preserve"> </w:t>
      </w:r>
      <w:r w:rsidR="00004946" w:rsidRPr="00CF2184">
        <w:t>[1989]</w:t>
      </w:r>
      <w:r w:rsidR="00733EEE">
        <w:t xml:space="preserve"> </w:t>
      </w:r>
      <w:r w:rsidR="00004946" w:rsidRPr="00CF2184">
        <w:t>2</w:t>
      </w:r>
      <w:r w:rsidR="00733EEE">
        <w:t xml:space="preserve"> </w:t>
      </w:r>
      <w:r w:rsidR="00004946" w:rsidRPr="00CF2184">
        <w:t>S.C.R.</w:t>
      </w:r>
      <w:r w:rsidR="00733EEE">
        <w:t xml:space="preserve"> </w:t>
      </w:r>
      <w:r w:rsidR="00004946" w:rsidRPr="00CF2184">
        <w:t>750;</w:t>
      </w:r>
      <w:r w:rsidR="00733EEE">
        <w:t xml:space="preserve"> </w:t>
      </w:r>
      <w:r w:rsidR="0077520F" w:rsidRPr="00CF2184">
        <w:rPr>
          <w:i/>
        </w:rPr>
        <w:t>Hill</w:t>
      </w:r>
      <w:r w:rsidR="00733EEE">
        <w:rPr>
          <w:i/>
        </w:rPr>
        <w:t xml:space="preserve"> </w:t>
      </w:r>
      <w:r w:rsidR="0077520F" w:rsidRPr="00CF2184">
        <w:rPr>
          <w:i/>
        </w:rPr>
        <w:t>v.</w:t>
      </w:r>
      <w:r w:rsidR="00733EEE">
        <w:rPr>
          <w:i/>
        </w:rPr>
        <w:t xml:space="preserve"> </w:t>
      </w:r>
      <w:r w:rsidR="0077520F" w:rsidRPr="00CF2184">
        <w:rPr>
          <w:i/>
        </w:rPr>
        <w:t>Church</w:t>
      </w:r>
      <w:r w:rsidR="00733EEE">
        <w:rPr>
          <w:i/>
        </w:rPr>
        <w:t xml:space="preserve"> </w:t>
      </w:r>
      <w:r w:rsidR="0077520F" w:rsidRPr="00CF2184">
        <w:rPr>
          <w:i/>
        </w:rPr>
        <w:t>of</w:t>
      </w:r>
      <w:r w:rsidR="00733EEE">
        <w:rPr>
          <w:i/>
        </w:rPr>
        <w:t xml:space="preserve"> </w:t>
      </w:r>
      <w:r w:rsidR="0077520F" w:rsidRPr="00CF2184">
        <w:rPr>
          <w:i/>
        </w:rPr>
        <w:t>Scientology</w:t>
      </w:r>
      <w:r w:rsidR="00733EEE">
        <w:rPr>
          <w:i/>
        </w:rPr>
        <w:t xml:space="preserve"> </w:t>
      </w:r>
      <w:r w:rsidR="0077520F" w:rsidRPr="00CF2184">
        <w:rPr>
          <w:i/>
        </w:rPr>
        <w:t>of</w:t>
      </w:r>
      <w:r w:rsidR="00733EEE">
        <w:rPr>
          <w:i/>
        </w:rPr>
        <w:t xml:space="preserve"> </w:t>
      </w:r>
      <w:r w:rsidR="0077520F" w:rsidRPr="00CF2184">
        <w:rPr>
          <w:i/>
        </w:rPr>
        <w:t>Toronto</w:t>
      </w:r>
      <w:r w:rsidR="0077520F" w:rsidRPr="00CF2184">
        <w:t>,</w:t>
      </w:r>
      <w:r w:rsidR="00733EEE">
        <w:t xml:space="preserve"> </w:t>
      </w:r>
      <w:r w:rsidR="0077520F" w:rsidRPr="00CF2184">
        <w:t>[1995]</w:t>
      </w:r>
      <w:r w:rsidR="00733EEE">
        <w:t xml:space="preserve"> </w:t>
      </w:r>
      <w:r w:rsidR="0077520F" w:rsidRPr="00CF2184">
        <w:t>2</w:t>
      </w:r>
      <w:r w:rsidR="00733EEE">
        <w:t xml:space="preserve"> </w:t>
      </w:r>
      <w:r w:rsidR="0077520F" w:rsidRPr="00CF2184">
        <w:t>S.C.R.</w:t>
      </w:r>
      <w:r w:rsidR="00733EEE">
        <w:t xml:space="preserve"> </w:t>
      </w:r>
      <w:r w:rsidR="0077520F" w:rsidRPr="00CF2184">
        <w:t>1130;</w:t>
      </w:r>
      <w:r w:rsidR="00733EEE">
        <w:t xml:space="preserve"> </w:t>
      </w:r>
      <w:r w:rsidR="0077520F" w:rsidRPr="00CF2184">
        <w:rPr>
          <w:i/>
        </w:rPr>
        <w:t>R.W.D.S.U.,</w:t>
      </w:r>
      <w:r w:rsidR="00733EEE">
        <w:rPr>
          <w:i/>
        </w:rPr>
        <w:t xml:space="preserve"> </w:t>
      </w:r>
      <w:r w:rsidR="0077520F" w:rsidRPr="00CF2184">
        <w:rPr>
          <w:i/>
        </w:rPr>
        <w:t>Local</w:t>
      </w:r>
      <w:r w:rsidR="00733EEE">
        <w:rPr>
          <w:i/>
        </w:rPr>
        <w:t xml:space="preserve"> </w:t>
      </w:r>
      <w:r w:rsidR="0077520F" w:rsidRPr="00CF2184">
        <w:rPr>
          <w:i/>
        </w:rPr>
        <w:t>558</w:t>
      </w:r>
      <w:r w:rsidR="00733EEE">
        <w:rPr>
          <w:i/>
        </w:rPr>
        <w:t xml:space="preserve"> </w:t>
      </w:r>
      <w:r w:rsidR="0077520F" w:rsidRPr="00CF2184">
        <w:rPr>
          <w:i/>
        </w:rPr>
        <w:t>v.</w:t>
      </w:r>
      <w:r w:rsidR="00733EEE">
        <w:rPr>
          <w:i/>
        </w:rPr>
        <w:t xml:space="preserve"> </w:t>
      </w:r>
      <w:r w:rsidR="0077520F" w:rsidRPr="00CF2184">
        <w:rPr>
          <w:i/>
        </w:rPr>
        <w:t>Pepsi</w:t>
      </w:r>
      <w:r w:rsidR="00733EEE">
        <w:rPr>
          <w:i/>
        </w:rPr>
        <w:t>-</w:t>
      </w:r>
      <w:r w:rsidR="0077520F" w:rsidRPr="00CF2184">
        <w:rPr>
          <w:i/>
        </w:rPr>
        <w:t>Cola</w:t>
      </w:r>
      <w:r w:rsidR="00733EEE">
        <w:rPr>
          <w:i/>
        </w:rPr>
        <w:t xml:space="preserve"> </w:t>
      </w:r>
      <w:r w:rsidR="0077520F" w:rsidRPr="00CF2184">
        <w:rPr>
          <w:i/>
        </w:rPr>
        <w:t>Canada</w:t>
      </w:r>
      <w:r w:rsidR="00733EEE">
        <w:rPr>
          <w:i/>
        </w:rPr>
        <w:t xml:space="preserve"> </w:t>
      </w:r>
      <w:r w:rsidR="0077520F" w:rsidRPr="00CF2184">
        <w:rPr>
          <w:i/>
        </w:rPr>
        <w:t>Beverages</w:t>
      </w:r>
      <w:r w:rsidR="00733EEE">
        <w:rPr>
          <w:i/>
        </w:rPr>
        <w:t xml:space="preserve"> </w:t>
      </w:r>
      <w:r w:rsidR="0077520F" w:rsidRPr="00CF2184">
        <w:rPr>
          <w:i/>
        </w:rPr>
        <w:t>(West)</w:t>
      </w:r>
      <w:r w:rsidR="00733EEE">
        <w:rPr>
          <w:i/>
        </w:rPr>
        <w:t xml:space="preserve"> </w:t>
      </w:r>
      <w:r w:rsidR="0077520F" w:rsidRPr="00CF2184">
        <w:rPr>
          <w:i/>
        </w:rPr>
        <w:t>Ltd.</w:t>
      </w:r>
      <w:r w:rsidR="0077520F" w:rsidRPr="00CF2184">
        <w:t>,</w:t>
      </w:r>
      <w:r w:rsidR="00733EEE">
        <w:t xml:space="preserve"> </w:t>
      </w:r>
      <w:r w:rsidR="005E782F" w:rsidRPr="00CF2184">
        <w:t>2002</w:t>
      </w:r>
      <w:r w:rsidR="00733EEE">
        <w:t xml:space="preserve"> </w:t>
      </w:r>
      <w:r w:rsidR="005E782F" w:rsidRPr="00CF2184">
        <w:t>SCC</w:t>
      </w:r>
      <w:r w:rsidR="00733EEE">
        <w:t xml:space="preserve"> </w:t>
      </w:r>
      <w:r w:rsidR="0095713A" w:rsidRPr="00CF2184">
        <w:t>8</w:t>
      </w:r>
      <w:r w:rsidR="005E782F" w:rsidRPr="00CF2184">
        <w:t>,</w:t>
      </w:r>
      <w:r w:rsidR="00733EEE">
        <w:t xml:space="preserve"> </w:t>
      </w:r>
      <w:r w:rsidR="0077520F" w:rsidRPr="00CF2184">
        <w:t>[2002]</w:t>
      </w:r>
      <w:r w:rsidR="00733EEE">
        <w:t xml:space="preserve"> </w:t>
      </w:r>
      <w:r w:rsidR="0077520F" w:rsidRPr="00CF2184">
        <w:t>1</w:t>
      </w:r>
      <w:r w:rsidR="00733EEE">
        <w:t xml:space="preserve"> </w:t>
      </w:r>
      <w:r w:rsidR="0077520F" w:rsidRPr="00CF2184">
        <w:t>S.C.R.</w:t>
      </w:r>
      <w:r w:rsidR="00733EEE">
        <w:t xml:space="preserve"> </w:t>
      </w:r>
      <w:r w:rsidR="0077520F" w:rsidRPr="00CF2184">
        <w:t>156;</w:t>
      </w:r>
      <w:r w:rsidR="00733EEE">
        <w:t xml:space="preserve"> </w:t>
      </w:r>
      <w:r w:rsidR="0077520F" w:rsidRPr="00CF2184">
        <w:rPr>
          <w:i/>
        </w:rPr>
        <w:t>British</w:t>
      </w:r>
      <w:r w:rsidR="00733EEE">
        <w:rPr>
          <w:i/>
        </w:rPr>
        <w:t xml:space="preserve"> </w:t>
      </w:r>
      <w:r w:rsidR="0077520F" w:rsidRPr="00CF2184">
        <w:rPr>
          <w:i/>
        </w:rPr>
        <w:t>Columbia</w:t>
      </w:r>
      <w:r w:rsidR="00733EEE">
        <w:rPr>
          <w:i/>
        </w:rPr>
        <w:t xml:space="preserve"> </w:t>
      </w:r>
      <w:r w:rsidR="0077520F" w:rsidRPr="00CF2184">
        <w:rPr>
          <w:i/>
        </w:rPr>
        <w:t>v.</w:t>
      </w:r>
      <w:r w:rsidR="00733EEE">
        <w:rPr>
          <w:i/>
        </w:rPr>
        <w:t xml:space="preserve"> </w:t>
      </w:r>
      <w:r w:rsidR="0077520F" w:rsidRPr="00CF2184">
        <w:rPr>
          <w:i/>
        </w:rPr>
        <w:t>Imperial</w:t>
      </w:r>
      <w:r w:rsidR="00733EEE">
        <w:rPr>
          <w:i/>
        </w:rPr>
        <w:t xml:space="preserve"> </w:t>
      </w:r>
      <w:r w:rsidR="0077520F" w:rsidRPr="00CF2184">
        <w:rPr>
          <w:i/>
        </w:rPr>
        <w:t>Tobacco</w:t>
      </w:r>
      <w:r w:rsidR="00733EEE">
        <w:rPr>
          <w:i/>
        </w:rPr>
        <w:t xml:space="preserve"> </w:t>
      </w:r>
      <w:r w:rsidR="0077520F" w:rsidRPr="00CF2184">
        <w:rPr>
          <w:i/>
        </w:rPr>
        <w:t>Canada</w:t>
      </w:r>
      <w:r w:rsidR="00733EEE">
        <w:rPr>
          <w:i/>
        </w:rPr>
        <w:t xml:space="preserve"> </w:t>
      </w:r>
      <w:r w:rsidR="0077520F" w:rsidRPr="00CF2184">
        <w:rPr>
          <w:i/>
        </w:rPr>
        <w:t>Ltd.</w:t>
      </w:r>
      <w:r w:rsidR="0077520F" w:rsidRPr="00CF2184">
        <w:t>,</w:t>
      </w:r>
      <w:r w:rsidR="00733EEE">
        <w:t xml:space="preserve"> </w:t>
      </w:r>
      <w:r w:rsidR="005E782F" w:rsidRPr="00CF2184">
        <w:t>2005</w:t>
      </w:r>
      <w:r w:rsidR="00733EEE">
        <w:t xml:space="preserve"> </w:t>
      </w:r>
      <w:r w:rsidR="005E782F" w:rsidRPr="00CF2184">
        <w:t>SCC</w:t>
      </w:r>
      <w:r w:rsidR="00733EEE">
        <w:t xml:space="preserve"> </w:t>
      </w:r>
      <w:r w:rsidR="0095713A" w:rsidRPr="00CF2184">
        <w:t>49</w:t>
      </w:r>
      <w:r w:rsidR="005E782F" w:rsidRPr="00CF2184">
        <w:t>,</w:t>
      </w:r>
      <w:r w:rsidR="00733EEE">
        <w:t xml:space="preserve"> </w:t>
      </w:r>
      <w:r w:rsidR="0077520F" w:rsidRPr="00CF2184">
        <w:t>[2005]</w:t>
      </w:r>
      <w:r w:rsidR="00733EEE">
        <w:t xml:space="preserve"> </w:t>
      </w:r>
      <w:r w:rsidR="0077520F" w:rsidRPr="00CF2184">
        <w:t>2</w:t>
      </w:r>
      <w:r w:rsidR="00733EEE">
        <w:t xml:space="preserve"> </w:t>
      </w:r>
      <w:r w:rsidR="0077520F" w:rsidRPr="00CF2184">
        <w:t>S.C.R.</w:t>
      </w:r>
      <w:r w:rsidR="00733EEE">
        <w:t xml:space="preserve"> </w:t>
      </w:r>
      <w:r w:rsidR="0077520F" w:rsidRPr="00CF2184">
        <w:t>473;</w:t>
      </w:r>
      <w:r w:rsidR="00733EEE">
        <w:t xml:space="preserve"> </w:t>
      </w:r>
      <w:r w:rsidR="0077520F" w:rsidRPr="00CF2184">
        <w:rPr>
          <w:i/>
        </w:rPr>
        <w:t>Grant</w:t>
      </w:r>
      <w:r w:rsidR="00733EEE">
        <w:rPr>
          <w:i/>
        </w:rPr>
        <w:t xml:space="preserve"> </w:t>
      </w:r>
      <w:r w:rsidR="0077520F" w:rsidRPr="00CF2184">
        <w:rPr>
          <w:i/>
        </w:rPr>
        <w:t>v.</w:t>
      </w:r>
      <w:r w:rsidR="00733EEE">
        <w:rPr>
          <w:i/>
        </w:rPr>
        <w:t xml:space="preserve"> </w:t>
      </w:r>
      <w:r w:rsidR="0077520F" w:rsidRPr="00CF2184">
        <w:rPr>
          <w:i/>
        </w:rPr>
        <w:t>Torstar</w:t>
      </w:r>
      <w:r w:rsidR="00733EEE">
        <w:rPr>
          <w:i/>
        </w:rPr>
        <w:t xml:space="preserve"> </w:t>
      </w:r>
      <w:r w:rsidR="0077520F" w:rsidRPr="00CF2184">
        <w:rPr>
          <w:i/>
        </w:rPr>
        <w:t>Corp.</w:t>
      </w:r>
      <w:r w:rsidR="0077520F" w:rsidRPr="00CF2184">
        <w:t>,</w:t>
      </w:r>
      <w:r w:rsidR="00733EEE">
        <w:t xml:space="preserve"> </w:t>
      </w:r>
      <w:r w:rsidR="005E782F" w:rsidRPr="00CF2184">
        <w:t>2009</w:t>
      </w:r>
      <w:r w:rsidR="00733EEE">
        <w:t xml:space="preserve"> </w:t>
      </w:r>
      <w:r w:rsidR="005E782F" w:rsidRPr="00CF2184">
        <w:t>SCC</w:t>
      </w:r>
      <w:r w:rsidR="00733EEE">
        <w:t xml:space="preserve"> </w:t>
      </w:r>
      <w:r w:rsidR="0095713A" w:rsidRPr="00CF2184">
        <w:t>61</w:t>
      </w:r>
      <w:r w:rsidR="005E782F" w:rsidRPr="00CF2184">
        <w:t>,</w:t>
      </w:r>
      <w:r w:rsidR="00733EEE">
        <w:t xml:space="preserve"> </w:t>
      </w:r>
      <w:r w:rsidR="0077520F" w:rsidRPr="00CF2184">
        <w:t>[2009]</w:t>
      </w:r>
      <w:r w:rsidR="00733EEE">
        <w:t xml:space="preserve"> </w:t>
      </w:r>
      <w:r w:rsidR="0077520F" w:rsidRPr="00CF2184">
        <w:t>3</w:t>
      </w:r>
      <w:r w:rsidR="00733EEE">
        <w:t xml:space="preserve"> </w:t>
      </w:r>
      <w:r w:rsidR="0077520F" w:rsidRPr="00CF2184">
        <w:t>S.C.R.</w:t>
      </w:r>
      <w:r w:rsidR="00733EEE">
        <w:t xml:space="preserve"> </w:t>
      </w:r>
      <w:r w:rsidR="0077520F" w:rsidRPr="00CF2184">
        <w:t>640;</w:t>
      </w:r>
      <w:r w:rsidR="00733EEE">
        <w:t xml:space="preserve"> </w:t>
      </w:r>
      <w:r w:rsidR="005E782F" w:rsidRPr="00CF2184">
        <w:rPr>
          <w:i/>
        </w:rPr>
        <w:t>Interfoto</w:t>
      </w:r>
      <w:r w:rsidR="00733EEE">
        <w:rPr>
          <w:i/>
        </w:rPr>
        <w:t xml:space="preserve"> </w:t>
      </w:r>
      <w:r w:rsidR="005E782F" w:rsidRPr="00CF2184">
        <w:rPr>
          <w:i/>
        </w:rPr>
        <w:t>Picture</w:t>
      </w:r>
      <w:r w:rsidR="00733EEE">
        <w:rPr>
          <w:i/>
        </w:rPr>
        <w:t xml:space="preserve"> </w:t>
      </w:r>
      <w:r w:rsidR="005E782F" w:rsidRPr="00CF2184">
        <w:rPr>
          <w:i/>
        </w:rPr>
        <w:t>Library</w:t>
      </w:r>
      <w:r w:rsidR="00733EEE">
        <w:rPr>
          <w:i/>
        </w:rPr>
        <w:t xml:space="preserve"> </w:t>
      </w:r>
      <w:r w:rsidR="005E782F" w:rsidRPr="00CF2184">
        <w:rPr>
          <w:i/>
        </w:rPr>
        <w:t>Ltd.</w:t>
      </w:r>
      <w:r w:rsidR="00733EEE">
        <w:rPr>
          <w:i/>
        </w:rPr>
        <w:t xml:space="preserve"> </w:t>
      </w:r>
      <w:r w:rsidR="005E782F" w:rsidRPr="00CF2184">
        <w:rPr>
          <w:i/>
        </w:rPr>
        <w:t>v.</w:t>
      </w:r>
      <w:r w:rsidR="00733EEE">
        <w:rPr>
          <w:i/>
        </w:rPr>
        <w:t xml:space="preserve"> </w:t>
      </w:r>
      <w:r w:rsidR="005E782F" w:rsidRPr="00CF2184">
        <w:rPr>
          <w:i/>
        </w:rPr>
        <w:t>Stiletto</w:t>
      </w:r>
      <w:r w:rsidR="00733EEE">
        <w:rPr>
          <w:i/>
        </w:rPr>
        <w:t xml:space="preserve"> </w:t>
      </w:r>
      <w:r w:rsidR="005E782F" w:rsidRPr="00CF2184">
        <w:rPr>
          <w:i/>
        </w:rPr>
        <w:t>Visual</w:t>
      </w:r>
      <w:r w:rsidR="00733EEE">
        <w:rPr>
          <w:i/>
        </w:rPr>
        <w:t xml:space="preserve"> </w:t>
      </w:r>
      <w:r w:rsidR="005E782F" w:rsidRPr="00CF2184">
        <w:rPr>
          <w:i/>
        </w:rPr>
        <w:t>Programmes</w:t>
      </w:r>
      <w:r w:rsidR="00733EEE">
        <w:rPr>
          <w:i/>
        </w:rPr>
        <w:t xml:space="preserve"> </w:t>
      </w:r>
      <w:r w:rsidR="005E782F" w:rsidRPr="00CF2184">
        <w:rPr>
          <w:i/>
        </w:rPr>
        <w:t>Ltd.</w:t>
      </w:r>
      <w:r w:rsidR="005E782F" w:rsidRPr="00CF2184">
        <w:t>,</w:t>
      </w:r>
      <w:r w:rsidR="00733EEE">
        <w:t xml:space="preserve"> </w:t>
      </w:r>
      <w:r w:rsidR="005E782F" w:rsidRPr="00CF2184">
        <w:t>[1989]</w:t>
      </w:r>
      <w:r w:rsidR="00733EEE">
        <w:t xml:space="preserve"> </w:t>
      </w:r>
      <w:r w:rsidR="006D2699" w:rsidRPr="00CF2184">
        <w:t>1</w:t>
      </w:r>
      <w:r w:rsidR="00733EEE">
        <w:t xml:space="preserve"> </w:t>
      </w:r>
      <w:r w:rsidR="005E782F" w:rsidRPr="00CF2184">
        <w:t>Q.B.</w:t>
      </w:r>
      <w:r w:rsidR="00733EEE">
        <w:t xml:space="preserve"> </w:t>
      </w:r>
      <w:r w:rsidR="005E782F" w:rsidRPr="00CF2184">
        <w:t>433;</w:t>
      </w:r>
      <w:r w:rsidR="00733EEE">
        <w:t xml:space="preserve"> </w:t>
      </w:r>
      <w:r w:rsidR="005E782F" w:rsidRPr="00CF2184">
        <w:rPr>
          <w:i/>
        </w:rPr>
        <w:t>London</w:t>
      </w:r>
      <w:r w:rsidR="00733EEE">
        <w:rPr>
          <w:i/>
        </w:rPr>
        <w:t xml:space="preserve"> </w:t>
      </w:r>
      <w:r w:rsidR="005E782F" w:rsidRPr="00CF2184">
        <w:rPr>
          <w:i/>
        </w:rPr>
        <w:t>Drugs</w:t>
      </w:r>
      <w:r w:rsidR="00733EEE">
        <w:rPr>
          <w:i/>
        </w:rPr>
        <w:t xml:space="preserve"> </w:t>
      </w:r>
      <w:r w:rsidR="005E782F" w:rsidRPr="00CF2184">
        <w:rPr>
          <w:i/>
        </w:rPr>
        <w:t>Ltd.</w:t>
      </w:r>
      <w:r w:rsidR="00733EEE">
        <w:rPr>
          <w:i/>
        </w:rPr>
        <w:t xml:space="preserve"> </w:t>
      </w:r>
      <w:r w:rsidR="005E782F" w:rsidRPr="00CF2184">
        <w:rPr>
          <w:i/>
        </w:rPr>
        <w:t>v.</w:t>
      </w:r>
      <w:r w:rsidR="00733EEE">
        <w:rPr>
          <w:i/>
        </w:rPr>
        <w:t xml:space="preserve"> </w:t>
      </w:r>
      <w:r w:rsidR="005E782F" w:rsidRPr="00CF2184">
        <w:rPr>
          <w:i/>
        </w:rPr>
        <w:t>Kuehne</w:t>
      </w:r>
      <w:r w:rsidR="00733EEE">
        <w:rPr>
          <w:i/>
        </w:rPr>
        <w:t xml:space="preserve"> </w:t>
      </w:r>
      <w:r w:rsidR="005E782F" w:rsidRPr="00CF2184">
        <w:rPr>
          <w:i/>
        </w:rPr>
        <w:t>&amp;</w:t>
      </w:r>
      <w:r w:rsidR="00733EEE">
        <w:rPr>
          <w:i/>
        </w:rPr>
        <w:t xml:space="preserve"> </w:t>
      </w:r>
      <w:r w:rsidR="005E782F" w:rsidRPr="00CF2184">
        <w:rPr>
          <w:i/>
        </w:rPr>
        <w:t>Nagel</w:t>
      </w:r>
      <w:r w:rsidR="00733EEE">
        <w:rPr>
          <w:i/>
        </w:rPr>
        <w:t xml:space="preserve"> </w:t>
      </w:r>
      <w:r w:rsidR="005E782F" w:rsidRPr="00CF2184">
        <w:rPr>
          <w:i/>
        </w:rPr>
        <w:t>International</w:t>
      </w:r>
      <w:r w:rsidR="00733EEE">
        <w:rPr>
          <w:i/>
        </w:rPr>
        <w:t xml:space="preserve"> </w:t>
      </w:r>
      <w:r w:rsidR="005E782F" w:rsidRPr="00CF2184">
        <w:rPr>
          <w:i/>
        </w:rPr>
        <w:t>Ltd.</w:t>
      </w:r>
      <w:r w:rsidR="005E782F" w:rsidRPr="00CF2184">
        <w:t>,</w:t>
      </w:r>
      <w:r w:rsidR="00733EEE">
        <w:t xml:space="preserve"> </w:t>
      </w:r>
      <w:r w:rsidR="005E782F" w:rsidRPr="00CF2184">
        <w:t>[1992]</w:t>
      </w:r>
      <w:r w:rsidR="00733EEE">
        <w:t xml:space="preserve"> </w:t>
      </w:r>
      <w:r w:rsidR="005E782F" w:rsidRPr="00CF2184">
        <w:t>3</w:t>
      </w:r>
      <w:r w:rsidR="00733EEE">
        <w:t xml:space="preserve"> </w:t>
      </w:r>
      <w:r w:rsidR="005E782F" w:rsidRPr="00CF2184">
        <w:t>S.C.R.</w:t>
      </w:r>
      <w:r w:rsidR="00733EEE">
        <w:t xml:space="preserve"> </w:t>
      </w:r>
      <w:r w:rsidR="005E782F" w:rsidRPr="00CF2184">
        <w:t>299;</w:t>
      </w:r>
      <w:r w:rsidR="00733EEE">
        <w:t xml:space="preserve"> </w:t>
      </w:r>
      <w:r w:rsidR="005E782F" w:rsidRPr="00CF2184">
        <w:rPr>
          <w:i/>
        </w:rPr>
        <w:t>Machtinger</w:t>
      </w:r>
      <w:r w:rsidR="00733EEE">
        <w:rPr>
          <w:i/>
        </w:rPr>
        <w:t xml:space="preserve"> </w:t>
      </w:r>
      <w:r w:rsidR="005E782F" w:rsidRPr="00CF2184">
        <w:rPr>
          <w:i/>
        </w:rPr>
        <w:t>v.</w:t>
      </w:r>
      <w:r w:rsidR="00733EEE">
        <w:rPr>
          <w:i/>
        </w:rPr>
        <w:t xml:space="preserve"> </w:t>
      </w:r>
      <w:r w:rsidR="005E782F" w:rsidRPr="00CF2184">
        <w:rPr>
          <w:i/>
        </w:rPr>
        <w:t>HOJ</w:t>
      </w:r>
      <w:r w:rsidR="00733EEE">
        <w:rPr>
          <w:i/>
        </w:rPr>
        <w:t xml:space="preserve"> </w:t>
      </w:r>
      <w:r w:rsidR="005E782F" w:rsidRPr="00CF2184">
        <w:rPr>
          <w:i/>
        </w:rPr>
        <w:t>Industries</w:t>
      </w:r>
      <w:r w:rsidR="00733EEE">
        <w:rPr>
          <w:i/>
        </w:rPr>
        <w:t xml:space="preserve"> </w:t>
      </w:r>
      <w:r w:rsidR="005E782F" w:rsidRPr="00CF2184">
        <w:rPr>
          <w:i/>
        </w:rPr>
        <w:t>Ltd.</w:t>
      </w:r>
      <w:r w:rsidR="005E782F" w:rsidRPr="00CF2184">
        <w:t>,</w:t>
      </w:r>
      <w:r w:rsidR="00733EEE">
        <w:t xml:space="preserve"> </w:t>
      </w:r>
      <w:r w:rsidR="005E782F" w:rsidRPr="00CF2184">
        <w:t>[1992]</w:t>
      </w:r>
      <w:r w:rsidR="00733EEE">
        <w:t xml:space="preserve"> </w:t>
      </w:r>
      <w:r w:rsidR="005E782F" w:rsidRPr="00CF2184">
        <w:t>1</w:t>
      </w:r>
      <w:r w:rsidR="00733EEE">
        <w:t xml:space="preserve"> </w:t>
      </w:r>
      <w:r w:rsidR="005E782F" w:rsidRPr="00CF2184">
        <w:t>S.C.R.</w:t>
      </w:r>
      <w:r w:rsidR="00733EEE">
        <w:t xml:space="preserve"> </w:t>
      </w:r>
      <w:r w:rsidR="005E782F" w:rsidRPr="00CF2184">
        <w:t>986;</w:t>
      </w:r>
      <w:r w:rsidR="00733EEE">
        <w:t xml:space="preserve"> </w:t>
      </w:r>
      <w:r w:rsidR="006D2699" w:rsidRPr="00CF2184">
        <w:rPr>
          <w:i/>
        </w:rPr>
        <w:t>Schuler</w:t>
      </w:r>
      <w:r w:rsidR="00733EEE">
        <w:rPr>
          <w:i/>
        </w:rPr>
        <w:t xml:space="preserve"> </w:t>
      </w:r>
      <w:r w:rsidR="006D2699" w:rsidRPr="00CF2184">
        <w:rPr>
          <w:i/>
        </w:rPr>
        <w:t>A.G.</w:t>
      </w:r>
      <w:r w:rsidR="00733EEE">
        <w:rPr>
          <w:i/>
        </w:rPr>
        <w:t xml:space="preserve"> </w:t>
      </w:r>
      <w:r w:rsidR="006D2699" w:rsidRPr="00CF2184">
        <w:rPr>
          <w:i/>
        </w:rPr>
        <w:t>v.</w:t>
      </w:r>
      <w:r w:rsidR="00733EEE">
        <w:rPr>
          <w:i/>
        </w:rPr>
        <w:t xml:space="preserve"> </w:t>
      </w:r>
      <w:r w:rsidR="005E782F" w:rsidRPr="00CF2184">
        <w:rPr>
          <w:i/>
        </w:rPr>
        <w:t>Wickman</w:t>
      </w:r>
      <w:r w:rsidR="00733EEE">
        <w:rPr>
          <w:i/>
        </w:rPr>
        <w:t xml:space="preserve"> </w:t>
      </w:r>
      <w:r w:rsidR="005E782F" w:rsidRPr="00CF2184">
        <w:rPr>
          <w:i/>
        </w:rPr>
        <w:t>Machine</w:t>
      </w:r>
      <w:r w:rsidR="00733EEE">
        <w:rPr>
          <w:i/>
        </w:rPr>
        <w:t xml:space="preserve"> </w:t>
      </w:r>
      <w:r w:rsidR="005E782F" w:rsidRPr="00CF2184">
        <w:rPr>
          <w:i/>
        </w:rPr>
        <w:t>Tool</w:t>
      </w:r>
      <w:r w:rsidR="00733EEE">
        <w:rPr>
          <w:i/>
        </w:rPr>
        <w:t xml:space="preserve"> </w:t>
      </w:r>
      <w:r w:rsidR="005E782F" w:rsidRPr="00CF2184">
        <w:rPr>
          <w:i/>
        </w:rPr>
        <w:t>Sales</w:t>
      </w:r>
      <w:r w:rsidR="00733EEE">
        <w:rPr>
          <w:i/>
        </w:rPr>
        <w:t xml:space="preserve"> </w:t>
      </w:r>
      <w:r w:rsidR="005E782F" w:rsidRPr="00CF2184">
        <w:rPr>
          <w:i/>
        </w:rPr>
        <w:t>Ltd.</w:t>
      </w:r>
      <w:r w:rsidR="005E782F" w:rsidRPr="00CF2184">
        <w:t>,</w:t>
      </w:r>
      <w:r w:rsidR="00733EEE">
        <w:t xml:space="preserve"> </w:t>
      </w:r>
      <w:r w:rsidR="005E782F" w:rsidRPr="00CF2184">
        <w:t>[1974]</w:t>
      </w:r>
      <w:r w:rsidR="00733EEE">
        <w:t xml:space="preserve"> </w:t>
      </w:r>
      <w:r w:rsidR="005E782F" w:rsidRPr="00CF2184">
        <w:t>A.C.</w:t>
      </w:r>
      <w:r w:rsidR="00733EEE">
        <w:t xml:space="preserve"> </w:t>
      </w:r>
      <w:r w:rsidR="005E782F" w:rsidRPr="00CF2184">
        <w:t>235;</w:t>
      </w:r>
      <w:r w:rsidR="00733EEE">
        <w:t xml:space="preserve"> </w:t>
      </w:r>
      <w:r w:rsidR="00895946" w:rsidRPr="00CF2184">
        <w:rPr>
          <w:i/>
        </w:rPr>
        <w:t>Civic</w:t>
      </w:r>
      <w:r w:rsidR="006D2699" w:rsidRPr="00CF2184">
        <w:rPr>
          <w:i/>
        </w:rPr>
        <w:t>L</w:t>
      </w:r>
      <w:r w:rsidR="00895946" w:rsidRPr="00CF2184">
        <w:rPr>
          <w:i/>
        </w:rPr>
        <w:t>ife.com</w:t>
      </w:r>
      <w:r w:rsidR="00733EEE">
        <w:rPr>
          <w:i/>
        </w:rPr>
        <w:t xml:space="preserve"> </w:t>
      </w:r>
      <w:r w:rsidR="00895946" w:rsidRPr="00CF2184">
        <w:rPr>
          <w:i/>
        </w:rPr>
        <w:t>Inc.</w:t>
      </w:r>
      <w:r w:rsidR="00733EEE">
        <w:rPr>
          <w:i/>
        </w:rPr>
        <w:t xml:space="preserve"> </w:t>
      </w:r>
      <w:r w:rsidR="00895946" w:rsidRPr="00CF2184">
        <w:rPr>
          <w:i/>
        </w:rPr>
        <w:t>v.</w:t>
      </w:r>
      <w:r w:rsidR="00733EEE">
        <w:rPr>
          <w:i/>
        </w:rPr>
        <w:t xml:space="preserve"> </w:t>
      </w:r>
      <w:r w:rsidR="00895946" w:rsidRPr="00CF2184">
        <w:rPr>
          <w:i/>
        </w:rPr>
        <w:t>Canada</w:t>
      </w:r>
      <w:r w:rsidR="00733EEE">
        <w:rPr>
          <w:i/>
        </w:rPr>
        <w:t xml:space="preserve"> </w:t>
      </w:r>
      <w:r w:rsidR="00895946" w:rsidRPr="00CF2184">
        <w:rPr>
          <w:i/>
        </w:rPr>
        <w:t>(Attorney</w:t>
      </w:r>
      <w:r w:rsidR="00733EEE">
        <w:rPr>
          <w:i/>
        </w:rPr>
        <w:t xml:space="preserve"> </w:t>
      </w:r>
      <w:r w:rsidR="00895946" w:rsidRPr="00CF2184">
        <w:rPr>
          <w:i/>
        </w:rPr>
        <w:t>General)</w:t>
      </w:r>
      <w:r w:rsidR="00733EEE">
        <w:t xml:space="preserve"> </w:t>
      </w:r>
      <w:r w:rsidR="003F12EA" w:rsidRPr="00CF2184">
        <w:t>(2006)</w:t>
      </w:r>
      <w:r w:rsidR="00895946" w:rsidRPr="00CF2184">
        <w:t>,</w:t>
      </w:r>
      <w:r w:rsidR="00733EEE">
        <w:t xml:space="preserve"> </w:t>
      </w:r>
      <w:r w:rsidR="00895946" w:rsidRPr="00CF2184">
        <w:t>215</w:t>
      </w:r>
      <w:r w:rsidR="00733EEE">
        <w:t xml:space="preserve"> </w:t>
      </w:r>
      <w:r w:rsidR="00895946" w:rsidRPr="00CF2184">
        <w:t>O.A.C.</w:t>
      </w:r>
      <w:r w:rsidR="00733EEE">
        <w:t xml:space="preserve"> </w:t>
      </w:r>
      <w:r w:rsidR="00895946" w:rsidRPr="00CF2184">
        <w:t>43;</w:t>
      </w:r>
      <w:r w:rsidR="00733EEE">
        <w:t xml:space="preserve"> </w:t>
      </w:r>
      <w:r w:rsidR="00895946" w:rsidRPr="00CF2184">
        <w:rPr>
          <w:i/>
        </w:rPr>
        <w:t>Dynamic</w:t>
      </w:r>
      <w:r w:rsidR="00733EEE">
        <w:rPr>
          <w:i/>
        </w:rPr>
        <w:t xml:space="preserve"> </w:t>
      </w:r>
      <w:r w:rsidR="00895946" w:rsidRPr="00CF2184">
        <w:rPr>
          <w:i/>
        </w:rPr>
        <w:t>Transport</w:t>
      </w:r>
      <w:r w:rsidR="00733EEE">
        <w:rPr>
          <w:i/>
        </w:rPr>
        <w:t xml:space="preserve"> </w:t>
      </w:r>
      <w:r w:rsidR="00895946" w:rsidRPr="00CF2184">
        <w:rPr>
          <w:i/>
        </w:rPr>
        <w:t>Ltd.</w:t>
      </w:r>
      <w:r w:rsidR="00733EEE">
        <w:rPr>
          <w:i/>
        </w:rPr>
        <w:t xml:space="preserve"> </w:t>
      </w:r>
      <w:r w:rsidR="00895946" w:rsidRPr="00CF2184">
        <w:rPr>
          <w:i/>
        </w:rPr>
        <w:t>v.</w:t>
      </w:r>
      <w:r w:rsidR="00733EEE">
        <w:rPr>
          <w:i/>
        </w:rPr>
        <w:t xml:space="preserve"> </w:t>
      </w:r>
      <w:r w:rsidR="00895946" w:rsidRPr="00CF2184">
        <w:rPr>
          <w:i/>
        </w:rPr>
        <w:t>O.K.</w:t>
      </w:r>
      <w:r w:rsidR="00733EEE">
        <w:rPr>
          <w:i/>
        </w:rPr>
        <w:t xml:space="preserve"> </w:t>
      </w:r>
      <w:r w:rsidR="00895946" w:rsidRPr="00CF2184">
        <w:rPr>
          <w:i/>
        </w:rPr>
        <w:t>Detailing</w:t>
      </w:r>
      <w:r w:rsidR="00733EEE">
        <w:rPr>
          <w:i/>
        </w:rPr>
        <w:t xml:space="preserve"> </w:t>
      </w:r>
      <w:r w:rsidR="00895946" w:rsidRPr="00CF2184">
        <w:rPr>
          <w:i/>
        </w:rPr>
        <w:t>Ltd.</w:t>
      </w:r>
      <w:r w:rsidR="00895946" w:rsidRPr="00CF2184">
        <w:t>,</w:t>
      </w:r>
      <w:r w:rsidR="00733EEE">
        <w:t xml:space="preserve"> </w:t>
      </w:r>
      <w:r w:rsidR="00895946" w:rsidRPr="00CF2184">
        <w:t>[1978]</w:t>
      </w:r>
      <w:r w:rsidR="00733EEE">
        <w:t xml:space="preserve"> </w:t>
      </w:r>
      <w:r w:rsidR="00895946" w:rsidRPr="00CF2184">
        <w:t>2</w:t>
      </w:r>
      <w:r w:rsidR="00733EEE">
        <w:t xml:space="preserve"> </w:t>
      </w:r>
      <w:r w:rsidR="00895946" w:rsidRPr="00CF2184">
        <w:t>S.C.R.</w:t>
      </w:r>
      <w:r w:rsidR="00733EEE">
        <w:t xml:space="preserve"> </w:t>
      </w:r>
      <w:r w:rsidR="00895946" w:rsidRPr="00CF2184">
        <w:t>1072;</w:t>
      </w:r>
      <w:r w:rsidR="00733EEE">
        <w:t xml:space="preserve"> </w:t>
      </w:r>
      <w:r w:rsidR="00895946" w:rsidRPr="00CF2184">
        <w:rPr>
          <w:i/>
        </w:rPr>
        <w:t>Mitsui</w:t>
      </w:r>
      <w:r w:rsidR="00733EEE">
        <w:rPr>
          <w:i/>
        </w:rPr>
        <w:t xml:space="preserve"> </w:t>
      </w:r>
      <w:r w:rsidR="00895946" w:rsidRPr="00CF2184">
        <w:rPr>
          <w:i/>
        </w:rPr>
        <w:t>&amp;</w:t>
      </w:r>
      <w:r w:rsidR="00733EEE">
        <w:rPr>
          <w:i/>
        </w:rPr>
        <w:t xml:space="preserve"> </w:t>
      </w:r>
      <w:r w:rsidR="00895946" w:rsidRPr="00CF2184">
        <w:rPr>
          <w:i/>
        </w:rPr>
        <w:t>Co.</w:t>
      </w:r>
      <w:r w:rsidR="00733EEE">
        <w:rPr>
          <w:i/>
        </w:rPr>
        <w:t xml:space="preserve"> </w:t>
      </w:r>
      <w:r w:rsidR="00895946" w:rsidRPr="00CF2184">
        <w:rPr>
          <w:i/>
        </w:rPr>
        <w:t>(Canada)</w:t>
      </w:r>
      <w:r w:rsidR="00733EEE">
        <w:rPr>
          <w:i/>
        </w:rPr>
        <w:t xml:space="preserve"> </w:t>
      </w:r>
      <w:r w:rsidR="00895946" w:rsidRPr="00CF2184">
        <w:rPr>
          <w:i/>
        </w:rPr>
        <w:t>Ltd.</w:t>
      </w:r>
      <w:r w:rsidR="00733EEE">
        <w:rPr>
          <w:i/>
        </w:rPr>
        <w:t xml:space="preserve"> </w:t>
      </w:r>
      <w:r w:rsidR="00895946" w:rsidRPr="00CF2184">
        <w:rPr>
          <w:i/>
        </w:rPr>
        <w:t>v.</w:t>
      </w:r>
      <w:r w:rsidR="00733EEE">
        <w:rPr>
          <w:i/>
        </w:rPr>
        <w:t xml:space="preserve"> </w:t>
      </w:r>
      <w:r w:rsidR="00895946" w:rsidRPr="00CF2184">
        <w:rPr>
          <w:i/>
        </w:rPr>
        <w:t>Royal</w:t>
      </w:r>
      <w:r w:rsidR="00733EEE">
        <w:rPr>
          <w:i/>
        </w:rPr>
        <w:t xml:space="preserve"> </w:t>
      </w:r>
      <w:r w:rsidR="00895946" w:rsidRPr="00CF2184">
        <w:rPr>
          <w:i/>
        </w:rPr>
        <w:t>Bank</w:t>
      </w:r>
      <w:r w:rsidR="00733EEE">
        <w:rPr>
          <w:i/>
        </w:rPr>
        <w:t xml:space="preserve"> </w:t>
      </w:r>
      <w:r w:rsidR="00895946" w:rsidRPr="00CF2184">
        <w:rPr>
          <w:i/>
        </w:rPr>
        <w:t>of</w:t>
      </w:r>
      <w:r w:rsidR="00733EEE">
        <w:rPr>
          <w:i/>
        </w:rPr>
        <w:t xml:space="preserve"> </w:t>
      </w:r>
      <w:r w:rsidR="00895946" w:rsidRPr="00CF2184">
        <w:rPr>
          <w:i/>
        </w:rPr>
        <w:t>Canada</w:t>
      </w:r>
      <w:r w:rsidR="00895946" w:rsidRPr="00CF2184">
        <w:t>,</w:t>
      </w:r>
      <w:r w:rsidR="00733EEE">
        <w:t xml:space="preserve"> </w:t>
      </w:r>
      <w:r w:rsidR="00895946" w:rsidRPr="00CF2184">
        <w:t>[1995]</w:t>
      </w:r>
      <w:r w:rsidR="00733EEE">
        <w:t xml:space="preserve"> </w:t>
      </w:r>
      <w:r w:rsidR="00895946" w:rsidRPr="00CF2184">
        <w:t>2</w:t>
      </w:r>
      <w:r w:rsidR="00733EEE">
        <w:t xml:space="preserve"> </w:t>
      </w:r>
      <w:r w:rsidR="00895946" w:rsidRPr="00CF2184">
        <w:t>S.C.R.</w:t>
      </w:r>
      <w:r w:rsidR="00733EEE">
        <w:t xml:space="preserve"> </w:t>
      </w:r>
      <w:r w:rsidR="00895946" w:rsidRPr="00CF2184">
        <w:t>187;</w:t>
      </w:r>
      <w:r w:rsidR="00733EEE">
        <w:t xml:space="preserve"> </w:t>
      </w:r>
      <w:r w:rsidR="00895946" w:rsidRPr="00CF2184">
        <w:rPr>
          <w:i/>
        </w:rPr>
        <w:t>Mason</w:t>
      </w:r>
      <w:r w:rsidR="00733EEE">
        <w:rPr>
          <w:i/>
        </w:rPr>
        <w:t xml:space="preserve"> </w:t>
      </w:r>
      <w:r w:rsidR="00895946" w:rsidRPr="00CF2184">
        <w:rPr>
          <w:i/>
        </w:rPr>
        <w:t>v.</w:t>
      </w:r>
      <w:r w:rsidR="00733EEE">
        <w:rPr>
          <w:i/>
        </w:rPr>
        <w:t xml:space="preserve"> </w:t>
      </w:r>
      <w:r w:rsidR="00895946" w:rsidRPr="00CF2184">
        <w:rPr>
          <w:i/>
        </w:rPr>
        <w:t>Freedman</w:t>
      </w:r>
      <w:r w:rsidR="00895946" w:rsidRPr="00CF2184">
        <w:t>,</w:t>
      </w:r>
      <w:r w:rsidR="00733EEE">
        <w:t xml:space="preserve"> </w:t>
      </w:r>
      <w:r w:rsidR="00895946" w:rsidRPr="00CF2184">
        <w:t>[1958]</w:t>
      </w:r>
      <w:r w:rsidR="00733EEE">
        <w:t xml:space="preserve"> </w:t>
      </w:r>
      <w:r w:rsidR="00895946" w:rsidRPr="00CF2184">
        <w:t>S.C.R.</w:t>
      </w:r>
      <w:r w:rsidR="00733EEE">
        <w:t xml:space="preserve"> </w:t>
      </w:r>
      <w:r w:rsidR="00895946" w:rsidRPr="00CF2184">
        <w:t>483;</w:t>
      </w:r>
      <w:r w:rsidR="00733EEE">
        <w:t xml:space="preserve"> </w:t>
      </w:r>
      <w:r w:rsidR="00895946" w:rsidRPr="00CF2184">
        <w:rPr>
          <w:i/>
        </w:rPr>
        <w:t>Honda</w:t>
      </w:r>
      <w:r w:rsidR="00733EEE">
        <w:rPr>
          <w:i/>
        </w:rPr>
        <w:t xml:space="preserve"> </w:t>
      </w:r>
      <w:r w:rsidR="0051490A" w:rsidRPr="00CF2184">
        <w:rPr>
          <w:i/>
        </w:rPr>
        <w:t>Canada</w:t>
      </w:r>
      <w:r w:rsidR="00733EEE">
        <w:rPr>
          <w:i/>
        </w:rPr>
        <w:t xml:space="preserve"> </w:t>
      </w:r>
      <w:r w:rsidR="0051490A" w:rsidRPr="00CF2184">
        <w:rPr>
          <w:i/>
        </w:rPr>
        <w:t>Inc.</w:t>
      </w:r>
      <w:r w:rsidR="00733EEE">
        <w:rPr>
          <w:i/>
        </w:rPr>
        <w:t xml:space="preserve"> </w:t>
      </w:r>
      <w:r w:rsidR="00895946" w:rsidRPr="00CF2184">
        <w:rPr>
          <w:i/>
        </w:rPr>
        <w:t>v.</w:t>
      </w:r>
      <w:r w:rsidR="00733EEE">
        <w:rPr>
          <w:i/>
        </w:rPr>
        <w:t xml:space="preserve"> </w:t>
      </w:r>
      <w:r w:rsidR="00895946" w:rsidRPr="00CF2184">
        <w:rPr>
          <w:i/>
        </w:rPr>
        <w:t>Keays</w:t>
      </w:r>
      <w:r w:rsidR="00895946" w:rsidRPr="00CF2184">
        <w:t>,</w:t>
      </w:r>
      <w:r w:rsidR="00733EEE">
        <w:t xml:space="preserve"> </w:t>
      </w:r>
      <w:r w:rsidR="00895946" w:rsidRPr="00CF2184">
        <w:t>2008</w:t>
      </w:r>
      <w:r w:rsidR="00733EEE">
        <w:t xml:space="preserve"> </w:t>
      </w:r>
      <w:r w:rsidR="00895946" w:rsidRPr="00CF2184">
        <w:t>SCC</w:t>
      </w:r>
      <w:r w:rsidR="00733EEE">
        <w:t xml:space="preserve"> </w:t>
      </w:r>
      <w:r w:rsidR="0051490A" w:rsidRPr="00CF2184">
        <w:t>39</w:t>
      </w:r>
      <w:r w:rsidR="00895946" w:rsidRPr="00CF2184">
        <w:t>,</w:t>
      </w:r>
      <w:r w:rsidR="00733EEE">
        <w:t xml:space="preserve"> </w:t>
      </w:r>
      <w:r w:rsidR="00895946" w:rsidRPr="00CF2184">
        <w:t>[2008]</w:t>
      </w:r>
      <w:r w:rsidR="00733EEE">
        <w:t xml:space="preserve"> </w:t>
      </w:r>
      <w:r w:rsidR="00895946" w:rsidRPr="00CF2184">
        <w:t>2</w:t>
      </w:r>
      <w:r w:rsidR="00733EEE">
        <w:t xml:space="preserve"> </w:t>
      </w:r>
      <w:r w:rsidR="00895946" w:rsidRPr="00CF2184">
        <w:t>S.C.R.</w:t>
      </w:r>
      <w:r w:rsidR="00733EEE">
        <w:t xml:space="preserve"> </w:t>
      </w:r>
      <w:r w:rsidR="00895946" w:rsidRPr="00CF2184">
        <w:t>362;</w:t>
      </w:r>
      <w:r w:rsidR="00733EEE">
        <w:t xml:space="preserve"> </w:t>
      </w:r>
      <w:r w:rsidR="002E1B77" w:rsidRPr="00CF2184">
        <w:rPr>
          <w:i/>
        </w:rPr>
        <w:t>Wallace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United</w:t>
      </w:r>
      <w:r w:rsidR="00733EEE">
        <w:rPr>
          <w:i/>
        </w:rPr>
        <w:t xml:space="preserve"> </w:t>
      </w:r>
      <w:r w:rsidR="002E1B77" w:rsidRPr="00CF2184">
        <w:rPr>
          <w:i/>
        </w:rPr>
        <w:t>Grain</w:t>
      </w:r>
      <w:r w:rsidR="00733EEE">
        <w:rPr>
          <w:i/>
        </w:rPr>
        <w:t xml:space="preserve"> </w:t>
      </w:r>
      <w:r w:rsidR="002E1B77" w:rsidRPr="00CF2184">
        <w:rPr>
          <w:i/>
        </w:rPr>
        <w:t>Growers</w:t>
      </w:r>
      <w:r w:rsidR="00733EEE">
        <w:rPr>
          <w:i/>
        </w:rPr>
        <w:t xml:space="preserve"> </w:t>
      </w:r>
      <w:r w:rsidR="002E1B77" w:rsidRPr="00CF2184">
        <w:rPr>
          <w:i/>
        </w:rPr>
        <w:t>Ltd.</w:t>
      </w:r>
      <w:r w:rsidR="002E1B77" w:rsidRPr="00CF2184">
        <w:t>,</w:t>
      </w:r>
      <w:r w:rsidR="00733EEE">
        <w:t xml:space="preserve"> </w:t>
      </w:r>
      <w:r w:rsidR="002E1B77" w:rsidRPr="00CF2184">
        <w:t>[1997]</w:t>
      </w:r>
      <w:r w:rsidR="00733EEE">
        <w:t xml:space="preserve"> </w:t>
      </w:r>
      <w:r w:rsidR="002E1B77" w:rsidRPr="00CF2184">
        <w:t>3</w:t>
      </w:r>
      <w:r w:rsidR="00733EEE">
        <w:t xml:space="preserve"> </w:t>
      </w:r>
      <w:r w:rsidR="002E1B77" w:rsidRPr="00CF2184">
        <w:t>S.C.R.</w:t>
      </w:r>
      <w:r w:rsidR="00733EEE">
        <w:t xml:space="preserve"> </w:t>
      </w:r>
      <w:r w:rsidR="002E1B77" w:rsidRPr="00CF2184">
        <w:t>701;</w:t>
      </w:r>
      <w:r w:rsidR="00733EEE">
        <w:t xml:space="preserve"> </w:t>
      </w:r>
      <w:r w:rsidR="002E1B77" w:rsidRPr="00CF2184">
        <w:rPr>
          <w:i/>
        </w:rPr>
        <w:t>Fidler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Sun</w:t>
      </w:r>
      <w:r w:rsidR="00733EEE">
        <w:rPr>
          <w:i/>
        </w:rPr>
        <w:t xml:space="preserve"> </w:t>
      </w:r>
      <w:r w:rsidR="002E1B77" w:rsidRPr="00CF2184">
        <w:rPr>
          <w:i/>
        </w:rPr>
        <w:t>Life</w:t>
      </w:r>
      <w:r w:rsidR="00733EEE">
        <w:rPr>
          <w:i/>
        </w:rPr>
        <w:t xml:space="preserve"> </w:t>
      </w:r>
      <w:r w:rsidR="002E1B77" w:rsidRPr="00CF2184">
        <w:rPr>
          <w:i/>
        </w:rPr>
        <w:t>Assurance</w:t>
      </w:r>
      <w:r w:rsidR="00733EEE">
        <w:rPr>
          <w:i/>
        </w:rPr>
        <w:t xml:space="preserve"> </w:t>
      </w:r>
      <w:r w:rsidR="002E1B77" w:rsidRPr="00CF2184">
        <w:rPr>
          <w:i/>
        </w:rPr>
        <w:t>Co.</w:t>
      </w:r>
      <w:r w:rsidR="00733EEE">
        <w:rPr>
          <w:i/>
        </w:rPr>
        <w:t xml:space="preserve"> </w:t>
      </w:r>
      <w:r w:rsidR="002E1B77" w:rsidRPr="00CF2184">
        <w:rPr>
          <w:i/>
        </w:rPr>
        <w:t>of</w:t>
      </w:r>
      <w:r w:rsidR="00733EEE">
        <w:rPr>
          <w:i/>
        </w:rPr>
        <w:t xml:space="preserve"> </w:t>
      </w:r>
      <w:r w:rsidR="002E1B77" w:rsidRPr="00CF2184">
        <w:rPr>
          <w:i/>
        </w:rPr>
        <w:t>Canada</w:t>
      </w:r>
      <w:r w:rsidR="002E1B77" w:rsidRPr="00CF2184">
        <w:t>,</w:t>
      </w:r>
      <w:r w:rsidR="00733EEE">
        <w:t xml:space="preserve"> </w:t>
      </w:r>
      <w:r w:rsidR="002E1B77" w:rsidRPr="00CF2184">
        <w:t>2006</w:t>
      </w:r>
      <w:r w:rsidR="00733EEE">
        <w:t xml:space="preserve"> </w:t>
      </w:r>
      <w:r w:rsidR="002E1B77" w:rsidRPr="00CF2184">
        <w:t>SCC</w:t>
      </w:r>
      <w:r w:rsidR="00733EEE">
        <w:t xml:space="preserve"> </w:t>
      </w:r>
      <w:r w:rsidR="0051490A" w:rsidRPr="00CF2184">
        <w:t>30</w:t>
      </w:r>
      <w:r w:rsidR="002E1B77" w:rsidRPr="00CF2184">
        <w:t>,</w:t>
      </w:r>
      <w:r w:rsidR="00733EEE">
        <w:t xml:space="preserve"> </w:t>
      </w:r>
      <w:r w:rsidR="002E1B77" w:rsidRPr="00CF2184">
        <w:t>[2006]</w:t>
      </w:r>
      <w:r w:rsidR="00733EEE">
        <w:t xml:space="preserve"> </w:t>
      </w:r>
      <w:r w:rsidR="002E1B77" w:rsidRPr="00CF2184">
        <w:t>2</w:t>
      </w:r>
      <w:r w:rsidR="00733EEE">
        <w:t xml:space="preserve"> </w:t>
      </w:r>
      <w:r w:rsidR="002E1B77" w:rsidRPr="00CF2184">
        <w:t>S.C.R.</w:t>
      </w:r>
      <w:r w:rsidR="00733EEE">
        <w:t xml:space="preserve"> </w:t>
      </w:r>
      <w:r w:rsidR="002E1B77" w:rsidRPr="00CF2184">
        <w:t>3;</w:t>
      </w:r>
      <w:r w:rsidR="00733EEE">
        <w:t xml:space="preserve"> </w:t>
      </w:r>
      <w:r w:rsidR="002E1B77" w:rsidRPr="00CF2184">
        <w:rPr>
          <w:i/>
        </w:rPr>
        <w:t>702</w:t>
      </w:r>
      <w:r w:rsidR="006D2699" w:rsidRPr="00CF2184">
        <w:rPr>
          <w:i/>
        </w:rPr>
        <w:t>5</w:t>
      </w:r>
      <w:r w:rsidR="002E1B77" w:rsidRPr="00CF2184">
        <w:rPr>
          <w:i/>
        </w:rPr>
        <w:t>35</w:t>
      </w:r>
      <w:r w:rsidR="00733EEE">
        <w:rPr>
          <w:i/>
        </w:rPr>
        <w:t xml:space="preserve"> </w:t>
      </w:r>
      <w:r w:rsidR="002E1B77" w:rsidRPr="00CF2184">
        <w:rPr>
          <w:i/>
        </w:rPr>
        <w:t>Ontario</w:t>
      </w:r>
      <w:r w:rsidR="00733EEE">
        <w:rPr>
          <w:i/>
        </w:rPr>
        <w:t xml:space="preserve"> </w:t>
      </w:r>
      <w:r w:rsidR="002E1B77" w:rsidRPr="00CF2184">
        <w:rPr>
          <w:i/>
        </w:rPr>
        <w:t>Inc.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Lloyd’s</w:t>
      </w:r>
      <w:r w:rsidR="00733EEE">
        <w:rPr>
          <w:i/>
        </w:rPr>
        <w:t xml:space="preserve"> </w:t>
      </w:r>
      <w:r w:rsidR="002E1B77" w:rsidRPr="00CF2184">
        <w:rPr>
          <w:i/>
        </w:rPr>
        <w:t>London,</w:t>
      </w:r>
      <w:r w:rsidR="00733EEE">
        <w:rPr>
          <w:i/>
        </w:rPr>
        <w:t xml:space="preserve"> </w:t>
      </w:r>
      <w:r w:rsidR="002E1B77" w:rsidRPr="00CF2184">
        <w:rPr>
          <w:i/>
        </w:rPr>
        <w:t>Non</w:t>
      </w:r>
      <w:r w:rsidR="00733EEE">
        <w:rPr>
          <w:i/>
        </w:rPr>
        <w:t>-</w:t>
      </w:r>
      <w:r w:rsidR="002E1B77" w:rsidRPr="00CF2184">
        <w:rPr>
          <w:i/>
        </w:rPr>
        <w:t>Marine</w:t>
      </w:r>
      <w:r w:rsidR="00733EEE">
        <w:rPr>
          <w:i/>
        </w:rPr>
        <w:t xml:space="preserve"> </w:t>
      </w:r>
      <w:r w:rsidR="002E1B77" w:rsidRPr="00CF2184">
        <w:rPr>
          <w:i/>
        </w:rPr>
        <w:t>Underwriters</w:t>
      </w:r>
      <w:r w:rsidR="00733EEE">
        <w:t xml:space="preserve"> </w:t>
      </w:r>
      <w:r w:rsidR="002E1B77" w:rsidRPr="00CF2184">
        <w:t>(2000),</w:t>
      </w:r>
      <w:r w:rsidR="00733EEE">
        <w:t xml:space="preserve"> </w:t>
      </w:r>
      <w:r w:rsidR="002E1B77" w:rsidRPr="00CF2184">
        <w:t>184</w:t>
      </w:r>
      <w:r w:rsidR="00733EEE">
        <w:t xml:space="preserve"> </w:t>
      </w:r>
      <w:r w:rsidR="002E1B77" w:rsidRPr="00CF2184">
        <w:t>D.L.R.</w:t>
      </w:r>
      <w:r w:rsidR="00733EEE">
        <w:t xml:space="preserve"> </w:t>
      </w:r>
      <w:r w:rsidR="002E1B77" w:rsidRPr="00CF2184">
        <w:t>(4th)</w:t>
      </w:r>
      <w:r w:rsidR="00733EEE">
        <w:t xml:space="preserve"> </w:t>
      </w:r>
      <w:r w:rsidR="002E1B77" w:rsidRPr="00CF2184">
        <w:t>687;</w:t>
      </w:r>
      <w:r w:rsidR="00733EEE">
        <w:t xml:space="preserve"> </w:t>
      </w:r>
      <w:r w:rsidR="002E1B77" w:rsidRPr="00CF2184">
        <w:rPr>
          <w:i/>
        </w:rPr>
        <w:t>Whiten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Pilot</w:t>
      </w:r>
      <w:r w:rsidR="00733EEE">
        <w:rPr>
          <w:i/>
        </w:rPr>
        <w:t xml:space="preserve"> </w:t>
      </w:r>
      <w:r w:rsidR="002E1B77" w:rsidRPr="00CF2184">
        <w:rPr>
          <w:i/>
        </w:rPr>
        <w:t>Insurance</w:t>
      </w:r>
      <w:r w:rsidR="00733EEE">
        <w:rPr>
          <w:i/>
        </w:rPr>
        <w:t xml:space="preserve"> </w:t>
      </w:r>
      <w:r w:rsidR="0051490A" w:rsidRPr="00CF2184">
        <w:rPr>
          <w:i/>
        </w:rPr>
        <w:t>Co.</w:t>
      </w:r>
      <w:r w:rsidR="002E1B77" w:rsidRPr="00CF2184">
        <w:t>,</w:t>
      </w:r>
      <w:r w:rsidR="00733EEE">
        <w:t xml:space="preserve"> </w:t>
      </w:r>
      <w:r w:rsidR="002E1B77" w:rsidRPr="00CF2184">
        <w:t>2002</w:t>
      </w:r>
      <w:r w:rsidR="00733EEE">
        <w:t xml:space="preserve"> </w:t>
      </w:r>
      <w:r w:rsidR="002E1B77" w:rsidRPr="00CF2184">
        <w:t>SCC</w:t>
      </w:r>
      <w:r w:rsidR="00733EEE">
        <w:t xml:space="preserve"> </w:t>
      </w:r>
      <w:r w:rsidR="0051490A" w:rsidRPr="00CF2184">
        <w:t>18</w:t>
      </w:r>
      <w:r w:rsidR="002E1B77" w:rsidRPr="00CF2184">
        <w:t>,</w:t>
      </w:r>
      <w:r w:rsidR="00733EEE">
        <w:t xml:space="preserve"> </w:t>
      </w:r>
      <w:r w:rsidR="002E1B77" w:rsidRPr="00CF2184">
        <w:t>[2002]</w:t>
      </w:r>
      <w:r w:rsidR="00733EEE">
        <w:t xml:space="preserve"> </w:t>
      </w:r>
      <w:r w:rsidR="002E1B77" w:rsidRPr="00CF2184">
        <w:t>1</w:t>
      </w:r>
      <w:r w:rsidR="00733EEE">
        <w:t xml:space="preserve"> </w:t>
      </w:r>
      <w:r w:rsidR="002E1B77" w:rsidRPr="00CF2184">
        <w:t>S.C.R.</w:t>
      </w:r>
      <w:r w:rsidR="00733EEE">
        <w:t xml:space="preserve"> </w:t>
      </w:r>
      <w:r w:rsidR="002E1B77" w:rsidRPr="00CF2184">
        <w:t>595;</w:t>
      </w:r>
      <w:r w:rsidR="00733EEE">
        <w:t xml:space="preserve"> </w:t>
      </w:r>
      <w:r w:rsidR="002E1B77" w:rsidRPr="00CF2184">
        <w:rPr>
          <w:i/>
        </w:rPr>
        <w:t>Andrusiw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Aetna</w:t>
      </w:r>
      <w:r w:rsidR="00733EEE">
        <w:rPr>
          <w:i/>
        </w:rPr>
        <w:t xml:space="preserve"> </w:t>
      </w:r>
      <w:r w:rsidR="002E1B77" w:rsidRPr="00CF2184">
        <w:rPr>
          <w:i/>
        </w:rPr>
        <w:t>Life</w:t>
      </w:r>
      <w:r w:rsidR="00733EEE">
        <w:rPr>
          <w:i/>
        </w:rPr>
        <w:t xml:space="preserve"> </w:t>
      </w:r>
      <w:r w:rsidR="002E1B77" w:rsidRPr="00CF2184">
        <w:rPr>
          <w:i/>
        </w:rPr>
        <w:t>Insurance</w:t>
      </w:r>
      <w:r w:rsidR="00733EEE">
        <w:rPr>
          <w:i/>
        </w:rPr>
        <w:t xml:space="preserve"> </w:t>
      </w:r>
      <w:r w:rsidR="002E1B77" w:rsidRPr="00CF2184">
        <w:rPr>
          <w:i/>
        </w:rPr>
        <w:t>Co.</w:t>
      </w:r>
      <w:r w:rsidR="00733EEE">
        <w:rPr>
          <w:i/>
        </w:rPr>
        <w:t xml:space="preserve"> </w:t>
      </w:r>
      <w:r w:rsidR="002E1B77" w:rsidRPr="00CF2184">
        <w:rPr>
          <w:i/>
        </w:rPr>
        <w:t>of</w:t>
      </w:r>
      <w:r w:rsidR="00733EEE">
        <w:rPr>
          <w:i/>
        </w:rPr>
        <w:t xml:space="preserve"> </w:t>
      </w:r>
      <w:r w:rsidR="002E1B77" w:rsidRPr="00CF2184">
        <w:rPr>
          <w:i/>
        </w:rPr>
        <w:t>Canada</w:t>
      </w:r>
      <w:r w:rsidR="00733EEE">
        <w:t xml:space="preserve"> </w:t>
      </w:r>
      <w:r w:rsidR="002E1B77" w:rsidRPr="00CF2184">
        <w:t>(2001),</w:t>
      </w:r>
      <w:r w:rsidR="00733EEE">
        <w:t xml:space="preserve"> </w:t>
      </w:r>
      <w:r w:rsidR="002E1B77" w:rsidRPr="00CF2184">
        <w:t>289</w:t>
      </w:r>
      <w:r w:rsidR="00733EEE">
        <w:t xml:space="preserve"> </w:t>
      </w:r>
      <w:r w:rsidR="002E1B77" w:rsidRPr="00CF2184">
        <w:t>A.R.</w:t>
      </w:r>
      <w:r w:rsidR="00733EEE">
        <w:t xml:space="preserve"> </w:t>
      </w:r>
      <w:r w:rsidR="002E1B77" w:rsidRPr="00CF2184">
        <w:t>1;</w:t>
      </w:r>
      <w:r w:rsidR="00733EEE">
        <w:t xml:space="preserve"> </w:t>
      </w:r>
      <w:r w:rsidR="002E1B77" w:rsidRPr="00CF2184">
        <w:rPr>
          <w:i/>
        </w:rPr>
        <w:t>Martel</w:t>
      </w:r>
      <w:r w:rsidR="00733EEE">
        <w:rPr>
          <w:i/>
        </w:rPr>
        <w:t xml:space="preserve"> </w:t>
      </w:r>
      <w:r w:rsidR="002E1B77" w:rsidRPr="00CF2184">
        <w:rPr>
          <w:i/>
        </w:rPr>
        <w:t>Building</w:t>
      </w:r>
      <w:r w:rsidR="00733EEE">
        <w:rPr>
          <w:i/>
        </w:rPr>
        <w:t xml:space="preserve"> </w:t>
      </w:r>
      <w:r w:rsidR="002E1B77" w:rsidRPr="00CF2184">
        <w:rPr>
          <w:i/>
        </w:rPr>
        <w:t>Ltd.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Canada</w:t>
      </w:r>
      <w:r w:rsidR="002E1B77" w:rsidRPr="00CF2184">
        <w:t>,</w:t>
      </w:r>
      <w:r w:rsidR="00733EEE">
        <w:t xml:space="preserve"> </w:t>
      </w:r>
      <w:r w:rsidR="002E1B77" w:rsidRPr="00CF2184">
        <w:t>2000</w:t>
      </w:r>
      <w:r w:rsidR="00733EEE">
        <w:t xml:space="preserve"> </w:t>
      </w:r>
      <w:r w:rsidR="002E1B77" w:rsidRPr="00CF2184">
        <w:t>SCC</w:t>
      </w:r>
      <w:r w:rsidR="00733EEE">
        <w:t xml:space="preserve"> </w:t>
      </w:r>
      <w:r w:rsidR="0051490A" w:rsidRPr="00CF2184">
        <w:t>60</w:t>
      </w:r>
      <w:r w:rsidR="002E1B77" w:rsidRPr="00CF2184">
        <w:t>,</w:t>
      </w:r>
      <w:r w:rsidR="00733EEE">
        <w:t xml:space="preserve"> </w:t>
      </w:r>
      <w:r w:rsidR="002E1B77" w:rsidRPr="00CF2184">
        <w:t>[2000]</w:t>
      </w:r>
      <w:r w:rsidR="00733EEE">
        <w:t xml:space="preserve"> </w:t>
      </w:r>
      <w:r w:rsidR="002E1B77" w:rsidRPr="00CF2184">
        <w:t>2</w:t>
      </w:r>
      <w:r w:rsidR="00733EEE">
        <w:t xml:space="preserve"> </w:t>
      </w:r>
      <w:r w:rsidR="002E1B77" w:rsidRPr="00CF2184">
        <w:t>S.C.R.</w:t>
      </w:r>
      <w:r w:rsidR="00733EEE">
        <w:t xml:space="preserve"> </w:t>
      </w:r>
      <w:r w:rsidR="002E1B77" w:rsidRPr="00CF2184">
        <w:t>860;</w:t>
      </w:r>
      <w:r w:rsidR="00733EEE">
        <w:t xml:space="preserve"> </w:t>
      </w:r>
      <w:r w:rsidR="002E1B77" w:rsidRPr="00CF2184">
        <w:rPr>
          <w:i/>
        </w:rPr>
        <w:lastRenderedPageBreak/>
        <w:t>M.J.B.</w:t>
      </w:r>
      <w:r w:rsidR="00733EEE">
        <w:rPr>
          <w:i/>
        </w:rPr>
        <w:t xml:space="preserve"> </w:t>
      </w:r>
      <w:r w:rsidR="002E1B77" w:rsidRPr="00CF2184">
        <w:rPr>
          <w:i/>
        </w:rPr>
        <w:t>Enterprises</w:t>
      </w:r>
      <w:r w:rsidR="00733EEE">
        <w:rPr>
          <w:i/>
        </w:rPr>
        <w:t xml:space="preserve"> </w:t>
      </w:r>
      <w:r w:rsidR="0051490A" w:rsidRPr="00CF2184">
        <w:rPr>
          <w:i/>
        </w:rPr>
        <w:t>Ltd.</w:t>
      </w:r>
      <w:r w:rsidR="00733EEE">
        <w:rPr>
          <w:i/>
        </w:rPr>
        <w:t xml:space="preserve"> </w:t>
      </w:r>
      <w:r w:rsidR="0051490A" w:rsidRPr="00CF2184">
        <w:rPr>
          <w:i/>
        </w:rPr>
        <w:t>v.</w:t>
      </w:r>
      <w:r w:rsidR="00733EEE">
        <w:rPr>
          <w:i/>
        </w:rPr>
        <w:t xml:space="preserve"> </w:t>
      </w:r>
      <w:r w:rsidR="0051490A" w:rsidRPr="00CF2184">
        <w:rPr>
          <w:i/>
        </w:rPr>
        <w:t>Defence</w:t>
      </w:r>
      <w:r w:rsidR="00733EEE">
        <w:rPr>
          <w:i/>
        </w:rPr>
        <w:t xml:space="preserve"> </w:t>
      </w:r>
      <w:r w:rsidR="0051490A" w:rsidRPr="00CF2184">
        <w:rPr>
          <w:i/>
        </w:rPr>
        <w:t>Construction</w:t>
      </w:r>
      <w:r w:rsidR="00733EEE">
        <w:rPr>
          <w:i/>
        </w:rPr>
        <w:t xml:space="preserve"> </w:t>
      </w:r>
      <w:r w:rsidR="0051490A" w:rsidRPr="00CF2184">
        <w:rPr>
          <w:i/>
        </w:rPr>
        <w:t>(1951)</w:t>
      </w:r>
      <w:r w:rsidR="00733EEE">
        <w:rPr>
          <w:i/>
        </w:rPr>
        <w:t xml:space="preserve"> </w:t>
      </w:r>
      <w:r w:rsidR="0051490A" w:rsidRPr="00CF2184">
        <w:rPr>
          <w:i/>
        </w:rPr>
        <w:t>Ltd.</w:t>
      </w:r>
      <w:r w:rsidR="002E1B77" w:rsidRPr="00CF2184">
        <w:t>,</w:t>
      </w:r>
      <w:r w:rsidR="00733EEE">
        <w:t xml:space="preserve"> </w:t>
      </w:r>
      <w:r w:rsidR="002E1B77" w:rsidRPr="00CF2184">
        <w:t>[1999]</w:t>
      </w:r>
      <w:r w:rsidR="00733EEE">
        <w:t xml:space="preserve"> </w:t>
      </w:r>
      <w:r w:rsidR="002E1B77" w:rsidRPr="00CF2184">
        <w:t>1</w:t>
      </w:r>
      <w:r w:rsidR="00733EEE">
        <w:t xml:space="preserve"> </w:t>
      </w:r>
      <w:r w:rsidR="002E1B77" w:rsidRPr="00CF2184">
        <w:t>S.C.R.</w:t>
      </w:r>
      <w:r w:rsidR="00733EEE">
        <w:t xml:space="preserve"> </w:t>
      </w:r>
      <w:r w:rsidR="002E1B77" w:rsidRPr="00CF2184">
        <w:t>619;</w:t>
      </w:r>
      <w:r w:rsidR="00733EEE">
        <w:t xml:space="preserve"> </w:t>
      </w:r>
      <w:r w:rsidR="002E1B77" w:rsidRPr="00CF2184">
        <w:rPr>
          <w:i/>
        </w:rPr>
        <w:t>Tercon</w:t>
      </w:r>
      <w:r w:rsidR="00733EEE">
        <w:rPr>
          <w:i/>
        </w:rPr>
        <w:t xml:space="preserve"> </w:t>
      </w:r>
      <w:r w:rsidR="002E1B77" w:rsidRPr="00CF2184">
        <w:rPr>
          <w:i/>
        </w:rPr>
        <w:t>Contractors</w:t>
      </w:r>
      <w:r w:rsidR="00733EEE">
        <w:rPr>
          <w:i/>
        </w:rPr>
        <w:t xml:space="preserve"> </w:t>
      </w:r>
      <w:r w:rsidR="002E1B77" w:rsidRPr="00CF2184">
        <w:rPr>
          <w:i/>
        </w:rPr>
        <w:t>Ltd.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British</w:t>
      </w:r>
      <w:r w:rsidR="00733EEE">
        <w:rPr>
          <w:i/>
        </w:rPr>
        <w:t xml:space="preserve"> </w:t>
      </w:r>
      <w:r w:rsidR="002E1B77" w:rsidRPr="00CF2184">
        <w:rPr>
          <w:i/>
        </w:rPr>
        <w:t>Columbia</w:t>
      </w:r>
      <w:r w:rsidR="00733EEE">
        <w:rPr>
          <w:i/>
        </w:rPr>
        <w:t xml:space="preserve"> </w:t>
      </w:r>
      <w:r w:rsidR="002E1B77" w:rsidRPr="00CF2184">
        <w:rPr>
          <w:i/>
        </w:rPr>
        <w:t>(Transportation</w:t>
      </w:r>
      <w:r w:rsidR="00733EEE">
        <w:rPr>
          <w:i/>
        </w:rPr>
        <w:t xml:space="preserve"> </w:t>
      </w:r>
      <w:r w:rsidR="002E1B77" w:rsidRPr="00CF2184">
        <w:rPr>
          <w:i/>
        </w:rPr>
        <w:t>and</w:t>
      </w:r>
      <w:r w:rsidR="00733EEE">
        <w:rPr>
          <w:i/>
        </w:rPr>
        <w:t xml:space="preserve"> </w:t>
      </w:r>
      <w:r w:rsidR="002E1B77" w:rsidRPr="00CF2184">
        <w:rPr>
          <w:i/>
        </w:rPr>
        <w:t>Highways)</w:t>
      </w:r>
      <w:r w:rsidR="002E1B77" w:rsidRPr="00CF2184">
        <w:t>,</w:t>
      </w:r>
      <w:r w:rsidR="00733EEE">
        <w:t xml:space="preserve"> </w:t>
      </w:r>
      <w:r w:rsidR="002E1B77" w:rsidRPr="00CF2184">
        <w:t>2010</w:t>
      </w:r>
      <w:r w:rsidR="00733EEE">
        <w:t xml:space="preserve"> </w:t>
      </w:r>
      <w:r w:rsidR="002E1B77" w:rsidRPr="00CF2184">
        <w:t>SCC</w:t>
      </w:r>
      <w:r w:rsidR="00733EEE">
        <w:t xml:space="preserve"> </w:t>
      </w:r>
      <w:r w:rsidR="0051490A" w:rsidRPr="00CF2184">
        <w:t>4</w:t>
      </w:r>
      <w:r w:rsidR="002E1B77" w:rsidRPr="00CF2184">
        <w:t>,</w:t>
      </w:r>
      <w:r w:rsidR="00733EEE">
        <w:t xml:space="preserve"> </w:t>
      </w:r>
      <w:r w:rsidR="002E1B77" w:rsidRPr="00CF2184">
        <w:t>[2010]</w:t>
      </w:r>
      <w:r w:rsidR="00733EEE">
        <w:t xml:space="preserve"> </w:t>
      </w:r>
      <w:r w:rsidR="002E1B77" w:rsidRPr="00CF2184">
        <w:t>1</w:t>
      </w:r>
      <w:r w:rsidR="00733EEE">
        <w:t xml:space="preserve"> </w:t>
      </w:r>
      <w:r w:rsidR="002E1B77" w:rsidRPr="00CF2184">
        <w:t>S.C.R.</w:t>
      </w:r>
      <w:r w:rsidR="00733EEE">
        <w:t xml:space="preserve"> </w:t>
      </w:r>
      <w:r w:rsidR="002E1B77" w:rsidRPr="00CF2184">
        <w:t>69;</w:t>
      </w:r>
      <w:r w:rsidR="00733EEE">
        <w:t xml:space="preserve"> </w:t>
      </w:r>
      <w:r w:rsidR="002E1B77" w:rsidRPr="00CF2184">
        <w:rPr>
          <w:i/>
        </w:rPr>
        <w:t>Yam</w:t>
      </w:r>
      <w:r w:rsidR="00733EEE">
        <w:rPr>
          <w:i/>
        </w:rPr>
        <w:t xml:space="preserve"> </w:t>
      </w:r>
      <w:r w:rsidR="002E1B77" w:rsidRPr="00CF2184">
        <w:rPr>
          <w:i/>
        </w:rPr>
        <w:t>Seng</w:t>
      </w:r>
      <w:r w:rsidR="00733EEE">
        <w:rPr>
          <w:i/>
        </w:rPr>
        <w:t xml:space="preserve"> </w:t>
      </w:r>
      <w:r w:rsidR="002E1B77" w:rsidRPr="00CF2184">
        <w:rPr>
          <w:i/>
        </w:rPr>
        <w:t>Pte</w:t>
      </w:r>
      <w:r w:rsidR="00733EEE">
        <w:rPr>
          <w:i/>
        </w:rPr>
        <w:t xml:space="preserve"> </w:t>
      </w:r>
      <w:r w:rsidR="002E1B77" w:rsidRPr="00CF2184">
        <w:rPr>
          <w:i/>
        </w:rPr>
        <w:t>Ltd.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International</w:t>
      </w:r>
      <w:r w:rsidR="00733EEE">
        <w:rPr>
          <w:i/>
        </w:rPr>
        <w:t xml:space="preserve"> </w:t>
      </w:r>
      <w:r w:rsidR="002E1B77" w:rsidRPr="00CF2184">
        <w:rPr>
          <w:i/>
        </w:rPr>
        <w:t>Trade</w:t>
      </w:r>
      <w:r w:rsidR="00733EEE">
        <w:rPr>
          <w:i/>
        </w:rPr>
        <w:t xml:space="preserve"> </w:t>
      </w:r>
      <w:r w:rsidR="002E1B77" w:rsidRPr="00CF2184">
        <w:rPr>
          <w:i/>
        </w:rPr>
        <w:t>Corporation</w:t>
      </w:r>
      <w:r w:rsidR="00733EEE">
        <w:rPr>
          <w:i/>
        </w:rPr>
        <w:t xml:space="preserve"> </w:t>
      </w:r>
      <w:r w:rsidR="002E1B77" w:rsidRPr="00CF2184">
        <w:rPr>
          <w:i/>
        </w:rPr>
        <w:t>Ltd.</w:t>
      </w:r>
      <w:r w:rsidR="002E1B77" w:rsidRPr="00CF2184">
        <w:t>,</w:t>
      </w:r>
      <w:r w:rsidR="00733EEE">
        <w:t xml:space="preserve"> </w:t>
      </w:r>
      <w:r w:rsidR="002E1B77" w:rsidRPr="00CF2184">
        <w:t>[2013]</w:t>
      </w:r>
      <w:r w:rsidR="00733EEE">
        <w:t xml:space="preserve"> </w:t>
      </w:r>
      <w:r w:rsidR="002E1B77" w:rsidRPr="00CF2184">
        <w:t>EWHC</w:t>
      </w:r>
      <w:r w:rsidR="00733EEE">
        <w:t xml:space="preserve"> </w:t>
      </w:r>
      <w:r w:rsidR="002E1B77" w:rsidRPr="00CF2184">
        <w:t>111</w:t>
      </w:r>
      <w:r w:rsidR="006D2699" w:rsidRPr="00CF2184">
        <w:t>,</w:t>
      </w:r>
      <w:r w:rsidR="00733EEE">
        <w:t xml:space="preserve"> </w:t>
      </w:r>
      <w:r w:rsidR="006D2699" w:rsidRPr="00CF2184">
        <w:t>[2013]</w:t>
      </w:r>
      <w:r w:rsidR="00733EEE">
        <w:t xml:space="preserve"> </w:t>
      </w:r>
      <w:r w:rsidR="006D2699" w:rsidRPr="00CF2184">
        <w:t>1</w:t>
      </w:r>
      <w:r w:rsidR="00733EEE">
        <w:t xml:space="preserve"> </w:t>
      </w:r>
      <w:r w:rsidR="006D2699" w:rsidRPr="00CF2184">
        <w:t>All</w:t>
      </w:r>
      <w:r w:rsidR="00733EEE">
        <w:t xml:space="preserve"> </w:t>
      </w:r>
      <w:r w:rsidR="006D2699" w:rsidRPr="00CF2184">
        <w:t>E.R.</w:t>
      </w:r>
      <w:r w:rsidR="00733EEE">
        <w:t xml:space="preserve"> </w:t>
      </w:r>
      <w:r w:rsidR="006D2699" w:rsidRPr="00CF2184">
        <w:t>(Comm.)</w:t>
      </w:r>
      <w:r w:rsidR="00733EEE">
        <w:t xml:space="preserve"> </w:t>
      </w:r>
      <w:r w:rsidR="006D2699" w:rsidRPr="00CF2184">
        <w:t>1321</w:t>
      </w:r>
      <w:r w:rsidR="002E1B77" w:rsidRPr="00CF2184">
        <w:t>;</w:t>
      </w:r>
      <w:r w:rsidR="00733EEE">
        <w:t xml:space="preserve"> </w:t>
      </w:r>
      <w:r w:rsidR="002E1B77" w:rsidRPr="00CF2184">
        <w:rPr>
          <w:i/>
        </w:rPr>
        <w:t>Mid</w:t>
      </w:r>
      <w:r w:rsidR="00733EEE">
        <w:rPr>
          <w:i/>
        </w:rPr>
        <w:t xml:space="preserve"> </w:t>
      </w:r>
      <w:r w:rsidR="002E1B77" w:rsidRPr="00CF2184">
        <w:rPr>
          <w:i/>
        </w:rPr>
        <w:t>Essex</w:t>
      </w:r>
      <w:r w:rsidR="00733EEE">
        <w:rPr>
          <w:i/>
        </w:rPr>
        <w:t xml:space="preserve"> </w:t>
      </w:r>
      <w:r w:rsidR="002E1B77" w:rsidRPr="00CF2184">
        <w:rPr>
          <w:i/>
        </w:rPr>
        <w:t>Hospital</w:t>
      </w:r>
      <w:r w:rsidR="00733EEE">
        <w:rPr>
          <w:i/>
        </w:rPr>
        <w:t xml:space="preserve"> </w:t>
      </w:r>
      <w:r w:rsidR="002E1B77" w:rsidRPr="00CF2184">
        <w:rPr>
          <w:i/>
        </w:rPr>
        <w:t>Services</w:t>
      </w:r>
      <w:r w:rsidR="00733EEE">
        <w:rPr>
          <w:i/>
        </w:rPr>
        <w:t xml:space="preserve"> </w:t>
      </w:r>
      <w:r w:rsidR="002E1B77" w:rsidRPr="00CF2184">
        <w:rPr>
          <w:i/>
        </w:rPr>
        <w:t>NHS</w:t>
      </w:r>
      <w:r w:rsidR="00733EEE">
        <w:rPr>
          <w:i/>
        </w:rPr>
        <w:t xml:space="preserve"> </w:t>
      </w:r>
      <w:r w:rsidR="002E1B77" w:rsidRPr="00CF2184">
        <w:rPr>
          <w:i/>
        </w:rPr>
        <w:t>Trust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Compass</w:t>
      </w:r>
      <w:r w:rsidR="00733EEE">
        <w:rPr>
          <w:i/>
        </w:rPr>
        <w:t xml:space="preserve"> </w:t>
      </w:r>
      <w:r w:rsidR="002E1B77" w:rsidRPr="00CF2184">
        <w:rPr>
          <w:i/>
        </w:rPr>
        <w:t>Group</w:t>
      </w:r>
      <w:r w:rsidR="00733EEE">
        <w:rPr>
          <w:i/>
        </w:rPr>
        <w:t xml:space="preserve"> </w:t>
      </w:r>
      <w:r w:rsidR="002E1B77" w:rsidRPr="00CF2184">
        <w:rPr>
          <w:i/>
        </w:rPr>
        <w:t>UK</w:t>
      </w:r>
      <w:r w:rsidR="00733EEE">
        <w:rPr>
          <w:i/>
        </w:rPr>
        <w:t xml:space="preserve"> </w:t>
      </w:r>
      <w:r w:rsidR="002E1B77" w:rsidRPr="00CF2184">
        <w:rPr>
          <w:i/>
        </w:rPr>
        <w:t>and</w:t>
      </w:r>
      <w:r w:rsidR="00733EEE">
        <w:rPr>
          <w:i/>
        </w:rPr>
        <w:t xml:space="preserve"> </w:t>
      </w:r>
      <w:r w:rsidR="002E1B77" w:rsidRPr="00CF2184">
        <w:rPr>
          <w:i/>
        </w:rPr>
        <w:t>Ireland</w:t>
      </w:r>
      <w:r w:rsidR="00733EEE">
        <w:rPr>
          <w:i/>
        </w:rPr>
        <w:t xml:space="preserve"> </w:t>
      </w:r>
      <w:r w:rsidR="006D2699" w:rsidRPr="00CF2184">
        <w:rPr>
          <w:i/>
        </w:rPr>
        <w:t>Ltd.</w:t>
      </w:r>
      <w:r w:rsidR="002E1B77" w:rsidRPr="00CF2184">
        <w:t>,</w:t>
      </w:r>
      <w:r w:rsidR="00733EEE">
        <w:t xml:space="preserve"> </w:t>
      </w:r>
      <w:r w:rsidR="002E1B77" w:rsidRPr="00CF2184">
        <w:t>[2013]</w:t>
      </w:r>
      <w:r w:rsidR="00733EEE">
        <w:t xml:space="preserve"> </w:t>
      </w:r>
      <w:r w:rsidR="002E1B77" w:rsidRPr="00CF2184">
        <w:t>EWCA</w:t>
      </w:r>
      <w:r w:rsidR="00733EEE">
        <w:t xml:space="preserve"> </w:t>
      </w:r>
      <w:r w:rsidR="002E1B77" w:rsidRPr="00CF2184">
        <w:t>Civ</w:t>
      </w:r>
      <w:r w:rsidR="00733EEE">
        <w:t xml:space="preserve"> </w:t>
      </w:r>
      <w:r w:rsidR="002E1B77" w:rsidRPr="00CF2184">
        <w:t>200</w:t>
      </w:r>
      <w:r w:rsidR="00733EEE">
        <w:t xml:space="preserve"> </w:t>
      </w:r>
      <w:r w:rsidR="006D2699" w:rsidRPr="00CF2184">
        <w:t>(BAILII)</w:t>
      </w:r>
      <w:r w:rsidR="002E1B77" w:rsidRPr="00CF2184">
        <w:t>;</w:t>
      </w:r>
      <w:r w:rsidR="00733EEE">
        <w:t xml:space="preserve"> </w:t>
      </w:r>
      <w:r w:rsidR="002E1B77" w:rsidRPr="00CF2184">
        <w:rPr>
          <w:i/>
        </w:rPr>
        <w:t>Renard</w:t>
      </w:r>
      <w:r w:rsidR="00733EEE">
        <w:rPr>
          <w:i/>
        </w:rPr>
        <w:t xml:space="preserve"> </w:t>
      </w:r>
      <w:r w:rsidR="002E1B77" w:rsidRPr="00CF2184">
        <w:rPr>
          <w:i/>
        </w:rPr>
        <w:t>Constructions</w:t>
      </w:r>
      <w:r w:rsidR="00733EEE">
        <w:rPr>
          <w:i/>
        </w:rPr>
        <w:t xml:space="preserve"> </w:t>
      </w:r>
      <w:r w:rsidR="002E1B77" w:rsidRPr="00CF2184">
        <w:rPr>
          <w:i/>
        </w:rPr>
        <w:t>(ME)</w:t>
      </w:r>
      <w:r w:rsidR="00733EEE">
        <w:rPr>
          <w:i/>
        </w:rPr>
        <w:t xml:space="preserve"> </w:t>
      </w:r>
      <w:r w:rsidR="002E1B77" w:rsidRPr="00CF2184">
        <w:rPr>
          <w:i/>
        </w:rPr>
        <w:t>Pty</w:t>
      </w:r>
      <w:r w:rsidR="00733EEE">
        <w:rPr>
          <w:i/>
        </w:rPr>
        <w:t xml:space="preserve"> </w:t>
      </w:r>
      <w:r w:rsidR="007705D8" w:rsidRPr="00CF2184">
        <w:rPr>
          <w:i/>
        </w:rPr>
        <w:t>Ltd.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Minister</w:t>
      </w:r>
      <w:r w:rsidR="00733EEE">
        <w:rPr>
          <w:i/>
        </w:rPr>
        <w:t xml:space="preserve"> </w:t>
      </w:r>
      <w:r w:rsidR="002E1B77" w:rsidRPr="00CF2184">
        <w:rPr>
          <w:i/>
        </w:rPr>
        <w:t>for</w:t>
      </w:r>
      <w:r w:rsidR="00733EEE">
        <w:rPr>
          <w:i/>
        </w:rPr>
        <w:t xml:space="preserve"> </w:t>
      </w:r>
      <w:r w:rsidR="002E1B77" w:rsidRPr="00CF2184">
        <w:rPr>
          <w:i/>
        </w:rPr>
        <w:t>Public</w:t>
      </w:r>
      <w:r w:rsidR="00733EEE">
        <w:rPr>
          <w:i/>
        </w:rPr>
        <w:t xml:space="preserve"> </w:t>
      </w:r>
      <w:r w:rsidR="002E1B77" w:rsidRPr="00CF2184">
        <w:rPr>
          <w:i/>
        </w:rPr>
        <w:t>Works</w:t>
      </w:r>
      <w:r w:rsidR="00733EEE">
        <w:t xml:space="preserve"> </w:t>
      </w:r>
      <w:r w:rsidR="002E1B77" w:rsidRPr="00CF2184">
        <w:t>(1992),</w:t>
      </w:r>
      <w:r w:rsidR="00733EEE">
        <w:t xml:space="preserve"> </w:t>
      </w:r>
      <w:r w:rsidR="006D2699" w:rsidRPr="00CF2184">
        <w:t>26</w:t>
      </w:r>
      <w:r w:rsidR="00733EEE">
        <w:t xml:space="preserve"> </w:t>
      </w:r>
      <w:r w:rsidR="002E1B77" w:rsidRPr="00CF2184">
        <w:t>N</w:t>
      </w:r>
      <w:r w:rsidR="004B593A" w:rsidRPr="00CF2184">
        <w:t>.</w:t>
      </w:r>
      <w:r w:rsidR="002E1B77" w:rsidRPr="00CF2184">
        <w:t>S</w:t>
      </w:r>
      <w:r w:rsidR="004B593A" w:rsidRPr="00CF2184">
        <w:t>.</w:t>
      </w:r>
      <w:r w:rsidR="002E1B77" w:rsidRPr="00CF2184">
        <w:t>W</w:t>
      </w:r>
      <w:r w:rsidR="004B593A" w:rsidRPr="00CF2184">
        <w:t>.</w:t>
      </w:r>
      <w:r w:rsidR="002E1B77" w:rsidRPr="00CF2184">
        <w:t>L</w:t>
      </w:r>
      <w:r w:rsidR="004B593A" w:rsidRPr="00CF2184">
        <w:t>.</w:t>
      </w:r>
      <w:r w:rsidR="002E1B77" w:rsidRPr="00CF2184">
        <w:t>R</w:t>
      </w:r>
      <w:r w:rsidR="004B593A" w:rsidRPr="00CF2184">
        <w:t>.</w:t>
      </w:r>
      <w:r w:rsidR="00733EEE">
        <w:t xml:space="preserve"> </w:t>
      </w:r>
      <w:r w:rsidR="006D2699" w:rsidRPr="00CF2184">
        <w:t>234</w:t>
      </w:r>
      <w:r w:rsidR="002E1B77" w:rsidRPr="00CF2184">
        <w:t>;</w:t>
      </w:r>
      <w:r w:rsidR="00733EEE">
        <w:t xml:space="preserve"> </w:t>
      </w:r>
      <w:r w:rsidR="002E1B77" w:rsidRPr="00CF2184">
        <w:rPr>
          <w:i/>
        </w:rPr>
        <w:t>Burger</w:t>
      </w:r>
      <w:r w:rsidR="00733EEE">
        <w:rPr>
          <w:i/>
        </w:rPr>
        <w:t xml:space="preserve"> </w:t>
      </w:r>
      <w:r w:rsidR="002E1B77" w:rsidRPr="00CF2184">
        <w:rPr>
          <w:i/>
        </w:rPr>
        <w:t>King</w:t>
      </w:r>
      <w:r w:rsidR="00733EEE">
        <w:rPr>
          <w:i/>
        </w:rPr>
        <w:t xml:space="preserve"> </w:t>
      </w:r>
      <w:r w:rsidR="002E1B77" w:rsidRPr="00CF2184">
        <w:rPr>
          <w:i/>
        </w:rPr>
        <w:t>Cor</w:t>
      </w:r>
      <w:r w:rsidR="00DB021D">
        <w:rPr>
          <w:i/>
        </w:rPr>
        <w:t>poration</w:t>
      </w:r>
      <w:r w:rsidR="00733EEE">
        <w:rPr>
          <w:i/>
        </w:rPr>
        <w:t xml:space="preserve"> </w:t>
      </w:r>
      <w:r w:rsidR="002E1B77" w:rsidRPr="00CF2184">
        <w:rPr>
          <w:i/>
        </w:rPr>
        <w:t>v.</w:t>
      </w:r>
      <w:r w:rsidR="00733EEE">
        <w:rPr>
          <w:i/>
        </w:rPr>
        <w:t xml:space="preserve"> </w:t>
      </w:r>
      <w:r w:rsidR="002E1B77" w:rsidRPr="00CF2184">
        <w:rPr>
          <w:i/>
        </w:rPr>
        <w:t>Hungry</w:t>
      </w:r>
      <w:r w:rsidR="00733EEE">
        <w:rPr>
          <w:i/>
        </w:rPr>
        <w:t xml:space="preserve"> </w:t>
      </w:r>
      <w:r w:rsidR="002E1B77" w:rsidRPr="00CF2184">
        <w:rPr>
          <w:i/>
        </w:rPr>
        <w:t>Jack’s</w:t>
      </w:r>
      <w:r w:rsidR="00733EEE">
        <w:rPr>
          <w:i/>
        </w:rPr>
        <w:t xml:space="preserve"> </w:t>
      </w:r>
      <w:r w:rsidR="002E1B77" w:rsidRPr="00CF2184">
        <w:rPr>
          <w:i/>
        </w:rPr>
        <w:t>Pty</w:t>
      </w:r>
      <w:r w:rsidR="00733EEE">
        <w:rPr>
          <w:i/>
        </w:rPr>
        <w:t xml:space="preserve"> </w:t>
      </w:r>
      <w:r w:rsidR="002E1B77" w:rsidRPr="00CF2184">
        <w:rPr>
          <w:i/>
        </w:rPr>
        <w:t>Ltd.</w:t>
      </w:r>
      <w:r w:rsidR="002E1B77" w:rsidRPr="00CF2184">
        <w:t>,</w:t>
      </w:r>
      <w:r w:rsidR="00733EEE">
        <w:t xml:space="preserve"> </w:t>
      </w:r>
      <w:r w:rsidR="002E1B77" w:rsidRPr="00CF2184">
        <w:t>[2001]</w:t>
      </w:r>
      <w:r w:rsidR="00733EEE">
        <w:t xml:space="preserve"> </w:t>
      </w:r>
      <w:r w:rsidR="002E1B77" w:rsidRPr="00CF2184">
        <w:t>NSWCA</w:t>
      </w:r>
      <w:r w:rsidR="00733EEE">
        <w:t xml:space="preserve"> </w:t>
      </w:r>
      <w:r w:rsidR="002E1B77" w:rsidRPr="00CF2184">
        <w:t>187</w:t>
      </w:r>
      <w:r w:rsidR="00DB021D">
        <w:t>, 69 N.S.W.L.R. 558</w:t>
      </w:r>
      <w:r w:rsidR="002E1B77" w:rsidRPr="00CF2184">
        <w:t>;</w:t>
      </w:r>
      <w:r w:rsidR="00733EEE">
        <w:t xml:space="preserve"> </w:t>
      </w:r>
      <w:r w:rsidR="002608C7" w:rsidRPr="00CF2184">
        <w:rPr>
          <w:i/>
        </w:rPr>
        <w:t>R.</w:t>
      </w:r>
      <w:r w:rsidR="00733EEE">
        <w:rPr>
          <w:i/>
        </w:rPr>
        <w:t xml:space="preserve"> </w:t>
      </w:r>
      <w:r w:rsidR="002608C7" w:rsidRPr="00CF2184">
        <w:rPr>
          <w:i/>
        </w:rPr>
        <w:t>v.</w:t>
      </w:r>
      <w:r w:rsidR="00733EEE">
        <w:rPr>
          <w:i/>
        </w:rPr>
        <w:t xml:space="preserve"> </w:t>
      </w:r>
      <w:r w:rsidR="002608C7" w:rsidRPr="00CF2184">
        <w:rPr>
          <w:i/>
        </w:rPr>
        <w:t>Jones</w:t>
      </w:r>
      <w:r w:rsidR="002608C7" w:rsidRPr="00CF2184">
        <w:t>,</w:t>
      </w:r>
      <w:r w:rsidR="00733EEE">
        <w:t xml:space="preserve"> </w:t>
      </w:r>
      <w:r w:rsidR="002608C7" w:rsidRPr="00CF2184">
        <w:t>[1994]</w:t>
      </w:r>
      <w:r w:rsidR="00733EEE">
        <w:t xml:space="preserve"> </w:t>
      </w:r>
      <w:r w:rsidR="002608C7" w:rsidRPr="00CF2184">
        <w:t>2</w:t>
      </w:r>
      <w:r w:rsidR="00733EEE">
        <w:t xml:space="preserve"> </w:t>
      </w:r>
      <w:r w:rsidR="002608C7" w:rsidRPr="00CF2184">
        <w:t>S.C.R.</w:t>
      </w:r>
      <w:r w:rsidR="00733EEE">
        <w:t xml:space="preserve"> </w:t>
      </w:r>
      <w:r w:rsidR="002608C7" w:rsidRPr="00CF2184">
        <w:t>229;</w:t>
      </w:r>
      <w:r w:rsidR="00733EEE">
        <w:t xml:space="preserve"> </w:t>
      </w:r>
      <w:r w:rsidR="002608C7" w:rsidRPr="00CF2184">
        <w:rPr>
          <w:i/>
        </w:rPr>
        <w:t>R.</w:t>
      </w:r>
      <w:r w:rsidR="00733EEE">
        <w:rPr>
          <w:i/>
        </w:rPr>
        <w:t xml:space="preserve"> </w:t>
      </w:r>
      <w:r w:rsidR="002608C7" w:rsidRPr="00CF2184">
        <w:rPr>
          <w:i/>
        </w:rPr>
        <w:t>v.</w:t>
      </w:r>
      <w:r w:rsidR="00733EEE">
        <w:rPr>
          <w:i/>
        </w:rPr>
        <w:t xml:space="preserve"> </w:t>
      </w:r>
      <w:r w:rsidR="002608C7" w:rsidRPr="00CF2184">
        <w:rPr>
          <w:i/>
        </w:rPr>
        <w:t>Hart</w:t>
      </w:r>
      <w:r w:rsidR="002608C7" w:rsidRPr="00CF2184">
        <w:t>,</w:t>
      </w:r>
      <w:r w:rsidR="00733EEE">
        <w:t xml:space="preserve"> </w:t>
      </w:r>
      <w:r w:rsidR="002608C7" w:rsidRPr="00CF2184">
        <w:t>2014</w:t>
      </w:r>
      <w:r w:rsidR="00733EEE">
        <w:t xml:space="preserve"> </w:t>
      </w:r>
      <w:r w:rsidR="002608C7" w:rsidRPr="00CF2184">
        <w:t>SCC</w:t>
      </w:r>
      <w:r w:rsidR="00733EEE">
        <w:t xml:space="preserve"> </w:t>
      </w:r>
      <w:r w:rsidR="002608C7" w:rsidRPr="00CF2184">
        <w:t>52</w:t>
      </w:r>
      <w:r w:rsidR="000976BA" w:rsidRPr="00CF2184">
        <w:t>,</w:t>
      </w:r>
      <w:r w:rsidR="00733EEE">
        <w:t xml:space="preserve"> </w:t>
      </w:r>
      <w:r w:rsidR="000976BA" w:rsidRPr="00CF2184">
        <w:t>[2014]</w:t>
      </w:r>
      <w:r w:rsidR="00733EEE">
        <w:t xml:space="preserve"> </w:t>
      </w:r>
      <w:r w:rsidR="000976BA" w:rsidRPr="00CF2184">
        <w:t>2</w:t>
      </w:r>
      <w:r w:rsidR="00733EEE">
        <w:t xml:space="preserve"> </w:t>
      </w:r>
      <w:r w:rsidR="000976BA" w:rsidRPr="00CF2184">
        <w:t>S.C.R.</w:t>
      </w:r>
      <w:r w:rsidR="00733EEE">
        <w:t xml:space="preserve"> </w:t>
      </w:r>
      <w:r w:rsidR="000976BA" w:rsidRPr="00CF2184">
        <w:t>544</w:t>
      </w:r>
      <w:r w:rsidR="002608C7" w:rsidRPr="00CF2184">
        <w:t>;</w:t>
      </w:r>
      <w:r w:rsidR="00733EEE">
        <w:t xml:space="preserve"> </w:t>
      </w:r>
      <w:r w:rsidR="00941D5B" w:rsidRPr="00CF2184">
        <w:rPr>
          <w:i/>
        </w:rPr>
        <w:t>Peel</w:t>
      </w:r>
      <w:r w:rsidR="00733EEE">
        <w:rPr>
          <w:i/>
        </w:rPr>
        <w:t xml:space="preserve"> </w:t>
      </w:r>
      <w:r w:rsidR="00941D5B" w:rsidRPr="00CF2184">
        <w:rPr>
          <w:i/>
        </w:rPr>
        <w:t>(Regional</w:t>
      </w:r>
      <w:r w:rsidR="00733EEE">
        <w:rPr>
          <w:i/>
        </w:rPr>
        <w:t xml:space="preserve"> </w:t>
      </w:r>
      <w:r w:rsidR="00941D5B" w:rsidRPr="00CF2184">
        <w:rPr>
          <w:i/>
        </w:rPr>
        <w:t>Municipality)</w:t>
      </w:r>
      <w:r w:rsidR="00733EEE">
        <w:rPr>
          <w:i/>
        </w:rPr>
        <w:t xml:space="preserve"> </w:t>
      </w:r>
      <w:r w:rsidR="00941D5B" w:rsidRPr="00CF2184">
        <w:rPr>
          <w:i/>
        </w:rPr>
        <w:t>v.</w:t>
      </w:r>
      <w:r w:rsidR="00733EEE">
        <w:rPr>
          <w:i/>
        </w:rPr>
        <w:t xml:space="preserve"> </w:t>
      </w:r>
      <w:r w:rsidR="00941D5B" w:rsidRPr="00CF2184">
        <w:rPr>
          <w:i/>
        </w:rPr>
        <w:t>Canada</w:t>
      </w:r>
      <w:r w:rsidR="00941D5B" w:rsidRPr="00CF2184">
        <w:t>,</w:t>
      </w:r>
      <w:r w:rsidR="00733EEE">
        <w:t xml:space="preserve"> </w:t>
      </w:r>
      <w:r w:rsidR="00941D5B" w:rsidRPr="00CF2184">
        <w:t>[1992]</w:t>
      </w:r>
      <w:r w:rsidR="00733EEE">
        <w:t xml:space="preserve"> </w:t>
      </w:r>
      <w:r w:rsidR="00941D5B" w:rsidRPr="00CF2184">
        <w:t>3</w:t>
      </w:r>
      <w:r w:rsidR="00733EEE">
        <w:t xml:space="preserve"> </w:t>
      </w:r>
      <w:r w:rsidR="00941D5B" w:rsidRPr="00CF2184">
        <w:t>S.C.R.</w:t>
      </w:r>
      <w:r w:rsidR="00733EEE">
        <w:t xml:space="preserve"> </w:t>
      </w:r>
      <w:r w:rsidR="00941D5B" w:rsidRPr="00CF2184">
        <w:t>762;</w:t>
      </w:r>
      <w:r w:rsidR="00733EEE">
        <w:t xml:space="preserve"> </w:t>
      </w:r>
      <w:r w:rsidR="00941D5B" w:rsidRPr="00CF2184">
        <w:rPr>
          <w:i/>
        </w:rPr>
        <w:t>A.I.</w:t>
      </w:r>
      <w:r w:rsidR="00733EEE">
        <w:rPr>
          <w:i/>
        </w:rPr>
        <w:t xml:space="preserve"> </w:t>
      </w:r>
      <w:r w:rsidR="00941D5B" w:rsidRPr="00CF2184">
        <w:rPr>
          <w:i/>
        </w:rPr>
        <w:t>Enterprises</w:t>
      </w:r>
      <w:r w:rsidR="00733EEE">
        <w:rPr>
          <w:i/>
        </w:rPr>
        <w:t xml:space="preserve"> </w:t>
      </w:r>
      <w:r w:rsidR="00F279DE" w:rsidRPr="00CF2184">
        <w:rPr>
          <w:i/>
        </w:rPr>
        <w:t>Ltd.</w:t>
      </w:r>
      <w:r w:rsidR="00733EEE">
        <w:rPr>
          <w:i/>
        </w:rPr>
        <w:t xml:space="preserve"> </w:t>
      </w:r>
      <w:r w:rsidR="00941D5B" w:rsidRPr="00CF2184">
        <w:rPr>
          <w:i/>
        </w:rPr>
        <w:t>v.</w:t>
      </w:r>
      <w:r w:rsidR="00733EEE">
        <w:rPr>
          <w:i/>
        </w:rPr>
        <w:t xml:space="preserve"> </w:t>
      </w:r>
      <w:r w:rsidR="00941D5B" w:rsidRPr="00CF2184">
        <w:rPr>
          <w:i/>
        </w:rPr>
        <w:t>Bram</w:t>
      </w:r>
      <w:r w:rsidR="00733EEE">
        <w:rPr>
          <w:i/>
        </w:rPr>
        <w:t xml:space="preserve"> </w:t>
      </w:r>
      <w:r w:rsidR="00941D5B" w:rsidRPr="00CF2184">
        <w:rPr>
          <w:i/>
        </w:rPr>
        <w:t>Enterprises</w:t>
      </w:r>
      <w:r w:rsidR="00733EEE">
        <w:rPr>
          <w:i/>
        </w:rPr>
        <w:t xml:space="preserve"> </w:t>
      </w:r>
      <w:r w:rsidR="00F279DE" w:rsidRPr="00CF2184">
        <w:rPr>
          <w:i/>
        </w:rPr>
        <w:t>Ltd.</w:t>
      </w:r>
      <w:r w:rsidR="00941D5B" w:rsidRPr="00CF2184">
        <w:t>,</w:t>
      </w:r>
      <w:r w:rsidR="00733EEE">
        <w:t xml:space="preserve"> </w:t>
      </w:r>
      <w:r w:rsidR="00941D5B" w:rsidRPr="00CF2184">
        <w:t>2014</w:t>
      </w:r>
      <w:r w:rsidR="00733EEE">
        <w:t xml:space="preserve"> </w:t>
      </w:r>
      <w:r w:rsidR="00941D5B" w:rsidRPr="00CF2184">
        <w:t>SCC</w:t>
      </w:r>
      <w:r w:rsidR="00733EEE">
        <w:t xml:space="preserve"> </w:t>
      </w:r>
      <w:r w:rsidR="00941D5B" w:rsidRPr="00CF2184">
        <w:t>12,</w:t>
      </w:r>
      <w:r w:rsidR="00733EEE">
        <w:t xml:space="preserve"> </w:t>
      </w:r>
      <w:r w:rsidR="00941D5B" w:rsidRPr="00CF2184">
        <w:t>[2014]</w:t>
      </w:r>
      <w:r w:rsidR="00733EEE">
        <w:t xml:space="preserve"> </w:t>
      </w:r>
      <w:r w:rsidR="00941D5B" w:rsidRPr="00CF2184">
        <w:t>1</w:t>
      </w:r>
      <w:r w:rsidR="00733EEE">
        <w:t xml:space="preserve"> </w:t>
      </w:r>
      <w:r w:rsidR="00941D5B" w:rsidRPr="00CF2184">
        <w:t>S.C.R.</w:t>
      </w:r>
      <w:r w:rsidR="00733EEE">
        <w:t xml:space="preserve"> </w:t>
      </w:r>
      <w:r w:rsidR="00F279DE" w:rsidRPr="00CF2184">
        <w:t>177</w:t>
      </w:r>
      <w:r w:rsidR="00941D5B" w:rsidRPr="00CF2184">
        <w:t>;</w:t>
      </w:r>
      <w:r w:rsidR="00733EEE">
        <w:t xml:space="preserve"> </w:t>
      </w:r>
      <w:r w:rsidR="00941D5B" w:rsidRPr="00CF2184">
        <w:rPr>
          <w:i/>
        </w:rPr>
        <w:t>Bank</w:t>
      </w:r>
      <w:r w:rsidR="00733EEE">
        <w:rPr>
          <w:i/>
        </w:rPr>
        <w:t xml:space="preserve"> </w:t>
      </w:r>
      <w:r w:rsidR="00941D5B" w:rsidRPr="00CF2184">
        <w:rPr>
          <w:i/>
        </w:rPr>
        <w:t>of</w:t>
      </w:r>
      <w:r w:rsidR="00733EEE">
        <w:rPr>
          <w:i/>
        </w:rPr>
        <w:t xml:space="preserve"> </w:t>
      </w:r>
      <w:r w:rsidR="00941D5B" w:rsidRPr="00CF2184">
        <w:rPr>
          <w:i/>
        </w:rPr>
        <w:t>America</w:t>
      </w:r>
      <w:r w:rsidR="00733EEE">
        <w:rPr>
          <w:i/>
        </w:rPr>
        <w:t xml:space="preserve"> </w:t>
      </w:r>
      <w:r w:rsidR="00941D5B" w:rsidRPr="00CF2184">
        <w:rPr>
          <w:i/>
        </w:rPr>
        <w:t>Canada</w:t>
      </w:r>
      <w:r w:rsidR="00733EEE">
        <w:rPr>
          <w:i/>
        </w:rPr>
        <w:t xml:space="preserve"> </w:t>
      </w:r>
      <w:r w:rsidR="00941D5B" w:rsidRPr="00CF2184">
        <w:rPr>
          <w:i/>
        </w:rPr>
        <w:t>v.</w:t>
      </w:r>
      <w:r w:rsidR="00733EEE">
        <w:rPr>
          <w:i/>
        </w:rPr>
        <w:t xml:space="preserve"> </w:t>
      </w:r>
      <w:r w:rsidR="00941D5B" w:rsidRPr="00CF2184">
        <w:rPr>
          <w:i/>
        </w:rPr>
        <w:t>Mutual</w:t>
      </w:r>
      <w:r w:rsidR="00733EEE">
        <w:rPr>
          <w:i/>
        </w:rPr>
        <w:t xml:space="preserve"> </w:t>
      </w:r>
      <w:r w:rsidR="00941D5B" w:rsidRPr="00CF2184">
        <w:rPr>
          <w:i/>
        </w:rPr>
        <w:t>Trust</w:t>
      </w:r>
      <w:r w:rsidR="00733EEE">
        <w:rPr>
          <w:i/>
        </w:rPr>
        <w:t xml:space="preserve"> </w:t>
      </w:r>
      <w:r w:rsidR="00941D5B" w:rsidRPr="00CF2184">
        <w:rPr>
          <w:i/>
        </w:rPr>
        <w:t>Co.</w:t>
      </w:r>
      <w:r w:rsidR="00941D5B" w:rsidRPr="00CF2184">
        <w:t>,</w:t>
      </w:r>
      <w:r w:rsidR="00733EEE">
        <w:t xml:space="preserve"> </w:t>
      </w:r>
      <w:r w:rsidR="00941D5B" w:rsidRPr="00CF2184">
        <w:t>2002</w:t>
      </w:r>
      <w:r w:rsidR="00733EEE">
        <w:t xml:space="preserve"> </w:t>
      </w:r>
      <w:r w:rsidR="00941D5B" w:rsidRPr="00CF2184">
        <w:t>SCC</w:t>
      </w:r>
      <w:r w:rsidR="00733EEE">
        <w:t xml:space="preserve"> </w:t>
      </w:r>
      <w:r w:rsidR="00941D5B" w:rsidRPr="00CF2184">
        <w:t>43,</w:t>
      </w:r>
      <w:r w:rsidR="00733EEE">
        <w:t xml:space="preserve"> </w:t>
      </w:r>
      <w:r w:rsidR="00941D5B" w:rsidRPr="00CF2184">
        <w:t>[2002]</w:t>
      </w:r>
      <w:r w:rsidR="00733EEE">
        <w:t xml:space="preserve"> </w:t>
      </w:r>
      <w:r w:rsidR="00941D5B" w:rsidRPr="00CF2184">
        <w:t>2</w:t>
      </w:r>
      <w:r w:rsidR="00733EEE">
        <w:t xml:space="preserve"> </w:t>
      </w:r>
      <w:r w:rsidR="00941D5B" w:rsidRPr="00CF2184">
        <w:t>S.C.R.</w:t>
      </w:r>
      <w:r w:rsidR="00733EEE">
        <w:t xml:space="preserve"> </w:t>
      </w:r>
      <w:r w:rsidR="00941D5B" w:rsidRPr="00CF2184">
        <w:t>601;</w:t>
      </w:r>
      <w:r w:rsidR="00733EEE">
        <w:t xml:space="preserve"> </w:t>
      </w:r>
      <w:r w:rsidR="00FD2EF2" w:rsidRPr="00CF2184">
        <w:rPr>
          <w:i/>
        </w:rPr>
        <w:t>Greenberg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Meffert</w:t>
      </w:r>
      <w:r w:rsidR="00733EEE">
        <w:t xml:space="preserve"> </w:t>
      </w:r>
      <w:r w:rsidR="003F12EA" w:rsidRPr="00CF2184">
        <w:t>(1985),</w:t>
      </w:r>
      <w:r w:rsidR="00733EEE">
        <w:t xml:space="preserve"> </w:t>
      </w:r>
      <w:r w:rsidR="003F12EA" w:rsidRPr="00CF2184">
        <w:t>50</w:t>
      </w:r>
      <w:r w:rsidR="00733EEE">
        <w:t xml:space="preserve"> </w:t>
      </w:r>
      <w:r w:rsidR="003F12EA" w:rsidRPr="00CF2184">
        <w:t>O.R.</w:t>
      </w:r>
      <w:r w:rsidR="00733EEE">
        <w:t xml:space="preserve"> </w:t>
      </w:r>
      <w:r w:rsidR="003F12EA" w:rsidRPr="00CF2184">
        <w:t>(2d)</w:t>
      </w:r>
      <w:r w:rsidR="00733EEE">
        <w:t xml:space="preserve"> </w:t>
      </w:r>
      <w:r w:rsidR="003F12EA" w:rsidRPr="00CF2184">
        <w:t>755</w:t>
      </w:r>
      <w:r w:rsidR="00FD2EF2" w:rsidRPr="00CF2184">
        <w:t>;</w:t>
      </w:r>
      <w:r w:rsidR="00733EEE">
        <w:t xml:space="preserve"> </w:t>
      </w:r>
      <w:r w:rsidR="00FD2EF2" w:rsidRPr="00CF2184">
        <w:rPr>
          <w:i/>
        </w:rPr>
        <w:t>Shelanu</w:t>
      </w:r>
      <w:r w:rsidR="00733EEE">
        <w:rPr>
          <w:i/>
        </w:rPr>
        <w:t xml:space="preserve"> </w:t>
      </w:r>
      <w:r w:rsidR="00FD2EF2" w:rsidRPr="00CF2184">
        <w:rPr>
          <w:i/>
        </w:rPr>
        <w:t>Inc.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Print</w:t>
      </w:r>
      <w:r w:rsidR="00733EEE">
        <w:rPr>
          <w:i/>
        </w:rPr>
        <w:t xml:space="preserve"> </w:t>
      </w:r>
      <w:r w:rsidR="00FD2EF2" w:rsidRPr="00CF2184">
        <w:rPr>
          <w:i/>
        </w:rPr>
        <w:t>Three</w:t>
      </w:r>
      <w:r w:rsidR="00733EEE">
        <w:rPr>
          <w:i/>
        </w:rPr>
        <w:t xml:space="preserve"> </w:t>
      </w:r>
      <w:r w:rsidR="00FD2EF2" w:rsidRPr="00CF2184">
        <w:rPr>
          <w:i/>
        </w:rPr>
        <w:t>Franchising</w:t>
      </w:r>
      <w:r w:rsidR="00733EEE">
        <w:rPr>
          <w:i/>
        </w:rPr>
        <w:t xml:space="preserve"> </w:t>
      </w:r>
      <w:r w:rsidR="00FD2EF2" w:rsidRPr="00CF2184">
        <w:rPr>
          <w:i/>
        </w:rPr>
        <w:t>Cor</w:t>
      </w:r>
      <w:r w:rsidR="00BF5523" w:rsidRPr="00CF2184">
        <w:rPr>
          <w:i/>
        </w:rPr>
        <w:t>p.</w:t>
      </w:r>
      <w:r w:rsidR="00733EEE">
        <w:rPr>
          <w:i/>
        </w:rPr>
        <w:t xml:space="preserve"> </w:t>
      </w:r>
      <w:r w:rsidR="003F12EA" w:rsidRPr="00CF2184">
        <w:t>(2003),</w:t>
      </w:r>
      <w:r w:rsidR="00733EEE">
        <w:t xml:space="preserve"> </w:t>
      </w:r>
      <w:r w:rsidR="003F12EA" w:rsidRPr="00CF2184">
        <w:t>64</w:t>
      </w:r>
      <w:r w:rsidR="00733EEE">
        <w:t xml:space="preserve"> </w:t>
      </w:r>
      <w:r w:rsidR="003F12EA" w:rsidRPr="00CF2184">
        <w:t>O.R.</w:t>
      </w:r>
      <w:r w:rsidR="00733EEE">
        <w:t xml:space="preserve"> </w:t>
      </w:r>
      <w:r w:rsidR="003F12EA" w:rsidRPr="00CF2184">
        <w:t>(3d)</w:t>
      </w:r>
      <w:r w:rsidR="00733EEE">
        <w:t xml:space="preserve"> </w:t>
      </w:r>
      <w:r w:rsidR="003F12EA" w:rsidRPr="00CF2184">
        <w:t>533</w:t>
      </w:r>
      <w:r w:rsidR="00FD2EF2" w:rsidRPr="00CF2184">
        <w:t>;</w:t>
      </w:r>
      <w:r w:rsidR="00733EEE">
        <w:t xml:space="preserve"> </w:t>
      </w:r>
      <w:r w:rsidR="00FD2EF2" w:rsidRPr="00CF2184">
        <w:rPr>
          <w:i/>
        </w:rPr>
        <w:t>GEC</w:t>
      </w:r>
      <w:r w:rsidR="00733EEE">
        <w:rPr>
          <w:i/>
        </w:rPr>
        <w:t xml:space="preserve"> </w:t>
      </w:r>
      <w:r w:rsidR="00FD2EF2" w:rsidRPr="00CF2184">
        <w:rPr>
          <w:i/>
        </w:rPr>
        <w:t>Marconi</w:t>
      </w:r>
      <w:r w:rsidR="00733EEE">
        <w:rPr>
          <w:i/>
        </w:rPr>
        <w:t xml:space="preserve"> </w:t>
      </w:r>
      <w:r w:rsidR="007D2060" w:rsidRPr="00CF2184">
        <w:rPr>
          <w:i/>
        </w:rPr>
        <w:t>Systems</w:t>
      </w:r>
      <w:r w:rsidR="00733EEE">
        <w:rPr>
          <w:i/>
        </w:rPr>
        <w:t xml:space="preserve"> </w:t>
      </w:r>
      <w:r w:rsidR="007D2060" w:rsidRPr="00CF2184">
        <w:rPr>
          <w:i/>
        </w:rPr>
        <w:t>Pty</w:t>
      </w:r>
      <w:r w:rsidR="00733EEE">
        <w:rPr>
          <w:i/>
        </w:rPr>
        <w:t xml:space="preserve"> </w:t>
      </w:r>
      <w:r w:rsidR="007D2060" w:rsidRPr="00CF2184">
        <w:rPr>
          <w:i/>
        </w:rPr>
        <w:t>Ltd.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BHP</w:t>
      </w:r>
      <w:r w:rsidR="00733EEE">
        <w:rPr>
          <w:i/>
        </w:rPr>
        <w:t xml:space="preserve"> </w:t>
      </w:r>
      <w:r w:rsidR="007D2060" w:rsidRPr="00CF2184">
        <w:rPr>
          <w:i/>
        </w:rPr>
        <w:t>Information</w:t>
      </w:r>
      <w:r w:rsidR="00733EEE">
        <w:rPr>
          <w:i/>
        </w:rPr>
        <w:t xml:space="preserve"> </w:t>
      </w:r>
      <w:r w:rsidR="007D2060" w:rsidRPr="00CF2184">
        <w:rPr>
          <w:i/>
        </w:rPr>
        <w:t>Technology</w:t>
      </w:r>
      <w:r w:rsidR="00733EEE">
        <w:rPr>
          <w:i/>
        </w:rPr>
        <w:t xml:space="preserve"> </w:t>
      </w:r>
      <w:r w:rsidR="007D2060" w:rsidRPr="00CF2184">
        <w:rPr>
          <w:i/>
        </w:rPr>
        <w:t>Pty</w:t>
      </w:r>
      <w:r w:rsidR="00733EEE">
        <w:rPr>
          <w:i/>
        </w:rPr>
        <w:t xml:space="preserve"> </w:t>
      </w:r>
      <w:r w:rsidR="007D2060" w:rsidRPr="00CF2184">
        <w:rPr>
          <w:i/>
        </w:rPr>
        <w:t>Ltd.</w:t>
      </w:r>
      <w:r w:rsidR="00C0690E" w:rsidRPr="00CF2184">
        <w:t>,</w:t>
      </w:r>
      <w:r w:rsidR="00733EEE">
        <w:t xml:space="preserve"> </w:t>
      </w:r>
      <w:r w:rsidR="00C0690E" w:rsidRPr="00CF2184">
        <w:t>[2003]</w:t>
      </w:r>
      <w:r w:rsidR="00733EEE">
        <w:t xml:space="preserve"> </w:t>
      </w:r>
      <w:r w:rsidR="00C0690E" w:rsidRPr="00CF2184">
        <w:t>FC</w:t>
      </w:r>
      <w:r w:rsidR="007D2060" w:rsidRPr="00CF2184">
        <w:t>A</w:t>
      </w:r>
      <w:r w:rsidR="00733EEE">
        <w:t xml:space="preserve"> </w:t>
      </w:r>
      <w:r w:rsidR="00C0690E" w:rsidRPr="00CF2184">
        <w:t>50</w:t>
      </w:r>
      <w:r w:rsidR="00733EEE">
        <w:t xml:space="preserve"> </w:t>
      </w:r>
      <w:r w:rsidR="007D2060" w:rsidRPr="00CF2184">
        <w:t>(AustLII)</w:t>
      </w:r>
      <w:r w:rsidR="00FD2EF2" w:rsidRPr="00CF2184">
        <w:t>;</w:t>
      </w:r>
      <w:r w:rsidR="00733EEE">
        <w:t xml:space="preserve"> </w:t>
      </w:r>
      <w:r w:rsidR="00FD2EF2" w:rsidRPr="00CF2184">
        <w:rPr>
          <w:i/>
        </w:rPr>
        <w:t>Bank</w:t>
      </w:r>
      <w:r w:rsidR="00733EEE">
        <w:rPr>
          <w:i/>
        </w:rPr>
        <w:t xml:space="preserve"> </w:t>
      </w:r>
      <w:r w:rsidR="00FD2EF2" w:rsidRPr="00CF2184">
        <w:rPr>
          <w:i/>
        </w:rPr>
        <w:t>of</w:t>
      </w:r>
      <w:r w:rsidR="00733EEE">
        <w:rPr>
          <w:i/>
        </w:rPr>
        <w:t xml:space="preserve"> </w:t>
      </w:r>
      <w:r w:rsidR="00FD2EF2" w:rsidRPr="00CF2184">
        <w:rPr>
          <w:i/>
        </w:rPr>
        <w:t>Montreal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Kuet</w:t>
      </w:r>
      <w:r w:rsidR="00733EEE">
        <w:rPr>
          <w:i/>
        </w:rPr>
        <w:t xml:space="preserve"> </w:t>
      </w:r>
      <w:r w:rsidR="00FD2EF2" w:rsidRPr="00CF2184">
        <w:rPr>
          <w:i/>
        </w:rPr>
        <w:t>Leong</w:t>
      </w:r>
      <w:r w:rsidR="00733EEE">
        <w:rPr>
          <w:i/>
        </w:rPr>
        <w:t xml:space="preserve"> </w:t>
      </w:r>
      <w:r w:rsidR="00FD2EF2" w:rsidRPr="00CF2184">
        <w:rPr>
          <w:i/>
        </w:rPr>
        <w:t>Ng</w:t>
      </w:r>
      <w:r w:rsidR="00FD2EF2" w:rsidRPr="00CF2184">
        <w:t>,</w:t>
      </w:r>
      <w:r w:rsidR="00733EEE">
        <w:t xml:space="preserve"> </w:t>
      </w:r>
      <w:r w:rsidR="00FD2EF2" w:rsidRPr="00CF2184">
        <w:t>[1989]</w:t>
      </w:r>
      <w:r w:rsidR="00733EEE">
        <w:t xml:space="preserve"> </w:t>
      </w:r>
      <w:r w:rsidR="00C0690E" w:rsidRPr="00CF2184">
        <w:t>2</w:t>
      </w:r>
      <w:r w:rsidR="00733EEE">
        <w:t xml:space="preserve"> </w:t>
      </w:r>
      <w:r w:rsidR="00FD2EF2" w:rsidRPr="00CF2184">
        <w:t>S.C.R.</w:t>
      </w:r>
      <w:r w:rsidR="00733EEE">
        <w:t xml:space="preserve"> </w:t>
      </w:r>
      <w:r w:rsidR="00FD2EF2" w:rsidRPr="00CF2184">
        <w:t>429;</w:t>
      </w:r>
      <w:r w:rsidR="00733EEE">
        <w:t xml:space="preserve"> </w:t>
      </w:r>
      <w:r w:rsidR="00FD2EF2" w:rsidRPr="00CF2184">
        <w:rPr>
          <w:i/>
        </w:rPr>
        <w:t>Kirke</w:t>
      </w:r>
      <w:r w:rsidR="00733EEE">
        <w:rPr>
          <w:i/>
        </w:rPr>
        <w:t xml:space="preserve"> </w:t>
      </w:r>
      <w:r w:rsidR="00FD2EF2" w:rsidRPr="00CF2184">
        <w:rPr>
          <w:i/>
        </w:rPr>
        <w:t>La</w:t>
      </w:r>
      <w:r w:rsidR="00733EEE">
        <w:rPr>
          <w:i/>
        </w:rPr>
        <w:t xml:space="preserve"> </w:t>
      </w:r>
      <w:r w:rsidR="00FD2EF2" w:rsidRPr="00CF2184">
        <w:rPr>
          <w:i/>
        </w:rPr>
        <w:t>Shelle</w:t>
      </w:r>
      <w:r w:rsidR="00733EEE">
        <w:rPr>
          <w:i/>
        </w:rPr>
        <w:t xml:space="preserve"> </w:t>
      </w:r>
      <w:r w:rsidR="00FD2EF2" w:rsidRPr="00CF2184">
        <w:rPr>
          <w:i/>
        </w:rPr>
        <w:t>Co.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Armstrong</w:t>
      </w:r>
      <w:r w:rsidR="00733EEE">
        <w:rPr>
          <w:i/>
        </w:rPr>
        <w:t xml:space="preserve"> </w:t>
      </w:r>
      <w:r w:rsidR="00FD2EF2" w:rsidRPr="00CF2184">
        <w:rPr>
          <w:i/>
        </w:rPr>
        <w:t>Co.</w:t>
      </w:r>
      <w:r w:rsidR="00FD2EF2" w:rsidRPr="00CF2184">
        <w:t>,</w:t>
      </w:r>
      <w:r w:rsidR="00733EEE">
        <w:t xml:space="preserve"> </w:t>
      </w:r>
      <w:r w:rsidR="00FD2EF2" w:rsidRPr="00CF2184">
        <w:t>263</w:t>
      </w:r>
      <w:r w:rsidR="00733EEE">
        <w:t xml:space="preserve"> </w:t>
      </w:r>
      <w:r w:rsidR="00FD2EF2" w:rsidRPr="00CF2184">
        <w:t>N.Y.</w:t>
      </w:r>
      <w:r w:rsidR="00733EEE">
        <w:t xml:space="preserve"> </w:t>
      </w:r>
      <w:r w:rsidR="00FD2EF2" w:rsidRPr="00CF2184">
        <w:t>79</w:t>
      </w:r>
      <w:r w:rsidR="00733EEE">
        <w:t xml:space="preserve"> </w:t>
      </w:r>
      <w:r w:rsidR="00FD2EF2" w:rsidRPr="00CF2184">
        <w:t>(1933);</w:t>
      </w:r>
      <w:r w:rsidR="00733EEE">
        <w:t xml:space="preserve"> </w:t>
      </w:r>
      <w:r w:rsidR="00FD2EF2" w:rsidRPr="00CF2184">
        <w:rPr>
          <w:i/>
        </w:rPr>
        <w:t>National</w:t>
      </w:r>
      <w:r w:rsidR="00733EEE">
        <w:rPr>
          <w:i/>
        </w:rPr>
        <w:t xml:space="preserve"> </w:t>
      </w:r>
      <w:r w:rsidR="00FD2EF2" w:rsidRPr="00CF2184">
        <w:rPr>
          <w:i/>
        </w:rPr>
        <w:t>Bank</w:t>
      </w:r>
      <w:r w:rsidR="00733EEE">
        <w:rPr>
          <w:i/>
        </w:rPr>
        <w:t xml:space="preserve"> </w:t>
      </w:r>
      <w:r w:rsidR="00E018CD" w:rsidRPr="00CF2184">
        <w:rPr>
          <w:i/>
        </w:rPr>
        <w:t>of</w:t>
      </w:r>
      <w:r w:rsidR="00733EEE">
        <w:rPr>
          <w:i/>
        </w:rPr>
        <w:t xml:space="preserve"> </w:t>
      </w:r>
      <w:r w:rsidR="00E018CD" w:rsidRPr="00CF2184">
        <w:rPr>
          <w:i/>
        </w:rPr>
        <w:t>Canada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Soucisse</w:t>
      </w:r>
      <w:r w:rsidR="00FD2EF2" w:rsidRPr="00CF2184">
        <w:t>,</w:t>
      </w:r>
      <w:r w:rsidR="00733EEE">
        <w:t xml:space="preserve"> </w:t>
      </w:r>
      <w:r w:rsidR="00FD2EF2" w:rsidRPr="00CF2184">
        <w:t>[1981]</w:t>
      </w:r>
      <w:r w:rsidR="00733EEE">
        <w:t xml:space="preserve"> </w:t>
      </w:r>
      <w:r w:rsidR="00FD2EF2" w:rsidRPr="00CF2184">
        <w:t>2</w:t>
      </w:r>
      <w:r w:rsidR="00733EEE">
        <w:t xml:space="preserve"> </w:t>
      </w:r>
      <w:r w:rsidR="00FD2EF2" w:rsidRPr="00CF2184">
        <w:t>S.C.R.</w:t>
      </w:r>
      <w:r w:rsidR="00733EEE">
        <w:t xml:space="preserve"> </w:t>
      </w:r>
      <w:r w:rsidR="00FD2EF2" w:rsidRPr="00CF2184">
        <w:t>339;</w:t>
      </w:r>
      <w:r w:rsidR="00733EEE">
        <w:t xml:space="preserve"> </w:t>
      </w:r>
      <w:r w:rsidR="00FD2EF2" w:rsidRPr="00CF2184">
        <w:rPr>
          <w:i/>
        </w:rPr>
        <w:t>Houle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Canadian</w:t>
      </w:r>
      <w:r w:rsidR="00733EEE">
        <w:rPr>
          <w:i/>
        </w:rPr>
        <w:t xml:space="preserve"> </w:t>
      </w:r>
      <w:r w:rsidR="00FD2EF2" w:rsidRPr="00CF2184">
        <w:rPr>
          <w:i/>
        </w:rPr>
        <w:t>National</w:t>
      </w:r>
      <w:r w:rsidR="00733EEE">
        <w:rPr>
          <w:i/>
        </w:rPr>
        <w:t xml:space="preserve"> </w:t>
      </w:r>
      <w:r w:rsidR="00FD2EF2" w:rsidRPr="00CF2184">
        <w:rPr>
          <w:i/>
        </w:rPr>
        <w:t>Bank</w:t>
      </w:r>
      <w:r w:rsidR="00FD2EF2" w:rsidRPr="00CF2184">
        <w:t>,</w:t>
      </w:r>
      <w:r w:rsidR="00733EEE">
        <w:t xml:space="preserve"> </w:t>
      </w:r>
      <w:r w:rsidR="00FD2EF2" w:rsidRPr="00CF2184">
        <w:t>[1990]</w:t>
      </w:r>
      <w:r w:rsidR="00733EEE">
        <w:t xml:space="preserve"> </w:t>
      </w:r>
      <w:r w:rsidR="00FD2EF2" w:rsidRPr="00CF2184">
        <w:t>3</w:t>
      </w:r>
      <w:r w:rsidR="00733EEE">
        <w:t xml:space="preserve"> </w:t>
      </w:r>
      <w:r w:rsidR="00FD2EF2" w:rsidRPr="00CF2184">
        <w:t>S.C.R.</w:t>
      </w:r>
      <w:r w:rsidR="00733EEE">
        <w:t xml:space="preserve"> </w:t>
      </w:r>
      <w:r w:rsidR="00FD2EF2" w:rsidRPr="00CF2184">
        <w:t>122;</w:t>
      </w:r>
      <w:r w:rsidR="00733EEE">
        <w:t xml:space="preserve"> </w:t>
      </w:r>
      <w:r w:rsidR="00FD2EF2" w:rsidRPr="00CF2184">
        <w:rPr>
          <w:i/>
        </w:rPr>
        <w:t>Bank</w:t>
      </w:r>
      <w:r w:rsidR="00733EEE">
        <w:rPr>
          <w:i/>
        </w:rPr>
        <w:t xml:space="preserve"> </w:t>
      </w:r>
      <w:r w:rsidR="00FD2EF2" w:rsidRPr="00CF2184">
        <w:rPr>
          <w:i/>
        </w:rPr>
        <w:t>of</w:t>
      </w:r>
      <w:r w:rsidR="00733EEE">
        <w:rPr>
          <w:i/>
        </w:rPr>
        <w:t xml:space="preserve"> </w:t>
      </w:r>
      <w:r w:rsidR="00FD2EF2" w:rsidRPr="00CF2184">
        <w:rPr>
          <w:i/>
        </w:rPr>
        <w:t>Montreal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Bail</w:t>
      </w:r>
      <w:r w:rsidR="00733EEE">
        <w:rPr>
          <w:i/>
        </w:rPr>
        <w:t xml:space="preserve"> </w:t>
      </w:r>
      <w:r w:rsidR="009D18DA" w:rsidRPr="00CF2184">
        <w:rPr>
          <w:i/>
        </w:rPr>
        <w:t>Ltée</w:t>
      </w:r>
      <w:r w:rsidR="00FD2EF2" w:rsidRPr="00CF2184">
        <w:t>,</w:t>
      </w:r>
      <w:r w:rsidR="00733EEE">
        <w:t xml:space="preserve"> </w:t>
      </w:r>
      <w:r w:rsidR="00FD2EF2" w:rsidRPr="00CF2184">
        <w:t>[1992]</w:t>
      </w:r>
      <w:r w:rsidR="00733EEE">
        <w:t xml:space="preserve"> </w:t>
      </w:r>
      <w:r w:rsidR="00FD2EF2" w:rsidRPr="00CF2184">
        <w:t>2</w:t>
      </w:r>
      <w:r w:rsidR="00733EEE">
        <w:t xml:space="preserve"> </w:t>
      </w:r>
      <w:r w:rsidR="00FD2EF2" w:rsidRPr="00CF2184">
        <w:t>S.C.R.</w:t>
      </w:r>
      <w:r w:rsidR="00733EEE">
        <w:t xml:space="preserve"> </w:t>
      </w:r>
      <w:r w:rsidR="00FD2EF2" w:rsidRPr="00CF2184">
        <w:t>554;</w:t>
      </w:r>
      <w:r w:rsidR="00733EEE">
        <w:t xml:space="preserve"> </w:t>
      </w:r>
      <w:r w:rsidR="00FD2EF2" w:rsidRPr="00CF2184">
        <w:rPr>
          <w:i/>
        </w:rPr>
        <w:t>United</w:t>
      </w:r>
      <w:r w:rsidR="00733EEE">
        <w:rPr>
          <w:i/>
        </w:rPr>
        <w:t xml:space="preserve"> </w:t>
      </w:r>
      <w:r w:rsidR="00FD2EF2" w:rsidRPr="00CF2184">
        <w:rPr>
          <w:i/>
        </w:rPr>
        <w:t>Roasters</w:t>
      </w:r>
      <w:r w:rsidR="00CA32E7" w:rsidRPr="00CF2184">
        <w:rPr>
          <w:i/>
        </w:rPr>
        <w:t>,</w:t>
      </w:r>
      <w:r w:rsidR="00733EEE">
        <w:rPr>
          <w:i/>
        </w:rPr>
        <w:t xml:space="preserve"> </w:t>
      </w:r>
      <w:r w:rsidR="00CA32E7" w:rsidRPr="00CF2184">
        <w:rPr>
          <w:i/>
        </w:rPr>
        <w:t>Inc.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Colgate</w:t>
      </w:r>
      <w:r w:rsidR="00733EEE">
        <w:rPr>
          <w:i/>
        </w:rPr>
        <w:t>-</w:t>
      </w:r>
      <w:r w:rsidR="00FD2EF2" w:rsidRPr="00CF2184">
        <w:rPr>
          <w:i/>
        </w:rPr>
        <w:t>Palmolive</w:t>
      </w:r>
      <w:r w:rsidR="00733EEE">
        <w:rPr>
          <w:i/>
        </w:rPr>
        <w:t xml:space="preserve"> </w:t>
      </w:r>
      <w:r w:rsidR="00FD2EF2" w:rsidRPr="00CF2184">
        <w:rPr>
          <w:i/>
        </w:rPr>
        <w:t>Co.</w:t>
      </w:r>
      <w:r w:rsidR="00FD2EF2" w:rsidRPr="00CF2184">
        <w:t>,</w:t>
      </w:r>
      <w:r w:rsidR="00733EEE">
        <w:t xml:space="preserve"> </w:t>
      </w:r>
      <w:r w:rsidR="00FD2EF2" w:rsidRPr="00CF2184">
        <w:t>649</w:t>
      </w:r>
      <w:r w:rsidR="00733EEE">
        <w:t xml:space="preserve"> </w:t>
      </w:r>
      <w:r w:rsidR="00FD2EF2" w:rsidRPr="00CF2184">
        <w:t>F.2d</w:t>
      </w:r>
      <w:r w:rsidR="00733EEE">
        <w:t xml:space="preserve"> </w:t>
      </w:r>
      <w:r w:rsidR="00FD2EF2" w:rsidRPr="00CF2184">
        <w:t>985</w:t>
      </w:r>
      <w:r w:rsidR="00733EEE">
        <w:t xml:space="preserve"> </w:t>
      </w:r>
      <w:r w:rsidR="00FD2EF2" w:rsidRPr="00CF2184">
        <w:t>(1981);</w:t>
      </w:r>
      <w:r w:rsidR="00733EEE">
        <w:t xml:space="preserve"> </w:t>
      </w:r>
      <w:r w:rsidR="00FD2EF2" w:rsidRPr="00CF2184">
        <w:rPr>
          <w:i/>
        </w:rPr>
        <w:t>Ryan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Moore</w:t>
      </w:r>
      <w:r w:rsidR="00FD2EF2" w:rsidRPr="00CF2184">
        <w:t>,</w:t>
      </w:r>
      <w:r w:rsidR="00733EEE">
        <w:t xml:space="preserve"> </w:t>
      </w:r>
      <w:r w:rsidR="00FD2EF2" w:rsidRPr="00CF2184">
        <w:t>2005</w:t>
      </w:r>
      <w:r w:rsidR="00733EEE">
        <w:t xml:space="preserve"> </w:t>
      </w:r>
      <w:r w:rsidR="00FD2EF2" w:rsidRPr="00CF2184">
        <w:t>SCC</w:t>
      </w:r>
      <w:r w:rsidR="00733EEE">
        <w:t xml:space="preserve"> </w:t>
      </w:r>
      <w:r w:rsidR="009D18DA" w:rsidRPr="00CF2184">
        <w:t>38</w:t>
      </w:r>
      <w:r w:rsidR="00FD2EF2" w:rsidRPr="00CF2184">
        <w:t>,</w:t>
      </w:r>
      <w:r w:rsidR="00733EEE">
        <w:t xml:space="preserve"> </w:t>
      </w:r>
      <w:r w:rsidR="00FD2EF2" w:rsidRPr="00CF2184">
        <w:t>[2005]</w:t>
      </w:r>
      <w:r w:rsidR="00733EEE">
        <w:t xml:space="preserve"> </w:t>
      </w:r>
      <w:r w:rsidR="00FD2EF2" w:rsidRPr="00CF2184">
        <w:t>2</w:t>
      </w:r>
      <w:r w:rsidR="00733EEE">
        <w:t xml:space="preserve"> </w:t>
      </w:r>
      <w:r w:rsidR="00FD2EF2" w:rsidRPr="00CF2184">
        <w:t>S.C.R.</w:t>
      </w:r>
      <w:r w:rsidR="00733EEE">
        <w:t xml:space="preserve"> </w:t>
      </w:r>
      <w:r w:rsidR="00FD2EF2" w:rsidRPr="00CF2184">
        <w:t>53;</w:t>
      </w:r>
      <w:r w:rsidR="00733EEE">
        <w:t xml:space="preserve"> </w:t>
      </w:r>
      <w:r w:rsidR="00FD2EF2" w:rsidRPr="00CF2184">
        <w:rPr>
          <w:i/>
        </w:rPr>
        <w:t>Maracle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Travellers</w:t>
      </w:r>
      <w:r w:rsidR="00733EEE">
        <w:rPr>
          <w:i/>
        </w:rPr>
        <w:t xml:space="preserve"> </w:t>
      </w:r>
      <w:r w:rsidR="00FD2EF2" w:rsidRPr="00CF2184">
        <w:rPr>
          <w:i/>
        </w:rPr>
        <w:t>Indemnity</w:t>
      </w:r>
      <w:r w:rsidR="00733EEE">
        <w:rPr>
          <w:i/>
        </w:rPr>
        <w:t xml:space="preserve"> </w:t>
      </w:r>
      <w:r w:rsidR="00FD2EF2" w:rsidRPr="00CF2184">
        <w:rPr>
          <w:i/>
        </w:rPr>
        <w:t>Co.</w:t>
      </w:r>
      <w:r w:rsidR="00733EEE">
        <w:rPr>
          <w:i/>
        </w:rPr>
        <w:t xml:space="preserve"> </w:t>
      </w:r>
      <w:r w:rsidR="00FD2EF2" w:rsidRPr="00CF2184">
        <w:rPr>
          <w:i/>
        </w:rPr>
        <w:t>of</w:t>
      </w:r>
      <w:r w:rsidR="00733EEE">
        <w:rPr>
          <w:i/>
        </w:rPr>
        <w:t xml:space="preserve"> </w:t>
      </w:r>
      <w:r w:rsidR="00FD2EF2" w:rsidRPr="00CF2184">
        <w:rPr>
          <w:i/>
        </w:rPr>
        <w:t>Canada</w:t>
      </w:r>
      <w:r w:rsidR="00FD2EF2" w:rsidRPr="00CF2184">
        <w:t>,</w:t>
      </w:r>
      <w:r w:rsidR="00733EEE">
        <w:t xml:space="preserve"> </w:t>
      </w:r>
      <w:r w:rsidR="00FD2EF2" w:rsidRPr="00CF2184">
        <w:t>[1991]</w:t>
      </w:r>
      <w:r w:rsidR="00733EEE">
        <w:t xml:space="preserve"> </w:t>
      </w:r>
      <w:r w:rsidR="00FD2EF2" w:rsidRPr="00CF2184">
        <w:t>2</w:t>
      </w:r>
      <w:r w:rsidR="00733EEE">
        <w:t xml:space="preserve"> </w:t>
      </w:r>
      <w:r w:rsidR="00FD2EF2" w:rsidRPr="00CF2184">
        <w:t>S.C.R.</w:t>
      </w:r>
      <w:r w:rsidR="00733EEE">
        <w:t xml:space="preserve"> </w:t>
      </w:r>
      <w:r w:rsidR="00FD2EF2" w:rsidRPr="00CF2184">
        <w:t>50;</w:t>
      </w:r>
      <w:r w:rsidR="00733EEE">
        <w:t xml:space="preserve"> </w:t>
      </w:r>
      <w:r w:rsidR="00FD2EF2" w:rsidRPr="00CF2184">
        <w:rPr>
          <w:i/>
        </w:rPr>
        <w:t>Parna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G.</w:t>
      </w:r>
      <w:r w:rsidR="00733EEE">
        <w:rPr>
          <w:i/>
        </w:rPr>
        <w:t xml:space="preserve"> </w:t>
      </w:r>
      <w:r w:rsidR="00FD2EF2" w:rsidRPr="00CF2184">
        <w:rPr>
          <w:i/>
        </w:rPr>
        <w:t>&amp;</w:t>
      </w:r>
      <w:r w:rsidR="00733EEE">
        <w:rPr>
          <w:i/>
        </w:rPr>
        <w:t xml:space="preserve"> </w:t>
      </w:r>
      <w:r w:rsidR="00FD2EF2" w:rsidRPr="00CF2184">
        <w:rPr>
          <w:i/>
        </w:rPr>
        <w:t>S.</w:t>
      </w:r>
      <w:r w:rsidR="00733EEE">
        <w:rPr>
          <w:i/>
        </w:rPr>
        <w:t xml:space="preserve"> </w:t>
      </w:r>
      <w:r w:rsidR="00FD2EF2" w:rsidRPr="00CF2184">
        <w:rPr>
          <w:i/>
        </w:rPr>
        <w:t>Properties</w:t>
      </w:r>
      <w:r w:rsidR="00733EEE">
        <w:rPr>
          <w:i/>
        </w:rPr>
        <w:t xml:space="preserve"> </w:t>
      </w:r>
      <w:r w:rsidR="00FD2EF2" w:rsidRPr="00CF2184">
        <w:rPr>
          <w:i/>
        </w:rPr>
        <w:t>Ltd.</w:t>
      </w:r>
      <w:r w:rsidR="00FD2EF2" w:rsidRPr="00CF2184">
        <w:t>,</w:t>
      </w:r>
      <w:r w:rsidR="00733EEE">
        <w:t xml:space="preserve"> </w:t>
      </w:r>
      <w:r w:rsidR="00FD2EF2" w:rsidRPr="00CF2184">
        <w:t>[1971]</w:t>
      </w:r>
      <w:r w:rsidR="00733EEE">
        <w:t xml:space="preserve"> </w:t>
      </w:r>
      <w:r w:rsidR="00FD2EF2" w:rsidRPr="00CF2184">
        <w:t>S.C.R.</w:t>
      </w:r>
      <w:r w:rsidR="00733EEE">
        <w:t xml:space="preserve"> </w:t>
      </w:r>
      <w:r w:rsidR="00FD2EF2" w:rsidRPr="00CF2184">
        <w:t>306;</w:t>
      </w:r>
      <w:r w:rsidR="00733EEE">
        <w:t xml:space="preserve"> </w:t>
      </w:r>
      <w:r w:rsidR="00C0690E" w:rsidRPr="00CF2184">
        <w:rPr>
          <w:i/>
        </w:rPr>
        <w:t>Bruno</w:t>
      </w:r>
      <w:r w:rsidR="00733EEE">
        <w:rPr>
          <w:i/>
        </w:rPr>
        <w:t xml:space="preserve"> </w:t>
      </w:r>
      <w:r w:rsidR="00C0690E" w:rsidRPr="00CF2184">
        <w:rPr>
          <w:i/>
        </w:rPr>
        <w:t>Appliance</w:t>
      </w:r>
      <w:r w:rsidR="00733EEE">
        <w:rPr>
          <w:i/>
        </w:rPr>
        <w:t xml:space="preserve"> </w:t>
      </w:r>
      <w:r w:rsidR="009D18DA" w:rsidRPr="00CF2184">
        <w:rPr>
          <w:i/>
        </w:rPr>
        <w:t>and</w:t>
      </w:r>
      <w:r w:rsidR="00733EEE">
        <w:rPr>
          <w:i/>
        </w:rPr>
        <w:t xml:space="preserve"> </w:t>
      </w:r>
      <w:r w:rsidR="009D18DA" w:rsidRPr="00CF2184">
        <w:rPr>
          <w:i/>
        </w:rPr>
        <w:t>Furniture,</w:t>
      </w:r>
      <w:r w:rsidR="00733EEE">
        <w:rPr>
          <w:i/>
        </w:rPr>
        <w:t xml:space="preserve"> </w:t>
      </w:r>
      <w:r w:rsidR="009D18DA" w:rsidRPr="00CF2184">
        <w:rPr>
          <w:i/>
        </w:rPr>
        <w:t>Inc.</w:t>
      </w:r>
      <w:r w:rsidR="00733EEE">
        <w:rPr>
          <w:i/>
        </w:rPr>
        <w:t xml:space="preserve"> </w:t>
      </w:r>
      <w:r w:rsidR="00C0690E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Hryniak</w:t>
      </w:r>
      <w:r w:rsidR="00FD2EF2" w:rsidRPr="00CF2184">
        <w:t>,</w:t>
      </w:r>
      <w:r w:rsidR="00733EEE">
        <w:t xml:space="preserve"> </w:t>
      </w:r>
      <w:r w:rsidR="00FD2EF2" w:rsidRPr="00CF2184">
        <w:t>2014</w:t>
      </w:r>
      <w:r w:rsidR="00733EEE">
        <w:t xml:space="preserve"> </w:t>
      </w:r>
      <w:r w:rsidR="00FD2EF2" w:rsidRPr="00CF2184">
        <w:t>SCC</w:t>
      </w:r>
      <w:r w:rsidR="00733EEE">
        <w:t xml:space="preserve"> </w:t>
      </w:r>
      <w:r w:rsidR="00FD2EF2" w:rsidRPr="00CF2184">
        <w:t>8,</w:t>
      </w:r>
      <w:r w:rsidR="00733EEE">
        <w:t xml:space="preserve"> </w:t>
      </w:r>
      <w:r w:rsidR="00FD2EF2" w:rsidRPr="00CF2184">
        <w:t>[2014]</w:t>
      </w:r>
      <w:r w:rsidR="00733EEE">
        <w:t xml:space="preserve"> </w:t>
      </w:r>
      <w:r w:rsidR="00FD2EF2" w:rsidRPr="00CF2184">
        <w:t>1</w:t>
      </w:r>
      <w:r w:rsidR="00733EEE">
        <w:t xml:space="preserve"> </w:t>
      </w:r>
      <w:r w:rsidR="00FD2EF2" w:rsidRPr="00CF2184">
        <w:t>S.C.R.</w:t>
      </w:r>
      <w:r w:rsidR="00733EEE">
        <w:t xml:space="preserve"> </w:t>
      </w:r>
      <w:r w:rsidR="009D18DA" w:rsidRPr="00CF2184">
        <w:t>126</w:t>
      </w:r>
      <w:r w:rsidR="00FD2EF2" w:rsidRPr="00CF2184">
        <w:t>;</w:t>
      </w:r>
      <w:r w:rsidR="00733EEE">
        <w:t xml:space="preserve"> </w:t>
      </w:r>
      <w:r w:rsidR="00FD2EF2" w:rsidRPr="00CF2184">
        <w:rPr>
          <w:i/>
        </w:rPr>
        <w:t>LeMesurier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Andrus</w:t>
      </w:r>
      <w:r w:rsidR="00733EEE">
        <w:t xml:space="preserve"> </w:t>
      </w:r>
      <w:r w:rsidR="003F12EA" w:rsidRPr="00CF2184">
        <w:t>(198</w:t>
      </w:r>
      <w:r w:rsidR="00DC2744" w:rsidRPr="00CF2184">
        <w:t>6</w:t>
      </w:r>
      <w:r w:rsidR="003F12EA" w:rsidRPr="00CF2184">
        <w:t>),</w:t>
      </w:r>
      <w:r w:rsidR="00733EEE">
        <w:t xml:space="preserve"> </w:t>
      </w:r>
      <w:r w:rsidR="00DC2744" w:rsidRPr="00CF2184">
        <w:t>54</w:t>
      </w:r>
      <w:r w:rsidR="00733EEE">
        <w:t xml:space="preserve"> </w:t>
      </w:r>
      <w:r w:rsidR="00DC2744" w:rsidRPr="00CF2184">
        <w:t>O.R.</w:t>
      </w:r>
      <w:r w:rsidR="00733EEE">
        <w:t xml:space="preserve"> </w:t>
      </w:r>
      <w:r w:rsidR="00DC2744" w:rsidRPr="00CF2184">
        <w:t>(2d)</w:t>
      </w:r>
      <w:r w:rsidR="00733EEE">
        <w:t xml:space="preserve"> </w:t>
      </w:r>
      <w:r w:rsidR="00DC2744" w:rsidRPr="00CF2184">
        <w:t>1</w:t>
      </w:r>
      <w:r w:rsidR="00FD2EF2" w:rsidRPr="00CF2184">
        <w:t>;</w:t>
      </w:r>
      <w:r w:rsidR="00733EEE">
        <w:t xml:space="preserve"> </w:t>
      </w:r>
      <w:r w:rsidR="00FD2EF2" w:rsidRPr="00CF2184">
        <w:rPr>
          <w:i/>
        </w:rPr>
        <w:t>Shell</w:t>
      </w:r>
      <w:r w:rsidR="00733EEE">
        <w:rPr>
          <w:i/>
        </w:rPr>
        <w:t xml:space="preserve"> </w:t>
      </w:r>
      <w:r w:rsidR="00FD2EF2" w:rsidRPr="00CF2184">
        <w:rPr>
          <w:i/>
        </w:rPr>
        <w:t>Oil</w:t>
      </w:r>
      <w:r w:rsidR="00733EEE">
        <w:rPr>
          <w:i/>
        </w:rPr>
        <w:t xml:space="preserve"> </w:t>
      </w:r>
      <w:r w:rsidR="00CA32E7" w:rsidRPr="00CF2184">
        <w:rPr>
          <w:i/>
        </w:rPr>
        <w:t>Co.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Marinello</w:t>
      </w:r>
      <w:r w:rsidR="00FD2EF2" w:rsidRPr="00CF2184">
        <w:t>,</w:t>
      </w:r>
      <w:r w:rsidR="00733EEE">
        <w:t xml:space="preserve"> </w:t>
      </w:r>
      <w:r w:rsidR="00FD2EF2" w:rsidRPr="00CF2184">
        <w:t>294</w:t>
      </w:r>
      <w:r w:rsidR="00733EEE">
        <w:t xml:space="preserve"> </w:t>
      </w:r>
      <w:r w:rsidR="00FD2EF2" w:rsidRPr="00CF2184">
        <w:t>A.2d</w:t>
      </w:r>
      <w:r w:rsidR="00733EEE">
        <w:t xml:space="preserve"> </w:t>
      </w:r>
      <w:r w:rsidR="003F12EA" w:rsidRPr="00CF2184">
        <w:t>253</w:t>
      </w:r>
      <w:r w:rsidR="00733EEE">
        <w:t xml:space="preserve"> </w:t>
      </w:r>
      <w:r w:rsidR="003F12EA" w:rsidRPr="00CF2184">
        <w:t>(1972),</w:t>
      </w:r>
      <w:r w:rsidR="00733EEE">
        <w:t xml:space="preserve"> </w:t>
      </w:r>
      <w:r w:rsidR="003F12EA" w:rsidRPr="00CF2184">
        <w:t>aff’</w:t>
      </w:r>
      <w:r w:rsidR="00FD2EF2" w:rsidRPr="00CF2184">
        <w:t>d</w:t>
      </w:r>
      <w:r w:rsidR="00733EEE">
        <w:t xml:space="preserve"> </w:t>
      </w:r>
      <w:r w:rsidR="00FD2EF2" w:rsidRPr="00CF2184">
        <w:t>307</w:t>
      </w:r>
      <w:r w:rsidR="00733EEE">
        <w:t xml:space="preserve"> </w:t>
      </w:r>
      <w:r w:rsidR="00FD2EF2" w:rsidRPr="00CF2184">
        <w:t>A.2d</w:t>
      </w:r>
      <w:r w:rsidR="00733EEE">
        <w:t xml:space="preserve"> </w:t>
      </w:r>
      <w:r w:rsidR="00FD2EF2" w:rsidRPr="00CF2184">
        <w:t>598</w:t>
      </w:r>
      <w:r w:rsidR="00733EEE">
        <w:t xml:space="preserve"> </w:t>
      </w:r>
      <w:r w:rsidR="00FD2EF2" w:rsidRPr="00CF2184">
        <w:t>(1973);</w:t>
      </w:r>
      <w:r w:rsidR="00733EEE">
        <w:t xml:space="preserve"> </w:t>
      </w:r>
      <w:r w:rsidR="00FD2EF2" w:rsidRPr="00CF2184">
        <w:rPr>
          <w:i/>
        </w:rPr>
        <w:t>Atlantic</w:t>
      </w:r>
      <w:r w:rsidR="00733EEE">
        <w:rPr>
          <w:i/>
        </w:rPr>
        <w:t xml:space="preserve"> </w:t>
      </w:r>
      <w:r w:rsidR="00FD2EF2" w:rsidRPr="00CF2184">
        <w:rPr>
          <w:i/>
        </w:rPr>
        <w:t>Richfield</w:t>
      </w:r>
      <w:r w:rsidR="00733EEE">
        <w:rPr>
          <w:i/>
        </w:rPr>
        <w:t xml:space="preserve"> </w:t>
      </w:r>
      <w:r w:rsidR="00FD2EF2" w:rsidRPr="00CF2184">
        <w:rPr>
          <w:i/>
        </w:rPr>
        <w:t>Co.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Razumic</w:t>
      </w:r>
      <w:r w:rsidR="00FD2EF2" w:rsidRPr="00CF2184">
        <w:t>,</w:t>
      </w:r>
      <w:r w:rsidR="00733EEE">
        <w:t xml:space="preserve"> </w:t>
      </w:r>
      <w:r w:rsidR="00CA32E7" w:rsidRPr="00CF2184">
        <w:t>390</w:t>
      </w:r>
      <w:r w:rsidR="00733EEE">
        <w:t xml:space="preserve"> </w:t>
      </w:r>
      <w:r w:rsidR="00CA32E7" w:rsidRPr="00CF2184">
        <w:t>A.2d</w:t>
      </w:r>
      <w:r w:rsidR="00733EEE">
        <w:t xml:space="preserve"> </w:t>
      </w:r>
      <w:r w:rsidR="00CA32E7" w:rsidRPr="00CF2184">
        <w:t>736</w:t>
      </w:r>
      <w:r w:rsidR="00733EEE">
        <w:t xml:space="preserve"> </w:t>
      </w:r>
      <w:r w:rsidR="00FD2EF2" w:rsidRPr="00CF2184">
        <w:t>(1978);</w:t>
      </w:r>
      <w:r w:rsidR="00733EEE">
        <w:t xml:space="preserve"> </w:t>
      </w:r>
      <w:r w:rsidR="00CA32E7" w:rsidRPr="00CF2184">
        <w:rPr>
          <w:i/>
        </w:rPr>
        <w:t>J.H.</w:t>
      </w:r>
      <w:r w:rsidR="00733EEE">
        <w:rPr>
          <w:i/>
        </w:rPr>
        <w:t xml:space="preserve"> </w:t>
      </w:r>
      <w:r w:rsidR="00FD2EF2" w:rsidRPr="00CF2184">
        <w:rPr>
          <w:i/>
        </w:rPr>
        <w:t>Westerbeke</w:t>
      </w:r>
      <w:r w:rsidR="00733EEE">
        <w:rPr>
          <w:i/>
        </w:rPr>
        <w:t xml:space="preserve"> </w:t>
      </w:r>
      <w:r w:rsidR="00FD2EF2" w:rsidRPr="00CF2184">
        <w:rPr>
          <w:i/>
        </w:rPr>
        <w:t>Cor</w:t>
      </w:r>
      <w:r w:rsidR="00BF5523" w:rsidRPr="00CF2184">
        <w:rPr>
          <w:i/>
        </w:rPr>
        <w:t>p.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Onan</w:t>
      </w:r>
      <w:r w:rsidR="00733EEE">
        <w:rPr>
          <w:i/>
        </w:rPr>
        <w:t xml:space="preserve"> </w:t>
      </w:r>
      <w:r w:rsidR="00FD2EF2" w:rsidRPr="00CF2184">
        <w:rPr>
          <w:i/>
        </w:rPr>
        <w:t>Corp.</w:t>
      </w:r>
      <w:r w:rsidR="00FD2EF2" w:rsidRPr="00CF2184">
        <w:t>,</w:t>
      </w:r>
      <w:r w:rsidR="00733EEE">
        <w:t xml:space="preserve"> </w:t>
      </w:r>
      <w:r w:rsidR="00FD2EF2" w:rsidRPr="00CF2184">
        <w:t>580</w:t>
      </w:r>
      <w:r w:rsidR="00733EEE">
        <w:t xml:space="preserve"> </w:t>
      </w:r>
      <w:r w:rsidR="00FD2EF2" w:rsidRPr="00CF2184">
        <w:t>F.Su</w:t>
      </w:r>
      <w:r w:rsidR="00BF5523" w:rsidRPr="00CF2184">
        <w:t>pp.</w:t>
      </w:r>
      <w:r w:rsidR="00733EEE">
        <w:t xml:space="preserve"> </w:t>
      </w:r>
      <w:r w:rsidR="00FD2EF2" w:rsidRPr="00CF2184">
        <w:t>1173</w:t>
      </w:r>
      <w:r w:rsidR="00733EEE">
        <w:t xml:space="preserve"> </w:t>
      </w:r>
      <w:r w:rsidR="00FD2EF2" w:rsidRPr="00CF2184">
        <w:t>(1984);</w:t>
      </w:r>
      <w:r w:rsidR="00733EEE">
        <w:t xml:space="preserve"> </w:t>
      </w:r>
      <w:r w:rsidR="00FD2EF2" w:rsidRPr="00CF2184">
        <w:rPr>
          <w:i/>
        </w:rPr>
        <w:lastRenderedPageBreak/>
        <w:t>Pitney</w:t>
      </w:r>
      <w:r w:rsidR="00733EEE">
        <w:rPr>
          <w:i/>
        </w:rPr>
        <w:t>-</w:t>
      </w:r>
      <w:r w:rsidR="00FD2EF2" w:rsidRPr="00CF2184">
        <w:rPr>
          <w:i/>
        </w:rPr>
        <w:t>Bowes,</w:t>
      </w:r>
      <w:r w:rsidR="00733EEE">
        <w:rPr>
          <w:i/>
        </w:rPr>
        <w:t xml:space="preserve"> </w:t>
      </w:r>
      <w:r w:rsidR="00FD2EF2" w:rsidRPr="00CF2184">
        <w:rPr>
          <w:i/>
        </w:rPr>
        <w:t>Inc.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Mestre</w:t>
      </w:r>
      <w:r w:rsidR="00FD2EF2" w:rsidRPr="00CF2184">
        <w:t>,</w:t>
      </w:r>
      <w:r w:rsidR="00733EEE">
        <w:t xml:space="preserve"> </w:t>
      </w:r>
      <w:r w:rsidR="00FD2EF2" w:rsidRPr="00CF2184">
        <w:t>517</w:t>
      </w:r>
      <w:r w:rsidR="00733EEE">
        <w:t xml:space="preserve"> </w:t>
      </w:r>
      <w:r w:rsidR="00FD2EF2" w:rsidRPr="00CF2184">
        <w:t>F.Su</w:t>
      </w:r>
      <w:r w:rsidR="00BF5523" w:rsidRPr="00CF2184">
        <w:t>pp.</w:t>
      </w:r>
      <w:r w:rsidR="00733EEE">
        <w:t xml:space="preserve"> </w:t>
      </w:r>
      <w:r w:rsidR="00FD2EF2" w:rsidRPr="00CF2184">
        <w:t>52</w:t>
      </w:r>
      <w:r w:rsidR="00733EEE">
        <w:t xml:space="preserve"> </w:t>
      </w:r>
      <w:r w:rsidR="00FD2EF2" w:rsidRPr="00CF2184">
        <w:t>(</w:t>
      </w:r>
      <w:r w:rsidR="00CA32E7" w:rsidRPr="00CF2184">
        <w:t>1981</w:t>
      </w:r>
      <w:r w:rsidR="00FD2EF2" w:rsidRPr="00CF2184">
        <w:t>),</w:t>
      </w:r>
      <w:r w:rsidR="00733EEE">
        <w:t xml:space="preserve"> </w:t>
      </w:r>
      <w:r w:rsidR="006E547B" w:rsidRPr="00CF2184">
        <w:t>cert.</w:t>
      </w:r>
      <w:r w:rsidR="00733EEE">
        <w:t xml:space="preserve"> </w:t>
      </w:r>
      <w:r w:rsidR="006E547B" w:rsidRPr="00CF2184">
        <w:t>denied,</w:t>
      </w:r>
      <w:r w:rsidR="00733EEE">
        <w:t xml:space="preserve"> </w:t>
      </w:r>
      <w:r w:rsidR="007705D8" w:rsidRPr="00CF2184">
        <w:t>464</w:t>
      </w:r>
      <w:r w:rsidR="00733EEE">
        <w:t xml:space="preserve"> </w:t>
      </w:r>
      <w:r w:rsidR="007705D8" w:rsidRPr="00CF2184">
        <w:t>U.S.</w:t>
      </w:r>
      <w:r w:rsidR="00733EEE">
        <w:t xml:space="preserve"> </w:t>
      </w:r>
      <w:r w:rsidR="007705D8" w:rsidRPr="00CF2184">
        <w:t>893</w:t>
      </w:r>
      <w:r w:rsidR="00733EEE">
        <w:t xml:space="preserve"> </w:t>
      </w:r>
      <w:r w:rsidR="007705D8" w:rsidRPr="00CF2184">
        <w:t>(1983)</w:t>
      </w:r>
      <w:r w:rsidR="00FD2EF2" w:rsidRPr="00CF2184">
        <w:t>;</w:t>
      </w:r>
      <w:r w:rsidR="00733EEE">
        <w:t xml:space="preserve"> </w:t>
      </w:r>
      <w:r w:rsidR="00FD2EF2" w:rsidRPr="00CF2184">
        <w:rPr>
          <w:i/>
        </w:rPr>
        <w:t>Agribrands</w:t>
      </w:r>
      <w:r w:rsidR="00733EEE">
        <w:rPr>
          <w:i/>
        </w:rPr>
        <w:t xml:space="preserve"> </w:t>
      </w:r>
      <w:r w:rsidR="00FD2EF2" w:rsidRPr="00CF2184">
        <w:rPr>
          <w:i/>
        </w:rPr>
        <w:t>Purina</w:t>
      </w:r>
      <w:r w:rsidR="00733EEE">
        <w:rPr>
          <w:i/>
        </w:rPr>
        <w:t xml:space="preserve"> </w:t>
      </w:r>
      <w:r w:rsidR="00FD2EF2" w:rsidRPr="00CF2184">
        <w:rPr>
          <w:i/>
        </w:rPr>
        <w:t>Canada</w:t>
      </w:r>
      <w:r w:rsidR="00733EEE">
        <w:rPr>
          <w:i/>
        </w:rPr>
        <w:t xml:space="preserve"> </w:t>
      </w:r>
      <w:r w:rsidR="00FD2EF2" w:rsidRPr="00CF2184">
        <w:rPr>
          <w:i/>
        </w:rPr>
        <w:t>Inc.</w:t>
      </w:r>
      <w:r w:rsidR="00733EEE">
        <w:rPr>
          <w:i/>
        </w:rPr>
        <w:t xml:space="preserve"> </w:t>
      </w:r>
      <w:r w:rsidR="00FD2EF2" w:rsidRPr="00CF2184">
        <w:rPr>
          <w:i/>
        </w:rPr>
        <w:t>v.</w:t>
      </w:r>
      <w:r w:rsidR="00733EEE">
        <w:rPr>
          <w:i/>
        </w:rPr>
        <w:t xml:space="preserve"> </w:t>
      </w:r>
      <w:r w:rsidR="00FD2EF2" w:rsidRPr="00CF2184">
        <w:rPr>
          <w:i/>
        </w:rPr>
        <w:t>Kasamekas</w:t>
      </w:r>
      <w:r w:rsidR="00FD2EF2" w:rsidRPr="00CF2184">
        <w:t>,</w:t>
      </w:r>
      <w:r w:rsidR="00733EEE">
        <w:t xml:space="preserve"> </w:t>
      </w:r>
      <w:r w:rsidR="00FD2EF2" w:rsidRPr="00CF2184">
        <w:t>2011</w:t>
      </w:r>
      <w:r w:rsidR="00733EEE">
        <w:t xml:space="preserve"> </w:t>
      </w:r>
      <w:r w:rsidR="00FD2EF2" w:rsidRPr="00CF2184">
        <w:t>ONCA</w:t>
      </w:r>
      <w:r w:rsidR="00733EEE">
        <w:t xml:space="preserve"> </w:t>
      </w:r>
      <w:r w:rsidR="00FD2EF2" w:rsidRPr="00CF2184">
        <w:t>460,</w:t>
      </w:r>
      <w:r w:rsidR="00733EEE">
        <w:t xml:space="preserve"> </w:t>
      </w:r>
      <w:r w:rsidR="00FD2EF2" w:rsidRPr="00CF2184">
        <w:t>106</w:t>
      </w:r>
      <w:r w:rsidR="00733EEE">
        <w:t xml:space="preserve"> </w:t>
      </w:r>
      <w:r w:rsidR="00FD2EF2" w:rsidRPr="00CF2184">
        <w:t>O.R.</w:t>
      </w:r>
      <w:r w:rsidR="00733EEE">
        <w:t xml:space="preserve"> </w:t>
      </w:r>
      <w:r w:rsidR="00FD2EF2" w:rsidRPr="00CF2184">
        <w:t>(3d)</w:t>
      </w:r>
      <w:r w:rsidR="00733EEE">
        <w:t xml:space="preserve"> </w:t>
      </w:r>
      <w:r w:rsidR="00FD2EF2" w:rsidRPr="00CF2184">
        <w:t>427.</w:t>
      </w:r>
    </w:p>
    <w:p w:rsidR="003B215F" w:rsidRPr="00CF2184" w:rsidRDefault="002E6705" w:rsidP="002D38D2">
      <w:pPr>
        <w:pStyle w:val="SCCNormalDoubleSpacing"/>
        <w:spacing w:after="480" w:line="240" w:lineRule="auto"/>
      </w:pPr>
      <w:r w:rsidRPr="00CF2184">
        <w:rPr>
          <w:b/>
        </w:rPr>
        <w:t>Statutes</w:t>
      </w:r>
      <w:r w:rsidR="00733EEE">
        <w:rPr>
          <w:b/>
        </w:rPr>
        <w:t xml:space="preserve"> </w:t>
      </w:r>
      <w:r w:rsidRPr="00CF2184">
        <w:rPr>
          <w:b/>
        </w:rPr>
        <w:t>and</w:t>
      </w:r>
      <w:r w:rsidR="00733EEE">
        <w:rPr>
          <w:b/>
        </w:rPr>
        <w:t xml:space="preserve"> </w:t>
      </w:r>
      <w:r w:rsidRPr="00CF2184">
        <w:rPr>
          <w:b/>
        </w:rPr>
        <w:t>Regulations</w:t>
      </w:r>
      <w:r w:rsidR="00733EEE">
        <w:rPr>
          <w:b/>
        </w:rPr>
        <w:t xml:space="preserve"> </w:t>
      </w:r>
      <w:r w:rsidRPr="00CF2184">
        <w:rPr>
          <w:b/>
        </w:rPr>
        <w:t>Cite</w:t>
      </w:r>
      <w:r w:rsidR="00A41805" w:rsidRPr="00CF2184">
        <w:rPr>
          <w:b/>
        </w:rPr>
        <w:t>d</w:t>
      </w:r>
    </w:p>
    <w:p w:rsidR="0002535D" w:rsidRPr="00CF2184" w:rsidRDefault="0002535D" w:rsidP="00733EEE">
      <w:pPr>
        <w:pStyle w:val="SCCNormalDoubleSpacing"/>
        <w:spacing w:after="240" w:line="240" w:lineRule="auto"/>
        <w:ind w:left="547" w:hanging="547"/>
      </w:pPr>
      <w:r w:rsidRPr="00CF2184">
        <w:rPr>
          <w:i/>
        </w:rPr>
        <w:t>Civil</w:t>
      </w:r>
      <w:r w:rsidR="00733EEE">
        <w:rPr>
          <w:i/>
        </w:rPr>
        <w:t xml:space="preserve"> </w:t>
      </w:r>
      <w:r w:rsidRPr="00CF2184">
        <w:rPr>
          <w:i/>
        </w:rPr>
        <w:t>Code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Lower</w:t>
      </w:r>
      <w:r w:rsidR="00733EEE">
        <w:rPr>
          <w:i/>
        </w:rPr>
        <w:t xml:space="preserve"> </w:t>
      </w:r>
      <w:r w:rsidRPr="00CF2184">
        <w:rPr>
          <w:i/>
        </w:rPr>
        <w:t>Canada</w:t>
      </w:r>
      <w:r w:rsidRPr="00CF2184">
        <w:t>.</w:t>
      </w:r>
    </w:p>
    <w:p w:rsidR="00FD2EF2" w:rsidRPr="00CF2184" w:rsidRDefault="00FD2EF2" w:rsidP="00733EEE">
      <w:pPr>
        <w:pStyle w:val="SCCNormalDoubleSpacing"/>
        <w:spacing w:after="240" w:line="240" w:lineRule="auto"/>
        <w:ind w:left="547" w:hanging="547"/>
      </w:pPr>
      <w:r w:rsidRPr="00CF2184">
        <w:rPr>
          <w:i/>
        </w:rPr>
        <w:t>Civil</w:t>
      </w:r>
      <w:r w:rsidR="00733EEE">
        <w:rPr>
          <w:i/>
        </w:rPr>
        <w:t xml:space="preserve"> </w:t>
      </w:r>
      <w:r w:rsidRPr="00CF2184">
        <w:rPr>
          <w:i/>
        </w:rPr>
        <w:t>Code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Québec</w:t>
      </w:r>
      <w:r w:rsidR="00BF5523" w:rsidRPr="00CF2184">
        <w:t>,</w:t>
      </w:r>
      <w:r w:rsidR="00733EEE">
        <w:t xml:space="preserve"> </w:t>
      </w:r>
      <w:r w:rsidR="00BF5523" w:rsidRPr="00CF2184">
        <w:t>arts.</w:t>
      </w:r>
      <w:r w:rsidR="00733EEE">
        <w:t xml:space="preserve"> </w:t>
      </w:r>
      <w:r w:rsidRPr="00CF2184">
        <w:t>6,</w:t>
      </w:r>
      <w:r w:rsidR="00733EEE">
        <w:t xml:space="preserve"> </w:t>
      </w:r>
      <w:r w:rsidRPr="00CF2184">
        <w:t>7,</w:t>
      </w:r>
      <w:r w:rsidR="00733EEE">
        <w:t xml:space="preserve"> </w:t>
      </w:r>
      <w:r w:rsidRPr="00CF2184">
        <w:t>1375.</w:t>
      </w:r>
    </w:p>
    <w:p w:rsidR="00A149DF" w:rsidRPr="00CF2184" w:rsidRDefault="00FC1E80" w:rsidP="00733EEE">
      <w:pPr>
        <w:pStyle w:val="SCCNormalDoubleSpacing"/>
        <w:spacing w:after="240" w:line="240" w:lineRule="auto"/>
        <w:ind w:left="547" w:hanging="547"/>
      </w:pPr>
      <w:r w:rsidRPr="00CF2184">
        <w:rPr>
          <w:i/>
        </w:rPr>
        <w:t>Franchises</w:t>
      </w:r>
      <w:r w:rsidR="00733EEE">
        <w:rPr>
          <w:i/>
        </w:rPr>
        <w:t xml:space="preserve"> </w:t>
      </w:r>
      <w:r w:rsidRPr="00CF2184">
        <w:rPr>
          <w:i/>
        </w:rPr>
        <w:t>Act</w:t>
      </w:r>
      <w:r w:rsidRPr="00CF2184">
        <w:t>,</w:t>
      </w:r>
      <w:r w:rsidR="00733EEE">
        <w:t xml:space="preserve"> </w:t>
      </w:r>
      <w:r w:rsidRPr="00CF2184">
        <w:t>R.S.A.</w:t>
      </w:r>
      <w:r w:rsidR="00733EEE">
        <w:t xml:space="preserve"> </w:t>
      </w:r>
      <w:r w:rsidR="00BF5523" w:rsidRPr="00CF2184">
        <w:t>2000,</w:t>
      </w:r>
      <w:r w:rsidR="00733EEE">
        <w:t xml:space="preserve"> </w:t>
      </w:r>
      <w:r w:rsidR="00BF5523" w:rsidRPr="00CF2184">
        <w:t>c.</w:t>
      </w:r>
      <w:r w:rsidR="00733EEE">
        <w:t xml:space="preserve"> </w:t>
      </w:r>
      <w:r w:rsidRPr="00CF2184">
        <w:t>F</w:t>
      </w:r>
      <w:r w:rsidR="00733EEE">
        <w:t>-</w:t>
      </w:r>
      <w:r w:rsidRPr="00CF2184">
        <w:t>23,</w:t>
      </w:r>
      <w:r w:rsidR="00733EEE">
        <w:t xml:space="preserve"> </w:t>
      </w:r>
      <w:r w:rsidRPr="00CF2184">
        <w:t>s.</w:t>
      </w:r>
      <w:r w:rsidR="00733EEE">
        <w:t xml:space="preserve"> </w:t>
      </w:r>
      <w:r w:rsidRPr="00CF2184">
        <w:t>7.</w:t>
      </w:r>
    </w:p>
    <w:p w:rsidR="000C06B2" w:rsidRPr="00CF2184" w:rsidRDefault="000C06B2" w:rsidP="00733EEE">
      <w:pPr>
        <w:pStyle w:val="SCCNormalDoubleSpacing"/>
        <w:spacing w:after="240" w:line="240" w:lineRule="auto"/>
        <w:ind w:left="547" w:hanging="547"/>
      </w:pPr>
      <w:r w:rsidRPr="00CF2184">
        <w:rPr>
          <w:i/>
        </w:rPr>
        <w:t>Restatement</w:t>
      </w:r>
      <w:r w:rsidR="00733EEE">
        <w:rPr>
          <w:i/>
        </w:rPr>
        <w:t xml:space="preserve"> </w:t>
      </w:r>
      <w:r w:rsidRPr="00CF2184">
        <w:rPr>
          <w:i/>
        </w:rPr>
        <w:t>(Second)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Contracts</w:t>
      </w:r>
      <w:r w:rsidRPr="00CF2184">
        <w:t>,</w:t>
      </w:r>
      <w:r w:rsidR="00733EEE">
        <w:t xml:space="preserve"> </w:t>
      </w:r>
      <w:r w:rsidRPr="00CF2184">
        <w:t>§</w:t>
      </w:r>
      <w:r w:rsidR="00733EEE">
        <w:t xml:space="preserve"> </w:t>
      </w:r>
      <w:r w:rsidRPr="00CF2184">
        <w:t>205</w:t>
      </w:r>
      <w:r w:rsidR="00E4741D">
        <w:t xml:space="preserve"> </w:t>
      </w:r>
      <w:r w:rsidR="00E4741D" w:rsidRPr="00CF2184">
        <w:t>(1981)</w:t>
      </w:r>
      <w:r w:rsidRPr="00CF2184">
        <w:t>.</w:t>
      </w:r>
    </w:p>
    <w:p w:rsidR="00FD2EF2" w:rsidRPr="00CF2184" w:rsidRDefault="00B464B6" w:rsidP="00733EEE">
      <w:pPr>
        <w:pStyle w:val="SCCNormalDoubleSpacing"/>
        <w:spacing w:after="720" w:line="240" w:lineRule="auto"/>
        <w:ind w:left="547" w:hanging="547"/>
      </w:pPr>
      <w:r w:rsidRPr="00CF2184">
        <w:rPr>
          <w:i/>
        </w:rPr>
        <w:t>Unif</w:t>
      </w:r>
      <w:r w:rsidR="006220BE" w:rsidRPr="00CF2184">
        <w:rPr>
          <w:i/>
        </w:rPr>
        <w:t>orm</w:t>
      </w:r>
      <w:r w:rsidR="00733EEE">
        <w:rPr>
          <w:i/>
        </w:rPr>
        <w:t xml:space="preserve"> </w:t>
      </w:r>
      <w:r w:rsidRPr="00CF2184">
        <w:rPr>
          <w:i/>
        </w:rPr>
        <w:t>Commercial</w:t>
      </w:r>
      <w:r w:rsidR="00733EEE">
        <w:rPr>
          <w:i/>
        </w:rPr>
        <w:t xml:space="preserve"> </w:t>
      </w:r>
      <w:r w:rsidRPr="00CF2184">
        <w:rPr>
          <w:i/>
        </w:rPr>
        <w:t>Code</w:t>
      </w:r>
      <w:r w:rsidRPr="00CF2184">
        <w:t>,</w:t>
      </w:r>
      <w:r w:rsidR="00733EEE">
        <w:t xml:space="preserve"> </w:t>
      </w:r>
      <w:r w:rsidR="00A57A0D" w:rsidRPr="00CF2184">
        <w:t>§</w:t>
      </w:r>
      <w:r w:rsidR="00FD2EF2" w:rsidRPr="00CF2184">
        <w:t>§</w:t>
      </w:r>
      <w:r w:rsidR="00733EEE">
        <w:t xml:space="preserve"> </w:t>
      </w:r>
      <w:r w:rsidR="004558C1" w:rsidRPr="00CF2184">
        <w:t>1</w:t>
      </w:r>
      <w:r w:rsidR="00733EEE">
        <w:t>-</w:t>
      </w:r>
      <w:r w:rsidR="004558C1" w:rsidRPr="00CF2184">
        <w:t>201(b)(20)</w:t>
      </w:r>
      <w:r w:rsidR="00733EEE">
        <w:t xml:space="preserve"> </w:t>
      </w:r>
      <w:r w:rsidR="004558C1" w:rsidRPr="00CF2184">
        <w:t>“good</w:t>
      </w:r>
      <w:r w:rsidR="00733EEE">
        <w:t xml:space="preserve"> </w:t>
      </w:r>
      <w:r w:rsidR="004558C1" w:rsidRPr="00CF2184">
        <w:t>faith”,</w:t>
      </w:r>
      <w:r w:rsidR="00733EEE">
        <w:t xml:space="preserve"> </w:t>
      </w:r>
      <w:r w:rsidR="00A57A0D" w:rsidRPr="00CF2184">
        <w:t>1</w:t>
      </w:r>
      <w:r w:rsidR="00733EEE">
        <w:t>-</w:t>
      </w:r>
      <w:r w:rsidR="00A57A0D" w:rsidRPr="00CF2184">
        <w:t>302,</w:t>
      </w:r>
      <w:r w:rsidR="00733EEE">
        <w:t xml:space="preserve"> </w:t>
      </w:r>
      <w:r w:rsidR="00FD2EF2" w:rsidRPr="00CF2184">
        <w:t>1</w:t>
      </w:r>
      <w:r w:rsidR="00733EEE">
        <w:t>-</w:t>
      </w:r>
      <w:r w:rsidR="00FD2EF2" w:rsidRPr="00CF2184">
        <w:t>304</w:t>
      </w:r>
      <w:r w:rsidR="00E4741D">
        <w:t xml:space="preserve"> </w:t>
      </w:r>
      <w:r w:rsidR="00E4741D" w:rsidRPr="00CF2184">
        <w:t>(2012)</w:t>
      </w:r>
      <w:r w:rsidR="00FD2EF2" w:rsidRPr="00CF2184">
        <w:t>.</w:t>
      </w:r>
    </w:p>
    <w:p w:rsidR="002E6705" w:rsidRPr="00CF2184" w:rsidRDefault="002E6705" w:rsidP="002D38D2">
      <w:pPr>
        <w:pStyle w:val="SCCNormalDoubleSpacing"/>
        <w:spacing w:after="480" w:line="240" w:lineRule="auto"/>
        <w:rPr>
          <w:b/>
          <w:lang w:val="fr-CA"/>
        </w:rPr>
      </w:pPr>
      <w:r w:rsidRPr="00CF2184">
        <w:rPr>
          <w:b/>
          <w:lang w:val="fr-CA"/>
        </w:rPr>
        <w:t>Authors</w:t>
      </w:r>
      <w:r w:rsidR="00733EEE">
        <w:rPr>
          <w:b/>
          <w:lang w:val="fr-CA"/>
        </w:rPr>
        <w:t xml:space="preserve"> </w:t>
      </w:r>
      <w:r w:rsidRPr="00CF2184">
        <w:rPr>
          <w:b/>
          <w:lang w:val="fr-CA"/>
        </w:rPr>
        <w:t>Cited</w:t>
      </w:r>
    </w:p>
    <w:p w:rsidR="00FD2EF2" w:rsidRPr="00CF2184" w:rsidRDefault="00FD2EF2" w:rsidP="00733EEE">
      <w:pPr>
        <w:pStyle w:val="SCCNormalDoubleSpacing"/>
        <w:spacing w:after="240" w:line="240" w:lineRule="auto"/>
        <w:ind w:left="540" w:hanging="540"/>
      </w:pPr>
      <w:r w:rsidRPr="00CF2184">
        <w:rPr>
          <w:lang w:val="fr-CA"/>
        </w:rPr>
        <w:t>Baudo</w:t>
      </w:r>
      <w:r w:rsidR="00B464B6" w:rsidRPr="00CF2184">
        <w:rPr>
          <w:lang w:val="fr-CA"/>
        </w:rPr>
        <w:t>u</w:t>
      </w:r>
      <w:r w:rsidRPr="00CF2184">
        <w:rPr>
          <w:lang w:val="fr-CA"/>
        </w:rPr>
        <w:t>in</w:t>
      </w:r>
      <w:r w:rsidR="00B464B6" w:rsidRPr="00CF2184">
        <w:rPr>
          <w:lang w:val="fr-CA"/>
        </w:rPr>
        <w:t>,</w:t>
      </w:r>
      <w:r w:rsidR="00733EEE">
        <w:rPr>
          <w:lang w:val="fr-CA"/>
        </w:rPr>
        <w:t xml:space="preserve"> </w:t>
      </w:r>
      <w:r w:rsidR="00B464B6" w:rsidRPr="00CF2184">
        <w:rPr>
          <w:lang w:val="fr-CA"/>
        </w:rPr>
        <w:t>Jean</w:t>
      </w:r>
      <w:r w:rsidR="00733EEE">
        <w:rPr>
          <w:lang w:val="fr-CA"/>
        </w:rPr>
        <w:t>-</w:t>
      </w:r>
      <w:r w:rsidR="00B464B6" w:rsidRPr="00CF2184">
        <w:rPr>
          <w:lang w:val="fr-CA"/>
        </w:rPr>
        <w:t>Louis,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et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Pierre</w:t>
      </w:r>
      <w:r w:rsidR="00733EEE">
        <w:rPr>
          <w:lang w:val="fr-CA"/>
        </w:rPr>
        <w:t>-</w:t>
      </w:r>
      <w:r w:rsidRPr="00CF2184">
        <w:rPr>
          <w:lang w:val="fr-CA"/>
        </w:rPr>
        <w:t>Gabriel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Jobin.</w:t>
      </w:r>
      <w:r w:rsidR="00733EEE">
        <w:rPr>
          <w:lang w:val="fr-CA"/>
        </w:rPr>
        <w:t xml:space="preserve">  </w:t>
      </w:r>
      <w:r w:rsidRPr="00CF2184">
        <w:rPr>
          <w:i/>
          <w:lang w:val="fr-CA"/>
        </w:rPr>
        <w:t>Les</w:t>
      </w:r>
      <w:r w:rsidR="00733EEE">
        <w:rPr>
          <w:i/>
          <w:lang w:val="fr-CA"/>
        </w:rPr>
        <w:t xml:space="preserve"> </w:t>
      </w:r>
      <w:r w:rsidRPr="00CF2184">
        <w:rPr>
          <w:i/>
          <w:lang w:val="fr-CA"/>
        </w:rPr>
        <w:t>obligations</w:t>
      </w:r>
      <w:r w:rsidRPr="00CF2184">
        <w:rPr>
          <w:lang w:val="fr-CA"/>
        </w:rPr>
        <w:t>,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7</w:t>
      </w:r>
      <w:r w:rsidRPr="00CF2184">
        <w:rPr>
          <w:vertAlign w:val="superscript"/>
          <w:lang w:val="fr-CA"/>
        </w:rPr>
        <w:t>e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éd.</w:t>
      </w:r>
      <w:r w:rsidR="00733EEE">
        <w:rPr>
          <w:lang w:val="fr-CA"/>
        </w:rPr>
        <w:t xml:space="preserve"> </w:t>
      </w:r>
      <w:r w:rsidR="00B464B6" w:rsidRPr="00CF2184">
        <w:rPr>
          <w:lang w:val="fr-CA"/>
        </w:rPr>
        <w:t>par</w:t>
      </w:r>
      <w:r w:rsidR="00733EEE">
        <w:rPr>
          <w:lang w:val="fr-CA"/>
        </w:rPr>
        <w:t xml:space="preserve"> </w:t>
      </w:r>
      <w:r w:rsidR="00B464B6" w:rsidRPr="00CF2184">
        <w:rPr>
          <w:lang w:val="fr-CA"/>
        </w:rPr>
        <w:t>Pierre</w:t>
      </w:r>
      <w:r w:rsidR="00733EEE">
        <w:rPr>
          <w:lang w:val="fr-CA"/>
        </w:rPr>
        <w:t>-</w:t>
      </w:r>
      <w:r w:rsidR="00B464B6" w:rsidRPr="00CF2184">
        <w:rPr>
          <w:lang w:val="fr-CA"/>
        </w:rPr>
        <w:t>Gabriel</w:t>
      </w:r>
      <w:r w:rsidR="00733EEE">
        <w:rPr>
          <w:lang w:val="fr-CA"/>
        </w:rPr>
        <w:t xml:space="preserve"> </w:t>
      </w:r>
      <w:r w:rsidR="00B464B6" w:rsidRPr="00CF2184">
        <w:rPr>
          <w:lang w:val="fr-CA"/>
        </w:rPr>
        <w:t>Jobin</w:t>
      </w:r>
      <w:r w:rsidR="00733EEE">
        <w:rPr>
          <w:lang w:val="fr-CA"/>
        </w:rPr>
        <w:t xml:space="preserve"> </w:t>
      </w:r>
      <w:r w:rsidR="00B464B6" w:rsidRPr="00CF2184">
        <w:rPr>
          <w:lang w:val="fr-CA"/>
        </w:rPr>
        <w:t>et</w:t>
      </w:r>
      <w:r w:rsidR="00733EEE">
        <w:rPr>
          <w:lang w:val="fr-CA"/>
        </w:rPr>
        <w:t xml:space="preserve"> </w:t>
      </w:r>
      <w:r w:rsidR="00B464B6" w:rsidRPr="00CF2184">
        <w:rPr>
          <w:lang w:val="fr-CA"/>
        </w:rPr>
        <w:t>Nathalie</w:t>
      </w:r>
      <w:r w:rsidR="00733EEE">
        <w:rPr>
          <w:lang w:val="fr-CA"/>
        </w:rPr>
        <w:t xml:space="preserve"> </w:t>
      </w:r>
      <w:r w:rsidR="00B464B6" w:rsidRPr="00CF2184">
        <w:rPr>
          <w:lang w:val="fr-CA"/>
        </w:rPr>
        <w:t>Vézina.</w:t>
      </w:r>
      <w:r w:rsidR="00733EEE">
        <w:rPr>
          <w:lang w:val="fr-CA"/>
        </w:rPr>
        <w:t xml:space="preserve">  </w:t>
      </w:r>
      <w:r w:rsidR="00B464B6" w:rsidRPr="00CF2184">
        <w:t>Cowansville,</w:t>
      </w:r>
      <w:r w:rsidR="00733EEE">
        <w:t xml:space="preserve"> </w:t>
      </w:r>
      <w:r w:rsidR="00B464B6" w:rsidRPr="00CF2184">
        <w:t>Qué.:</w:t>
      </w:r>
      <w:r w:rsidR="00733EEE">
        <w:t xml:space="preserve">  </w:t>
      </w:r>
      <w:r w:rsidR="00B464B6" w:rsidRPr="00CF2184">
        <w:t>Yvon</w:t>
      </w:r>
      <w:r w:rsidR="00733EEE">
        <w:t xml:space="preserve"> </w:t>
      </w:r>
      <w:r w:rsidR="00B464B6" w:rsidRPr="00CF2184">
        <w:t>Blais,</w:t>
      </w:r>
      <w:r w:rsidR="00733EEE">
        <w:t xml:space="preserve"> </w:t>
      </w:r>
      <w:r w:rsidR="00B464B6" w:rsidRPr="00CF2184">
        <w:t>2013</w:t>
      </w:r>
      <w:r w:rsidRPr="00CF2184">
        <w:t>.</w:t>
      </w:r>
    </w:p>
    <w:p w:rsidR="00941D5B" w:rsidRPr="00CF2184" w:rsidRDefault="00941D5B" w:rsidP="00733EEE">
      <w:pPr>
        <w:pStyle w:val="SCCNormalDoubleSpacing"/>
        <w:spacing w:after="240" w:line="240" w:lineRule="auto"/>
        <w:ind w:left="540" w:hanging="540"/>
      </w:pPr>
      <w:r w:rsidRPr="00CF2184">
        <w:t>Beale,</w:t>
      </w:r>
      <w:r w:rsidR="00733EEE">
        <w:t xml:space="preserve"> </w:t>
      </w:r>
      <w:r w:rsidRPr="00CF2184">
        <w:t>H</w:t>
      </w:r>
      <w:r w:rsidR="00B464B6" w:rsidRPr="00CF2184">
        <w:t>ugh</w:t>
      </w:r>
      <w:r w:rsidRPr="00CF2184">
        <w:t>,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</w:t>
      </w:r>
      <w:r w:rsidR="00B464B6" w:rsidRPr="00CF2184">
        <w:t>ony</w:t>
      </w:r>
      <w:r w:rsidR="00733EEE">
        <w:t xml:space="preserve"> </w:t>
      </w:r>
      <w:r w:rsidRPr="00CF2184">
        <w:t>Dugdale.</w:t>
      </w:r>
      <w:r w:rsidR="00733EEE">
        <w:t xml:space="preserve">  </w:t>
      </w:r>
      <w:r w:rsidRPr="00CF2184">
        <w:t>“Contracts</w:t>
      </w:r>
      <w:r w:rsidR="00733EEE">
        <w:t xml:space="preserve"> </w:t>
      </w:r>
      <w:r w:rsidRPr="00CF2184">
        <w:t>Between</w:t>
      </w:r>
      <w:r w:rsidR="00733EEE">
        <w:t xml:space="preserve"> </w:t>
      </w:r>
      <w:r w:rsidRPr="00CF2184">
        <w:t>Business</w:t>
      </w:r>
      <w:r w:rsidR="00B464B6" w:rsidRPr="00CF2184">
        <w:t>m</w:t>
      </w:r>
      <w:r w:rsidRPr="00CF2184">
        <w:t>en:</w:t>
      </w:r>
      <w:r w:rsidR="00733EEE">
        <w:t xml:space="preserve">  </w:t>
      </w:r>
      <w:r w:rsidRPr="00CF2184">
        <w:t>Planning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Use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Contractual</w:t>
      </w:r>
      <w:r w:rsidR="00733EEE">
        <w:t xml:space="preserve"> </w:t>
      </w:r>
      <w:r w:rsidRPr="00CF2184">
        <w:t>Remedies”</w:t>
      </w:r>
      <w:r w:rsidR="00733EEE">
        <w:t xml:space="preserve"> </w:t>
      </w:r>
      <w:r w:rsidRPr="00CF2184">
        <w:t>(1975),</w:t>
      </w:r>
      <w:r w:rsidR="00733EEE">
        <w:t xml:space="preserve"> </w:t>
      </w:r>
      <w:r w:rsidRPr="00CF2184">
        <w:t>2</w:t>
      </w:r>
      <w:r w:rsidR="00733EEE">
        <w:t xml:space="preserve"> </w:t>
      </w:r>
      <w:r w:rsidRPr="00CF2184">
        <w:rPr>
          <w:i/>
        </w:rPr>
        <w:t>Brit</w:t>
      </w:r>
      <w:r w:rsidR="00B464B6" w:rsidRPr="00CF2184">
        <w:rPr>
          <w:i/>
        </w:rPr>
        <w:t>.</w:t>
      </w:r>
      <w:r w:rsidR="00733EEE">
        <w:rPr>
          <w:i/>
        </w:rPr>
        <w:t xml:space="preserve"> </w:t>
      </w:r>
      <w:r w:rsidRPr="00CF2184">
        <w:rPr>
          <w:i/>
        </w:rPr>
        <w:t>J.</w:t>
      </w:r>
      <w:r w:rsidR="00733EEE">
        <w:rPr>
          <w:i/>
        </w:rPr>
        <w:t xml:space="preserve"> </w:t>
      </w:r>
      <w:r w:rsidRPr="00CF2184">
        <w:rPr>
          <w:i/>
        </w:rPr>
        <w:t>Law</w:t>
      </w:r>
      <w:r w:rsidR="00733EEE">
        <w:rPr>
          <w:i/>
        </w:rPr>
        <w:t xml:space="preserve"> </w:t>
      </w:r>
      <w:r w:rsidR="00B464B6" w:rsidRPr="00CF2184">
        <w:rPr>
          <w:i/>
        </w:rPr>
        <w:t>&amp;</w:t>
      </w:r>
      <w:r w:rsidR="00733EEE">
        <w:rPr>
          <w:i/>
        </w:rPr>
        <w:t xml:space="preserve"> </w:t>
      </w:r>
      <w:r w:rsidRPr="00CF2184">
        <w:rPr>
          <w:i/>
        </w:rPr>
        <w:t>Soc.</w:t>
      </w:r>
      <w:r w:rsidR="00733EEE">
        <w:t xml:space="preserve"> </w:t>
      </w:r>
      <w:r w:rsidRPr="00CF2184">
        <w:t>45.</w:t>
      </w:r>
    </w:p>
    <w:p w:rsidR="00FC1E80" w:rsidRPr="00CF2184" w:rsidRDefault="00941D5B" w:rsidP="00733EEE">
      <w:pPr>
        <w:pStyle w:val="SCCNormalDoubleSpacing"/>
        <w:spacing w:after="240" w:line="240" w:lineRule="auto"/>
        <w:ind w:left="540" w:hanging="540"/>
      </w:pPr>
      <w:r w:rsidRPr="00CF2184">
        <w:t>Belobaba,</w:t>
      </w:r>
      <w:r w:rsidR="00733EEE">
        <w:t xml:space="preserve"> </w:t>
      </w:r>
      <w:r w:rsidRPr="00CF2184">
        <w:t>Edward</w:t>
      </w:r>
      <w:r w:rsidR="00733EEE">
        <w:t xml:space="preserve"> </w:t>
      </w:r>
      <w:r w:rsidR="00BF5523" w:rsidRPr="00CF2184">
        <w:t>P.</w:t>
      </w:r>
      <w:r w:rsidR="00733EEE">
        <w:t xml:space="preserve">  </w:t>
      </w:r>
      <w:r w:rsidRPr="00CF2184">
        <w:t>“</w:t>
      </w:r>
      <w:r w:rsidR="002C55F6" w:rsidRPr="00CF2184">
        <w:t>Good</w:t>
      </w:r>
      <w:r w:rsidR="00733EEE">
        <w:t xml:space="preserve"> </w:t>
      </w:r>
      <w:r w:rsidR="002C55F6" w:rsidRPr="00CF2184">
        <w:t>Faith</w:t>
      </w:r>
      <w:r w:rsidR="00733EEE">
        <w:t xml:space="preserve"> </w:t>
      </w:r>
      <w:r w:rsidR="002C55F6" w:rsidRPr="00CF2184">
        <w:t>i</w:t>
      </w:r>
      <w:r w:rsidRPr="00CF2184">
        <w:t>n</w:t>
      </w:r>
      <w:r w:rsidR="00733EEE">
        <w:t xml:space="preserve"> </w:t>
      </w:r>
      <w:r w:rsidRPr="00CF2184">
        <w:t>Canadian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Law”,</w:t>
      </w:r>
      <w:r w:rsidR="00733EEE">
        <w:t xml:space="preserve"> </w:t>
      </w:r>
      <w:r w:rsidR="00B464B6" w:rsidRPr="00CF2184">
        <w:t>in</w:t>
      </w:r>
      <w:r w:rsidR="00733EEE">
        <w:t xml:space="preserve"> </w:t>
      </w:r>
      <w:r w:rsidR="007F3461" w:rsidRPr="00CF2184">
        <w:rPr>
          <w:i/>
        </w:rPr>
        <w:t>Special</w:t>
      </w:r>
      <w:r w:rsidR="00733EEE">
        <w:rPr>
          <w:i/>
        </w:rPr>
        <w:t xml:space="preserve"> </w:t>
      </w:r>
      <w:r w:rsidR="007F3461" w:rsidRPr="00CF2184">
        <w:rPr>
          <w:i/>
        </w:rPr>
        <w:t>Lectures</w:t>
      </w:r>
      <w:r w:rsidR="00733EEE">
        <w:rPr>
          <w:i/>
        </w:rPr>
        <w:t xml:space="preserve"> </w:t>
      </w:r>
      <w:r w:rsidR="007F3461" w:rsidRPr="00CF2184">
        <w:rPr>
          <w:i/>
        </w:rPr>
        <w:t>of</w:t>
      </w:r>
      <w:r w:rsidR="00733EEE">
        <w:rPr>
          <w:i/>
        </w:rPr>
        <w:t xml:space="preserve"> </w:t>
      </w:r>
      <w:r w:rsidR="007F3461" w:rsidRPr="00CF2184">
        <w:rPr>
          <w:i/>
        </w:rPr>
        <w:t>the</w:t>
      </w:r>
      <w:r w:rsidR="00733EEE">
        <w:rPr>
          <w:i/>
        </w:rPr>
        <w:t xml:space="preserve"> </w:t>
      </w:r>
      <w:r w:rsidR="007F3461" w:rsidRPr="00CF2184">
        <w:rPr>
          <w:i/>
        </w:rPr>
        <w:t>Law</w:t>
      </w:r>
      <w:r w:rsidR="00733EEE">
        <w:rPr>
          <w:i/>
        </w:rPr>
        <w:t xml:space="preserve"> </w:t>
      </w:r>
      <w:r w:rsidR="007F3461" w:rsidRPr="00CF2184">
        <w:rPr>
          <w:i/>
        </w:rPr>
        <w:t>Society</w:t>
      </w:r>
      <w:r w:rsidR="00733EEE">
        <w:rPr>
          <w:i/>
        </w:rPr>
        <w:t xml:space="preserve"> </w:t>
      </w:r>
      <w:r w:rsidR="007F3461" w:rsidRPr="00CF2184">
        <w:rPr>
          <w:i/>
        </w:rPr>
        <w:t>of</w:t>
      </w:r>
      <w:r w:rsidR="00733EEE">
        <w:rPr>
          <w:i/>
        </w:rPr>
        <w:t xml:space="preserve"> </w:t>
      </w:r>
      <w:r w:rsidR="007F3461" w:rsidRPr="00CF2184">
        <w:rPr>
          <w:i/>
        </w:rPr>
        <w:t>Upper</w:t>
      </w:r>
      <w:r w:rsidR="00733EEE">
        <w:rPr>
          <w:i/>
        </w:rPr>
        <w:t xml:space="preserve"> </w:t>
      </w:r>
      <w:r w:rsidR="007F3461" w:rsidRPr="00CF2184">
        <w:rPr>
          <w:i/>
        </w:rPr>
        <w:t>Canada</w:t>
      </w:r>
      <w:r w:rsidR="00733EEE">
        <w:rPr>
          <w:i/>
        </w:rPr>
        <w:t xml:space="preserve"> </w:t>
      </w:r>
      <w:r w:rsidR="007F3461" w:rsidRPr="00CF2184">
        <w:rPr>
          <w:i/>
        </w:rPr>
        <w:t>1985</w:t>
      </w:r>
      <w:r w:rsidR="00733EEE">
        <w:rPr>
          <w:i/>
        </w:rPr>
        <w:t xml:space="preserve"> </w:t>
      </w:r>
      <w:r w:rsidR="007F3461" w:rsidRPr="00CF2184">
        <w:rPr>
          <w:i/>
        </w:rPr>
        <w:t>—</w:t>
      </w:r>
      <w:r w:rsidR="00733EEE">
        <w:rPr>
          <w:i/>
        </w:rPr>
        <w:t xml:space="preserve"> </w:t>
      </w:r>
      <w:r w:rsidR="00B464B6" w:rsidRPr="00CF2184">
        <w:rPr>
          <w:i/>
        </w:rPr>
        <w:t>Commercial</w:t>
      </w:r>
      <w:r w:rsidR="00733EEE">
        <w:rPr>
          <w:i/>
        </w:rPr>
        <w:t xml:space="preserve"> </w:t>
      </w:r>
      <w:r w:rsidR="00B464B6" w:rsidRPr="00CF2184">
        <w:rPr>
          <w:i/>
        </w:rPr>
        <w:t>Law:</w:t>
      </w:r>
      <w:r w:rsidR="00733EEE">
        <w:rPr>
          <w:i/>
        </w:rPr>
        <w:t xml:space="preserve">  </w:t>
      </w:r>
      <w:r w:rsidR="00B464B6" w:rsidRPr="00CF2184">
        <w:rPr>
          <w:i/>
        </w:rPr>
        <w:t>Recent</w:t>
      </w:r>
      <w:r w:rsidR="00733EEE">
        <w:rPr>
          <w:i/>
        </w:rPr>
        <w:t xml:space="preserve"> </w:t>
      </w:r>
      <w:r w:rsidR="00B464B6" w:rsidRPr="00CF2184">
        <w:rPr>
          <w:i/>
        </w:rPr>
        <w:t>Developments</w:t>
      </w:r>
      <w:r w:rsidR="00733EEE">
        <w:rPr>
          <w:i/>
        </w:rPr>
        <w:t xml:space="preserve"> </w:t>
      </w:r>
      <w:r w:rsidR="00B464B6" w:rsidRPr="00CF2184">
        <w:rPr>
          <w:i/>
        </w:rPr>
        <w:t>and</w:t>
      </w:r>
      <w:r w:rsidR="00733EEE">
        <w:rPr>
          <w:i/>
        </w:rPr>
        <w:t xml:space="preserve"> </w:t>
      </w:r>
      <w:r w:rsidR="00B464B6" w:rsidRPr="00CF2184">
        <w:rPr>
          <w:i/>
        </w:rPr>
        <w:t>Emerging</w:t>
      </w:r>
      <w:r w:rsidR="00733EEE">
        <w:rPr>
          <w:i/>
        </w:rPr>
        <w:t xml:space="preserve"> </w:t>
      </w:r>
      <w:r w:rsidR="00B464B6" w:rsidRPr="00CF2184">
        <w:rPr>
          <w:i/>
        </w:rPr>
        <w:t>Trends</w:t>
      </w:r>
      <w:r w:rsidRPr="00CF2184">
        <w:t>.</w:t>
      </w:r>
      <w:r w:rsidR="00733EEE">
        <w:t xml:space="preserve">  </w:t>
      </w:r>
      <w:r w:rsidRPr="00CF2184">
        <w:t>Don</w:t>
      </w:r>
      <w:r w:rsidR="00733EEE">
        <w:t xml:space="preserve"> </w:t>
      </w:r>
      <w:r w:rsidRPr="00CF2184">
        <w:t>Mills,</w:t>
      </w:r>
      <w:r w:rsidR="00733EEE">
        <w:t xml:space="preserve"> </w:t>
      </w:r>
      <w:r w:rsidRPr="00CF2184">
        <w:t>Ont.:</w:t>
      </w:r>
      <w:r w:rsidR="00733EEE">
        <w:t xml:space="preserve">  </w:t>
      </w:r>
      <w:r w:rsidRPr="00CF2184">
        <w:t>De</w:t>
      </w:r>
      <w:r w:rsidR="00733EEE">
        <w:t xml:space="preserve"> </w:t>
      </w:r>
      <w:r w:rsidRPr="00CF2184">
        <w:t>Boo,</w:t>
      </w:r>
      <w:r w:rsidR="00733EEE">
        <w:t xml:space="preserve"> </w:t>
      </w:r>
      <w:r w:rsidRPr="00CF2184">
        <w:t>1985</w:t>
      </w:r>
      <w:r w:rsidR="00D3668A" w:rsidRPr="00CF2184">
        <w:t>,</w:t>
      </w:r>
      <w:r w:rsidR="00733EEE">
        <w:t xml:space="preserve"> </w:t>
      </w:r>
      <w:r w:rsidR="00D3668A" w:rsidRPr="00CF2184">
        <w:t>73</w:t>
      </w:r>
      <w:r w:rsidR="00FC1E80" w:rsidRPr="00CF2184">
        <w:t>.</w:t>
      </w:r>
    </w:p>
    <w:p w:rsidR="00941D5B" w:rsidRPr="00CF2184" w:rsidRDefault="00941D5B" w:rsidP="00733EEE">
      <w:pPr>
        <w:pStyle w:val="SCCNormalDoubleSpacing"/>
        <w:spacing w:after="240" w:line="240" w:lineRule="auto"/>
        <w:ind w:left="540" w:hanging="540"/>
      </w:pPr>
      <w:r w:rsidRPr="00CF2184">
        <w:t>Bridge,</w:t>
      </w:r>
      <w:r w:rsidR="00733EEE">
        <w:t xml:space="preserve"> </w:t>
      </w:r>
      <w:r w:rsidRPr="00CF2184">
        <w:t>M</w:t>
      </w:r>
      <w:r w:rsidR="00D3668A" w:rsidRPr="00CF2184">
        <w:t>ichael</w:t>
      </w:r>
      <w:r w:rsidR="00733EEE">
        <w:t xml:space="preserve"> </w:t>
      </w:r>
      <w:r w:rsidR="00D3668A" w:rsidRPr="00CF2184">
        <w:t>G</w:t>
      </w:r>
      <w:r w:rsidRPr="00CF2184">
        <w:t>.</w:t>
      </w:r>
      <w:r w:rsidR="00733EEE">
        <w:t xml:space="preserve">  </w:t>
      </w:r>
      <w:r w:rsidRPr="00CF2184">
        <w:t>“Does</w:t>
      </w:r>
      <w:r w:rsidR="00733EEE">
        <w:t xml:space="preserve"> </w:t>
      </w:r>
      <w:r w:rsidRPr="00CF2184">
        <w:t>Anglo</w:t>
      </w:r>
      <w:r w:rsidR="00733EEE">
        <w:t>-</w:t>
      </w:r>
      <w:r w:rsidRPr="00CF2184">
        <w:t>Canadian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Need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Doctrine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Faith?”</w:t>
      </w:r>
      <w:r w:rsidR="00733EEE">
        <w:t xml:space="preserve"> </w:t>
      </w:r>
      <w:r w:rsidRPr="00CF2184">
        <w:t>(1984),</w:t>
      </w:r>
      <w:r w:rsidR="00733EEE">
        <w:t xml:space="preserve"> </w:t>
      </w:r>
      <w:r w:rsidRPr="00CF2184">
        <w:t>9</w:t>
      </w:r>
      <w:r w:rsidR="00733EEE">
        <w:t xml:space="preserve"> </w:t>
      </w:r>
      <w:r w:rsidRPr="00CF2184">
        <w:rPr>
          <w:i/>
        </w:rPr>
        <w:t>Can.</w:t>
      </w:r>
      <w:r w:rsidR="00733EEE">
        <w:rPr>
          <w:i/>
        </w:rPr>
        <w:t xml:space="preserve"> </w:t>
      </w:r>
      <w:r w:rsidRPr="00CF2184">
        <w:rPr>
          <w:i/>
        </w:rPr>
        <w:t>Bus.</w:t>
      </w:r>
      <w:r w:rsidR="00733EEE">
        <w:rPr>
          <w:i/>
        </w:rPr>
        <w:t xml:space="preserve"> </w:t>
      </w:r>
      <w:r w:rsidRPr="00CF2184">
        <w:rPr>
          <w:i/>
        </w:rPr>
        <w:t>L.J.</w:t>
      </w:r>
      <w:r w:rsidR="00733EEE">
        <w:t xml:space="preserve"> </w:t>
      </w:r>
      <w:r w:rsidRPr="00CF2184">
        <w:t>385.</w:t>
      </w:r>
    </w:p>
    <w:p w:rsidR="005E782F" w:rsidRPr="00CF2184" w:rsidRDefault="00895946" w:rsidP="00733EEE">
      <w:pPr>
        <w:pStyle w:val="SCCNormalDoubleSpacing"/>
        <w:spacing w:after="240" w:line="240" w:lineRule="auto"/>
        <w:ind w:left="540" w:hanging="540"/>
      </w:pPr>
      <w:r w:rsidRPr="00CF2184">
        <w:t>Burton,</w:t>
      </w:r>
      <w:r w:rsidR="00733EEE">
        <w:t xml:space="preserve"> </w:t>
      </w:r>
      <w:r w:rsidRPr="00CF2184">
        <w:t>Steven</w:t>
      </w:r>
      <w:r w:rsidR="00733EEE">
        <w:t xml:space="preserve"> </w:t>
      </w:r>
      <w:r w:rsidR="00D3668A" w:rsidRPr="00CF2184">
        <w:t>J</w:t>
      </w:r>
      <w:r w:rsidRPr="00CF2184">
        <w:t>.</w:t>
      </w:r>
      <w:r w:rsidR="00733EEE">
        <w:t xml:space="preserve">  </w:t>
      </w:r>
      <w:r w:rsidRPr="00CF2184">
        <w:t>“</w:t>
      </w:r>
      <w:r w:rsidR="005E782F" w:rsidRPr="00CF2184">
        <w:t>Breach</w:t>
      </w:r>
      <w:r w:rsidR="00733EEE">
        <w:t xml:space="preserve"> </w:t>
      </w:r>
      <w:r w:rsidR="005E782F" w:rsidRPr="00CF2184">
        <w:t>of</w:t>
      </w:r>
      <w:r w:rsidR="00733EEE">
        <w:t xml:space="preserve"> </w:t>
      </w:r>
      <w:r w:rsidR="005E782F" w:rsidRPr="00CF2184">
        <w:t>Contract</w:t>
      </w:r>
      <w:r w:rsidR="00733EEE">
        <w:t xml:space="preserve"> </w:t>
      </w:r>
      <w:r w:rsidR="005E782F" w:rsidRPr="00CF2184">
        <w:t>and</w:t>
      </w:r>
      <w:r w:rsidR="00733EEE">
        <w:t xml:space="preserve"> </w:t>
      </w:r>
      <w:r w:rsidR="005E782F" w:rsidRPr="00CF2184">
        <w:t>the</w:t>
      </w:r>
      <w:r w:rsidR="00733EEE">
        <w:t xml:space="preserve"> </w:t>
      </w:r>
      <w:r w:rsidR="005E782F" w:rsidRPr="00CF2184">
        <w:t>Common</w:t>
      </w:r>
      <w:r w:rsidR="00733EEE">
        <w:t xml:space="preserve"> </w:t>
      </w:r>
      <w:r w:rsidR="005E782F" w:rsidRPr="00CF2184">
        <w:t>La</w:t>
      </w:r>
      <w:r w:rsidRPr="00CF2184">
        <w:t>w</w:t>
      </w:r>
      <w:r w:rsidR="00733EEE">
        <w:t xml:space="preserve"> </w:t>
      </w:r>
      <w:r w:rsidRPr="00CF2184">
        <w:t>Duty</w:t>
      </w:r>
      <w:r w:rsidR="00733EEE">
        <w:t xml:space="preserve"> </w:t>
      </w:r>
      <w:r w:rsidRPr="00CF2184">
        <w:t>to</w:t>
      </w:r>
      <w:r w:rsidR="00733EEE">
        <w:t xml:space="preserve"> </w:t>
      </w:r>
      <w:r w:rsidRPr="00CF2184">
        <w:t>Perform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Faith”</w:t>
      </w:r>
      <w:r w:rsidR="00733EEE">
        <w:t xml:space="preserve"> </w:t>
      </w:r>
      <w:r w:rsidR="0007570B">
        <w:t>(1981</w:t>
      </w:r>
      <w:r w:rsidR="005E782F" w:rsidRPr="00CF2184">
        <w:t>)</w:t>
      </w:r>
      <w:r w:rsidRPr="00CF2184">
        <w:t>,</w:t>
      </w:r>
      <w:r w:rsidR="00733EEE">
        <w:t xml:space="preserve"> </w:t>
      </w:r>
      <w:r w:rsidR="005E782F" w:rsidRPr="00CF2184">
        <w:t>94</w:t>
      </w:r>
      <w:r w:rsidR="00733EEE">
        <w:t xml:space="preserve"> </w:t>
      </w:r>
      <w:r w:rsidR="005E782F" w:rsidRPr="00CF2184">
        <w:rPr>
          <w:i/>
        </w:rPr>
        <w:t>Harv.</w:t>
      </w:r>
      <w:r w:rsidR="00733EEE">
        <w:rPr>
          <w:i/>
        </w:rPr>
        <w:t xml:space="preserve"> </w:t>
      </w:r>
      <w:r w:rsidR="005E782F" w:rsidRPr="00CF2184">
        <w:rPr>
          <w:i/>
        </w:rPr>
        <w:t>L.</w:t>
      </w:r>
      <w:r w:rsidR="00733EEE">
        <w:rPr>
          <w:i/>
        </w:rPr>
        <w:t xml:space="preserve"> </w:t>
      </w:r>
      <w:r w:rsidR="005E782F" w:rsidRPr="00CF2184">
        <w:rPr>
          <w:i/>
        </w:rPr>
        <w:t>R</w:t>
      </w:r>
      <w:r w:rsidR="00AE0C63" w:rsidRPr="00CF2184">
        <w:rPr>
          <w:i/>
        </w:rPr>
        <w:t>ev</w:t>
      </w:r>
      <w:r w:rsidR="005E782F" w:rsidRPr="00CF2184">
        <w:rPr>
          <w:i/>
        </w:rPr>
        <w:t>.</w:t>
      </w:r>
      <w:r w:rsidR="00733EEE">
        <w:t xml:space="preserve"> </w:t>
      </w:r>
      <w:r w:rsidR="005E782F" w:rsidRPr="00CF2184">
        <w:t>369.</w:t>
      </w:r>
    </w:p>
    <w:p w:rsidR="002E1B77" w:rsidRPr="00CF2184" w:rsidRDefault="002E1B77" w:rsidP="00733EEE">
      <w:pPr>
        <w:pStyle w:val="SCCNormalDoubleSpacing"/>
        <w:spacing w:after="240" w:line="240" w:lineRule="auto"/>
        <w:ind w:left="540" w:hanging="540"/>
      </w:pPr>
      <w:r w:rsidRPr="00CF2184">
        <w:t>Campbell,</w:t>
      </w:r>
      <w:r w:rsidR="00733EEE">
        <w:t xml:space="preserve"> </w:t>
      </w:r>
      <w:r w:rsidRPr="00CF2184">
        <w:t>David.</w:t>
      </w:r>
      <w:r w:rsidR="00733EEE">
        <w:t xml:space="preserve">  </w:t>
      </w:r>
      <w:r w:rsidRPr="00CF2184">
        <w:t>“Good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Ubiquity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‘Relational’</w:t>
      </w:r>
      <w:r w:rsidR="00733EEE">
        <w:t xml:space="preserve"> </w:t>
      </w:r>
      <w:r w:rsidRPr="00CF2184">
        <w:t>Contract”</w:t>
      </w:r>
      <w:r w:rsidR="00733EEE">
        <w:t xml:space="preserve"> </w:t>
      </w:r>
      <w:r w:rsidRPr="00CF2184">
        <w:t>(2014),</w:t>
      </w:r>
      <w:r w:rsidR="00733EEE">
        <w:t xml:space="preserve"> </w:t>
      </w:r>
      <w:r w:rsidRPr="00CF2184">
        <w:t>77</w:t>
      </w:r>
      <w:r w:rsidR="00733EEE">
        <w:t xml:space="preserve"> </w:t>
      </w:r>
      <w:r w:rsidRPr="00CF2184">
        <w:rPr>
          <w:i/>
        </w:rPr>
        <w:t>Mod</w:t>
      </w:r>
      <w:r w:rsidR="00AE0C63" w:rsidRPr="00CF2184">
        <w:rPr>
          <w:i/>
        </w:rPr>
        <w:t>.</w:t>
      </w:r>
      <w:r w:rsidR="00733EEE">
        <w:rPr>
          <w:i/>
        </w:rPr>
        <w:t xml:space="preserve"> </w:t>
      </w:r>
      <w:r w:rsidRPr="00CF2184">
        <w:rPr>
          <w:i/>
        </w:rPr>
        <w:t>L.</w:t>
      </w:r>
      <w:r w:rsidR="00733EEE">
        <w:rPr>
          <w:i/>
        </w:rPr>
        <w:t xml:space="preserve"> </w:t>
      </w:r>
      <w:r w:rsidRPr="00CF2184">
        <w:rPr>
          <w:i/>
        </w:rPr>
        <w:t>Rev.</w:t>
      </w:r>
      <w:r w:rsidR="00733EEE">
        <w:t xml:space="preserve"> </w:t>
      </w:r>
      <w:r w:rsidRPr="00CF2184">
        <w:t>475.</w:t>
      </w:r>
    </w:p>
    <w:p w:rsidR="00592568" w:rsidRPr="00CF2184" w:rsidRDefault="00592568" w:rsidP="00733EEE">
      <w:pPr>
        <w:pStyle w:val="SCCNormalDoubleSpacing"/>
        <w:spacing w:after="240" w:line="240" w:lineRule="auto"/>
        <w:ind w:left="540" w:hanging="540"/>
      </w:pPr>
      <w:r w:rsidRPr="00CF2184">
        <w:rPr>
          <w:i/>
        </w:rPr>
        <w:t>Cheshire</w:t>
      </w:r>
      <w:r w:rsidR="00733EEE">
        <w:rPr>
          <w:i/>
        </w:rPr>
        <w:t xml:space="preserve"> </w:t>
      </w:r>
      <w:r w:rsidRPr="00CF2184">
        <w:rPr>
          <w:i/>
        </w:rPr>
        <w:t>and</w:t>
      </w:r>
      <w:r w:rsidR="00733EEE">
        <w:rPr>
          <w:i/>
        </w:rPr>
        <w:t xml:space="preserve"> </w:t>
      </w:r>
      <w:r w:rsidRPr="00CF2184">
        <w:rPr>
          <w:i/>
        </w:rPr>
        <w:t>Fifoot</w:t>
      </w:r>
      <w:r w:rsidR="00AE0C63" w:rsidRPr="00CF2184">
        <w:rPr>
          <w:i/>
        </w:rPr>
        <w:t>’s</w:t>
      </w:r>
      <w:r w:rsidR="00733EEE">
        <w:rPr>
          <w:i/>
        </w:rPr>
        <w:t xml:space="preserve"> </w:t>
      </w:r>
      <w:r w:rsidR="00AE0C63" w:rsidRPr="00CF2184">
        <w:rPr>
          <w:i/>
        </w:rPr>
        <w:t>Law</w:t>
      </w:r>
      <w:r w:rsidR="00733EEE">
        <w:rPr>
          <w:i/>
        </w:rPr>
        <w:t xml:space="preserve"> </w:t>
      </w:r>
      <w:r w:rsidR="00AE0C63" w:rsidRPr="00CF2184">
        <w:rPr>
          <w:i/>
        </w:rPr>
        <w:t>of</w:t>
      </w:r>
      <w:r w:rsidR="00733EEE">
        <w:rPr>
          <w:i/>
        </w:rPr>
        <w:t xml:space="preserve"> </w:t>
      </w:r>
      <w:r w:rsidR="00AE0C63" w:rsidRPr="00CF2184">
        <w:rPr>
          <w:i/>
        </w:rPr>
        <w:t>Contract</w:t>
      </w:r>
      <w:r w:rsidRPr="00CF2184">
        <w:t>,</w:t>
      </w:r>
      <w:r w:rsidR="00733EEE">
        <w:t xml:space="preserve"> </w:t>
      </w:r>
      <w:r w:rsidRPr="00CF2184">
        <w:t>9th</w:t>
      </w:r>
      <w:r w:rsidR="00733EEE">
        <w:t xml:space="preserve"> </w:t>
      </w:r>
      <w:r w:rsidRPr="00CF2184">
        <w:t>Australian</w:t>
      </w:r>
      <w:r w:rsidR="00733EEE">
        <w:t xml:space="preserve"> </w:t>
      </w:r>
      <w:r w:rsidRPr="00CF2184">
        <w:t>ed.</w:t>
      </w:r>
      <w:r w:rsidR="00AE0C63" w:rsidRPr="00CF2184">
        <w:t>,</w:t>
      </w:r>
      <w:r w:rsidR="00733EEE">
        <w:t xml:space="preserve"> </w:t>
      </w:r>
      <w:r w:rsidR="00AE0C63" w:rsidRPr="00CF2184">
        <w:t>by</w:t>
      </w:r>
      <w:r w:rsidR="00733EEE">
        <w:t xml:space="preserve"> </w:t>
      </w:r>
      <w:r w:rsidR="00AE0C63" w:rsidRPr="00CF2184">
        <w:t>N.</w:t>
      </w:r>
      <w:r w:rsidR="00733EEE">
        <w:t xml:space="preserve"> </w:t>
      </w:r>
      <w:r w:rsidR="00AE0C63" w:rsidRPr="00CF2184">
        <w:t>C.</w:t>
      </w:r>
      <w:r w:rsidR="00733EEE">
        <w:t xml:space="preserve"> </w:t>
      </w:r>
      <w:r w:rsidR="00AE0C63" w:rsidRPr="00CF2184">
        <w:t>Seddon</w:t>
      </w:r>
      <w:r w:rsidR="00733EEE">
        <w:t xml:space="preserve"> </w:t>
      </w:r>
      <w:r w:rsidR="00AE0C63" w:rsidRPr="00CF2184">
        <w:t>and</w:t>
      </w:r>
      <w:r w:rsidR="00733EEE">
        <w:t xml:space="preserve"> </w:t>
      </w:r>
      <w:r w:rsidR="00AE0C63" w:rsidRPr="00CF2184">
        <w:t>M.</w:t>
      </w:r>
      <w:r w:rsidR="00733EEE">
        <w:t xml:space="preserve"> </w:t>
      </w:r>
      <w:r w:rsidR="00BF5523" w:rsidRPr="00CF2184">
        <w:t>P.</w:t>
      </w:r>
      <w:r w:rsidR="00733EEE">
        <w:t xml:space="preserve"> </w:t>
      </w:r>
      <w:r w:rsidR="00AE0C63" w:rsidRPr="00CF2184">
        <w:t>Ellinghaus.</w:t>
      </w:r>
      <w:r w:rsidR="00733EEE">
        <w:t xml:space="preserve">  </w:t>
      </w:r>
      <w:r w:rsidR="00AE0C63" w:rsidRPr="00CF2184">
        <w:t>Chatswood,</w:t>
      </w:r>
      <w:r w:rsidR="00733EEE">
        <w:t xml:space="preserve"> </w:t>
      </w:r>
      <w:r w:rsidR="00AE0C63" w:rsidRPr="00CF2184">
        <w:t>N.S.W.:</w:t>
      </w:r>
      <w:r w:rsidR="00733EEE">
        <w:t xml:space="preserve">  </w:t>
      </w:r>
      <w:r w:rsidR="00AE0C63" w:rsidRPr="00CF2184">
        <w:t>LexisNexis</w:t>
      </w:r>
      <w:r w:rsidR="00733EEE">
        <w:t xml:space="preserve"> </w:t>
      </w:r>
      <w:r w:rsidR="00AE0C63" w:rsidRPr="00CF2184">
        <w:t>Butterworths,</w:t>
      </w:r>
      <w:r w:rsidR="00733EEE">
        <w:t xml:space="preserve"> </w:t>
      </w:r>
      <w:r w:rsidR="00AE0C63" w:rsidRPr="00CF2184">
        <w:t>2008.</w:t>
      </w:r>
    </w:p>
    <w:p w:rsidR="00FC1E80" w:rsidRPr="00CF2184" w:rsidRDefault="00FC1E80" w:rsidP="00733EEE">
      <w:pPr>
        <w:pStyle w:val="SCCNormalDoubleSpacing"/>
        <w:spacing w:after="240" w:line="240" w:lineRule="auto"/>
        <w:ind w:left="540" w:hanging="540"/>
      </w:pPr>
      <w:r w:rsidRPr="00CF2184">
        <w:rPr>
          <w:i/>
        </w:rPr>
        <w:lastRenderedPageBreak/>
        <w:t>Chitty</w:t>
      </w:r>
      <w:r w:rsidR="00733EEE">
        <w:rPr>
          <w:i/>
        </w:rPr>
        <w:t xml:space="preserve"> </w:t>
      </w:r>
      <w:r w:rsidRPr="00CF2184">
        <w:rPr>
          <w:i/>
        </w:rPr>
        <w:t>on</w:t>
      </w:r>
      <w:r w:rsidR="00733EEE">
        <w:rPr>
          <w:i/>
        </w:rPr>
        <w:t xml:space="preserve"> </w:t>
      </w:r>
      <w:r w:rsidRPr="00CF2184">
        <w:rPr>
          <w:i/>
        </w:rPr>
        <w:t>Contract</w:t>
      </w:r>
      <w:r w:rsidR="00AE0C63" w:rsidRPr="00CF2184">
        <w:rPr>
          <w:i/>
        </w:rPr>
        <w:t>s</w:t>
      </w:r>
      <w:r w:rsidR="002E1B77" w:rsidRPr="00CF2184">
        <w:t>,</w:t>
      </w:r>
      <w:r w:rsidR="00733EEE">
        <w:t xml:space="preserve"> </w:t>
      </w:r>
      <w:r w:rsidR="00A25E75" w:rsidRPr="00CF2184">
        <w:t>31st</w:t>
      </w:r>
      <w:r w:rsidR="00733EEE">
        <w:t xml:space="preserve"> </w:t>
      </w:r>
      <w:r w:rsidR="00A25E75" w:rsidRPr="00CF2184">
        <w:t>ed.</w:t>
      </w:r>
      <w:r w:rsidR="00AE0C63" w:rsidRPr="00CF2184">
        <w:t>,</w:t>
      </w:r>
      <w:r w:rsidR="00733EEE">
        <w:t xml:space="preserve"> </w:t>
      </w:r>
      <w:r w:rsidR="00BF5523" w:rsidRPr="00CF2184">
        <w:t>vol.</w:t>
      </w:r>
      <w:r w:rsidR="00733EEE">
        <w:t xml:space="preserve"> </w:t>
      </w:r>
      <w:r w:rsidR="00AE0C63" w:rsidRPr="00CF2184">
        <w:t>I,</w:t>
      </w:r>
      <w:r w:rsidR="00733EEE">
        <w:t xml:space="preserve"> </w:t>
      </w:r>
      <w:r w:rsidR="00AE0C63" w:rsidRPr="00CF2184">
        <w:rPr>
          <w:i/>
        </w:rPr>
        <w:t>General</w:t>
      </w:r>
      <w:r w:rsidR="00733EEE">
        <w:rPr>
          <w:i/>
        </w:rPr>
        <w:t xml:space="preserve"> </w:t>
      </w:r>
      <w:r w:rsidR="00AE0C63" w:rsidRPr="00CF2184">
        <w:rPr>
          <w:i/>
        </w:rPr>
        <w:t>Principles</w:t>
      </w:r>
      <w:r w:rsidR="00AE0C63" w:rsidRPr="00CF2184">
        <w:t>,</w:t>
      </w:r>
      <w:r w:rsidR="00733EEE">
        <w:t xml:space="preserve"> </w:t>
      </w:r>
      <w:r w:rsidR="00A25E75" w:rsidRPr="00CF2184">
        <w:t>by</w:t>
      </w:r>
      <w:r w:rsidR="00733EEE">
        <w:t xml:space="preserve"> </w:t>
      </w:r>
      <w:r w:rsidR="00AE0C63" w:rsidRPr="00CF2184">
        <w:t>H.</w:t>
      </w:r>
      <w:r w:rsidR="00733EEE">
        <w:t xml:space="preserve"> </w:t>
      </w:r>
      <w:r w:rsidR="00AE0C63" w:rsidRPr="00CF2184">
        <w:t>G.</w:t>
      </w:r>
      <w:r w:rsidR="00733EEE">
        <w:t xml:space="preserve"> </w:t>
      </w:r>
      <w:r w:rsidR="002E1B77" w:rsidRPr="00CF2184">
        <w:t>Beale</w:t>
      </w:r>
      <w:r w:rsidR="00733EEE">
        <w:t xml:space="preserve"> </w:t>
      </w:r>
      <w:r w:rsidR="002E1B77" w:rsidRPr="00CF2184">
        <w:t>et</w:t>
      </w:r>
      <w:r w:rsidR="00733EEE">
        <w:t xml:space="preserve"> </w:t>
      </w:r>
      <w:r w:rsidR="002E1B77" w:rsidRPr="00CF2184">
        <w:t>al.</w:t>
      </w:r>
      <w:r w:rsidR="00AE0C63" w:rsidRPr="00CF2184">
        <w:t>,</w:t>
      </w:r>
      <w:r w:rsidR="00733EEE">
        <w:t xml:space="preserve"> </w:t>
      </w:r>
      <w:r w:rsidR="00AE0C63" w:rsidRPr="00CF2184">
        <w:t>eds.</w:t>
      </w:r>
      <w:r w:rsidR="00733EEE">
        <w:t xml:space="preserve">  </w:t>
      </w:r>
      <w:r w:rsidR="00AE0C63" w:rsidRPr="00CF2184">
        <w:t>London:</w:t>
      </w:r>
      <w:r w:rsidR="00733EEE">
        <w:t xml:space="preserve">  </w:t>
      </w:r>
      <w:r w:rsidR="00AE0C63" w:rsidRPr="00CF2184">
        <w:t>Sweet</w:t>
      </w:r>
      <w:r w:rsidR="00733EEE">
        <w:t xml:space="preserve"> </w:t>
      </w:r>
      <w:r w:rsidR="00AE0C63" w:rsidRPr="00CF2184">
        <w:t>&amp;</w:t>
      </w:r>
      <w:r w:rsidR="00733EEE">
        <w:t xml:space="preserve"> </w:t>
      </w:r>
      <w:r w:rsidR="00AE0C63" w:rsidRPr="00CF2184">
        <w:t>Maxwell,</w:t>
      </w:r>
      <w:r w:rsidR="00733EEE">
        <w:t xml:space="preserve"> </w:t>
      </w:r>
      <w:r w:rsidR="00AE0C63" w:rsidRPr="00CF2184">
        <w:t>2012.</w:t>
      </w:r>
    </w:p>
    <w:p w:rsidR="00941D5B" w:rsidRPr="00CF2184" w:rsidRDefault="00941D5B" w:rsidP="00733EEE">
      <w:pPr>
        <w:pStyle w:val="SCCNormalDoubleSpacing"/>
        <w:spacing w:after="240" w:line="240" w:lineRule="auto"/>
        <w:ind w:left="540" w:hanging="540"/>
      </w:pPr>
      <w:r w:rsidRPr="00CF2184">
        <w:t>Clark</w:t>
      </w:r>
      <w:r w:rsidR="00AE0C63" w:rsidRPr="00CF2184">
        <w:t>,</w:t>
      </w:r>
      <w:r w:rsidR="00733EEE">
        <w:t xml:space="preserve"> </w:t>
      </w:r>
      <w:r w:rsidR="00AE0C63" w:rsidRPr="00CF2184">
        <w:t>Don</w:t>
      </w:r>
      <w:r w:rsidRPr="00CF2184">
        <w:t>.</w:t>
      </w:r>
      <w:r w:rsidR="00733EEE">
        <w:t xml:space="preserve">  </w:t>
      </w:r>
      <w:r w:rsidRPr="00CF2184">
        <w:t>“Some</w:t>
      </w:r>
      <w:r w:rsidR="00733EEE">
        <w:t xml:space="preserve"> </w:t>
      </w:r>
      <w:r w:rsidRPr="00CF2184">
        <w:t>Recent</w:t>
      </w:r>
      <w:r w:rsidR="00733EEE">
        <w:t xml:space="preserve"> </w:t>
      </w:r>
      <w:r w:rsidRPr="00CF2184">
        <w:t>Developments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Canadian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Contracts”</w:t>
      </w:r>
      <w:r w:rsidR="00733EEE">
        <w:t xml:space="preserve"> </w:t>
      </w:r>
      <w:r w:rsidRPr="00CF2184">
        <w:t>(1993),</w:t>
      </w:r>
      <w:r w:rsidR="00733EEE">
        <w:t xml:space="preserve"> </w:t>
      </w:r>
      <w:r w:rsidRPr="00CF2184">
        <w:t>14</w:t>
      </w:r>
      <w:r w:rsidR="00733EEE">
        <w:t xml:space="preserve"> </w:t>
      </w:r>
      <w:r w:rsidRPr="00CF2184">
        <w:rPr>
          <w:i/>
        </w:rPr>
        <w:t>Advocates’</w:t>
      </w:r>
      <w:r w:rsidR="00733EEE">
        <w:rPr>
          <w:i/>
        </w:rPr>
        <w:t xml:space="preserve"> </w:t>
      </w:r>
      <w:r w:rsidRPr="00CF2184">
        <w:rPr>
          <w:i/>
        </w:rPr>
        <w:t>Q.</w:t>
      </w:r>
      <w:r w:rsidR="00733EEE">
        <w:t xml:space="preserve"> </w:t>
      </w:r>
      <w:r w:rsidRPr="00CF2184">
        <w:t>435.</w:t>
      </w:r>
    </w:p>
    <w:p w:rsidR="00941D5B" w:rsidRPr="00CF2184" w:rsidRDefault="0035700F" w:rsidP="00733EEE">
      <w:pPr>
        <w:pStyle w:val="SCCNormalDoubleSpacing"/>
        <w:spacing w:after="240" w:line="240" w:lineRule="auto"/>
        <w:ind w:left="540" w:hanging="540"/>
      </w:pPr>
      <w:r w:rsidRPr="00CF2184">
        <w:t>Dixon,</w:t>
      </w:r>
      <w:r w:rsidR="00733EEE">
        <w:t xml:space="preserve"> </w:t>
      </w:r>
      <w:r w:rsidRPr="00CF2184">
        <w:t>Bill.</w:t>
      </w:r>
      <w:r w:rsidR="00733EEE">
        <w:t xml:space="preserve">  </w:t>
      </w:r>
      <w:r w:rsidRPr="00CF2184">
        <w:t>“Common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o</w:t>
      </w:r>
      <w:r w:rsidR="00941D5B" w:rsidRPr="00CF2184">
        <w:t>bl</w:t>
      </w:r>
      <w:r w:rsidRPr="00CF2184">
        <w:t>igations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Australian</w:t>
      </w:r>
      <w:r w:rsidR="00733EEE">
        <w:t xml:space="preserve"> </w:t>
      </w:r>
      <w:r w:rsidRPr="00CF2184">
        <w:t>commercial</w:t>
      </w:r>
      <w:r w:rsidR="00733EEE">
        <w:t xml:space="preserve"> </w:t>
      </w:r>
      <w:r w:rsidRPr="00CF2184">
        <w:t>contracts</w:t>
      </w:r>
      <w:r w:rsidR="00733EEE">
        <w:t xml:space="preserve"> </w:t>
      </w:r>
      <w:r w:rsidRPr="00CF2184">
        <w:t>—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relational</w:t>
      </w:r>
      <w:r w:rsidR="00733EEE">
        <w:t xml:space="preserve"> </w:t>
      </w:r>
      <w:r w:rsidRPr="00CF2184">
        <w:t>r</w:t>
      </w:r>
      <w:r w:rsidR="00941D5B" w:rsidRPr="00CF2184">
        <w:t>ecipe”</w:t>
      </w:r>
      <w:r w:rsidR="00733EEE">
        <w:t xml:space="preserve"> </w:t>
      </w:r>
      <w:r w:rsidR="00941D5B" w:rsidRPr="00CF2184">
        <w:t>(2005),</w:t>
      </w:r>
      <w:r w:rsidR="00733EEE">
        <w:t xml:space="preserve"> </w:t>
      </w:r>
      <w:r w:rsidR="00941D5B" w:rsidRPr="00CF2184">
        <w:t>3</w:t>
      </w:r>
      <w:r w:rsidRPr="00CF2184">
        <w:t>3</w:t>
      </w:r>
      <w:r w:rsidR="00733EEE">
        <w:t xml:space="preserve"> </w:t>
      </w:r>
      <w:r w:rsidR="00941D5B" w:rsidRPr="00CF2184">
        <w:rPr>
          <w:i/>
        </w:rPr>
        <w:t>A</w:t>
      </w:r>
      <w:r w:rsidR="00901C25" w:rsidRPr="00CF2184">
        <w:rPr>
          <w:i/>
        </w:rPr>
        <w:t>.</w:t>
      </w:r>
      <w:r w:rsidR="00941D5B" w:rsidRPr="00CF2184">
        <w:rPr>
          <w:i/>
        </w:rPr>
        <w:t>B</w:t>
      </w:r>
      <w:r w:rsidR="00901C25" w:rsidRPr="00CF2184">
        <w:rPr>
          <w:i/>
        </w:rPr>
        <w:t>.</w:t>
      </w:r>
      <w:r w:rsidR="00941D5B" w:rsidRPr="00CF2184">
        <w:rPr>
          <w:i/>
        </w:rPr>
        <w:t>L</w:t>
      </w:r>
      <w:r w:rsidR="00901C25" w:rsidRPr="00CF2184">
        <w:rPr>
          <w:i/>
        </w:rPr>
        <w:t>.</w:t>
      </w:r>
      <w:r w:rsidR="00941D5B" w:rsidRPr="00CF2184">
        <w:rPr>
          <w:i/>
        </w:rPr>
        <w:t>R</w:t>
      </w:r>
      <w:r w:rsidR="00901C25" w:rsidRPr="00CF2184">
        <w:rPr>
          <w:i/>
        </w:rPr>
        <w:t>.</w:t>
      </w:r>
      <w:r w:rsidR="00733EEE">
        <w:t xml:space="preserve"> </w:t>
      </w:r>
      <w:r w:rsidR="00941D5B" w:rsidRPr="00CF2184">
        <w:t>87.</w:t>
      </w:r>
    </w:p>
    <w:p w:rsidR="00894EB1" w:rsidRPr="00CF2184" w:rsidRDefault="00D6526B" w:rsidP="00733EEE">
      <w:pPr>
        <w:pStyle w:val="SCCNormalDoubleSpacing"/>
        <w:spacing w:after="240" w:line="240" w:lineRule="auto"/>
        <w:ind w:left="540" w:hanging="540"/>
      </w:pPr>
      <w:r w:rsidRPr="00CF2184">
        <w:t>Dworkin,</w:t>
      </w:r>
      <w:r w:rsidR="00733EEE">
        <w:t xml:space="preserve"> </w:t>
      </w:r>
      <w:r w:rsidRPr="00CF2184">
        <w:t>R.</w:t>
      </w:r>
      <w:r w:rsidR="00733EEE">
        <w:t xml:space="preserve"> </w:t>
      </w:r>
      <w:r w:rsidR="00894EB1" w:rsidRPr="00CF2184">
        <w:t>M.</w:t>
      </w:r>
      <w:r w:rsidR="00733EEE">
        <w:t xml:space="preserve">  </w:t>
      </w:r>
      <w:r w:rsidR="00894EB1" w:rsidRPr="00CF2184">
        <w:t>“Is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System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Rules?”,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R.</w:t>
      </w:r>
      <w:r w:rsidR="00733EEE">
        <w:t xml:space="preserve"> </w:t>
      </w:r>
      <w:r w:rsidR="00894EB1" w:rsidRPr="00CF2184">
        <w:t>M.</w:t>
      </w:r>
      <w:r w:rsidR="00733EEE">
        <w:t xml:space="preserve"> </w:t>
      </w:r>
      <w:r w:rsidR="00894EB1" w:rsidRPr="00CF2184">
        <w:t>Dworkin,</w:t>
      </w:r>
      <w:r w:rsidR="00733EEE">
        <w:t xml:space="preserve"> </w:t>
      </w:r>
      <w:r w:rsidR="00894EB1" w:rsidRPr="00CF2184">
        <w:t>ed.,</w:t>
      </w:r>
      <w:r w:rsidR="00733EEE">
        <w:t xml:space="preserve"> </w:t>
      </w:r>
      <w:r w:rsidR="00894EB1" w:rsidRPr="00CF2184">
        <w:rPr>
          <w:i/>
        </w:rPr>
        <w:t>The</w:t>
      </w:r>
      <w:r w:rsidR="00733EEE">
        <w:rPr>
          <w:i/>
        </w:rPr>
        <w:t xml:space="preserve"> </w:t>
      </w:r>
      <w:r w:rsidR="00894EB1" w:rsidRPr="00CF2184">
        <w:rPr>
          <w:i/>
        </w:rPr>
        <w:t>Philosophy</w:t>
      </w:r>
      <w:r w:rsidR="00733EEE">
        <w:rPr>
          <w:i/>
        </w:rPr>
        <w:t xml:space="preserve"> </w:t>
      </w:r>
      <w:r w:rsidR="00894EB1" w:rsidRPr="00CF2184">
        <w:rPr>
          <w:i/>
        </w:rPr>
        <w:t>of</w:t>
      </w:r>
      <w:r w:rsidR="00733EEE">
        <w:rPr>
          <w:i/>
        </w:rPr>
        <w:t xml:space="preserve"> </w:t>
      </w:r>
      <w:r w:rsidR="00894EB1" w:rsidRPr="00CF2184">
        <w:rPr>
          <w:i/>
        </w:rPr>
        <w:t>Law</w:t>
      </w:r>
      <w:r w:rsidR="00894EB1" w:rsidRPr="00CF2184">
        <w:t>.</w:t>
      </w:r>
      <w:r w:rsidR="00733EEE">
        <w:t xml:space="preserve">  </w:t>
      </w:r>
      <w:r w:rsidR="00894EB1" w:rsidRPr="00CF2184">
        <w:t>Oxford:</w:t>
      </w:r>
      <w:r w:rsidR="00733EEE">
        <w:t xml:space="preserve">  </w:t>
      </w:r>
      <w:r w:rsidR="00894EB1" w:rsidRPr="00CF2184">
        <w:t>Oxford</w:t>
      </w:r>
      <w:r w:rsidR="00733EEE">
        <w:t xml:space="preserve"> </w:t>
      </w:r>
      <w:r w:rsidR="00894EB1" w:rsidRPr="00CF2184">
        <w:t>University</w:t>
      </w:r>
      <w:r w:rsidR="00733EEE">
        <w:t xml:space="preserve"> </w:t>
      </w:r>
      <w:r w:rsidR="00894EB1" w:rsidRPr="00CF2184">
        <w:t>Press,</w:t>
      </w:r>
      <w:r w:rsidR="00733EEE">
        <w:t xml:space="preserve"> </w:t>
      </w:r>
      <w:r w:rsidR="00894EB1" w:rsidRPr="00CF2184">
        <w:t>1977,</w:t>
      </w:r>
      <w:r w:rsidR="00733EEE">
        <w:t xml:space="preserve"> </w:t>
      </w:r>
      <w:r w:rsidR="00894EB1" w:rsidRPr="00CF2184">
        <w:t>38.</w:t>
      </w:r>
    </w:p>
    <w:p w:rsidR="00941D5B" w:rsidRPr="00CF2184" w:rsidRDefault="00FD2EF2" w:rsidP="00733EEE">
      <w:pPr>
        <w:pStyle w:val="SCCNormalDoubleSpacing"/>
        <w:spacing w:after="240" w:line="240" w:lineRule="auto"/>
        <w:ind w:left="540" w:hanging="540"/>
      </w:pPr>
      <w:r w:rsidRPr="00CF2184">
        <w:t>Farnsworth,</w:t>
      </w:r>
      <w:r w:rsidR="00733EEE">
        <w:t xml:space="preserve"> </w:t>
      </w:r>
      <w:r w:rsidRPr="00CF2184">
        <w:t>E.</w:t>
      </w:r>
      <w:r w:rsidR="00733EEE">
        <w:t xml:space="preserve"> </w:t>
      </w:r>
      <w:r w:rsidRPr="00CF2184">
        <w:t>A</w:t>
      </w:r>
      <w:r w:rsidR="00DE2957" w:rsidRPr="00CF2184">
        <w:t>llan</w:t>
      </w:r>
      <w:r w:rsidRPr="00CF2184">
        <w:t>.</w:t>
      </w:r>
      <w:r w:rsidR="00733EEE">
        <w:t xml:space="preserve">  </w:t>
      </w:r>
      <w:r w:rsidRPr="00CF2184">
        <w:t>“Good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Performance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Commercial</w:t>
      </w:r>
      <w:r w:rsidR="00733EEE">
        <w:t xml:space="preserve"> </w:t>
      </w:r>
      <w:r w:rsidRPr="00CF2184">
        <w:t>Reasonableness</w:t>
      </w:r>
      <w:r w:rsidR="00733EEE">
        <w:t xml:space="preserve"> </w:t>
      </w:r>
      <w:r w:rsidRPr="00CF2184">
        <w:t>Under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Uniform</w:t>
      </w:r>
      <w:r w:rsidR="00733EEE">
        <w:t xml:space="preserve"> </w:t>
      </w:r>
      <w:r w:rsidRPr="00CF2184">
        <w:t>Commercial</w:t>
      </w:r>
      <w:r w:rsidR="00733EEE">
        <w:t xml:space="preserve"> </w:t>
      </w:r>
      <w:r w:rsidRPr="00CF2184">
        <w:t>Code”</w:t>
      </w:r>
      <w:r w:rsidR="00733EEE">
        <w:t xml:space="preserve"> </w:t>
      </w:r>
      <w:r w:rsidRPr="00CF2184">
        <w:t>(1963),</w:t>
      </w:r>
      <w:r w:rsidR="00733EEE">
        <w:t xml:space="preserve"> </w:t>
      </w:r>
      <w:r w:rsidRPr="00CF2184">
        <w:t>30</w:t>
      </w:r>
      <w:r w:rsidR="00733EEE">
        <w:t xml:space="preserve"> </w:t>
      </w:r>
      <w:r w:rsidRPr="00CF2184">
        <w:rPr>
          <w:i/>
        </w:rPr>
        <w:t>U.</w:t>
      </w:r>
      <w:r w:rsidR="00733EEE">
        <w:rPr>
          <w:i/>
        </w:rPr>
        <w:t xml:space="preserve"> </w:t>
      </w:r>
      <w:r w:rsidRPr="00CF2184">
        <w:rPr>
          <w:i/>
        </w:rPr>
        <w:t>Chi</w:t>
      </w:r>
      <w:r w:rsidR="00DE2957" w:rsidRPr="00CF2184">
        <w:rPr>
          <w:i/>
        </w:rPr>
        <w:t>cago</w:t>
      </w:r>
      <w:r w:rsidR="00733EEE">
        <w:rPr>
          <w:i/>
        </w:rPr>
        <w:t xml:space="preserve"> </w:t>
      </w:r>
      <w:r w:rsidRPr="00CF2184">
        <w:rPr>
          <w:i/>
        </w:rPr>
        <w:t>L.</w:t>
      </w:r>
      <w:r w:rsidR="00733EEE">
        <w:rPr>
          <w:i/>
        </w:rPr>
        <w:t xml:space="preserve"> </w:t>
      </w:r>
      <w:r w:rsidRPr="00CF2184">
        <w:rPr>
          <w:i/>
        </w:rPr>
        <w:t>Rev.</w:t>
      </w:r>
      <w:r w:rsidR="00733EEE">
        <w:t xml:space="preserve"> </w:t>
      </w:r>
      <w:r w:rsidRPr="00CF2184">
        <w:t>666</w:t>
      </w:r>
      <w:r w:rsidR="00941D5B" w:rsidRPr="00CF2184">
        <w:t>.</w:t>
      </w:r>
    </w:p>
    <w:p w:rsidR="005E782F" w:rsidRPr="00CF2184" w:rsidRDefault="005E782F" w:rsidP="00733EEE">
      <w:pPr>
        <w:pStyle w:val="SCCNormalDoubleSpacing"/>
        <w:spacing w:after="240" w:line="240" w:lineRule="auto"/>
        <w:ind w:left="540" w:hanging="540"/>
      </w:pPr>
      <w:r w:rsidRPr="00CF2184">
        <w:t>Fridman</w:t>
      </w:r>
      <w:r w:rsidR="0079184F" w:rsidRPr="00CF2184">
        <w:t>,</w:t>
      </w:r>
      <w:r w:rsidR="00733EEE">
        <w:t xml:space="preserve"> </w:t>
      </w:r>
      <w:r w:rsidR="0079184F" w:rsidRPr="00CF2184">
        <w:t>G.</w:t>
      </w:r>
      <w:r w:rsidR="00733EEE">
        <w:t xml:space="preserve"> </w:t>
      </w:r>
      <w:r w:rsidR="0079184F" w:rsidRPr="00CF2184">
        <w:t>H.</w:t>
      </w:r>
      <w:r w:rsidR="00733EEE">
        <w:t xml:space="preserve"> </w:t>
      </w:r>
      <w:r w:rsidR="0079184F" w:rsidRPr="00CF2184">
        <w:t>L</w:t>
      </w:r>
      <w:r w:rsidRPr="00CF2184">
        <w:t>.</w:t>
      </w:r>
      <w:r w:rsidR="00733EEE">
        <w:t xml:space="preserve">  </w:t>
      </w:r>
      <w:r w:rsidRPr="00CF2184">
        <w:rPr>
          <w:i/>
        </w:rPr>
        <w:t>The</w:t>
      </w:r>
      <w:r w:rsidR="00733EEE">
        <w:rPr>
          <w:i/>
        </w:rPr>
        <w:t xml:space="preserve"> </w:t>
      </w:r>
      <w:r w:rsidRPr="00CF2184">
        <w:rPr>
          <w:i/>
        </w:rPr>
        <w:t>Law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Contract</w:t>
      </w:r>
      <w:r w:rsidR="00733EEE">
        <w:rPr>
          <w:i/>
        </w:rPr>
        <w:t xml:space="preserve"> </w:t>
      </w:r>
      <w:r w:rsidRPr="00CF2184">
        <w:rPr>
          <w:i/>
        </w:rPr>
        <w:t>in</w:t>
      </w:r>
      <w:r w:rsidR="00733EEE">
        <w:rPr>
          <w:i/>
        </w:rPr>
        <w:t xml:space="preserve"> </w:t>
      </w:r>
      <w:r w:rsidRPr="00CF2184">
        <w:rPr>
          <w:i/>
        </w:rPr>
        <w:t>Canada</w:t>
      </w:r>
      <w:r w:rsidRPr="00CF2184">
        <w:t>,</w:t>
      </w:r>
      <w:r w:rsidR="00733EEE">
        <w:t xml:space="preserve"> </w:t>
      </w:r>
      <w:r w:rsidRPr="00CF2184">
        <w:t>6th</w:t>
      </w:r>
      <w:r w:rsidR="00733EEE">
        <w:t xml:space="preserve"> </w:t>
      </w:r>
      <w:r w:rsidRPr="00CF2184">
        <w:t>ed.</w:t>
      </w:r>
      <w:r w:rsidR="00733EEE">
        <w:t xml:space="preserve">  </w:t>
      </w:r>
      <w:r w:rsidR="0079184F" w:rsidRPr="00CF2184">
        <w:t>Toronto:</w:t>
      </w:r>
      <w:r w:rsidR="00733EEE">
        <w:t xml:space="preserve">  </w:t>
      </w:r>
      <w:r w:rsidR="0079184F" w:rsidRPr="00CF2184">
        <w:t>Carswell,</w:t>
      </w:r>
      <w:r w:rsidR="00733EEE">
        <w:t xml:space="preserve"> </w:t>
      </w:r>
      <w:r w:rsidR="0079184F" w:rsidRPr="00CF2184">
        <w:t>2011.</w:t>
      </w:r>
    </w:p>
    <w:p w:rsidR="00941D5B" w:rsidRPr="00CF2184" w:rsidRDefault="00941D5B" w:rsidP="00733EEE">
      <w:pPr>
        <w:pStyle w:val="SCCNormalDoubleSpacing"/>
        <w:spacing w:after="240" w:line="240" w:lineRule="auto"/>
        <w:ind w:left="540" w:hanging="540"/>
      </w:pPr>
      <w:r w:rsidRPr="00CF2184">
        <w:t>Goldwasser,</w:t>
      </w:r>
      <w:r w:rsidR="00733EEE">
        <w:t xml:space="preserve"> </w:t>
      </w:r>
      <w:r w:rsidRPr="00CF2184">
        <w:t>V</w:t>
      </w:r>
      <w:r w:rsidR="001272D1" w:rsidRPr="00CF2184">
        <w:t>ivien</w:t>
      </w:r>
      <w:r w:rsidRPr="00CF2184">
        <w:t>,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</w:t>
      </w:r>
      <w:r w:rsidR="001272D1" w:rsidRPr="00CF2184">
        <w:t>ony</w:t>
      </w:r>
      <w:r w:rsidR="00733EEE">
        <w:t xml:space="preserve"> </w:t>
      </w:r>
      <w:r w:rsidRPr="00CF2184">
        <w:t>Ciro.</w:t>
      </w:r>
      <w:r w:rsidR="00733EEE">
        <w:t xml:space="preserve">  </w:t>
      </w:r>
      <w:r w:rsidRPr="00CF2184">
        <w:t>“Standards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Behaviour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Commercial</w:t>
      </w:r>
      <w:r w:rsidR="00733EEE">
        <w:t xml:space="preserve"> </w:t>
      </w:r>
      <w:r w:rsidRPr="00CF2184">
        <w:t>Contracting”</w:t>
      </w:r>
      <w:r w:rsidR="00733EEE">
        <w:t xml:space="preserve"> </w:t>
      </w:r>
      <w:r w:rsidRPr="00CF2184">
        <w:t>(2002),</w:t>
      </w:r>
      <w:r w:rsidR="00733EEE">
        <w:t xml:space="preserve"> </w:t>
      </w:r>
      <w:r w:rsidRPr="00CF2184">
        <w:t>30</w:t>
      </w:r>
      <w:r w:rsidR="00733EEE">
        <w:t xml:space="preserve"> </w:t>
      </w:r>
      <w:r w:rsidRPr="00CF2184">
        <w:rPr>
          <w:i/>
        </w:rPr>
        <w:t>A</w:t>
      </w:r>
      <w:r w:rsidR="00901C25" w:rsidRPr="00CF2184">
        <w:rPr>
          <w:i/>
        </w:rPr>
        <w:t>.</w:t>
      </w:r>
      <w:r w:rsidRPr="00CF2184">
        <w:rPr>
          <w:i/>
        </w:rPr>
        <w:t>B</w:t>
      </w:r>
      <w:r w:rsidR="00901C25" w:rsidRPr="00CF2184">
        <w:rPr>
          <w:i/>
        </w:rPr>
        <w:t>.</w:t>
      </w:r>
      <w:r w:rsidRPr="00CF2184">
        <w:rPr>
          <w:i/>
        </w:rPr>
        <w:t>L</w:t>
      </w:r>
      <w:r w:rsidR="00901C25" w:rsidRPr="00CF2184">
        <w:rPr>
          <w:i/>
        </w:rPr>
        <w:t>.</w:t>
      </w:r>
      <w:r w:rsidRPr="00CF2184">
        <w:rPr>
          <w:i/>
        </w:rPr>
        <w:t>R</w:t>
      </w:r>
      <w:r w:rsidR="00901C25" w:rsidRPr="00CF2184">
        <w:rPr>
          <w:i/>
        </w:rPr>
        <w:t>.</w:t>
      </w:r>
      <w:r w:rsidR="00733EEE">
        <w:t xml:space="preserve"> </w:t>
      </w:r>
      <w:r w:rsidRPr="00CF2184">
        <w:t>369.</w:t>
      </w:r>
    </w:p>
    <w:p w:rsidR="00FD2EF2" w:rsidRPr="00CF2184" w:rsidRDefault="00FD2EF2" w:rsidP="00733EEE">
      <w:pPr>
        <w:pStyle w:val="SCCNormalDoubleSpacing"/>
        <w:spacing w:after="240" w:line="240" w:lineRule="auto"/>
        <w:ind w:left="540" w:hanging="540"/>
      </w:pPr>
      <w:r w:rsidRPr="00CF2184">
        <w:t>Grover,</w:t>
      </w:r>
      <w:r w:rsidR="00733EEE">
        <w:t xml:space="preserve"> </w:t>
      </w:r>
      <w:r w:rsidRPr="00CF2184">
        <w:t>W</w:t>
      </w:r>
      <w:r w:rsidR="00D3668A" w:rsidRPr="00CF2184">
        <w:t>arren</w:t>
      </w:r>
      <w:r w:rsidRPr="00CF2184">
        <w:t>.</w:t>
      </w:r>
      <w:r w:rsidR="00733EEE">
        <w:t xml:space="preserve">  </w:t>
      </w:r>
      <w:r w:rsidRPr="00CF2184">
        <w:t>“A</w:t>
      </w:r>
      <w:r w:rsidR="00733EEE">
        <w:t xml:space="preserve"> </w:t>
      </w:r>
      <w:r w:rsidRPr="00CF2184">
        <w:t>Solicitor</w:t>
      </w:r>
      <w:r w:rsidR="00733EEE">
        <w:t xml:space="preserve"> </w:t>
      </w:r>
      <w:r w:rsidRPr="00CF2184">
        <w:t>Looks</w:t>
      </w:r>
      <w:r w:rsidR="00733EEE">
        <w:t xml:space="preserve"> </w:t>
      </w:r>
      <w:r w:rsidRPr="00CF2184">
        <w:t>at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Commercial</w:t>
      </w:r>
      <w:r w:rsidR="00733EEE">
        <w:t xml:space="preserve"> </w:t>
      </w:r>
      <w:r w:rsidRPr="00CF2184">
        <w:t>Transactions”,</w:t>
      </w:r>
      <w:r w:rsidR="00733EEE">
        <w:t xml:space="preserve"> </w:t>
      </w:r>
      <w:r w:rsidR="007F3461" w:rsidRPr="00CF2184">
        <w:t>in</w:t>
      </w:r>
      <w:r w:rsidR="00733EEE">
        <w:t xml:space="preserve"> </w:t>
      </w:r>
      <w:r w:rsidR="007F3461" w:rsidRPr="00CF2184">
        <w:rPr>
          <w:i/>
        </w:rPr>
        <w:t>Special</w:t>
      </w:r>
      <w:r w:rsidR="00733EEE">
        <w:rPr>
          <w:i/>
        </w:rPr>
        <w:t xml:space="preserve"> </w:t>
      </w:r>
      <w:r w:rsidR="007F3461" w:rsidRPr="00CF2184">
        <w:rPr>
          <w:i/>
        </w:rPr>
        <w:t>Lectures</w:t>
      </w:r>
      <w:r w:rsidR="00733EEE">
        <w:rPr>
          <w:i/>
        </w:rPr>
        <w:t xml:space="preserve"> </w:t>
      </w:r>
      <w:r w:rsidR="007F3461" w:rsidRPr="00CF2184">
        <w:rPr>
          <w:i/>
        </w:rPr>
        <w:t>of</w:t>
      </w:r>
      <w:r w:rsidR="00733EEE">
        <w:rPr>
          <w:i/>
        </w:rPr>
        <w:t xml:space="preserve"> </w:t>
      </w:r>
      <w:r w:rsidR="007F3461" w:rsidRPr="00CF2184">
        <w:rPr>
          <w:i/>
        </w:rPr>
        <w:t>the</w:t>
      </w:r>
      <w:r w:rsidR="00733EEE">
        <w:rPr>
          <w:i/>
        </w:rPr>
        <w:t xml:space="preserve"> </w:t>
      </w:r>
      <w:r w:rsidR="007F3461" w:rsidRPr="00CF2184">
        <w:rPr>
          <w:i/>
        </w:rPr>
        <w:t>Law</w:t>
      </w:r>
      <w:r w:rsidR="00733EEE">
        <w:rPr>
          <w:i/>
        </w:rPr>
        <w:t xml:space="preserve"> </w:t>
      </w:r>
      <w:r w:rsidR="007F3461" w:rsidRPr="00CF2184">
        <w:rPr>
          <w:i/>
        </w:rPr>
        <w:t>Society</w:t>
      </w:r>
      <w:r w:rsidR="00733EEE">
        <w:rPr>
          <w:i/>
        </w:rPr>
        <w:t xml:space="preserve"> </w:t>
      </w:r>
      <w:r w:rsidR="007F3461" w:rsidRPr="00CF2184">
        <w:rPr>
          <w:i/>
        </w:rPr>
        <w:t>of</w:t>
      </w:r>
      <w:r w:rsidR="00733EEE">
        <w:rPr>
          <w:i/>
        </w:rPr>
        <w:t xml:space="preserve"> </w:t>
      </w:r>
      <w:r w:rsidR="007F3461" w:rsidRPr="00CF2184">
        <w:rPr>
          <w:i/>
        </w:rPr>
        <w:t>Upper</w:t>
      </w:r>
      <w:r w:rsidR="00733EEE">
        <w:rPr>
          <w:i/>
        </w:rPr>
        <w:t xml:space="preserve"> </w:t>
      </w:r>
      <w:r w:rsidR="007F3461" w:rsidRPr="00CF2184">
        <w:rPr>
          <w:i/>
        </w:rPr>
        <w:t>Canada</w:t>
      </w:r>
      <w:r w:rsidR="00733EEE">
        <w:rPr>
          <w:i/>
        </w:rPr>
        <w:t xml:space="preserve"> </w:t>
      </w:r>
      <w:r w:rsidR="007F3461" w:rsidRPr="00CF2184">
        <w:rPr>
          <w:i/>
        </w:rPr>
        <w:t>1985</w:t>
      </w:r>
      <w:r w:rsidR="00733EEE">
        <w:rPr>
          <w:i/>
        </w:rPr>
        <w:t xml:space="preserve"> </w:t>
      </w:r>
      <w:r w:rsidR="007F3461" w:rsidRPr="00CF2184">
        <w:rPr>
          <w:i/>
        </w:rPr>
        <w:t>—</w:t>
      </w:r>
      <w:r w:rsidR="00733EEE">
        <w:rPr>
          <w:i/>
        </w:rPr>
        <w:t xml:space="preserve"> </w:t>
      </w:r>
      <w:r w:rsidR="00D3668A" w:rsidRPr="00CF2184">
        <w:rPr>
          <w:i/>
        </w:rPr>
        <w:t>Commercial</w:t>
      </w:r>
      <w:r w:rsidR="00733EEE">
        <w:rPr>
          <w:i/>
        </w:rPr>
        <w:t xml:space="preserve"> </w:t>
      </w:r>
      <w:r w:rsidR="00D3668A" w:rsidRPr="00CF2184">
        <w:rPr>
          <w:i/>
        </w:rPr>
        <w:t>Law:</w:t>
      </w:r>
      <w:r w:rsidR="00733EEE">
        <w:rPr>
          <w:i/>
        </w:rPr>
        <w:t xml:space="preserve">  </w:t>
      </w:r>
      <w:r w:rsidR="00D3668A" w:rsidRPr="00CF2184">
        <w:rPr>
          <w:i/>
        </w:rPr>
        <w:t>Recent</w:t>
      </w:r>
      <w:r w:rsidR="00733EEE">
        <w:rPr>
          <w:i/>
        </w:rPr>
        <w:t xml:space="preserve"> </w:t>
      </w:r>
      <w:r w:rsidR="00D3668A" w:rsidRPr="00CF2184">
        <w:rPr>
          <w:i/>
        </w:rPr>
        <w:t>Developments</w:t>
      </w:r>
      <w:r w:rsidR="00733EEE">
        <w:rPr>
          <w:i/>
        </w:rPr>
        <w:t xml:space="preserve"> </w:t>
      </w:r>
      <w:r w:rsidR="00D3668A" w:rsidRPr="00CF2184">
        <w:rPr>
          <w:i/>
        </w:rPr>
        <w:t>and</w:t>
      </w:r>
      <w:r w:rsidR="00733EEE">
        <w:rPr>
          <w:i/>
        </w:rPr>
        <w:t xml:space="preserve"> </w:t>
      </w:r>
      <w:r w:rsidR="00D3668A" w:rsidRPr="00CF2184">
        <w:rPr>
          <w:i/>
        </w:rPr>
        <w:t>Emerging</w:t>
      </w:r>
      <w:r w:rsidR="00733EEE">
        <w:rPr>
          <w:i/>
        </w:rPr>
        <w:t xml:space="preserve"> </w:t>
      </w:r>
      <w:r w:rsidR="00D3668A" w:rsidRPr="00CF2184">
        <w:rPr>
          <w:i/>
        </w:rPr>
        <w:t>Trends</w:t>
      </w:r>
      <w:r w:rsidR="00D3668A" w:rsidRPr="00CF2184">
        <w:t>.</w:t>
      </w:r>
      <w:r w:rsidR="00733EEE">
        <w:t xml:space="preserve">  </w:t>
      </w:r>
      <w:r w:rsidR="00D3668A" w:rsidRPr="00CF2184">
        <w:t>Don</w:t>
      </w:r>
      <w:r w:rsidR="00733EEE">
        <w:t xml:space="preserve"> </w:t>
      </w:r>
      <w:r w:rsidR="00D3668A" w:rsidRPr="00CF2184">
        <w:t>Mills,</w:t>
      </w:r>
      <w:r w:rsidR="00733EEE">
        <w:t xml:space="preserve"> </w:t>
      </w:r>
      <w:r w:rsidR="00D3668A" w:rsidRPr="00CF2184">
        <w:t>Ont.:</w:t>
      </w:r>
      <w:r w:rsidR="00733EEE">
        <w:t xml:space="preserve">  </w:t>
      </w:r>
      <w:r w:rsidR="00D3668A" w:rsidRPr="00CF2184">
        <w:t>De</w:t>
      </w:r>
      <w:r w:rsidR="00733EEE">
        <w:t xml:space="preserve"> </w:t>
      </w:r>
      <w:r w:rsidR="00D3668A" w:rsidRPr="00CF2184">
        <w:t>Boo,</w:t>
      </w:r>
      <w:r w:rsidR="00733EEE">
        <w:t xml:space="preserve"> </w:t>
      </w:r>
      <w:r w:rsidR="00D3668A" w:rsidRPr="00CF2184">
        <w:t>1985,</w:t>
      </w:r>
      <w:r w:rsidR="00733EEE">
        <w:t xml:space="preserve"> </w:t>
      </w:r>
      <w:r w:rsidR="00D3668A" w:rsidRPr="00CF2184">
        <w:t>93</w:t>
      </w:r>
      <w:r w:rsidRPr="00CF2184">
        <w:t>.</w:t>
      </w:r>
    </w:p>
    <w:p w:rsidR="0077520F" w:rsidRPr="00CF2184" w:rsidRDefault="0077520F" w:rsidP="00733EEE">
      <w:pPr>
        <w:pStyle w:val="SCCNormalDoubleSpacing"/>
        <w:spacing w:after="240" w:line="240" w:lineRule="auto"/>
        <w:ind w:left="540" w:hanging="540"/>
      </w:pPr>
      <w:r w:rsidRPr="00CF2184">
        <w:t>Hall,</w:t>
      </w:r>
      <w:r w:rsidR="00733EEE">
        <w:t xml:space="preserve"> </w:t>
      </w:r>
      <w:r w:rsidRPr="00CF2184">
        <w:t>Geoff</w:t>
      </w:r>
      <w:r w:rsidR="00733EEE">
        <w:t xml:space="preserve"> </w:t>
      </w:r>
      <w:r w:rsidR="0079184F" w:rsidRPr="00CF2184">
        <w:t>R</w:t>
      </w:r>
      <w:r w:rsidRPr="00CF2184">
        <w:t>.</w:t>
      </w:r>
      <w:r w:rsidR="00733EEE">
        <w:t xml:space="preserve">  </w:t>
      </w:r>
      <w:r w:rsidR="00592568" w:rsidRPr="00CF2184">
        <w:rPr>
          <w:i/>
        </w:rPr>
        <w:t>Canadian</w:t>
      </w:r>
      <w:r w:rsidR="00733EEE">
        <w:rPr>
          <w:i/>
        </w:rPr>
        <w:t xml:space="preserve"> </w:t>
      </w:r>
      <w:r w:rsidRPr="00CF2184">
        <w:rPr>
          <w:i/>
        </w:rPr>
        <w:t>Contract</w:t>
      </w:r>
      <w:r w:rsidR="00592568" w:rsidRPr="00CF2184">
        <w:rPr>
          <w:i/>
        </w:rPr>
        <w:t>ual</w:t>
      </w:r>
      <w:r w:rsidR="00733EEE">
        <w:rPr>
          <w:i/>
        </w:rPr>
        <w:t xml:space="preserve"> </w:t>
      </w:r>
      <w:r w:rsidRPr="00CF2184">
        <w:rPr>
          <w:i/>
        </w:rPr>
        <w:t>Interpretation</w:t>
      </w:r>
      <w:r w:rsidR="00733EEE">
        <w:rPr>
          <w:i/>
        </w:rPr>
        <w:t xml:space="preserve"> </w:t>
      </w:r>
      <w:r w:rsidR="0079184F" w:rsidRPr="00CF2184">
        <w:rPr>
          <w:i/>
        </w:rPr>
        <w:t>Law</w:t>
      </w:r>
      <w:r w:rsidR="0079184F" w:rsidRPr="00CF2184">
        <w:t>,</w:t>
      </w:r>
      <w:r w:rsidR="00733EEE">
        <w:t xml:space="preserve"> </w:t>
      </w:r>
      <w:r w:rsidR="0079184F" w:rsidRPr="00CF2184">
        <w:t>2nd</w:t>
      </w:r>
      <w:r w:rsidR="00733EEE">
        <w:t xml:space="preserve"> </w:t>
      </w:r>
      <w:r w:rsidR="0079184F" w:rsidRPr="00CF2184">
        <w:t>ed</w:t>
      </w:r>
      <w:r w:rsidRPr="00CF2184">
        <w:t>.</w:t>
      </w:r>
      <w:r w:rsidR="00733EEE">
        <w:t xml:space="preserve">  </w:t>
      </w:r>
      <w:r w:rsidR="0079184F" w:rsidRPr="00CF2184">
        <w:t>Markham,</w:t>
      </w:r>
      <w:r w:rsidR="00733EEE">
        <w:t xml:space="preserve"> </w:t>
      </w:r>
      <w:r w:rsidR="0079184F" w:rsidRPr="00CF2184">
        <w:t>Ont.:</w:t>
      </w:r>
      <w:r w:rsidR="00733EEE">
        <w:t xml:space="preserve">  </w:t>
      </w:r>
      <w:r w:rsidR="0079184F" w:rsidRPr="00CF2184">
        <w:t>LexisNexis,</w:t>
      </w:r>
      <w:r w:rsidR="00733EEE">
        <w:t xml:space="preserve"> </w:t>
      </w:r>
      <w:r w:rsidR="0079184F" w:rsidRPr="00CF2184">
        <w:t>2012.</w:t>
      </w:r>
    </w:p>
    <w:p w:rsidR="00941D5B" w:rsidRPr="00CF2184" w:rsidRDefault="00941D5B" w:rsidP="00733EEE">
      <w:pPr>
        <w:pStyle w:val="SCCNormalDoubleSpacing"/>
        <w:spacing w:after="240" w:line="240" w:lineRule="auto"/>
        <w:ind w:left="540" w:hanging="540"/>
      </w:pPr>
      <w:r w:rsidRPr="00CF2184">
        <w:t>Macaulay,</w:t>
      </w:r>
      <w:r w:rsidR="00733EEE">
        <w:t xml:space="preserve"> </w:t>
      </w:r>
      <w:r w:rsidRPr="00CF2184">
        <w:t>S</w:t>
      </w:r>
      <w:r w:rsidR="00F87B40" w:rsidRPr="00CF2184">
        <w:t>tew</w:t>
      </w:r>
      <w:r w:rsidR="00BF5523" w:rsidRPr="00CF2184">
        <w:t>art.</w:t>
      </w:r>
      <w:r w:rsidR="00733EEE">
        <w:t xml:space="preserve">  </w:t>
      </w:r>
      <w:r w:rsidRPr="00CF2184">
        <w:t>“An</w:t>
      </w:r>
      <w:r w:rsidR="00733EEE">
        <w:t xml:space="preserve"> </w:t>
      </w:r>
      <w:r w:rsidRPr="00CF2184">
        <w:t>Empirical</w:t>
      </w:r>
      <w:r w:rsidR="00733EEE">
        <w:t xml:space="preserve"> </w:t>
      </w:r>
      <w:r w:rsidRPr="00CF2184">
        <w:t>View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Contract”,</w:t>
      </w:r>
      <w:r w:rsidR="00733EEE">
        <w:t xml:space="preserve"> </w:t>
      </w:r>
      <w:r w:rsidRPr="00CF2184">
        <w:t>[1985]</w:t>
      </w:r>
      <w:r w:rsidR="00733EEE">
        <w:t xml:space="preserve"> </w:t>
      </w:r>
      <w:r w:rsidRPr="00CF2184">
        <w:rPr>
          <w:i/>
        </w:rPr>
        <w:t>Wis.</w:t>
      </w:r>
      <w:r w:rsidR="00733EEE">
        <w:rPr>
          <w:i/>
        </w:rPr>
        <w:t xml:space="preserve"> </w:t>
      </w:r>
      <w:r w:rsidRPr="00CF2184">
        <w:rPr>
          <w:i/>
        </w:rPr>
        <w:t>L.</w:t>
      </w:r>
      <w:r w:rsidR="00733EEE">
        <w:rPr>
          <w:i/>
        </w:rPr>
        <w:t xml:space="preserve"> </w:t>
      </w:r>
      <w:r w:rsidRPr="00CF2184">
        <w:rPr>
          <w:i/>
        </w:rPr>
        <w:t>Rev.</w:t>
      </w:r>
      <w:r w:rsidR="00733EEE">
        <w:t xml:space="preserve"> </w:t>
      </w:r>
      <w:r w:rsidRPr="00CF2184">
        <w:t>465.</w:t>
      </w:r>
    </w:p>
    <w:p w:rsidR="00941D5B" w:rsidRPr="00CF2184" w:rsidRDefault="00941D5B" w:rsidP="00733EEE">
      <w:pPr>
        <w:pStyle w:val="SCCNormalDoubleSpacing"/>
        <w:spacing w:after="240" w:line="240" w:lineRule="auto"/>
        <w:ind w:left="540" w:hanging="540"/>
      </w:pPr>
      <w:r w:rsidRPr="00CF2184">
        <w:t>Macaulay,</w:t>
      </w:r>
      <w:r w:rsidR="00733EEE">
        <w:t xml:space="preserve"> </w:t>
      </w:r>
      <w:r w:rsidRPr="00CF2184">
        <w:t>S</w:t>
      </w:r>
      <w:r w:rsidR="00F87B40" w:rsidRPr="00CF2184">
        <w:t>tew</w:t>
      </w:r>
      <w:r w:rsidR="00BF5523" w:rsidRPr="00CF2184">
        <w:t>art.</w:t>
      </w:r>
      <w:r w:rsidR="00733EEE">
        <w:t xml:space="preserve">  </w:t>
      </w:r>
      <w:r w:rsidRPr="00CF2184">
        <w:t>“Non</w:t>
      </w:r>
      <w:r w:rsidR="00733EEE">
        <w:t>-</w:t>
      </w:r>
      <w:r w:rsidRPr="00CF2184">
        <w:t>contractual</w:t>
      </w:r>
      <w:r w:rsidR="00733EEE">
        <w:t xml:space="preserve"> </w:t>
      </w:r>
      <w:r w:rsidRPr="00CF2184">
        <w:t>Relations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Business:</w:t>
      </w:r>
      <w:r w:rsidR="00733EEE">
        <w:t xml:space="preserve">  </w:t>
      </w:r>
      <w:r w:rsidRPr="00CF2184">
        <w:t>A</w:t>
      </w:r>
      <w:r w:rsidR="00733EEE">
        <w:t xml:space="preserve"> </w:t>
      </w:r>
      <w:r w:rsidRPr="00CF2184">
        <w:t>Preliminary</w:t>
      </w:r>
      <w:r w:rsidR="00733EEE">
        <w:t xml:space="preserve"> </w:t>
      </w:r>
      <w:r w:rsidRPr="00CF2184">
        <w:t>Study”</w:t>
      </w:r>
      <w:r w:rsidR="00733EEE">
        <w:t xml:space="preserve"> </w:t>
      </w:r>
      <w:r w:rsidRPr="00CF2184">
        <w:t>(1963),</w:t>
      </w:r>
      <w:r w:rsidR="00733EEE">
        <w:t xml:space="preserve"> </w:t>
      </w:r>
      <w:r w:rsidRPr="00CF2184">
        <w:t>28</w:t>
      </w:r>
      <w:r w:rsidR="00733EEE">
        <w:t xml:space="preserve"> </w:t>
      </w:r>
      <w:r w:rsidRPr="00CF2184">
        <w:rPr>
          <w:i/>
        </w:rPr>
        <w:t>Am.</w:t>
      </w:r>
      <w:r w:rsidR="00733EEE">
        <w:rPr>
          <w:i/>
        </w:rPr>
        <w:t xml:space="preserve"> </w:t>
      </w:r>
      <w:r w:rsidRPr="00CF2184">
        <w:rPr>
          <w:i/>
        </w:rPr>
        <w:t>Soc.</w:t>
      </w:r>
      <w:r w:rsidR="00733EEE">
        <w:rPr>
          <w:i/>
        </w:rPr>
        <w:t xml:space="preserve"> </w:t>
      </w:r>
      <w:r w:rsidRPr="00CF2184">
        <w:rPr>
          <w:i/>
        </w:rPr>
        <w:t>Rev.</w:t>
      </w:r>
      <w:r w:rsidR="00733EEE">
        <w:t xml:space="preserve"> </w:t>
      </w:r>
      <w:r w:rsidRPr="00CF2184">
        <w:t>55.</w:t>
      </w:r>
    </w:p>
    <w:p w:rsidR="00FD2EF2" w:rsidRPr="00CF2184" w:rsidRDefault="00FD2EF2" w:rsidP="00733EEE">
      <w:pPr>
        <w:pStyle w:val="SCCNormalDoubleSpacing"/>
        <w:spacing w:after="240" w:line="240" w:lineRule="auto"/>
        <w:ind w:left="540" w:hanging="540"/>
      </w:pPr>
      <w:r w:rsidRPr="00CF2184">
        <w:t>MacDougall,</w:t>
      </w:r>
      <w:r w:rsidR="00733EEE">
        <w:t xml:space="preserve"> </w:t>
      </w:r>
      <w:r w:rsidRPr="00CF2184">
        <w:t>Bruce.</w:t>
      </w:r>
      <w:r w:rsidR="00733EEE">
        <w:t xml:space="preserve">  </w:t>
      </w:r>
      <w:r w:rsidRPr="00CF2184">
        <w:rPr>
          <w:i/>
        </w:rPr>
        <w:t>Estoppel</w:t>
      </w:r>
      <w:r w:rsidR="00A25E75" w:rsidRPr="00CF2184">
        <w:t>.</w:t>
      </w:r>
      <w:r w:rsidR="00733EEE">
        <w:t xml:space="preserve">  </w:t>
      </w:r>
      <w:r w:rsidR="00AF66E6" w:rsidRPr="00CF2184">
        <w:t>Markham,</w:t>
      </w:r>
      <w:r w:rsidR="00733EEE">
        <w:t xml:space="preserve"> </w:t>
      </w:r>
      <w:r w:rsidR="00AF66E6" w:rsidRPr="00CF2184">
        <w:t>Ont.:</w:t>
      </w:r>
      <w:r w:rsidR="00733EEE">
        <w:t xml:space="preserve">  </w:t>
      </w:r>
      <w:r w:rsidR="00AF66E6" w:rsidRPr="00CF2184">
        <w:t>LexisNexis,</w:t>
      </w:r>
      <w:r w:rsidR="00733EEE">
        <w:t xml:space="preserve"> </w:t>
      </w:r>
      <w:r w:rsidRPr="00CF2184">
        <w:t>2012.</w:t>
      </w:r>
    </w:p>
    <w:p w:rsidR="00941D5B" w:rsidRPr="00CF2184" w:rsidRDefault="00941D5B" w:rsidP="00733EEE">
      <w:pPr>
        <w:pStyle w:val="SCCNormalDoubleSpacing"/>
        <w:spacing w:after="240" w:line="240" w:lineRule="auto"/>
        <w:ind w:left="540" w:hanging="540"/>
      </w:pPr>
      <w:r w:rsidRPr="00CF2184">
        <w:t>Mason,</w:t>
      </w:r>
      <w:r w:rsidR="00733EEE">
        <w:t xml:space="preserve"> </w:t>
      </w:r>
      <w:r w:rsidRPr="00CF2184">
        <w:t>Anthony.</w:t>
      </w:r>
      <w:r w:rsidR="00733EEE">
        <w:t xml:space="preserve">  </w:t>
      </w:r>
      <w:r w:rsidRPr="00CF2184">
        <w:t>“Contract,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Equitable</w:t>
      </w:r>
      <w:r w:rsidR="00733EEE">
        <w:t xml:space="preserve"> </w:t>
      </w:r>
      <w:r w:rsidRPr="00CF2184">
        <w:t>Standards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Fair</w:t>
      </w:r>
      <w:r w:rsidR="00733EEE">
        <w:t xml:space="preserve"> </w:t>
      </w:r>
      <w:r w:rsidRPr="00CF2184">
        <w:t>Dealing”</w:t>
      </w:r>
      <w:r w:rsidR="00733EEE">
        <w:t xml:space="preserve"> </w:t>
      </w:r>
      <w:r w:rsidRPr="00CF2184">
        <w:t>(2000),</w:t>
      </w:r>
      <w:r w:rsidR="00733EEE">
        <w:t xml:space="preserve"> </w:t>
      </w:r>
      <w:r w:rsidRPr="00CF2184">
        <w:t>116</w:t>
      </w:r>
      <w:r w:rsidR="00733EEE">
        <w:t xml:space="preserve"> </w:t>
      </w:r>
      <w:r w:rsidRPr="00CF2184">
        <w:rPr>
          <w:i/>
        </w:rPr>
        <w:t>L</w:t>
      </w:r>
      <w:r w:rsidR="007A3AD3" w:rsidRPr="00CF2184">
        <w:rPr>
          <w:i/>
        </w:rPr>
        <w:t>aw</w:t>
      </w:r>
      <w:r w:rsidR="00733EEE">
        <w:rPr>
          <w:i/>
        </w:rPr>
        <w:t xml:space="preserve"> </w:t>
      </w:r>
      <w:r w:rsidRPr="00CF2184">
        <w:rPr>
          <w:i/>
        </w:rPr>
        <w:t>Q.</w:t>
      </w:r>
      <w:r w:rsidR="00733EEE">
        <w:rPr>
          <w:i/>
        </w:rPr>
        <w:t xml:space="preserve"> </w:t>
      </w:r>
      <w:r w:rsidRPr="00CF2184">
        <w:rPr>
          <w:i/>
        </w:rPr>
        <w:t>R</w:t>
      </w:r>
      <w:r w:rsidR="007A3AD3" w:rsidRPr="00CF2184">
        <w:rPr>
          <w:i/>
        </w:rPr>
        <w:t>ev</w:t>
      </w:r>
      <w:r w:rsidRPr="00CF2184">
        <w:rPr>
          <w:i/>
        </w:rPr>
        <w:t>.</w:t>
      </w:r>
      <w:r w:rsidR="00733EEE">
        <w:t xml:space="preserve"> </w:t>
      </w:r>
      <w:r w:rsidRPr="00CF2184">
        <w:t>66.</w:t>
      </w:r>
    </w:p>
    <w:p w:rsidR="005E782F" w:rsidRPr="00CF2184" w:rsidRDefault="00895946" w:rsidP="00733EEE">
      <w:pPr>
        <w:pStyle w:val="SCCNormalDoubleSpacing"/>
        <w:spacing w:after="240" w:line="240" w:lineRule="auto"/>
        <w:ind w:left="540" w:hanging="540"/>
      </w:pPr>
      <w:r w:rsidRPr="00CF2184">
        <w:t>McCamus,</w:t>
      </w:r>
      <w:r w:rsidR="00733EEE">
        <w:t xml:space="preserve"> </w:t>
      </w:r>
      <w:r w:rsidRPr="00CF2184">
        <w:t>John</w:t>
      </w:r>
      <w:r w:rsidR="00733EEE">
        <w:t xml:space="preserve"> </w:t>
      </w:r>
      <w:r w:rsidR="007A3AD3" w:rsidRPr="00CF2184">
        <w:t>D</w:t>
      </w:r>
      <w:r w:rsidRPr="00CF2184">
        <w:t>.</w:t>
      </w:r>
      <w:r w:rsidR="00733EEE">
        <w:t xml:space="preserve">  </w:t>
      </w:r>
      <w:r w:rsidRPr="00CF2184">
        <w:rPr>
          <w:i/>
        </w:rPr>
        <w:t>The</w:t>
      </w:r>
      <w:r w:rsidR="00733EEE">
        <w:rPr>
          <w:i/>
        </w:rPr>
        <w:t xml:space="preserve"> </w:t>
      </w:r>
      <w:r w:rsidRPr="00CF2184">
        <w:rPr>
          <w:i/>
        </w:rPr>
        <w:t>Law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Contracts</w:t>
      </w:r>
      <w:r w:rsidRPr="00CF2184">
        <w:t>,</w:t>
      </w:r>
      <w:r w:rsidR="00733EEE">
        <w:t xml:space="preserve"> </w:t>
      </w:r>
      <w:r w:rsidRPr="00CF2184">
        <w:t>2nd</w:t>
      </w:r>
      <w:r w:rsidR="00733EEE">
        <w:t xml:space="preserve"> </w:t>
      </w:r>
      <w:r w:rsidRPr="00CF2184">
        <w:t>ed.</w:t>
      </w:r>
      <w:r w:rsidR="00733EEE">
        <w:t xml:space="preserve">  </w:t>
      </w:r>
      <w:r w:rsidRPr="00CF2184">
        <w:t>Toronto:</w:t>
      </w:r>
      <w:r w:rsidR="00733EEE">
        <w:t xml:space="preserve">  </w:t>
      </w:r>
      <w:r w:rsidRPr="00CF2184">
        <w:t>Irwin</w:t>
      </w:r>
      <w:r w:rsidR="00733EEE">
        <w:t xml:space="preserve"> </w:t>
      </w:r>
      <w:r w:rsidRPr="00CF2184">
        <w:t>Law,</w:t>
      </w:r>
      <w:r w:rsidR="00733EEE">
        <w:t xml:space="preserve"> </w:t>
      </w:r>
      <w:r w:rsidRPr="00CF2184">
        <w:t>2012</w:t>
      </w:r>
      <w:r w:rsidR="005E782F" w:rsidRPr="00CF2184">
        <w:t>.</w:t>
      </w:r>
    </w:p>
    <w:p w:rsidR="00247BFC" w:rsidRPr="00CF2184" w:rsidRDefault="00247BFC" w:rsidP="00733EEE">
      <w:pPr>
        <w:pStyle w:val="SCCNormalDoubleSpacing"/>
        <w:spacing w:after="240" w:line="240" w:lineRule="auto"/>
        <w:ind w:left="540" w:hanging="540"/>
      </w:pPr>
      <w:r w:rsidRPr="00CF2184">
        <w:t>McKendrick,</w:t>
      </w:r>
      <w:r w:rsidR="00733EEE">
        <w:t xml:space="preserve"> </w:t>
      </w:r>
      <w:r w:rsidRPr="00CF2184">
        <w:t>Ewan.</w:t>
      </w:r>
      <w:r w:rsidR="00733EEE">
        <w:t xml:space="preserve">  </w:t>
      </w:r>
      <w:r w:rsidRPr="00CF2184">
        <w:rPr>
          <w:i/>
        </w:rPr>
        <w:t>Contract</w:t>
      </w:r>
      <w:r w:rsidR="00733EEE">
        <w:rPr>
          <w:i/>
        </w:rPr>
        <w:t xml:space="preserve"> </w:t>
      </w:r>
      <w:r w:rsidRPr="00CF2184">
        <w:rPr>
          <w:i/>
        </w:rPr>
        <w:t>Law</w:t>
      </w:r>
      <w:r w:rsidRPr="00CF2184">
        <w:t>,</w:t>
      </w:r>
      <w:r w:rsidR="00733EEE">
        <w:t xml:space="preserve"> </w:t>
      </w:r>
      <w:r w:rsidRPr="00CF2184">
        <w:t>9th</w:t>
      </w:r>
      <w:r w:rsidR="00733EEE">
        <w:t xml:space="preserve"> </w:t>
      </w:r>
      <w:r w:rsidRPr="00CF2184">
        <w:t>ed.</w:t>
      </w:r>
      <w:r w:rsidR="00733EEE">
        <w:t xml:space="preserve">  </w:t>
      </w:r>
      <w:r w:rsidR="008E0D45" w:rsidRPr="00CF2184">
        <w:t>Basingstoke,</w:t>
      </w:r>
      <w:r w:rsidR="00733EEE">
        <w:t xml:space="preserve"> </w:t>
      </w:r>
      <w:r w:rsidR="008E0D45" w:rsidRPr="00CF2184">
        <w:t>England</w:t>
      </w:r>
      <w:r w:rsidRPr="00CF2184">
        <w:t>:</w:t>
      </w:r>
      <w:r w:rsidR="00733EEE">
        <w:t xml:space="preserve">  </w:t>
      </w:r>
      <w:r w:rsidRPr="00CF2184">
        <w:t>Palgrave</w:t>
      </w:r>
      <w:r w:rsidR="00733EEE">
        <w:t xml:space="preserve"> </w:t>
      </w:r>
      <w:r w:rsidRPr="00CF2184">
        <w:t>Macmillan,</w:t>
      </w:r>
      <w:r w:rsidR="00733EEE">
        <w:t xml:space="preserve"> </w:t>
      </w:r>
      <w:r w:rsidRPr="00CF2184">
        <w:t>2011.</w:t>
      </w:r>
    </w:p>
    <w:p w:rsidR="002E1B77" w:rsidRPr="00CF2184" w:rsidRDefault="007A3AD3" w:rsidP="00733EEE">
      <w:pPr>
        <w:pStyle w:val="SCCNormalDoubleSpacing"/>
        <w:spacing w:after="240" w:line="240" w:lineRule="auto"/>
        <w:ind w:left="540" w:hanging="540"/>
      </w:pPr>
      <w:r w:rsidRPr="00CF2184">
        <w:t>McNeely,</w:t>
      </w:r>
      <w:r w:rsidR="00733EEE">
        <w:t xml:space="preserve"> </w:t>
      </w:r>
      <w:r w:rsidRPr="00CF2184">
        <w:t>Anne</w:t>
      </w:r>
      <w:r w:rsidR="00733EEE">
        <w:t xml:space="preserve"> </w:t>
      </w:r>
      <w:r w:rsidR="002E1B77" w:rsidRPr="00CF2184">
        <w:t>C.</w:t>
      </w:r>
      <w:r w:rsidR="00733EEE">
        <w:t xml:space="preserve">  </w:t>
      </w:r>
      <w:r w:rsidR="002E1B77" w:rsidRPr="00CF2184">
        <w:rPr>
          <w:i/>
        </w:rPr>
        <w:t>Canadian</w:t>
      </w:r>
      <w:r w:rsidR="00733EEE">
        <w:rPr>
          <w:i/>
        </w:rPr>
        <w:t xml:space="preserve"> </w:t>
      </w:r>
      <w:r w:rsidR="002E1B77" w:rsidRPr="00CF2184">
        <w:rPr>
          <w:i/>
        </w:rPr>
        <w:t>Law</w:t>
      </w:r>
      <w:r w:rsidR="00733EEE">
        <w:rPr>
          <w:i/>
        </w:rPr>
        <w:t xml:space="preserve"> </w:t>
      </w:r>
      <w:r w:rsidR="002E1B77" w:rsidRPr="00CF2184">
        <w:rPr>
          <w:i/>
        </w:rPr>
        <w:t>of</w:t>
      </w:r>
      <w:r w:rsidR="00733EEE">
        <w:rPr>
          <w:i/>
        </w:rPr>
        <w:t xml:space="preserve"> </w:t>
      </w:r>
      <w:r w:rsidR="002E1B77" w:rsidRPr="00CF2184">
        <w:rPr>
          <w:i/>
        </w:rPr>
        <w:t>Competitive</w:t>
      </w:r>
      <w:r w:rsidR="00733EEE">
        <w:rPr>
          <w:i/>
        </w:rPr>
        <w:t xml:space="preserve"> </w:t>
      </w:r>
      <w:r w:rsidR="002E1B77" w:rsidRPr="00CF2184">
        <w:rPr>
          <w:i/>
        </w:rPr>
        <w:t>Bidding</w:t>
      </w:r>
      <w:r w:rsidR="00733EEE">
        <w:rPr>
          <w:i/>
        </w:rPr>
        <w:t xml:space="preserve"> </w:t>
      </w:r>
      <w:r w:rsidR="002E1B77" w:rsidRPr="00CF2184">
        <w:rPr>
          <w:i/>
        </w:rPr>
        <w:t>and</w:t>
      </w:r>
      <w:r w:rsidR="00733EEE">
        <w:rPr>
          <w:i/>
        </w:rPr>
        <w:t xml:space="preserve"> </w:t>
      </w:r>
      <w:r w:rsidR="002E1B77" w:rsidRPr="00CF2184">
        <w:rPr>
          <w:i/>
        </w:rPr>
        <w:t>Procurement</w:t>
      </w:r>
      <w:r w:rsidR="002E1B77" w:rsidRPr="00CF2184">
        <w:t>.</w:t>
      </w:r>
      <w:r w:rsidR="00733EEE">
        <w:t xml:space="preserve">  </w:t>
      </w:r>
      <w:r w:rsidR="002E1B77" w:rsidRPr="00CF2184">
        <w:t>Aurora,</w:t>
      </w:r>
      <w:r w:rsidR="00733EEE">
        <w:t xml:space="preserve"> </w:t>
      </w:r>
      <w:r w:rsidR="002E1B77" w:rsidRPr="00CF2184">
        <w:t>Ont.:</w:t>
      </w:r>
      <w:r w:rsidR="00733EEE">
        <w:t xml:space="preserve">  </w:t>
      </w:r>
      <w:r w:rsidR="002E1B77" w:rsidRPr="00CF2184">
        <w:t>Canada</w:t>
      </w:r>
      <w:r w:rsidR="00733EEE">
        <w:t xml:space="preserve"> </w:t>
      </w:r>
      <w:r w:rsidR="002E1B77" w:rsidRPr="00CF2184">
        <w:t>Law</w:t>
      </w:r>
      <w:r w:rsidR="00733EEE">
        <w:t xml:space="preserve"> </w:t>
      </w:r>
      <w:r w:rsidR="002E1B77" w:rsidRPr="00CF2184">
        <w:t>Book,</w:t>
      </w:r>
      <w:r w:rsidR="00733EEE">
        <w:t xml:space="preserve"> </w:t>
      </w:r>
      <w:r w:rsidR="002E1B77" w:rsidRPr="00CF2184">
        <w:t>2010.</w:t>
      </w:r>
    </w:p>
    <w:p w:rsidR="00FD2EF2" w:rsidRPr="00CF2184" w:rsidRDefault="00FD2EF2" w:rsidP="00733EEE">
      <w:pPr>
        <w:pStyle w:val="SCCNormalDoubleSpacing"/>
        <w:spacing w:after="240" w:line="240" w:lineRule="auto"/>
        <w:ind w:left="540" w:hanging="540"/>
      </w:pPr>
      <w:r w:rsidRPr="00CF2184">
        <w:t>Miller</w:t>
      </w:r>
      <w:r w:rsidR="007A3AD3" w:rsidRPr="00CF2184">
        <w:t>,</w:t>
      </w:r>
      <w:r w:rsidR="00733EEE">
        <w:t xml:space="preserve"> </w:t>
      </w:r>
      <w:r w:rsidR="007A3AD3" w:rsidRPr="00CF2184">
        <w:t>Alan</w:t>
      </w:r>
      <w:r w:rsidR="00733EEE">
        <w:t xml:space="preserve"> </w:t>
      </w:r>
      <w:r w:rsidR="007A3AD3" w:rsidRPr="00CF2184">
        <w:t>D.,</w:t>
      </w:r>
      <w:r w:rsidR="00733EEE">
        <w:t xml:space="preserve"> </w:t>
      </w:r>
      <w:r w:rsidRPr="00CF2184">
        <w:t>and</w:t>
      </w:r>
      <w:r w:rsidR="00733EEE">
        <w:t xml:space="preserve"> </w:t>
      </w:r>
      <w:r w:rsidR="007A3AD3" w:rsidRPr="00CF2184">
        <w:t>Ronen</w:t>
      </w:r>
      <w:r w:rsidR="00733EEE">
        <w:t xml:space="preserve"> </w:t>
      </w:r>
      <w:r w:rsidRPr="00CF2184">
        <w:t>Perry.</w:t>
      </w:r>
      <w:r w:rsidR="00733EEE">
        <w:t xml:space="preserve">  </w:t>
      </w:r>
      <w:r w:rsidRPr="00CF2184">
        <w:t>“Good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Performance”</w:t>
      </w:r>
      <w:r w:rsidR="00733EEE">
        <w:t xml:space="preserve"> </w:t>
      </w:r>
      <w:r w:rsidRPr="00CF2184">
        <w:t>(2013),</w:t>
      </w:r>
      <w:r w:rsidR="00733EEE">
        <w:t xml:space="preserve"> </w:t>
      </w:r>
      <w:r w:rsidRPr="00CF2184">
        <w:t>98</w:t>
      </w:r>
      <w:r w:rsidR="00733EEE">
        <w:t xml:space="preserve"> </w:t>
      </w:r>
      <w:r w:rsidRPr="00CF2184">
        <w:rPr>
          <w:i/>
        </w:rPr>
        <w:t>Iowa</w:t>
      </w:r>
      <w:r w:rsidR="00733EEE">
        <w:rPr>
          <w:i/>
        </w:rPr>
        <w:t xml:space="preserve"> </w:t>
      </w:r>
      <w:r w:rsidRPr="00CF2184">
        <w:rPr>
          <w:i/>
        </w:rPr>
        <w:t>L.</w:t>
      </w:r>
      <w:r w:rsidR="00733EEE">
        <w:rPr>
          <w:i/>
        </w:rPr>
        <w:t xml:space="preserve"> </w:t>
      </w:r>
      <w:r w:rsidRPr="00CF2184">
        <w:rPr>
          <w:i/>
        </w:rPr>
        <w:t>Rev.</w:t>
      </w:r>
      <w:r w:rsidR="00733EEE">
        <w:t xml:space="preserve"> </w:t>
      </w:r>
      <w:r w:rsidRPr="00CF2184">
        <w:t>689.</w:t>
      </w:r>
    </w:p>
    <w:p w:rsidR="005E782F" w:rsidRPr="00CF2184" w:rsidRDefault="00941D5B" w:rsidP="00733EEE">
      <w:pPr>
        <w:pStyle w:val="SCCNormalDoubleSpacing"/>
        <w:spacing w:after="240" w:line="240" w:lineRule="auto"/>
        <w:ind w:left="540" w:hanging="540"/>
      </w:pPr>
      <w:r w:rsidRPr="00CF2184">
        <w:lastRenderedPageBreak/>
        <w:t>O’Byrne,</w:t>
      </w:r>
      <w:r w:rsidR="00733EEE">
        <w:t xml:space="preserve"> </w:t>
      </w:r>
      <w:r w:rsidRPr="00CF2184">
        <w:t>S</w:t>
      </w:r>
      <w:r w:rsidR="007A3AD3" w:rsidRPr="00CF2184">
        <w:t>hannon</w:t>
      </w:r>
      <w:r w:rsidR="00733EEE">
        <w:t xml:space="preserve"> </w:t>
      </w:r>
      <w:r w:rsidRPr="00CF2184">
        <w:t>K</w:t>
      </w:r>
      <w:r w:rsidR="00FD2EF2" w:rsidRPr="00CF2184">
        <w:t>athleen</w:t>
      </w:r>
      <w:r w:rsidRPr="00CF2184">
        <w:t>.</w:t>
      </w:r>
      <w:r w:rsidR="00733EEE">
        <w:t xml:space="preserve">  </w:t>
      </w:r>
      <w:r w:rsidRPr="00CF2184">
        <w:t>“Good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Contract</w:t>
      </w:r>
      <w:r w:rsidR="00FD2EF2" w:rsidRPr="00CF2184">
        <w:t>ual</w:t>
      </w:r>
      <w:r w:rsidR="00733EEE">
        <w:t xml:space="preserve"> </w:t>
      </w:r>
      <w:r w:rsidRPr="00CF2184">
        <w:t>Performance</w:t>
      </w:r>
      <w:r w:rsidR="007A3AD3" w:rsidRPr="00CF2184">
        <w:t>:</w:t>
      </w:r>
      <w:r w:rsidR="00733EEE">
        <w:t xml:space="preserve">  </w:t>
      </w:r>
      <w:r w:rsidR="007A3AD3" w:rsidRPr="00CF2184">
        <w:t>Recent</w:t>
      </w:r>
      <w:r w:rsidR="00733EEE">
        <w:t xml:space="preserve"> </w:t>
      </w:r>
      <w:r w:rsidR="007A3AD3" w:rsidRPr="00CF2184">
        <w:t>Developments</w:t>
      </w:r>
      <w:r w:rsidRPr="00CF2184">
        <w:t>”</w:t>
      </w:r>
      <w:r w:rsidR="00733EEE">
        <w:t xml:space="preserve"> </w:t>
      </w:r>
      <w:r w:rsidRPr="00CF2184">
        <w:t>(1995),</w:t>
      </w:r>
      <w:r w:rsidR="00733EEE">
        <w:t xml:space="preserve"> </w:t>
      </w:r>
      <w:r w:rsidRPr="00CF2184">
        <w:t>74</w:t>
      </w:r>
      <w:r w:rsidR="00733EEE">
        <w:t xml:space="preserve"> </w:t>
      </w:r>
      <w:r w:rsidRPr="00CF2184">
        <w:rPr>
          <w:i/>
        </w:rPr>
        <w:t>Can.</w:t>
      </w:r>
      <w:r w:rsidR="00733EEE">
        <w:rPr>
          <w:i/>
        </w:rPr>
        <w:t xml:space="preserve"> </w:t>
      </w:r>
      <w:r w:rsidRPr="00CF2184">
        <w:rPr>
          <w:i/>
        </w:rPr>
        <w:t>Bar</w:t>
      </w:r>
      <w:r w:rsidR="00733EEE">
        <w:rPr>
          <w:i/>
        </w:rPr>
        <w:t xml:space="preserve"> </w:t>
      </w:r>
      <w:r w:rsidRPr="00CF2184">
        <w:rPr>
          <w:i/>
        </w:rPr>
        <w:t>Rev.</w:t>
      </w:r>
      <w:r w:rsidR="00733EEE">
        <w:t xml:space="preserve"> </w:t>
      </w:r>
      <w:r w:rsidRPr="00CF2184">
        <w:t>70</w:t>
      </w:r>
      <w:r w:rsidR="005E782F" w:rsidRPr="00CF2184">
        <w:t>.</w:t>
      </w:r>
    </w:p>
    <w:p w:rsidR="005E782F" w:rsidRPr="00CF2184" w:rsidRDefault="007A3AD3" w:rsidP="00733EEE">
      <w:pPr>
        <w:pStyle w:val="SCCNormalDoubleSpacing"/>
        <w:spacing w:after="240" w:line="240" w:lineRule="auto"/>
        <w:ind w:left="540" w:hanging="540"/>
      </w:pPr>
      <w:r w:rsidRPr="00CF2184">
        <w:t>O’Byrne,</w:t>
      </w:r>
      <w:r w:rsidR="00733EEE">
        <w:t xml:space="preserve"> </w:t>
      </w:r>
      <w:r w:rsidRPr="00CF2184">
        <w:t>Shannon</w:t>
      </w:r>
      <w:r w:rsidR="00733EEE">
        <w:t xml:space="preserve"> </w:t>
      </w:r>
      <w:r w:rsidRPr="00CF2184">
        <w:t>Kathleen</w:t>
      </w:r>
      <w:r w:rsidR="005E782F" w:rsidRPr="00CF2184">
        <w:t>.</w:t>
      </w:r>
      <w:r w:rsidR="00733EEE">
        <w:t xml:space="preserve">  </w:t>
      </w:r>
      <w:r w:rsidR="005E782F" w:rsidRPr="00CF2184">
        <w:t>“</w:t>
      </w:r>
      <w:r w:rsidRPr="00CF2184">
        <w:t>The</w:t>
      </w:r>
      <w:r w:rsidR="00733EEE">
        <w:t xml:space="preserve"> </w:t>
      </w:r>
      <w:r w:rsidR="005E782F" w:rsidRPr="00CF2184">
        <w:t>Implied</w:t>
      </w:r>
      <w:r w:rsidR="00733EEE">
        <w:t xml:space="preserve"> </w:t>
      </w:r>
      <w:r w:rsidR="005E782F" w:rsidRPr="00CF2184">
        <w:t>Term</w:t>
      </w:r>
      <w:r w:rsidR="00733EEE">
        <w:t xml:space="preserve"> </w:t>
      </w:r>
      <w:r w:rsidR="005E782F" w:rsidRPr="00CF2184">
        <w:t>of</w:t>
      </w:r>
      <w:r w:rsidR="00733EEE">
        <w:t xml:space="preserve"> </w:t>
      </w:r>
      <w:r w:rsidR="005E782F" w:rsidRPr="00CF2184">
        <w:t>Good</w:t>
      </w:r>
      <w:r w:rsidR="00733EEE">
        <w:t xml:space="preserve"> </w:t>
      </w:r>
      <w:r w:rsidR="005E782F" w:rsidRPr="00CF2184">
        <w:t>Faith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Fair</w:t>
      </w:r>
      <w:r w:rsidR="00733EEE">
        <w:t xml:space="preserve"> </w:t>
      </w:r>
      <w:r w:rsidRPr="00CF2184">
        <w:t>Dealing:</w:t>
      </w:r>
      <w:r w:rsidR="00733EEE">
        <w:t xml:space="preserve">  </w:t>
      </w:r>
      <w:r w:rsidRPr="00CF2184">
        <w:t>Recent</w:t>
      </w:r>
      <w:r w:rsidR="00733EEE">
        <w:t xml:space="preserve"> </w:t>
      </w:r>
      <w:r w:rsidRPr="00CF2184">
        <w:t>Developments</w:t>
      </w:r>
      <w:r w:rsidR="005E782F" w:rsidRPr="00CF2184">
        <w:t>”</w:t>
      </w:r>
      <w:r w:rsidR="00733EEE">
        <w:t xml:space="preserve"> </w:t>
      </w:r>
      <w:r w:rsidRPr="00CF2184">
        <w:t>(2007),</w:t>
      </w:r>
      <w:r w:rsidR="00733EEE">
        <w:t xml:space="preserve"> </w:t>
      </w:r>
      <w:r w:rsidRPr="00CF2184">
        <w:t>86</w:t>
      </w:r>
      <w:r w:rsidR="00733EEE">
        <w:t xml:space="preserve"> </w:t>
      </w:r>
      <w:r w:rsidRPr="00CF2184">
        <w:rPr>
          <w:i/>
        </w:rPr>
        <w:t>Can.</w:t>
      </w:r>
      <w:r w:rsidR="00733EEE">
        <w:rPr>
          <w:i/>
        </w:rPr>
        <w:t xml:space="preserve"> </w:t>
      </w:r>
      <w:r w:rsidRPr="00CF2184">
        <w:rPr>
          <w:i/>
        </w:rPr>
        <w:t>Bar</w:t>
      </w:r>
      <w:r w:rsidR="00733EEE">
        <w:rPr>
          <w:i/>
        </w:rPr>
        <w:t xml:space="preserve"> </w:t>
      </w:r>
      <w:r w:rsidRPr="00CF2184">
        <w:rPr>
          <w:i/>
        </w:rPr>
        <w:t>Rev.</w:t>
      </w:r>
      <w:r w:rsidR="00733EEE">
        <w:t xml:space="preserve"> </w:t>
      </w:r>
      <w:r w:rsidRPr="00CF2184">
        <w:t>193</w:t>
      </w:r>
      <w:r w:rsidR="005E782F" w:rsidRPr="00CF2184">
        <w:t>.</w:t>
      </w:r>
    </w:p>
    <w:p w:rsidR="005E782F" w:rsidRPr="00CF2184" w:rsidRDefault="005E782F" w:rsidP="00733EEE">
      <w:pPr>
        <w:pStyle w:val="SCCNormalDoubleSpacing"/>
        <w:spacing w:after="240" w:line="240" w:lineRule="auto"/>
        <w:ind w:left="540" w:hanging="540"/>
      </w:pPr>
      <w:r w:rsidRPr="00CF2184">
        <w:t>O’Connor,</w:t>
      </w:r>
      <w:r w:rsidR="00733EEE">
        <w:t xml:space="preserve"> </w:t>
      </w:r>
      <w:r w:rsidRPr="00CF2184">
        <w:t>J.</w:t>
      </w:r>
      <w:r w:rsidR="00733EEE">
        <w:t xml:space="preserve"> </w:t>
      </w:r>
      <w:r w:rsidRPr="00CF2184">
        <w:t>F.</w:t>
      </w:r>
      <w:r w:rsidR="00733EEE">
        <w:t xml:space="preserve">  </w:t>
      </w:r>
      <w:r w:rsidRPr="00CF2184">
        <w:rPr>
          <w:i/>
        </w:rPr>
        <w:t>Good</w:t>
      </w:r>
      <w:r w:rsidR="00733EEE">
        <w:rPr>
          <w:i/>
        </w:rPr>
        <w:t xml:space="preserve"> </w:t>
      </w:r>
      <w:r w:rsidRPr="00CF2184">
        <w:rPr>
          <w:i/>
        </w:rPr>
        <w:t>Faith</w:t>
      </w:r>
      <w:r w:rsidR="00733EEE">
        <w:rPr>
          <w:i/>
        </w:rPr>
        <w:t xml:space="preserve"> </w:t>
      </w:r>
      <w:r w:rsidRPr="00CF2184">
        <w:rPr>
          <w:i/>
        </w:rPr>
        <w:t>in</w:t>
      </w:r>
      <w:r w:rsidR="00733EEE">
        <w:rPr>
          <w:i/>
        </w:rPr>
        <w:t xml:space="preserve"> </w:t>
      </w:r>
      <w:r w:rsidRPr="00CF2184">
        <w:rPr>
          <w:i/>
        </w:rPr>
        <w:t>English</w:t>
      </w:r>
      <w:r w:rsidR="00733EEE">
        <w:rPr>
          <w:i/>
        </w:rPr>
        <w:t xml:space="preserve"> </w:t>
      </w:r>
      <w:r w:rsidRPr="00CF2184">
        <w:rPr>
          <w:i/>
        </w:rPr>
        <w:t>Law</w:t>
      </w:r>
      <w:r w:rsidRPr="00CF2184">
        <w:t>.</w:t>
      </w:r>
      <w:r w:rsidR="00733EEE">
        <w:t xml:space="preserve">  </w:t>
      </w:r>
      <w:r w:rsidRPr="00CF2184">
        <w:t>Aldershot</w:t>
      </w:r>
      <w:r w:rsidR="00EC1267" w:rsidRPr="00CF2184">
        <w:t>,</w:t>
      </w:r>
      <w:r w:rsidR="00733EEE">
        <w:t xml:space="preserve"> </w:t>
      </w:r>
      <w:r w:rsidR="00EC1267" w:rsidRPr="00CF2184">
        <w:t>England</w:t>
      </w:r>
      <w:r w:rsidRPr="00CF2184">
        <w:t>:</w:t>
      </w:r>
      <w:r w:rsidR="00733EEE">
        <w:t xml:space="preserve">  </w:t>
      </w:r>
      <w:r w:rsidRPr="00CF2184">
        <w:t>Dartmouth,</w:t>
      </w:r>
      <w:r w:rsidR="00733EEE">
        <w:t xml:space="preserve"> </w:t>
      </w:r>
      <w:r w:rsidRPr="00CF2184">
        <w:t>1990.</w:t>
      </w:r>
    </w:p>
    <w:p w:rsidR="00A149DF" w:rsidRPr="00CF2184" w:rsidRDefault="00FC1E80" w:rsidP="00733EEE">
      <w:pPr>
        <w:pStyle w:val="SCCNormalDoubleSpacing"/>
        <w:spacing w:after="240" w:line="240" w:lineRule="auto"/>
        <w:ind w:left="540" w:hanging="540"/>
      </w:pPr>
      <w:r w:rsidRPr="00CF2184">
        <w:t>Ontario</w:t>
      </w:r>
      <w:r w:rsidR="00710A78" w:rsidRPr="00CF2184">
        <w:t>.</w:t>
      </w:r>
      <w:r w:rsidR="00733EEE">
        <w:t xml:space="preserve">  </w:t>
      </w:r>
      <w:r w:rsidRPr="00CF2184">
        <w:t>Law</w:t>
      </w:r>
      <w:r w:rsidR="00733EEE">
        <w:t xml:space="preserve"> </w:t>
      </w:r>
      <w:r w:rsidRPr="00CF2184">
        <w:t>Reform</w:t>
      </w:r>
      <w:r w:rsidR="00733EEE">
        <w:t xml:space="preserve"> </w:t>
      </w:r>
      <w:r w:rsidRPr="00CF2184">
        <w:t>Commission.</w:t>
      </w:r>
      <w:r w:rsidR="00733EEE">
        <w:t xml:space="preserve">  </w:t>
      </w:r>
      <w:r w:rsidRPr="00CF2184">
        <w:rPr>
          <w:i/>
        </w:rPr>
        <w:t>Report</w:t>
      </w:r>
      <w:r w:rsidR="00733EEE">
        <w:rPr>
          <w:i/>
        </w:rPr>
        <w:t xml:space="preserve"> </w:t>
      </w:r>
      <w:r w:rsidRPr="00CF2184">
        <w:rPr>
          <w:i/>
        </w:rPr>
        <w:t>on</w:t>
      </w:r>
      <w:r w:rsidR="00733EEE">
        <w:rPr>
          <w:i/>
        </w:rPr>
        <w:t xml:space="preserve"> </w:t>
      </w:r>
      <w:r w:rsidRPr="00CF2184">
        <w:rPr>
          <w:i/>
        </w:rPr>
        <w:t>Amendment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the</w:t>
      </w:r>
      <w:r w:rsidR="00733EEE">
        <w:rPr>
          <w:i/>
        </w:rPr>
        <w:t xml:space="preserve"> </w:t>
      </w:r>
      <w:r w:rsidRPr="00CF2184">
        <w:rPr>
          <w:i/>
        </w:rPr>
        <w:t>Law</w:t>
      </w:r>
      <w:r w:rsidR="00733EEE">
        <w:rPr>
          <w:i/>
        </w:rPr>
        <w:t xml:space="preserve"> </w:t>
      </w:r>
      <w:r w:rsidRPr="00CF2184">
        <w:rPr>
          <w:i/>
        </w:rPr>
        <w:t>of</w:t>
      </w:r>
      <w:r w:rsidR="00733EEE">
        <w:rPr>
          <w:i/>
        </w:rPr>
        <w:t xml:space="preserve"> </w:t>
      </w:r>
      <w:r w:rsidRPr="00CF2184">
        <w:rPr>
          <w:i/>
        </w:rPr>
        <w:t>Contract</w:t>
      </w:r>
      <w:r w:rsidR="00A25E75" w:rsidRPr="00CF2184">
        <w:t>.</w:t>
      </w:r>
      <w:r w:rsidR="00733EEE">
        <w:t xml:space="preserve">  </w:t>
      </w:r>
      <w:r w:rsidR="00710A78" w:rsidRPr="00CF2184">
        <w:t>Toronto:</w:t>
      </w:r>
      <w:r w:rsidR="00733EEE">
        <w:t xml:space="preserve">  </w:t>
      </w:r>
      <w:r w:rsidR="00710A78" w:rsidRPr="00CF2184">
        <w:t>Ministry</w:t>
      </w:r>
      <w:r w:rsidR="00733EEE">
        <w:t xml:space="preserve"> </w:t>
      </w:r>
      <w:r w:rsidR="00710A78" w:rsidRPr="00CF2184">
        <w:t>of</w:t>
      </w:r>
      <w:r w:rsidR="00733EEE">
        <w:t xml:space="preserve"> </w:t>
      </w:r>
      <w:r w:rsidR="00710A78" w:rsidRPr="00CF2184">
        <w:t>the</w:t>
      </w:r>
      <w:r w:rsidR="00733EEE">
        <w:t xml:space="preserve"> </w:t>
      </w:r>
      <w:r w:rsidR="00710A78" w:rsidRPr="00CF2184">
        <w:t>Attorney</w:t>
      </w:r>
      <w:r w:rsidR="00733EEE">
        <w:t xml:space="preserve"> </w:t>
      </w:r>
      <w:r w:rsidR="00710A78" w:rsidRPr="00CF2184">
        <w:t>General,</w:t>
      </w:r>
      <w:r w:rsidR="00733EEE">
        <w:t xml:space="preserve"> </w:t>
      </w:r>
      <w:r w:rsidR="00710A78" w:rsidRPr="00CF2184">
        <w:t>1987</w:t>
      </w:r>
      <w:r w:rsidRPr="00CF2184">
        <w:t>.</w:t>
      </w:r>
    </w:p>
    <w:p w:rsidR="002E1B77" w:rsidRPr="00CF2184" w:rsidRDefault="002E1B77" w:rsidP="00733EEE">
      <w:pPr>
        <w:pStyle w:val="SCCNormalDoubleSpacing"/>
        <w:spacing w:after="240" w:line="240" w:lineRule="auto"/>
        <w:ind w:left="540" w:hanging="540"/>
      </w:pPr>
      <w:r w:rsidRPr="00CF2184">
        <w:t>Peden,</w:t>
      </w:r>
      <w:r w:rsidR="00733EEE">
        <w:t xml:space="preserve"> </w:t>
      </w:r>
      <w:r w:rsidRPr="00CF2184">
        <w:t>Elisabeth.</w:t>
      </w:r>
      <w:r w:rsidR="00733EEE">
        <w:t xml:space="preserve">  </w:t>
      </w:r>
      <w:r w:rsidR="0068654D" w:rsidRPr="00CF2184">
        <w:t>“Good</w:t>
      </w:r>
      <w:r w:rsidR="00733EEE">
        <w:t xml:space="preserve"> </w:t>
      </w:r>
      <w:r w:rsidR="0068654D" w:rsidRPr="00CF2184">
        <w:t>faith</w:t>
      </w:r>
      <w:r w:rsidR="00733EEE">
        <w:t xml:space="preserve"> </w:t>
      </w:r>
      <w:r w:rsidR="0068654D" w:rsidRPr="00CF2184">
        <w:t>in</w:t>
      </w:r>
      <w:r w:rsidR="00733EEE">
        <w:t xml:space="preserve"> </w:t>
      </w:r>
      <w:r w:rsidR="0068654D" w:rsidRPr="00CF2184">
        <w:t>the</w:t>
      </w:r>
      <w:r w:rsidR="00733EEE">
        <w:t xml:space="preserve"> </w:t>
      </w:r>
      <w:r w:rsidR="0068654D" w:rsidRPr="00CF2184">
        <w:t>performance</w:t>
      </w:r>
      <w:r w:rsidR="00733EEE">
        <w:t xml:space="preserve"> </w:t>
      </w:r>
      <w:r w:rsidR="0068654D" w:rsidRPr="00CF2184">
        <w:t>of</w:t>
      </w:r>
      <w:r w:rsidR="00733EEE">
        <w:t xml:space="preserve"> </w:t>
      </w:r>
      <w:r w:rsidR="0068654D" w:rsidRPr="00CF2184">
        <w:t>contract</w:t>
      </w:r>
      <w:r w:rsidR="00733EEE">
        <w:t xml:space="preserve"> </w:t>
      </w:r>
      <w:r w:rsidR="0068654D" w:rsidRPr="00CF2184">
        <w:t>l</w:t>
      </w:r>
      <w:r w:rsidRPr="00CF2184">
        <w:t>aw”</w:t>
      </w:r>
      <w:r w:rsidR="00733EEE">
        <w:t xml:space="preserve"> </w:t>
      </w:r>
      <w:r w:rsidRPr="00CF2184">
        <w:t>(2004),</w:t>
      </w:r>
      <w:r w:rsidR="00733EEE">
        <w:t xml:space="preserve"> </w:t>
      </w:r>
      <w:r w:rsidRPr="00CF2184">
        <w:t>42</w:t>
      </w:r>
      <w:r w:rsidR="008252F6">
        <w:t xml:space="preserve"> </w:t>
      </w:r>
      <w:r w:rsidRPr="00CF2184">
        <w:rPr>
          <w:i/>
        </w:rPr>
        <w:t>L</w:t>
      </w:r>
      <w:r w:rsidR="00901C25" w:rsidRPr="00CF2184">
        <w:rPr>
          <w:i/>
        </w:rPr>
        <w:t>.</w:t>
      </w:r>
      <w:r w:rsidRPr="00CF2184">
        <w:rPr>
          <w:i/>
        </w:rPr>
        <w:t>S</w:t>
      </w:r>
      <w:r w:rsidR="00901C25" w:rsidRPr="00CF2184">
        <w:rPr>
          <w:i/>
        </w:rPr>
        <w:t>.</w:t>
      </w:r>
      <w:r w:rsidRPr="00CF2184">
        <w:rPr>
          <w:i/>
        </w:rPr>
        <w:t>J</w:t>
      </w:r>
      <w:r w:rsidR="00901C25" w:rsidRPr="00CF2184">
        <w:rPr>
          <w:i/>
        </w:rPr>
        <w:t>.</w:t>
      </w:r>
      <w:r w:rsidR="00733EEE">
        <w:t xml:space="preserve"> </w:t>
      </w:r>
      <w:r w:rsidRPr="00CF2184">
        <w:t>64.</w:t>
      </w:r>
    </w:p>
    <w:p w:rsidR="005E782F" w:rsidRPr="00CF2184" w:rsidRDefault="00592568" w:rsidP="00733EEE">
      <w:pPr>
        <w:pStyle w:val="SCCNormalDoubleSpacing"/>
        <w:spacing w:after="240" w:line="240" w:lineRule="auto"/>
        <w:ind w:left="540" w:hanging="540"/>
      </w:pPr>
      <w:r w:rsidRPr="00CF2184">
        <w:t>Peden,</w:t>
      </w:r>
      <w:r w:rsidR="00733EEE">
        <w:t xml:space="preserve"> </w:t>
      </w:r>
      <w:r w:rsidRPr="00CF2184">
        <w:t>Elis</w:t>
      </w:r>
      <w:r w:rsidR="005E782F" w:rsidRPr="00CF2184">
        <w:t>abeth.</w:t>
      </w:r>
      <w:r w:rsidR="00733EEE">
        <w:t xml:space="preserve">  </w:t>
      </w:r>
      <w:r w:rsidR="005E782F" w:rsidRPr="00CF2184">
        <w:t>“When</w:t>
      </w:r>
      <w:r w:rsidR="00733EEE">
        <w:t xml:space="preserve"> </w:t>
      </w:r>
      <w:r w:rsidR="005E782F" w:rsidRPr="00CF2184">
        <w:t>Common</w:t>
      </w:r>
      <w:r w:rsidR="00733EEE">
        <w:t xml:space="preserve"> </w:t>
      </w:r>
      <w:r w:rsidR="005E782F" w:rsidRPr="00CF2184">
        <w:t>Law</w:t>
      </w:r>
      <w:r w:rsidR="00733EEE">
        <w:t xml:space="preserve"> </w:t>
      </w:r>
      <w:r w:rsidR="005E782F" w:rsidRPr="00CF2184">
        <w:t>Trumps</w:t>
      </w:r>
      <w:r w:rsidR="00733EEE">
        <w:t xml:space="preserve"> </w:t>
      </w:r>
      <w:r w:rsidR="005E782F" w:rsidRPr="00CF2184">
        <w:t>Equity:</w:t>
      </w:r>
      <w:r w:rsidR="00733EEE">
        <w:t xml:space="preserve">  </w:t>
      </w:r>
      <w:r w:rsidR="0068654D" w:rsidRPr="00CF2184">
        <w:t>t</w:t>
      </w:r>
      <w:r w:rsidR="005E782F" w:rsidRPr="00CF2184">
        <w:t>he</w:t>
      </w:r>
      <w:r w:rsidR="00733EEE">
        <w:t xml:space="preserve"> </w:t>
      </w:r>
      <w:r w:rsidR="005E782F" w:rsidRPr="00CF2184">
        <w:t>Rise</w:t>
      </w:r>
      <w:r w:rsidR="00733EEE">
        <w:t xml:space="preserve"> </w:t>
      </w:r>
      <w:r w:rsidR="005E782F" w:rsidRPr="00CF2184">
        <w:t>of</w:t>
      </w:r>
      <w:r w:rsidR="00733EEE">
        <w:t xml:space="preserve"> </w:t>
      </w:r>
      <w:r w:rsidR="005E782F" w:rsidRPr="00CF2184">
        <w:t>Good</w:t>
      </w:r>
      <w:r w:rsidR="00733EEE">
        <w:t xml:space="preserve"> </w:t>
      </w:r>
      <w:r w:rsidR="005E782F" w:rsidRPr="00CF2184">
        <w:t>Faith</w:t>
      </w:r>
      <w:r w:rsidR="00733EEE">
        <w:t xml:space="preserve"> </w:t>
      </w:r>
      <w:r w:rsidR="005E782F" w:rsidRPr="00CF2184">
        <w:t>and</w:t>
      </w:r>
      <w:r w:rsidR="00733EEE">
        <w:t xml:space="preserve"> </w:t>
      </w:r>
      <w:r w:rsidR="005E782F" w:rsidRPr="00CF2184">
        <w:t>Reasonableness</w:t>
      </w:r>
      <w:r w:rsidR="00733EEE">
        <w:t xml:space="preserve"> </w:t>
      </w:r>
      <w:r w:rsidR="005E782F" w:rsidRPr="00CF2184">
        <w:t>and</w:t>
      </w:r>
      <w:r w:rsidR="00733EEE">
        <w:t xml:space="preserve"> </w:t>
      </w:r>
      <w:r w:rsidR="005E782F" w:rsidRPr="00CF2184">
        <w:t>the</w:t>
      </w:r>
      <w:r w:rsidR="00733EEE">
        <w:t xml:space="preserve"> </w:t>
      </w:r>
      <w:r w:rsidR="005E782F" w:rsidRPr="00CF2184">
        <w:t>Demise</w:t>
      </w:r>
      <w:r w:rsidR="00733EEE">
        <w:t xml:space="preserve"> </w:t>
      </w:r>
      <w:r w:rsidR="005E782F" w:rsidRPr="00CF2184">
        <w:t>of</w:t>
      </w:r>
      <w:r w:rsidR="00733EEE">
        <w:t xml:space="preserve"> </w:t>
      </w:r>
      <w:r w:rsidR="005E782F" w:rsidRPr="00CF2184">
        <w:t>Unconscionability”</w:t>
      </w:r>
      <w:r w:rsidR="00733EEE">
        <w:t xml:space="preserve"> </w:t>
      </w:r>
      <w:r w:rsidR="005E782F" w:rsidRPr="00CF2184">
        <w:t>(2005),</w:t>
      </w:r>
      <w:r w:rsidR="00733EEE">
        <w:t xml:space="preserve"> </w:t>
      </w:r>
      <w:r w:rsidR="005E782F" w:rsidRPr="00CF2184">
        <w:t>21</w:t>
      </w:r>
      <w:r w:rsidR="00733EEE">
        <w:t xml:space="preserve"> </w:t>
      </w:r>
      <w:r w:rsidR="005E782F" w:rsidRPr="00CF2184">
        <w:rPr>
          <w:i/>
        </w:rPr>
        <w:t>J</w:t>
      </w:r>
      <w:r w:rsidR="00901C25" w:rsidRPr="00CF2184">
        <w:rPr>
          <w:i/>
        </w:rPr>
        <w:t>.</w:t>
      </w:r>
      <w:r w:rsidR="005E782F" w:rsidRPr="00CF2184">
        <w:rPr>
          <w:i/>
        </w:rPr>
        <w:t>C</w:t>
      </w:r>
      <w:r w:rsidR="00901C25" w:rsidRPr="00CF2184">
        <w:rPr>
          <w:i/>
        </w:rPr>
        <w:t>.</w:t>
      </w:r>
      <w:r w:rsidR="005E782F" w:rsidRPr="00CF2184">
        <w:rPr>
          <w:i/>
        </w:rPr>
        <w:t>L</w:t>
      </w:r>
      <w:r w:rsidR="00901C25" w:rsidRPr="00CF2184">
        <w:rPr>
          <w:i/>
        </w:rPr>
        <w:t>.</w:t>
      </w:r>
      <w:r w:rsidR="00733EEE">
        <w:t xml:space="preserve"> </w:t>
      </w:r>
      <w:r w:rsidR="005E782F" w:rsidRPr="00CF2184">
        <w:t>226.</w:t>
      </w:r>
    </w:p>
    <w:p w:rsidR="00894EB1" w:rsidRPr="00CF2184" w:rsidRDefault="00894EB1" w:rsidP="00733EEE">
      <w:pPr>
        <w:pStyle w:val="SCCNormalDoubleSpacing"/>
        <w:spacing w:after="240" w:line="240" w:lineRule="auto"/>
        <w:ind w:left="540" w:hanging="540"/>
      </w:pPr>
      <w:r w:rsidRPr="00CF2184">
        <w:rPr>
          <w:lang w:val="fr-CA"/>
        </w:rPr>
        <w:t>Pineau,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J</w:t>
      </w:r>
      <w:r w:rsidR="004D4774" w:rsidRPr="00CF2184">
        <w:rPr>
          <w:lang w:val="fr-CA"/>
        </w:rPr>
        <w:t>ean</w:t>
      </w:r>
      <w:r w:rsidRPr="00CF2184">
        <w:rPr>
          <w:lang w:val="fr-CA"/>
        </w:rPr>
        <w:t>.</w:t>
      </w:r>
      <w:r w:rsidR="00733EEE">
        <w:rPr>
          <w:lang w:val="fr-CA"/>
        </w:rPr>
        <w:t xml:space="preserve">  </w:t>
      </w:r>
      <w:r w:rsidRPr="00CF2184">
        <w:rPr>
          <w:lang w:val="fr-CA"/>
        </w:rPr>
        <w:t>“La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discr</w:t>
      </w:r>
      <w:r w:rsidR="004D4774" w:rsidRPr="00CF2184">
        <w:rPr>
          <w:lang w:val="fr-CA"/>
        </w:rPr>
        <w:t>é</w:t>
      </w:r>
      <w:r w:rsidRPr="00CF2184">
        <w:rPr>
          <w:lang w:val="fr-CA"/>
        </w:rPr>
        <w:t>tion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judiciaire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a</w:t>
      </w:r>
      <w:r w:rsidR="00733EEE">
        <w:rPr>
          <w:lang w:val="fr-CA"/>
        </w:rPr>
        <w:t>-</w:t>
      </w:r>
      <w:r w:rsidRPr="00CF2184">
        <w:rPr>
          <w:lang w:val="fr-CA"/>
        </w:rPr>
        <w:t>t</w:t>
      </w:r>
      <w:r w:rsidR="00733EEE">
        <w:rPr>
          <w:lang w:val="fr-CA"/>
        </w:rPr>
        <w:t>-</w:t>
      </w:r>
      <w:r w:rsidRPr="00CF2184">
        <w:rPr>
          <w:lang w:val="fr-CA"/>
        </w:rPr>
        <w:t>elle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fait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des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ravages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en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matière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contractuelle?”,</w:t>
      </w:r>
      <w:r w:rsidR="00733EEE">
        <w:rPr>
          <w:lang w:val="fr-CA"/>
        </w:rPr>
        <w:t xml:space="preserve"> </w:t>
      </w:r>
      <w:r w:rsidRPr="00CF2184">
        <w:rPr>
          <w:lang w:val="fr-CA"/>
        </w:rPr>
        <w:t>dans</w:t>
      </w:r>
      <w:r w:rsidR="00733EEE">
        <w:rPr>
          <w:lang w:val="fr-CA"/>
        </w:rPr>
        <w:t xml:space="preserve"> </w:t>
      </w:r>
      <w:r w:rsidR="007F3461" w:rsidRPr="00CF2184">
        <w:rPr>
          <w:lang w:val="fr-CA"/>
        </w:rPr>
        <w:t>Service</w:t>
      </w:r>
      <w:r w:rsidR="00733EEE">
        <w:rPr>
          <w:lang w:val="fr-CA"/>
        </w:rPr>
        <w:t xml:space="preserve"> </w:t>
      </w:r>
      <w:r w:rsidR="007F3461" w:rsidRPr="00CF2184">
        <w:rPr>
          <w:lang w:val="fr-CA"/>
        </w:rPr>
        <w:t>de</w:t>
      </w:r>
      <w:r w:rsidR="00733EEE">
        <w:rPr>
          <w:lang w:val="fr-CA"/>
        </w:rPr>
        <w:t xml:space="preserve"> </w:t>
      </w:r>
      <w:r w:rsidR="007F3461" w:rsidRPr="00CF2184">
        <w:rPr>
          <w:lang w:val="fr-CA"/>
        </w:rPr>
        <w:t>la</w:t>
      </w:r>
      <w:r w:rsidR="00733EEE">
        <w:rPr>
          <w:lang w:val="fr-CA"/>
        </w:rPr>
        <w:t xml:space="preserve"> </w:t>
      </w:r>
      <w:r w:rsidR="007F3461" w:rsidRPr="00CF2184">
        <w:rPr>
          <w:lang w:val="fr-CA"/>
        </w:rPr>
        <w:t>formation</w:t>
      </w:r>
      <w:r w:rsidR="00733EEE">
        <w:rPr>
          <w:lang w:val="fr-CA"/>
        </w:rPr>
        <w:t xml:space="preserve"> </w:t>
      </w:r>
      <w:r w:rsidR="007F3461" w:rsidRPr="00CF2184">
        <w:rPr>
          <w:lang w:val="fr-CA"/>
        </w:rPr>
        <w:t>permanente</w:t>
      </w:r>
      <w:r w:rsidR="00733EEE">
        <w:rPr>
          <w:lang w:val="fr-CA"/>
        </w:rPr>
        <w:t xml:space="preserve"> </w:t>
      </w:r>
      <w:r w:rsidR="007F3461" w:rsidRPr="00CF2184">
        <w:rPr>
          <w:lang w:val="fr-CA"/>
        </w:rPr>
        <w:t>du</w:t>
      </w:r>
      <w:r w:rsidR="00733EEE">
        <w:rPr>
          <w:i/>
          <w:lang w:val="fr-CA"/>
        </w:rPr>
        <w:t xml:space="preserve"> </w:t>
      </w:r>
      <w:r w:rsidR="007F3461" w:rsidRPr="00CF2184">
        <w:rPr>
          <w:lang w:val="fr-CA"/>
        </w:rPr>
        <w:t>Barreau</w:t>
      </w:r>
      <w:r w:rsidR="00733EEE">
        <w:rPr>
          <w:lang w:val="fr-CA"/>
        </w:rPr>
        <w:t xml:space="preserve"> </w:t>
      </w:r>
      <w:r w:rsidR="007F3461" w:rsidRPr="00CF2184">
        <w:rPr>
          <w:lang w:val="fr-CA"/>
        </w:rPr>
        <w:t>du</w:t>
      </w:r>
      <w:r w:rsidR="00733EEE">
        <w:rPr>
          <w:lang w:val="fr-CA"/>
        </w:rPr>
        <w:t xml:space="preserve"> </w:t>
      </w:r>
      <w:r w:rsidR="007F3461" w:rsidRPr="00CF2184">
        <w:rPr>
          <w:lang w:val="fr-CA"/>
        </w:rPr>
        <w:t>Québec,</w:t>
      </w:r>
      <w:r w:rsidR="00733EEE">
        <w:rPr>
          <w:lang w:val="fr-CA"/>
        </w:rPr>
        <w:t xml:space="preserve"> </w:t>
      </w:r>
      <w:r w:rsidR="00BF5523" w:rsidRPr="00CF2184">
        <w:rPr>
          <w:lang w:val="fr-CA"/>
        </w:rPr>
        <w:t>vol.</w:t>
      </w:r>
      <w:r w:rsidR="00733EEE">
        <w:rPr>
          <w:lang w:val="fr-CA"/>
        </w:rPr>
        <w:t xml:space="preserve"> </w:t>
      </w:r>
      <w:r w:rsidR="007F3461" w:rsidRPr="00CF2184">
        <w:rPr>
          <w:lang w:val="fr-CA"/>
        </w:rPr>
        <w:t>113,</w:t>
      </w:r>
      <w:r w:rsidR="00733EEE">
        <w:rPr>
          <w:lang w:val="fr-CA"/>
        </w:rPr>
        <w:t xml:space="preserve"> </w:t>
      </w:r>
      <w:r w:rsidRPr="00CF2184">
        <w:rPr>
          <w:i/>
          <w:lang w:val="fr-CA"/>
        </w:rPr>
        <w:t>La</w:t>
      </w:r>
      <w:r w:rsidR="00733EEE">
        <w:rPr>
          <w:i/>
          <w:lang w:val="fr-CA"/>
        </w:rPr>
        <w:t xml:space="preserve"> </w:t>
      </w:r>
      <w:r w:rsidRPr="00CF2184">
        <w:rPr>
          <w:i/>
          <w:lang w:val="fr-CA"/>
        </w:rPr>
        <w:t>réforme</w:t>
      </w:r>
      <w:r w:rsidR="00733EEE">
        <w:rPr>
          <w:i/>
          <w:lang w:val="fr-CA"/>
        </w:rPr>
        <w:t xml:space="preserve"> </w:t>
      </w:r>
      <w:r w:rsidRPr="00CF2184">
        <w:rPr>
          <w:i/>
          <w:lang w:val="fr-CA"/>
        </w:rPr>
        <w:t>du</w:t>
      </w:r>
      <w:r w:rsidR="00733EEE">
        <w:rPr>
          <w:i/>
          <w:lang w:val="fr-CA"/>
        </w:rPr>
        <w:t xml:space="preserve"> </w:t>
      </w:r>
      <w:r w:rsidRPr="00CF2184">
        <w:rPr>
          <w:i/>
          <w:lang w:val="fr-CA"/>
        </w:rPr>
        <w:t>Code</w:t>
      </w:r>
      <w:r w:rsidR="00733EEE">
        <w:rPr>
          <w:i/>
          <w:lang w:val="fr-CA"/>
        </w:rPr>
        <w:t xml:space="preserve"> </w:t>
      </w:r>
      <w:r w:rsidRPr="00CF2184">
        <w:rPr>
          <w:i/>
          <w:lang w:val="fr-CA"/>
        </w:rPr>
        <w:t>civil,</w:t>
      </w:r>
      <w:r w:rsidR="00733EEE">
        <w:rPr>
          <w:i/>
          <w:lang w:val="fr-CA"/>
        </w:rPr>
        <w:t xml:space="preserve"> </w:t>
      </w:r>
      <w:r w:rsidRPr="00CF2184">
        <w:rPr>
          <w:i/>
          <w:lang w:val="fr-CA"/>
        </w:rPr>
        <w:t>cinq</w:t>
      </w:r>
      <w:r w:rsidR="00733EEE">
        <w:rPr>
          <w:i/>
          <w:lang w:val="fr-CA"/>
        </w:rPr>
        <w:t xml:space="preserve"> </w:t>
      </w:r>
      <w:r w:rsidRPr="00CF2184">
        <w:rPr>
          <w:i/>
          <w:lang w:val="fr-CA"/>
        </w:rPr>
        <w:t>ans</w:t>
      </w:r>
      <w:r w:rsidR="00733EEE">
        <w:rPr>
          <w:i/>
          <w:lang w:val="fr-CA"/>
        </w:rPr>
        <w:t xml:space="preserve"> </w:t>
      </w:r>
      <w:r w:rsidRPr="00CF2184">
        <w:rPr>
          <w:i/>
          <w:lang w:val="fr-CA"/>
        </w:rPr>
        <w:t>plus</w:t>
      </w:r>
      <w:r w:rsidR="00733EEE">
        <w:rPr>
          <w:i/>
          <w:lang w:val="fr-CA"/>
        </w:rPr>
        <w:t xml:space="preserve"> </w:t>
      </w:r>
      <w:r w:rsidRPr="00CF2184">
        <w:rPr>
          <w:i/>
          <w:lang w:val="fr-CA"/>
        </w:rPr>
        <w:t>tard</w:t>
      </w:r>
      <w:r w:rsidRPr="00CF2184">
        <w:rPr>
          <w:lang w:val="fr-CA"/>
        </w:rPr>
        <w:t>.</w:t>
      </w:r>
      <w:r w:rsidR="00733EEE">
        <w:rPr>
          <w:lang w:val="fr-CA"/>
        </w:rPr>
        <w:t xml:space="preserve">  </w:t>
      </w:r>
      <w:r w:rsidRPr="00CF2184">
        <w:t>Cowansville,</w:t>
      </w:r>
      <w:r w:rsidR="00733EEE">
        <w:t xml:space="preserve"> </w:t>
      </w:r>
      <w:r w:rsidRPr="00CF2184">
        <w:t>Qué.:</w:t>
      </w:r>
      <w:r w:rsidR="00733EEE">
        <w:t xml:space="preserve">  </w:t>
      </w:r>
      <w:r w:rsidRPr="00CF2184">
        <w:t>Yvon</w:t>
      </w:r>
      <w:r w:rsidR="00733EEE">
        <w:t xml:space="preserve"> </w:t>
      </w:r>
      <w:r w:rsidRPr="00CF2184">
        <w:t>Blais,</w:t>
      </w:r>
      <w:r w:rsidR="00733EEE">
        <w:t xml:space="preserve"> </w:t>
      </w:r>
      <w:r w:rsidRPr="00CF2184">
        <w:t>1998,</w:t>
      </w:r>
      <w:r w:rsidR="00733EEE">
        <w:t xml:space="preserve"> </w:t>
      </w:r>
      <w:r w:rsidRPr="00CF2184">
        <w:t>141.</w:t>
      </w:r>
    </w:p>
    <w:p w:rsidR="00FC1E80" w:rsidRPr="00CF2184" w:rsidRDefault="00FC1E80" w:rsidP="00733EEE">
      <w:pPr>
        <w:pStyle w:val="SCCNormalDoubleSpacing"/>
        <w:spacing w:after="240" w:line="240" w:lineRule="auto"/>
        <w:ind w:left="540" w:hanging="540"/>
      </w:pPr>
      <w:r w:rsidRPr="00CF2184">
        <w:t>Powell,</w:t>
      </w:r>
      <w:r w:rsidR="00733EEE">
        <w:t xml:space="preserve"> </w:t>
      </w:r>
      <w:r w:rsidRPr="00CF2184">
        <w:t>Raphael.</w:t>
      </w:r>
      <w:r w:rsidR="00733EEE">
        <w:t xml:space="preserve">  </w:t>
      </w:r>
      <w:r w:rsidRPr="00CF2184">
        <w:t>“Good</w:t>
      </w:r>
      <w:r w:rsidR="00733EEE">
        <w:t xml:space="preserve"> </w:t>
      </w:r>
      <w:r w:rsidRPr="00CF2184">
        <w:t>Faith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Contracts”</w:t>
      </w:r>
      <w:r w:rsidR="00733EEE">
        <w:t xml:space="preserve"> </w:t>
      </w:r>
      <w:r w:rsidRPr="00CF2184">
        <w:t>(1956),</w:t>
      </w:r>
      <w:r w:rsidR="00733EEE">
        <w:t xml:space="preserve"> </w:t>
      </w:r>
      <w:r w:rsidRPr="00CF2184">
        <w:t>9</w:t>
      </w:r>
      <w:r w:rsidR="00733EEE">
        <w:t xml:space="preserve"> </w:t>
      </w:r>
      <w:r w:rsidRPr="00CF2184">
        <w:rPr>
          <w:i/>
        </w:rPr>
        <w:t>Curr</w:t>
      </w:r>
      <w:r w:rsidR="0068654D" w:rsidRPr="00CF2184">
        <w:rPr>
          <w:i/>
        </w:rPr>
        <w:t>.</w:t>
      </w:r>
      <w:r w:rsidR="00733EEE">
        <w:rPr>
          <w:i/>
        </w:rPr>
        <w:t xml:space="preserve"> </w:t>
      </w:r>
      <w:r w:rsidRPr="00CF2184">
        <w:rPr>
          <w:i/>
        </w:rPr>
        <w:t>Legal</w:t>
      </w:r>
      <w:r w:rsidR="00733EEE">
        <w:rPr>
          <w:i/>
        </w:rPr>
        <w:t xml:space="preserve"> </w:t>
      </w:r>
      <w:r w:rsidRPr="00CF2184">
        <w:rPr>
          <w:i/>
        </w:rPr>
        <w:t>Probs</w:t>
      </w:r>
      <w:r w:rsidR="0068654D" w:rsidRPr="00CF2184">
        <w:rPr>
          <w:i/>
        </w:rPr>
        <w:t>.</w:t>
      </w:r>
      <w:r w:rsidR="00733EEE">
        <w:t xml:space="preserve"> </w:t>
      </w:r>
      <w:r w:rsidRPr="00CF2184">
        <w:t>16.</w:t>
      </w:r>
    </w:p>
    <w:p w:rsidR="00941D5B" w:rsidRPr="00CF2184" w:rsidRDefault="00941D5B" w:rsidP="00733EEE">
      <w:pPr>
        <w:pStyle w:val="SCCNormalDoubleSpacing"/>
        <w:spacing w:after="240" w:line="240" w:lineRule="auto"/>
        <w:ind w:left="540" w:hanging="540"/>
      </w:pPr>
      <w:r w:rsidRPr="00CF2184">
        <w:t>Reiter,</w:t>
      </w:r>
      <w:r w:rsidR="00733EEE">
        <w:t xml:space="preserve"> </w:t>
      </w:r>
      <w:r w:rsidRPr="00CF2184">
        <w:t>B.</w:t>
      </w:r>
      <w:r w:rsidR="00733EEE">
        <w:t xml:space="preserve"> </w:t>
      </w:r>
      <w:r w:rsidR="0068654D" w:rsidRPr="00CF2184">
        <w:t>J.</w:t>
      </w:r>
      <w:r w:rsidR="00733EEE">
        <w:t xml:space="preserve">  </w:t>
      </w:r>
      <w:r w:rsidR="0068654D" w:rsidRPr="00CF2184">
        <w:t>“Good</w:t>
      </w:r>
      <w:r w:rsidR="00733EEE">
        <w:t xml:space="preserve"> </w:t>
      </w:r>
      <w:r w:rsidR="0068654D" w:rsidRPr="00CF2184">
        <w:t>Faith</w:t>
      </w:r>
      <w:r w:rsidR="00733EEE">
        <w:t xml:space="preserve"> </w:t>
      </w:r>
      <w:r w:rsidR="0068654D" w:rsidRPr="00CF2184">
        <w:t>in</w:t>
      </w:r>
      <w:r w:rsidR="00733EEE">
        <w:t xml:space="preserve"> </w:t>
      </w:r>
      <w:r w:rsidR="0068654D" w:rsidRPr="00CF2184">
        <w:t>Contracts”</w:t>
      </w:r>
      <w:r w:rsidR="00733EEE">
        <w:t xml:space="preserve"> </w:t>
      </w:r>
      <w:r w:rsidRPr="00CF2184">
        <w:t>(1983),</w:t>
      </w:r>
      <w:r w:rsidR="00733EEE">
        <w:t xml:space="preserve"> </w:t>
      </w:r>
      <w:r w:rsidRPr="00CF2184">
        <w:t>17</w:t>
      </w:r>
      <w:r w:rsidR="00733EEE">
        <w:t xml:space="preserve"> </w:t>
      </w:r>
      <w:r w:rsidRPr="00CF2184">
        <w:rPr>
          <w:i/>
        </w:rPr>
        <w:t>V</w:t>
      </w:r>
      <w:r w:rsidR="00BF5523" w:rsidRPr="00CF2184">
        <w:rPr>
          <w:i/>
        </w:rPr>
        <w:t>al.</w:t>
      </w:r>
      <w:r w:rsidR="00733EEE">
        <w:rPr>
          <w:i/>
        </w:rPr>
        <w:t xml:space="preserve"> </w:t>
      </w:r>
      <w:r w:rsidRPr="00CF2184">
        <w:rPr>
          <w:i/>
        </w:rPr>
        <w:t>U.L.</w:t>
      </w:r>
      <w:r w:rsidR="00733EEE">
        <w:rPr>
          <w:i/>
        </w:rPr>
        <w:t xml:space="preserve"> </w:t>
      </w:r>
      <w:r w:rsidRPr="00CF2184">
        <w:rPr>
          <w:i/>
        </w:rPr>
        <w:t>Rev.</w:t>
      </w:r>
      <w:r w:rsidR="00733EEE">
        <w:t xml:space="preserve"> </w:t>
      </w:r>
      <w:r w:rsidRPr="00CF2184">
        <w:t>705.</w:t>
      </w:r>
    </w:p>
    <w:p w:rsidR="005E782F" w:rsidRPr="00CF2184" w:rsidRDefault="005E782F" w:rsidP="00733EEE">
      <w:pPr>
        <w:pStyle w:val="SCCNormalDoubleSpacing"/>
        <w:spacing w:after="240" w:line="240" w:lineRule="auto"/>
        <w:ind w:left="540" w:hanging="540"/>
      </w:pPr>
      <w:r w:rsidRPr="00CF2184">
        <w:t>Steyn,</w:t>
      </w:r>
      <w:r w:rsidR="00733EEE">
        <w:t xml:space="preserve"> </w:t>
      </w:r>
      <w:r w:rsidRPr="00CF2184">
        <w:t>Johan.</w:t>
      </w:r>
      <w:r w:rsidR="00733EEE">
        <w:t xml:space="preserve">  </w:t>
      </w:r>
      <w:r w:rsidRPr="00CF2184">
        <w:t>“Contract</w:t>
      </w:r>
      <w:r w:rsidR="00733EEE">
        <w:t xml:space="preserve"> </w:t>
      </w:r>
      <w:r w:rsidRPr="00CF2184">
        <w:t>Law:</w:t>
      </w:r>
      <w:r w:rsidR="00733EEE">
        <w:t xml:space="preserve">  </w:t>
      </w:r>
      <w:r w:rsidRPr="00CF2184">
        <w:t>Fulfilling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Reasonable</w:t>
      </w:r>
      <w:r w:rsidR="00733EEE">
        <w:t xml:space="preserve"> </w:t>
      </w:r>
      <w:r w:rsidRPr="00CF2184">
        <w:t>Expectations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Honest</w:t>
      </w:r>
      <w:r w:rsidR="00733EEE">
        <w:t xml:space="preserve"> </w:t>
      </w:r>
      <w:r w:rsidRPr="00CF2184">
        <w:t>Men”</w:t>
      </w:r>
      <w:r w:rsidR="00733EEE">
        <w:t xml:space="preserve"> </w:t>
      </w:r>
      <w:r w:rsidRPr="00CF2184">
        <w:t>(1997),</w:t>
      </w:r>
      <w:r w:rsidR="00733EEE">
        <w:t xml:space="preserve"> </w:t>
      </w:r>
      <w:r w:rsidRPr="00CF2184">
        <w:t>113</w:t>
      </w:r>
      <w:r w:rsidR="00733EEE">
        <w:t xml:space="preserve"> </w:t>
      </w:r>
      <w:r w:rsidRPr="00CF2184">
        <w:rPr>
          <w:i/>
        </w:rPr>
        <w:t>L</w:t>
      </w:r>
      <w:r w:rsidR="00710A78" w:rsidRPr="00CF2184">
        <w:rPr>
          <w:i/>
        </w:rPr>
        <w:t>aw</w:t>
      </w:r>
      <w:r w:rsidR="00733EEE">
        <w:rPr>
          <w:i/>
        </w:rPr>
        <w:t xml:space="preserve"> </w:t>
      </w:r>
      <w:r w:rsidRPr="00CF2184">
        <w:rPr>
          <w:i/>
        </w:rPr>
        <w:t>Q.</w:t>
      </w:r>
      <w:r w:rsidR="00733EEE">
        <w:rPr>
          <w:i/>
        </w:rPr>
        <w:t xml:space="preserve"> </w:t>
      </w:r>
      <w:r w:rsidRPr="00CF2184">
        <w:rPr>
          <w:i/>
        </w:rPr>
        <w:t>R</w:t>
      </w:r>
      <w:r w:rsidR="00710A78" w:rsidRPr="00CF2184">
        <w:rPr>
          <w:i/>
        </w:rPr>
        <w:t>ev</w:t>
      </w:r>
      <w:r w:rsidRPr="00CF2184">
        <w:rPr>
          <w:i/>
        </w:rPr>
        <w:t>.</w:t>
      </w:r>
      <w:r w:rsidR="00733EEE">
        <w:t xml:space="preserve"> </w:t>
      </w:r>
      <w:r w:rsidR="003B48A0" w:rsidRPr="00CF2184">
        <w:t>433</w:t>
      </w:r>
      <w:r w:rsidRPr="00CF2184">
        <w:t>.</w:t>
      </w:r>
    </w:p>
    <w:p w:rsidR="005E782F" w:rsidRPr="00CF2184" w:rsidRDefault="005E782F" w:rsidP="00733EEE">
      <w:pPr>
        <w:pStyle w:val="SCCNormalDoubleSpacing"/>
        <w:spacing w:after="240" w:line="240" w:lineRule="auto"/>
        <w:ind w:left="540" w:hanging="540"/>
      </w:pPr>
      <w:r w:rsidRPr="00CF2184">
        <w:t>Summers,</w:t>
      </w:r>
      <w:r w:rsidR="00733EEE">
        <w:t xml:space="preserve"> </w:t>
      </w:r>
      <w:r w:rsidRPr="00CF2184">
        <w:t>Robert</w:t>
      </w:r>
      <w:r w:rsidR="00733EEE">
        <w:t xml:space="preserve"> </w:t>
      </w:r>
      <w:r w:rsidR="0068654D" w:rsidRPr="00CF2184">
        <w:t>S</w:t>
      </w:r>
      <w:r w:rsidRPr="00CF2184">
        <w:t>.</w:t>
      </w:r>
      <w:r w:rsidR="00733EEE">
        <w:t xml:space="preserve">  </w:t>
      </w:r>
      <w:r w:rsidRPr="00CF2184">
        <w:t>“‘Good</w:t>
      </w:r>
      <w:r w:rsidR="00733EEE">
        <w:t xml:space="preserve"> </w:t>
      </w:r>
      <w:r w:rsidRPr="00CF2184">
        <w:t>Faith’</w:t>
      </w:r>
      <w:r w:rsidR="00733EEE">
        <w:t xml:space="preserve"> </w:t>
      </w:r>
      <w:r w:rsidRPr="00CF2184">
        <w:t>in</w:t>
      </w:r>
      <w:r w:rsidR="00733EEE">
        <w:t xml:space="preserve"> </w:t>
      </w:r>
      <w:r w:rsidRPr="00CF2184">
        <w:t>General</w:t>
      </w:r>
      <w:r w:rsidR="00733EEE">
        <w:t xml:space="preserve"> </w:t>
      </w:r>
      <w:r w:rsidRPr="00CF2184">
        <w:t>Contract</w:t>
      </w:r>
      <w:r w:rsidR="00733EEE">
        <w:t xml:space="preserve"> </w:t>
      </w:r>
      <w:r w:rsidRPr="00CF2184">
        <w:t>Law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Sales</w:t>
      </w:r>
      <w:r w:rsidR="00733EEE">
        <w:t xml:space="preserve"> </w:t>
      </w:r>
      <w:r w:rsidRPr="00CF2184">
        <w:t>Provision</w:t>
      </w:r>
      <w:r w:rsidR="0068654D" w:rsidRPr="00CF2184">
        <w:t>s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Uniform</w:t>
      </w:r>
      <w:r w:rsidR="00733EEE">
        <w:t xml:space="preserve"> </w:t>
      </w:r>
      <w:r w:rsidRPr="00CF2184">
        <w:t>Commercial</w:t>
      </w:r>
      <w:r w:rsidR="00733EEE">
        <w:t xml:space="preserve"> </w:t>
      </w:r>
      <w:r w:rsidRPr="00CF2184">
        <w:t>Code”</w:t>
      </w:r>
      <w:r w:rsidR="00733EEE">
        <w:t xml:space="preserve"> </w:t>
      </w:r>
      <w:r w:rsidRPr="00CF2184">
        <w:t>(1968),</w:t>
      </w:r>
      <w:r w:rsidR="00733EEE">
        <w:t xml:space="preserve"> </w:t>
      </w:r>
      <w:r w:rsidRPr="00CF2184">
        <w:t>54</w:t>
      </w:r>
      <w:r w:rsidR="00733EEE">
        <w:t xml:space="preserve"> </w:t>
      </w:r>
      <w:r w:rsidRPr="00CF2184">
        <w:rPr>
          <w:i/>
        </w:rPr>
        <w:t>Va.</w:t>
      </w:r>
      <w:r w:rsidR="00733EEE">
        <w:rPr>
          <w:i/>
        </w:rPr>
        <w:t xml:space="preserve"> </w:t>
      </w:r>
      <w:r w:rsidRPr="00CF2184">
        <w:rPr>
          <w:i/>
        </w:rPr>
        <w:t>L.</w:t>
      </w:r>
      <w:r w:rsidR="00733EEE">
        <w:rPr>
          <w:i/>
        </w:rPr>
        <w:t xml:space="preserve"> </w:t>
      </w:r>
      <w:r w:rsidRPr="00CF2184">
        <w:rPr>
          <w:i/>
        </w:rPr>
        <w:t>R</w:t>
      </w:r>
      <w:r w:rsidR="0068654D" w:rsidRPr="00CF2184">
        <w:rPr>
          <w:i/>
        </w:rPr>
        <w:t>ev</w:t>
      </w:r>
      <w:r w:rsidRPr="00CF2184">
        <w:rPr>
          <w:i/>
        </w:rPr>
        <w:t>.</w:t>
      </w:r>
      <w:r w:rsidR="00733EEE">
        <w:t xml:space="preserve"> </w:t>
      </w:r>
      <w:r w:rsidRPr="00CF2184">
        <w:t>195.</w:t>
      </w:r>
    </w:p>
    <w:p w:rsidR="005E782F" w:rsidRPr="00CF2184" w:rsidRDefault="00D2589E" w:rsidP="00733EEE">
      <w:pPr>
        <w:pStyle w:val="SCCNormalDoubleSpacing"/>
        <w:spacing w:after="240" w:line="240" w:lineRule="auto"/>
        <w:ind w:left="540" w:hanging="540"/>
      </w:pPr>
      <w:r w:rsidRPr="00CF2184">
        <w:t>Swan,</w:t>
      </w:r>
      <w:r w:rsidR="00733EEE">
        <w:t xml:space="preserve"> </w:t>
      </w:r>
      <w:r w:rsidRPr="00CF2184">
        <w:t>Angela,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Jakub</w:t>
      </w:r>
      <w:r w:rsidR="00733EEE">
        <w:t xml:space="preserve"> </w:t>
      </w:r>
      <w:r w:rsidRPr="00CF2184">
        <w:t>Adamski.</w:t>
      </w:r>
      <w:r w:rsidR="00733EEE">
        <w:t xml:space="preserve">  </w:t>
      </w:r>
      <w:r w:rsidRPr="00CF2184">
        <w:rPr>
          <w:i/>
        </w:rPr>
        <w:t>Canadian</w:t>
      </w:r>
      <w:r w:rsidR="00733EEE">
        <w:rPr>
          <w:i/>
        </w:rPr>
        <w:t xml:space="preserve"> </w:t>
      </w:r>
      <w:r w:rsidRPr="00CF2184">
        <w:rPr>
          <w:i/>
        </w:rPr>
        <w:t>Contract</w:t>
      </w:r>
      <w:r w:rsidR="00733EEE">
        <w:rPr>
          <w:i/>
        </w:rPr>
        <w:t xml:space="preserve"> </w:t>
      </w:r>
      <w:r w:rsidRPr="00CF2184">
        <w:rPr>
          <w:i/>
        </w:rPr>
        <w:t>Law</w:t>
      </w:r>
      <w:r w:rsidRPr="00CF2184">
        <w:t>,</w:t>
      </w:r>
      <w:r w:rsidR="00733EEE">
        <w:t xml:space="preserve"> </w:t>
      </w:r>
      <w:r w:rsidRPr="00CF2184">
        <w:t>3rd</w:t>
      </w:r>
      <w:r w:rsidR="00733EEE">
        <w:t xml:space="preserve"> </w:t>
      </w:r>
      <w:r w:rsidRPr="00CF2184">
        <w:t>ed.</w:t>
      </w:r>
      <w:r w:rsidR="00733EEE">
        <w:t xml:space="preserve">  </w:t>
      </w:r>
      <w:r w:rsidRPr="00CF2184">
        <w:t>Markham,</w:t>
      </w:r>
      <w:r w:rsidR="00733EEE">
        <w:t xml:space="preserve"> </w:t>
      </w:r>
      <w:r w:rsidRPr="00CF2184">
        <w:t>Ont.:</w:t>
      </w:r>
      <w:r w:rsidR="00733EEE">
        <w:t xml:space="preserve">  </w:t>
      </w:r>
      <w:r w:rsidRPr="00CF2184">
        <w:t>LexisNexis,</w:t>
      </w:r>
      <w:r w:rsidR="00733EEE">
        <w:t xml:space="preserve"> </w:t>
      </w:r>
      <w:r w:rsidRPr="00CF2184">
        <w:t>2012.</w:t>
      </w:r>
    </w:p>
    <w:p w:rsidR="00D2589E" w:rsidRPr="00CF2184" w:rsidRDefault="00D2589E" w:rsidP="00733EEE">
      <w:pPr>
        <w:pStyle w:val="SCCNormalDoubleSpacing"/>
        <w:spacing w:after="240" w:line="240" w:lineRule="auto"/>
        <w:ind w:left="540" w:hanging="540"/>
      </w:pPr>
      <w:r w:rsidRPr="00CF2184">
        <w:t>Swan,</w:t>
      </w:r>
      <w:r w:rsidR="00733EEE">
        <w:t xml:space="preserve"> </w:t>
      </w:r>
      <w:r w:rsidRPr="00CF2184">
        <w:t>John.</w:t>
      </w:r>
      <w:r w:rsidR="00733EEE">
        <w:t xml:space="preserve">  </w:t>
      </w:r>
      <w:r w:rsidRPr="00CF2184">
        <w:t>“Whither</w:t>
      </w:r>
      <w:r w:rsidR="00733EEE">
        <w:t xml:space="preserve"> </w:t>
      </w:r>
      <w:r w:rsidRPr="00CF2184">
        <w:t>Contracts:</w:t>
      </w:r>
      <w:r w:rsidR="00733EEE">
        <w:t xml:space="preserve">  </w:t>
      </w:r>
      <w:r w:rsidRPr="00CF2184">
        <w:t>A</w:t>
      </w:r>
      <w:r w:rsidR="00733EEE">
        <w:t xml:space="preserve"> </w:t>
      </w:r>
      <w:r w:rsidRPr="00CF2184">
        <w:t>Retrospective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t>Prospective</w:t>
      </w:r>
      <w:r w:rsidR="00733EEE">
        <w:t xml:space="preserve"> </w:t>
      </w:r>
      <w:r w:rsidRPr="00CF2184">
        <w:t>Overview”,</w:t>
      </w:r>
      <w:r w:rsidR="00733EEE">
        <w:t xml:space="preserve"> </w:t>
      </w:r>
      <w:r w:rsidR="007F3461" w:rsidRPr="00CF2184">
        <w:t>in</w:t>
      </w:r>
      <w:r w:rsidR="00733EEE">
        <w:t xml:space="preserve"> </w:t>
      </w:r>
      <w:r w:rsidR="007F3461" w:rsidRPr="00CF2184">
        <w:rPr>
          <w:i/>
        </w:rPr>
        <w:t>Special</w:t>
      </w:r>
      <w:r w:rsidR="00733EEE">
        <w:rPr>
          <w:i/>
        </w:rPr>
        <w:t xml:space="preserve"> </w:t>
      </w:r>
      <w:r w:rsidR="007F3461" w:rsidRPr="00CF2184">
        <w:rPr>
          <w:i/>
        </w:rPr>
        <w:t>Lectures</w:t>
      </w:r>
      <w:r w:rsidR="00733EEE">
        <w:rPr>
          <w:i/>
        </w:rPr>
        <w:t xml:space="preserve"> </w:t>
      </w:r>
      <w:r w:rsidR="007F3461" w:rsidRPr="00CF2184">
        <w:rPr>
          <w:i/>
        </w:rPr>
        <w:t>of</w:t>
      </w:r>
      <w:r w:rsidR="00733EEE">
        <w:rPr>
          <w:i/>
        </w:rPr>
        <w:t xml:space="preserve"> </w:t>
      </w:r>
      <w:r w:rsidR="007F3461" w:rsidRPr="00CF2184">
        <w:rPr>
          <w:i/>
        </w:rPr>
        <w:t>the</w:t>
      </w:r>
      <w:r w:rsidR="00733EEE">
        <w:rPr>
          <w:i/>
        </w:rPr>
        <w:t xml:space="preserve"> </w:t>
      </w:r>
      <w:r w:rsidR="007F3461" w:rsidRPr="00CF2184">
        <w:rPr>
          <w:i/>
        </w:rPr>
        <w:t>Law</w:t>
      </w:r>
      <w:r w:rsidR="00733EEE">
        <w:rPr>
          <w:i/>
        </w:rPr>
        <w:t xml:space="preserve"> </w:t>
      </w:r>
      <w:r w:rsidR="007F3461" w:rsidRPr="00CF2184">
        <w:rPr>
          <w:i/>
        </w:rPr>
        <w:t>Society</w:t>
      </w:r>
      <w:r w:rsidR="00733EEE">
        <w:rPr>
          <w:i/>
        </w:rPr>
        <w:t xml:space="preserve"> </w:t>
      </w:r>
      <w:r w:rsidR="007F3461" w:rsidRPr="00CF2184">
        <w:rPr>
          <w:i/>
        </w:rPr>
        <w:t>of</w:t>
      </w:r>
      <w:r w:rsidR="00733EEE">
        <w:rPr>
          <w:i/>
        </w:rPr>
        <w:t xml:space="preserve"> </w:t>
      </w:r>
      <w:r w:rsidR="007F3461" w:rsidRPr="00CF2184">
        <w:rPr>
          <w:i/>
        </w:rPr>
        <w:t>Upper</w:t>
      </w:r>
      <w:r w:rsidR="00733EEE">
        <w:rPr>
          <w:i/>
        </w:rPr>
        <w:t xml:space="preserve"> </w:t>
      </w:r>
      <w:r w:rsidR="007F3461" w:rsidRPr="00CF2184">
        <w:rPr>
          <w:i/>
        </w:rPr>
        <w:t>Canada</w:t>
      </w:r>
      <w:r w:rsidR="00733EEE">
        <w:rPr>
          <w:i/>
        </w:rPr>
        <w:t xml:space="preserve"> </w:t>
      </w:r>
      <w:r w:rsidR="007F3461" w:rsidRPr="00CF2184">
        <w:rPr>
          <w:i/>
        </w:rPr>
        <w:t>1984</w:t>
      </w:r>
      <w:r w:rsidR="00733EEE">
        <w:rPr>
          <w:i/>
        </w:rPr>
        <w:t xml:space="preserve"> </w:t>
      </w:r>
      <w:r w:rsidR="007F3461" w:rsidRPr="00CF2184">
        <w:rPr>
          <w:i/>
        </w:rPr>
        <w:t>—</w:t>
      </w:r>
      <w:r w:rsidR="00733EEE">
        <w:rPr>
          <w:i/>
        </w:rPr>
        <w:t xml:space="preserve"> </w:t>
      </w:r>
      <w:r w:rsidRPr="00CF2184">
        <w:rPr>
          <w:i/>
        </w:rPr>
        <w:t>Law</w:t>
      </w:r>
      <w:r w:rsidR="00733EEE">
        <w:rPr>
          <w:i/>
        </w:rPr>
        <w:t xml:space="preserve"> </w:t>
      </w:r>
      <w:r w:rsidRPr="00CF2184">
        <w:rPr>
          <w:i/>
        </w:rPr>
        <w:t>in</w:t>
      </w:r>
      <w:r w:rsidR="00733EEE">
        <w:rPr>
          <w:i/>
        </w:rPr>
        <w:t xml:space="preserve"> </w:t>
      </w:r>
      <w:r w:rsidRPr="00CF2184">
        <w:rPr>
          <w:i/>
        </w:rPr>
        <w:t>Transition:</w:t>
      </w:r>
      <w:r w:rsidR="00733EEE">
        <w:rPr>
          <w:i/>
        </w:rPr>
        <w:t xml:space="preserve">  </w:t>
      </w:r>
      <w:r w:rsidRPr="00CF2184">
        <w:rPr>
          <w:i/>
        </w:rPr>
        <w:t>Contracts</w:t>
      </w:r>
      <w:r w:rsidRPr="00CF2184">
        <w:t>.</w:t>
      </w:r>
      <w:r w:rsidR="00733EEE">
        <w:t xml:space="preserve">  </w:t>
      </w:r>
      <w:r w:rsidRPr="00CF2184">
        <w:t>Don</w:t>
      </w:r>
      <w:r w:rsidR="00733EEE">
        <w:t xml:space="preserve"> </w:t>
      </w:r>
      <w:r w:rsidRPr="00CF2184">
        <w:t>Mills,</w:t>
      </w:r>
      <w:r w:rsidR="00733EEE">
        <w:t xml:space="preserve"> </w:t>
      </w:r>
      <w:r w:rsidRPr="00CF2184">
        <w:t>Ont.:</w:t>
      </w:r>
      <w:r w:rsidR="00733EEE">
        <w:t xml:space="preserve">  </w:t>
      </w:r>
      <w:r w:rsidRPr="00CF2184">
        <w:t>De</w:t>
      </w:r>
      <w:r w:rsidR="00733EEE">
        <w:t xml:space="preserve"> </w:t>
      </w:r>
      <w:r w:rsidRPr="00CF2184">
        <w:t>Boo,</w:t>
      </w:r>
      <w:r w:rsidR="00733EEE">
        <w:t xml:space="preserve"> </w:t>
      </w:r>
      <w:r w:rsidRPr="00CF2184">
        <w:t>1984,</w:t>
      </w:r>
      <w:r w:rsidR="00733EEE">
        <w:t xml:space="preserve"> </w:t>
      </w:r>
      <w:r w:rsidRPr="00CF2184">
        <w:t>125.</w:t>
      </w:r>
    </w:p>
    <w:p w:rsidR="005E782F" w:rsidRPr="00CF2184" w:rsidRDefault="00444DD2" w:rsidP="00733EEE">
      <w:pPr>
        <w:pStyle w:val="SCCNormalDoubleSpacing"/>
        <w:spacing w:after="240" w:line="240" w:lineRule="auto"/>
        <w:ind w:left="540" w:hanging="540"/>
      </w:pPr>
      <w:r w:rsidRPr="00CF2184">
        <w:t>Waddams,</w:t>
      </w:r>
      <w:r w:rsidR="00733EEE">
        <w:t xml:space="preserve"> </w:t>
      </w:r>
      <w:r w:rsidRPr="00CF2184">
        <w:t>S.</w:t>
      </w:r>
      <w:r w:rsidR="00733EEE">
        <w:t xml:space="preserve"> </w:t>
      </w:r>
      <w:r w:rsidR="005E782F" w:rsidRPr="00CF2184">
        <w:t>M.</w:t>
      </w:r>
      <w:r w:rsidR="00733EEE">
        <w:t xml:space="preserve">  </w:t>
      </w:r>
      <w:r w:rsidR="005E782F" w:rsidRPr="00CF2184">
        <w:t>“Good</w:t>
      </w:r>
      <w:r w:rsidR="00733EEE">
        <w:t xml:space="preserve"> </w:t>
      </w:r>
      <w:r w:rsidR="005E782F" w:rsidRPr="00CF2184">
        <w:t>Faith,</w:t>
      </w:r>
      <w:r w:rsidR="00733EEE">
        <w:t xml:space="preserve"> </w:t>
      </w:r>
      <w:r w:rsidR="005E782F" w:rsidRPr="00CF2184">
        <w:t>Unconscionability</w:t>
      </w:r>
      <w:r w:rsidR="00733EEE">
        <w:t xml:space="preserve"> </w:t>
      </w:r>
      <w:r w:rsidR="005E782F" w:rsidRPr="00CF2184">
        <w:t>and</w:t>
      </w:r>
      <w:r w:rsidR="00733EEE">
        <w:t xml:space="preserve"> </w:t>
      </w:r>
      <w:r w:rsidR="005E782F" w:rsidRPr="00CF2184">
        <w:t>Reasonable</w:t>
      </w:r>
      <w:r w:rsidR="00733EEE">
        <w:t xml:space="preserve"> </w:t>
      </w:r>
      <w:r w:rsidR="005E782F" w:rsidRPr="00CF2184">
        <w:t>Expectations”</w:t>
      </w:r>
      <w:r w:rsidR="00733EEE">
        <w:t xml:space="preserve"> </w:t>
      </w:r>
      <w:r w:rsidR="005E782F" w:rsidRPr="00CF2184">
        <w:t>(1995),</w:t>
      </w:r>
      <w:r w:rsidR="00733EEE">
        <w:t xml:space="preserve"> </w:t>
      </w:r>
      <w:r w:rsidR="005E782F" w:rsidRPr="00CF2184">
        <w:t>9</w:t>
      </w:r>
      <w:r w:rsidR="00733EEE">
        <w:t xml:space="preserve"> </w:t>
      </w:r>
      <w:r w:rsidR="005E782F" w:rsidRPr="00CF2184">
        <w:rPr>
          <w:i/>
        </w:rPr>
        <w:t>J</w:t>
      </w:r>
      <w:r w:rsidR="00901C25" w:rsidRPr="00CF2184">
        <w:rPr>
          <w:i/>
        </w:rPr>
        <w:t>.</w:t>
      </w:r>
      <w:r w:rsidR="005E782F" w:rsidRPr="00CF2184">
        <w:rPr>
          <w:i/>
        </w:rPr>
        <w:t>C</w:t>
      </w:r>
      <w:r w:rsidR="00901C25" w:rsidRPr="00CF2184">
        <w:rPr>
          <w:i/>
        </w:rPr>
        <w:t>.</w:t>
      </w:r>
      <w:r w:rsidR="005E782F" w:rsidRPr="00CF2184">
        <w:rPr>
          <w:i/>
        </w:rPr>
        <w:t>L</w:t>
      </w:r>
      <w:r w:rsidR="00901C25" w:rsidRPr="00CF2184">
        <w:rPr>
          <w:i/>
        </w:rPr>
        <w:t>.</w:t>
      </w:r>
      <w:r w:rsidR="00733EEE">
        <w:t xml:space="preserve"> </w:t>
      </w:r>
      <w:r w:rsidR="005E782F" w:rsidRPr="00CF2184">
        <w:t>55.</w:t>
      </w:r>
    </w:p>
    <w:p w:rsidR="005E782F" w:rsidRPr="00CF2184" w:rsidRDefault="00444DD2" w:rsidP="00733EEE">
      <w:pPr>
        <w:pStyle w:val="SCCNormalDoubleSpacing"/>
        <w:spacing w:after="240" w:line="240" w:lineRule="auto"/>
        <w:ind w:left="540" w:hanging="540"/>
      </w:pPr>
      <w:r w:rsidRPr="00CF2184">
        <w:t>Waddams,</w:t>
      </w:r>
      <w:r w:rsidR="00733EEE">
        <w:t xml:space="preserve"> </w:t>
      </w:r>
      <w:r w:rsidRPr="00CF2184">
        <w:t>S.</w:t>
      </w:r>
      <w:r w:rsidR="00733EEE">
        <w:t xml:space="preserve"> </w:t>
      </w:r>
      <w:r w:rsidR="005E782F" w:rsidRPr="00CF2184">
        <w:t>M.</w:t>
      </w:r>
      <w:r w:rsidR="00733EEE">
        <w:t xml:space="preserve">  </w:t>
      </w:r>
      <w:r w:rsidR="005E782F" w:rsidRPr="00CF2184">
        <w:rPr>
          <w:i/>
        </w:rPr>
        <w:t>The</w:t>
      </w:r>
      <w:r w:rsidR="00733EEE">
        <w:rPr>
          <w:i/>
        </w:rPr>
        <w:t xml:space="preserve"> </w:t>
      </w:r>
      <w:r w:rsidR="005E782F" w:rsidRPr="00CF2184">
        <w:rPr>
          <w:i/>
        </w:rPr>
        <w:t>Law</w:t>
      </w:r>
      <w:r w:rsidR="00733EEE">
        <w:rPr>
          <w:i/>
        </w:rPr>
        <w:t xml:space="preserve"> </w:t>
      </w:r>
      <w:r w:rsidR="005E782F" w:rsidRPr="00CF2184">
        <w:rPr>
          <w:i/>
        </w:rPr>
        <w:t>of</w:t>
      </w:r>
      <w:r w:rsidR="00733EEE">
        <w:rPr>
          <w:i/>
        </w:rPr>
        <w:t xml:space="preserve"> </w:t>
      </w:r>
      <w:r w:rsidR="005E782F" w:rsidRPr="00CF2184">
        <w:rPr>
          <w:i/>
        </w:rPr>
        <w:t>Contracts</w:t>
      </w:r>
      <w:r w:rsidR="005E782F" w:rsidRPr="00CF2184">
        <w:t>,</w:t>
      </w:r>
      <w:r w:rsidR="00733EEE">
        <w:t xml:space="preserve"> </w:t>
      </w:r>
      <w:r w:rsidR="005E782F" w:rsidRPr="00CF2184">
        <w:t>6th</w:t>
      </w:r>
      <w:r w:rsidR="00733EEE">
        <w:t xml:space="preserve"> </w:t>
      </w:r>
      <w:r w:rsidR="005E782F" w:rsidRPr="00CF2184">
        <w:t>ed.</w:t>
      </w:r>
      <w:r w:rsidR="00733EEE">
        <w:t xml:space="preserve">  </w:t>
      </w:r>
      <w:r w:rsidR="005E782F" w:rsidRPr="00CF2184">
        <w:t>Aurora,</w:t>
      </w:r>
      <w:r w:rsidR="00733EEE">
        <w:t xml:space="preserve"> </w:t>
      </w:r>
      <w:r w:rsidR="005E782F" w:rsidRPr="00CF2184">
        <w:t>Ont.:</w:t>
      </w:r>
      <w:r w:rsidR="00733EEE">
        <w:t xml:space="preserve">  </w:t>
      </w:r>
      <w:r w:rsidR="005E782F" w:rsidRPr="00CF2184">
        <w:t>Canada</w:t>
      </w:r>
      <w:r w:rsidR="00733EEE">
        <w:t xml:space="preserve"> </w:t>
      </w:r>
      <w:r w:rsidR="005E782F" w:rsidRPr="00CF2184">
        <w:t>Law</w:t>
      </w:r>
      <w:r w:rsidR="00733EEE">
        <w:t xml:space="preserve"> </w:t>
      </w:r>
      <w:r w:rsidR="005E782F" w:rsidRPr="00CF2184">
        <w:t>Book,</w:t>
      </w:r>
      <w:r w:rsidR="00733EEE">
        <w:t xml:space="preserve"> </w:t>
      </w:r>
      <w:r w:rsidR="005E782F" w:rsidRPr="00CF2184">
        <w:t>2010.</w:t>
      </w:r>
    </w:p>
    <w:p w:rsidR="00FC1E80" w:rsidRPr="00CF2184" w:rsidRDefault="00FC1E80" w:rsidP="00733EEE">
      <w:pPr>
        <w:pStyle w:val="SCCNormalDoubleSpacing"/>
        <w:spacing w:after="720" w:line="240" w:lineRule="auto"/>
        <w:ind w:left="547" w:hanging="547"/>
      </w:pPr>
      <w:r w:rsidRPr="00CF2184">
        <w:t>Yee</w:t>
      </w:r>
      <w:r w:rsidR="00FC0B8F" w:rsidRPr="00CF2184">
        <w:t>,</w:t>
      </w:r>
      <w:r w:rsidR="00733EEE">
        <w:t xml:space="preserve"> </w:t>
      </w:r>
      <w:r w:rsidR="00FC0B8F" w:rsidRPr="00CF2184">
        <w:t>Woo</w:t>
      </w:r>
      <w:r w:rsidR="00733EEE">
        <w:t xml:space="preserve"> </w:t>
      </w:r>
      <w:r w:rsidR="00FC0B8F" w:rsidRPr="00CF2184">
        <w:t>Pei</w:t>
      </w:r>
      <w:r w:rsidRPr="00CF2184">
        <w:t>.</w:t>
      </w:r>
      <w:r w:rsidR="00733EEE">
        <w:t xml:space="preserve">  </w:t>
      </w:r>
      <w:r w:rsidRPr="00CF2184">
        <w:t>“Protecting</w:t>
      </w:r>
      <w:r w:rsidR="00733EEE">
        <w:t xml:space="preserve"> </w:t>
      </w:r>
      <w:r w:rsidRPr="00CF2184">
        <w:t>Parties’</w:t>
      </w:r>
      <w:r w:rsidR="00733EEE">
        <w:t xml:space="preserve"> </w:t>
      </w:r>
      <w:r w:rsidRPr="00CF2184">
        <w:t>Reasonable</w:t>
      </w:r>
      <w:r w:rsidR="00733EEE">
        <w:t xml:space="preserve"> </w:t>
      </w:r>
      <w:r w:rsidRPr="00CF2184">
        <w:t>Expectations:</w:t>
      </w:r>
      <w:r w:rsidR="00733EEE">
        <w:t xml:space="preserve">  </w:t>
      </w:r>
      <w:r w:rsidR="00A25E75" w:rsidRPr="00CF2184">
        <w:t>A</w:t>
      </w:r>
      <w:r w:rsidR="00733EEE">
        <w:t xml:space="preserve"> </w:t>
      </w:r>
      <w:r w:rsidRPr="00CF2184">
        <w:t>General</w:t>
      </w:r>
      <w:r w:rsidR="00733EEE">
        <w:t xml:space="preserve"> </w:t>
      </w:r>
      <w:r w:rsidRPr="00CF2184">
        <w:t>Principle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Good</w:t>
      </w:r>
      <w:r w:rsidR="00733EEE">
        <w:t xml:space="preserve"> </w:t>
      </w:r>
      <w:r w:rsidRPr="00CF2184">
        <w:t>Faith”</w:t>
      </w:r>
      <w:r w:rsidR="00733EEE">
        <w:t xml:space="preserve"> </w:t>
      </w:r>
      <w:r w:rsidRPr="00CF2184">
        <w:t>(2001),</w:t>
      </w:r>
      <w:r w:rsidR="00733EEE">
        <w:t xml:space="preserve"> </w:t>
      </w:r>
      <w:r w:rsidRPr="00CF2184">
        <w:t>1</w:t>
      </w:r>
      <w:r w:rsidR="00733EEE">
        <w:t xml:space="preserve"> </w:t>
      </w:r>
      <w:r w:rsidRPr="00CF2184">
        <w:rPr>
          <w:i/>
        </w:rPr>
        <w:t>O</w:t>
      </w:r>
      <w:r w:rsidR="00901C25" w:rsidRPr="00CF2184">
        <w:rPr>
          <w:i/>
        </w:rPr>
        <w:t>.</w:t>
      </w:r>
      <w:r w:rsidRPr="00CF2184">
        <w:rPr>
          <w:i/>
        </w:rPr>
        <w:t>U</w:t>
      </w:r>
      <w:r w:rsidR="00901C25" w:rsidRPr="00CF2184">
        <w:rPr>
          <w:i/>
        </w:rPr>
        <w:t>.</w:t>
      </w:r>
      <w:r w:rsidRPr="00CF2184">
        <w:rPr>
          <w:i/>
        </w:rPr>
        <w:t>C</w:t>
      </w:r>
      <w:r w:rsidR="00901C25" w:rsidRPr="00CF2184">
        <w:rPr>
          <w:i/>
        </w:rPr>
        <w:t>.</w:t>
      </w:r>
      <w:r w:rsidRPr="00CF2184">
        <w:rPr>
          <w:i/>
        </w:rPr>
        <w:t>L</w:t>
      </w:r>
      <w:r w:rsidR="00901C25" w:rsidRPr="00CF2184">
        <w:rPr>
          <w:i/>
        </w:rPr>
        <w:t>.</w:t>
      </w:r>
      <w:r w:rsidR="00FC0B8F" w:rsidRPr="00CF2184">
        <w:rPr>
          <w:i/>
        </w:rPr>
        <w:t>J</w:t>
      </w:r>
      <w:r w:rsidR="00901C25" w:rsidRPr="00CF2184">
        <w:rPr>
          <w:i/>
        </w:rPr>
        <w:t>.</w:t>
      </w:r>
      <w:r w:rsidR="00733EEE">
        <w:t xml:space="preserve"> </w:t>
      </w:r>
      <w:r w:rsidRPr="00CF2184">
        <w:t>195.</w:t>
      </w:r>
    </w:p>
    <w:p w:rsidR="00656313" w:rsidRPr="00CF2184" w:rsidRDefault="00260143" w:rsidP="00733EEE">
      <w:pPr>
        <w:pStyle w:val="SCCNormalDoubleSpacing"/>
        <w:spacing w:before="480" w:after="480"/>
      </w:pPr>
      <w:r w:rsidRPr="00CF2184">
        <w:lastRenderedPageBreak/>
        <w:tab/>
      </w:r>
      <w:r w:rsidR="009B57B3" w:rsidRPr="00CF2184">
        <w:t>APPEAL</w:t>
      </w:r>
      <w:r w:rsidR="00733EEE">
        <w:t xml:space="preserve"> </w:t>
      </w:r>
      <w:r w:rsidR="009B57B3" w:rsidRPr="00CF2184">
        <w:t>from</w:t>
      </w:r>
      <w:r w:rsidR="00733EEE">
        <w:t xml:space="preserve"> </w:t>
      </w:r>
      <w:r w:rsidR="009B57B3" w:rsidRPr="00CF2184">
        <w:t>a</w:t>
      </w:r>
      <w:r w:rsidR="00733EEE">
        <w:t xml:space="preserve"> </w:t>
      </w:r>
      <w:r w:rsidR="009B57B3" w:rsidRPr="00CF2184">
        <w:t>judgment</w:t>
      </w:r>
      <w:r w:rsidR="00733EEE">
        <w:t xml:space="preserve"> </w:t>
      </w:r>
      <w:r w:rsidR="009B57B3" w:rsidRPr="00CF2184">
        <w:t>of</w:t>
      </w:r>
      <w:r w:rsidR="00733EEE">
        <w:t xml:space="preserve"> </w:t>
      </w:r>
      <w:r w:rsidR="009B57B3" w:rsidRPr="00CF2184">
        <w:t>the</w:t>
      </w:r>
      <w:r w:rsidR="00733EEE">
        <w:t xml:space="preserve"> </w:t>
      </w:r>
      <w:r w:rsidRPr="00CF2184">
        <w:t>Alberta</w:t>
      </w:r>
      <w:r w:rsidR="00733EEE">
        <w:t xml:space="preserve"> </w:t>
      </w:r>
      <w:r w:rsidR="009B57B3" w:rsidRPr="00CF2184">
        <w:t>Court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Appeal</w:t>
      </w:r>
      <w:r w:rsidR="00733EEE">
        <w:t xml:space="preserve"> </w:t>
      </w:r>
      <w:r w:rsidRPr="00CF2184">
        <w:t>(Côté</w:t>
      </w:r>
      <w:r w:rsidR="00733EEE">
        <w:t xml:space="preserve"> </w:t>
      </w:r>
      <w:r w:rsidRPr="00CF2184">
        <w:t>and</w:t>
      </w:r>
      <w:r w:rsidR="00733EEE">
        <w:t xml:space="preserve"> </w:t>
      </w:r>
      <w:r w:rsidR="00A506C5" w:rsidRPr="00CF2184">
        <w:t>Paperny</w:t>
      </w:r>
      <w:r w:rsidR="00733EEE">
        <w:t xml:space="preserve"> </w:t>
      </w:r>
      <w:r w:rsidRPr="00CF2184">
        <w:t>JJ.A.</w:t>
      </w:r>
      <w:r w:rsidR="00733EEE">
        <w:t xml:space="preserve"> </w:t>
      </w:r>
      <w:r w:rsidRPr="00CF2184">
        <w:t>and</w:t>
      </w:r>
      <w:r w:rsidR="00733EEE">
        <w:t xml:space="preserve"> </w:t>
      </w:r>
      <w:r w:rsidR="00A506C5" w:rsidRPr="00CF2184">
        <w:t>Belzil</w:t>
      </w:r>
      <w:r w:rsidR="00733EEE">
        <w:t xml:space="preserve"> </w:t>
      </w:r>
      <w:r w:rsidRPr="00CF2184">
        <w:t>J.</w:t>
      </w:r>
      <w:r w:rsidR="00733EEE">
        <w:t xml:space="preserve"> </w:t>
      </w:r>
      <w:r w:rsidRPr="00CF2184">
        <w:t>(</w:t>
      </w:r>
      <w:r w:rsidRPr="00CF2184">
        <w:rPr>
          <w:i/>
        </w:rPr>
        <w:t>ad</w:t>
      </w:r>
      <w:r w:rsidR="00733EEE">
        <w:rPr>
          <w:i/>
        </w:rPr>
        <w:t xml:space="preserve"> </w:t>
      </w:r>
      <w:r w:rsidRPr="00CF2184">
        <w:rPr>
          <w:i/>
        </w:rPr>
        <w:t>hoc</w:t>
      </w:r>
      <w:r w:rsidRPr="00CF2184">
        <w:t>)),</w:t>
      </w:r>
      <w:r w:rsidR="00733EEE">
        <w:t xml:space="preserve"> </w:t>
      </w:r>
      <w:r w:rsidRPr="00CF2184">
        <w:t>2013</w:t>
      </w:r>
      <w:r w:rsidR="00733EEE">
        <w:t xml:space="preserve"> </w:t>
      </w:r>
      <w:r w:rsidRPr="00CF2184">
        <w:t>ABCA</w:t>
      </w:r>
      <w:r w:rsidR="00733EEE">
        <w:t xml:space="preserve"> </w:t>
      </w:r>
      <w:r w:rsidRPr="00CF2184">
        <w:t>98,</w:t>
      </w:r>
      <w:r w:rsidR="00733EEE">
        <w:t xml:space="preserve"> </w:t>
      </w:r>
      <w:r w:rsidRPr="00CF2184">
        <w:t>84</w:t>
      </w:r>
      <w:r w:rsidR="00733EEE">
        <w:t xml:space="preserve"> </w:t>
      </w:r>
      <w:r w:rsidRPr="00CF2184">
        <w:t>Alta.</w:t>
      </w:r>
      <w:r w:rsidR="00733EEE">
        <w:t xml:space="preserve"> </w:t>
      </w:r>
      <w:r w:rsidRPr="00CF2184">
        <w:t>L.R.</w:t>
      </w:r>
      <w:r w:rsidR="00733EEE">
        <w:t xml:space="preserve"> </w:t>
      </w:r>
      <w:r w:rsidRPr="00CF2184">
        <w:t>(5th)</w:t>
      </w:r>
      <w:r w:rsidR="00733EEE">
        <w:t xml:space="preserve"> </w:t>
      </w:r>
      <w:r w:rsidRPr="00CF2184">
        <w:t>68,</w:t>
      </w:r>
      <w:r w:rsidR="00733EEE">
        <w:t xml:space="preserve"> </w:t>
      </w:r>
      <w:r w:rsidRPr="00CF2184">
        <w:t>544</w:t>
      </w:r>
      <w:r w:rsidR="00733EEE">
        <w:t xml:space="preserve"> </w:t>
      </w:r>
      <w:r w:rsidRPr="00CF2184">
        <w:t>A.R.</w:t>
      </w:r>
      <w:r w:rsidR="00733EEE">
        <w:t xml:space="preserve"> </w:t>
      </w:r>
      <w:r w:rsidRPr="00CF2184">
        <w:t>28,</w:t>
      </w:r>
      <w:r w:rsidR="00733EEE">
        <w:t xml:space="preserve"> </w:t>
      </w:r>
      <w:r w:rsidRPr="00CF2184">
        <w:t>567</w:t>
      </w:r>
      <w:r w:rsidR="00733EEE">
        <w:t xml:space="preserve"> </w:t>
      </w:r>
      <w:r w:rsidRPr="00CF2184">
        <w:t>W.A.C.</w:t>
      </w:r>
      <w:r w:rsidR="00733EEE">
        <w:t xml:space="preserve"> </w:t>
      </w:r>
      <w:r w:rsidRPr="00CF2184">
        <w:t>28,</w:t>
      </w:r>
      <w:r w:rsidR="00733EEE">
        <w:t xml:space="preserve"> </w:t>
      </w:r>
      <w:r w:rsidRPr="00CF2184">
        <w:t>362</w:t>
      </w:r>
      <w:r w:rsidR="00733EEE">
        <w:t xml:space="preserve"> </w:t>
      </w:r>
      <w:r w:rsidRPr="00CF2184">
        <w:t>D.L.R.</w:t>
      </w:r>
      <w:r w:rsidR="00733EEE">
        <w:t xml:space="preserve"> </w:t>
      </w:r>
      <w:r w:rsidRPr="00CF2184">
        <w:t>(4th)</w:t>
      </w:r>
      <w:r w:rsidR="00733EEE">
        <w:t xml:space="preserve"> </w:t>
      </w:r>
      <w:r w:rsidRPr="00CF2184">
        <w:t>18,</w:t>
      </w:r>
      <w:r w:rsidR="00733EEE">
        <w:t xml:space="preserve"> </w:t>
      </w:r>
      <w:r w:rsidRPr="00CF2184">
        <w:t>12</w:t>
      </w:r>
      <w:r w:rsidR="00733EEE">
        <w:t xml:space="preserve"> </w:t>
      </w:r>
      <w:r w:rsidRPr="00CF2184">
        <w:t>B.L.R.</w:t>
      </w:r>
      <w:r w:rsidR="00733EEE">
        <w:t xml:space="preserve"> </w:t>
      </w:r>
      <w:r w:rsidRPr="00CF2184">
        <w:t>(5th)</w:t>
      </w:r>
      <w:r w:rsidR="00733EEE">
        <w:t xml:space="preserve"> </w:t>
      </w:r>
      <w:r w:rsidRPr="00CF2184">
        <w:t>175,</w:t>
      </w:r>
      <w:r w:rsidR="00733EEE">
        <w:t xml:space="preserve"> </w:t>
      </w:r>
      <w:r w:rsidRPr="00CF2184">
        <w:t>[2013]</w:t>
      </w:r>
      <w:r w:rsidR="00733EEE">
        <w:t xml:space="preserve"> </w:t>
      </w:r>
      <w:r w:rsidRPr="00CF2184">
        <w:t>11</w:t>
      </w:r>
      <w:r w:rsidR="00733EEE">
        <w:t xml:space="preserve"> </w:t>
      </w:r>
      <w:r w:rsidRPr="00CF2184">
        <w:t>W.W.R.</w:t>
      </w:r>
      <w:r w:rsidR="00733EEE">
        <w:t xml:space="preserve"> </w:t>
      </w:r>
      <w:r w:rsidRPr="00CF2184">
        <w:t>459,</w:t>
      </w:r>
      <w:r w:rsidR="00733EEE">
        <w:t xml:space="preserve"> </w:t>
      </w:r>
      <w:r w:rsidRPr="00CF2184">
        <w:t>[2013]</w:t>
      </w:r>
      <w:r w:rsidR="00733EEE">
        <w:t xml:space="preserve"> </w:t>
      </w:r>
      <w:r w:rsidRPr="00CF2184">
        <w:t>A.J.</w:t>
      </w:r>
      <w:r w:rsidR="00733EEE">
        <w:t xml:space="preserve"> </w:t>
      </w:r>
      <w:r w:rsidR="00BF5523" w:rsidRPr="00CF2184">
        <w:t>No.</w:t>
      </w:r>
      <w:r w:rsidR="00733EEE">
        <w:t xml:space="preserve"> </w:t>
      </w:r>
      <w:r w:rsidRPr="00CF2184">
        <w:t>395</w:t>
      </w:r>
      <w:r w:rsidR="00733EEE">
        <w:t xml:space="preserve"> </w:t>
      </w:r>
      <w:r w:rsidRPr="00CF2184">
        <w:t>(QL),</w:t>
      </w:r>
      <w:r w:rsidR="00733EEE">
        <w:t xml:space="preserve"> </w:t>
      </w:r>
      <w:r w:rsidRPr="00CF2184">
        <w:t>2013</w:t>
      </w:r>
      <w:r w:rsidR="00733EEE">
        <w:t xml:space="preserve"> </w:t>
      </w:r>
      <w:r w:rsidRPr="00CF2184">
        <w:t>CarswellAlta</w:t>
      </w:r>
      <w:r w:rsidR="00733EEE">
        <w:t xml:space="preserve"> </w:t>
      </w:r>
      <w:r w:rsidRPr="00CF2184">
        <w:t>822,</w:t>
      </w:r>
      <w:r w:rsidR="00733EEE">
        <w:t xml:space="preserve"> </w:t>
      </w:r>
      <w:r w:rsidR="00B33094" w:rsidRPr="00CF2184">
        <w:t>setting</w:t>
      </w:r>
      <w:r w:rsidR="00733EEE">
        <w:t xml:space="preserve"> </w:t>
      </w:r>
      <w:r w:rsidR="00B33094" w:rsidRPr="00CF2184">
        <w:t>aside</w:t>
      </w:r>
      <w:r w:rsidR="00733EEE">
        <w:t xml:space="preserve"> </w:t>
      </w:r>
      <w:r w:rsidRPr="00CF2184">
        <w:t>a</w:t>
      </w:r>
      <w:r w:rsidR="00733EEE">
        <w:t xml:space="preserve"> </w:t>
      </w:r>
      <w:r w:rsidRPr="00CF2184">
        <w:t>decision</w:t>
      </w:r>
      <w:r w:rsidR="00733EEE">
        <w:t xml:space="preserve"> </w:t>
      </w:r>
      <w:r w:rsidRPr="00CF2184">
        <w:t>of</w:t>
      </w:r>
      <w:r w:rsidR="00733EEE">
        <w:t xml:space="preserve"> </w:t>
      </w:r>
      <w:r w:rsidRPr="00CF2184">
        <w:t>Moen</w:t>
      </w:r>
      <w:r w:rsidR="00733EEE">
        <w:t xml:space="preserve"> </w:t>
      </w:r>
      <w:r w:rsidRPr="00CF2184">
        <w:t>J.,</w:t>
      </w:r>
      <w:r w:rsidR="00733EEE">
        <w:t xml:space="preserve"> </w:t>
      </w:r>
      <w:r w:rsidR="00300FC4" w:rsidRPr="00CF2184">
        <w:t>2011</w:t>
      </w:r>
      <w:r w:rsidR="00733EEE">
        <w:t xml:space="preserve"> </w:t>
      </w:r>
      <w:r w:rsidR="00300FC4" w:rsidRPr="00CF2184">
        <w:t>ABQB</w:t>
      </w:r>
      <w:r w:rsidR="00733EEE">
        <w:t xml:space="preserve"> </w:t>
      </w:r>
      <w:r w:rsidR="00300FC4" w:rsidRPr="00CF2184">
        <w:t>637,</w:t>
      </w:r>
      <w:r w:rsidR="00733EEE">
        <w:t xml:space="preserve"> </w:t>
      </w:r>
      <w:r w:rsidR="00300FC4" w:rsidRPr="00CF2184">
        <w:t>526</w:t>
      </w:r>
      <w:r w:rsidR="00733EEE">
        <w:t xml:space="preserve"> </w:t>
      </w:r>
      <w:r w:rsidR="00300FC4" w:rsidRPr="00CF2184">
        <w:t>A.R.</w:t>
      </w:r>
      <w:r w:rsidR="00733EEE">
        <w:t xml:space="preserve"> </w:t>
      </w:r>
      <w:r w:rsidR="00300FC4" w:rsidRPr="00CF2184">
        <w:t>1,</w:t>
      </w:r>
      <w:r w:rsidR="00733EEE">
        <w:t xml:space="preserve"> </w:t>
      </w:r>
      <w:r w:rsidR="00300FC4" w:rsidRPr="00CF2184">
        <w:t>96</w:t>
      </w:r>
      <w:r w:rsidR="00733EEE">
        <w:t xml:space="preserve"> </w:t>
      </w:r>
      <w:r w:rsidR="00300FC4" w:rsidRPr="00CF2184">
        <w:t>B.L.R.</w:t>
      </w:r>
      <w:r w:rsidR="00733EEE">
        <w:t xml:space="preserve"> </w:t>
      </w:r>
      <w:r w:rsidR="00300FC4" w:rsidRPr="00CF2184">
        <w:t>(4th)</w:t>
      </w:r>
      <w:r w:rsidR="00733EEE">
        <w:t xml:space="preserve"> </w:t>
      </w:r>
      <w:r w:rsidR="00300FC4" w:rsidRPr="00CF2184">
        <w:t>73,</w:t>
      </w:r>
      <w:r w:rsidR="00733EEE">
        <w:t xml:space="preserve"> </w:t>
      </w:r>
      <w:r w:rsidR="00300FC4" w:rsidRPr="00CF2184">
        <w:t>[2012]</w:t>
      </w:r>
      <w:r w:rsidR="00733EEE">
        <w:t xml:space="preserve"> </w:t>
      </w:r>
      <w:r w:rsidR="00300FC4" w:rsidRPr="00CF2184">
        <w:t>9</w:t>
      </w:r>
      <w:r w:rsidR="00733EEE">
        <w:t xml:space="preserve"> </w:t>
      </w:r>
      <w:r w:rsidR="00300FC4" w:rsidRPr="00CF2184">
        <w:t>W.W.R.</w:t>
      </w:r>
      <w:r w:rsidR="00733EEE">
        <w:t xml:space="preserve"> </w:t>
      </w:r>
      <w:r w:rsidR="00300FC4" w:rsidRPr="00CF2184">
        <w:t>728,</w:t>
      </w:r>
      <w:r w:rsidR="00733EEE">
        <w:t xml:space="preserve"> </w:t>
      </w:r>
      <w:r w:rsidR="00300FC4" w:rsidRPr="00CF2184">
        <w:t>[2011]</w:t>
      </w:r>
      <w:r w:rsidR="00733EEE">
        <w:t xml:space="preserve"> </w:t>
      </w:r>
      <w:r w:rsidR="00300FC4" w:rsidRPr="00CF2184">
        <w:t>A.J.</w:t>
      </w:r>
      <w:r w:rsidR="00733EEE">
        <w:t xml:space="preserve"> </w:t>
      </w:r>
      <w:r w:rsidR="00BF5523" w:rsidRPr="00CF2184">
        <w:t>No.</w:t>
      </w:r>
      <w:r w:rsidR="00733EEE">
        <w:t xml:space="preserve"> </w:t>
      </w:r>
      <w:r w:rsidR="00300FC4" w:rsidRPr="00CF2184">
        <w:t>1223</w:t>
      </w:r>
      <w:r w:rsidR="00733EEE">
        <w:t xml:space="preserve"> </w:t>
      </w:r>
      <w:r w:rsidR="00075F11" w:rsidRPr="00CF2184">
        <w:t>(QL)</w:t>
      </w:r>
      <w:r w:rsidR="00300FC4" w:rsidRPr="00CF2184">
        <w:t>,</w:t>
      </w:r>
      <w:r w:rsidR="00733EEE">
        <w:t xml:space="preserve"> </w:t>
      </w:r>
      <w:r w:rsidR="00300FC4" w:rsidRPr="00CF2184">
        <w:t>2011</w:t>
      </w:r>
      <w:r w:rsidR="00733EEE">
        <w:t xml:space="preserve"> </w:t>
      </w:r>
      <w:r w:rsidR="00300FC4" w:rsidRPr="00CF2184">
        <w:t>CarswellAlta</w:t>
      </w:r>
      <w:r w:rsidR="00733EEE">
        <w:t xml:space="preserve"> </w:t>
      </w:r>
      <w:r w:rsidR="00300FC4" w:rsidRPr="00CF2184">
        <w:t>1905</w:t>
      </w:r>
      <w:r w:rsidRPr="00CF2184">
        <w:t>.</w:t>
      </w:r>
      <w:r w:rsidR="00733EEE">
        <w:t xml:space="preserve">  </w:t>
      </w:r>
      <w:r w:rsidRPr="00CF2184">
        <w:t>Appeal</w:t>
      </w:r>
      <w:r w:rsidR="00733EEE">
        <w:t xml:space="preserve"> </w:t>
      </w:r>
      <w:r w:rsidR="00600583" w:rsidRPr="00CF2184">
        <w:t>allowed</w:t>
      </w:r>
      <w:r w:rsidR="00733EEE">
        <w:t xml:space="preserve"> </w:t>
      </w:r>
      <w:r w:rsidR="00600583" w:rsidRPr="00CF2184">
        <w:t>in</w:t>
      </w:r>
      <w:r w:rsidR="00733EEE">
        <w:t xml:space="preserve"> </w:t>
      </w:r>
      <w:r w:rsidR="00600583" w:rsidRPr="00CF2184">
        <w:t>part</w:t>
      </w:r>
      <w:r w:rsidRPr="00CF2184">
        <w:t>.</w:t>
      </w:r>
    </w:p>
    <w:p w:rsidR="00CB7D99" w:rsidRPr="00CF2184" w:rsidRDefault="00260143" w:rsidP="00733EEE">
      <w:pPr>
        <w:pStyle w:val="SCCNormalDoubleSpacing"/>
        <w:spacing w:before="480" w:after="480"/>
      </w:pPr>
      <w:r w:rsidRPr="006A2BF7">
        <w:rPr>
          <w:i/>
        </w:rPr>
        <w:tab/>
        <w:t>Neil</w:t>
      </w:r>
      <w:r w:rsidR="00733EEE">
        <w:rPr>
          <w:i/>
        </w:rPr>
        <w:t xml:space="preserve"> </w:t>
      </w:r>
      <w:r w:rsidRPr="006A2BF7">
        <w:rPr>
          <w:i/>
        </w:rPr>
        <w:t>Finkelstein</w:t>
      </w:r>
      <w:r w:rsidRPr="00CF2184">
        <w:t>,</w:t>
      </w:r>
      <w:r w:rsidR="00733EEE">
        <w:t xml:space="preserve"> </w:t>
      </w:r>
      <w:r w:rsidRPr="006A2BF7">
        <w:rPr>
          <w:i/>
        </w:rPr>
        <w:t>Brandon</w:t>
      </w:r>
      <w:r w:rsidR="00733EEE">
        <w:rPr>
          <w:i/>
        </w:rPr>
        <w:t xml:space="preserve"> </w:t>
      </w:r>
      <w:r w:rsidRPr="006A2BF7">
        <w:rPr>
          <w:i/>
        </w:rPr>
        <w:t>Kain</w:t>
      </w:r>
      <w:r w:rsidRPr="00EA0EE3">
        <w:t>,</w:t>
      </w:r>
      <w:r w:rsidR="00733EEE">
        <w:t xml:space="preserve"> </w:t>
      </w:r>
      <w:r w:rsidRPr="006A2BF7">
        <w:rPr>
          <w:i/>
        </w:rPr>
        <w:t>John</w:t>
      </w:r>
      <w:r w:rsidR="00733EEE">
        <w:rPr>
          <w:i/>
        </w:rPr>
        <w:t xml:space="preserve"> </w:t>
      </w:r>
      <w:r w:rsidRPr="006A2BF7">
        <w:rPr>
          <w:i/>
        </w:rPr>
        <w:t>McCamus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6A2BF7">
        <w:rPr>
          <w:i/>
        </w:rPr>
        <w:t>Stephen</w:t>
      </w:r>
      <w:r w:rsidR="00733EEE">
        <w:rPr>
          <w:i/>
        </w:rPr>
        <w:t xml:space="preserve"> </w:t>
      </w:r>
      <w:r w:rsidRPr="006A2BF7">
        <w:rPr>
          <w:i/>
        </w:rPr>
        <w:t>Moreau</w:t>
      </w:r>
      <w:r w:rsidRPr="00CF2184">
        <w:t>,</w:t>
      </w:r>
      <w:r w:rsidR="00733EEE">
        <w:t xml:space="preserve"> </w:t>
      </w:r>
      <w:r w:rsidRPr="00CF2184">
        <w:t>for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appellant.</w:t>
      </w:r>
    </w:p>
    <w:p w:rsidR="00CB7D99" w:rsidRPr="00CF2184" w:rsidRDefault="007C2C03" w:rsidP="00733EEE">
      <w:pPr>
        <w:pStyle w:val="SCCNormalDoubleSpacing"/>
        <w:spacing w:before="480" w:after="480"/>
      </w:pPr>
      <w:r w:rsidRPr="006A2BF7">
        <w:rPr>
          <w:i/>
        </w:rPr>
        <w:tab/>
        <w:t>Eli</w:t>
      </w:r>
      <w:r w:rsidR="00733EEE">
        <w:rPr>
          <w:i/>
        </w:rPr>
        <w:t xml:space="preserve"> </w:t>
      </w:r>
      <w:r w:rsidR="00260143" w:rsidRPr="006A2BF7">
        <w:rPr>
          <w:i/>
        </w:rPr>
        <w:t>S</w:t>
      </w:r>
      <w:r w:rsidRPr="006A2BF7">
        <w:rPr>
          <w:i/>
        </w:rPr>
        <w:t>.</w:t>
      </w:r>
      <w:r w:rsidR="00733EEE">
        <w:rPr>
          <w:i/>
        </w:rPr>
        <w:t xml:space="preserve"> </w:t>
      </w:r>
      <w:r w:rsidR="00260143" w:rsidRPr="006A2BF7">
        <w:rPr>
          <w:i/>
        </w:rPr>
        <w:t>Lederman</w:t>
      </w:r>
      <w:r w:rsidRPr="00CF2184">
        <w:t>,</w:t>
      </w:r>
      <w:r w:rsidR="00733EEE">
        <w:t xml:space="preserve"> </w:t>
      </w:r>
      <w:r w:rsidR="00260143" w:rsidRPr="006A2BF7">
        <w:rPr>
          <w:i/>
        </w:rPr>
        <w:t>Jon</w:t>
      </w:r>
      <w:r w:rsidR="00733EEE">
        <w:rPr>
          <w:i/>
        </w:rPr>
        <w:t xml:space="preserve"> </w:t>
      </w:r>
      <w:r w:rsidR="00260143" w:rsidRPr="006A2BF7">
        <w:rPr>
          <w:i/>
        </w:rPr>
        <w:t>Laxer</w:t>
      </w:r>
      <w:r w:rsidR="00733EEE">
        <w:t xml:space="preserve"> </w:t>
      </w:r>
      <w:r w:rsidRPr="00CF2184">
        <w:t>and</w:t>
      </w:r>
      <w:r w:rsidR="00733EEE">
        <w:t xml:space="preserve"> </w:t>
      </w:r>
      <w:r w:rsidRPr="00CF2184">
        <w:rPr>
          <w:i/>
        </w:rPr>
        <w:t>Constanza</w:t>
      </w:r>
      <w:r w:rsidR="00733EEE">
        <w:rPr>
          <w:i/>
        </w:rPr>
        <w:t xml:space="preserve"> </w:t>
      </w:r>
      <w:r w:rsidRPr="00CF2184">
        <w:rPr>
          <w:i/>
        </w:rPr>
        <w:t>Pauchulo</w:t>
      </w:r>
      <w:r w:rsidR="00DC044C" w:rsidRPr="00CF2184">
        <w:t>,</w:t>
      </w:r>
      <w:r w:rsidR="00733EEE">
        <w:t xml:space="preserve"> </w:t>
      </w:r>
      <w:r w:rsidR="00260143" w:rsidRPr="00CF2184">
        <w:t>for</w:t>
      </w:r>
      <w:r w:rsidR="00733EEE">
        <w:t xml:space="preserve"> </w:t>
      </w:r>
      <w:r w:rsidR="00260143" w:rsidRPr="00CF2184">
        <w:t>the</w:t>
      </w:r>
      <w:r w:rsidR="00733EEE">
        <w:t xml:space="preserve"> </w:t>
      </w:r>
      <w:r w:rsidR="00260143" w:rsidRPr="00CF2184">
        <w:t>respondent</w:t>
      </w:r>
      <w:r w:rsidRPr="00CF2184">
        <w:t>s</w:t>
      </w:r>
      <w:r w:rsidR="00260143" w:rsidRPr="00CF2184">
        <w:t>.</w:t>
      </w:r>
    </w:p>
    <w:p w:rsidR="00733EEE" w:rsidRPr="00691D21" w:rsidRDefault="00691D21" w:rsidP="00733EEE">
      <w:pPr>
        <w:pStyle w:val="JudgeJuge"/>
        <w:rPr>
          <w:smallCaps w:val="0"/>
        </w:rPr>
      </w:pPr>
      <w:r>
        <w:tab/>
      </w:r>
      <w:r w:rsidRPr="00691D21">
        <w:rPr>
          <w:smallCaps w:val="0"/>
        </w:rPr>
        <w:t>T</w:t>
      </w:r>
      <w:r>
        <w:rPr>
          <w:smallCaps w:val="0"/>
        </w:rPr>
        <w:t>he judgment of the Court was delivered by</w:t>
      </w:r>
    </w:p>
    <w:p w:rsidR="00733EEE" w:rsidRPr="00732AB9" w:rsidRDefault="00733EEE" w:rsidP="00733EEE">
      <w:pPr>
        <w:pStyle w:val="JudgeJuge"/>
      </w:pPr>
      <w:r w:rsidRPr="00732AB9">
        <w:tab/>
        <w:t>Cromwell</w:t>
      </w:r>
      <w:r>
        <w:t xml:space="preserve"> </w:t>
      </w:r>
      <w:r w:rsidRPr="00732AB9">
        <w:t>J.</w:t>
      </w:r>
      <w:r>
        <w:t xml:space="preserve"> </w:t>
      </w:r>
      <w:r w:rsidRPr="00732AB9">
        <w:t>—</w:t>
      </w:r>
      <w:r>
        <w:t xml:space="preserve"> </w:t>
      </w:r>
    </w:p>
    <w:p w:rsidR="00733EEE" w:rsidRPr="00732AB9" w:rsidRDefault="00733EEE" w:rsidP="00733EEE">
      <w:pPr>
        <w:pStyle w:val="Title1LevelTitre1Niveau-AltL"/>
        <w:rPr>
          <w:rFonts w:cs="Times New Roman"/>
        </w:rPr>
      </w:pPr>
      <w:r w:rsidRPr="00732AB9">
        <w:rPr>
          <w:rFonts w:cs="Times New Roman"/>
        </w:rPr>
        <w:t>Introduction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down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two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straightforward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questions: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</w:t>
      </w:r>
      <w:r>
        <w:rPr>
          <w:rFonts w:cs="Times New Roman"/>
        </w:rPr>
        <w:t>? A</w:t>
      </w:r>
      <w:r w:rsidRPr="00732AB9">
        <w:rPr>
          <w:rFonts w:cs="Times New Roman"/>
        </w:rPr>
        <w:t>nd,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either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duty?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answer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questions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affirmative.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perform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tune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measure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justice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appellant,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result.</w:t>
      </w:r>
    </w:p>
    <w:p w:rsidR="00733EEE" w:rsidRPr="00732AB9" w:rsidRDefault="00733EEE" w:rsidP="00733EEE">
      <w:pPr>
        <w:pStyle w:val="Title1LevelTitre1Niveau-AltL"/>
        <w:rPr>
          <w:rFonts w:cs="Times New Roman"/>
        </w:rPr>
      </w:pPr>
      <w:r w:rsidRPr="00732AB9">
        <w:rPr>
          <w:rFonts w:cs="Times New Roman"/>
        </w:rPr>
        <w:t>Facts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Judicial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History</w:t>
      </w:r>
    </w:p>
    <w:p w:rsidR="00733EEE" w:rsidRPr="00732AB9" w:rsidRDefault="00733EEE" w:rsidP="00733EEE">
      <w:pPr>
        <w:pStyle w:val="Title2LevelTitre2Niveau"/>
        <w:numPr>
          <w:ilvl w:val="0"/>
          <w:numId w:val="0"/>
        </w:numPr>
        <w:tabs>
          <w:tab w:val="clear" w:pos="576"/>
          <w:tab w:val="left" w:pos="0"/>
        </w:tabs>
        <w:rPr>
          <w:rFonts w:cs="Times New Roman"/>
        </w:rPr>
      </w:pPr>
      <w:r w:rsidRPr="00732AB9">
        <w:rPr>
          <w:rFonts w:cs="Times New Roman"/>
        </w:rPr>
        <w:t>Overview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Issues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appellant,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&amp;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Associates,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American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Financial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Corp.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(“Can-Am”)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beginning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1989.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between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soured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1999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ultimately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dealership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litigation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ensued.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markets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education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savings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(“ESPs”)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investors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retail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dealers,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known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compensation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bonuses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selling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ESPs.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small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owners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success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depends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building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sales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took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approximately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years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build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sales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force,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thrived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numerous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awards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prizes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Canada: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ABQB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637,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526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51,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238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474.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took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governed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between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(That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replaced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previous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indefinite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governed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outset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1989.)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dealership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franchise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franchise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covered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statutory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Franchises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Act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R.S.A.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</w:t>
      </w:r>
      <w:r>
        <w:rPr>
          <w:rFonts w:cs="Times New Roman"/>
        </w:rPr>
        <w:t>-</w:t>
      </w:r>
      <w:r w:rsidRPr="00732AB9">
        <w:rPr>
          <w:rFonts w:cs="Times New Roman"/>
        </w:rPr>
        <w:t>23.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said,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features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similar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typically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franchise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investment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products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exclusively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owed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fiduciary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owned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client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lists,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responsible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branding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implemented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central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policies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4.1,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5.2,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5.3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4.7.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sell,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transfer,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operation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unreasonably: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4.5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11.4.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years.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8.3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8.4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allowed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cause.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3.3</w:t>
      </w:r>
      <w:r>
        <w:rPr>
          <w:rFonts w:cs="Times New Roman"/>
        </w:rPr>
        <w:t xml:space="preserve"> —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centre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―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automatically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three-year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six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months’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written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contrary.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competitor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animosity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between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them: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reasons</w:t>
      </w:r>
      <w:r>
        <w:rPr>
          <w:rFonts w:cs="Times New Roman"/>
        </w:rPr>
        <w:t xml:space="preserve">,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461.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pressured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ultimately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pressure.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moved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competitors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years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question,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promised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Calgary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after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joining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238.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strong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largest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working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Securities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 w:rsidR="00696805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regulated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284.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wanted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capture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lucrative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niche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market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built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303.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personally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numerous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occasions: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238.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actively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encouraged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“veiled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threats”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took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place: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282;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251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287.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“merger”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hostile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takeover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240.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steadfastly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refused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participate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247.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Securities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raised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concerns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compliance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among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appoint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single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provincial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officer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(“PTO”)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compliance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securities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149,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152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160.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appointed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September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year.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audits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objected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competitor,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confidential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records: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189-96.</w:t>
      </w:r>
      <w:r w:rsidR="002D38D2"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worried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revoke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licence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1999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discussions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compliance.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discussions,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restructuring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involved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outlined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working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</w:t>
      </w:r>
      <w:r>
        <w:rPr>
          <w:rFonts w:cs="Times New Roman"/>
        </w:rPr>
        <w:t>.  T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formulated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2000: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256.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None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known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243-46.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repeatedly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telling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PTO,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treat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information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confidentially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rejected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outside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PTO,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neither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true: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</w:t>
      </w:r>
      <w:r w:rsidR="006F4F8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195.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equivocally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asked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August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“done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247.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continued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refuse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allow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audit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records,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threatened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207-11.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expiry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assembled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workforce.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majority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sales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successfully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solicited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remunerative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competitors.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Moen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Queen’s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Bench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corporate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="002048E9">
        <w:rPr>
          <w:rFonts w:cs="Times New Roman"/>
        </w:rPr>
        <w:t xml:space="preserve">that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induced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="002048E9">
        <w:rPr>
          <w:rFonts w:cs="Times New Roman"/>
        </w:rPr>
        <w:t xml:space="preserve">that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civil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conspiracy.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throughout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already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structure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communicate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already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final,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asked;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communicate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working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closely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corporate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structure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“governed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himself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accordingly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258.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allowed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dismissed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lawsuit.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pleadings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insufficient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erred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unambiguous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containing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entire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ABCA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98</w:t>
      </w:r>
      <w:r>
        <w:rPr>
          <w:rFonts w:cs="Times New Roman"/>
        </w:rPr>
        <w:t>, 84 Alta. L.R. (5th</w:t>
      </w:r>
      <w:r w:rsidRPr="00732AB9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68.</w:t>
      </w:r>
    </w:p>
    <w:p w:rsidR="00733EEE" w:rsidRPr="00732AB9" w:rsidRDefault="00733EEE" w:rsidP="00720831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raises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issues:</w:t>
      </w:r>
    </w:p>
    <w:p w:rsidR="00733EEE" w:rsidRPr="00732AB9" w:rsidRDefault="00733EEE" w:rsidP="00720831">
      <w:pPr>
        <w:pStyle w:val="Title4LevelTitre4Niveau"/>
        <w:spacing w:after="480" w:line="480" w:lineRule="auto"/>
        <w:ind w:left="1080" w:hanging="1080"/>
        <w:jc w:val="both"/>
        <w:rPr>
          <w:rFonts w:cs="Times New Roman"/>
          <w:i w:val="0"/>
        </w:rPr>
      </w:pPr>
      <w:r w:rsidRPr="00732AB9">
        <w:rPr>
          <w:rFonts w:cs="Times New Roman"/>
          <w:i w:val="0"/>
        </w:rPr>
        <w:t>Did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Mr.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Bhasin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properly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plead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breach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of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the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duty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of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good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faith?</w:t>
      </w:r>
    </w:p>
    <w:p w:rsidR="00733EEE" w:rsidRPr="00732AB9" w:rsidRDefault="00733EEE" w:rsidP="00720831">
      <w:pPr>
        <w:pStyle w:val="Title4LevelTitre4Niveau"/>
        <w:tabs>
          <w:tab w:val="num" w:pos="6048"/>
        </w:tabs>
        <w:spacing w:after="480" w:line="480" w:lineRule="auto"/>
        <w:ind w:left="1080" w:hanging="1080"/>
        <w:jc w:val="both"/>
        <w:rPr>
          <w:rFonts w:cs="Times New Roman"/>
          <w:i w:val="0"/>
        </w:rPr>
      </w:pPr>
      <w:r w:rsidRPr="00732AB9">
        <w:rPr>
          <w:rFonts w:cs="Times New Roman"/>
          <w:i w:val="0"/>
        </w:rPr>
        <w:t>Did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Can-Am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owe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Mr.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Bhasin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a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duty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of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good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faith?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If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so,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did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it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breach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that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duty?</w:t>
      </w:r>
    </w:p>
    <w:p w:rsidR="00733EEE" w:rsidRPr="00732AB9" w:rsidRDefault="00733EEE" w:rsidP="00720831">
      <w:pPr>
        <w:pStyle w:val="Title4LevelTitre4Niveau"/>
        <w:tabs>
          <w:tab w:val="num" w:pos="6048"/>
        </w:tabs>
        <w:spacing w:after="480" w:line="480" w:lineRule="auto"/>
        <w:ind w:left="1080" w:hanging="1080"/>
        <w:jc w:val="both"/>
        <w:rPr>
          <w:rFonts w:cs="Times New Roman"/>
          <w:i w:val="0"/>
        </w:rPr>
      </w:pPr>
      <w:r w:rsidRPr="00732AB9">
        <w:rPr>
          <w:rFonts w:cs="Times New Roman"/>
          <w:i w:val="0"/>
        </w:rPr>
        <w:t>Are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the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respondents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liable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for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the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torts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of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inducing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breach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of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contract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or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civil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conspiracy?</w:t>
      </w:r>
    </w:p>
    <w:p w:rsidR="00733EEE" w:rsidRPr="00732AB9" w:rsidRDefault="00733EEE" w:rsidP="00720831">
      <w:pPr>
        <w:pStyle w:val="Title4LevelTitre4Niveau"/>
        <w:tabs>
          <w:tab w:val="num" w:pos="6048"/>
        </w:tabs>
        <w:spacing w:after="480" w:line="480" w:lineRule="auto"/>
        <w:ind w:left="1080" w:hanging="1080"/>
        <w:jc w:val="both"/>
        <w:rPr>
          <w:rFonts w:cs="Times New Roman"/>
          <w:i w:val="0"/>
        </w:rPr>
      </w:pPr>
      <w:r w:rsidRPr="00732AB9">
        <w:rPr>
          <w:rFonts w:cs="Times New Roman"/>
          <w:i w:val="0"/>
        </w:rPr>
        <w:t>If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there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was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a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breach,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what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is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the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appropriate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measure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of</w:t>
      </w:r>
      <w:r>
        <w:rPr>
          <w:rFonts w:cs="Times New Roman"/>
          <w:i w:val="0"/>
        </w:rPr>
        <w:t xml:space="preserve"> </w:t>
      </w:r>
      <w:r w:rsidRPr="00732AB9">
        <w:rPr>
          <w:rFonts w:cs="Times New Roman"/>
          <w:i w:val="0"/>
        </w:rPr>
        <w:t>damages?</w:t>
      </w:r>
      <w:r>
        <w:rPr>
          <w:rFonts w:cs="Times New Roman"/>
          <w:i w:val="0"/>
        </w:rPr>
        <w:t xml:space="preserve"> </w:t>
      </w:r>
    </w:p>
    <w:p w:rsidR="00733EEE" w:rsidRPr="00732AB9" w:rsidRDefault="00733EEE" w:rsidP="00733EEE">
      <w:pPr>
        <w:pStyle w:val="Title1LevelTitre1Niveau-AltL"/>
        <w:rPr>
          <w:rFonts w:cs="Times New Roman"/>
        </w:rPr>
      </w:pPr>
      <w:r w:rsidRPr="00732AB9">
        <w:rPr>
          <w:rFonts w:cs="Times New Roman"/>
        </w:rPr>
        <w:t>Analysis</w:t>
      </w:r>
    </w:p>
    <w:p w:rsidR="00733EEE" w:rsidRPr="00732AB9" w:rsidRDefault="00733EEE" w:rsidP="00733EEE">
      <w:pPr>
        <w:pStyle w:val="Title2LevelTitre2Niveau"/>
        <w:rPr>
          <w:rFonts w:cs="Times New Roman"/>
        </w:rPr>
      </w:pP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Properly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Plead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Faith?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properly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pleaded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erred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conclusion,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support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allegations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questions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improper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purpose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sufficient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question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amounted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pleaded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separately.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defendants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strike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pleadings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allegation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wrongful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canvassed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lengthy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A.F.,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92-94.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Written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submissions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referred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 w:rsidR="002D38D2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opening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counsel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raised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deficiency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pleadings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prejudice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48.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assessment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uniquely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positioned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treated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argued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addressed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argued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reversible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error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adjudicating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address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Title2LevelTitre2Niveau"/>
        <w:rPr>
          <w:rFonts w:cs="Times New Roman"/>
        </w:rPr>
      </w:pP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Owe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Faith?</w:t>
      </w:r>
    </w:p>
    <w:p w:rsidR="00733EEE" w:rsidRPr="00732AB9" w:rsidRDefault="00733EEE" w:rsidP="00720831">
      <w:pPr>
        <w:pStyle w:val="Title3LevelTitre3Niveau"/>
        <w:tabs>
          <w:tab w:val="clear" w:pos="6048"/>
          <w:tab w:val="num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Decisions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Positions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</w:p>
    <w:p w:rsidR="00733EEE" w:rsidRPr="00732AB9" w:rsidRDefault="00733EEE" w:rsidP="00720831">
      <w:pPr>
        <w:pStyle w:val="Title4LevelTitre4Niveau"/>
        <w:tabs>
          <w:tab w:val="clear" w:pos="1080"/>
          <w:tab w:val="clear" w:pos="6480"/>
          <w:tab w:val="left" w:pos="540"/>
          <w:tab w:val="num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Decisions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accepted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brief,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follows.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First,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categories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insurance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franchise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concluded,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analogous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franchise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analogy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these </w:t>
      </w:r>
      <w:r w:rsidRPr="00732AB9">
        <w:rPr>
          <w:rFonts w:cs="Times New Roman"/>
        </w:rPr>
        <w:t>cases,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balanced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inception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placed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inherent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predictable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vulnerability: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67-86.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Second</w:t>
      </w:r>
      <w:r w:rsidR="00586DBB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alternative,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efficacy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“[w]hen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</w:t>
      </w:r>
      <w:r>
        <w:rPr>
          <w:rFonts w:cs="Times New Roman"/>
        </w:rPr>
        <w:t xml:space="preserve"> </w:t>
      </w:r>
      <w:r w:rsidR="00ED5640">
        <w:rPr>
          <w:rFonts w:cs="Times New Roman"/>
        </w:rPr>
        <w:t>. . 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operate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between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words,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necessary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efficacy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101.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contained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“entire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“agreements,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statutory,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11.2.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preclude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implication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reasoned,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exclusion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avoid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imbalance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</w:t>
      </w:r>
      <w:r w:rsidR="00720831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refuse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shelter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entire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unjust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inequitable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</w:t>
      </w:r>
      <w:r>
        <w:rPr>
          <w:rFonts w:cs="Times New Roman"/>
        </w:rPr>
        <w:t>. 116</w:t>
      </w:r>
      <w:r w:rsidRPr="00732AB9">
        <w:rPr>
          <w:rFonts w:cs="Times New Roman"/>
        </w:rPr>
        <w:t>-18.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Turning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submit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audit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records,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second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misleading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manner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improper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purpose.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agencies,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purpose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261.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unlawful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conspiracy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inducing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reversed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extended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analogy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limited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manner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C.A.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27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31.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Nor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circumstance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obvious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thought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necessary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mention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necessary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work: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32.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impugned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concerned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occurs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expiry,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unlike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31.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Moreover,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against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perpetual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allowing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either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unilaterally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trigger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expiration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three-year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inconsistent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triggering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expiration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restricted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A</w:t>
      </w:r>
      <w:r w:rsidRPr="00732AB9">
        <w:rPr>
          <w:rFonts w:cs="Times New Roman"/>
        </w:rPr>
        <w:t>greement.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implication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violated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entire</w:t>
      </w:r>
      <w:r>
        <w:rPr>
          <w:rFonts w:cs="Times New Roman"/>
        </w:rPr>
        <w:t xml:space="preserve"> a</w:t>
      </w:r>
      <w:r w:rsidRPr="00732AB9">
        <w:rPr>
          <w:rFonts w:cs="Times New Roman"/>
        </w:rPr>
        <w:t>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evidence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assurances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fell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afoul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parol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evidence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unlawful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conspiracy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inducing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disappeared.</w:t>
      </w:r>
    </w:p>
    <w:p w:rsidR="00733EEE" w:rsidRPr="00732AB9" w:rsidRDefault="00733EEE" w:rsidP="00DD096C">
      <w:pPr>
        <w:pStyle w:val="Title4LevelTitre4Niveau"/>
        <w:tabs>
          <w:tab w:val="clear" w:pos="1080"/>
          <w:tab w:val="clear" w:pos="6480"/>
          <w:tab w:val="left" w:pos="540"/>
          <w:tab w:val="num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Positions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advances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two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positions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arises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defendant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unilaterally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defeat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legitimate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objective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plaintiff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allow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defendant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regard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objective: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A.F.,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prevents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consonant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exhibits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improper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similar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departures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contends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increasingly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isolated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jurisdictions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embrace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greater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A.F.,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27-32.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constitute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incremental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advance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numerous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already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improperly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used</w:t>
      </w:r>
      <w:r>
        <w:rPr>
          <w:rFonts w:cs="Times New Roman"/>
        </w:rPr>
        <w:t xml:space="preserve"> </w:t>
      </w:r>
      <w:r w:rsidR="00DD096C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competitor.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contends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legitimate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entire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construed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narrowly,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language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needed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derogate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A.F.,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83.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second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position,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emphasized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argument,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transcript,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towards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throughout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period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repeatedly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nature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organizational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changes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Securities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nature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audits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carried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221,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246-47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267.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Unsurprisingly,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differently.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accept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submit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modest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suggests.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arises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classes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involving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discretionary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R.F.,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52.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manner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negotiated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between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policy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underlying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alleging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perpetual,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indefinite,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discretionary,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simply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six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months</w:t>
      </w:r>
      <w:r w:rsidR="00BD51C7">
        <w:rPr>
          <w:rFonts w:cs="Times New Roman"/>
        </w:rPr>
        <w:t>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notice</w:t>
      </w:r>
      <w:r w:rsidR="00BD51C7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either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submit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ambiguity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extrinsic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evidence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entire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precluded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implication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</w:p>
    <w:p w:rsidR="00733EEE" w:rsidRPr="00732AB9" w:rsidRDefault="00733EEE" w:rsidP="00BD51C7">
      <w:pPr>
        <w:pStyle w:val="Title3LevelTitre3Niveau"/>
        <w:tabs>
          <w:tab w:val="clear" w:pos="6048"/>
          <w:tab w:val="num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Analysis</w:t>
      </w:r>
    </w:p>
    <w:p w:rsidR="00733EEE" w:rsidRPr="00732AB9" w:rsidRDefault="00733EEE" w:rsidP="00BD51C7">
      <w:pPr>
        <w:pStyle w:val="Title4LevelTitre4Niveau"/>
        <w:tabs>
          <w:tab w:val="clear" w:pos="1080"/>
          <w:tab w:val="clear" w:pos="6480"/>
          <w:tab w:val="left" w:pos="540"/>
          <w:tab w:val="num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Overview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deep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roots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permeates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Nonetheless,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Anglo-Canadian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resisted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acknowledging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independent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“unsettled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incoherent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body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“piecemeal”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“difficult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analyze”: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Ontario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(“OLRCˮ),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Report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Amendment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(1987),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169.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civil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Quebec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jurisdictions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produces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consistent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time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two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incremental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unsettled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piecemeal,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coherent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just.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acknowledge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underpins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informs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various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various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second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further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manifestation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two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perfectly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consistent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responsibility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incremental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changes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appropriate.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just,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accords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sufficiently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precise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enhance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certainty.</w:t>
      </w:r>
      <w:r>
        <w:rPr>
          <w:rFonts w:cs="Times New Roman"/>
        </w:rPr>
        <w:t xml:space="preserve"> </w:t>
      </w:r>
    </w:p>
    <w:p w:rsidR="00733EEE" w:rsidRPr="00732AB9" w:rsidRDefault="00733EEE" w:rsidP="002230E4">
      <w:pPr>
        <w:pStyle w:val="Title4LevelTitre4Niveau"/>
        <w:tabs>
          <w:tab w:val="clear" w:pos="1080"/>
          <w:tab w:val="clear" w:pos="6480"/>
          <w:tab w:val="left" w:pos="540"/>
          <w:tab w:val="num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</w:p>
    <w:p w:rsidR="00733EEE" w:rsidRPr="00732AB9" w:rsidRDefault="00733EEE" w:rsidP="0003192E">
      <w:pPr>
        <w:pStyle w:val="Title5LevelTitre5Niveau"/>
        <w:tabs>
          <w:tab w:val="clear" w:pos="1620"/>
          <w:tab w:val="left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Background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traces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history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Roman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acceptance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earl</w:t>
      </w:r>
      <w:r w:rsidR="002230E4">
        <w:rPr>
          <w:rFonts w:cs="Times New Roman"/>
        </w:rPr>
        <w:t>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English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Northington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wrote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Aleyn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Belchier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(1758),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132,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28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634,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="002230E4">
        <w:rPr>
          <w:rFonts w:cs="Times New Roman"/>
        </w:rPr>
        <w:t>637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Mills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Mills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(1938),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C.L.R.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150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(H.C.A.),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185,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“[n]o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point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established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person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execute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bona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fide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designed,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otherwise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corrupt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void.”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Similarly,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Kenyon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wrote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Mellish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Motteux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(1792),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156,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170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kinds,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highest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importance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observance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="002230E4">
        <w:rPr>
          <w:rFonts w:cs="Times New Roman"/>
        </w:rPr>
        <w:t>113-14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Carter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Boehm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(1766),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Burr.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1905,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97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1162,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 w:rsidR="001C6BBA">
        <w:rPr>
          <w:rFonts w:cs="Times New Roman"/>
        </w:rPr>
        <w:t>910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Mansfield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applicable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="002230E4">
        <w:rPr>
          <w:rFonts w:cs="Times New Roman"/>
        </w:rPr>
        <w:t>contracts;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Herbert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Mercantile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Fire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Ins.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(1878),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U.C.Q.B.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384;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Powell,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(1956),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</w:t>
      </w:r>
      <w:r>
        <w:rPr>
          <w:rFonts w:cs="Times New Roman"/>
        </w:rPr>
        <w:t xml:space="preserve"> </w:t>
      </w:r>
      <w:r w:rsidRPr="002230E4">
        <w:rPr>
          <w:rFonts w:cs="Times New Roman"/>
          <w:i/>
        </w:rPr>
        <w:t>Curr. Legal Probs.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16.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pronouncements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restricted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subsequent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jurisprudence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insurance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leaving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modern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Anglo-Canadian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Chitty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(31st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2012),</w:t>
      </w:r>
      <w:r>
        <w:rPr>
          <w:rFonts w:cs="Times New Roman"/>
          <w:i/>
        </w:rPr>
        <w:t xml:space="preserve"> </w:t>
      </w:r>
      <w:r w:rsidR="002230E4">
        <w:rPr>
          <w:rFonts w:cs="Times New Roman"/>
        </w:rPr>
        <w:t xml:space="preserve">vol. I, </w:t>
      </w:r>
      <w:r w:rsidR="002230E4" w:rsidRPr="002230E4">
        <w:rPr>
          <w:rFonts w:cs="Times New Roman"/>
          <w:i/>
        </w:rPr>
        <w:t>General Principles</w:t>
      </w:r>
      <w:r w:rsidR="002230E4">
        <w:rPr>
          <w:rFonts w:cs="Times New Roman"/>
        </w:rPr>
        <w:t xml:space="preserve">,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1-039;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Yee,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“Protecting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(2001),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O.U.C.L.J.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195;</w:t>
      </w:r>
      <w:r>
        <w:rPr>
          <w:rFonts w:cs="Times New Roman"/>
        </w:rPr>
        <w:t xml:space="preserve"> E. P. </w:t>
      </w:r>
      <w:r w:rsidRPr="00732AB9">
        <w:rPr>
          <w:rFonts w:cs="Times New Roman"/>
        </w:rPr>
        <w:t>Belobaba,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Special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Lectures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Society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Upper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1985</w:t>
      </w:r>
      <w:r>
        <w:rPr>
          <w:rFonts w:cs="Times New Roman"/>
          <w:i/>
        </w:rPr>
        <w:t xml:space="preserve"> — </w:t>
      </w:r>
      <w:r w:rsidR="002230E4">
        <w:rPr>
          <w:rFonts w:cs="Times New Roman"/>
          <w:i/>
        </w:rPr>
        <w:t>Commerci</w:t>
      </w:r>
      <w:r w:rsidRPr="00732AB9">
        <w:rPr>
          <w:rFonts w:cs="Times New Roman"/>
          <w:i/>
        </w:rPr>
        <w:t>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Law: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Recent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Developments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and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Emerging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Trends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(1985),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75.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scholar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“kind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perverted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pride”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absence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accepting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admitting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presence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kind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embarrassing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disease”: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Swan,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“Whither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Retrospective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Prospective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Overview”,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Special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Lectures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Society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Upper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1984</w:t>
      </w:r>
      <w:r>
        <w:rPr>
          <w:rFonts w:cs="Times New Roman"/>
          <w:i/>
        </w:rPr>
        <w:t xml:space="preserve"> —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Transition: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(1984),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125,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148.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examined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debate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among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scholars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decades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over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“stand-alone”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reached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different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point.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suggest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faith: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Gateway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Realty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Arton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Holdings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(1991),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106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N.S.R.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(2d)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180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(S.C.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(T.D.)),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aff’d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narrower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grounds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(1992),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N.S.R.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(2d)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180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(S.C.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(App.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Div.));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McDonald’s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Restaurant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British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Columbia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(1997),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29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B.C.L.R.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(3d)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303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(C.A.),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99;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Crawford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Agricultural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Development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Board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(N.B.)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(1997),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N.B.R.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(2d)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(C.A.),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7-8.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establishes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minimum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acceptable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behaviour.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Gateway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Realty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38:</w:t>
      </w:r>
    </w:p>
    <w:p w:rsidR="00733EEE" w:rsidRPr="00732AB9" w:rsidRDefault="00733EEE" w:rsidP="00733EEE">
      <w:pPr>
        <w:pStyle w:val="Citation-AltC"/>
      </w:pPr>
      <w:r w:rsidRPr="00732AB9">
        <w:tab/>
        <w:t>The</w:t>
      </w:r>
      <w:r>
        <w:t xml:space="preserve"> </w:t>
      </w:r>
      <w:r w:rsidRPr="00732AB9">
        <w:t>law</w:t>
      </w:r>
      <w:r>
        <w:t xml:space="preserve"> </w:t>
      </w:r>
      <w:r w:rsidRPr="00732AB9">
        <w:t>requires</w:t>
      </w:r>
      <w:r>
        <w:t xml:space="preserve"> </w:t>
      </w:r>
      <w:r w:rsidRPr="00732AB9">
        <w:t>that</w:t>
      </w:r>
      <w:r>
        <w:t xml:space="preserve"> </w:t>
      </w:r>
      <w:r w:rsidRPr="00732AB9">
        <w:t>parties</w:t>
      </w:r>
      <w:r>
        <w:t xml:space="preserve"> </w:t>
      </w:r>
      <w:r w:rsidRPr="00732AB9">
        <w:t>to</w:t>
      </w:r>
      <w:r>
        <w:t xml:space="preserve"> </w:t>
      </w:r>
      <w:r w:rsidRPr="00732AB9">
        <w:t>a</w:t>
      </w:r>
      <w:r>
        <w:t xml:space="preserve"> </w:t>
      </w:r>
      <w:r w:rsidRPr="00732AB9">
        <w:t>contract</w:t>
      </w:r>
      <w:r>
        <w:t xml:space="preserve"> </w:t>
      </w:r>
      <w:r w:rsidRPr="00732AB9">
        <w:t>exercise</w:t>
      </w:r>
      <w:r>
        <w:t xml:space="preserve"> </w:t>
      </w:r>
      <w:r w:rsidRPr="00732AB9">
        <w:t>their</w:t>
      </w:r>
      <w:r>
        <w:t xml:space="preserve"> </w:t>
      </w:r>
      <w:r w:rsidRPr="00732AB9">
        <w:t>rights</w:t>
      </w:r>
      <w:r>
        <w:t xml:space="preserve"> </w:t>
      </w:r>
      <w:r w:rsidRPr="00732AB9">
        <w:t>under</w:t>
      </w:r>
      <w:r>
        <w:t xml:space="preserve"> </w:t>
      </w:r>
      <w:r w:rsidRPr="00732AB9">
        <w:t>that</w:t>
      </w:r>
      <w:r>
        <w:t xml:space="preserve"> </w:t>
      </w:r>
      <w:r w:rsidRPr="00732AB9">
        <w:t>agreement</w:t>
      </w:r>
      <w:r>
        <w:t xml:space="preserve"> </w:t>
      </w:r>
      <w:r w:rsidRPr="00732AB9">
        <w:t>honestly,</w:t>
      </w:r>
      <w:r>
        <w:t xml:space="preserve"> </w:t>
      </w:r>
      <w:r w:rsidRPr="00732AB9">
        <w:t>fairly</w:t>
      </w:r>
      <w:r>
        <w:t xml:space="preserve"> </w:t>
      </w:r>
      <w:r w:rsidRPr="00732AB9">
        <w:t>and</w:t>
      </w:r>
      <w:r>
        <w:t xml:space="preserve"> </w:t>
      </w:r>
      <w:r w:rsidRPr="00732AB9">
        <w:t>in</w:t>
      </w:r>
      <w:r>
        <w:t xml:space="preserve"> </w:t>
      </w:r>
      <w:r w:rsidRPr="00732AB9">
        <w:t>good</w:t>
      </w:r>
      <w:r>
        <w:t xml:space="preserve"> </w:t>
      </w:r>
      <w:r w:rsidRPr="00732AB9">
        <w:t>faith.</w:t>
      </w:r>
      <w:r>
        <w:t xml:space="preserve"> </w:t>
      </w:r>
      <w:r w:rsidRPr="00732AB9">
        <w:t>This</w:t>
      </w:r>
      <w:r>
        <w:t xml:space="preserve"> </w:t>
      </w:r>
      <w:r w:rsidRPr="00732AB9">
        <w:t>standard</w:t>
      </w:r>
      <w:r>
        <w:t xml:space="preserve"> </w:t>
      </w:r>
      <w:r w:rsidRPr="00732AB9">
        <w:t>is</w:t>
      </w:r>
      <w:r>
        <w:t xml:space="preserve"> </w:t>
      </w:r>
      <w:r w:rsidRPr="00732AB9">
        <w:t>breached</w:t>
      </w:r>
      <w:r>
        <w:t xml:space="preserve"> </w:t>
      </w:r>
      <w:r w:rsidRPr="00732AB9">
        <w:t>when</w:t>
      </w:r>
      <w:r>
        <w:t xml:space="preserve"> </w:t>
      </w:r>
      <w:r w:rsidRPr="00732AB9">
        <w:t>a</w:t>
      </w:r>
      <w:r>
        <w:t xml:space="preserve"> </w:t>
      </w:r>
      <w:r w:rsidRPr="00732AB9">
        <w:t>party</w:t>
      </w:r>
      <w:r>
        <w:t xml:space="preserve"> </w:t>
      </w:r>
      <w:r w:rsidRPr="00732AB9">
        <w:t>acts</w:t>
      </w:r>
      <w:r>
        <w:t xml:space="preserve"> </w:t>
      </w:r>
      <w:r w:rsidRPr="00732AB9">
        <w:t>in</w:t>
      </w:r>
      <w:r>
        <w:t xml:space="preserve"> </w:t>
      </w:r>
      <w:r w:rsidRPr="00732AB9">
        <w:t>a</w:t>
      </w:r>
      <w:r>
        <w:t xml:space="preserve"> </w:t>
      </w:r>
      <w:r w:rsidRPr="00732AB9">
        <w:t>bad</w:t>
      </w:r>
      <w:r>
        <w:t xml:space="preserve"> </w:t>
      </w:r>
      <w:r w:rsidRPr="00732AB9">
        <w:t>faith</w:t>
      </w:r>
      <w:r>
        <w:t xml:space="preserve"> </w:t>
      </w:r>
      <w:r w:rsidRPr="00732AB9">
        <w:t>manner</w:t>
      </w:r>
      <w:r>
        <w:t xml:space="preserve"> </w:t>
      </w:r>
      <w:r w:rsidRPr="00732AB9">
        <w:t>in</w:t>
      </w:r>
      <w:r>
        <w:t xml:space="preserve"> </w:t>
      </w:r>
      <w:r w:rsidRPr="00732AB9">
        <w:t>the</w:t>
      </w:r>
      <w:r>
        <w:t xml:space="preserve"> </w:t>
      </w:r>
      <w:r w:rsidRPr="00732AB9">
        <w:t>performance</w:t>
      </w:r>
      <w:r>
        <w:t xml:space="preserve"> </w:t>
      </w:r>
      <w:r w:rsidRPr="00732AB9">
        <w:t>of</w:t>
      </w:r>
      <w:r>
        <w:t xml:space="preserve"> </w:t>
      </w:r>
      <w:r w:rsidRPr="00732AB9">
        <w:t>its</w:t>
      </w:r>
      <w:r>
        <w:t xml:space="preserve"> </w:t>
      </w:r>
      <w:r w:rsidRPr="00732AB9">
        <w:t>rights</w:t>
      </w:r>
      <w:r>
        <w:t xml:space="preserve"> </w:t>
      </w:r>
      <w:r w:rsidRPr="00732AB9">
        <w:t>and</w:t>
      </w:r>
      <w:r>
        <w:t xml:space="preserve"> </w:t>
      </w:r>
      <w:r w:rsidRPr="00732AB9">
        <w:t>obligations</w:t>
      </w:r>
      <w:r>
        <w:t xml:space="preserve"> </w:t>
      </w:r>
      <w:r w:rsidRPr="00732AB9">
        <w:t>under</w:t>
      </w:r>
      <w:r>
        <w:t xml:space="preserve"> </w:t>
      </w:r>
      <w:r w:rsidRPr="00732AB9">
        <w:t>the</w:t>
      </w:r>
      <w:r>
        <w:t xml:space="preserve"> </w:t>
      </w:r>
      <w:r w:rsidRPr="00732AB9">
        <w:t>contract.</w:t>
      </w:r>
      <w:r>
        <w:t xml:space="preserve"> </w:t>
      </w:r>
      <w:r w:rsidRPr="00732AB9">
        <w:t>“Good</w:t>
      </w:r>
      <w:r>
        <w:t xml:space="preserve"> </w:t>
      </w:r>
      <w:r w:rsidRPr="00732AB9">
        <w:t>faithˮ</w:t>
      </w:r>
      <w:r>
        <w:t xml:space="preserve"> </w:t>
      </w:r>
      <w:r w:rsidRPr="00732AB9">
        <w:t>conduct</w:t>
      </w:r>
      <w:r>
        <w:t xml:space="preserve"> </w:t>
      </w:r>
      <w:r w:rsidRPr="00732AB9">
        <w:t>is</w:t>
      </w:r>
      <w:r>
        <w:t xml:space="preserve"> </w:t>
      </w:r>
      <w:r w:rsidRPr="00732AB9">
        <w:t>the</w:t>
      </w:r>
      <w:r>
        <w:t xml:space="preserve"> </w:t>
      </w:r>
      <w:r w:rsidRPr="00732AB9">
        <w:t>guide</w:t>
      </w:r>
      <w:r>
        <w:t xml:space="preserve"> </w:t>
      </w:r>
      <w:r w:rsidRPr="00732AB9">
        <w:t>to</w:t>
      </w:r>
      <w:r>
        <w:t xml:space="preserve"> </w:t>
      </w:r>
      <w:r w:rsidRPr="00732AB9">
        <w:t>the</w:t>
      </w:r>
      <w:r>
        <w:t xml:space="preserve"> </w:t>
      </w:r>
      <w:r w:rsidRPr="00732AB9">
        <w:t>manner</w:t>
      </w:r>
      <w:r>
        <w:t xml:space="preserve"> </w:t>
      </w:r>
      <w:r w:rsidRPr="00732AB9">
        <w:t>in</w:t>
      </w:r>
      <w:r>
        <w:t xml:space="preserve"> </w:t>
      </w:r>
      <w:r w:rsidRPr="00732AB9">
        <w:t>which</w:t>
      </w:r>
      <w:r>
        <w:t xml:space="preserve"> </w:t>
      </w:r>
      <w:r w:rsidRPr="00732AB9">
        <w:t>the</w:t>
      </w:r>
      <w:r>
        <w:t xml:space="preserve"> </w:t>
      </w:r>
      <w:r w:rsidRPr="00732AB9">
        <w:t>parties</w:t>
      </w:r>
      <w:r>
        <w:t xml:space="preserve"> </w:t>
      </w:r>
      <w:r w:rsidRPr="00732AB9">
        <w:t>should</w:t>
      </w:r>
      <w:r>
        <w:t xml:space="preserve"> </w:t>
      </w:r>
      <w:r w:rsidRPr="00732AB9">
        <w:t>pursue</w:t>
      </w:r>
      <w:r>
        <w:t xml:space="preserve"> </w:t>
      </w:r>
      <w:r w:rsidRPr="00732AB9">
        <w:t>their</w:t>
      </w:r>
      <w:r>
        <w:t xml:space="preserve"> </w:t>
      </w:r>
      <w:r w:rsidRPr="00732AB9">
        <w:t>mutual</w:t>
      </w:r>
      <w:r>
        <w:t xml:space="preserve"> </w:t>
      </w:r>
      <w:r w:rsidRPr="00732AB9">
        <w:t>contractual</w:t>
      </w:r>
      <w:r>
        <w:t xml:space="preserve"> </w:t>
      </w:r>
      <w:r w:rsidRPr="00732AB9">
        <w:t>objectives.</w:t>
      </w:r>
      <w:r>
        <w:t xml:space="preserve"> </w:t>
      </w:r>
      <w:r w:rsidRPr="00732AB9">
        <w:t>Such</w:t>
      </w:r>
      <w:r>
        <w:t xml:space="preserve"> </w:t>
      </w:r>
      <w:r w:rsidRPr="00732AB9">
        <w:t>conduct</w:t>
      </w:r>
      <w:r>
        <w:t xml:space="preserve"> </w:t>
      </w:r>
      <w:r w:rsidRPr="00732AB9">
        <w:t>is</w:t>
      </w:r>
      <w:r>
        <w:t xml:space="preserve"> </w:t>
      </w:r>
      <w:r w:rsidRPr="00732AB9">
        <w:t>breached</w:t>
      </w:r>
      <w:r>
        <w:t xml:space="preserve"> </w:t>
      </w:r>
      <w:r w:rsidRPr="00732AB9">
        <w:t>when</w:t>
      </w:r>
      <w:r>
        <w:t xml:space="preserve"> </w:t>
      </w:r>
      <w:r w:rsidRPr="00732AB9">
        <w:t>a</w:t>
      </w:r>
      <w:r>
        <w:t xml:space="preserve"> </w:t>
      </w:r>
      <w:r w:rsidRPr="00732AB9">
        <w:t>party</w:t>
      </w:r>
      <w:r>
        <w:t xml:space="preserve"> </w:t>
      </w:r>
      <w:r w:rsidRPr="00732AB9">
        <w:t>acts</w:t>
      </w:r>
      <w:r>
        <w:t xml:space="preserve"> </w:t>
      </w:r>
      <w:r w:rsidRPr="00732AB9">
        <w:t>in</w:t>
      </w:r>
      <w:r>
        <w:t xml:space="preserve"> </w:t>
      </w:r>
      <w:r w:rsidRPr="00732AB9">
        <w:t>“bad</w:t>
      </w:r>
      <w:r>
        <w:t xml:space="preserve"> </w:t>
      </w:r>
      <w:r w:rsidRPr="00732AB9">
        <w:t>faithˮ</w:t>
      </w:r>
      <w:r>
        <w:t xml:space="preserve"> </w:t>
      </w:r>
      <w:r w:rsidRPr="00732AB9">
        <w:rPr>
          <w:rFonts w:eastAsia="MS Mincho"/>
        </w:rPr>
        <w:t>—</w:t>
      </w:r>
      <w:r>
        <w:t xml:space="preserve"> </w:t>
      </w:r>
      <w:r w:rsidRPr="00732AB9">
        <w:t>a</w:t>
      </w:r>
      <w:r>
        <w:t xml:space="preserve"> </w:t>
      </w:r>
      <w:r w:rsidRPr="00732AB9">
        <w:t>conduct</w:t>
      </w:r>
      <w:r>
        <w:t xml:space="preserve"> </w:t>
      </w:r>
      <w:r w:rsidRPr="00732AB9">
        <w:t>that</w:t>
      </w:r>
      <w:r>
        <w:t xml:space="preserve"> </w:t>
      </w:r>
      <w:r w:rsidRPr="00732AB9">
        <w:t>is</w:t>
      </w:r>
      <w:r>
        <w:t xml:space="preserve"> </w:t>
      </w:r>
      <w:r w:rsidRPr="00732AB9">
        <w:t>contrary</w:t>
      </w:r>
      <w:r>
        <w:t xml:space="preserve"> </w:t>
      </w:r>
      <w:r w:rsidRPr="00732AB9">
        <w:t>to</w:t>
      </w:r>
      <w:r>
        <w:t xml:space="preserve"> </w:t>
      </w:r>
      <w:r w:rsidRPr="00732AB9">
        <w:t>community</w:t>
      </w:r>
      <w:r>
        <w:t xml:space="preserve"> </w:t>
      </w:r>
      <w:r w:rsidRPr="00732AB9">
        <w:t>standards</w:t>
      </w:r>
      <w:r>
        <w:t xml:space="preserve"> </w:t>
      </w:r>
      <w:r w:rsidRPr="00732AB9">
        <w:t>of</w:t>
      </w:r>
      <w:r>
        <w:t xml:space="preserve"> </w:t>
      </w:r>
      <w:r w:rsidRPr="00732AB9">
        <w:t>honesty,</w:t>
      </w:r>
      <w:r>
        <w:t xml:space="preserve"> </w:t>
      </w:r>
      <w:r w:rsidRPr="00732AB9">
        <w:t>reasonableness</w:t>
      </w:r>
      <w:r>
        <w:t xml:space="preserve"> </w:t>
      </w:r>
      <w:r w:rsidRPr="00732AB9">
        <w:t>or</w:t>
      </w:r>
      <w:r>
        <w:t xml:space="preserve"> </w:t>
      </w:r>
      <w:r w:rsidRPr="00732AB9">
        <w:t>fairness.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contracts: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Transamerica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Life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(2003),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(3d)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457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(C.A.),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</w:t>
      </w:r>
      <w:r w:rsidR="002230E4">
        <w:rPr>
          <w:rFonts w:cs="Times New Roman"/>
        </w:rPr>
        <w:t>s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2230E4">
        <w:rPr>
          <w:rFonts w:cs="Times New Roman"/>
        </w:rPr>
        <w:t>53-</w:t>
      </w:r>
      <w:r w:rsidRPr="00732AB9">
        <w:rPr>
          <w:rFonts w:cs="Times New Roman"/>
        </w:rPr>
        <w:t>54;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Mesa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Operating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Limited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Partnership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Amoco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Resources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(1994),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149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187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(C.A.)</w:t>
      </w:r>
      <w:r>
        <w:rPr>
          <w:rFonts w:cs="Times New Roman"/>
        </w:rPr>
        <w:t xml:space="preserve">,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15-19,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Kerans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J.A.,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dubitante</w:t>
      </w:r>
      <w:r w:rsidRPr="00732AB9">
        <w:rPr>
          <w:rFonts w:cs="Times New Roman"/>
        </w:rPr>
        <w:t>;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Barclays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Bank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PLC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Metcalfe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&amp;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Mansfield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Alternative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Investments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VII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Corp.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ONCA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494,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365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D.L.R.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(4th)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131;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Hall,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Canadian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Contractual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Interpretation</w:t>
      </w:r>
      <w:r>
        <w:rPr>
          <w:rFonts w:cs="Times New Roman"/>
          <w:i/>
        </w:rPr>
        <w:t xml:space="preserve"> 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2012)</w:t>
      </w:r>
      <w:r>
        <w:rPr>
          <w:rFonts w:cs="Times New Roman"/>
        </w:rPr>
        <w:t xml:space="preserve">,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338-46.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detractors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accepted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limited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create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undermine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freedom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interfere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keep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“dynamic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evolving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fabric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society”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incremental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fashion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ramifications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incapable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assessment”: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Salituro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[1991]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654,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670;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Bow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Valley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Husky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(Bermuda)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Saint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John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Shipbuilding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[1997]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1210,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93;</w:t>
      </w:r>
      <w:r>
        <w:rPr>
          <w:rFonts w:cs="Times New Roman"/>
        </w:rPr>
        <w:t xml:space="preserve"> see also </w:t>
      </w:r>
      <w:r w:rsidRPr="00732AB9">
        <w:rPr>
          <w:rFonts w:cs="Times New Roman"/>
          <w:i/>
        </w:rPr>
        <w:t>Watkins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Olafson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[1989]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750,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760-64;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Hill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Church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Scientology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Toronto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[1995]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1130,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85;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R.W.D.S.U.,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Local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558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Pepsi-Cola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Beverages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(West)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[2002]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156;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British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Columbia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Imperial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Tobacco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[2005]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473;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Grant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Torstar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Corp.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2009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61,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[2009]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640,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46.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appropriate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contemplated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reversal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settled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bringing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greater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coherence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complex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troublesome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desirable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several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considerations.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First,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current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uncertain.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Second,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current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lacks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coherence.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Third,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current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two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major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partners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—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Quebec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e.g.,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Hall,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347.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completely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address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problems,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measure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coherence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predictability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closer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be.</w:t>
      </w:r>
      <w:r>
        <w:rPr>
          <w:rFonts w:cs="Times New Roman"/>
        </w:rPr>
        <w:t xml:space="preserve"> </w:t>
      </w:r>
    </w:p>
    <w:p w:rsidR="00733EEE" w:rsidRPr="00732AB9" w:rsidRDefault="00733EEE" w:rsidP="0003192E">
      <w:pPr>
        <w:pStyle w:val="Title5LevelTitre5Niveau"/>
        <w:tabs>
          <w:tab w:val="clear" w:pos="1620"/>
          <w:tab w:val="left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Survey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Current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Anglo-Canadian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number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upon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dealings;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concept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underlies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elements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modern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Waddams,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</w:t>
      </w:r>
      <w:r w:rsidR="00A8363A">
        <w:rPr>
          <w:rFonts w:cs="Times New Roman"/>
        </w:rPr>
        <w:t>6</w:t>
      </w:r>
      <w:r w:rsidR="00A8363A" w:rsidRPr="00A8363A">
        <w:rPr>
          <w:rFonts w:cs="Times New Roman"/>
        </w:rPr>
        <w:t>th</w:t>
      </w:r>
      <w:r w:rsidR="00A8363A">
        <w:rPr>
          <w:rFonts w:cs="Times New Roman"/>
        </w:rPr>
        <w:t xml:space="preserve"> ed. </w:t>
      </w:r>
      <w:r w:rsidRPr="00732AB9">
        <w:rPr>
          <w:rFonts w:cs="Times New Roman"/>
        </w:rPr>
        <w:t>2010),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550;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McCamus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(2nd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2012),</w:t>
      </w:r>
      <w:r>
        <w:rPr>
          <w:rFonts w:cs="Times New Roman"/>
        </w:rPr>
        <w:t xml:space="preserve">  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835-38;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OLRC,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165;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Belobaba,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75-76;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O’Connor,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Good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Faith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English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(1990),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17-49;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Steyn,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Fulfilling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Men”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(1997),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113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Q.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433.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unfairly,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characterized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“piecemeal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solutions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demonstrated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problems”: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Interfoto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Picture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Library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Stiletto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Visual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lastRenderedPageBreak/>
        <w:t>Programmes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[1989]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Q.B.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433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(C.A.),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439,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per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Bingham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L.J.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was).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underlies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explicitly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unconscionability,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interpreting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difficulty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“piecemeal”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often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fails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consistent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similar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problems.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brief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current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landscape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Considerations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apparent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bargains,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unconscionability.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preventing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advantage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Fridman,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(6th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2011),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329-30;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Peden,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Trumps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Equity: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Demise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Unconscionability”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(2005),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21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J.C.L.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226;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Belobaba,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86;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Waddams,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Unconscionability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Expectations”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(1995),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</w:t>
      </w:r>
      <w:r>
        <w:rPr>
          <w:rFonts w:cs="Times New Roman"/>
        </w:rPr>
        <w:t xml:space="preserve"> </w:t>
      </w:r>
      <w:r w:rsidRPr="00A8363A">
        <w:rPr>
          <w:rFonts w:cs="Times New Roman"/>
          <w:i/>
        </w:rPr>
        <w:t>J.C.L.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55.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redress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imbalances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classes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landlord-lessee,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insurance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London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Drugs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Kuehne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&amp;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Nagel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International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[1992]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299,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457,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per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McLachlin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 w:rsidR="00A8363A">
        <w:rPr>
          <w:rFonts w:cs="Times New Roman"/>
        </w:rPr>
        <w:t xml:space="preserve"> (as she then was)</w:t>
      </w:r>
      <w:r w:rsidRPr="00732AB9">
        <w:rPr>
          <w:rFonts w:cs="Times New Roman"/>
        </w:rPr>
        <w:t>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Machtinger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HOJ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lastRenderedPageBreak/>
        <w:t>Industries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[1992]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986,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per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McLachlin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concurring.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implication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functionally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similar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civil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jurisdictions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filling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gaps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written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Chitty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 w:rsidRPr="00A8363A">
        <w:rPr>
          <w:rFonts w:cs="Times New Roman"/>
        </w:rPr>
        <w:t>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1-051.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Mesa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Operating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pooling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properties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purpose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determining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royalty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payments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Kerans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“[t]he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governs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therefore,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narrowly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speak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although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speak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22.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Many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Waddams,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499-506.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Considerations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apparent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interpretation: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Chitty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 w:rsidRPr="00A8363A">
        <w:rPr>
          <w:rFonts w:cs="Times New Roman"/>
        </w:rPr>
        <w:t xml:space="preserve">,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1-050;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Hall,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347.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primary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object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interpretation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time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formation.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process.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assumed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minimum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Further,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observed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Schuler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A.G.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Wickman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Machine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Tool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Sales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[1974]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A.C.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235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(H.L.),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251,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“[t]he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unlikely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it”.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Swan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Adamski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externally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inheres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relation”: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Canadian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(3rd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2012),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§§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8.134</w:t>
      </w:r>
      <w:r w:rsidR="00A8363A">
        <w:rPr>
          <w:rFonts w:cs="Times New Roman"/>
        </w:rPr>
        <w:t>-</w:t>
      </w:r>
      <w:r w:rsidRPr="00732AB9">
        <w:rPr>
          <w:rFonts w:cs="Times New Roman"/>
        </w:rPr>
        <w:t>8.146.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numerous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explicit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concept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hundreds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statutes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across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Canada,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statutory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franchise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legislation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bargaining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labour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O’Byrne,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Developments”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(1995),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74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C</w:t>
      </w:r>
      <w:r w:rsidRPr="00732AB9">
        <w:rPr>
          <w:rFonts w:cs="Times New Roman"/>
          <w:i/>
        </w:rPr>
        <w:t>an.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Bar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70,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71.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attempts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measure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coherence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piecemeal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accretion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among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McCamus,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835-68;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O’Byrne,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Developments”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(2007),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86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Can.</w:t>
      </w:r>
      <w:r>
        <w:rPr>
          <w:rFonts w:cs="Times New Roman"/>
          <w:i/>
        </w:rPr>
        <w:t xml:space="preserve"> </w:t>
      </w:r>
      <w:r w:rsidR="00AE5710">
        <w:rPr>
          <w:rFonts w:cs="Times New Roman"/>
          <w:i/>
        </w:rPr>
        <w:t>Bar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193,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196-204;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Waddams,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</w:t>
      </w:r>
      <w:r>
        <w:rPr>
          <w:rFonts w:cs="Times New Roman"/>
        </w:rPr>
        <w:t>s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494</w:t>
      </w:r>
      <w:r>
        <w:rPr>
          <w:rFonts w:cs="Times New Roman"/>
        </w:rPr>
        <w:t>-508</w:t>
      </w:r>
      <w:r w:rsidRPr="00732AB9">
        <w:rPr>
          <w:rFonts w:cs="Times New Roman"/>
        </w:rPr>
        <w:t>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Summers,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“‛Good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Sales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Codeˮ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(1968),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54</w:t>
      </w:r>
      <w:r>
        <w:rPr>
          <w:rFonts w:cs="Times New Roman"/>
        </w:rPr>
        <w:t xml:space="preserve"> </w:t>
      </w:r>
      <w:r w:rsidRPr="00AE5710">
        <w:rPr>
          <w:rFonts w:cs="Times New Roman"/>
          <w:i/>
        </w:rPr>
        <w:t>Va. L. Rev.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195;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Burton,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Faithˮ</w:t>
      </w:r>
      <w:r>
        <w:rPr>
          <w:rFonts w:cs="Times New Roman"/>
        </w:rPr>
        <w:t xml:space="preserve"> </w:t>
      </w:r>
      <w:r w:rsidR="002925BA">
        <w:rPr>
          <w:rFonts w:cs="Times New Roman"/>
        </w:rPr>
        <w:t>(1981</w:t>
      </w:r>
      <w:r w:rsidRPr="00732AB9">
        <w:rPr>
          <w:rFonts w:cs="Times New Roman"/>
        </w:rPr>
        <w:t>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94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Harv.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369.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Professor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McCamus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identified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kind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cooperate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achieve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objects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discretionary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(3)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seeks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duties</w:t>
      </w:r>
      <w:r>
        <w:rPr>
          <w:rFonts w:cs="Times New Roman"/>
        </w:rPr>
        <w:t xml:space="preserve"> (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840-56;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CivicLife.com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(Attorney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General)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(2006),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215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O.A.C.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49-50</w:t>
      </w:r>
      <w:r>
        <w:rPr>
          <w:rFonts w:cs="Times New Roman"/>
        </w:rPr>
        <w:t>)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overlap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extent,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useful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analytical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tool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appreciate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current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lack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coherence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current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often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unclear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implication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interpretation.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Professor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McCamus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notes:</w:t>
      </w:r>
    </w:p>
    <w:p w:rsidR="00733EEE" w:rsidRPr="00732AB9" w:rsidRDefault="00733EEE" w:rsidP="00733EEE">
      <w:pPr>
        <w:pStyle w:val="Citation-AltC"/>
      </w:pPr>
      <w:r w:rsidRPr="00732AB9">
        <w:t>Although</w:t>
      </w:r>
      <w:r>
        <w:t xml:space="preserve"> </w:t>
      </w:r>
      <w:r w:rsidRPr="00732AB9">
        <w:t>the</w:t>
      </w:r>
      <w:r>
        <w:t xml:space="preserve"> </w:t>
      </w:r>
      <w:r w:rsidRPr="00732AB9">
        <w:t>line</w:t>
      </w:r>
      <w:r>
        <w:t xml:space="preserve"> </w:t>
      </w:r>
      <w:r w:rsidRPr="00732AB9">
        <w:t>between</w:t>
      </w:r>
      <w:r>
        <w:t xml:space="preserve"> </w:t>
      </w:r>
      <w:r w:rsidRPr="00732AB9">
        <w:t>the</w:t>
      </w:r>
      <w:r>
        <w:t xml:space="preserve"> </w:t>
      </w:r>
      <w:r w:rsidRPr="00732AB9">
        <w:t>two</w:t>
      </w:r>
      <w:r>
        <w:t xml:space="preserve"> </w:t>
      </w:r>
      <w:r w:rsidRPr="00732AB9">
        <w:t>types</w:t>
      </w:r>
      <w:r>
        <w:t xml:space="preserve"> </w:t>
      </w:r>
      <w:r w:rsidRPr="00732AB9">
        <w:t>of</w:t>
      </w:r>
      <w:r>
        <w:t xml:space="preserve"> </w:t>
      </w:r>
      <w:r w:rsidRPr="00732AB9">
        <w:t>implication</w:t>
      </w:r>
      <w:r>
        <w:t xml:space="preserve"> </w:t>
      </w:r>
      <w:r w:rsidRPr="00732AB9">
        <w:t>is</w:t>
      </w:r>
      <w:r>
        <w:t xml:space="preserve"> </w:t>
      </w:r>
      <w:r w:rsidRPr="00732AB9">
        <w:t>difficult</w:t>
      </w:r>
      <w:r>
        <w:t xml:space="preserve"> </w:t>
      </w:r>
      <w:r w:rsidRPr="00732AB9">
        <w:t>to</w:t>
      </w:r>
      <w:r>
        <w:t xml:space="preserve"> </w:t>
      </w:r>
      <w:r w:rsidRPr="00732AB9">
        <w:t>draw,</w:t>
      </w:r>
      <w:r>
        <w:t xml:space="preserve"> </w:t>
      </w:r>
      <w:r w:rsidRPr="00732AB9">
        <w:t>it</w:t>
      </w:r>
      <w:r>
        <w:t xml:space="preserve"> </w:t>
      </w:r>
      <w:r w:rsidRPr="00732AB9">
        <w:t>may</w:t>
      </w:r>
      <w:r>
        <w:t xml:space="preserve"> </w:t>
      </w:r>
      <w:r w:rsidRPr="00732AB9">
        <w:t>be</w:t>
      </w:r>
      <w:r>
        <w:t xml:space="preserve"> </w:t>
      </w:r>
      <w:r w:rsidRPr="00732AB9">
        <w:t>realistic</w:t>
      </w:r>
      <w:r>
        <w:t xml:space="preserve"> </w:t>
      </w:r>
      <w:r w:rsidRPr="00732AB9">
        <w:t>to</w:t>
      </w:r>
      <w:r>
        <w:t xml:space="preserve"> </w:t>
      </w:r>
      <w:r w:rsidRPr="00732AB9">
        <w:t>assume</w:t>
      </w:r>
      <w:r>
        <w:t xml:space="preserve"> </w:t>
      </w:r>
      <w:r w:rsidRPr="00732AB9">
        <w:t>that</w:t>
      </w:r>
      <w:r>
        <w:t xml:space="preserve"> </w:t>
      </w:r>
      <w:r w:rsidRPr="00732AB9">
        <w:t>implied</w:t>
      </w:r>
      <w:r>
        <w:t xml:space="preserve"> </w:t>
      </w:r>
      <w:r w:rsidRPr="00732AB9">
        <w:t>duties</w:t>
      </w:r>
      <w:r>
        <w:t xml:space="preserve"> </w:t>
      </w:r>
      <w:r w:rsidRPr="00732AB9">
        <w:t>of</w:t>
      </w:r>
      <w:r>
        <w:t xml:space="preserve"> </w:t>
      </w:r>
      <w:r w:rsidRPr="00732AB9">
        <w:t>good</w:t>
      </w:r>
      <w:r>
        <w:t xml:space="preserve"> </w:t>
      </w:r>
      <w:r w:rsidRPr="00732AB9">
        <w:t>faith</w:t>
      </w:r>
      <w:r>
        <w:t xml:space="preserve"> </w:t>
      </w:r>
      <w:r w:rsidRPr="00732AB9">
        <w:t>are</w:t>
      </w:r>
      <w:r>
        <w:t xml:space="preserve"> </w:t>
      </w:r>
      <w:r w:rsidRPr="00732AB9">
        <w:t>likely,</w:t>
      </w:r>
      <w:r>
        <w:t xml:space="preserve"> </w:t>
      </w:r>
      <w:r w:rsidRPr="00732AB9">
        <w:t>on</w:t>
      </w:r>
      <w:r>
        <w:t xml:space="preserve"> </w:t>
      </w:r>
      <w:r w:rsidRPr="00732AB9">
        <w:t>occasion</w:t>
      </w:r>
      <w:r>
        <w:t xml:space="preserve"> </w:t>
      </w:r>
      <w:r w:rsidRPr="00732AB9">
        <w:t>at</w:t>
      </w:r>
      <w:r>
        <w:t xml:space="preserve"> </w:t>
      </w:r>
      <w:r w:rsidRPr="00732AB9">
        <w:t>least,</w:t>
      </w:r>
      <w:r>
        <w:t xml:space="preserve"> </w:t>
      </w:r>
      <w:r w:rsidRPr="00732AB9">
        <w:t>to</w:t>
      </w:r>
      <w:r>
        <w:t xml:space="preserve"> </w:t>
      </w:r>
      <w:r w:rsidRPr="00732AB9">
        <w:t>slide</w:t>
      </w:r>
      <w:r>
        <w:t xml:space="preserve"> </w:t>
      </w:r>
      <w:r w:rsidRPr="00732AB9">
        <w:t>into</w:t>
      </w:r>
      <w:r>
        <w:t xml:space="preserve"> </w:t>
      </w:r>
      <w:r w:rsidRPr="00732AB9">
        <w:t>the</w:t>
      </w:r>
      <w:r>
        <w:t xml:space="preserve"> </w:t>
      </w:r>
      <w:r w:rsidRPr="00732AB9">
        <w:t>category</w:t>
      </w:r>
      <w:r>
        <w:t xml:space="preserve"> </w:t>
      </w:r>
      <w:r w:rsidRPr="00732AB9">
        <w:t>of</w:t>
      </w:r>
      <w:r>
        <w:t xml:space="preserve"> </w:t>
      </w:r>
      <w:r w:rsidRPr="00732AB9">
        <w:t>legal</w:t>
      </w:r>
      <w:r>
        <w:t xml:space="preserve"> </w:t>
      </w:r>
      <w:r w:rsidRPr="00732AB9">
        <w:t>incidents</w:t>
      </w:r>
      <w:r>
        <w:t xml:space="preserve"> </w:t>
      </w:r>
      <w:r w:rsidRPr="00732AB9">
        <w:t>rather</w:t>
      </w:r>
      <w:r>
        <w:t xml:space="preserve"> </w:t>
      </w:r>
      <w:r w:rsidRPr="00732AB9">
        <w:t>than</w:t>
      </w:r>
      <w:r>
        <w:t xml:space="preserve"> </w:t>
      </w:r>
      <w:r w:rsidRPr="00732AB9">
        <w:t>mere</w:t>
      </w:r>
      <w:r>
        <w:t xml:space="preserve"> </w:t>
      </w:r>
      <w:r w:rsidRPr="00732AB9">
        <w:t>presumed</w:t>
      </w:r>
      <w:r>
        <w:t xml:space="preserve"> </w:t>
      </w:r>
      <w:r w:rsidRPr="00732AB9">
        <w:t>intentions.</w:t>
      </w:r>
      <w:r>
        <w:t xml:space="preserve"> </w:t>
      </w:r>
      <w:r w:rsidRPr="00732AB9">
        <w:t>Certainly,</w:t>
      </w:r>
      <w:r>
        <w:t xml:space="preserve"> </w:t>
      </w:r>
      <w:r w:rsidRPr="00732AB9">
        <w:t>it</w:t>
      </w:r>
      <w:r>
        <w:t xml:space="preserve"> </w:t>
      </w:r>
      <w:r w:rsidRPr="00732AB9">
        <w:t>would</w:t>
      </w:r>
      <w:r>
        <w:t xml:space="preserve"> </w:t>
      </w:r>
      <w:r w:rsidRPr="00732AB9">
        <w:t>be</w:t>
      </w:r>
      <w:r>
        <w:t xml:space="preserve"> </w:t>
      </w:r>
      <w:r w:rsidRPr="00732AB9">
        <w:t>difficult</w:t>
      </w:r>
      <w:r>
        <w:t xml:space="preserve"> </w:t>
      </w:r>
      <w:r w:rsidRPr="00732AB9">
        <w:t>to</w:t>
      </w:r>
      <w:r>
        <w:t xml:space="preserve"> </w:t>
      </w:r>
      <w:r w:rsidRPr="00732AB9">
        <w:t>defend</w:t>
      </w:r>
      <w:r>
        <w:t xml:space="preserve"> </w:t>
      </w:r>
      <w:r w:rsidRPr="00732AB9">
        <w:t>the</w:t>
      </w:r>
      <w:r>
        <w:t xml:space="preserve"> </w:t>
      </w:r>
      <w:r w:rsidRPr="00732AB9">
        <w:t>implication</w:t>
      </w:r>
      <w:r>
        <w:t xml:space="preserve"> </w:t>
      </w:r>
      <w:r w:rsidRPr="00732AB9">
        <w:t>of</w:t>
      </w:r>
      <w:r>
        <w:t xml:space="preserve"> </w:t>
      </w:r>
      <w:r w:rsidRPr="00732AB9">
        <w:t>terms</w:t>
      </w:r>
      <w:r>
        <w:t xml:space="preserve"> </w:t>
      </w:r>
      <w:r w:rsidRPr="00732AB9">
        <w:t>on</w:t>
      </w:r>
      <w:r>
        <w:t xml:space="preserve"> </w:t>
      </w:r>
      <w:r w:rsidRPr="00732AB9">
        <w:t>each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cases</w:t>
      </w:r>
      <w:r>
        <w:t xml:space="preserve"> </w:t>
      </w:r>
      <w:r w:rsidRPr="00732AB9">
        <w:t>considered</w:t>
      </w:r>
      <w:r>
        <w:t xml:space="preserve"> </w:t>
      </w:r>
      <w:r w:rsidRPr="00732AB9">
        <w:t>here</w:t>
      </w:r>
      <w:r>
        <w:t xml:space="preserve"> </w:t>
      </w:r>
      <w:r w:rsidRPr="00732AB9">
        <w:t>on</w:t>
      </w:r>
      <w:r>
        <w:t xml:space="preserve"> </w:t>
      </w:r>
      <w:r w:rsidRPr="00732AB9">
        <w:t>the</w:t>
      </w:r>
      <w:r>
        <w:t xml:space="preserve"> </w:t>
      </w:r>
      <w:r w:rsidRPr="00732AB9">
        <w:t>basis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traditional</w:t>
      </w:r>
      <w:r>
        <w:t xml:space="preserve"> </w:t>
      </w:r>
      <w:r w:rsidRPr="00732AB9">
        <w:t>business</w:t>
      </w:r>
      <w:r>
        <w:t xml:space="preserve"> </w:t>
      </w:r>
      <w:r w:rsidRPr="00732AB9">
        <w:t>efficiency</w:t>
      </w:r>
      <w:r>
        <w:t xml:space="preserve"> </w:t>
      </w:r>
      <w:r w:rsidRPr="00732AB9">
        <w:t>or</w:t>
      </w:r>
      <w:r>
        <w:t xml:space="preserve"> </w:t>
      </w:r>
      <w:r w:rsidRPr="00732AB9">
        <w:t>officious</w:t>
      </w:r>
      <w:r>
        <w:t xml:space="preserve"> </w:t>
      </w:r>
      <w:r w:rsidRPr="00732AB9">
        <w:t>bystander</w:t>
      </w:r>
      <w:r>
        <w:t xml:space="preserve"> </w:t>
      </w:r>
      <w:r w:rsidRPr="00732AB9">
        <w:t>test.</w:t>
      </w:r>
      <w:r>
        <w:t xml:space="preserve"> </w:t>
      </w:r>
      <w:r w:rsidRPr="00732AB9">
        <w:t>In</w:t>
      </w:r>
      <w:r>
        <w:t xml:space="preserve"> </w:t>
      </w:r>
      <w:r w:rsidRPr="00732AB9">
        <w:t>the</w:t>
      </w:r>
      <w:r>
        <w:t xml:space="preserve"> </w:t>
      </w:r>
      <w:r w:rsidRPr="00732AB9">
        <w:t>control</w:t>
      </w:r>
      <w:r>
        <w:t xml:space="preserve"> </w:t>
      </w:r>
      <w:r w:rsidRPr="00732AB9">
        <w:t>of</w:t>
      </w:r>
      <w:r>
        <w:t xml:space="preserve"> </w:t>
      </w:r>
      <w:r w:rsidRPr="00732AB9">
        <w:t>contractual</w:t>
      </w:r>
      <w:r>
        <w:t xml:space="preserve"> </w:t>
      </w:r>
      <w:r w:rsidRPr="00732AB9">
        <w:t>discretion</w:t>
      </w:r>
      <w:r>
        <w:t xml:space="preserve"> </w:t>
      </w:r>
      <w:r w:rsidRPr="00732AB9">
        <w:t>cases,</w:t>
      </w:r>
      <w:r>
        <w:t xml:space="preserve"> </w:t>
      </w:r>
      <w:r w:rsidRPr="00732AB9">
        <w:t>for</w:t>
      </w:r>
      <w:r>
        <w:t xml:space="preserve"> </w:t>
      </w:r>
      <w:r w:rsidRPr="00732AB9">
        <w:t>example,</w:t>
      </w:r>
      <w:r>
        <w:t xml:space="preserve"> </w:t>
      </w:r>
      <w:r w:rsidRPr="00732AB9">
        <w:t>it</w:t>
      </w:r>
      <w:r>
        <w:t xml:space="preserve"> </w:t>
      </w:r>
      <w:r w:rsidRPr="00732AB9">
        <w:t>may</w:t>
      </w:r>
      <w:r>
        <w:t xml:space="preserve"> </w:t>
      </w:r>
      <w:r w:rsidRPr="00732AB9">
        <w:t>be</w:t>
      </w:r>
      <w:r>
        <w:t xml:space="preserve"> </w:t>
      </w:r>
      <w:r w:rsidRPr="00732AB9">
        <w:t>more</w:t>
      </w:r>
      <w:r>
        <w:t xml:space="preserve"> </w:t>
      </w:r>
      <w:r w:rsidRPr="00732AB9">
        <w:t>realistic</w:t>
      </w:r>
      <w:r>
        <w:t xml:space="preserve"> </w:t>
      </w:r>
      <w:r w:rsidRPr="00732AB9">
        <w:t>to</w:t>
      </w:r>
      <w:r>
        <w:t xml:space="preserve"> </w:t>
      </w:r>
      <w:r w:rsidRPr="00732AB9">
        <w:t>suggest</w:t>
      </w:r>
      <w:r>
        <w:t xml:space="preserve"> </w:t>
      </w:r>
      <w:r w:rsidRPr="00732AB9">
        <w:t>that</w:t>
      </w:r>
      <w:r>
        <w:t xml:space="preserve"> </w:t>
      </w:r>
      <w:r w:rsidRPr="00732AB9">
        <w:t>the</w:t>
      </w:r>
      <w:r>
        <w:t xml:space="preserve"> </w:t>
      </w:r>
      <w:r w:rsidRPr="00732AB9">
        <w:t>implied</w:t>
      </w:r>
      <w:r>
        <w:t xml:space="preserve"> </w:t>
      </w:r>
      <w:r w:rsidRPr="00732AB9">
        <w:t>limitation</w:t>
      </w:r>
      <w:r>
        <w:t xml:space="preserve"> </w:t>
      </w:r>
      <w:r w:rsidRPr="00732AB9">
        <w:t>on</w:t>
      </w:r>
      <w:r>
        <w:t xml:space="preserve"> </w:t>
      </w:r>
      <w:r w:rsidRPr="00732AB9">
        <w:t>the</w:t>
      </w:r>
      <w:r>
        <w:t xml:space="preserve"> </w:t>
      </w:r>
      <w:r w:rsidRPr="00732AB9">
        <w:t>exercise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discretion</w:t>
      </w:r>
      <w:r>
        <w:t xml:space="preserve"> </w:t>
      </w:r>
      <w:r w:rsidRPr="00732AB9">
        <w:t>is</w:t>
      </w:r>
      <w:r>
        <w:t xml:space="preserve"> </w:t>
      </w:r>
      <w:r w:rsidRPr="00732AB9">
        <w:t>intended</w:t>
      </w:r>
      <w:r>
        <w:t xml:space="preserve"> </w:t>
      </w:r>
      <w:r w:rsidRPr="00732AB9">
        <w:t>to</w:t>
      </w:r>
      <w:r>
        <w:t xml:space="preserve"> </w:t>
      </w:r>
      <w:r w:rsidRPr="00732AB9">
        <w:t>give</w:t>
      </w:r>
      <w:r>
        <w:t xml:space="preserve"> </w:t>
      </w:r>
      <w:r w:rsidRPr="00732AB9">
        <w:t>effect</w:t>
      </w:r>
      <w:r>
        <w:t xml:space="preserve"> </w:t>
      </w:r>
      <w:r w:rsidRPr="00732AB9">
        <w:t>to</w:t>
      </w:r>
      <w:r>
        <w:t xml:space="preserve"> </w:t>
      </w:r>
      <w:r w:rsidRPr="00732AB9">
        <w:t>the</w:t>
      </w:r>
      <w:r>
        <w:t xml:space="preserve"> </w:t>
      </w:r>
      <w:r w:rsidRPr="00732AB9">
        <w:t>“reasonable</w:t>
      </w:r>
      <w:r>
        <w:t xml:space="preserve"> </w:t>
      </w:r>
      <w:r w:rsidRPr="00732AB9">
        <w:t>expectations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parties.ˮ</w:t>
      </w:r>
      <w:r>
        <w:t xml:space="preserve"> </w:t>
      </w:r>
      <w:r w:rsidRPr="00732AB9">
        <w:t>[pp.</w:t>
      </w:r>
      <w:r>
        <w:t xml:space="preserve"> </w:t>
      </w:r>
      <w:r w:rsidRPr="00732AB9">
        <w:t>865-66]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cooperation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achieve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objects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reflected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jurisprudence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Dynamic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Transport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O.K.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Detailing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[1978]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1072,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estate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transaction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purchase-sale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responsible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obtaining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planning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subdivision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property.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vendor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capable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obtaining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permission.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vendor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efforts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permission,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Dickson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="000165D8">
        <w:rPr>
          <w:rFonts w:cs="Times New Roman"/>
        </w:rPr>
        <w:t xml:space="preserve">(as he then was) </w:t>
      </w:r>
      <w:r w:rsidRPr="00732AB9">
        <w:rPr>
          <w:rFonts w:cs="Times New Roman"/>
        </w:rPr>
        <w:t>put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“[t]he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vendor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complete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sale”: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1084.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completely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1083;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Gateway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Realty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CivicLife.com</w:t>
      </w:r>
      <w:r w:rsidRPr="00732AB9">
        <w:rPr>
          <w:rFonts w:cs="Times New Roman"/>
        </w:rPr>
        <w:t>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  <w:i/>
        </w:rPr>
        <w:t>Mitsui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&amp;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(Canada)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Royal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Bank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[1995]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187,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second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(exercise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discretion).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helicopter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option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market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helicopter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established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Lessor”: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34,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“[c]learly,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lessor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position,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virtue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32,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offer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feel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appropriate.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determine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market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helicopters,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initially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option.”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discuss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suggested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absence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option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unenforceable,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implication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necessary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efficacy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Mason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Freedman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[1958]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483,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falls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arises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duty).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vendor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estate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transaction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regretted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bargain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sought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repudiate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convey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title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wife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dower.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issue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advantage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permitting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repudiate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transaction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“unable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unwilling”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remove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title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efforts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dower.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Judson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“enable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person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repudiate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himself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brought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capricious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arbitrary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repudiation”: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486.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contrary,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“[a]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vendor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seeks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advantage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capricious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arbitrary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manner”: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487.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jurisprudence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always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source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categories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arising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interpretation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sometimes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blurred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ignored,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lack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coherence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level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Apart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arises,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classes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="000165D8">
        <w:rPr>
          <w:rFonts w:cs="Times New Roman"/>
        </w:rPr>
        <w:t>C</w:t>
      </w:r>
      <w:r w:rsidRPr="00732AB9">
        <w:rPr>
          <w:rFonts w:cs="Times New Roman"/>
        </w:rPr>
        <w:t>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confirmed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Honda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Keays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[2008]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362.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diagnosed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chronic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fatigue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syndrome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frequently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absent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work.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Honda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grew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concerned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frequency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absences.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ordered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undergo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examination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chosen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doctor’s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absences,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discouraged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retaining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outside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counsel.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majority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governing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manner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termination.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engage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“unfair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being,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untruthful,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misleading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unduly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insensitive”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dismissing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employee: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57,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citing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Wallace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United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Grain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Growers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[1997]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701,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98.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extend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employer’s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undermine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determine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composition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workforce: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Wallace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76.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affirmed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insurer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insured’s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manner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investigates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assesses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Fidler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Sun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Life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Assurance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2006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[2006]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citing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702535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Ontario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Lloyd’s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London,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Non-Marine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Underwriters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(2000),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184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D.L.R.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(4th)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687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(Ont.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C.A.),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29.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support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award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punitive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damages: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Whiten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Pilot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Insurance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18,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[2002]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595.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reciprocal: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insurer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typically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vulnerable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insured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disclosing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material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insurance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policy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citing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Andrusiw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Aetna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Life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Insurance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(2001),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289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(Q.B.),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84-85,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per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Murray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J.).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sense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tendering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tenders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bids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submitted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tendering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process,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expense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incurred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submitting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bids: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Martel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Building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[2000]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860,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88;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M.J.B.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Enterprises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Defence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Construction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(1951)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[1999]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619;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Tercon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Contractors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British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Columbia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(Transportation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and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Highways)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[2010]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58-59;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McNeely,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Canadian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Competitive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Bidding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and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Procurement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(2010),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245-54.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Developments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Kingdom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Australia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point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enhanced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attention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mitigated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reluctance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embrace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stand-alone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received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increasing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prominence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English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despite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“traditional</w:t>
      </w:r>
      <w:r>
        <w:rPr>
          <w:rFonts w:cs="Times New Roman"/>
        </w:rPr>
        <w:t xml:space="preserve"> </w:t>
      </w:r>
      <w:r w:rsidR="00ED5640">
        <w:rPr>
          <w:rFonts w:cs="Times New Roman"/>
        </w:rPr>
        <w:t>. . 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hostility”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concept: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Yam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Seng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Pte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</w:t>
      </w:r>
      <w:r w:rsidRPr="00732AB9">
        <w:rPr>
          <w:rFonts w:cs="Times New Roman"/>
        </w:rPr>
        <w:t>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International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Trade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Corporation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[2013]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EWHC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111,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[2013]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AII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(Comm.)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1321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(Q.B.),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123,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McKendrick,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(9th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</w:t>
      </w:r>
      <w:r>
        <w:rPr>
          <w:rFonts w:cs="Times New Roman"/>
        </w:rPr>
        <w:t xml:space="preserve">. </w:t>
      </w:r>
      <w:r w:rsidRPr="00732AB9">
        <w:rPr>
          <w:rFonts w:cs="Times New Roman"/>
        </w:rPr>
        <w:t>2011)</w:t>
      </w:r>
      <w:r>
        <w:rPr>
          <w:rFonts w:cs="Times New Roman"/>
        </w:rPr>
        <w:t xml:space="preserve">,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pp. </w:t>
      </w:r>
      <w:r w:rsidRPr="00732AB9">
        <w:rPr>
          <w:rFonts w:cs="Times New Roman"/>
        </w:rPr>
        <w:t>221-22;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Chitty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1-039.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Yam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Seng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Leggatt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number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embodying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="000165D8">
        <w:rPr>
          <w:rFonts w:cs="Times New Roman"/>
        </w:rPr>
        <w:t>based 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presumed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according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traditional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131.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Leggatt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identified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number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duties,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fidelity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bargain,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cooperation,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135-50.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Leggatt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“[a]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paradigm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underlies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almost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essential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depends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critically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trust”: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135;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Campbell,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Ubiquity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‘Relational’</w:t>
      </w:r>
      <w:r>
        <w:rPr>
          <w:rFonts w:cs="Times New Roman"/>
        </w:rPr>
        <w:t xml:space="preserve"> </w:t>
      </w:r>
      <w:r w:rsidR="002925BA">
        <w:rPr>
          <w:rFonts w:cs="Times New Roman"/>
        </w:rPr>
        <w:t>Contract</w:t>
      </w:r>
      <w:r w:rsidRPr="00732AB9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(2014),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77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Mod.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475.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Yam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Seng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Mid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Essex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Hospital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Services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NHS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Trust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Compass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Group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UK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and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Ireland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[2013]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EWCA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Civ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(BAILII),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confirmed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English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categories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105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150.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Australian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moved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towards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greater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Cheshire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and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Fifoot’s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</w:t>
      </w:r>
      <w:r>
        <w:rPr>
          <w:rFonts w:cs="Times New Roman"/>
        </w:rPr>
        <w:t xml:space="preserve"> (</w:t>
      </w:r>
      <w:r w:rsidRPr="00732AB9">
        <w:rPr>
          <w:rFonts w:cs="Times New Roman"/>
        </w:rPr>
        <w:t>9th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Australian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2008)</w:t>
      </w:r>
      <w:r>
        <w:rPr>
          <w:rFonts w:cs="Times New Roman"/>
        </w:rPr>
        <w:t xml:space="preserve">,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="002925BA">
        <w:rPr>
          <w:rFonts w:cs="Times New Roman"/>
        </w:rPr>
        <w:t xml:space="preserve">paras. </w:t>
      </w:r>
      <w:r w:rsidRPr="00732AB9">
        <w:rPr>
          <w:rFonts w:cs="Times New Roman"/>
        </w:rPr>
        <w:t>10.43</w:t>
      </w:r>
      <w:r w:rsidR="002925BA">
        <w:rPr>
          <w:rFonts w:cs="Times New Roman"/>
        </w:rPr>
        <w:t>-</w:t>
      </w:r>
      <w:r w:rsidRPr="00732AB9">
        <w:rPr>
          <w:rFonts w:cs="Times New Roman"/>
        </w:rPr>
        <w:t>10.47.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modern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recognized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Priestley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Renard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Constructions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(ME)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Minister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for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Public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Works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(1992),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26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N.S.W.L.R.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234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(C.A.).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applicable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circumstances.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although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always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Australian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constitutes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e.g.,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Burger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King</w:t>
      </w:r>
      <w:r>
        <w:rPr>
          <w:rFonts w:cs="Times New Roman"/>
          <w:i/>
        </w:rPr>
        <w:t xml:space="preserve"> </w:t>
      </w:r>
      <w:r w:rsidR="002925BA">
        <w:rPr>
          <w:rFonts w:cs="Times New Roman"/>
          <w:i/>
        </w:rPr>
        <w:t>Corporation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Hungry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Jack’s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[2001]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NSWCA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187</w:t>
      </w:r>
      <w:r w:rsidR="002925BA">
        <w:rPr>
          <w:rFonts w:cs="Times New Roman"/>
        </w:rPr>
        <w:t xml:space="preserve">, 69 </w:t>
      </w:r>
      <w:r w:rsidR="002925BA" w:rsidRPr="005D0FC6">
        <w:rPr>
          <w:rFonts w:cs="Times New Roman"/>
        </w:rPr>
        <w:t>N.S.W.L.R.</w:t>
      </w:r>
      <w:r w:rsidR="002925BA">
        <w:rPr>
          <w:rFonts w:cs="Times New Roman"/>
        </w:rPr>
        <w:t xml:space="preserve"> 558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Australia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remains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unsettled: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Peden,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(2004),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42</w:t>
      </w:r>
      <w:r w:rsidR="002925BA">
        <w:rPr>
          <w:rFonts w:cs="Times New Roman"/>
        </w:rPr>
        <w:t xml:space="preserve"> </w:t>
      </w:r>
      <w:r w:rsidRPr="00732AB9">
        <w:rPr>
          <w:rFonts w:cs="Times New Roman"/>
          <w:i/>
        </w:rPr>
        <w:t>L.S.J.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64,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64.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adherence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Mason,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Equitable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(2000),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116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Law Q</w:t>
      </w:r>
      <w:r w:rsidRPr="00732AB9">
        <w:rPr>
          <w:rFonts w:cs="Times New Roman"/>
          <w:i/>
        </w:rPr>
        <w:t>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66,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p. </w:t>
      </w:r>
      <w:r w:rsidRPr="00732AB9">
        <w:rPr>
          <w:rFonts w:cs="Times New Roman"/>
        </w:rPr>
        <w:t>76;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Burger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King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171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189.</w:t>
      </w:r>
    </w:p>
    <w:p w:rsidR="00733EEE" w:rsidRPr="00732AB9" w:rsidRDefault="00733EEE" w:rsidP="0003192E">
      <w:pPr>
        <w:pStyle w:val="Title5LevelTitre5Niveau"/>
        <w:tabs>
          <w:tab w:val="clear" w:pos="1620"/>
          <w:tab w:val="left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Forward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selective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survey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supports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piecemeal,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unsettled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unclear: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Belobaba;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O’Byrne,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 w:rsidR="007215E4">
        <w:rPr>
          <w:rFonts w:cs="Times New Roman"/>
        </w:rPr>
        <w:t>: Recent Developments</w:t>
      </w:r>
      <w:r w:rsidRPr="00732AB9">
        <w:rPr>
          <w:rFonts w:cs="Times New Roman"/>
        </w:rPr>
        <w:t>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95;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Reiter,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Contractsˮ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(1983),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17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Val.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U.L.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705,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711-12.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shows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Canada,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Kingdom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Australia,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increasing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attention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Opponents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prefer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traditional,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solutions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address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problems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arise: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e.g.,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Bridge,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Anglo-Canadian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Faith?”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(1984),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Can.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Bus.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L.J.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385;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Clark,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(1993),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14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Advocates’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Q.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435,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436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440.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foreclosing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incremental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level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beyond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prudent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caution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evidence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almost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“perverted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pride”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—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Swan’s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 w:rsidR="007215E4">
        <w:rPr>
          <w:rFonts w:cs="Times New Roman"/>
        </w:rPr>
        <w:t>, at p. 148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—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failings.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level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remain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length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subject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fiduciary,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level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necessary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functioning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growth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longer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depend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element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cooperation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element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transactional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exchanges,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misleading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deceitful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Swan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Adamski,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§1.24.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partners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American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Association’s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Corporation,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Banking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urged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adoption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original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drafting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(“U.C.C.ˮ):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Farnsworth,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Codeˮ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(1963),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30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U.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Chicago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666,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673.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Moreover,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empirical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research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suggests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themselves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e.g.,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Macaulay,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“Non-contractual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Preliminary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Study”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(1963),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28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Am.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Soc.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58;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Beale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Dugdale,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Between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Businessmen: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Planning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Remedies”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(1975),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Brit.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J.</w:t>
      </w:r>
      <w:r>
        <w:rPr>
          <w:rFonts w:cs="Times New Roman"/>
          <w:i/>
        </w:rPr>
        <w:t xml:space="preserve"> </w:t>
      </w:r>
      <w:r w:rsidR="00396CE0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&amp;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Soc.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47-48;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Macaulay,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Empirical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[1985]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Wis.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465;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Goldwasser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Ciro,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“Standards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Behaviour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(2002),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30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A.B.L.R.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369,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372-77.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least,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counterintuitive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think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accept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contained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enunciating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coherence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consistent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expectations.</w:t>
      </w:r>
    </w:p>
    <w:p w:rsidR="00733EEE" w:rsidRPr="00732AB9" w:rsidRDefault="00733EEE" w:rsidP="0003192E">
      <w:pPr>
        <w:pStyle w:val="Title5LevelTitre5Niveau"/>
        <w:tabs>
          <w:tab w:val="clear" w:pos="1620"/>
          <w:tab w:val="left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Towards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underlies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manifests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itself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various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governing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simply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capriciously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arbitrarily.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justice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derived.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free-standing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underpins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manifested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different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different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e.g.,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R.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Jones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[1994]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229,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249;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R.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Hart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52</w:t>
      </w:r>
      <w:r>
        <w:rPr>
          <w:rFonts w:cs="Times New Roman"/>
        </w:rPr>
        <w:t>, [2014] 2 S.C</w:t>
      </w:r>
      <w:r w:rsidRPr="00732AB9">
        <w:rPr>
          <w:rFonts w:cs="Times New Roman"/>
        </w:rPr>
        <w:t>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544,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124;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Dworkin,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System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Rules?”,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Dworkin,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ed.,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Philosophy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(1977),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38,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47.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understand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coherent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way.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exemplifies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carrying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own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appropriate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regard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legitimate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partner.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“appropriate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regard”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depending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serve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undermine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strong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conceptual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differences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higher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fiduciary.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Unlike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fiduciary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duties,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engage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loyalty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first.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manifests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itself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candid,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forthright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performance.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succeed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closed.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application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wanting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occur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incrementally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consistent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structure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importance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private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ordering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affairs.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consistent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unjust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enrichment.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McLachlin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outlined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Peel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(Regional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Municipality)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[1992]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762,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786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788:</w:t>
      </w:r>
    </w:p>
    <w:p w:rsidR="00733EEE" w:rsidRPr="00732AB9" w:rsidRDefault="00733EEE" w:rsidP="00733EEE">
      <w:pPr>
        <w:pStyle w:val="Citation-AltC"/>
      </w:pPr>
      <w:r w:rsidRPr="00732AB9">
        <w:tab/>
        <w:t>This</w:t>
      </w:r>
      <w:r>
        <w:t xml:space="preserve"> </w:t>
      </w:r>
      <w:r w:rsidRPr="00732AB9">
        <w:t>case</w:t>
      </w:r>
      <w:r>
        <w:t xml:space="preserve"> </w:t>
      </w:r>
      <w:r w:rsidRPr="00732AB9">
        <w:t>presents</w:t>
      </w:r>
      <w:r>
        <w:t xml:space="preserve"> </w:t>
      </w:r>
      <w:r w:rsidRPr="00732AB9">
        <w:t>the</w:t>
      </w:r>
      <w:r>
        <w:t xml:space="preserve"> </w:t>
      </w:r>
      <w:r w:rsidRPr="00732AB9">
        <w:t>Court</w:t>
      </w:r>
      <w:r>
        <w:t xml:space="preserve"> </w:t>
      </w:r>
      <w:r w:rsidRPr="00732AB9">
        <w:t>with</w:t>
      </w:r>
      <w:r>
        <w:t xml:space="preserve"> </w:t>
      </w:r>
      <w:r w:rsidRPr="00732AB9">
        <w:t>the</w:t>
      </w:r>
      <w:r>
        <w:t xml:space="preserve"> </w:t>
      </w:r>
      <w:r w:rsidRPr="00732AB9">
        <w:t>difficult</w:t>
      </w:r>
      <w:r>
        <w:t xml:space="preserve"> </w:t>
      </w:r>
      <w:r w:rsidRPr="00732AB9">
        <w:t>task</w:t>
      </w:r>
      <w:r>
        <w:t xml:space="preserve"> </w:t>
      </w:r>
      <w:r w:rsidRPr="00732AB9">
        <w:t>of</w:t>
      </w:r>
      <w:r>
        <w:t xml:space="preserve"> </w:t>
      </w:r>
      <w:r w:rsidRPr="00732AB9">
        <w:t>mediating</w:t>
      </w:r>
      <w:r>
        <w:t xml:space="preserve"> </w:t>
      </w:r>
      <w:r w:rsidRPr="00732AB9">
        <w:t>between,</w:t>
      </w:r>
      <w:r>
        <w:t xml:space="preserve"> </w:t>
      </w:r>
      <w:r w:rsidRPr="00732AB9">
        <w:t>if</w:t>
      </w:r>
      <w:r>
        <w:t xml:space="preserve"> </w:t>
      </w:r>
      <w:r w:rsidRPr="00732AB9">
        <w:t>not</w:t>
      </w:r>
      <w:r>
        <w:t xml:space="preserve"> </w:t>
      </w:r>
      <w:r w:rsidRPr="00732AB9">
        <w:t>resolving,</w:t>
      </w:r>
      <w:r>
        <w:t xml:space="preserve"> </w:t>
      </w:r>
      <w:r w:rsidRPr="00732AB9">
        <w:t>the</w:t>
      </w:r>
      <w:r>
        <w:t xml:space="preserve"> </w:t>
      </w:r>
      <w:r w:rsidRPr="00732AB9">
        <w:t>conflicting</w:t>
      </w:r>
      <w:r>
        <w:t xml:space="preserve"> </w:t>
      </w:r>
      <w:r w:rsidRPr="00732AB9">
        <w:t>views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proper</w:t>
      </w:r>
      <w:r>
        <w:t xml:space="preserve"> </w:t>
      </w:r>
      <w:r w:rsidRPr="00732AB9">
        <w:t>scope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doctrine</w:t>
      </w:r>
      <w:r>
        <w:t xml:space="preserve"> </w:t>
      </w:r>
      <w:r w:rsidRPr="00732AB9">
        <w:t>of</w:t>
      </w:r>
      <w:r>
        <w:t xml:space="preserve"> </w:t>
      </w:r>
      <w:r w:rsidRPr="00732AB9">
        <w:t>unjust</w:t>
      </w:r>
      <w:r>
        <w:t xml:space="preserve"> </w:t>
      </w:r>
      <w:r w:rsidRPr="00732AB9">
        <w:t>enrichment.</w:t>
      </w:r>
      <w:r>
        <w:t xml:space="preserve"> </w:t>
      </w:r>
      <w:r w:rsidRPr="00732AB9">
        <w:t>It</w:t>
      </w:r>
      <w:r>
        <w:t xml:space="preserve"> </w:t>
      </w:r>
      <w:r w:rsidRPr="00732AB9">
        <w:t>is</w:t>
      </w:r>
      <w:r>
        <w:t xml:space="preserve"> </w:t>
      </w:r>
      <w:r w:rsidRPr="00732AB9">
        <w:t>my</w:t>
      </w:r>
      <w:r>
        <w:t xml:space="preserve"> </w:t>
      </w:r>
      <w:r w:rsidRPr="00732AB9">
        <w:t>conclusion</w:t>
      </w:r>
      <w:r>
        <w:t xml:space="preserve"> </w:t>
      </w:r>
      <w:r w:rsidRPr="00732AB9">
        <w:t>that</w:t>
      </w:r>
      <w:r>
        <w:t xml:space="preserve"> </w:t>
      </w:r>
      <w:r w:rsidRPr="00732AB9">
        <w:t>we</w:t>
      </w:r>
      <w:r>
        <w:t xml:space="preserve"> </w:t>
      </w:r>
      <w:r w:rsidRPr="00732AB9">
        <w:t>must</w:t>
      </w:r>
      <w:r>
        <w:t xml:space="preserve"> </w:t>
      </w:r>
      <w:r w:rsidRPr="00732AB9">
        <w:t>choose</w:t>
      </w:r>
      <w:r>
        <w:t xml:space="preserve"> </w:t>
      </w:r>
      <w:r w:rsidRPr="00732AB9">
        <w:t>a</w:t>
      </w:r>
      <w:r>
        <w:t xml:space="preserve"> </w:t>
      </w:r>
      <w:r w:rsidRPr="00732AB9">
        <w:t>middle</w:t>
      </w:r>
      <w:r>
        <w:t xml:space="preserve"> </w:t>
      </w:r>
      <w:r w:rsidRPr="00732AB9">
        <w:t>path;</w:t>
      </w:r>
      <w:r>
        <w:t xml:space="preserve"> </w:t>
      </w:r>
      <w:r w:rsidRPr="00732AB9">
        <w:t>one</w:t>
      </w:r>
      <w:r>
        <w:t xml:space="preserve"> </w:t>
      </w:r>
      <w:r w:rsidRPr="00732AB9">
        <w:t>which</w:t>
      </w:r>
      <w:r>
        <w:t xml:space="preserve"> </w:t>
      </w:r>
      <w:r w:rsidRPr="00732AB9">
        <w:t>acknowledges</w:t>
      </w:r>
      <w:r>
        <w:t xml:space="preserve"> </w:t>
      </w:r>
      <w:r w:rsidRPr="00732AB9">
        <w:t>the</w:t>
      </w:r>
      <w:r>
        <w:t xml:space="preserve"> </w:t>
      </w:r>
      <w:r w:rsidRPr="00732AB9">
        <w:t>importance</w:t>
      </w:r>
      <w:r>
        <w:t xml:space="preserve"> </w:t>
      </w:r>
      <w:r w:rsidRPr="00732AB9">
        <w:t>of</w:t>
      </w:r>
      <w:r>
        <w:t xml:space="preserve"> </w:t>
      </w:r>
      <w:r w:rsidRPr="00732AB9">
        <w:t>proceeding</w:t>
      </w:r>
      <w:r>
        <w:t xml:space="preserve"> </w:t>
      </w:r>
      <w:r w:rsidRPr="00732AB9">
        <w:t>on</w:t>
      </w:r>
      <w:r>
        <w:t xml:space="preserve"> </w:t>
      </w:r>
      <w:r w:rsidRPr="00732AB9">
        <w:t>general</w:t>
      </w:r>
      <w:r>
        <w:t xml:space="preserve"> </w:t>
      </w:r>
      <w:r w:rsidRPr="00732AB9">
        <w:t>principles</w:t>
      </w:r>
      <w:r>
        <w:t xml:space="preserve"> </w:t>
      </w:r>
      <w:r w:rsidRPr="00732AB9">
        <w:t>but</w:t>
      </w:r>
      <w:r>
        <w:t xml:space="preserve"> </w:t>
      </w:r>
      <w:r w:rsidRPr="00732AB9">
        <w:t>seeks</w:t>
      </w:r>
      <w:r>
        <w:t xml:space="preserve"> </w:t>
      </w:r>
      <w:r w:rsidRPr="00732AB9">
        <w:t>to</w:t>
      </w:r>
      <w:r>
        <w:t xml:space="preserve"> </w:t>
      </w:r>
      <w:r w:rsidRPr="00732AB9">
        <w:t>reconcile</w:t>
      </w:r>
      <w:r>
        <w:t xml:space="preserve"> </w:t>
      </w:r>
      <w:r w:rsidRPr="00732AB9">
        <w:t>the</w:t>
      </w:r>
      <w:r>
        <w:t xml:space="preserve"> </w:t>
      </w:r>
      <w:r w:rsidRPr="00732AB9">
        <w:t>principles</w:t>
      </w:r>
      <w:r>
        <w:t xml:space="preserve"> </w:t>
      </w:r>
      <w:r w:rsidRPr="00732AB9">
        <w:t>with</w:t>
      </w:r>
      <w:r>
        <w:t xml:space="preserve"> </w:t>
      </w:r>
      <w:r w:rsidRPr="00732AB9">
        <w:t>the</w:t>
      </w:r>
      <w:r>
        <w:t xml:space="preserve"> </w:t>
      </w:r>
      <w:r w:rsidRPr="00732AB9">
        <w:t>established</w:t>
      </w:r>
      <w:r>
        <w:t xml:space="preserve"> </w:t>
      </w:r>
      <w:r w:rsidRPr="00732AB9">
        <w:t>categories</w:t>
      </w:r>
      <w:r>
        <w:t xml:space="preserve"> </w:t>
      </w:r>
      <w:r w:rsidRPr="00732AB9">
        <w:t>of</w:t>
      </w:r>
      <w:r>
        <w:t xml:space="preserve"> </w:t>
      </w:r>
      <w:r w:rsidRPr="00732AB9">
        <w:t>recovery</w:t>
      </w:r>
      <w:r>
        <w:t xml:space="preserve"> </w:t>
      </w:r>
      <w:r w:rsidR="00ED5640">
        <w:t>. . . .</w:t>
      </w:r>
    </w:p>
    <w:p w:rsidR="00733EEE" w:rsidRPr="00732AB9" w:rsidRDefault="00733EEE" w:rsidP="00733EEE">
      <w:pPr>
        <w:pStyle w:val="Citation-AltC"/>
      </w:pPr>
    </w:p>
    <w:p w:rsidR="00733EEE" w:rsidRPr="00732AB9" w:rsidRDefault="00ED5640" w:rsidP="00733EEE">
      <w:pPr>
        <w:pStyle w:val="Citation-AltC"/>
        <w:jc w:val="center"/>
      </w:pPr>
      <w:r>
        <w:t>. . .</w:t>
      </w:r>
      <w:r w:rsidR="00733EEE">
        <w:t xml:space="preserve"> </w:t>
      </w:r>
    </w:p>
    <w:p w:rsidR="00733EEE" w:rsidRPr="00732AB9" w:rsidRDefault="00733EEE" w:rsidP="00733EEE">
      <w:pPr>
        <w:pStyle w:val="Citation-AltC"/>
      </w:pPr>
    </w:p>
    <w:p w:rsidR="00733EEE" w:rsidRPr="00732AB9" w:rsidRDefault="00733EEE" w:rsidP="00733EEE">
      <w:pPr>
        <w:pStyle w:val="Citation-AltC"/>
        <w:ind w:firstLine="274"/>
      </w:pPr>
      <w:r w:rsidRPr="00732AB9">
        <w:t>The</w:t>
      </w:r>
      <w:r>
        <w:t xml:space="preserve"> </w:t>
      </w:r>
      <w:r w:rsidRPr="00732AB9">
        <w:t>tri-partite</w:t>
      </w:r>
      <w:r>
        <w:t xml:space="preserve"> </w:t>
      </w:r>
      <w:r w:rsidRPr="00732AB9">
        <w:t>principle</w:t>
      </w:r>
      <w:r>
        <w:t xml:space="preserve"> </w:t>
      </w:r>
      <w:r w:rsidRPr="00732AB9">
        <w:t>of</w:t>
      </w:r>
      <w:r>
        <w:t xml:space="preserve"> </w:t>
      </w:r>
      <w:r w:rsidRPr="00732AB9">
        <w:t>general</w:t>
      </w:r>
      <w:r>
        <w:t xml:space="preserve"> </w:t>
      </w:r>
      <w:r w:rsidRPr="00732AB9">
        <w:t>application</w:t>
      </w:r>
      <w:r>
        <w:t xml:space="preserve"> </w:t>
      </w:r>
      <w:r w:rsidRPr="00732AB9">
        <w:t>which</w:t>
      </w:r>
      <w:r>
        <w:t xml:space="preserve"> </w:t>
      </w:r>
      <w:r w:rsidRPr="00732AB9">
        <w:t>this</w:t>
      </w:r>
      <w:r>
        <w:t xml:space="preserve"> </w:t>
      </w:r>
      <w:r w:rsidRPr="00732AB9">
        <w:t>Court</w:t>
      </w:r>
      <w:r>
        <w:t xml:space="preserve"> </w:t>
      </w:r>
      <w:r w:rsidRPr="00732AB9">
        <w:t>has</w:t>
      </w:r>
      <w:r>
        <w:t xml:space="preserve"> </w:t>
      </w:r>
      <w:r w:rsidRPr="00732AB9">
        <w:t>recognized</w:t>
      </w:r>
      <w:r>
        <w:t xml:space="preserve"> </w:t>
      </w:r>
      <w:r w:rsidRPr="00732AB9">
        <w:t>as</w:t>
      </w:r>
      <w:r>
        <w:t xml:space="preserve"> </w:t>
      </w:r>
      <w:r w:rsidRPr="00732AB9">
        <w:t>the</w:t>
      </w:r>
      <w:r>
        <w:t xml:space="preserve"> </w:t>
      </w:r>
      <w:r w:rsidRPr="00732AB9">
        <w:t>basis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cause</w:t>
      </w:r>
      <w:r>
        <w:t xml:space="preserve"> </w:t>
      </w:r>
      <w:r w:rsidRPr="00732AB9">
        <w:t>of</w:t>
      </w:r>
      <w:r>
        <w:t xml:space="preserve"> </w:t>
      </w:r>
      <w:r w:rsidRPr="00732AB9">
        <w:t>action</w:t>
      </w:r>
      <w:r>
        <w:t xml:space="preserve"> </w:t>
      </w:r>
      <w:r w:rsidRPr="00732AB9">
        <w:t>for</w:t>
      </w:r>
      <w:r>
        <w:t xml:space="preserve"> </w:t>
      </w:r>
      <w:r w:rsidRPr="00732AB9">
        <w:t>unjust</w:t>
      </w:r>
      <w:r>
        <w:t xml:space="preserve"> </w:t>
      </w:r>
      <w:r w:rsidRPr="00732AB9">
        <w:t>enrichment</w:t>
      </w:r>
      <w:r>
        <w:t xml:space="preserve"> </w:t>
      </w:r>
      <w:r w:rsidRPr="00732AB9">
        <w:t>is</w:t>
      </w:r>
      <w:r>
        <w:t xml:space="preserve"> </w:t>
      </w:r>
      <w:r w:rsidRPr="00732AB9">
        <w:t>thus</w:t>
      </w:r>
      <w:r>
        <w:t xml:space="preserve"> </w:t>
      </w:r>
      <w:r w:rsidRPr="00732AB9">
        <w:t>seen</w:t>
      </w:r>
      <w:r>
        <w:t xml:space="preserve"> </w:t>
      </w:r>
      <w:r w:rsidRPr="00732AB9">
        <w:t>to</w:t>
      </w:r>
      <w:r>
        <w:t xml:space="preserve"> </w:t>
      </w:r>
      <w:r w:rsidRPr="00732AB9">
        <w:t>have</w:t>
      </w:r>
      <w:r>
        <w:t xml:space="preserve"> </w:t>
      </w:r>
      <w:r w:rsidRPr="00732AB9">
        <w:t>grown</w:t>
      </w:r>
      <w:r>
        <w:t xml:space="preserve"> </w:t>
      </w:r>
      <w:r w:rsidRPr="00732AB9">
        <w:t>out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traditional</w:t>
      </w:r>
      <w:r>
        <w:t xml:space="preserve"> </w:t>
      </w:r>
      <w:r w:rsidRPr="00732AB9">
        <w:t>categories</w:t>
      </w:r>
      <w:r>
        <w:t xml:space="preserve"> </w:t>
      </w:r>
      <w:r w:rsidRPr="00732AB9">
        <w:t>of</w:t>
      </w:r>
      <w:r>
        <w:t xml:space="preserve"> </w:t>
      </w:r>
      <w:r w:rsidRPr="00732AB9">
        <w:t>recovery.</w:t>
      </w:r>
      <w:r>
        <w:t xml:space="preserve"> </w:t>
      </w:r>
      <w:r w:rsidRPr="00732AB9">
        <w:t>It</w:t>
      </w:r>
      <w:r>
        <w:t xml:space="preserve"> </w:t>
      </w:r>
      <w:r w:rsidRPr="00732AB9">
        <w:t>is</w:t>
      </w:r>
      <w:r>
        <w:t xml:space="preserve"> </w:t>
      </w:r>
      <w:r w:rsidRPr="00732AB9">
        <w:t>informed</w:t>
      </w:r>
      <w:r>
        <w:t xml:space="preserve"> </w:t>
      </w:r>
      <w:r w:rsidRPr="00732AB9">
        <w:t>by</w:t>
      </w:r>
      <w:r>
        <w:t xml:space="preserve"> </w:t>
      </w:r>
      <w:r w:rsidRPr="00732AB9">
        <w:t>them.</w:t>
      </w:r>
      <w:r>
        <w:t xml:space="preserve"> </w:t>
      </w:r>
      <w:r w:rsidRPr="00732AB9">
        <w:t>It</w:t>
      </w:r>
      <w:r>
        <w:t xml:space="preserve"> </w:t>
      </w:r>
      <w:r w:rsidRPr="00732AB9">
        <w:t>is</w:t>
      </w:r>
      <w:r>
        <w:t xml:space="preserve"> </w:t>
      </w:r>
      <w:r w:rsidRPr="00732AB9">
        <w:t>capable,</w:t>
      </w:r>
      <w:r>
        <w:t xml:space="preserve"> </w:t>
      </w:r>
      <w:r w:rsidRPr="00732AB9">
        <w:t>however,</w:t>
      </w:r>
      <w:r>
        <w:t xml:space="preserve"> </w:t>
      </w:r>
      <w:r w:rsidRPr="00732AB9">
        <w:t>of</w:t>
      </w:r>
      <w:r>
        <w:t xml:space="preserve"> </w:t>
      </w:r>
      <w:r w:rsidRPr="00732AB9">
        <w:t>going</w:t>
      </w:r>
      <w:r>
        <w:t xml:space="preserve"> </w:t>
      </w:r>
      <w:r w:rsidRPr="00732AB9">
        <w:t>beyond</w:t>
      </w:r>
      <w:r>
        <w:t xml:space="preserve"> </w:t>
      </w:r>
      <w:r w:rsidRPr="00732AB9">
        <w:t>them,</w:t>
      </w:r>
      <w:r>
        <w:t xml:space="preserve"> </w:t>
      </w:r>
      <w:r w:rsidRPr="00732AB9">
        <w:t>allowing</w:t>
      </w:r>
      <w:r>
        <w:t xml:space="preserve"> </w:t>
      </w:r>
      <w:r w:rsidRPr="00732AB9">
        <w:t>the</w:t>
      </w:r>
      <w:r>
        <w:t xml:space="preserve"> </w:t>
      </w:r>
      <w:r w:rsidRPr="00732AB9">
        <w:t>law</w:t>
      </w:r>
      <w:r>
        <w:t xml:space="preserve"> </w:t>
      </w:r>
      <w:r w:rsidRPr="00732AB9">
        <w:t>to</w:t>
      </w:r>
      <w:r>
        <w:t xml:space="preserve"> </w:t>
      </w:r>
      <w:r w:rsidRPr="00732AB9">
        <w:t>develop</w:t>
      </w:r>
      <w:r>
        <w:t xml:space="preserve"> </w:t>
      </w:r>
      <w:r w:rsidRPr="00732AB9">
        <w:t>in</w:t>
      </w:r>
      <w:r>
        <w:t xml:space="preserve"> </w:t>
      </w:r>
      <w:r w:rsidRPr="00732AB9">
        <w:t>a</w:t>
      </w:r>
      <w:r>
        <w:t xml:space="preserve"> </w:t>
      </w:r>
      <w:r w:rsidRPr="00732AB9">
        <w:t>flexible</w:t>
      </w:r>
      <w:r>
        <w:t xml:space="preserve"> </w:t>
      </w:r>
      <w:r w:rsidRPr="00732AB9">
        <w:t>way</w:t>
      </w:r>
      <w:r>
        <w:t xml:space="preserve"> </w:t>
      </w:r>
      <w:r w:rsidRPr="00732AB9">
        <w:t>as</w:t>
      </w:r>
      <w:r>
        <w:t xml:space="preserve"> </w:t>
      </w:r>
      <w:r w:rsidRPr="00732AB9">
        <w:t>required</w:t>
      </w:r>
      <w:r>
        <w:t xml:space="preserve"> </w:t>
      </w:r>
      <w:r w:rsidRPr="00732AB9">
        <w:t>to</w:t>
      </w:r>
      <w:r>
        <w:t xml:space="preserve"> </w:t>
      </w:r>
      <w:r w:rsidRPr="00732AB9">
        <w:t>meet</w:t>
      </w:r>
      <w:r>
        <w:t xml:space="preserve"> </w:t>
      </w:r>
      <w:r w:rsidRPr="00732AB9">
        <w:t>changing</w:t>
      </w:r>
      <w:r>
        <w:t xml:space="preserve"> </w:t>
      </w:r>
      <w:r w:rsidRPr="00732AB9">
        <w:t>perceptions</w:t>
      </w:r>
      <w:r>
        <w:t xml:space="preserve"> </w:t>
      </w:r>
      <w:r w:rsidRPr="00732AB9">
        <w:t>of</w:t>
      </w:r>
      <w:r>
        <w:t xml:space="preserve"> </w:t>
      </w:r>
      <w:r w:rsidRPr="00732AB9">
        <w:t>justice.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flexible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Peel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“[a]t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heart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unjust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enrichment,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traditional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categories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recovery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restoration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benefit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justice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retain”: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788.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further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application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displacing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doctrines.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regards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overarching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accepting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primary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guide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future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appropriate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invoked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widely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varying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calls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highly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context-specific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understanding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appropriate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legitimate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likely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different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implications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long-term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cooperation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transactional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exchange: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Swan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Adamski,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§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1.24;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Dixon,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Australian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—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recipe”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(2005),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33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A.B.L.R.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87.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manner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consistent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fundamental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commitments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places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great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freedom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pursue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individual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self-interest.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sometimes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—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—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legitimate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pursuit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economic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self-interest: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A.I.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Enterprises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Bram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Enterprises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12,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[2014]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177,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necessarily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actually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encouraged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economic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efficiency: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Bank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America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Mutual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Trust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[2002]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601,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hoc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judicial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moralism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“palm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treeˮ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justice.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pretext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scrutinizing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motives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mitigates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concern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undermine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strikes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correct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balance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between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predictability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flexibility.</w:t>
      </w:r>
    </w:p>
    <w:p w:rsidR="00733EEE" w:rsidRPr="00732AB9" w:rsidRDefault="00733EEE" w:rsidP="0003192E">
      <w:pPr>
        <w:pStyle w:val="Title5LevelTitre5Niveau"/>
        <w:tabs>
          <w:tab w:val="clear" w:pos="1620"/>
          <w:tab w:val="left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Duty?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objection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between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franchise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relationship.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Classifying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discretion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constitute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significant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expansion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After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almost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always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amount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discretion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difficult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entire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question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therefore,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create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umbrella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simply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otherwise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knowingly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mislead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linked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loyalty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disclosure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forego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advantages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flowing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mislead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flowing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modest,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incremental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widely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aspects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Swan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Adamski,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§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8.135;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O’Byrne,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 w:rsidR="00AF62AF">
        <w:rPr>
          <w:rFonts w:cs="Times New Roman"/>
        </w:rPr>
        <w:t>: Recent Developments</w:t>
      </w:r>
      <w:r w:rsidRPr="00732AB9">
        <w:rPr>
          <w:rFonts w:cs="Times New Roman"/>
        </w:rPr>
        <w:t>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78;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Belobaba;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Greenberg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Meffert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(1985),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O.R</w:t>
      </w:r>
      <w:r w:rsidR="003639C4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(2d)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755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(C.A.),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764;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Gateway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Realty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38,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per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Kelly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Shelanu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Print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Three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Franchising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Corp.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(2003),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(3d)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533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(C.A.),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69.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component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Wallace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98;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Honda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58.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  <w:i/>
        </w:rPr>
      </w:pP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longstanding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debate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arises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Mesa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Operating</w:t>
      </w:r>
      <w:r>
        <w:rPr>
          <w:rFonts w:cs="Times New Roman"/>
        </w:rPr>
        <w:t xml:space="preserve">,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15-19.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resolve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debate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fully,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reviewed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earlier,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shadow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over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jurisprudence.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point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concerned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thought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minimum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operates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irrespective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analogous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equitable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limits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freedom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unconscionability.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Viewed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entire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11.2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impediment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arising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unconscionability,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exclude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CivicLife.com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52.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Anglo-Canadian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reluctant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mandatory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thought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interfere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freedom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Gateway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Realty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per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Kelly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O’Byrne,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 w:rsidR="00A51FDA">
        <w:rPr>
          <w:rFonts w:cs="Times New Roman"/>
        </w:rPr>
        <w:t>: Recent Developments</w:t>
      </w:r>
      <w:r w:rsidRPr="00732AB9">
        <w:rPr>
          <w:rFonts w:cs="Times New Roman"/>
        </w:rPr>
        <w:t>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95;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Farnsworth,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="00A51FDA">
        <w:rPr>
          <w:rFonts w:cs="Times New Roman"/>
        </w:rPr>
        <w:t xml:space="preserve">pp. </w:t>
      </w:r>
      <w:r w:rsidRPr="00732AB9">
        <w:rPr>
          <w:rFonts w:cs="Times New Roman"/>
        </w:rPr>
        <w:t>677-78.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discussed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above,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interferes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little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freedom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rarely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said,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influencing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scope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precise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content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relax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doctrine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minimum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outline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similar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§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1-302(b)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U.C.C.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(2012):</w:t>
      </w:r>
    </w:p>
    <w:p w:rsidR="00733EEE" w:rsidRPr="00732AB9" w:rsidRDefault="00733EEE" w:rsidP="00733EEE">
      <w:pPr>
        <w:pStyle w:val="Citation-AltC"/>
      </w:pPr>
      <w:r w:rsidRPr="00732AB9">
        <w:t>The</w:t>
      </w:r>
      <w:r>
        <w:t xml:space="preserve"> </w:t>
      </w:r>
      <w:r w:rsidRPr="00732AB9">
        <w:t>obligations</w:t>
      </w:r>
      <w:r>
        <w:t xml:space="preserve"> </w:t>
      </w:r>
      <w:r w:rsidRPr="00732AB9">
        <w:t>of</w:t>
      </w:r>
      <w:r>
        <w:t xml:space="preserve"> </w:t>
      </w:r>
      <w:r w:rsidRPr="00732AB9">
        <w:t>good</w:t>
      </w:r>
      <w:r>
        <w:t xml:space="preserve"> </w:t>
      </w:r>
      <w:r w:rsidRPr="00732AB9">
        <w:t>faith,</w:t>
      </w:r>
      <w:r>
        <w:t xml:space="preserve"> </w:t>
      </w:r>
      <w:r w:rsidRPr="00732AB9">
        <w:t>diligence,</w:t>
      </w:r>
      <w:r>
        <w:t xml:space="preserve"> </w:t>
      </w:r>
      <w:r w:rsidRPr="00732AB9">
        <w:t>reasonableness</w:t>
      </w:r>
      <w:r w:rsidR="00A51FDA">
        <w:t>,</w:t>
      </w:r>
      <w:r>
        <w:t xml:space="preserve"> </w:t>
      </w:r>
      <w:r w:rsidRPr="00732AB9">
        <w:t>and</w:t>
      </w:r>
      <w:r>
        <w:t xml:space="preserve"> </w:t>
      </w:r>
      <w:r w:rsidRPr="00732AB9">
        <w:t>care</w:t>
      </w:r>
      <w:r>
        <w:t xml:space="preserve"> </w:t>
      </w:r>
      <w:r w:rsidR="00ED5640">
        <w:t>. . .</w:t>
      </w:r>
      <w:r>
        <w:t xml:space="preserve"> </w:t>
      </w:r>
      <w:r w:rsidRPr="00732AB9">
        <w:t>may</w:t>
      </w:r>
      <w:r>
        <w:t xml:space="preserve"> </w:t>
      </w:r>
      <w:r w:rsidRPr="00732AB9">
        <w:t>not</w:t>
      </w:r>
      <w:r>
        <w:t xml:space="preserve"> </w:t>
      </w:r>
      <w:r w:rsidRPr="00732AB9">
        <w:t>be</w:t>
      </w:r>
      <w:r>
        <w:t xml:space="preserve"> </w:t>
      </w:r>
      <w:r w:rsidRPr="00732AB9">
        <w:t>disclaimed</w:t>
      </w:r>
      <w:r>
        <w:t xml:space="preserve"> </w:t>
      </w:r>
      <w:r w:rsidRPr="00732AB9">
        <w:t>by</w:t>
      </w:r>
      <w:r>
        <w:t xml:space="preserve"> </w:t>
      </w:r>
      <w:r w:rsidRPr="00732AB9">
        <w:t>agreement.</w:t>
      </w:r>
      <w:r>
        <w:t xml:space="preserve"> </w:t>
      </w:r>
      <w:r w:rsidRPr="00732AB9">
        <w:t>The</w:t>
      </w:r>
      <w:r>
        <w:t xml:space="preserve"> </w:t>
      </w:r>
      <w:r w:rsidRPr="00732AB9">
        <w:t>parties</w:t>
      </w:r>
      <w:r>
        <w:t xml:space="preserve">, </w:t>
      </w:r>
      <w:r w:rsidRPr="00732AB9">
        <w:t>by</w:t>
      </w:r>
      <w:r>
        <w:t xml:space="preserve"> </w:t>
      </w:r>
      <w:r w:rsidRPr="00732AB9">
        <w:t>agreement,</w:t>
      </w:r>
      <w:r>
        <w:t xml:space="preserve"> </w:t>
      </w:r>
      <w:r w:rsidRPr="00732AB9">
        <w:t>may</w:t>
      </w:r>
      <w:r>
        <w:t xml:space="preserve"> </w:t>
      </w:r>
      <w:r w:rsidRPr="00732AB9">
        <w:t>determine</w:t>
      </w:r>
      <w:r>
        <w:t xml:space="preserve"> </w:t>
      </w:r>
      <w:r w:rsidRPr="00732AB9">
        <w:t>the</w:t>
      </w:r>
      <w:r>
        <w:t xml:space="preserve"> </w:t>
      </w:r>
      <w:r w:rsidRPr="00732AB9">
        <w:t>standards</w:t>
      </w:r>
      <w:r>
        <w:t xml:space="preserve"> </w:t>
      </w:r>
      <w:r w:rsidRPr="00732AB9">
        <w:t>by</w:t>
      </w:r>
      <w:r>
        <w:t xml:space="preserve"> </w:t>
      </w:r>
      <w:r w:rsidRPr="00732AB9">
        <w:t>which</w:t>
      </w:r>
      <w:r>
        <w:t xml:space="preserve"> </w:t>
      </w:r>
      <w:r w:rsidRPr="00732AB9">
        <w:t>the</w:t>
      </w:r>
      <w:r>
        <w:t xml:space="preserve"> </w:t>
      </w:r>
      <w:r w:rsidRPr="00732AB9">
        <w:t>performance</w:t>
      </w:r>
      <w:r>
        <w:t xml:space="preserve"> </w:t>
      </w:r>
      <w:r w:rsidRPr="00732AB9">
        <w:t>of</w:t>
      </w:r>
      <w:r>
        <w:t xml:space="preserve"> </w:t>
      </w:r>
      <w:r w:rsidRPr="00732AB9">
        <w:t>those</w:t>
      </w:r>
      <w:r>
        <w:t xml:space="preserve"> </w:t>
      </w:r>
      <w:r w:rsidRPr="00732AB9">
        <w:t>obligations</w:t>
      </w:r>
      <w:r>
        <w:t xml:space="preserve"> </w:t>
      </w:r>
      <w:r w:rsidRPr="00732AB9">
        <w:t>is</w:t>
      </w:r>
      <w:r>
        <w:t xml:space="preserve"> </w:t>
      </w:r>
      <w:r w:rsidRPr="00732AB9">
        <w:t>to</w:t>
      </w:r>
      <w:r>
        <w:t xml:space="preserve"> </w:t>
      </w:r>
      <w:r w:rsidRPr="00732AB9">
        <w:t>be</w:t>
      </w:r>
      <w:r>
        <w:t xml:space="preserve"> </w:t>
      </w:r>
      <w:r w:rsidRPr="00732AB9">
        <w:t>measured</w:t>
      </w:r>
      <w:r>
        <w:t xml:space="preserve"> </w:t>
      </w:r>
      <w:r w:rsidRPr="00732AB9">
        <w:t>if</w:t>
      </w:r>
      <w:r>
        <w:t xml:space="preserve"> </w:t>
      </w:r>
      <w:r w:rsidRPr="00732AB9">
        <w:t>those</w:t>
      </w:r>
      <w:r>
        <w:t xml:space="preserve"> </w:t>
      </w:r>
      <w:r w:rsidRPr="00732AB9">
        <w:t>standards</w:t>
      </w:r>
      <w:r>
        <w:t xml:space="preserve"> </w:t>
      </w:r>
      <w:r w:rsidRPr="00732AB9">
        <w:t>are</w:t>
      </w:r>
      <w:r>
        <w:t xml:space="preserve"> </w:t>
      </w:r>
      <w:r w:rsidRPr="00732AB9">
        <w:t>not</w:t>
      </w:r>
      <w:r>
        <w:t xml:space="preserve"> </w:t>
      </w:r>
      <w:r w:rsidRPr="00732AB9">
        <w:t>manifestly</w:t>
      </w:r>
      <w:r>
        <w:t xml:space="preserve"> </w:t>
      </w:r>
      <w:r w:rsidRPr="00732AB9">
        <w:t>unreasonable.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  <w:i/>
        </w:rPr>
      </w:pPr>
      <w:r w:rsidRPr="00732AB9">
        <w:rPr>
          <w:rFonts w:cs="Times New Roman"/>
        </w:rPr>
        <w:t>Certainly,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modification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generically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entire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11.2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indicate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depart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tenets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GEC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Marconi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Systems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BHP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Information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Technology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[2003]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FCA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(AustLII),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922,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per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Finn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O’Byrne,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 w:rsidR="00B66875">
        <w:rPr>
          <w:rFonts w:cs="Times New Roman"/>
        </w:rPr>
        <w:t>: Recent Developments</w:t>
      </w:r>
      <w:r w:rsidRPr="00732AB9">
        <w:rPr>
          <w:rFonts w:cs="Times New Roman"/>
        </w:rPr>
        <w:t>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96.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Two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arguments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typically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raised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against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increased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="00B66875">
        <w:rPr>
          <w:rFonts w:cs="Times New Roman"/>
        </w:rPr>
        <w:t>Bridge;</w:t>
      </w:r>
      <w:r>
        <w:rPr>
          <w:rFonts w:cs="Times New Roman"/>
          <w:i/>
        </w:rPr>
        <w:t xml:space="preserve"> </w:t>
      </w:r>
      <w:r w:rsidR="00B66875">
        <w:rPr>
          <w:rFonts w:cs="Times New Roman"/>
        </w:rPr>
        <w:t>Clark;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Peden</w:t>
      </w:r>
      <w:r>
        <w:rPr>
          <w:rFonts w:cs="Times New Roman"/>
        </w:rPr>
        <w:t>, “When Common Law Tr</w:t>
      </w:r>
      <w:r w:rsidR="00B40034">
        <w:rPr>
          <w:rFonts w:cs="Times New Roman"/>
        </w:rPr>
        <w:t>ump</w:t>
      </w:r>
      <w:r>
        <w:rPr>
          <w:rFonts w:cs="Times New Roman"/>
        </w:rPr>
        <w:t>s Equity: the Rise of Good Faith and Reasonableness and the Demise of Unconscionability”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inherently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concept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permit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hoc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judicial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moralism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undermine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transactions.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second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inconsistent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freedom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points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carry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adopting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Recognizing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risk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person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least,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easy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Moreover,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commentator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points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prevailed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area,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cautious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solicitors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advised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clients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account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Grover,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Solicitor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Looks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Transactions”,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Special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Lectures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Society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Upper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1985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—</w:t>
      </w:r>
      <w:r>
        <w:rPr>
          <w:rFonts w:cs="Times New Roman"/>
        </w:rPr>
        <w:t xml:space="preserve">  </w:t>
      </w:r>
      <w:r w:rsidRPr="00732AB9">
        <w:rPr>
          <w:rFonts w:cs="Times New Roman"/>
          <w:i/>
        </w:rPr>
        <w:t>Commercial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Law: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Recent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Developments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and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Emerging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Trends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(1985),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106-7.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rule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promote,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dealings.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interference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freedom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theoretical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surely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wish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obligations.</w:t>
      </w:r>
      <w:r>
        <w:rPr>
          <w:rFonts w:cs="Times New Roman"/>
        </w:rPr>
        <w:t xml:space="preserve"> </w:t>
      </w:r>
    </w:p>
    <w:p w:rsidR="00733EEE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modest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create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impede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freedom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comfort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experience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civil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Quebec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statute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jurisdictions</w:t>
      </w:r>
      <w:r>
        <w:rPr>
          <w:rFonts w:cs="Times New Roman"/>
        </w:rPr>
        <w:t xml:space="preserve"> in the United States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The</w:t>
      </w:r>
      <w:r>
        <w:rPr>
          <w:rFonts w:cs="Times New Roman"/>
        </w:rPr>
        <w:t xml:space="preserve"> </w:t>
      </w:r>
      <w:r w:rsidRPr="00731F69">
        <w:rPr>
          <w:rFonts w:cs="Times New Roman"/>
          <w:i/>
        </w:rPr>
        <w:t>Civil</w:t>
      </w:r>
      <w:r>
        <w:rPr>
          <w:rFonts w:cs="Times New Roman"/>
          <w:i/>
        </w:rPr>
        <w:t xml:space="preserve"> </w:t>
      </w:r>
      <w:r w:rsidRPr="00731F69">
        <w:rPr>
          <w:rFonts w:cs="Times New Roman"/>
          <w:i/>
        </w:rPr>
        <w:t>Code</w:t>
      </w:r>
      <w:r>
        <w:rPr>
          <w:rFonts w:cs="Times New Roman"/>
          <w:i/>
        </w:rPr>
        <w:t xml:space="preserve"> </w:t>
      </w:r>
      <w:r w:rsidRPr="00731F6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1F69">
        <w:rPr>
          <w:rFonts w:cs="Times New Roman"/>
          <w:i/>
        </w:rPr>
        <w:t>Québec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extends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formation,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rights: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1375.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detail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Quebec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civil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two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aspects.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subjective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aspect,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concerned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actor,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addresses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malicious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intentional.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second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objective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concerned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unacceptable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according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people.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J.-L.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Baudouin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P.-G.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Jobin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explain,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</w:t>
      </w:r>
      <w:r w:rsidRPr="00731F69">
        <w:rPr>
          <w:rFonts w:cs="Times New Roman"/>
          <w:smallCaps/>
        </w:rPr>
        <w:t>translation</w:t>
      </w:r>
      <w:r>
        <w:rPr>
          <w:rFonts w:cs="Times New Roman"/>
        </w:rPr>
        <w:t>] “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person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subjective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sense),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malicious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knowledge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yet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nevertheless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violates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objective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accepted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society”:</w:t>
      </w:r>
      <w:r>
        <w:rPr>
          <w:rFonts w:cs="Times New Roman"/>
        </w:rPr>
        <w:t xml:space="preserve"> </w:t>
      </w:r>
      <w:r w:rsidRPr="00731F69">
        <w:rPr>
          <w:rFonts w:cs="Times New Roman"/>
          <w:i/>
        </w:rPr>
        <w:t>Les</w:t>
      </w:r>
      <w:r>
        <w:rPr>
          <w:rFonts w:cs="Times New Roman"/>
          <w:i/>
        </w:rPr>
        <w:t xml:space="preserve"> </w:t>
      </w:r>
      <w:r w:rsidRPr="00731F69">
        <w:rPr>
          <w:rFonts w:cs="Times New Roman"/>
          <w:i/>
        </w:rPr>
        <w:t>obligations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(7th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2013),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P.-G.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Jobin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Vézina,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132.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limited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contract:</w:t>
      </w:r>
      <w:r>
        <w:rPr>
          <w:rFonts w:cs="Times New Roman"/>
        </w:rPr>
        <w:t xml:space="preserve"> </w:t>
      </w:r>
      <w:r w:rsidRPr="00731F69">
        <w:rPr>
          <w:rFonts w:cs="Times New Roman"/>
          <w:i/>
        </w:rPr>
        <w:t>ibid.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161;</w:t>
      </w:r>
      <w:r>
        <w:rPr>
          <w:rFonts w:cs="Times New Roman"/>
        </w:rPr>
        <w:t xml:space="preserve"> </w:t>
      </w:r>
      <w:r w:rsidRPr="00731F69">
        <w:rPr>
          <w:rFonts w:cs="Times New Roman"/>
          <w:i/>
        </w:rPr>
        <w:t>Bank</w:t>
      </w:r>
      <w:r>
        <w:rPr>
          <w:rFonts w:cs="Times New Roman"/>
          <w:i/>
        </w:rPr>
        <w:t xml:space="preserve"> </w:t>
      </w:r>
      <w:r w:rsidRPr="00731F6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1F69">
        <w:rPr>
          <w:rFonts w:cs="Times New Roman"/>
          <w:i/>
        </w:rPr>
        <w:t>Montreal</w:t>
      </w:r>
      <w:r>
        <w:rPr>
          <w:rFonts w:cs="Times New Roman"/>
          <w:i/>
        </w:rPr>
        <w:t xml:space="preserve"> </w:t>
      </w:r>
      <w:r w:rsidRPr="00731F6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1F69">
        <w:rPr>
          <w:rFonts w:cs="Times New Roman"/>
          <w:i/>
        </w:rPr>
        <w:t>Kuet</w:t>
      </w:r>
      <w:r>
        <w:rPr>
          <w:rFonts w:cs="Times New Roman"/>
          <w:i/>
        </w:rPr>
        <w:t xml:space="preserve"> </w:t>
      </w:r>
      <w:r w:rsidRPr="00731F69">
        <w:rPr>
          <w:rFonts w:cs="Times New Roman"/>
          <w:i/>
        </w:rPr>
        <w:t>Leong</w:t>
      </w:r>
      <w:r>
        <w:rPr>
          <w:rFonts w:cs="Times New Roman"/>
          <w:i/>
        </w:rPr>
        <w:t xml:space="preserve"> </w:t>
      </w:r>
      <w:r w:rsidRPr="00731F69">
        <w:rPr>
          <w:rFonts w:cs="Times New Roman"/>
          <w:i/>
        </w:rPr>
        <w:t>Ng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[1989]</w:t>
      </w:r>
      <w:r>
        <w:rPr>
          <w:rFonts w:cs="Times New Roman"/>
        </w:rPr>
        <w:t xml:space="preserve"> </w:t>
      </w:r>
      <w:r w:rsidR="0082485E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429,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436.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§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1-304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U.C.C.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provides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“[e]very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imposes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enforcement.”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1F69">
        <w:rPr>
          <w:rFonts w:cs="Times New Roman"/>
        </w:rPr>
        <w:t>U.C.C.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enacted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legislation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1F69">
        <w:rPr>
          <w:rFonts w:cs="Times New Roman"/>
        </w:rPr>
        <w:t>U.C.C.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§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Restatement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(Second)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(1981)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provides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Restatement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followed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majority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states</w:t>
      </w:r>
      <w:r>
        <w:rPr>
          <w:rFonts w:cs="Times New Roman"/>
        </w:rPr>
        <w:t xml:space="preserve">.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notion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Restatement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lastRenderedPageBreak/>
        <w:t>substantially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followed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definition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Robert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Summers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influential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article,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understood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“excluder”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various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categories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206</w:t>
      </w:r>
      <w:r>
        <w:rPr>
          <w:rFonts w:cs="Times New Roman"/>
        </w:rPr>
        <w:t xml:space="preserve">; see </w:t>
      </w:r>
      <w:r w:rsidRPr="00732AB9">
        <w:rPr>
          <w:rFonts w:cs="Times New Roman"/>
        </w:rPr>
        <w:t>§</w:t>
      </w:r>
      <w:r>
        <w:rPr>
          <w:rFonts w:cs="Times New Roman"/>
        </w:rPr>
        <w:t xml:space="preserve"> 205, comment a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definition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1F69">
        <w:rPr>
          <w:rFonts w:cs="Times New Roman"/>
        </w:rPr>
        <w:t>U.C.C.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quite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encompassing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adherence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commercial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standards”</w:t>
      </w:r>
      <w:r>
        <w:rPr>
          <w:rFonts w:cs="Times New Roman"/>
        </w:rPr>
        <w:t xml:space="preserve">: </w:t>
      </w:r>
      <w:r w:rsidRPr="00732AB9">
        <w:rPr>
          <w:rFonts w:cs="Times New Roman"/>
        </w:rPr>
        <w:t>§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1-201(b)(20).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definition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originally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limited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expanded: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Miller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Perry,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(2013),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98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Iowa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Rev.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689,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719-20.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component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faithˮ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Restatement</w:t>
      </w:r>
      <w:r w:rsidRPr="00732AB9">
        <w:rPr>
          <w:rFonts w:cs="Times New Roman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§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205,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Experience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Quebec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shows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conceptions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impeded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activity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stability: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e.g.,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Pineau,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“La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discrétion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judiciaire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a-t-elle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ravages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matière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contractuelle?”,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La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réforme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du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Code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civil,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cinq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ans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plus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(1998),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141.</w:t>
      </w:r>
      <w:r>
        <w:rPr>
          <w:rFonts w:cs="Times New Roman"/>
        </w:rPr>
        <w:t xml:space="preserve"> </w:t>
      </w:r>
      <w:r w:rsidRPr="00732AB9">
        <w:rPr>
          <w:rFonts w:cs="Times New Roman"/>
          <w:lang w:val="en-US"/>
        </w:rPr>
        <w:t>It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is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also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worth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noting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that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in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both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the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United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States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and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Quebec,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judicial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developments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preceded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legislative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action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in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codifying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good</w:t>
      </w:r>
      <w:r>
        <w:rPr>
          <w:rFonts w:cs="Times New Roman"/>
          <w:lang w:val="en-US"/>
        </w:rPr>
        <w:t xml:space="preserve"> </w:t>
      </w:r>
      <w:r w:rsidRPr="00732AB9">
        <w:rPr>
          <w:rFonts w:cs="Times New Roman"/>
          <w:lang w:val="en-US"/>
        </w:rPr>
        <w:t>faith.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promulgation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U.C.C.: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e.g.,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Kirke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Shelle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Armstrong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263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N.Y.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79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(1933).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Similarly,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Civil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Code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Lower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Code</w:t>
      </w:r>
      <w:r w:rsidRPr="00732AB9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National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Bank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Soucisse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[1981]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339;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Houle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Canadian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National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Bank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[1990]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122;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Bank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Montreal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Bail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Ltée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[1992]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554.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subsequently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revisions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enactment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  <w:i/>
        </w:rPr>
        <w:t xml:space="preserve"> Civil Code of Qué</w:t>
      </w:r>
      <w:r w:rsidRPr="00732AB9">
        <w:rPr>
          <w:rFonts w:cs="Times New Roman"/>
          <w:i/>
        </w:rPr>
        <w:t>bec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confused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disclosure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fiduciary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loyalty.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subordinate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minimum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partner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reassurance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opportunity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protect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interests.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said,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dealership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utmost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</w:t>
      </w:r>
      <w:r w:rsidRPr="00732AB9">
        <w:rPr>
          <w:rFonts w:cs="Times New Roman"/>
          <w:i/>
        </w:rPr>
        <w:t>uberrimae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fidei</w:t>
      </w:r>
      <w:r w:rsidRPr="00732AB9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insurance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among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disclose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material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facts: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White</w:t>
      </w:r>
      <w:r>
        <w:rPr>
          <w:rFonts w:cs="Times New Roman"/>
          <w:i/>
        </w:rPr>
        <w:t>n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distinction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drawn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between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failure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disclose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material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arrangement,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dishonesty.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distinction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explains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reached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United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Roasters,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Colgate-Palmolive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649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F.2d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985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(4th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1981).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advance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period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disclosure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stipulated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stated:</w:t>
      </w:r>
    </w:p>
    <w:p w:rsidR="00733EEE" w:rsidRPr="00732AB9" w:rsidRDefault="00733EEE" w:rsidP="00733EEE">
      <w:pPr>
        <w:pStyle w:val="Citation-AltC"/>
      </w:pPr>
      <w:r w:rsidRPr="00732AB9">
        <w:tab/>
      </w:r>
      <w:r w:rsidR="00ED5640">
        <w:t>. . .</w:t>
      </w:r>
      <w:r>
        <w:t xml:space="preserve"> </w:t>
      </w:r>
      <w:r w:rsidRPr="00732AB9">
        <w:t>there</w:t>
      </w:r>
      <w:r>
        <w:t xml:space="preserve"> </w:t>
      </w:r>
      <w:r w:rsidRPr="00732AB9">
        <w:t>is</w:t>
      </w:r>
      <w:r>
        <w:t xml:space="preserve"> </w:t>
      </w:r>
      <w:r w:rsidRPr="00732AB9">
        <w:t>very</w:t>
      </w:r>
      <w:r>
        <w:t xml:space="preserve"> </w:t>
      </w:r>
      <w:r w:rsidRPr="00732AB9">
        <w:t>little</w:t>
      </w:r>
      <w:r>
        <w:t xml:space="preserve"> </w:t>
      </w:r>
      <w:r w:rsidRPr="00732AB9">
        <w:t>to</w:t>
      </w:r>
      <w:r>
        <w:t xml:space="preserve"> </w:t>
      </w:r>
      <w:r w:rsidRPr="00732AB9">
        <w:t>be</w:t>
      </w:r>
      <w:r>
        <w:t xml:space="preserve"> </w:t>
      </w:r>
      <w:r w:rsidRPr="00732AB9">
        <w:t>said</w:t>
      </w:r>
      <w:r>
        <w:t xml:space="preserve"> </w:t>
      </w:r>
      <w:r w:rsidRPr="00732AB9">
        <w:t>in</w:t>
      </w:r>
      <w:r>
        <w:t xml:space="preserve"> </w:t>
      </w:r>
      <w:r w:rsidRPr="00732AB9">
        <w:t>favor</w:t>
      </w:r>
      <w:r>
        <w:t xml:space="preserve"> </w:t>
      </w:r>
      <w:r w:rsidRPr="00732AB9">
        <w:t>of</w:t>
      </w:r>
      <w:r>
        <w:t xml:space="preserve"> </w:t>
      </w:r>
      <w:r w:rsidRPr="00732AB9">
        <w:t>a</w:t>
      </w:r>
      <w:r>
        <w:t xml:space="preserve"> </w:t>
      </w:r>
      <w:r w:rsidRPr="00732AB9">
        <w:t>rule</w:t>
      </w:r>
      <w:r>
        <w:t xml:space="preserve"> </w:t>
      </w:r>
      <w:r w:rsidRPr="00732AB9">
        <w:t>of</w:t>
      </w:r>
      <w:r>
        <w:t xml:space="preserve"> </w:t>
      </w:r>
      <w:r w:rsidRPr="00732AB9">
        <w:t>law</w:t>
      </w:r>
      <w:r>
        <w:t xml:space="preserve"> </w:t>
      </w:r>
      <w:r w:rsidRPr="00732AB9">
        <w:t>that</w:t>
      </w:r>
      <w:r>
        <w:t xml:space="preserve"> </w:t>
      </w:r>
      <w:r w:rsidRPr="00732AB9">
        <w:t>good</w:t>
      </w:r>
      <w:r>
        <w:t xml:space="preserve"> </w:t>
      </w:r>
      <w:r w:rsidRPr="00732AB9">
        <w:t>faith</w:t>
      </w:r>
      <w:r>
        <w:t xml:space="preserve"> </w:t>
      </w:r>
      <w:r w:rsidRPr="00732AB9">
        <w:t>requires</w:t>
      </w:r>
      <w:r>
        <w:t xml:space="preserve"> </w:t>
      </w:r>
      <w:r w:rsidRPr="00732AB9">
        <w:t>one</w:t>
      </w:r>
      <w:r>
        <w:t xml:space="preserve"> </w:t>
      </w:r>
      <w:r w:rsidRPr="00732AB9">
        <w:t>possessing</w:t>
      </w:r>
      <w:r>
        <w:t xml:space="preserve"> </w:t>
      </w:r>
      <w:r w:rsidRPr="00732AB9">
        <w:t>a</w:t>
      </w:r>
      <w:r>
        <w:t xml:space="preserve"> </w:t>
      </w:r>
      <w:r w:rsidRPr="00732AB9">
        <w:t>right</w:t>
      </w:r>
      <w:r>
        <w:t xml:space="preserve"> </w:t>
      </w:r>
      <w:r w:rsidRPr="00732AB9">
        <w:t>of</w:t>
      </w:r>
      <w:r>
        <w:t xml:space="preserve"> </w:t>
      </w:r>
      <w:r w:rsidRPr="00732AB9">
        <w:t>termination</w:t>
      </w:r>
      <w:r>
        <w:t xml:space="preserve"> </w:t>
      </w:r>
      <w:r w:rsidRPr="00732AB9">
        <w:t>to</w:t>
      </w:r>
      <w:r>
        <w:t xml:space="preserve"> </w:t>
      </w:r>
      <w:r w:rsidRPr="00732AB9">
        <w:t>inform</w:t>
      </w:r>
      <w:r>
        <w:t xml:space="preserve"> </w:t>
      </w:r>
      <w:r w:rsidRPr="00732AB9">
        <w:t>the</w:t>
      </w:r>
      <w:r>
        <w:t xml:space="preserve"> </w:t>
      </w:r>
      <w:r w:rsidRPr="00732AB9">
        <w:t>other</w:t>
      </w:r>
      <w:r>
        <w:t xml:space="preserve"> </w:t>
      </w:r>
      <w:r w:rsidRPr="00732AB9">
        <w:t>party</w:t>
      </w:r>
      <w:r>
        <w:t xml:space="preserve"> </w:t>
      </w:r>
      <w:r w:rsidRPr="00732AB9">
        <w:t>promptly</w:t>
      </w:r>
      <w:r>
        <w:t xml:space="preserve"> </w:t>
      </w:r>
      <w:r w:rsidRPr="00732AB9">
        <w:t>of</w:t>
      </w:r>
      <w:r>
        <w:t xml:space="preserve"> </w:t>
      </w:r>
      <w:r w:rsidRPr="00732AB9">
        <w:t>any</w:t>
      </w:r>
      <w:r>
        <w:t xml:space="preserve"> </w:t>
      </w:r>
      <w:r w:rsidRPr="00732AB9">
        <w:t>decision</w:t>
      </w:r>
      <w:r>
        <w:t xml:space="preserve"> </w:t>
      </w:r>
      <w:r w:rsidRPr="00732AB9">
        <w:t>to</w:t>
      </w:r>
      <w:r>
        <w:t xml:space="preserve"> </w:t>
      </w:r>
      <w:r w:rsidRPr="00732AB9">
        <w:t>exercise</w:t>
      </w:r>
      <w:r>
        <w:t xml:space="preserve"> </w:t>
      </w:r>
      <w:r w:rsidRPr="00732AB9">
        <w:t>the</w:t>
      </w:r>
      <w:r>
        <w:t xml:space="preserve"> </w:t>
      </w:r>
      <w:r w:rsidRPr="00732AB9">
        <w:t>right.</w:t>
      </w:r>
      <w:r>
        <w:t xml:space="preserve"> </w:t>
      </w:r>
      <w:r w:rsidRPr="00732AB9">
        <w:t>A</w:t>
      </w:r>
      <w:r>
        <w:t xml:space="preserve"> </w:t>
      </w:r>
      <w:r w:rsidRPr="00732AB9">
        <w:t>tenant</w:t>
      </w:r>
      <w:r>
        <w:t xml:space="preserve"> </w:t>
      </w:r>
      <w:r w:rsidRPr="00732AB9">
        <w:t>under</w:t>
      </w:r>
      <w:r>
        <w:t xml:space="preserve"> </w:t>
      </w:r>
      <w:r w:rsidRPr="00732AB9">
        <w:t>a</w:t>
      </w:r>
      <w:r>
        <w:t xml:space="preserve"> </w:t>
      </w:r>
      <w:r w:rsidRPr="00732AB9">
        <w:t>month-to-month</w:t>
      </w:r>
      <w:r>
        <w:t xml:space="preserve"> </w:t>
      </w:r>
      <w:r w:rsidRPr="00732AB9">
        <w:t>lease</w:t>
      </w:r>
      <w:r>
        <w:t xml:space="preserve"> </w:t>
      </w:r>
      <w:r w:rsidRPr="00732AB9">
        <w:t>may</w:t>
      </w:r>
      <w:r>
        <w:t xml:space="preserve"> </w:t>
      </w:r>
      <w:r w:rsidRPr="00732AB9">
        <w:t>decide</w:t>
      </w:r>
      <w:r>
        <w:t xml:space="preserve"> </w:t>
      </w:r>
      <w:r w:rsidRPr="00732AB9">
        <w:t>in</w:t>
      </w:r>
      <w:r>
        <w:t xml:space="preserve"> </w:t>
      </w:r>
      <w:r w:rsidRPr="00732AB9">
        <w:t>January</w:t>
      </w:r>
      <w:r>
        <w:t xml:space="preserve"> </w:t>
      </w:r>
      <w:r w:rsidRPr="00732AB9">
        <w:t>to</w:t>
      </w:r>
      <w:r>
        <w:t xml:space="preserve"> </w:t>
      </w:r>
      <w:r w:rsidRPr="00732AB9">
        <w:t>vacate</w:t>
      </w:r>
      <w:r>
        <w:t xml:space="preserve"> </w:t>
      </w:r>
      <w:r w:rsidRPr="00732AB9">
        <w:t>the</w:t>
      </w:r>
      <w:r>
        <w:t xml:space="preserve"> </w:t>
      </w:r>
      <w:r w:rsidRPr="00732AB9">
        <w:t>premises</w:t>
      </w:r>
      <w:r>
        <w:t xml:space="preserve"> </w:t>
      </w:r>
      <w:r w:rsidRPr="00732AB9">
        <w:t>at</w:t>
      </w:r>
      <w:r>
        <w:t xml:space="preserve"> </w:t>
      </w:r>
      <w:r w:rsidRPr="00732AB9">
        <w:t>the</w:t>
      </w:r>
      <w:r>
        <w:t xml:space="preserve"> </w:t>
      </w:r>
      <w:r w:rsidRPr="00732AB9">
        <w:t>end</w:t>
      </w:r>
      <w:r>
        <w:t xml:space="preserve"> </w:t>
      </w:r>
      <w:r w:rsidRPr="00732AB9">
        <w:t>of</w:t>
      </w:r>
      <w:r>
        <w:t xml:space="preserve"> </w:t>
      </w:r>
      <w:r w:rsidRPr="00732AB9">
        <w:t>September.</w:t>
      </w:r>
      <w:r>
        <w:t xml:space="preserve"> </w:t>
      </w:r>
      <w:r w:rsidRPr="00732AB9">
        <w:t>It</w:t>
      </w:r>
      <w:r>
        <w:t xml:space="preserve"> </w:t>
      </w:r>
      <w:r w:rsidRPr="00732AB9">
        <w:t>is</w:t>
      </w:r>
      <w:r>
        <w:t xml:space="preserve"> </w:t>
      </w:r>
      <w:r w:rsidRPr="00732AB9">
        <w:t>hardly</w:t>
      </w:r>
      <w:r>
        <w:t xml:space="preserve"> </w:t>
      </w:r>
      <w:r w:rsidRPr="00732AB9">
        <w:t>to</w:t>
      </w:r>
      <w:r>
        <w:t xml:space="preserve"> </w:t>
      </w:r>
      <w:r w:rsidRPr="00732AB9">
        <w:t>be</w:t>
      </w:r>
      <w:r>
        <w:t xml:space="preserve"> </w:t>
      </w:r>
      <w:r w:rsidRPr="00732AB9">
        <w:t>suggested</w:t>
      </w:r>
      <w:r>
        <w:t xml:space="preserve"> </w:t>
      </w:r>
      <w:r w:rsidRPr="00732AB9">
        <w:t>that</w:t>
      </w:r>
      <w:r>
        <w:t xml:space="preserve"> </w:t>
      </w:r>
      <w:r w:rsidRPr="00732AB9">
        <w:t>good</w:t>
      </w:r>
      <w:r>
        <w:t xml:space="preserve"> </w:t>
      </w:r>
      <w:r w:rsidRPr="00732AB9">
        <w:t>faith</w:t>
      </w:r>
      <w:r>
        <w:t xml:space="preserve"> </w:t>
      </w:r>
      <w:r w:rsidRPr="00732AB9">
        <w:t>requires</w:t>
      </w:r>
      <w:r>
        <w:t xml:space="preserve"> </w:t>
      </w:r>
      <w:r w:rsidRPr="00732AB9">
        <w:t>the</w:t>
      </w:r>
      <w:r>
        <w:t xml:space="preserve"> </w:t>
      </w:r>
      <w:r w:rsidRPr="00732AB9">
        <w:t>tenant</w:t>
      </w:r>
      <w:r>
        <w:t xml:space="preserve"> </w:t>
      </w:r>
      <w:r w:rsidRPr="00732AB9">
        <w:t>to</w:t>
      </w:r>
      <w:r>
        <w:t xml:space="preserve"> </w:t>
      </w:r>
      <w:r w:rsidRPr="00732AB9">
        <w:t>inform</w:t>
      </w:r>
      <w:r>
        <w:t xml:space="preserve"> </w:t>
      </w:r>
      <w:r w:rsidRPr="00732AB9">
        <w:t>the</w:t>
      </w:r>
      <w:r>
        <w:t xml:space="preserve"> </w:t>
      </w:r>
      <w:r w:rsidRPr="00732AB9">
        <w:t>landlord</w:t>
      </w:r>
      <w:r>
        <w:t xml:space="preserve"> </w:t>
      </w:r>
      <w:r w:rsidRPr="00732AB9">
        <w:t>of</w:t>
      </w:r>
      <w:r>
        <w:t xml:space="preserve"> </w:t>
      </w:r>
      <w:r w:rsidRPr="00732AB9">
        <w:t>his</w:t>
      </w:r>
      <w:r>
        <w:t xml:space="preserve"> </w:t>
      </w:r>
      <w:r w:rsidRPr="00732AB9">
        <w:t>decision</w:t>
      </w:r>
      <w:r>
        <w:t xml:space="preserve"> </w:t>
      </w:r>
      <w:r w:rsidRPr="00732AB9">
        <w:t>soon</w:t>
      </w:r>
      <w:r>
        <w:t xml:space="preserve"> </w:t>
      </w:r>
      <w:r w:rsidRPr="00732AB9">
        <w:t>after</w:t>
      </w:r>
      <w:r>
        <w:t xml:space="preserve"> </w:t>
      </w:r>
      <w:r w:rsidRPr="00732AB9">
        <w:t>January.</w:t>
      </w:r>
      <w:r>
        <w:t xml:space="preserve"> </w:t>
      </w:r>
      <w:r w:rsidRPr="00732AB9">
        <w:t>Though</w:t>
      </w:r>
      <w:r>
        <w:t xml:space="preserve"> </w:t>
      </w:r>
      <w:r w:rsidRPr="00732AB9">
        <w:t>the</w:t>
      </w:r>
      <w:r>
        <w:t xml:space="preserve"> </w:t>
      </w:r>
      <w:r w:rsidRPr="00732AB9">
        <w:t>landlord</w:t>
      </w:r>
      <w:r>
        <w:t xml:space="preserve"> </w:t>
      </w:r>
      <w:r w:rsidRPr="00732AB9">
        <w:t>may</w:t>
      </w:r>
      <w:r>
        <w:t xml:space="preserve"> </w:t>
      </w:r>
      <w:r w:rsidRPr="00732AB9">
        <w:t>have</w:t>
      </w:r>
      <w:r>
        <w:t xml:space="preserve"> </w:t>
      </w:r>
      <w:r w:rsidRPr="00732AB9">
        <w:t>found</w:t>
      </w:r>
      <w:r>
        <w:t xml:space="preserve"> </w:t>
      </w:r>
      <w:r w:rsidRPr="00732AB9">
        <w:t>earlier</w:t>
      </w:r>
      <w:r>
        <w:t xml:space="preserve"> </w:t>
      </w:r>
      <w:r w:rsidRPr="00732AB9">
        <w:t>notice</w:t>
      </w:r>
      <w:r>
        <w:t xml:space="preserve"> </w:t>
      </w:r>
      <w:r w:rsidRPr="00732AB9">
        <w:t>convenient,</w:t>
      </w:r>
      <w:r>
        <w:t xml:space="preserve"> </w:t>
      </w:r>
      <w:r w:rsidRPr="00732AB9">
        <w:t>formal</w:t>
      </w:r>
      <w:r>
        <w:t xml:space="preserve"> </w:t>
      </w:r>
      <w:r w:rsidRPr="00732AB9">
        <w:t>exercise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right</w:t>
      </w:r>
      <w:r>
        <w:t xml:space="preserve"> </w:t>
      </w:r>
      <w:r w:rsidRPr="00732AB9">
        <w:t>of</w:t>
      </w:r>
      <w:r>
        <w:t xml:space="preserve"> </w:t>
      </w:r>
      <w:r w:rsidRPr="00732AB9">
        <w:t>termination</w:t>
      </w:r>
      <w:r>
        <w:t xml:space="preserve"> </w:t>
      </w:r>
      <w:r w:rsidRPr="00732AB9">
        <w:t>in</w:t>
      </w:r>
      <w:r>
        <w:t xml:space="preserve"> </w:t>
      </w:r>
      <w:r w:rsidRPr="00732AB9">
        <w:t>August</w:t>
      </w:r>
      <w:r>
        <w:t xml:space="preserve"> </w:t>
      </w:r>
      <w:r w:rsidRPr="00732AB9">
        <w:t>will</w:t>
      </w:r>
      <w:r>
        <w:t xml:space="preserve"> </w:t>
      </w:r>
      <w:r w:rsidRPr="00732AB9">
        <w:t>do.</w:t>
      </w:r>
      <w:r>
        <w:t xml:space="preserve"> </w:t>
      </w:r>
      <w:r w:rsidRPr="00732AB9">
        <w:t>[pp.</w:t>
      </w:r>
      <w:r>
        <w:t xml:space="preserve"> </w:t>
      </w:r>
      <w:r w:rsidRPr="00732AB9">
        <w:t>989-90]</w:t>
      </w:r>
    </w:p>
    <w:p w:rsidR="00733EEE" w:rsidRPr="00732AB9" w:rsidRDefault="00733EEE" w:rsidP="00733EEE">
      <w:pPr>
        <w:pStyle w:val="ContinueParaSuitedupar-AltP"/>
        <w:rPr>
          <w:rFonts w:cs="Times New Roman"/>
        </w:rPr>
      </w:pPr>
      <w:r w:rsidRPr="00732AB9">
        <w:rPr>
          <w:rFonts w:cs="Times New Roman"/>
          <w:i/>
        </w:rPr>
        <w:lastRenderedPageBreak/>
        <w:t>United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Roasters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makes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unilateral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disclose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information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relevant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termination.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quite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different,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actively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misleading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deceiving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  <w:i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similarities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existing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civil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fraud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estoppel,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subsumed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them.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Unlike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promissory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estoppel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estoppel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representation,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defendant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representation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subject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uncertainty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estoppel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independent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action: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Ryan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Moore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38,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[2005]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53,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Maracle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Travellers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Indemnity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[1991]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50;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Waddams,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The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Law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of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Contracts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195-203;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MacDougall,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Estoppel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(2012),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142-44.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civil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fraud,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defendant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false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statement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 w:rsidR="0082485E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supports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damages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according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tortious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measure: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e.g.,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  <w:iCs/>
        </w:rPr>
        <w:t>Parna</w:t>
      </w:r>
      <w:r>
        <w:rPr>
          <w:rFonts w:cs="Times New Roman"/>
          <w:i/>
          <w:iCs/>
        </w:rPr>
        <w:t xml:space="preserve"> </w:t>
      </w:r>
      <w:r w:rsidRPr="00732AB9">
        <w:rPr>
          <w:rFonts w:cs="Times New Roman"/>
          <w:i/>
          <w:iCs/>
        </w:rPr>
        <w:t>v.</w:t>
      </w:r>
      <w:r>
        <w:rPr>
          <w:rFonts w:cs="Times New Roman"/>
          <w:i/>
          <w:iCs/>
        </w:rPr>
        <w:t xml:space="preserve"> </w:t>
      </w:r>
      <w:r w:rsidRPr="00732AB9">
        <w:rPr>
          <w:rFonts w:cs="Times New Roman"/>
          <w:i/>
          <w:iCs/>
        </w:rPr>
        <w:t>G.</w:t>
      </w:r>
      <w:r>
        <w:rPr>
          <w:rFonts w:cs="Times New Roman"/>
          <w:i/>
          <w:iCs/>
        </w:rPr>
        <w:t xml:space="preserve"> </w:t>
      </w:r>
      <w:r w:rsidRPr="00732AB9">
        <w:rPr>
          <w:rFonts w:cs="Times New Roman"/>
          <w:i/>
          <w:iCs/>
        </w:rPr>
        <w:t>&amp;</w:t>
      </w:r>
      <w:r>
        <w:rPr>
          <w:rFonts w:cs="Times New Roman"/>
          <w:i/>
          <w:iCs/>
        </w:rPr>
        <w:t xml:space="preserve"> </w:t>
      </w:r>
      <w:r w:rsidRPr="00732AB9">
        <w:rPr>
          <w:rFonts w:cs="Times New Roman"/>
          <w:i/>
          <w:iCs/>
        </w:rPr>
        <w:t>S.</w:t>
      </w:r>
      <w:r>
        <w:rPr>
          <w:rFonts w:cs="Times New Roman"/>
          <w:i/>
          <w:iCs/>
        </w:rPr>
        <w:t xml:space="preserve"> </w:t>
      </w:r>
      <w:r w:rsidRPr="00732AB9">
        <w:rPr>
          <w:rFonts w:cs="Times New Roman"/>
          <w:i/>
          <w:iCs/>
        </w:rPr>
        <w:t>Properties</w:t>
      </w:r>
      <w:r>
        <w:rPr>
          <w:rFonts w:cs="Times New Roman"/>
          <w:i/>
          <w:iCs/>
        </w:rPr>
        <w:t xml:space="preserve"> </w:t>
      </w:r>
      <w:r w:rsidRPr="00732AB9">
        <w:rPr>
          <w:rFonts w:cs="Times New Roman"/>
          <w:i/>
          <w:iCs/>
        </w:rPr>
        <w:t>Ltd.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[1971]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306,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approval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Bruno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Appliance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and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Furniture,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Inc.</w:t>
      </w:r>
      <w:r>
        <w:rPr>
          <w:rFonts w:cs="Times New Roman"/>
          <w:i/>
        </w:rPr>
        <w:t xml:space="preserve"> v</w:t>
      </w:r>
      <w:r w:rsidRPr="00732AB9">
        <w:rPr>
          <w:rFonts w:cs="Times New Roman"/>
          <w:i/>
        </w:rPr>
        <w:t>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Hryniak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SCC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[2014]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S.C.R.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126,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supported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judicial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academic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authorities,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argued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wholesale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adoption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expansive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modest,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incremental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change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A.F.,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51;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Summers,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206;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Belobaba;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Gateway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Realty</w:t>
      </w:r>
      <w:r w:rsidRPr="00732AB9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manifestations,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example,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Dynamic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Transport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planning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precedent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property.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discretionary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manner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“capricious”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“arbitrary”: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Mason</w:t>
      </w:r>
      <w:r w:rsidRPr="0082485E">
        <w:rPr>
          <w:rFonts w:cs="Times New Roman"/>
        </w:rPr>
        <w:t>, at p. 487</w:t>
      </w:r>
      <w:r w:rsidRPr="00732AB9">
        <w:rPr>
          <w:rFonts w:cs="Times New Roman"/>
        </w:rPr>
        <w:t>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LeMesurier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Andrus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</w:rPr>
        <w:t>(1986),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(2d)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(C.A.),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reluctant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extend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beyond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causing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judicial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interference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contracts: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Wallace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76.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necessary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limits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implications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assist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here.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After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subject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stretch,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turn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conceived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indefinite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duration.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difficulty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because,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turned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year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subject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roughly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years’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duration.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pointed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correctly,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“[t]he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presume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perpetual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either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unilaterally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expire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anniversary”: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32.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forcing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liability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measured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reference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onerous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simply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damages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flow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unnecessary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reliance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discretionary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power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achieve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purpose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extraneous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undermined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key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objectives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further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jurisdictions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embrace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plaintiffs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mixed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success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alleging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failure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treated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equivalent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termination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subject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Shell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Oil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Marinello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294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A.2d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253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(N.J.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Super.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1972),</w:t>
      </w:r>
      <w:r>
        <w:rPr>
          <w:rFonts w:cs="Times New Roman"/>
        </w:rPr>
        <w:t xml:space="preserve"> </w:t>
      </w:r>
      <w:r w:rsidR="0082485E">
        <w:rPr>
          <w:rFonts w:cs="Times New Roman"/>
        </w:rPr>
        <w:t>aff’d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307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A.2d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598</w:t>
      </w:r>
      <w:r>
        <w:rPr>
          <w:rFonts w:cs="Times New Roman"/>
        </w:rPr>
        <w:t xml:space="preserve"> </w:t>
      </w:r>
      <w:r w:rsidR="0082485E">
        <w:rPr>
          <w:rFonts w:cs="Times New Roman"/>
        </w:rPr>
        <w:t>(N.J.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1973);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Atlantic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Richfield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Razumic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390 A.</w:t>
      </w:r>
      <w:r w:rsidRPr="00732AB9">
        <w:rPr>
          <w:rFonts w:cs="Times New Roman"/>
        </w:rPr>
        <w:t>2d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736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(Pa.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1978),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741-42.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fundamentally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different,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especially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contemplate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expiry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renew: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J.H.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Westerbeke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Corp.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Onan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Corp.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580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F.Supp.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1173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Mass.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1984),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1184;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Pitney-Bowes,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Mestre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517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F.Supp.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52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(S.D.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Fla.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1981),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cert.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denied,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464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U.S.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893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(1983).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point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development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Canadian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general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appropriate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incremental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step,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recognizing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implications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allowed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evolve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according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incremental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judicial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approach.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summary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principles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order:</w:t>
      </w:r>
    </w:p>
    <w:p w:rsidR="00733EEE" w:rsidRPr="00732AB9" w:rsidRDefault="00733EEE" w:rsidP="0082485E">
      <w:pPr>
        <w:pStyle w:val="Citation-AltC"/>
        <w:tabs>
          <w:tab w:val="left" w:pos="540"/>
        </w:tabs>
        <w:spacing w:line="480" w:lineRule="auto"/>
        <w:ind w:left="0"/>
      </w:pPr>
      <w:r w:rsidRPr="00732AB9">
        <w:lastRenderedPageBreak/>
        <w:t>(1)</w:t>
      </w:r>
      <w:r w:rsidR="0082485E">
        <w:tab/>
      </w:r>
      <w:r w:rsidRPr="00732AB9">
        <w:t>There</w:t>
      </w:r>
      <w:r>
        <w:t xml:space="preserve"> </w:t>
      </w:r>
      <w:r w:rsidRPr="00732AB9">
        <w:t>is</w:t>
      </w:r>
      <w:r>
        <w:t xml:space="preserve"> </w:t>
      </w:r>
      <w:r w:rsidRPr="00732AB9">
        <w:t>a</w:t>
      </w:r>
      <w:r>
        <w:t xml:space="preserve"> </w:t>
      </w:r>
      <w:r w:rsidRPr="00732AB9">
        <w:t>general</w:t>
      </w:r>
      <w:r>
        <w:t xml:space="preserve"> </w:t>
      </w:r>
      <w:r w:rsidRPr="00732AB9">
        <w:t>organizing</w:t>
      </w:r>
      <w:r>
        <w:t xml:space="preserve"> </w:t>
      </w:r>
      <w:r w:rsidRPr="00732AB9">
        <w:t>principle</w:t>
      </w:r>
      <w:r>
        <w:t xml:space="preserve"> </w:t>
      </w:r>
      <w:r w:rsidRPr="00732AB9">
        <w:t>of</w:t>
      </w:r>
      <w:r>
        <w:t xml:space="preserve"> </w:t>
      </w:r>
      <w:r w:rsidRPr="00732AB9">
        <w:t>good</w:t>
      </w:r>
      <w:r>
        <w:t xml:space="preserve"> </w:t>
      </w:r>
      <w:r w:rsidRPr="00732AB9">
        <w:t>faith</w:t>
      </w:r>
      <w:r>
        <w:t xml:space="preserve"> </w:t>
      </w:r>
      <w:r w:rsidRPr="00732AB9">
        <w:t>that</w:t>
      </w:r>
      <w:r>
        <w:t xml:space="preserve"> </w:t>
      </w:r>
      <w:r w:rsidRPr="00732AB9">
        <w:t>underlies</w:t>
      </w:r>
      <w:r>
        <w:t xml:space="preserve"> </w:t>
      </w:r>
      <w:r w:rsidRPr="00732AB9">
        <w:t>many</w:t>
      </w:r>
      <w:r>
        <w:t xml:space="preserve"> </w:t>
      </w:r>
      <w:r w:rsidRPr="00732AB9">
        <w:t>facets</w:t>
      </w:r>
      <w:r>
        <w:t xml:space="preserve"> </w:t>
      </w:r>
      <w:r w:rsidRPr="00732AB9">
        <w:t>of</w:t>
      </w:r>
      <w:r>
        <w:t xml:space="preserve"> </w:t>
      </w:r>
      <w:r w:rsidRPr="00732AB9">
        <w:t>contract</w:t>
      </w:r>
      <w:r>
        <w:t xml:space="preserve"> </w:t>
      </w:r>
      <w:r w:rsidRPr="00732AB9">
        <w:t>law.</w:t>
      </w:r>
    </w:p>
    <w:p w:rsidR="00733EEE" w:rsidRPr="00732AB9" w:rsidRDefault="00733EEE" w:rsidP="00733EEE">
      <w:pPr>
        <w:pStyle w:val="Citation-AltC"/>
        <w:spacing w:line="480" w:lineRule="auto"/>
      </w:pPr>
    </w:p>
    <w:p w:rsidR="00733EEE" w:rsidRPr="00732AB9" w:rsidRDefault="00733EEE" w:rsidP="0082485E">
      <w:pPr>
        <w:pStyle w:val="Citation-AltC"/>
        <w:tabs>
          <w:tab w:val="left" w:pos="540"/>
        </w:tabs>
        <w:spacing w:line="480" w:lineRule="auto"/>
        <w:ind w:left="0"/>
      </w:pPr>
      <w:r w:rsidRPr="00732AB9">
        <w:t>(2)</w:t>
      </w:r>
      <w:r>
        <w:t xml:space="preserve"> </w:t>
      </w:r>
      <w:r w:rsidR="00444CF0">
        <w:tab/>
      </w:r>
      <w:r w:rsidRPr="00732AB9">
        <w:t>In</w:t>
      </w:r>
      <w:r>
        <w:t xml:space="preserve"> </w:t>
      </w:r>
      <w:r w:rsidRPr="00732AB9">
        <w:t>general,</w:t>
      </w:r>
      <w:r>
        <w:t xml:space="preserve"> </w:t>
      </w:r>
      <w:r w:rsidRPr="00732AB9">
        <w:t>the</w:t>
      </w:r>
      <w:r>
        <w:t xml:space="preserve"> </w:t>
      </w:r>
      <w:r w:rsidRPr="00732AB9">
        <w:t>particular</w:t>
      </w:r>
      <w:r>
        <w:t xml:space="preserve"> </w:t>
      </w:r>
      <w:r w:rsidRPr="00732AB9">
        <w:t>implications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broad</w:t>
      </w:r>
      <w:r>
        <w:t xml:space="preserve"> </w:t>
      </w:r>
      <w:r w:rsidRPr="00732AB9">
        <w:t>principle</w:t>
      </w:r>
      <w:r>
        <w:t xml:space="preserve"> </w:t>
      </w:r>
      <w:r w:rsidRPr="00732AB9">
        <w:t>for</w:t>
      </w:r>
      <w:r>
        <w:t xml:space="preserve"> </w:t>
      </w:r>
      <w:r w:rsidRPr="00732AB9">
        <w:t>particular</w:t>
      </w:r>
      <w:r>
        <w:t xml:space="preserve"> </w:t>
      </w:r>
      <w:r w:rsidRPr="00732AB9">
        <w:t>cases</w:t>
      </w:r>
      <w:r>
        <w:t xml:space="preserve"> </w:t>
      </w:r>
      <w:r w:rsidRPr="00732AB9">
        <w:t>are</w:t>
      </w:r>
      <w:r>
        <w:t xml:space="preserve"> </w:t>
      </w:r>
      <w:r w:rsidRPr="00732AB9">
        <w:t>determined</w:t>
      </w:r>
      <w:r>
        <w:t xml:space="preserve"> </w:t>
      </w:r>
      <w:r w:rsidRPr="00732AB9">
        <w:t>by</w:t>
      </w:r>
      <w:r>
        <w:t xml:space="preserve"> </w:t>
      </w:r>
      <w:r w:rsidRPr="00732AB9">
        <w:t>resorting</w:t>
      </w:r>
      <w:r>
        <w:t xml:space="preserve"> </w:t>
      </w:r>
      <w:r w:rsidRPr="00732AB9">
        <w:t>to</w:t>
      </w:r>
      <w:r>
        <w:t xml:space="preserve"> </w:t>
      </w:r>
      <w:r w:rsidRPr="00732AB9">
        <w:t>the</w:t>
      </w:r>
      <w:r>
        <w:t xml:space="preserve"> </w:t>
      </w:r>
      <w:r w:rsidRPr="00732AB9">
        <w:t>body</w:t>
      </w:r>
      <w:r>
        <w:t xml:space="preserve"> </w:t>
      </w:r>
      <w:r w:rsidRPr="00732AB9">
        <w:t>of</w:t>
      </w:r>
      <w:r>
        <w:t xml:space="preserve"> </w:t>
      </w:r>
      <w:r w:rsidRPr="00732AB9">
        <w:t>doctrine</w:t>
      </w:r>
      <w:r>
        <w:t xml:space="preserve"> </w:t>
      </w:r>
      <w:r w:rsidRPr="00732AB9">
        <w:t>that</w:t>
      </w:r>
      <w:r>
        <w:t xml:space="preserve"> </w:t>
      </w:r>
      <w:r w:rsidRPr="00732AB9">
        <w:t>has</w:t>
      </w:r>
      <w:r>
        <w:t xml:space="preserve"> </w:t>
      </w:r>
      <w:r w:rsidRPr="00732AB9">
        <w:t>developed</w:t>
      </w:r>
      <w:r>
        <w:t xml:space="preserve"> </w:t>
      </w:r>
      <w:r w:rsidRPr="00732AB9">
        <w:t>which</w:t>
      </w:r>
      <w:r>
        <w:t xml:space="preserve"> </w:t>
      </w:r>
      <w:r w:rsidRPr="00732AB9">
        <w:t>gives</w:t>
      </w:r>
      <w:r>
        <w:t xml:space="preserve"> </w:t>
      </w:r>
      <w:r w:rsidRPr="00732AB9">
        <w:t>effect</w:t>
      </w:r>
      <w:r>
        <w:t xml:space="preserve"> </w:t>
      </w:r>
      <w:r w:rsidRPr="00732AB9">
        <w:t>to</w:t>
      </w:r>
      <w:r>
        <w:t xml:space="preserve"> </w:t>
      </w:r>
      <w:r w:rsidRPr="00732AB9">
        <w:t>aspects</w:t>
      </w:r>
      <w:r>
        <w:t xml:space="preserve"> </w:t>
      </w:r>
      <w:r w:rsidRPr="00732AB9">
        <w:t>of</w:t>
      </w:r>
      <w:r>
        <w:t xml:space="preserve"> </w:t>
      </w:r>
      <w:r w:rsidRPr="00732AB9">
        <w:t>that</w:t>
      </w:r>
      <w:r>
        <w:t xml:space="preserve"> </w:t>
      </w:r>
      <w:r w:rsidRPr="00732AB9">
        <w:t>principle</w:t>
      </w:r>
      <w:r>
        <w:t xml:space="preserve"> </w:t>
      </w:r>
      <w:r w:rsidRPr="00732AB9">
        <w:t>in</w:t>
      </w:r>
      <w:r>
        <w:t xml:space="preserve"> </w:t>
      </w:r>
      <w:r w:rsidRPr="00732AB9">
        <w:t>particular</w:t>
      </w:r>
      <w:r>
        <w:t xml:space="preserve"> </w:t>
      </w:r>
      <w:r w:rsidRPr="00732AB9">
        <w:t>types</w:t>
      </w:r>
      <w:r>
        <w:t xml:space="preserve"> </w:t>
      </w:r>
      <w:r w:rsidRPr="00732AB9">
        <w:t>of</w:t>
      </w:r>
      <w:r>
        <w:t xml:space="preserve"> </w:t>
      </w:r>
      <w:r w:rsidRPr="00732AB9">
        <w:t>situations</w:t>
      </w:r>
      <w:r>
        <w:t xml:space="preserve"> </w:t>
      </w:r>
      <w:r w:rsidRPr="00732AB9">
        <w:t>and</w:t>
      </w:r>
      <w:r>
        <w:t xml:space="preserve"> </w:t>
      </w:r>
      <w:r w:rsidRPr="00732AB9">
        <w:t>relationships.</w:t>
      </w:r>
    </w:p>
    <w:p w:rsidR="00733EEE" w:rsidRPr="00732AB9" w:rsidRDefault="00733EEE" w:rsidP="00733EEE">
      <w:pPr>
        <w:pStyle w:val="Citation-AltC"/>
        <w:spacing w:line="480" w:lineRule="auto"/>
      </w:pPr>
    </w:p>
    <w:p w:rsidR="00733EEE" w:rsidRPr="00732AB9" w:rsidRDefault="00733EEE" w:rsidP="0082485E">
      <w:pPr>
        <w:pStyle w:val="Citation-AltC"/>
        <w:tabs>
          <w:tab w:val="left" w:pos="540"/>
        </w:tabs>
        <w:spacing w:line="480" w:lineRule="auto"/>
        <w:ind w:left="0"/>
      </w:pPr>
      <w:r w:rsidRPr="00732AB9">
        <w:t>(3)</w:t>
      </w:r>
      <w:r>
        <w:t xml:space="preserve"> </w:t>
      </w:r>
      <w:r w:rsidR="00444CF0">
        <w:tab/>
      </w:r>
      <w:r w:rsidRPr="00732AB9">
        <w:t>It</w:t>
      </w:r>
      <w:r>
        <w:t xml:space="preserve"> </w:t>
      </w:r>
      <w:r w:rsidRPr="00732AB9">
        <w:t>is</w:t>
      </w:r>
      <w:r>
        <w:t xml:space="preserve"> </w:t>
      </w:r>
      <w:r w:rsidRPr="00732AB9">
        <w:t>appropriate</w:t>
      </w:r>
      <w:r>
        <w:t xml:space="preserve"> </w:t>
      </w:r>
      <w:r w:rsidRPr="00732AB9">
        <w:t>to</w:t>
      </w:r>
      <w:r>
        <w:t xml:space="preserve"> </w:t>
      </w:r>
      <w:r w:rsidRPr="00732AB9">
        <w:t>recognize</w:t>
      </w:r>
      <w:r>
        <w:t xml:space="preserve"> </w:t>
      </w:r>
      <w:r w:rsidRPr="00732AB9">
        <w:t>a</w:t>
      </w:r>
      <w:r>
        <w:t xml:space="preserve"> </w:t>
      </w:r>
      <w:r w:rsidRPr="00732AB9">
        <w:t>new</w:t>
      </w:r>
      <w:r>
        <w:t xml:space="preserve"> </w:t>
      </w:r>
      <w:r w:rsidRPr="00732AB9">
        <w:t>common</w:t>
      </w:r>
      <w:r>
        <w:t xml:space="preserve"> </w:t>
      </w:r>
      <w:r w:rsidRPr="00732AB9">
        <w:t>law</w:t>
      </w:r>
      <w:r>
        <w:t xml:space="preserve"> </w:t>
      </w:r>
      <w:r w:rsidRPr="00732AB9">
        <w:t>duty</w:t>
      </w:r>
      <w:r>
        <w:t xml:space="preserve"> </w:t>
      </w:r>
      <w:r w:rsidRPr="00732AB9">
        <w:t>that</w:t>
      </w:r>
      <w:r>
        <w:t xml:space="preserve"> </w:t>
      </w:r>
      <w:r w:rsidRPr="00732AB9">
        <w:t>applies</w:t>
      </w:r>
      <w:r>
        <w:t xml:space="preserve"> </w:t>
      </w:r>
      <w:r w:rsidRPr="00732AB9">
        <w:t>to</w:t>
      </w:r>
      <w:r>
        <w:t xml:space="preserve"> </w:t>
      </w:r>
      <w:r w:rsidRPr="00732AB9">
        <w:t>all</w:t>
      </w:r>
      <w:r>
        <w:t xml:space="preserve"> </w:t>
      </w:r>
      <w:r w:rsidRPr="00732AB9">
        <w:t>contracts</w:t>
      </w:r>
      <w:r>
        <w:t xml:space="preserve"> </w:t>
      </w:r>
      <w:r w:rsidRPr="00732AB9">
        <w:t>as</w:t>
      </w:r>
      <w:r>
        <w:t xml:space="preserve"> </w:t>
      </w:r>
      <w:r w:rsidRPr="00732AB9">
        <w:t>a</w:t>
      </w:r>
      <w:r>
        <w:t xml:space="preserve"> </w:t>
      </w:r>
      <w:r w:rsidRPr="00732AB9">
        <w:t>manifestation</w:t>
      </w:r>
      <w:r>
        <w:t xml:space="preserve"> </w:t>
      </w:r>
      <w:r w:rsidRPr="00732AB9">
        <w:t>of</w:t>
      </w:r>
      <w:r>
        <w:t xml:space="preserve"> </w:t>
      </w:r>
      <w:r w:rsidRPr="00732AB9">
        <w:t>the</w:t>
      </w:r>
      <w:r>
        <w:t xml:space="preserve"> </w:t>
      </w:r>
      <w:r w:rsidRPr="00732AB9">
        <w:t>general</w:t>
      </w:r>
      <w:r>
        <w:t xml:space="preserve"> </w:t>
      </w:r>
      <w:r w:rsidRPr="00732AB9">
        <w:t>organizing</w:t>
      </w:r>
      <w:r>
        <w:t xml:space="preserve"> </w:t>
      </w:r>
      <w:r w:rsidRPr="00732AB9">
        <w:t>principle</w:t>
      </w:r>
      <w:r>
        <w:t xml:space="preserve"> </w:t>
      </w:r>
      <w:r w:rsidRPr="00732AB9">
        <w:t>of</w:t>
      </w:r>
      <w:r>
        <w:t xml:space="preserve"> </w:t>
      </w:r>
      <w:r w:rsidRPr="00732AB9">
        <w:t>good</w:t>
      </w:r>
      <w:r>
        <w:t xml:space="preserve"> </w:t>
      </w:r>
      <w:r w:rsidRPr="00732AB9">
        <w:t>faith:</w:t>
      </w:r>
      <w:r>
        <w:t xml:space="preserve"> </w:t>
      </w:r>
      <w:r w:rsidRPr="00732AB9">
        <w:t>a</w:t>
      </w:r>
      <w:r>
        <w:t xml:space="preserve"> </w:t>
      </w:r>
      <w:r w:rsidRPr="00732AB9">
        <w:t>duty</w:t>
      </w:r>
      <w:r>
        <w:t xml:space="preserve"> </w:t>
      </w:r>
      <w:r w:rsidRPr="00732AB9">
        <w:t>of</w:t>
      </w:r>
      <w:r>
        <w:t xml:space="preserve"> </w:t>
      </w:r>
      <w:r w:rsidRPr="00732AB9">
        <w:t>honest</w:t>
      </w:r>
      <w:r>
        <w:t xml:space="preserve"> </w:t>
      </w:r>
      <w:r w:rsidRPr="00732AB9">
        <w:t>performance,</w:t>
      </w:r>
      <w:r>
        <w:t xml:space="preserve"> </w:t>
      </w:r>
      <w:r w:rsidRPr="00732AB9">
        <w:t>which</w:t>
      </w:r>
      <w:r>
        <w:t xml:space="preserve"> </w:t>
      </w:r>
      <w:r w:rsidRPr="00732AB9">
        <w:t>requires</w:t>
      </w:r>
      <w:r>
        <w:t xml:space="preserve"> </w:t>
      </w:r>
      <w:r w:rsidRPr="00732AB9">
        <w:t>the</w:t>
      </w:r>
      <w:r>
        <w:t xml:space="preserve"> </w:t>
      </w:r>
      <w:r w:rsidRPr="00732AB9">
        <w:t>parties</w:t>
      </w:r>
      <w:r>
        <w:t xml:space="preserve"> </w:t>
      </w:r>
      <w:r w:rsidRPr="00732AB9">
        <w:t>to</w:t>
      </w:r>
      <w:r>
        <w:t xml:space="preserve"> </w:t>
      </w:r>
      <w:r w:rsidRPr="00732AB9">
        <w:t>be</w:t>
      </w:r>
      <w:r>
        <w:t xml:space="preserve"> </w:t>
      </w:r>
      <w:r w:rsidRPr="00732AB9">
        <w:t>honest</w:t>
      </w:r>
      <w:r>
        <w:t xml:space="preserve"> </w:t>
      </w:r>
      <w:r w:rsidRPr="00732AB9">
        <w:t>with</w:t>
      </w:r>
      <w:r>
        <w:t xml:space="preserve"> </w:t>
      </w:r>
      <w:r w:rsidRPr="00732AB9">
        <w:t>each</w:t>
      </w:r>
      <w:r>
        <w:t xml:space="preserve"> </w:t>
      </w:r>
      <w:r w:rsidRPr="00732AB9">
        <w:t>other</w:t>
      </w:r>
      <w:r>
        <w:t xml:space="preserve"> </w:t>
      </w:r>
      <w:r w:rsidRPr="00732AB9">
        <w:t>in</w:t>
      </w:r>
      <w:r>
        <w:t xml:space="preserve"> </w:t>
      </w:r>
      <w:r w:rsidRPr="00732AB9">
        <w:t>relation</w:t>
      </w:r>
      <w:r>
        <w:t xml:space="preserve"> </w:t>
      </w:r>
      <w:r w:rsidRPr="00732AB9">
        <w:t>to</w:t>
      </w:r>
      <w:r>
        <w:t xml:space="preserve"> </w:t>
      </w:r>
      <w:r w:rsidRPr="00732AB9">
        <w:t>the</w:t>
      </w:r>
      <w:r>
        <w:t xml:space="preserve"> </w:t>
      </w:r>
      <w:r w:rsidRPr="00732AB9">
        <w:t>performance</w:t>
      </w:r>
      <w:r>
        <w:t xml:space="preserve"> </w:t>
      </w:r>
      <w:r w:rsidRPr="00732AB9">
        <w:t>of</w:t>
      </w:r>
      <w:r>
        <w:t xml:space="preserve"> </w:t>
      </w:r>
      <w:r w:rsidRPr="00732AB9">
        <w:t>their</w:t>
      </w:r>
      <w:r>
        <w:t xml:space="preserve"> </w:t>
      </w:r>
      <w:r w:rsidRPr="00732AB9">
        <w:t>contractual</w:t>
      </w:r>
      <w:r>
        <w:t xml:space="preserve"> </w:t>
      </w:r>
      <w:r w:rsidRPr="00732AB9">
        <w:t>obligations.</w:t>
      </w:r>
      <w:r>
        <w:t xml:space="preserve"> </w:t>
      </w:r>
    </w:p>
    <w:p w:rsidR="00733EEE" w:rsidRPr="00732AB9" w:rsidRDefault="00733EEE" w:rsidP="00733EEE">
      <w:pPr>
        <w:pStyle w:val="Citation-AltC"/>
      </w:pPr>
    </w:p>
    <w:p w:rsidR="00733EEE" w:rsidRPr="00732AB9" w:rsidRDefault="00733EEE" w:rsidP="00444CF0">
      <w:pPr>
        <w:pStyle w:val="Title3LevelTitre3Niveau"/>
        <w:tabs>
          <w:tab w:val="clear" w:pos="6048"/>
          <w:tab w:val="num" w:pos="1170"/>
        </w:tabs>
        <w:ind w:left="1170" w:hanging="630"/>
        <w:rPr>
          <w:rFonts w:cs="Times New Roman"/>
        </w:rPr>
      </w:pPr>
      <w:r w:rsidRPr="00732AB9">
        <w:rPr>
          <w:rFonts w:cs="Times New Roman"/>
        </w:rPr>
        <w:t>Application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“acted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toward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261;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271.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interfere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follows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immediate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dispute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centred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contained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3.3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entered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November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1998.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three-year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automatically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six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months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initial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term:</w:t>
      </w:r>
    </w:p>
    <w:p w:rsidR="00733EEE" w:rsidRPr="00732AB9" w:rsidRDefault="00733EEE" w:rsidP="00733EEE">
      <w:pPr>
        <w:pStyle w:val="Citation-AltC"/>
        <w:rPr>
          <w:rFonts w:eastAsiaTheme="minorEastAsia"/>
        </w:rPr>
      </w:pPr>
      <w:r w:rsidRPr="00732AB9">
        <w:rPr>
          <w:rFonts w:eastAsiaTheme="minorEastAsia"/>
        </w:rPr>
        <w:tab/>
        <w:t>3.3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term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this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Agreement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shall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be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period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three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years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from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date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hereof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(the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“Initial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Term”)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thereafter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shall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be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automatically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renewed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successive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three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year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periods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(a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“Renewal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Term”),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subject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earlier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termination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provided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section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8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hereof,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unless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either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[Can-Am]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or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Enrollment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Director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notifies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other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writing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at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least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six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months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prior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expiry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Initial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Term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or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any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Renewal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Term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that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notifying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party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desires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expiry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Agreement,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which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event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Agreement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shall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expire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at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end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such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Initial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Term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or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Renewal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Term,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00732AB9">
        <w:rPr>
          <w:rFonts w:eastAsiaTheme="minorEastAsia"/>
        </w:rPr>
        <w:t>applicable.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matrix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complicated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outline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broad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terms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two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interrelated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story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lines.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concerns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persistent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attempts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over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market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—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takeover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second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concerns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difficulties,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beginning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early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April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1999,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Securities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regulated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insisted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appoint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full-time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responsible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compliance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securities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law.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ultimately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appointed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audit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competitor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agencies,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confidential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information.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refusal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allow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information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confrontation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notice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wanted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merger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effectively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context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throughout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period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leading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up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own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role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PTO.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detailed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amply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support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overall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conclusion.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early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considering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significant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reorganization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activities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Alberta;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year,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organizational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chart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showing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under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Hrynew’s.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nothing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167-68.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representations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false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concluded,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refer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246.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fearful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going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licence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prepared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whatever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forestall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possibility.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“However,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[Mr.]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realities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situation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[it]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them”: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246.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August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first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during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meeting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regional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vice-president.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questioned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merger,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official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“equivocated”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tell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truth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perspective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“done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deal”.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official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[Mr.]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meeting: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247.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complained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conflict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auditor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competitor,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blamed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rejected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appoint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PTO.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truthful.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mention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proposed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appoint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non-resident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Alberta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qualified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according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criteria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decided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appoint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meet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criteria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either: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195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221.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misrepresented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—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repeatedly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—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confidentiality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segregation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activities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audit,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finalize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until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March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notwithstanding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assurances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include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190-221.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possibly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missed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very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protests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[Mr.]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appointment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confidentiality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segregation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activities”: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221.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repeated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“lies”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supposed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obligations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confidentiality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after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protections,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signed: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204.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pushed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audit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required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Commission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though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arranged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employees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audit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198.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intimately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connected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provision.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1998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exercising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clause.</w:t>
      </w:r>
    </w:p>
    <w:p w:rsidR="00733EEE" w:rsidRPr="00732AB9" w:rsidRDefault="00733EEE" w:rsidP="00733EEE">
      <w:pPr>
        <w:pStyle w:val="Title2LevelTitre2Niveau"/>
        <w:rPr>
          <w:rFonts w:cs="Times New Roman"/>
        </w:rPr>
      </w:pPr>
      <w:r w:rsidRPr="00732AB9">
        <w:rPr>
          <w:rFonts w:cs="Times New Roman"/>
        </w:rPr>
        <w:t>Liability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Civil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Conspiracy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Inducing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conclusion,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rejection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torts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inducing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unlawful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conspiracy.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encourage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dealings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conduct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fairly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attributable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271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287.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follows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induce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performance.</w:t>
      </w:r>
      <w:r>
        <w:rPr>
          <w:rFonts w:cs="Times New Roman"/>
        </w:rPr>
        <w:t xml:space="preserve">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dismissed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conspiracy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injure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interfere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However,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respondents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unlawful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conspiracy,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unlawful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inducing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326.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Because,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light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conclusions,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relevant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inducement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relevant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unlawful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pertained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alone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Accordingly,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liability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civil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conspiracy: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  <w:i/>
        </w:rPr>
        <w:t>Agribrands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Purina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Canada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Inc.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v.</w:t>
      </w:r>
      <w:r>
        <w:rPr>
          <w:rFonts w:cs="Times New Roman"/>
          <w:i/>
        </w:rPr>
        <w:t xml:space="preserve"> </w:t>
      </w:r>
      <w:r w:rsidRPr="00732AB9">
        <w:rPr>
          <w:rFonts w:cs="Times New Roman"/>
          <w:i/>
        </w:rPr>
        <w:t>Kasamekas</w:t>
      </w:r>
      <w:r w:rsidRPr="00732AB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2011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ONCA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460,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106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O.R.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(3d)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427,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43.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result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reached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liability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inducing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unlawful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conspiracy: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36.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follows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claims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against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rightly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dismissed.</w:t>
      </w:r>
    </w:p>
    <w:p w:rsidR="00733EEE" w:rsidRPr="00732AB9" w:rsidRDefault="00733EEE" w:rsidP="00733EEE">
      <w:pPr>
        <w:pStyle w:val="Title2LevelTitre2Niveau"/>
        <w:rPr>
          <w:rFonts w:cs="Times New Roman"/>
        </w:rPr>
      </w:pP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Appropriate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Measure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Damages?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breach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consisted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failure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particular,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settled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intentions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renewal.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damages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calculated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economic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position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fulfilled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duty.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damages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different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liability,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specifically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dishonesty,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“retain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agency”: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paras.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258-59.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reaching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conclusion,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well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aware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difficulties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lastRenderedPageBreak/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selling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“almost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absolute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controls”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owned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“book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business”: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402.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also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heard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evidence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taking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limitations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account.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view,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permit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damages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basis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performed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honestly,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retain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rather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effect,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expropriated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turned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over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Hrynew.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clear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time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$87,000.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defendant</w:t>
      </w:r>
      <w:r w:rsidR="00B40034">
        <w:rPr>
          <w:rFonts w:cs="Times New Roman"/>
        </w:rPr>
        <w:t>s’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2001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(the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time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non-renewal)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approximately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$87,000.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While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some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confusion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record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date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evaluation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relevance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discount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rates,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persuaded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found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worth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$87,000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time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expired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made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fully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alive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difficulties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standing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sale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given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contractual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arrangements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between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enrollment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directors: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see,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e.g.,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para.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451.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addition,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suggestion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argument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figure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reassessed.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fact,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defendants,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appellants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submitted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court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damages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payable,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assessed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business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time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expiry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Agreement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noted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accepted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evidence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their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expert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witness,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Bailey,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value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$87,000.</w:t>
      </w:r>
      <w:r>
        <w:rPr>
          <w:rFonts w:cs="Times New Roman"/>
        </w:rPr>
        <w:t xml:space="preserve">  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lastRenderedPageBreak/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conclude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therefore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entitled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damages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amount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$87,000.</w:t>
      </w:r>
    </w:p>
    <w:p w:rsidR="00733EEE" w:rsidRPr="00732AB9" w:rsidRDefault="00733EEE" w:rsidP="00733EEE">
      <w:pPr>
        <w:pStyle w:val="Title1LevelTitre1Niveau-AltL"/>
        <w:rPr>
          <w:rFonts w:cs="Times New Roman"/>
        </w:rPr>
      </w:pPr>
      <w:r w:rsidRPr="00732AB9">
        <w:rPr>
          <w:rFonts w:cs="Times New Roman"/>
        </w:rPr>
        <w:t>Disposition</w:t>
      </w:r>
    </w:p>
    <w:p w:rsidR="00733EEE" w:rsidRPr="00732AB9" w:rsidRDefault="00733EEE" w:rsidP="00733EEE">
      <w:pPr>
        <w:pStyle w:val="ParaNoNdepar-AltN"/>
        <w:tabs>
          <w:tab w:val="clear" w:pos="1152"/>
          <w:tab w:val="left" w:pos="1166"/>
        </w:tabs>
        <w:rPr>
          <w:rFonts w:cs="Times New Roman"/>
        </w:rPr>
      </w:pP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allow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Can-Am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dismiss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appeal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respect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Hrynew.</w:t>
      </w:r>
      <w:r>
        <w:rPr>
          <w:rFonts w:cs="Times New Roman"/>
        </w:rPr>
        <w:t xml:space="preserve">  </w:t>
      </w:r>
      <w:r w:rsidRPr="00732AB9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would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vary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trial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judge’s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assessment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damages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$87,000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plus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interest.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Bhasin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have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his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costs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throughout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732AB9">
        <w:rPr>
          <w:rFonts w:cs="Times New Roman"/>
        </w:rPr>
        <w:t>against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Can-Am.</w:t>
      </w:r>
      <w:r>
        <w:rPr>
          <w:rFonts w:cs="Times New Roman"/>
        </w:rPr>
        <w:t xml:space="preserve">  </w:t>
      </w:r>
      <w:r w:rsidRPr="00D33554">
        <w:rPr>
          <w:rFonts w:cs="Times New Roman"/>
        </w:rPr>
        <w:t>There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should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costs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any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level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favour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of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against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Mr.</w:t>
      </w:r>
      <w:r>
        <w:rPr>
          <w:rFonts w:cs="Times New Roman"/>
        </w:rPr>
        <w:t xml:space="preserve"> </w:t>
      </w:r>
      <w:r w:rsidRPr="00D33554">
        <w:rPr>
          <w:rFonts w:cs="Times New Roman"/>
        </w:rPr>
        <w:t>Hrynew.</w:t>
      </w:r>
    </w:p>
    <w:p w:rsidR="009B57B3" w:rsidRPr="00CF2184" w:rsidRDefault="007C2C03" w:rsidP="00733EEE">
      <w:pPr>
        <w:pStyle w:val="SCCNormalDoubleSpacing"/>
        <w:spacing w:before="480" w:after="480"/>
      </w:pPr>
      <w:r w:rsidRPr="00CF2184">
        <w:tab/>
      </w:r>
      <w:r w:rsidR="00656313" w:rsidRPr="00CF2184">
        <w:rPr>
          <w:i/>
        </w:rPr>
        <w:t>Appeal</w:t>
      </w:r>
      <w:r w:rsidR="00733EEE">
        <w:rPr>
          <w:i/>
        </w:rPr>
        <w:t xml:space="preserve"> </w:t>
      </w:r>
      <w:r w:rsidR="00600583" w:rsidRPr="00CF2184">
        <w:rPr>
          <w:i/>
        </w:rPr>
        <w:t>allowed</w:t>
      </w:r>
      <w:r w:rsidR="00733EEE">
        <w:rPr>
          <w:i/>
        </w:rPr>
        <w:t xml:space="preserve"> </w:t>
      </w:r>
      <w:r w:rsidR="00600583" w:rsidRPr="00CF2184">
        <w:rPr>
          <w:i/>
        </w:rPr>
        <w:t>in</w:t>
      </w:r>
      <w:r w:rsidR="00733EEE">
        <w:rPr>
          <w:i/>
        </w:rPr>
        <w:t xml:space="preserve"> </w:t>
      </w:r>
      <w:r w:rsidR="00600583" w:rsidRPr="00CF2184">
        <w:rPr>
          <w:i/>
        </w:rPr>
        <w:t>part</w:t>
      </w:r>
      <w:r w:rsidRPr="00CF2184">
        <w:rPr>
          <w:i/>
        </w:rPr>
        <w:t>.</w:t>
      </w:r>
    </w:p>
    <w:p w:rsidR="007C2C03" w:rsidRPr="00CF2184" w:rsidRDefault="00B23AB8" w:rsidP="00733EEE">
      <w:pPr>
        <w:pStyle w:val="SCCLawFirm"/>
        <w:spacing w:before="480" w:after="480"/>
      </w:pPr>
      <w:r w:rsidRPr="00CF2184">
        <w:tab/>
        <w:t>Solicitors</w:t>
      </w:r>
      <w:r w:rsidR="00733EEE">
        <w:t xml:space="preserve"> </w:t>
      </w:r>
      <w:r w:rsidRPr="00CF2184">
        <w:t>for</w:t>
      </w:r>
      <w:r w:rsidR="00733EEE">
        <w:t xml:space="preserve"> </w:t>
      </w:r>
      <w:r w:rsidRPr="00CF2184">
        <w:t>the</w:t>
      </w:r>
      <w:r w:rsidR="00733EEE">
        <w:t xml:space="preserve"> </w:t>
      </w:r>
      <w:r w:rsidRPr="00CF2184">
        <w:t>appellant:</w:t>
      </w:r>
      <w:r w:rsidR="00733EEE">
        <w:t xml:space="preserve">  </w:t>
      </w:r>
      <w:r w:rsidR="007C2C03" w:rsidRPr="00CF2184">
        <w:t>McCarthy</w:t>
      </w:r>
      <w:r w:rsidR="00733EEE">
        <w:t xml:space="preserve"> </w:t>
      </w:r>
      <w:r w:rsidR="007C2C03" w:rsidRPr="00CF2184">
        <w:t>Tétrault,</w:t>
      </w:r>
      <w:r w:rsidR="00733EEE">
        <w:t xml:space="preserve"> </w:t>
      </w:r>
      <w:r w:rsidR="007C2C03" w:rsidRPr="00CF2184">
        <w:t>Toronto.</w:t>
      </w:r>
    </w:p>
    <w:p w:rsidR="009B57B3" w:rsidRDefault="007C2C03" w:rsidP="00733EEE">
      <w:pPr>
        <w:pStyle w:val="SCCLawFirm"/>
        <w:rPr>
          <w:b/>
          <w:i w:val="0"/>
        </w:rPr>
      </w:pPr>
      <w:r w:rsidRPr="00CF2184">
        <w:tab/>
        <w:t>S</w:t>
      </w:r>
      <w:r w:rsidR="00B23AB8" w:rsidRPr="00CF2184">
        <w:t>olicitors</w:t>
      </w:r>
      <w:r w:rsidR="00733EEE">
        <w:t xml:space="preserve"> </w:t>
      </w:r>
      <w:r w:rsidR="00B23AB8" w:rsidRPr="00CF2184">
        <w:t>for</w:t>
      </w:r>
      <w:r w:rsidR="00733EEE">
        <w:t xml:space="preserve"> </w:t>
      </w:r>
      <w:r w:rsidR="00B23AB8" w:rsidRPr="00CF2184">
        <w:t>the</w:t>
      </w:r>
      <w:r w:rsidR="00733EEE">
        <w:t xml:space="preserve"> </w:t>
      </w:r>
      <w:r w:rsidR="00B23AB8" w:rsidRPr="00CF2184">
        <w:t>respondents:</w:t>
      </w:r>
      <w:r w:rsidR="00733EEE">
        <w:t xml:space="preserve">  </w:t>
      </w:r>
      <w:r w:rsidRPr="00CF2184">
        <w:t>Lenczner</w:t>
      </w:r>
      <w:r w:rsidR="00733EEE">
        <w:t xml:space="preserve"> </w:t>
      </w:r>
      <w:r w:rsidRPr="00CF2184">
        <w:t>Slaght</w:t>
      </w:r>
      <w:r w:rsidR="00733EEE">
        <w:t xml:space="preserve"> </w:t>
      </w:r>
      <w:r w:rsidRPr="00CF2184">
        <w:t>Royce</w:t>
      </w:r>
      <w:r w:rsidR="00733EEE">
        <w:t xml:space="preserve"> </w:t>
      </w:r>
      <w:r w:rsidRPr="00CF2184">
        <w:t>Smith</w:t>
      </w:r>
      <w:r w:rsidR="00733EEE">
        <w:t xml:space="preserve"> </w:t>
      </w:r>
      <w:r w:rsidRPr="00CF2184">
        <w:t>Griffin,</w:t>
      </w:r>
      <w:r w:rsidR="00733EEE">
        <w:t xml:space="preserve"> </w:t>
      </w:r>
      <w:r w:rsidRPr="00CF2184">
        <w:t>Toronto.</w:t>
      </w:r>
    </w:p>
    <w:p w:rsidR="00733EEE" w:rsidRPr="00733EEE" w:rsidRDefault="00733EEE" w:rsidP="00733EEE">
      <w:pPr>
        <w:pStyle w:val="SCCNormalDoubleSpacing"/>
      </w:pPr>
    </w:p>
    <w:sectPr w:rsidR="00733EEE" w:rsidRPr="00733EEE" w:rsidSect="000648CC">
      <w:headerReference w:type="default" r:id="rId11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06" w:rsidRDefault="00F20C06">
      <w:r>
        <w:separator/>
      </w:r>
    </w:p>
  </w:endnote>
  <w:endnote w:type="continuationSeparator" w:id="0">
    <w:p w:rsidR="00F20C06" w:rsidRDefault="00F2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06" w:rsidRDefault="00F20C06">
      <w:r>
        <w:separator/>
      </w:r>
    </w:p>
  </w:footnote>
  <w:footnote w:type="continuationSeparator" w:id="0">
    <w:p w:rsidR="00F20C06" w:rsidRDefault="00F2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D2" w:rsidRPr="00450352" w:rsidRDefault="002D38D2" w:rsidP="004503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0B"/>
    <w:multiLevelType w:val="hybridMultilevel"/>
    <w:tmpl w:val="9E801CEE"/>
    <w:lvl w:ilvl="0" w:tplc="E4A06FC0">
      <w:start w:val="1"/>
      <w:numFmt w:val="bullet"/>
      <w:lvlText w:val="-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4346570"/>
    <w:multiLevelType w:val="hybridMultilevel"/>
    <w:tmpl w:val="5D9A71C8"/>
    <w:lvl w:ilvl="0" w:tplc="67BC2B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2D5942"/>
    <w:multiLevelType w:val="multilevel"/>
    <w:tmpl w:val="BD18D77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1FAF31A9"/>
    <w:multiLevelType w:val="hybridMultilevel"/>
    <w:tmpl w:val="9F5C0154"/>
    <w:lvl w:ilvl="0" w:tplc="DFF0BB6E">
      <w:start w:val="1"/>
      <w:numFmt w:val="decimal"/>
      <w:lvlText w:val="%1."/>
      <w:lvlJc w:val="left"/>
      <w:pPr>
        <w:ind w:left="720" w:hanging="360"/>
      </w:pPr>
    </w:lvl>
    <w:lvl w:ilvl="1" w:tplc="E15631B0" w:tentative="1">
      <w:start w:val="1"/>
      <w:numFmt w:val="lowerLetter"/>
      <w:lvlText w:val="%2."/>
      <w:lvlJc w:val="left"/>
      <w:pPr>
        <w:ind w:left="1440" w:hanging="360"/>
      </w:pPr>
    </w:lvl>
    <w:lvl w:ilvl="2" w:tplc="79A2B672" w:tentative="1">
      <w:start w:val="1"/>
      <w:numFmt w:val="lowerRoman"/>
      <w:lvlText w:val="%3."/>
      <w:lvlJc w:val="right"/>
      <w:pPr>
        <w:ind w:left="2160" w:hanging="180"/>
      </w:pPr>
    </w:lvl>
    <w:lvl w:ilvl="3" w:tplc="DC16FCBE" w:tentative="1">
      <w:start w:val="1"/>
      <w:numFmt w:val="decimal"/>
      <w:lvlText w:val="%4."/>
      <w:lvlJc w:val="left"/>
      <w:pPr>
        <w:ind w:left="2880" w:hanging="360"/>
      </w:pPr>
    </w:lvl>
    <w:lvl w:ilvl="4" w:tplc="A904ACC8" w:tentative="1">
      <w:start w:val="1"/>
      <w:numFmt w:val="lowerLetter"/>
      <w:lvlText w:val="%5."/>
      <w:lvlJc w:val="left"/>
      <w:pPr>
        <w:ind w:left="3600" w:hanging="360"/>
      </w:pPr>
    </w:lvl>
    <w:lvl w:ilvl="5" w:tplc="2250B9C4" w:tentative="1">
      <w:start w:val="1"/>
      <w:numFmt w:val="lowerRoman"/>
      <w:lvlText w:val="%6."/>
      <w:lvlJc w:val="right"/>
      <w:pPr>
        <w:ind w:left="4320" w:hanging="180"/>
      </w:pPr>
    </w:lvl>
    <w:lvl w:ilvl="6" w:tplc="30324026" w:tentative="1">
      <w:start w:val="1"/>
      <w:numFmt w:val="decimal"/>
      <w:lvlText w:val="%7."/>
      <w:lvlJc w:val="left"/>
      <w:pPr>
        <w:ind w:left="5040" w:hanging="360"/>
      </w:pPr>
    </w:lvl>
    <w:lvl w:ilvl="7" w:tplc="6F385B40" w:tentative="1">
      <w:start w:val="1"/>
      <w:numFmt w:val="lowerLetter"/>
      <w:lvlText w:val="%8."/>
      <w:lvlJc w:val="left"/>
      <w:pPr>
        <w:ind w:left="5760" w:hanging="360"/>
      </w:pPr>
    </w:lvl>
    <w:lvl w:ilvl="8" w:tplc="F9B07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130A"/>
    <w:multiLevelType w:val="multilevel"/>
    <w:tmpl w:val="D76A75B4"/>
    <w:lvl w:ilvl="0">
      <w:start w:val="1"/>
      <w:numFmt w:val="upperRoman"/>
      <w:pStyle w:val="Title1LevelTitre1Niveau-AltL"/>
      <w:lvlText w:val="%1."/>
      <w:lvlJc w:val="left"/>
      <w:pPr>
        <w:tabs>
          <w:tab w:val="num" w:pos="5616"/>
        </w:tabs>
        <w:ind w:left="5616" w:hanging="432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616"/>
        </w:tabs>
        <w:ind w:left="561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6048"/>
        </w:tabs>
        <w:ind w:left="6048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6480"/>
        </w:tabs>
        <w:ind w:left="6480" w:hanging="432"/>
      </w:pPr>
      <w:rPr>
        <w:rFonts w:ascii="Times New Roman" w:eastAsiaTheme="minorHAnsi" w:hAnsi="Times New Roman" w:cstheme="minorBidi"/>
        <w:b w:val="0"/>
        <w:i w:val="0"/>
        <w:strike w:val="0"/>
        <w:color w:val="auto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6912"/>
        </w:tabs>
        <w:ind w:left="6912" w:hanging="432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7776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6">
    <w:nsid w:val="494176B0"/>
    <w:multiLevelType w:val="hybridMultilevel"/>
    <w:tmpl w:val="6A943820"/>
    <w:lvl w:ilvl="0" w:tplc="F8520AD0">
      <w:start w:val="1"/>
      <w:numFmt w:val="bullet"/>
      <w:lvlText w:val=""/>
      <w:lvlJc w:val="left"/>
      <w:pPr>
        <w:ind w:left="-468" w:hanging="360"/>
      </w:pPr>
      <w:rPr>
        <w:rFonts w:ascii="Symbol" w:hAnsi="Symbol" w:hint="default"/>
      </w:rPr>
    </w:lvl>
    <w:lvl w:ilvl="1" w:tplc="18E46538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A12A353C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88ACA9C6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8558EA94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F8CE9BCE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CB70058A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EFC02594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F7EA898C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7">
    <w:nsid w:val="4C035C40"/>
    <w:multiLevelType w:val="hybridMultilevel"/>
    <w:tmpl w:val="02E69B28"/>
    <w:lvl w:ilvl="0" w:tplc="807444BC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61FA1970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E8C597E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BD167674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9C7E27B8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42180CB0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31B66C72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B448A4EA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5454A110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4CE36BA0"/>
    <w:multiLevelType w:val="hybridMultilevel"/>
    <w:tmpl w:val="5742DC2C"/>
    <w:lvl w:ilvl="0" w:tplc="F27865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952EA94C" w:tentative="1">
      <w:start w:val="1"/>
      <w:numFmt w:val="lowerLetter"/>
      <w:lvlText w:val="%2."/>
      <w:lvlJc w:val="left"/>
      <w:pPr>
        <w:ind w:left="1440" w:hanging="360"/>
      </w:pPr>
    </w:lvl>
    <w:lvl w:ilvl="2" w:tplc="3856C534" w:tentative="1">
      <w:start w:val="1"/>
      <w:numFmt w:val="lowerRoman"/>
      <w:lvlText w:val="%3."/>
      <w:lvlJc w:val="right"/>
      <w:pPr>
        <w:ind w:left="2160" w:hanging="180"/>
      </w:pPr>
    </w:lvl>
    <w:lvl w:ilvl="3" w:tplc="CE342784" w:tentative="1">
      <w:start w:val="1"/>
      <w:numFmt w:val="decimal"/>
      <w:lvlText w:val="%4."/>
      <w:lvlJc w:val="left"/>
      <w:pPr>
        <w:ind w:left="2880" w:hanging="360"/>
      </w:pPr>
    </w:lvl>
    <w:lvl w:ilvl="4" w:tplc="407E87F6" w:tentative="1">
      <w:start w:val="1"/>
      <w:numFmt w:val="lowerLetter"/>
      <w:lvlText w:val="%5."/>
      <w:lvlJc w:val="left"/>
      <w:pPr>
        <w:ind w:left="3600" w:hanging="360"/>
      </w:pPr>
    </w:lvl>
    <w:lvl w:ilvl="5" w:tplc="6EA62DA0" w:tentative="1">
      <w:start w:val="1"/>
      <w:numFmt w:val="lowerRoman"/>
      <w:lvlText w:val="%6."/>
      <w:lvlJc w:val="right"/>
      <w:pPr>
        <w:ind w:left="4320" w:hanging="180"/>
      </w:pPr>
    </w:lvl>
    <w:lvl w:ilvl="6" w:tplc="9A88E2FC" w:tentative="1">
      <w:start w:val="1"/>
      <w:numFmt w:val="decimal"/>
      <w:lvlText w:val="%7."/>
      <w:lvlJc w:val="left"/>
      <w:pPr>
        <w:ind w:left="5040" w:hanging="360"/>
      </w:pPr>
    </w:lvl>
    <w:lvl w:ilvl="7" w:tplc="8848A4D6" w:tentative="1">
      <w:start w:val="1"/>
      <w:numFmt w:val="lowerLetter"/>
      <w:lvlText w:val="%8."/>
      <w:lvlJc w:val="left"/>
      <w:pPr>
        <w:ind w:left="5760" w:hanging="360"/>
      </w:pPr>
    </w:lvl>
    <w:lvl w:ilvl="8" w:tplc="57D61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83EE8"/>
    <w:multiLevelType w:val="multilevel"/>
    <w:tmpl w:val="6EF07A4E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C538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3"/>
  </w:num>
  <w:num w:numId="20">
    <w:abstractNumId w:val="11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4C"/>
    <w:rsid w:val="00000ED4"/>
    <w:rsid w:val="00004946"/>
    <w:rsid w:val="000165D8"/>
    <w:rsid w:val="00025198"/>
    <w:rsid w:val="0002535D"/>
    <w:rsid w:val="0002742F"/>
    <w:rsid w:val="0003192E"/>
    <w:rsid w:val="00043C23"/>
    <w:rsid w:val="000578A3"/>
    <w:rsid w:val="00062B52"/>
    <w:rsid w:val="000648CC"/>
    <w:rsid w:val="000676D1"/>
    <w:rsid w:val="0007570B"/>
    <w:rsid w:val="00075F11"/>
    <w:rsid w:val="00091DCB"/>
    <w:rsid w:val="000976BA"/>
    <w:rsid w:val="000A2BDA"/>
    <w:rsid w:val="000A70C9"/>
    <w:rsid w:val="000B67C5"/>
    <w:rsid w:val="000C06B2"/>
    <w:rsid w:val="000C3E6E"/>
    <w:rsid w:val="000C43F5"/>
    <w:rsid w:val="000C59B8"/>
    <w:rsid w:val="000C6AF0"/>
    <w:rsid w:val="000D431F"/>
    <w:rsid w:val="000E4BCF"/>
    <w:rsid w:val="00104F33"/>
    <w:rsid w:val="00111DE2"/>
    <w:rsid w:val="00116B38"/>
    <w:rsid w:val="001272D1"/>
    <w:rsid w:val="001274B5"/>
    <w:rsid w:val="00135406"/>
    <w:rsid w:val="00135972"/>
    <w:rsid w:val="001426A9"/>
    <w:rsid w:val="001504F4"/>
    <w:rsid w:val="00154D7C"/>
    <w:rsid w:val="001570B0"/>
    <w:rsid w:val="0015752C"/>
    <w:rsid w:val="00157737"/>
    <w:rsid w:val="0016330F"/>
    <w:rsid w:val="00165277"/>
    <w:rsid w:val="00170592"/>
    <w:rsid w:val="00175B9E"/>
    <w:rsid w:val="00186351"/>
    <w:rsid w:val="00194935"/>
    <w:rsid w:val="00195D83"/>
    <w:rsid w:val="001A00C1"/>
    <w:rsid w:val="001A3D8E"/>
    <w:rsid w:val="001A58B6"/>
    <w:rsid w:val="001B33E0"/>
    <w:rsid w:val="001B4573"/>
    <w:rsid w:val="001B6FA1"/>
    <w:rsid w:val="001C6BBA"/>
    <w:rsid w:val="001C779F"/>
    <w:rsid w:val="001D2AC1"/>
    <w:rsid w:val="001D4E88"/>
    <w:rsid w:val="001F7DCA"/>
    <w:rsid w:val="002048E9"/>
    <w:rsid w:val="00220FC2"/>
    <w:rsid w:val="002222F4"/>
    <w:rsid w:val="00222F7F"/>
    <w:rsid w:val="002230E4"/>
    <w:rsid w:val="00224FC0"/>
    <w:rsid w:val="00225EA4"/>
    <w:rsid w:val="00226EAF"/>
    <w:rsid w:val="00231F3A"/>
    <w:rsid w:val="00234199"/>
    <w:rsid w:val="00234624"/>
    <w:rsid w:val="002406EE"/>
    <w:rsid w:val="00243EC8"/>
    <w:rsid w:val="00247BFC"/>
    <w:rsid w:val="00255ECF"/>
    <w:rsid w:val="00260143"/>
    <w:rsid w:val="002608C7"/>
    <w:rsid w:val="00261F2E"/>
    <w:rsid w:val="00266ADB"/>
    <w:rsid w:val="00270D93"/>
    <w:rsid w:val="002745CC"/>
    <w:rsid w:val="002925BA"/>
    <w:rsid w:val="0029678F"/>
    <w:rsid w:val="002B7924"/>
    <w:rsid w:val="002C55F6"/>
    <w:rsid w:val="002D28C3"/>
    <w:rsid w:val="002D38D2"/>
    <w:rsid w:val="002D39A4"/>
    <w:rsid w:val="002E1B77"/>
    <w:rsid w:val="002E6705"/>
    <w:rsid w:val="002F404C"/>
    <w:rsid w:val="00300FC4"/>
    <w:rsid w:val="00301D08"/>
    <w:rsid w:val="0030329A"/>
    <w:rsid w:val="0031086F"/>
    <w:rsid w:val="0031414C"/>
    <w:rsid w:val="00314E01"/>
    <w:rsid w:val="0032089D"/>
    <w:rsid w:val="003310DE"/>
    <w:rsid w:val="003323B0"/>
    <w:rsid w:val="0034593E"/>
    <w:rsid w:val="0035169A"/>
    <w:rsid w:val="0035259D"/>
    <w:rsid w:val="0035700F"/>
    <w:rsid w:val="003639C4"/>
    <w:rsid w:val="00364B18"/>
    <w:rsid w:val="00396CE0"/>
    <w:rsid w:val="003A125D"/>
    <w:rsid w:val="003A4C70"/>
    <w:rsid w:val="003B215F"/>
    <w:rsid w:val="003B48A0"/>
    <w:rsid w:val="003C799C"/>
    <w:rsid w:val="003D0399"/>
    <w:rsid w:val="003E1C71"/>
    <w:rsid w:val="003F12EA"/>
    <w:rsid w:val="003F327B"/>
    <w:rsid w:val="00406166"/>
    <w:rsid w:val="0040704B"/>
    <w:rsid w:val="00410A55"/>
    <w:rsid w:val="00411300"/>
    <w:rsid w:val="00415417"/>
    <w:rsid w:val="00420BEB"/>
    <w:rsid w:val="00426659"/>
    <w:rsid w:val="00444CF0"/>
    <w:rsid w:val="00444DD2"/>
    <w:rsid w:val="00450352"/>
    <w:rsid w:val="00454BDB"/>
    <w:rsid w:val="004558C1"/>
    <w:rsid w:val="00464800"/>
    <w:rsid w:val="00465132"/>
    <w:rsid w:val="00480C90"/>
    <w:rsid w:val="0048396F"/>
    <w:rsid w:val="00486DE5"/>
    <w:rsid w:val="00493C18"/>
    <w:rsid w:val="004A600C"/>
    <w:rsid w:val="004A6118"/>
    <w:rsid w:val="004B593A"/>
    <w:rsid w:val="004C478D"/>
    <w:rsid w:val="004D4774"/>
    <w:rsid w:val="004E00D5"/>
    <w:rsid w:val="004E2C26"/>
    <w:rsid w:val="004E6140"/>
    <w:rsid w:val="004F36FF"/>
    <w:rsid w:val="005125A8"/>
    <w:rsid w:val="0051490A"/>
    <w:rsid w:val="00521AE8"/>
    <w:rsid w:val="00527180"/>
    <w:rsid w:val="0054201E"/>
    <w:rsid w:val="00555291"/>
    <w:rsid w:val="00566AD1"/>
    <w:rsid w:val="00583EDE"/>
    <w:rsid w:val="00586DBB"/>
    <w:rsid w:val="00592568"/>
    <w:rsid w:val="005A1546"/>
    <w:rsid w:val="005A6079"/>
    <w:rsid w:val="005A7333"/>
    <w:rsid w:val="005D0FC6"/>
    <w:rsid w:val="005E4698"/>
    <w:rsid w:val="005E782F"/>
    <w:rsid w:val="005F1B8A"/>
    <w:rsid w:val="005F60AA"/>
    <w:rsid w:val="00600583"/>
    <w:rsid w:val="006039EA"/>
    <w:rsid w:val="0061031C"/>
    <w:rsid w:val="00610539"/>
    <w:rsid w:val="00613969"/>
    <w:rsid w:val="006220BE"/>
    <w:rsid w:val="00625C35"/>
    <w:rsid w:val="00643AFB"/>
    <w:rsid w:val="00656313"/>
    <w:rsid w:val="006565F4"/>
    <w:rsid w:val="00671558"/>
    <w:rsid w:val="00684EEA"/>
    <w:rsid w:val="0068654D"/>
    <w:rsid w:val="00691D21"/>
    <w:rsid w:val="00696805"/>
    <w:rsid w:val="0069689B"/>
    <w:rsid w:val="006A1551"/>
    <w:rsid w:val="006A2BF7"/>
    <w:rsid w:val="006B5FF5"/>
    <w:rsid w:val="006D2699"/>
    <w:rsid w:val="006E3F55"/>
    <w:rsid w:val="006E547B"/>
    <w:rsid w:val="006F30AF"/>
    <w:rsid w:val="006F4F8A"/>
    <w:rsid w:val="00701759"/>
    <w:rsid w:val="00705C15"/>
    <w:rsid w:val="00710A78"/>
    <w:rsid w:val="0071600E"/>
    <w:rsid w:val="00720831"/>
    <w:rsid w:val="007208D1"/>
    <w:rsid w:val="007215E4"/>
    <w:rsid w:val="00733EEE"/>
    <w:rsid w:val="00747288"/>
    <w:rsid w:val="00747DD3"/>
    <w:rsid w:val="007549C8"/>
    <w:rsid w:val="00754A0B"/>
    <w:rsid w:val="00756C4A"/>
    <w:rsid w:val="00766D14"/>
    <w:rsid w:val="00767A0F"/>
    <w:rsid w:val="007705D8"/>
    <w:rsid w:val="0077520F"/>
    <w:rsid w:val="0079184F"/>
    <w:rsid w:val="007A05F6"/>
    <w:rsid w:val="007A3AD3"/>
    <w:rsid w:val="007B6853"/>
    <w:rsid w:val="007B6F4A"/>
    <w:rsid w:val="007C2C03"/>
    <w:rsid w:val="007D2060"/>
    <w:rsid w:val="007E0E66"/>
    <w:rsid w:val="007E1C47"/>
    <w:rsid w:val="007E337A"/>
    <w:rsid w:val="007E5C70"/>
    <w:rsid w:val="007F2FF5"/>
    <w:rsid w:val="007F3461"/>
    <w:rsid w:val="007F3F08"/>
    <w:rsid w:val="008003B3"/>
    <w:rsid w:val="00804CC6"/>
    <w:rsid w:val="00817190"/>
    <w:rsid w:val="00820EE5"/>
    <w:rsid w:val="00824643"/>
    <w:rsid w:val="0082485E"/>
    <w:rsid w:val="008252F6"/>
    <w:rsid w:val="008260E2"/>
    <w:rsid w:val="008322BD"/>
    <w:rsid w:val="00833E0A"/>
    <w:rsid w:val="008343B0"/>
    <w:rsid w:val="00834F73"/>
    <w:rsid w:val="00836D63"/>
    <w:rsid w:val="00864CF8"/>
    <w:rsid w:val="00872819"/>
    <w:rsid w:val="00874914"/>
    <w:rsid w:val="00884206"/>
    <w:rsid w:val="00891422"/>
    <w:rsid w:val="00892E1A"/>
    <w:rsid w:val="00894EB1"/>
    <w:rsid w:val="00895946"/>
    <w:rsid w:val="008A3F29"/>
    <w:rsid w:val="008B660A"/>
    <w:rsid w:val="008C01DA"/>
    <w:rsid w:val="008E0D45"/>
    <w:rsid w:val="008F4E66"/>
    <w:rsid w:val="008F78E9"/>
    <w:rsid w:val="00901C25"/>
    <w:rsid w:val="00911989"/>
    <w:rsid w:val="009179F9"/>
    <w:rsid w:val="00921974"/>
    <w:rsid w:val="00922853"/>
    <w:rsid w:val="00933E5E"/>
    <w:rsid w:val="00935218"/>
    <w:rsid w:val="009403F3"/>
    <w:rsid w:val="00941D5B"/>
    <w:rsid w:val="009555B7"/>
    <w:rsid w:val="009567AA"/>
    <w:rsid w:val="0095713A"/>
    <w:rsid w:val="009609FC"/>
    <w:rsid w:val="00967374"/>
    <w:rsid w:val="009A0AFD"/>
    <w:rsid w:val="009A343A"/>
    <w:rsid w:val="009B2F23"/>
    <w:rsid w:val="009B57B3"/>
    <w:rsid w:val="009C5B92"/>
    <w:rsid w:val="009D18DA"/>
    <w:rsid w:val="009D2920"/>
    <w:rsid w:val="009D5AEB"/>
    <w:rsid w:val="009F0E33"/>
    <w:rsid w:val="00A030CE"/>
    <w:rsid w:val="00A149DF"/>
    <w:rsid w:val="00A1755C"/>
    <w:rsid w:val="00A17DEA"/>
    <w:rsid w:val="00A21B90"/>
    <w:rsid w:val="00A25E75"/>
    <w:rsid w:val="00A41805"/>
    <w:rsid w:val="00A42DCD"/>
    <w:rsid w:val="00A506C5"/>
    <w:rsid w:val="00A51FDA"/>
    <w:rsid w:val="00A52AFB"/>
    <w:rsid w:val="00A548CB"/>
    <w:rsid w:val="00A5521C"/>
    <w:rsid w:val="00A57A0D"/>
    <w:rsid w:val="00A643E7"/>
    <w:rsid w:val="00A71E2A"/>
    <w:rsid w:val="00A73C38"/>
    <w:rsid w:val="00A773A1"/>
    <w:rsid w:val="00A816A3"/>
    <w:rsid w:val="00A82172"/>
    <w:rsid w:val="00A8363A"/>
    <w:rsid w:val="00A91EF8"/>
    <w:rsid w:val="00AB00D1"/>
    <w:rsid w:val="00AB670D"/>
    <w:rsid w:val="00AE0C63"/>
    <w:rsid w:val="00AE5710"/>
    <w:rsid w:val="00AF03C5"/>
    <w:rsid w:val="00AF13A0"/>
    <w:rsid w:val="00AF252F"/>
    <w:rsid w:val="00AF62AF"/>
    <w:rsid w:val="00AF66E6"/>
    <w:rsid w:val="00B000D8"/>
    <w:rsid w:val="00B00F75"/>
    <w:rsid w:val="00B145B6"/>
    <w:rsid w:val="00B23AB8"/>
    <w:rsid w:val="00B279EB"/>
    <w:rsid w:val="00B33094"/>
    <w:rsid w:val="00B3652C"/>
    <w:rsid w:val="00B40034"/>
    <w:rsid w:val="00B464B6"/>
    <w:rsid w:val="00B50C81"/>
    <w:rsid w:val="00B52182"/>
    <w:rsid w:val="00B557F8"/>
    <w:rsid w:val="00B61316"/>
    <w:rsid w:val="00B66875"/>
    <w:rsid w:val="00B815FC"/>
    <w:rsid w:val="00B932F7"/>
    <w:rsid w:val="00B93FBC"/>
    <w:rsid w:val="00B94ED1"/>
    <w:rsid w:val="00BA7DA0"/>
    <w:rsid w:val="00BB2EE4"/>
    <w:rsid w:val="00BB3945"/>
    <w:rsid w:val="00BC2108"/>
    <w:rsid w:val="00BD0E9E"/>
    <w:rsid w:val="00BD1BEC"/>
    <w:rsid w:val="00BD2227"/>
    <w:rsid w:val="00BD32FF"/>
    <w:rsid w:val="00BD51C7"/>
    <w:rsid w:val="00BE429D"/>
    <w:rsid w:val="00BF5523"/>
    <w:rsid w:val="00C02092"/>
    <w:rsid w:val="00C0690E"/>
    <w:rsid w:val="00C1225A"/>
    <w:rsid w:val="00C13B14"/>
    <w:rsid w:val="00C24D91"/>
    <w:rsid w:val="00C44D54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32E7"/>
    <w:rsid w:val="00CA6391"/>
    <w:rsid w:val="00CB7D99"/>
    <w:rsid w:val="00CC34BD"/>
    <w:rsid w:val="00CD106D"/>
    <w:rsid w:val="00CE161A"/>
    <w:rsid w:val="00CE3171"/>
    <w:rsid w:val="00CF1601"/>
    <w:rsid w:val="00CF2184"/>
    <w:rsid w:val="00D0172F"/>
    <w:rsid w:val="00D029D9"/>
    <w:rsid w:val="00D068A7"/>
    <w:rsid w:val="00D17476"/>
    <w:rsid w:val="00D2589E"/>
    <w:rsid w:val="00D32086"/>
    <w:rsid w:val="00D3668A"/>
    <w:rsid w:val="00D37A3F"/>
    <w:rsid w:val="00D4431D"/>
    <w:rsid w:val="00D4667A"/>
    <w:rsid w:val="00D637DE"/>
    <w:rsid w:val="00D63A1C"/>
    <w:rsid w:val="00D6526B"/>
    <w:rsid w:val="00D65495"/>
    <w:rsid w:val="00D7516F"/>
    <w:rsid w:val="00D8579F"/>
    <w:rsid w:val="00D95F8E"/>
    <w:rsid w:val="00DA0590"/>
    <w:rsid w:val="00DA2A1D"/>
    <w:rsid w:val="00DB021D"/>
    <w:rsid w:val="00DB7BEA"/>
    <w:rsid w:val="00DC044C"/>
    <w:rsid w:val="00DC1739"/>
    <w:rsid w:val="00DC1788"/>
    <w:rsid w:val="00DC2744"/>
    <w:rsid w:val="00DD096C"/>
    <w:rsid w:val="00DE2957"/>
    <w:rsid w:val="00DE319C"/>
    <w:rsid w:val="00DF0CA8"/>
    <w:rsid w:val="00DF2B48"/>
    <w:rsid w:val="00DF49A7"/>
    <w:rsid w:val="00E018CD"/>
    <w:rsid w:val="00E07EE2"/>
    <w:rsid w:val="00E07FD1"/>
    <w:rsid w:val="00E14CAE"/>
    <w:rsid w:val="00E24573"/>
    <w:rsid w:val="00E25E1E"/>
    <w:rsid w:val="00E27EE7"/>
    <w:rsid w:val="00E35404"/>
    <w:rsid w:val="00E36C53"/>
    <w:rsid w:val="00E44146"/>
    <w:rsid w:val="00E45109"/>
    <w:rsid w:val="00E4741D"/>
    <w:rsid w:val="00E47B7A"/>
    <w:rsid w:val="00E51348"/>
    <w:rsid w:val="00E56A44"/>
    <w:rsid w:val="00E60269"/>
    <w:rsid w:val="00E77932"/>
    <w:rsid w:val="00E97830"/>
    <w:rsid w:val="00EA0EE3"/>
    <w:rsid w:val="00EA64E4"/>
    <w:rsid w:val="00EC1267"/>
    <w:rsid w:val="00ED5640"/>
    <w:rsid w:val="00EE643C"/>
    <w:rsid w:val="00EF0191"/>
    <w:rsid w:val="00EF0683"/>
    <w:rsid w:val="00EF69D2"/>
    <w:rsid w:val="00EF766E"/>
    <w:rsid w:val="00F0070C"/>
    <w:rsid w:val="00F00EB7"/>
    <w:rsid w:val="00F01EE5"/>
    <w:rsid w:val="00F20C06"/>
    <w:rsid w:val="00F279DE"/>
    <w:rsid w:val="00F36AB6"/>
    <w:rsid w:val="00F37A09"/>
    <w:rsid w:val="00F40639"/>
    <w:rsid w:val="00F409CE"/>
    <w:rsid w:val="00F4379D"/>
    <w:rsid w:val="00F50D2D"/>
    <w:rsid w:val="00F56C8B"/>
    <w:rsid w:val="00F66810"/>
    <w:rsid w:val="00F846D9"/>
    <w:rsid w:val="00F84DF4"/>
    <w:rsid w:val="00F85C97"/>
    <w:rsid w:val="00F87B40"/>
    <w:rsid w:val="00FB37D2"/>
    <w:rsid w:val="00FB69E1"/>
    <w:rsid w:val="00FC0B8F"/>
    <w:rsid w:val="00FC1E80"/>
    <w:rsid w:val="00FC4EFB"/>
    <w:rsid w:val="00FD068D"/>
    <w:rsid w:val="00FD2EF2"/>
    <w:rsid w:val="00FD4F28"/>
    <w:rsid w:val="00FE6784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Titre1">
    <w:name w:val="heading 1"/>
    <w:basedOn w:val="Normal"/>
    <w:next w:val="Normal"/>
    <w:link w:val="Titre1Car"/>
    <w:uiPriority w:val="5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3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3EEE"/>
    <w:pPr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33EEE"/>
    <w:pPr>
      <w:spacing w:before="200"/>
      <w:ind w:left="288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6A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33EEE"/>
    <w:pPr>
      <w:ind w:left="4320"/>
      <w:outlineLvl w:val="6"/>
    </w:pPr>
    <w:rPr>
      <w:rFonts w:asciiTheme="majorHAnsi" w:eastAsiaTheme="majorEastAsia" w:hAnsiTheme="majorHAnsi" w:cstheme="majorBidi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33E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33EEE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66AD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733EEE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Policepardfaut"/>
    <w:link w:val="SCCNormalDoubleSpacing"/>
    <w:rsid w:val="00104F33"/>
    <w:rPr>
      <w:sz w:val="24"/>
    </w:rPr>
  </w:style>
  <w:style w:type="character" w:styleId="lev">
    <w:name w:val="Strong"/>
    <w:basedOn w:val="Policepardfaut"/>
    <w:uiPriority w:val="22"/>
    <w:qFormat/>
    <w:rsid w:val="00C53F1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E31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C59B8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Policepardfau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Policepardfau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Policepardfau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Policepardfaut"/>
    <w:link w:val="SCCLsocOtherPartySeparator"/>
    <w:rsid w:val="003323B0"/>
    <w:rPr>
      <w:sz w:val="24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character" w:customStyle="1" w:styleId="SCCBanSummaryChar">
    <w:name w:val="SCC.BanSummary Char"/>
    <w:basedOn w:val="Policepardfaut"/>
    <w:link w:val="SCCBanSummary"/>
    <w:rsid w:val="00733EEE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Policepardfau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ParaNoNdepar-AltN">
    <w:name w:val="Para. No. / Nº de par. - Alt N"/>
    <w:qFormat/>
    <w:rsid w:val="0016330F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Citation-AltC">
    <w:name w:val="Citation - Alt C"/>
    <w:uiPriority w:val="2"/>
    <w:qFormat/>
    <w:rsid w:val="001A3D8E"/>
    <w:pPr>
      <w:spacing w:after="720"/>
      <w:ind w:left="1166"/>
      <w:contextualSpacing/>
      <w:jc w:val="both"/>
    </w:pPr>
    <w:rPr>
      <w:sz w:val="24"/>
      <w:szCs w:val="24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733EEE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OtherPartyRoleSeparatorChar">
    <w:name w:val="SCC.Lsoc.OtherPartyRoleSeparator Char"/>
    <w:basedOn w:val="Policepardfaut"/>
    <w:link w:val="SCCLsocOtherPartyRoleSeparator"/>
    <w:rsid w:val="00733EEE"/>
    <w:rPr>
      <w:rFonts w:eastAsiaTheme="minorHAnsi" w:cstheme="minorBidi"/>
      <w:sz w:val="24"/>
      <w:szCs w:val="22"/>
      <w:lang w:eastAsia="en-US"/>
    </w:rPr>
  </w:style>
  <w:style w:type="paragraph" w:customStyle="1" w:styleId="SCCCoram">
    <w:name w:val="SCC.Coram"/>
    <w:basedOn w:val="Normal"/>
    <w:next w:val="Normal"/>
    <w:link w:val="SCCCoramChar"/>
    <w:rsid w:val="00733EEE"/>
    <w:pPr>
      <w:pBdr>
        <w:bottom w:val="single" w:sz="4" w:space="1" w:color="auto"/>
      </w:pBdr>
    </w:pPr>
    <w:rPr>
      <w:rFonts w:eastAsiaTheme="minorHAnsi" w:cstheme="minorBidi"/>
      <w:szCs w:val="22"/>
      <w:lang w:eastAsia="en-US"/>
    </w:rPr>
  </w:style>
  <w:style w:type="character" w:customStyle="1" w:styleId="SCCCoramChar">
    <w:name w:val="SCC.Coram Char"/>
    <w:basedOn w:val="Policepardfaut"/>
    <w:link w:val="SCCCoram"/>
    <w:rsid w:val="00733EEE"/>
    <w:rPr>
      <w:rFonts w:eastAsiaTheme="minorHAnsi" w:cstheme="minorBidi"/>
      <w:sz w:val="24"/>
      <w:szCs w:val="22"/>
      <w:lang w:eastAsia="en-US"/>
    </w:rPr>
  </w:style>
  <w:style w:type="table" w:styleId="Grilledutableau">
    <w:name w:val="Table Grid"/>
    <w:basedOn w:val="TableauNormal"/>
    <w:uiPriority w:val="59"/>
    <w:rsid w:val="00733EEE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inueParaSuitedupar-AltP">
    <w:name w:val="Continue Para. / Suite du par. - Alt P"/>
    <w:next w:val="ParaNoNdepar-AltN"/>
    <w:uiPriority w:val="1"/>
    <w:qFormat/>
    <w:rsid w:val="00733EEE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uiPriority w:val="3"/>
    <w:rsid w:val="00733EEE"/>
    <w:pPr>
      <w:tabs>
        <w:tab w:val="left" w:pos="1166"/>
      </w:tabs>
      <w:spacing w:after="480" w:line="480" w:lineRule="auto"/>
    </w:pPr>
    <w:rPr>
      <w:smallCaps/>
      <w:sz w:val="24"/>
      <w:szCs w:val="24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733EEE"/>
    <w:pPr>
      <w:numPr>
        <w:numId w:val="15"/>
      </w:numPr>
      <w:tabs>
        <w:tab w:val="left" w:pos="576"/>
      </w:tabs>
      <w:spacing w:before="480" w:after="720"/>
      <w:ind w:left="576" w:hanging="576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733EEE"/>
    <w:pPr>
      <w:numPr>
        <w:ilvl w:val="1"/>
      </w:numPr>
      <w:ind w:left="576" w:hanging="576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733EEE"/>
    <w:pPr>
      <w:numPr>
        <w:ilvl w:val="2"/>
      </w:numPr>
      <w:tabs>
        <w:tab w:val="clear" w:pos="576"/>
      </w:tabs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733EEE"/>
    <w:pPr>
      <w:numPr>
        <w:ilvl w:val="3"/>
      </w:numPr>
      <w:tabs>
        <w:tab w:val="left" w:pos="1080"/>
      </w:tabs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733EEE"/>
    <w:pPr>
      <w:numPr>
        <w:ilvl w:val="4"/>
      </w:numPr>
      <w:tabs>
        <w:tab w:val="clear" w:pos="576"/>
        <w:tab w:val="left" w:pos="1620"/>
      </w:tabs>
    </w:pPr>
  </w:style>
  <w:style w:type="paragraph" w:styleId="TM1">
    <w:name w:val="toc 1"/>
    <w:basedOn w:val="Normal"/>
    <w:next w:val="Normal"/>
    <w:autoRedefine/>
    <w:uiPriority w:val="39"/>
    <w:unhideWhenUsed/>
    <w:rsid w:val="00733EEE"/>
    <w:pPr>
      <w:tabs>
        <w:tab w:val="left" w:pos="360"/>
        <w:tab w:val="right" w:leader="dot" w:pos="8270"/>
      </w:tabs>
      <w:spacing w:before="120" w:after="120"/>
    </w:pPr>
    <w:rPr>
      <w:noProof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33EEE"/>
    <w:pPr>
      <w:tabs>
        <w:tab w:val="left" w:pos="720"/>
        <w:tab w:val="right" w:leader="dot" w:pos="8270"/>
      </w:tabs>
      <w:spacing w:before="120" w:after="120"/>
      <w:ind w:left="432" w:hanging="432"/>
    </w:pPr>
    <w:rPr>
      <w:i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733EEE"/>
    <w:pPr>
      <w:tabs>
        <w:tab w:val="left" w:pos="1080"/>
        <w:tab w:val="right" w:leader="dot" w:pos="8270"/>
      </w:tabs>
      <w:spacing w:before="120" w:after="120"/>
      <w:ind w:left="864" w:hanging="432"/>
    </w:pPr>
    <w:rPr>
      <w:noProof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733EEE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733EEE"/>
    <w:pPr>
      <w:tabs>
        <w:tab w:val="left" w:pos="1440"/>
        <w:tab w:val="right" w:leader="dot" w:pos="8270"/>
      </w:tabs>
      <w:spacing w:before="120" w:after="120"/>
      <w:ind w:left="1454" w:hanging="547"/>
    </w:pPr>
    <w:rPr>
      <w:noProof/>
      <w:u w:val="single"/>
    </w:rPr>
  </w:style>
  <w:style w:type="paragraph" w:styleId="TM6">
    <w:name w:val="toc 6"/>
    <w:basedOn w:val="Normal"/>
    <w:next w:val="Normal"/>
    <w:autoRedefine/>
    <w:uiPriority w:val="39"/>
    <w:unhideWhenUsed/>
    <w:rsid w:val="00733EEE"/>
    <w:pPr>
      <w:tabs>
        <w:tab w:val="left" w:pos="2160"/>
        <w:tab w:val="right" w:leader="dot" w:pos="8270"/>
      </w:tabs>
      <w:spacing w:after="100"/>
      <w:ind w:left="1800"/>
    </w:pPr>
    <w:rPr>
      <w:noProof/>
    </w:rPr>
  </w:style>
  <w:style w:type="paragraph" w:customStyle="1" w:styleId="TitleTitre-AltT">
    <w:name w:val="Title / Titre - Alt T"/>
    <w:next w:val="ParaNoNdepar-AltN"/>
    <w:uiPriority w:val="3"/>
    <w:qFormat/>
    <w:rsid w:val="00733EEE"/>
    <w:pPr>
      <w:tabs>
        <w:tab w:val="left" w:pos="360"/>
      </w:tabs>
      <w:spacing w:before="480" w:after="720"/>
      <w:ind w:left="360" w:hanging="360"/>
      <w:jc w:val="both"/>
    </w:pPr>
    <w:rPr>
      <w:rFonts w:eastAsiaTheme="minorHAnsi" w:cstheme="minorBidi"/>
      <w:sz w:val="24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733EE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3EEE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3EEE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EEE"/>
    <w:rPr>
      <w:b/>
      <w:bCs/>
    </w:rPr>
  </w:style>
  <w:style w:type="character" w:customStyle="1" w:styleId="SCCLowerCourtJudge">
    <w:name w:val="SCC.LowerCourtJudge"/>
    <w:basedOn w:val="Policepardfaut"/>
    <w:uiPriority w:val="1"/>
    <w:qFormat/>
    <w:rsid w:val="00733EEE"/>
  </w:style>
  <w:style w:type="paragraph" w:customStyle="1" w:styleId="SCCLowerCourtText">
    <w:name w:val="SCC.LowerCourtText"/>
    <w:basedOn w:val="Normal"/>
    <w:next w:val="Normal"/>
    <w:link w:val="SCCLowerCourtTextChar"/>
    <w:qFormat/>
    <w:rsid w:val="00733EEE"/>
    <w:pPr>
      <w:jc w:val="both"/>
    </w:pPr>
  </w:style>
  <w:style w:type="character" w:customStyle="1" w:styleId="SCCLowerCourtTextChar">
    <w:name w:val="SCC.LowerCourtText Char"/>
    <w:basedOn w:val="Policepardfaut"/>
    <w:link w:val="SCCLowerCourtText"/>
    <w:rsid w:val="00733EEE"/>
    <w:rPr>
      <w:sz w:val="24"/>
    </w:rPr>
  </w:style>
  <w:style w:type="paragraph" w:styleId="Paragraphedeliste">
    <w:name w:val="List Paragraph"/>
    <w:basedOn w:val="Normal"/>
    <w:uiPriority w:val="34"/>
    <w:qFormat/>
    <w:rsid w:val="00733EEE"/>
    <w:pPr>
      <w:ind w:left="720"/>
      <w:contextualSpacing/>
    </w:pPr>
  </w:style>
  <w:style w:type="character" w:customStyle="1" w:styleId="SCCLsocPartyRoleChar">
    <w:name w:val="SCC.Lsoc.PartyRole Char"/>
    <w:basedOn w:val="Policepardfaut"/>
    <w:rsid w:val="005F1B8A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F1B8A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Policepardfaut"/>
    <w:link w:val="SCCLsocPrefix"/>
    <w:rsid w:val="005F1B8A"/>
    <w:rPr>
      <w:rFonts w:eastAsiaTheme="minorHAnsi" w:cstheme="minorBidi"/>
      <w:b/>
      <w:smallCap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Titre1">
    <w:name w:val="heading 1"/>
    <w:basedOn w:val="Normal"/>
    <w:next w:val="Normal"/>
    <w:link w:val="Titre1Car"/>
    <w:uiPriority w:val="5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3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3EEE"/>
    <w:pPr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33EEE"/>
    <w:pPr>
      <w:spacing w:before="200"/>
      <w:ind w:left="288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6A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33EEE"/>
    <w:pPr>
      <w:ind w:left="4320"/>
      <w:outlineLvl w:val="6"/>
    </w:pPr>
    <w:rPr>
      <w:rFonts w:asciiTheme="majorHAnsi" w:eastAsiaTheme="majorEastAsia" w:hAnsiTheme="majorHAnsi" w:cstheme="majorBidi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33E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33EEE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66AD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733EEE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Policepardfaut"/>
    <w:link w:val="SCCNormalDoubleSpacing"/>
    <w:rsid w:val="00104F33"/>
    <w:rPr>
      <w:sz w:val="24"/>
    </w:rPr>
  </w:style>
  <w:style w:type="character" w:styleId="lev">
    <w:name w:val="Strong"/>
    <w:basedOn w:val="Policepardfaut"/>
    <w:uiPriority w:val="22"/>
    <w:qFormat/>
    <w:rsid w:val="00C53F1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E31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C59B8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Policepardfau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Policepardfau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Policepardfau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Policepardfaut"/>
    <w:link w:val="SCCLsocOtherPartySeparator"/>
    <w:rsid w:val="003323B0"/>
    <w:rPr>
      <w:sz w:val="24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character" w:customStyle="1" w:styleId="SCCBanSummaryChar">
    <w:name w:val="SCC.BanSummary Char"/>
    <w:basedOn w:val="Policepardfaut"/>
    <w:link w:val="SCCBanSummary"/>
    <w:rsid w:val="00733EEE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Policepardfau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ParaNoNdepar-AltN">
    <w:name w:val="Para. No. / Nº de par. - Alt N"/>
    <w:qFormat/>
    <w:rsid w:val="0016330F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Citation-AltC">
    <w:name w:val="Citation - Alt C"/>
    <w:uiPriority w:val="2"/>
    <w:qFormat/>
    <w:rsid w:val="001A3D8E"/>
    <w:pPr>
      <w:spacing w:after="720"/>
      <w:ind w:left="1166"/>
      <w:contextualSpacing/>
      <w:jc w:val="both"/>
    </w:pPr>
    <w:rPr>
      <w:sz w:val="24"/>
      <w:szCs w:val="24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733EEE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OtherPartyRoleSeparatorChar">
    <w:name w:val="SCC.Lsoc.OtherPartyRoleSeparator Char"/>
    <w:basedOn w:val="Policepardfaut"/>
    <w:link w:val="SCCLsocOtherPartyRoleSeparator"/>
    <w:rsid w:val="00733EEE"/>
    <w:rPr>
      <w:rFonts w:eastAsiaTheme="minorHAnsi" w:cstheme="minorBidi"/>
      <w:sz w:val="24"/>
      <w:szCs w:val="22"/>
      <w:lang w:eastAsia="en-US"/>
    </w:rPr>
  </w:style>
  <w:style w:type="paragraph" w:customStyle="1" w:styleId="SCCCoram">
    <w:name w:val="SCC.Coram"/>
    <w:basedOn w:val="Normal"/>
    <w:next w:val="Normal"/>
    <w:link w:val="SCCCoramChar"/>
    <w:rsid w:val="00733EEE"/>
    <w:pPr>
      <w:pBdr>
        <w:bottom w:val="single" w:sz="4" w:space="1" w:color="auto"/>
      </w:pBdr>
    </w:pPr>
    <w:rPr>
      <w:rFonts w:eastAsiaTheme="minorHAnsi" w:cstheme="minorBidi"/>
      <w:szCs w:val="22"/>
      <w:lang w:eastAsia="en-US"/>
    </w:rPr>
  </w:style>
  <w:style w:type="character" w:customStyle="1" w:styleId="SCCCoramChar">
    <w:name w:val="SCC.Coram Char"/>
    <w:basedOn w:val="Policepardfaut"/>
    <w:link w:val="SCCCoram"/>
    <w:rsid w:val="00733EEE"/>
    <w:rPr>
      <w:rFonts w:eastAsiaTheme="minorHAnsi" w:cstheme="minorBidi"/>
      <w:sz w:val="24"/>
      <w:szCs w:val="22"/>
      <w:lang w:eastAsia="en-US"/>
    </w:rPr>
  </w:style>
  <w:style w:type="table" w:styleId="Grilledutableau">
    <w:name w:val="Table Grid"/>
    <w:basedOn w:val="TableauNormal"/>
    <w:uiPriority w:val="59"/>
    <w:rsid w:val="00733EEE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inueParaSuitedupar-AltP">
    <w:name w:val="Continue Para. / Suite du par. - Alt P"/>
    <w:next w:val="ParaNoNdepar-AltN"/>
    <w:uiPriority w:val="1"/>
    <w:qFormat/>
    <w:rsid w:val="00733EEE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uiPriority w:val="3"/>
    <w:rsid w:val="00733EEE"/>
    <w:pPr>
      <w:tabs>
        <w:tab w:val="left" w:pos="1166"/>
      </w:tabs>
      <w:spacing w:after="480" w:line="480" w:lineRule="auto"/>
    </w:pPr>
    <w:rPr>
      <w:smallCaps/>
      <w:sz w:val="24"/>
      <w:szCs w:val="24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733EEE"/>
    <w:pPr>
      <w:numPr>
        <w:numId w:val="15"/>
      </w:numPr>
      <w:tabs>
        <w:tab w:val="left" w:pos="576"/>
      </w:tabs>
      <w:spacing w:before="480" w:after="720"/>
      <w:ind w:left="576" w:hanging="576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733EEE"/>
    <w:pPr>
      <w:numPr>
        <w:ilvl w:val="1"/>
      </w:numPr>
      <w:ind w:left="576" w:hanging="576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733EEE"/>
    <w:pPr>
      <w:numPr>
        <w:ilvl w:val="2"/>
      </w:numPr>
      <w:tabs>
        <w:tab w:val="clear" w:pos="576"/>
      </w:tabs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733EEE"/>
    <w:pPr>
      <w:numPr>
        <w:ilvl w:val="3"/>
      </w:numPr>
      <w:tabs>
        <w:tab w:val="left" w:pos="1080"/>
      </w:tabs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733EEE"/>
    <w:pPr>
      <w:numPr>
        <w:ilvl w:val="4"/>
      </w:numPr>
      <w:tabs>
        <w:tab w:val="clear" w:pos="576"/>
        <w:tab w:val="left" w:pos="1620"/>
      </w:tabs>
    </w:pPr>
  </w:style>
  <w:style w:type="paragraph" w:styleId="TM1">
    <w:name w:val="toc 1"/>
    <w:basedOn w:val="Normal"/>
    <w:next w:val="Normal"/>
    <w:autoRedefine/>
    <w:uiPriority w:val="39"/>
    <w:unhideWhenUsed/>
    <w:rsid w:val="00733EEE"/>
    <w:pPr>
      <w:tabs>
        <w:tab w:val="left" w:pos="360"/>
        <w:tab w:val="right" w:leader="dot" w:pos="8270"/>
      </w:tabs>
      <w:spacing w:before="120" w:after="120"/>
    </w:pPr>
    <w:rPr>
      <w:noProof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33EEE"/>
    <w:pPr>
      <w:tabs>
        <w:tab w:val="left" w:pos="720"/>
        <w:tab w:val="right" w:leader="dot" w:pos="8270"/>
      </w:tabs>
      <w:spacing w:before="120" w:after="120"/>
      <w:ind w:left="432" w:hanging="432"/>
    </w:pPr>
    <w:rPr>
      <w:i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733EEE"/>
    <w:pPr>
      <w:tabs>
        <w:tab w:val="left" w:pos="1080"/>
        <w:tab w:val="right" w:leader="dot" w:pos="8270"/>
      </w:tabs>
      <w:spacing w:before="120" w:after="120"/>
      <w:ind w:left="864" w:hanging="432"/>
    </w:pPr>
    <w:rPr>
      <w:noProof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733EEE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733EEE"/>
    <w:pPr>
      <w:tabs>
        <w:tab w:val="left" w:pos="1440"/>
        <w:tab w:val="right" w:leader="dot" w:pos="8270"/>
      </w:tabs>
      <w:spacing w:before="120" w:after="120"/>
      <w:ind w:left="1454" w:hanging="547"/>
    </w:pPr>
    <w:rPr>
      <w:noProof/>
      <w:u w:val="single"/>
    </w:rPr>
  </w:style>
  <w:style w:type="paragraph" w:styleId="TM6">
    <w:name w:val="toc 6"/>
    <w:basedOn w:val="Normal"/>
    <w:next w:val="Normal"/>
    <w:autoRedefine/>
    <w:uiPriority w:val="39"/>
    <w:unhideWhenUsed/>
    <w:rsid w:val="00733EEE"/>
    <w:pPr>
      <w:tabs>
        <w:tab w:val="left" w:pos="2160"/>
        <w:tab w:val="right" w:leader="dot" w:pos="8270"/>
      </w:tabs>
      <w:spacing w:after="100"/>
      <w:ind w:left="1800"/>
    </w:pPr>
    <w:rPr>
      <w:noProof/>
    </w:rPr>
  </w:style>
  <w:style w:type="paragraph" w:customStyle="1" w:styleId="TitleTitre-AltT">
    <w:name w:val="Title / Titre - Alt T"/>
    <w:next w:val="ParaNoNdepar-AltN"/>
    <w:uiPriority w:val="3"/>
    <w:qFormat/>
    <w:rsid w:val="00733EEE"/>
    <w:pPr>
      <w:tabs>
        <w:tab w:val="left" w:pos="360"/>
      </w:tabs>
      <w:spacing w:before="480" w:after="720"/>
      <w:ind w:left="360" w:hanging="360"/>
      <w:jc w:val="both"/>
    </w:pPr>
    <w:rPr>
      <w:rFonts w:eastAsiaTheme="minorHAnsi" w:cstheme="minorBidi"/>
      <w:sz w:val="24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733EE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3EEE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3EEE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EEE"/>
    <w:rPr>
      <w:b/>
      <w:bCs/>
    </w:rPr>
  </w:style>
  <w:style w:type="character" w:customStyle="1" w:styleId="SCCLowerCourtJudge">
    <w:name w:val="SCC.LowerCourtJudge"/>
    <w:basedOn w:val="Policepardfaut"/>
    <w:uiPriority w:val="1"/>
    <w:qFormat/>
    <w:rsid w:val="00733EEE"/>
  </w:style>
  <w:style w:type="paragraph" w:customStyle="1" w:styleId="SCCLowerCourtText">
    <w:name w:val="SCC.LowerCourtText"/>
    <w:basedOn w:val="Normal"/>
    <w:next w:val="Normal"/>
    <w:link w:val="SCCLowerCourtTextChar"/>
    <w:qFormat/>
    <w:rsid w:val="00733EEE"/>
    <w:pPr>
      <w:jc w:val="both"/>
    </w:pPr>
  </w:style>
  <w:style w:type="character" w:customStyle="1" w:styleId="SCCLowerCourtTextChar">
    <w:name w:val="SCC.LowerCourtText Char"/>
    <w:basedOn w:val="Policepardfaut"/>
    <w:link w:val="SCCLowerCourtText"/>
    <w:rsid w:val="00733EEE"/>
    <w:rPr>
      <w:sz w:val="24"/>
    </w:rPr>
  </w:style>
  <w:style w:type="paragraph" w:styleId="Paragraphedeliste">
    <w:name w:val="List Paragraph"/>
    <w:basedOn w:val="Normal"/>
    <w:uiPriority w:val="34"/>
    <w:qFormat/>
    <w:rsid w:val="00733EEE"/>
    <w:pPr>
      <w:ind w:left="720"/>
      <w:contextualSpacing/>
    </w:pPr>
  </w:style>
  <w:style w:type="character" w:customStyle="1" w:styleId="SCCLsocPartyRoleChar">
    <w:name w:val="SCC.Lsoc.PartyRole Char"/>
    <w:basedOn w:val="Policepardfaut"/>
    <w:rsid w:val="005F1B8A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F1B8A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Policepardfaut"/>
    <w:link w:val="SCCLsocPrefix"/>
    <w:rsid w:val="005F1B8A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1170-BAEB-4982-9A7A-8311C5D2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16030</Words>
  <Characters>88169</Characters>
  <Application>Microsoft Office Word</Application>
  <DocSecurity>0</DocSecurity>
  <Lines>734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2015-09-03T19:21:00Z</dcterms:created>
  <dcterms:modified xsi:type="dcterms:W3CDTF">2015-09-03T19:21:00Z</dcterms:modified>
</cp:coreProperties>
</file>