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AB" w:rsidRDefault="00C965AB" w:rsidP="00C965AB">
      <w:pPr>
        <w:pStyle w:val="Header"/>
        <w:jc w:val="center"/>
      </w:pP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05pt;height:64.7pt" o:ole="">
            <v:imagedata r:id="rId6" o:title=""/>
          </v:shape>
          <o:OLEObject Type="Embed" ProgID="Presentations.Drawing.13" ShapeID="_x0000_i1025" DrawAspect="Content" ObjectID="_1487142004" r:id="rId7"/>
        </w:object>
      </w:r>
    </w:p>
    <w:p w:rsidR="00C965AB" w:rsidRDefault="00C965AB" w:rsidP="00C965AB">
      <w:pPr>
        <w:pStyle w:val="Header"/>
      </w:pPr>
    </w:p>
    <w:p w:rsidR="00C965AB" w:rsidRPr="006B210C" w:rsidRDefault="00C965AB" w:rsidP="00C965AB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C965AB" w:rsidRDefault="00C965AB" w:rsidP="00C965AB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C965AB" w:rsidRPr="006B210C" w:rsidTr="00AF6D6C">
        <w:trPr>
          <w:cantSplit/>
        </w:trPr>
        <w:tc>
          <w:tcPr>
            <w:tcW w:w="6768" w:type="dxa"/>
          </w:tcPr>
          <w:p w:rsidR="00C965AB" w:rsidRPr="00DE3DA1" w:rsidRDefault="00C965AB" w:rsidP="00AF6D6C">
            <w:pPr>
              <w:jc w:val="both"/>
            </w:pPr>
            <w:r w:rsidRPr="00DE3DA1">
              <w:rPr>
                <w:b/>
                <w:smallCaps/>
              </w:rPr>
              <w:t xml:space="preserve">Citation: </w:t>
            </w:r>
            <w:r w:rsidRPr="00DE3DA1">
              <w:rPr>
                <w:rStyle w:val="SCCAppellantForIndexChar"/>
                <w:b w:val="0"/>
              </w:rPr>
              <w:t>British Columbia Teachers’ Federation</w:t>
            </w:r>
            <w:r w:rsidRPr="00C965AB">
              <w:t xml:space="preserve"> </w:t>
            </w:r>
            <w:r w:rsidRPr="00C965AB">
              <w:rPr>
                <w:i/>
              </w:rPr>
              <w:t>v.</w:t>
            </w:r>
            <w:r w:rsidRPr="00C965AB">
              <w:t xml:space="preserve"> </w:t>
            </w:r>
            <w:r w:rsidRPr="00DE3DA1">
              <w:rPr>
                <w:rStyle w:val="SCCRespondentForIndexChar"/>
                <w:b w:val="0"/>
              </w:rPr>
              <w:t>British Columbia Public School Employers’ Association</w:t>
            </w:r>
            <w:r w:rsidRPr="00DE3DA1">
              <w:rPr>
                <w:b/>
              </w:rPr>
              <w:t>,</w:t>
            </w:r>
            <w:r w:rsidRPr="00DE3DA1">
              <w:t xml:space="preserve"> 2014 SCC </w:t>
            </w:r>
            <w:r>
              <w:t>70, [2014] 3 S.C.R. 492</w:t>
            </w:r>
          </w:p>
          <w:p w:rsidR="00C965AB" w:rsidRPr="00DE3DA1" w:rsidRDefault="00C965AB" w:rsidP="00AF6D6C"/>
        </w:tc>
        <w:tc>
          <w:tcPr>
            <w:tcW w:w="2808" w:type="dxa"/>
          </w:tcPr>
          <w:p w:rsidR="00C965AB" w:rsidRPr="006B210C" w:rsidRDefault="00C965AB" w:rsidP="00AF6D6C">
            <w:r w:rsidRPr="006B210C">
              <w:rPr>
                <w:b/>
                <w:smallCaps/>
              </w:rPr>
              <w:t>Date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20141112</w:t>
            </w:r>
          </w:p>
          <w:p w:rsidR="00C965AB" w:rsidRPr="006B210C" w:rsidRDefault="00C965AB" w:rsidP="00AF6D6C">
            <w:r w:rsidRPr="006B210C">
              <w:rPr>
                <w:b/>
                <w:smallCaps/>
              </w:rPr>
              <w:t>Docket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35623</w:t>
            </w:r>
          </w:p>
        </w:tc>
      </w:tr>
    </w:tbl>
    <w:p w:rsidR="00C965AB" w:rsidRPr="006B210C" w:rsidRDefault="00C965AB" w:rsidP="00C965AB"/>
    <w:p w:rsidR="00C965AB" w:rsidRDefault="00C965AB" w:rsidP="00C965AB">
      <w:pPr>
        <w:pStyle w:val="SCCLsocPrefix"/>
      </w:pPr>
      <w:r>
        <w:t>Between:</w:t>
      </w:r>
    </w:p>
    <w:p w:rsidR="00B42E8B" w:rsidRDefault="00C965AB" w:rsidP="00B42E8B">
      <w:pPr>
        <w:pStyle w:val="SCCLsocParty"/>
        <w:jc w:val="center"/>
      </w:pPr>
      <w:r w:rsidRPr="00C965AB">
        <w:rPr>
          <w:rStyle w:val="SCCAppellantForIndexChar"/>
          <w:b/>
        </w:rPr>
        <w:t>British Columbia Teachers’ Federation</w:t>
      </w:r>
      <w:r w:rsidR="00B42E8B" w:rsidRPr="00B42E8B">
        <w:t xml:space="preserve"> </w:t>
      </w:r>
      <w:r w:rsidR="00B42E8B">
        <w:t>and</w:t>
      </w:r>
    </w:p>
    <w:p w:rsidR="00C965AB" w:rsidRPr="00C965AB" w:rsidRDefault="00B42E8B" w:rsidP="00B42E8B">
      <w:pPr>
        <w:pStyle w:val="SCCLsocParty"/>
        <w:jc w:val="center"/>
        <w:rPr>
          <w:b w:val="0"/>
        </w:rPr>
      </w:pPr>
      <w:r>
        <w:t>Surrey Teachers’ Association</w:t>
      </w:r>
    </w:p>
    <w:p w:rsidR="00C965AB" w:rsidRPr="00DE3DA1" w:rsidRDefault="00C965AB" w:rsidP="00C965AB">
      <w:pPr>
        <w:jc w:val="center"/>
        <w:rPr>
          <w:lang w:val="en-US"/>
        </w:rPr>
      </w:pPr>
      <w:r w:rsidRPr="00DE3DA1">
        <w:rPr>
          <w:lang w:val="en-US"/>
        </w:rPr>
        <w:t>Appellant</w:t>
      </w:r>
      <w:r w:rsidR="00B42E8B">
        <w:rPr>
          <w:lang w:val="en-US"/>
        </w:rPr>
        <w:t>s</w:t>
      </w:r>
    </w:p>
    <w:p w:rsidR="00C965AB" w:rsidRPr="00C965AB" w:rsidRDefault="00C965AB" w:rsidP="00C965AB">
      <w:pPr>
        <w:pStyle w:val="SCCLsocVersus"/>
        <w:spacing w:after="0"/>
        <w:jc w:val="center"/>
        <w:rPr>
          <w:i w:val="0"/>
          <w:lang w:val="en-US"/>
        </w:rPr>
      </w:pPr>
      <w:proofErr w:type="gramStart"/>
      <w:r w:rsidRPr="00C965AB">
        <w:rPr>
          <w:i w:val="0"/>
          <w:lang w:val="en-US"/>
        </w:rPr>
        <w:t>and</w:t>
      </w:r>
      <w:proofErr w:type="gramEnd"/>
    </w:p>
    <w:p w:rsidR="00C965AB" w:rsidRDefault="00C965AB" w:rsidP="00C965AB">
      <w:pPr>
        <w:pStyle w:val="SCCLsocParty"/>
        <w:jc w:val="center"/>
      </w:pPr>
      <w:r>
        <w:t>British Columbia Public School Employers’ Association</w:t>
      </w:r>
    </w:p>
    <w:p w:rsidR="00C965AB" w:rsidRPr="00945515" w:rsidRDefault="00C965AB" w:rsidP="00C965AB">
      <w:pPr>
        <w:pStyle w:val="SCCLsocParty"/>
        <w:jc w:val="center"/>
        <w:rPr>
          <w:lang w:val="en-US"/>
        </w:rPr>
      </w:pPr>
      <w:proofErr w:type="gramStart"/>
      <w:r>
        <w:t>and</w:t>
      </w:r>
      <w:proofErr w:type="gramEnd"/>
      <w:r>
        <w:t xml:space="preserve"> Board of Education of School District No. 36 (Surrey)</w:t>
      </w:r>
    </w:p>
    <w:p w:rsidR="00C965AB" w:rsidRDefault="00C965AB" w:rsidP="00C965AB">
      <w:pPr>
        <w:jc w:val="center"/>
        <w:rPr>
          <w:lang w:val="en-US"/>
        </w:rPr>
      </w:pPr>
      <w:r w:rsidRPr="00945515">
        <w:rPr>
          <w:lang w:val="en-US"/>
        </w:rPr>
        <w:t>Respondent</w:t>
      </w:r>
      <w:r>
        <w:rPr>
          <w:lang w:val="en-US"/>
        </w:rPr>
        <w:t>s</w:t>
      </w:r>
    </w:p>
    <w:p w:rsidR="00C965AB" w:rsidRDefault="00C965AB" w:rsidP="00C965AB">
      <w:pPr>
        <w:jc w:val="center"/>
        <w:rPr>
          <w:lang w:val="en-US"/>
        </w:rPr>
      </w:pPr>
      <w:proofErr w:type="gramStart"/>
      <w:r>
        <w:rPr>
          <w:lang w:val="en-US"/>
        </w:rPr>
        <w:t>and</w:t>
      </w:r>
      <w:proofErr w:type="gramEnd"/>
    </w:p>
    <w:p w:rsidR="00C965AB" w:rsidRPr="00DE3DA1" w:rsidRDefault="00C965AB" w:rsidP="00C965AB">
      <w:pPr>
        <w:jc w:val="center"/>
        <w:rPr>
          <w:b/>
        </w:rPr>
      </w:pPr>
      <w:r w:rsidRPr="00DE3DA1">
        <w:rPr>
          <w:b/>
        </w:rPr>
        <w:t>West Coast Women’s Legal Education and Action Fund</w:t>
      </w:r>
    </w:p>
    <w:p w:rsidR="00C965AB" w:rsidRPr="00DE3DA1" w:rsidRDefault="00C965AB" w:rsidP="00C965AB">
      <w:pPr>
        <w:jc w:val="center"/>
        <w:rPr>
          <w:lang w:val="en-US"/>
        </w:rPr>
      </w:pPr>
      <w:r>
        <w:t>Intervener</w:t>
      </w:r>
    </w:p>
    <w:p w:rsidR="00C965AB" w:rsidRPr="00945515" w:rsidRDefault="00C965AB" w:rsidP="00C965AB">
      <w:pPr>
        <w:rPr>
          <w:lang w:val="en-US"/>
        </w:rPr>
      </w:pPr>
    </w:p>
    <w:p w:rsidR="00C965AB" w:rsidRDefault="00C965AB" w:rsidP="00C965AB">
      <w:pPr>
        <w:jc w:val="both"/>
      </w:pPr>
      <w:r w:rsidRPr="006B210C">
        <w:rPr>
          <w:b/>
          <w:smallCaps/>
        </w:rPr>
        <w:t>Coram</w:t>
      </w:r>
      <w:r>
        <w:rPr>
          <w:b/>
          <w:smallCaps/>
        </w:rPr>
        <w:t>:</w:t>
      </w:r>
      <w:r w:rsidRPr="006B210C">
        <w:t xml:space="preserve"> </w:t>
      </w:r>
      <w:proofErr w:type="spellStart"/>
      <w:r>
        <w:t>McLachlin</w:t>
      </w:r>
      <w:proofErr w:type="spellEnd"/>
      <w:r>
        <w:t xml:space="preserve"> C.J. and </w:t>
      </w:r>
      <w:proofErr w:type="spellStart"/>
      <w:r>
        <w:t>Abella</w:t>
      </w:r>
      <w:proofErr w:type="spellEnd"/>
      <w:r>
        <w:t xml:space="preserve">, Rothstein, </w:t>
      </w:r>
      <w:proofErr w:type="spellStart"/>
      <w:r>
        <w:t>Moldaver</w:t>
      </w:r>
      <w:proofErr w:type="spellEnd"/>
      <w:r>
        <w:t xml:space="preserve">, </w:t>
      </w:r>
      <w:proofErr w:type="spellStart"/>
      <w:r>
        <w:t>Karakatsanis</w:t>
      </w:r>
      <w:proofErr w:type="spellEnd"/>
      <w:r>
        <w:t xml:space="preserve">, Wagner and </w:t>
      </w:r>
      <w:proofErr w:type="spellStart"/>
      <w:r>
        <w:t>Gascon</w:t>
      </w:r>
      <w:proofErr w:type="spellEnd"/>
      <w:r>
        <w:t xml:space="preserve"> JJ.</w:t>
      </w:r>
    </w:p>
    <w:p w:rsidR="00C965AB" w:rsidRPr="006B210C" w:rsidRDefault="00C965AB" w:rsidP="00C965AB"/>
    <w:p w:rsidR="00C965AB" w:rsidRPr="006B210C" w:rsidRDefault="00C965AB" w:rsidP="00C965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C965AB" w:rsidRPr="006B210C" w:rsidTr="00AF6D6C">
        <w:trPr>
          <w:cantSplit/>
        </w:trPr>
        <w:tc>
          <w:tcPr>
            <w:tcW w:w="3618" w:type="dxa"/>
          </w:tcPr>
          <w:p w:rsidR="00C965AB" w:rsidRDefault="00C965AB" w:rsidP="00AF6D6C">
            <w:pPr>
              <w:rPr>
                <w:b/>
                <w:smallCaps/>
              </w:rPr>
            </w:pPr>
            <w:r w:rsidRPr="006B210C">
              <w:rPr>
                <w:b/>
                <w:smallCaps/>
              </w:rPr>
              <w:t>Reasons for Judgment</w:t>
            </w:r>
            <w:r>
              <w:rPr>
                <w:b/>
                <w:smallCaps/>
              </w:rPr>
              <w:t>:</w:t>
            </w:r>
          </w:p>
          <w:p w:rsidR="00C965AB" w:rsidRPr="006B210C" w:rsidRDefault="00C965AB" w:rsidP="00AF6D6C">
            <w:r>
              <w:t>(</w:t>
            </w:r>
            <w:proofErr w:type="spellStart"/>
            <w:r>
              <w:t>para</w:t>
            </w:r>
            <w:proofErr w:type="spellEnd"/>
            <w:r>
              <w:t>. 1)</w:t>
            </w:r>
          </w:p>
        </w:tc>
        <w:tc>
          <w:tcPr>
            <w:tcW w:w="5958" w:type="dxa"/>
          </w:tcPr>
          <w:p w:rsidR="00C965AB" w:rsidRPr="006B210C" w:rsidRDefault="00C965AB" w:rsidP="00AF6D6C">
            <w:pPr>
              <w:jc w:val="both"/>
            </w:pPr>
            <w:proofErr w:type="spellStart"/>
            <w:r>
              <w:t>Karakatsanis</w:t>
            </w:r>
            <w:proofErr w:type="spellEnd"/>
            <w:r>
              <w:t xml:space="preserve"> J. (</w:t>
            </w:r>
            <w:proofErr w:type="spellStart"/>
            <w:r>
              <w:t>McLachlin</w:t>
            </w:r>
            <w:proofErr w:type="spellEnd"/>
            <w:r>
              <w:t xml:space="preserve"> C.J. and </w:t>
            </w:r>
            <w:proofErr w:type="spellStart"/>
            <w:r>
              <w:t>Abella</w:t>
            </w:r>
            <w:proofErr w:type="spellEnd"/>
            <w:r>
              <w:t xml:space="preserve">, Rothstein, </w:t>
            </w:r>
            <w:proofErr w:type="spellStart"/>
            <w:r>
              <w:t>Moldaver</w:t>
            </w:r>
            <w:proofErr w:type="spellEnd"/>
            <w:r>
              <w:t xml:space="preserve">, Wagner and </w:t>
            </w:r>
            <w:proofErr w:type="spellStart"/>
            <w:r>
              <w:t>Gascon</w:t>
            </w:r>
            <w:proofErr w:type="spellEnd"/>
            <w:r>
              <w:t xml:space="preserve"> JJ. concurring) </w:t>
            </w:r>
          </w:p>
        </w:tc>
      </w:tr>
    </w:tbl>
    <w:p w:rsidR="00C965AB" w:rsidRDefault="00C965AB" w:rsidP="00C965AB"/>
    <w:p w:rsidR="00C965AB" w:rsidRPr="006B210C" w:rsidRDefault="005B0996" w:rsidP="00C965AB">
      <w:r w:rsidRPr="005B099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75pt;margin-top:14.5pt;width:197.25pt;height:0;z-index:251660288" o:connectortype="straight"/>
        </w:pict>
      </w:r>
    </w:p>
    <w:p w:rsidR="00C965AB" w:rsidRDefault="00C965AB" w:rsidP="00C965AB"/>
    <w:p w:rsidR="00C965AB" w:rsidRDefault="00C965AB" w:rsidP="006F605D">
      <w:pPr>
        <w:pStyle w:val="SCCSystemYear"/>
        <w:jc w:val="both"/>
        <w:rPr>
          <w:rStyle w:val="SCCAppellantForRunningHeadChar"/>
          <w:b w:val="0"/>
        </w:rPr>
      </w:pPr>
    </w:p>
    <w:p w:rsidR="006F605D" w:rsidRPr="006F605D" w:rsidRDefault="00CB2984" w:rsidP="006F605D">
      <w:pPr>
        <w:pStyle w:val="SCCSystemYear"/>
        <w:jc w:val="both"/>
        <w:rPr>
          <w:b w:val="0"/>
        </w:rPr>
      </w:pPr>
      <w:proofErr w:type="spellStart"/>
      <w:r w:rsidRPr="006F605D">
        <w:rPr>
          <w:rStyle w:val="SCCAppellantForRunningHeadChar"/>
          <w:b w:val="0"/>
        </w:rPr>
        <w:t>b.c</w:t>
      </w:r>
      <w:proofErr w:type="spellEnd"/>
      <w:r w:rsidRPr="006F605D">
        <w:rPr>
          <w:rStyle w:val="SCCAppellantForRunningHeadChar"/>
          <w:b w:val="0"/>
        </w:rPr>
        <w:t>.</w:t>
      </w:r>
      <w:r w:rsidR="00793693" w:rsidRPr="006F605D">
        <w:rPr>
          <w:rStyle w:val="SCCAppellantForRunningHeadChar"/>
          <w:b w:val="0"/>
        </w:rPr>
        <w:t xml:space="preserve"> teachers</w:t>
      </w:r>
      <w:r w:rsidR="00601764" w:rsidRPr="006F605D">
        <w:rPr>
          <w:rStyle w:val="SCCAppellantForRunningHeadChar"/>
          <w:b w:val="0"/>
        </w:rPr>
        <w:t>’</w:t>
      </w:r>
      <w:r w:rsidR="00382EDB" w:rsidRPr="006F605D">
        <w:rPr>
          <w:rStyle w:val="SCCAppellantForRunningHeadChar"/>
          <w:b w:val="0"/>
        </w:rPr>
        <w:t xml:space="preserve"> federation</w:t>
      </w:r>
      <w:r w:rsidR="008F78E9" w:rsidRPr="006F605D">
        <w:rPr>
          <w:rStyle w:val="SCCAppellantForRunningHeadChar"/>
          <w:b w:val="0"/>
        </w:rPr>
        <w:t xml:space="preserve"> </w:t>
      </w:r>
      <w:r w:rsidR="009B57B3" w:rsidRPr="006F605D">
        <w:rPr>
          <w:b w:val="0"/>
          <w:i/>
        </w:rPr>
        <w:t>v.</w:t>
      </w:r>
      <w:r w:rsidR="00B000D8" w:rsidRPr="006F605D">
        <w:rPr>
          <w:b w:val="0"/>
        </w:rPr>
        <w:t xml:space="preserve"> </w:t>
      </w:r>
      <w:proofErr w:type="spellStart"/>
      <w:r w:rsidRPr="006F605D">
        <w:rPr>
          <w:rStyle w:val="SCCRespondentForRunningHeadChar"/>
          <w:b w:val="0"/>
        </w:rPr>
        <w:t>b</w:t>
      </w:r>
      <w:r w:rsidR="00181E55" w:rsidRPr="006F605D">
        <w:rPr>
          <w:rStyle w:val="SCCRespondentForRunningHeadChar"/>
          <w:b w:val="0"/>
        </w:rPr>
        <w:t>cpsea</w:t>
      </w:r>
      <w:proofErr w:type="spellEnd"/>
      <w:r w:rsidR="006F605D" w:rsidRPr="006F605D">
        <w:rPr>
          <w:rStyle w:val="SCCRespondentForRunningHeadChar"/>
          <w:b w:val="0"/>
        </w:rPr>
        <w:t xml:space="preserve">, </w:t>
      </w:r>
      <w:r w:rsidR="006F605D" w:rsidRPr="006F605D">
        <w:rPr>
          <w:b w:val="0"/>
        </w:rPr>
        <w:t>2014 SCC 70</w:t>
      </w:r>
      <w:r w:rsidR="006F605D">
        <w:rPr>
          <w:b w:val="0"/>
        </w:rPr>
        <w:t>, [2014] 3 S.C.R. 492</w:t>
      </w:r>
    </w:p>
    <w:p w:rsidR="008322BD" w:rsidRPr="00793693" w:rsidRDefault="008322BD" w:rsidP="0035169A">
      <w:pPr>
        <w:spacing w:line="480" w:lineRule="auto"/>
        <w:jc w:val="both"/>
      </w:pPr>
    </w:p>
    <w:p w:rsidR="00A149DF" w:rsidRPr="00793693" w:rsidRDefault="00A149DF" w:rsidP="00FC4EFB">
      <w:pPr>
        <w:jc w:val="both"/>
      </w:pPr>
    </w:p>
    <w:p w:rsidR="008E6922" w:rsidRDefault="006C2CEC">
      <w:pPr>
        <w:pStyle w:val="SCCLsocParty"/>
      </w:pPr>
      <w:r>
        <w:t>British Columbia Teachers</w:t>
      </w:r>
      <w:r w:rsidR="00601764">
        <w:t>’</w:t>
      </w:r>
      <w:r w:rsidR="00CC0758">
        <w:t xml:space="preserve"> Federation and</w:t>
      </w:r>
    </w:p>
    <w:p w:rsidR="008E6922" w:rsidRDefault="006C2CEC">
      <w:pPr>
        <w:pStyle w:val="SCCLsocLastPartyInRole"/>
      </w:pPr>
      <w:r>
        <w:t>Surrey Teachers</w:t>
      </w:r>
      <w:r w:rsidR="00601764">
        <w:t>’</w:t>
      </w:r>
      <w:r>
        <w:t xml:space="preserve"> Association</w:t>
      </w:r>
      <w:r>
        <w:rPr>
          <w:rStyle w:val="SCCLsocPartyRole"/>
        </w:rPr>
        <w:tab/>
        <w:t>Appellants</w:t>
      </w:r>
    </w:p>
    <w:p w:rsidR="008E6922" w:rsidRDefault="006C2CEC">
      <w:pPr>
        <w:pStyle w:val="SCCLsocVersus"/>
      </w:pPr>
      <w:r>
        <w:t>v.</w:t>
      </w:r>
    </w:p>
    <w:p w:rsidR="008E6922" w:rsidRDefault="006C2CEC">
      <w:pPr>
        <w:pStyle w:val="SCCLsocParty"/>
      </w:pPr>
      <w:r>
        <w:t>British Columbia Public School Employers</w:t>
      </w:r>
      <w:r w:rsidR="00601764">
        <w:t>’</w:t>
      </w:r>
      <w:r w:rsidR="00CC0758">
        <w:t xml:space="preserve"> Association</w:t>
      </w:r>
    </w:p>
    <w:p w:rsidR="008E6922" w:rsidRDefault="00CC0758">
      <w:pPr>
        <w:pStyle w:val="SCCLsocLastPartyInRole"/>
      </w:pPr>
      <w:proofErr w:type="gramStart"/>
      <w:r>
        <w:lastRenderedPageBreak/>
        <w:t>and</w:t>
      </w:r>
      <w:proofErr w:type="gramEnd"/>
      <w:r>
        <w:t xml:space="preserve"> </w:t>
      </w:r>
      <w:r w:rsidR="006C2CEC">
        <w:t>Board of Education of School District No. 36 (Surrey)</w:t>
      </w:r>
      <w:r w:rsidR="006C2CEC">
        <w:rPr>
          <w:rStyle w:val="SCCLsocPartyRole"/>
        </w:rPr>
        <w:tab/>
        <w:t>Respondents</w:t>
      </w:r>
    </w:p>
    <w:p w:rsidR="008E6922" w:rsidRDefault="006C2CEC">
      <w:pPr>
        <w:pStyle w:val="SCCLsocOtherPartySeparator"/>
      </w:pPr>
      <w:r>
        <w:t>and</w:t>
      </w:r>
    </w:p>
    <w:p w:rsidR="008E6922" w:rsidRDefault="006C2CEC">
      <w:pPr>
        <w:pStyle w:val="SCCLsocLastPartyInRole"/>
      </w:pPr>
      <w:r>
        <w:t>West Coast Women</w:t>
      </w:r>
      <w:r w:rsidR="00601764">
        <w:t>’</w:t>
      </w:r>
      <w:r>
        <w:t>s Legal Education and Action Fund</w:t>
      </w:r>
      <w:r>
        <w:rPr>
          <w:rStyle w:val="SCCLsocPartyRole"/>
        </w:rPr>
        <w:tab/>
        <w:t>Intervener</w:t>
      </w:r>
    </w:p>
    <w:p w:rsidR="00A149DF" w:rsidRPr="001426A9" w:rsidRDefault="00A149DF" w:rsidP="00FC4EFB">
      <w:pPr>
        <w:jc w:val="both"/>
      </w:pPr>
    </w:p>
    <w:p w:rsidR="00426659" w:rsidRPr="00426659" w:rsidRDefault="00426659" w:rsidP="00FC4EFB">
      <w:pPr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 w:rsidR="00BF412D">
        <w:rPr>
          <w:rStyle w:val="SCCAppellantForIndexChar"/>
        </w:rPr>
        <w:t>B</w:t>
      </w:r>
      <w:r w:rsidR="00AA27ED">
        <w:rPr>
          <w:rStyle w:val="SCCAppellantForIndexChar"/>
        </w:rPr>
        <w:t>ritish Columbia</w:t>
      </w:r>
      <w:r w:rsidR="00BF412D">
        <w:rPr>
          <w:rStyle w:val="SCCAppellantForIndexChar"/>
        </w:rPr>
        <w:t xml:space="preserve"> Teachers</w:t>
      </w:r>
      <w:r w:rsidR="00601764">
        <w:rPr>
          <w:rStyle w:val="SCCAppellantForIndexChar"/>
        </w:rPr>
        <w:t>’</w:t>
      </w:r>
      <w:r w:rsidR="00BF412D">
        <w:rPr>
          <w:rStyle w:val="SCCAppellantForIndexChar"/>
        </w:rPr>
        <w:t xml:space="preserve"> Fed</w:t>
      </w:r>
      <w:r w:rsidR="00AA27ED">
        <w:rPr>
          <w:rStyle w:val="SCCAppellantForIndexChar"/>
        </w:rPr>
        <w:t>eration</w:t>
      </w:r>
      <w:r w:rsidRPr="00426659">
        <w:rPr>
          <w:b/>
        </w:rPr>
        <w:t xml:space="preserve"> </w:t>
      </w:r>
      <w:r w:rsidRPr="00426659">
        <w:rPr>
          <w:b/>
          <w:i/>
        </w:rPr>
        <w:t>v.</w:t>
      </w:r>
      <w:r w:rsidRPr="00426659">
        <w:rPr>
          <w:b/>
        </w:rPr>
        <w:t xml:space="preserve"> </w:t>
      </w:r>
      <w:r w:rsidR="00BF412D">
        <w:rPr>
          <w:rStyle w:val="SCCRespondentForIndexChar"/>
        </w:rPr>
        <w:t>B</w:t>
      </w:r>
      <w:r w:rsidR="00AA27ED">
        <w:rPr>
          <w:rStyle w:val="SCCRespondentForIndexChar"/>
        </w:rPr>
        <w:t>ritish Columbia</w:t>
      </w:r>
      <w:r w:rsidR="00BF412D">
        <w:rPr>
          <w:rStyle w:val="SCCRespondentForIndexChar"/>
        </w:rPr>
        <w:t xml:space="preserve"> Public School Employers</w:t>
      </w:r>
      <w:r w:rsidR="00601764">
        <w:rPr>
          <w:rStyle w:val="SCCRespondentForIndexChar"/>
        </w:rPr>
        <w:t>’</w:t>
      </w:r>
      <w:r w:rsidR="003314AA">
        <w:rPr>
          <w:rStyle w:val="SCCRespondentForIndexChar"/>
        </w:rPr>
        <w:t xml:space="preserve"> Association</w:t>
      </w:r>
    </w:p>
    <w:p w:rsidR="00A149DF" w:rsidRDefault="00A149DF" w:rsidP="00FC4EFB">
      <w:pPr>
        <w:jc w:val="both"/>
      </w:pPr>
    </w:p>
    <w:p w:rsidR="00A149DF" w:rsidRDefault="004F36FF" w:rsidP="00E87EFE">
      <w:pPr>
        <w:pStyle w:val="SCCSystemYear"/>
        <w:jc w:val="both"/>
      </w:pPr>
      <w:r>
        <w:t>2014</w:t>
      </w:r>
      <w:r w:rsidR="003D0399">
        <w:t xml:space="preserve"> </w:t>
      </w:r>
      <w:r w:rsidR="00375C01">
        <w:t>SCC</w:t>
      </w:r>
      <w:r w:rsidR="00382EDB">
        <w:t xml:space="preserve"> </w:t>
      </w:r>
      <w:r w:rsidR="00375C01">
        <w:t>70</w:t>
      </w:r>
    </w:p>
    <w:p w:rsidR="00400169" w:rsidRPr="00400169" w:rsidRDefault="00400169" w:rsidP="00400169"/>
    <w:p w:rsidR="00A149DF" w:rsidRDefault="000B2DF4" w:rsidP="00FC4EFB">
      <w:pPr>
        <w:jc w:val="both"/>
      </w:pPr>
      <w:r>
        <w:t xml:space="preserve">File No.: </w:t>
      </w:r>
      <w:r w:rsidR="009B57B3">
        <w:t>35623</w:t>
      </w:r>
      <w:r w:rsidR="009B57B3" w:rsidRPr="001426A9">
        <w:t>.</w:t>
      </w:r>
    </w:p>
    <w:p w:rsidR="00A149DF" w:rsidRDefault="00A149DF" w:rsidP="00FC4EFB">
      <w:pPr>
        <w:jc w:val="both"/>
      </w:pPr>
    </w:p>
    <w:p w:rsidR="008322BD" w:rsidRDefault="004F36FF" w:rsidP="00FC4EFB">
      <w:pPr>
        <w:jc w:val="both"/>
      </w:pPr>
      <w:r>
        <w:t>2014: November 12</w:t>
      </w:r>
      <w:r w:rsidR="009B57B3" w:rsidRPr="001426A9">
        <w:t>.</w:t>
      </w:r>
    </w:p>
    <w:p w:rsidR="00A149DF" w:rsidRDefault="00A149DF" w:rsidP="00FC4EFB">
      <w:pPr>
        <w:jc w:val="both"/>
      </w:pPr>
    </w:p>
    <w:p w:rsidR="008322BD" w:rsidRDefault="009B57B3" w:rsidP="00FC4EFB">
      <w:pPr>
        <w:jc w:val="both"/>
      </w:pPr>
      <w:r w:rsidRPr="001426A9">
        <w:t xml:space="preserve">Present:  </w:t>
      </w:r>
      <w:proofErr w:type="spellStart"/>
      <w:r>
        <w:t>McLachlin</w:t>
      </w:r>
      <w:proofErr w:type="spellEnd"/>
      <w:r w:rsidR="00382EDB">
        <w:t xml:space="preserve"> </w:t>
      </w:r>
      <w:r>
        <w:t xml:space="preserve">C.J. and </w:t>
      </w:r>
      <w:proofErr w:type="spellStart"/>
      <w:r>
        <w:t>Abella</w:t>
      </w:r>
      <w:proofErr w:type="spellEnd"/>
      <w:r>
        <w:t xml:space="preserve">, Rothstein, </w:t>
      </w:r>
      <w:proofErr w:type="spellStart"/>
      <w:r>
        <w:t>Moldaver</w:t>
      </w:r>
      <w:proofErr w:type="spellEnd"/>
      <w:r>
        <w:t xml:space="preserve">, </w:t>
      </w:r>
      <w:proofErr w:type="spellStart"/>
      <w:r>
        <w:t>Karakatsanis</w:t>
      </w:r>
      <w:proofErr w:type="spellEnd"/>
      <w:r>
        <w:t xml:space="preserve">, Wagner and </w:t>
      </w:r>
      <w:proofErr w:type="spellStart"/>
      <w:r>
        <w:t>Gascon</w:t>
      </w:r>
      <w:proofErr w:type="spellEnd"/>
      <w:r w:rsidR="00382EDB">
        <w:t xml:space="preserve"> </w:t>
      </w:r>
      <w:r>
        <w:t>JJ.</w:t>
      </w:r>
    </w:p>
    <w:p w:rsidR="00400169" w:rsidRDefault="00400169" w:rsidP="00FC4EFB">
      <w:pPr>
        <w:jc w:val="both"/>
      </w:pPr>
    </w:p>
    <w:p w:rsidR="008322BD" w:rsidRPr="001C779F" w:rsidRDefault="00656313" w:rsidP="00FC4EFB">
      <w:pPr>
        <w:pStyle w:val="SCCLowerCourtNameLowercase"/>
      </w:pPr>
      <w:r>
        <w:t>o</w:t>
      </w:r>
      <w:r w:rsidR="00170592">
        <w:t>n</w:t>
      </w:r>
      <w:r w:rsidR="00224FC0">
        <w:t xml:space="preserve"> </w:t>
      </w:r>
      <w:r>
        <w:t>a</w:t>
      </w:r>
      <w:r w:rsidR="00170592">
        <w:t>ppeal</w:t>
      </w:r>
      <w:r w:rsidR="00224FC0">
        <w:t xml:space="preserve"> </w:t>
      </w:r>
      <w:r w:rsidR="00170592">
        <w:t>from</w:t>
      </w:r>
      <w:r w:rsidR="009567AA">
        <w:t xml:space="preserve"> the</w:t>
      </w:r>
      <w:r w:rsidR="00224FC0">
        <w:t xml:space="preserve"> </w:t>
      </w:r>
      <w:r w:rsidR="009B57B3">
        <w:t xml:space="preserve">court of appeal </w:t>
      </w:r>
      <w:r w:rsidR="00C7095F">
        <w:t xml:space="preserve">for </w:t>
      </w:r>
      <w:proofErr w:type="gramStart"/>
      <w:r w:rsidR="00C7095F">
        <w:t>british columbia</w:t>
      </w:r>
      <w:proofErr w:type="gramEnd"/>
    </w:p>
    <w:p w:rsidR="003A4C70" w:rsidRPr="001426A9" w:rsidRDefault="003A4C70" w:rsidP="00FC4EFB">
      <w:pPr>
        <w:pStyle w:val="SCCNormalDoubleSpacing"/>
      </w:pPr>
    </w:p>
    <w:p w:rsidR="008322BD" w:rsidRPr="00A74093" w:rsidRDefault="009B57B3" w:rsidP="00FC4EFB">
      <w:pPr>
        <w:pStyle w:val="SCCNormalDoubleSpacing"/>
        <w:rPr>
          <w:i/>
        </w:rPr>
      </w:pPr>
      <w:r w:rsidRPr="00583EDE">
        <w:tab/>
      </w:r>
      <w:r w:rsidR="00A74093">
        <w:rPr>
          <w:i/>
        </w:rPr>
        <w:t xml:space="preserve">Labour relations — Collective agreements — Grievances — Human rights — Right to equality — Grievance filed by union alleging that employer’s failure to separately provide supplemental employment benefits to birth mothers in relation to both maternity leave and parental leave was discriminatory — Arbitrator allowing grievance and finding employer’s position resulted in discrimination on grounds of sex and family status — Court of Appeal </w:t>
      </w:r>
      <w:r w:rsidR="00727FF3">
        <w:rPr>
          <w:i/>
        </w:rPr>
        <w:t xml:space="preserve">erred in </w:t>
      </w:r>
      <w:r w:rsidR="00AF38A0">
        <w:rPr>
          <w:i/>
        </w:rPr>
        <w:t>setting aside arbitrator’s decision that birth mothers were subject to unequal treatment — Arbitrator’s award restored.</w:t>
      </w:r>
    </w:p>
    <w:p w:rsidR="00A149DF" w:rsidRDefault="00A149DF" w:rsidP="00FC4EFB">
      <w:pPr>
        <w:pStyle w:val="SCCNormalDoubleSpacing"/>
      </w:pPr>
    </w:p>
    <w:p w:rsidR="00656313" w:rsidRDefault="00553D34" w:rsidP="00FC4EFB">
      <w:pPr>
        <w:pStyle w:val="SCCNormalDoubleSpacing"/>
      </w:pPr>
      <w:r>
        <w:tab/>
      </w:r>
      <w:r w:rsidR="009B57B3" w:rsidRPr="001426A9">
        <w:t xml:space="preserve">APPEAL from a judgment of the </w:t>
      </w:r>
      <w:r w:rsidR="00CF64F4">
        <w:t xml:space="preserve">British Columbia </w:t>
      </w:r>
      <w:r w:rsidR="009B57B3">
        <w:t xml:space="preserve">Court of Appeal </w:t>
      </w:r>
      <w:r w:rsidR="00CF64F4">
        <w:t>(</w:t>
      </w:r>
      <w:r w:rsidR="00AD51D3">
        <w:t>Hall, Frankel and Bennett JJ.A.)</w:t>
      </w:r>
      <w:r w:rsidR="00A4346A">
        <w:t xml:space="preserve">, 2013 BCCA 405, 50 B.C.L.R. (5th) </w:t>
      </w:r>
      <w:r w:rsidR="002F5D11">
        <w:t xml:space="preserve">39, 342 </w:t>
      </w:r>
      <w:r w:rsidR="002F5D11">
        <w:lastRenderedPageBreak/>
        <w:t>B.C.A.C. 233</w:t>
      </w:r>
      <w:r w:rsidR="003F735B">
        <w:t xml:space="preserve">, </w:t>
      </w:r>
      <w:r w:rsidR="00400169">
        <w:t xml:space="preserve">585 W.A.C. 233, </w:t>
      </w:r>
      <w:r w:rsidR="003F735B">
        <w:t xml:space="preserve">291 C.R.R. (2d) 96, </w:t>
      </w:r>
      <w:r w:rsidR="005E4B32">
        <w:t>[2014] 4 W.W.R.</w:t>
      </w:r>
      <w:r w:rsidR="00400169">
        <w:t xml:space="preserve"> </w:t>
      </w:r>
      <w:r w:rsidR="005E4B32">
        <w:t xml:space="preserve">65, </w:t>
      </w:r>
      <w:r w:rsidR="00F56212">
        <w:t>[2013] B.C.J. No. 2056</w:t>
      </w:r>
      <w:r w:rsidR="000C3D24">
        <w:t xml:space="preserve"> (QL), 2013 </w:t>
      </w:r>
      <w:proofErr w:type="spellStart"/>
      <w:r w:rsidR="000C3D24">
        <w:t>CarswellBC</w:t>
      </w:r>
      <w:proofErr w:type="spellEnd"/>
      <w:r w:rsidR="000C3D24">
        <w:t xml:space="preserve"> 2840, </w:t>
      </w:r>
      <w:r w:rsidR="00B060DE">
        <w:t>setting</w:t>
      </w:r>
      <w:r w:rsidR="00A91BC5">
        <w:t xml:space="preserve"> aside</w:t>
      </w:r>
      <w:r w:rsidR="007C4C91">
        <w:t xml:space="preserve"> an</w:t>
      </w:r>
      <w:r w:rsidR="00A91BC5">
        <w:t xml:space="preserve"> </w:t>
      </w:r>
      <w:r w:rsidR="00400169">
        <w:t>a</w:t>
      </w:r>
      <w:r w:rsidR="00E56AB1">
        <w:t xml:space="preserve">rbitrator’s </w:t>
      </w:r>
      <w:r w:rsidR="00400169">
        <w:t>award, [2012] B.C.C.A.A.A. No. 138 (QL)</w:t>
      </w:r>
      <w:r w:rsidR="00303397">
        <w:t xml:space="preserve">. Appeal </w:t>
      </w:r>
      <w:r w:rsidR="00133333">
        <w:t>allowed.</w:t>
      </w:r>
      <w:r w:rsidR="000142AA">
        <w:t xml:space="preserve"> </w:t>
      </w:r>
    </w:p>
    <w:p w:rsidR="00656313" w:rsidRDefault="00656313" w:rsidP="00FC4EFB">
      <w:pPr>
        <w:pStyle w:val="SCCNormalDoubleSpacing"/>
      </w:pPr>
    </w:p>
    <w:p w:rsidR="008E6922" w:rsidRDefault="006C2CEC">
      <w:pPr>
        <w:pStyle w:val="SCCNormalDoubleSpacing"/>
      </w:pPr>
      <w:r>
        <w:rPr>
          <w:rStyle w:val="SCCCounselNameChar"/>
        </w:rPr>
        <w:tab/>
      </w:r>
      <w:r w:rsidR="00C878BF">
        <w:rPr>
          <w:rStyle w:val="SCCCounselNameChar"/>
        </w:rPr>
        <w:t>Robyn Trask</w:t>
      </w:r>
      <w:r w:rsidR="00C758D1" w:rsidRPr="00C758D1">
        <w:rPr>
          <w:rStyle w:val="SCCCounselNameChar"/>
          <w:i w:val="0"/>
        </w:rPr>
        <w:t>,</w:t>
      </w:r>
      <w:r w:rsidR="00C878BF">
        <w:rPr>
          <w:rStyle w:val="SCCCounselNameChar"/>
        </w:rPr>
        <w:t xml:space="preserve"> </w:t>
      </w:r>
      <w:r>
        <w:rPr>
          <w:rStyle w:val="SCCCounselNameChar"/>
        </w:rPr>
        <w:t>Diane MacDonald</w:t>
      </w:r>
      <w:r w:rsidR="00C758D1">
        <w:rPr>
          <w:rStyle w:val="SCCCounselPartyRoleChar"/>
        </w:rPr>
        <w:t xml:space="preserve"> and </w:t>
      </w:r>
      <w:r w:rsidR="00C758D1">
        <w:rPr>
          <w:rStyle w:val="SCCCounselPartyRoleChar"/>
          <w:i/>
        </w:rPr>
        <w:t>Michael Sobkin</w:t>
      </w:r>
      <w:r w:rsidR="00B63919">
        <w:rPr>
          <w:rStyle w:val="SCCCounselPartyRoleChar"/>
        </w:rPr>
        <w:t>,</w:t>
      </w:r>
      <w:r>
        <w:rPr>
          <w:rStyle w:val="SCCCounselPartyRoleChar"/>
        </w:rPr>
        <w:t xml:space="preserve"> for the appellant</w:t>
      </w:r>
      <w:r w:rsidR="00B63919">
        <w:rPr>
          <w:rStyle w:val="SCCCounselPartyRoleChar"/>
        </w:rPr>
        <w:t>s</w:t>
      </w:r>
      <w:r>
        <w:rPr>
          <w:rStyle w:val="SCCCounselPartyRoleChar"/>
        </w:rPr>
        <w:t>.</w:t>
      </w:r>
    </w:p>
    <w:p w:rsidR="008E6922" w:rsidRDefault="008E6922">
      <w:pPr>
        <w:pStyle w:val="SCCNormalDoubleSpacing"/>
      </w:pPr>
    </w:p>
    <w:p w:rsidR="008E6922" w:rsidRDefault="006C2CEC">
      <w:pPr>
        <w:pStyle w:val="SCCNormalDoubleSpacing"/>
      </w:pPr>
      <w:r>
        <w:rPr>
          <w:rStyle w:val="SCCCounselNameChar"/>
        </w:rPr>
        <w:tab/>
        <w:t>Delayne M. Sartison</w:t>
      </w:r>
      <w:r w:rsidRPr="00B63919">
        <w:rPr>
          <w:rStyle w:val="SCCCounselNameChar"/>
          <w:i w:val="0"/>
        </w:rPr>
        <w:t>,</w:t>
      </w:r>
      <w:r>
        <w:rPr>
          <w:rStyle w:val="SCCCounselNameChar"/>
        </w:rPr>
        <w:t xml:space="preserve"> Q.C.</w:t>
      </w:r>
      <w:r w:rsidR="00B63919" w:rsidRPr="00B63919">
        <w:rPr>
          <w:rStyle w:val="SCCCounselNameChar"/>
          <w:i w:val="0"/>
        </w:rPr>
        <w:t>,</w:t>
      </w:r>
      <w:r>
        <w:rPr>
          <w:rStyle w:val="SCCCounselSeparatorChar"/>
        </w:rPr>
        <w:t xml:space="preserve"> and </w:t>
      </w:r>
      <w:r>
        <w:rPr>
          <w:rStyle w:val="SCCCounselNameChar"/>
        </w:rPr>
        <w:t>Jennifer R. Devins</w:t>
      </w:r>
      <w:r>
        <w:rPr>
          <w:rStyle w:val="SCCCounselPartyRoleChar"/>
        </w:rPr>
        <w:t>, for the respondent</w:t>
      </w:r>
      <w:r w:rsidR="002D019D">
        <w:rPr>
          <w:rStyle w:val="SCCCounselPartyRoleChar"/>
        </w:rPr>
        <w:t>s</w:t>
      </w:r>
      <w:r>
        <w:rPr>
          <w:rStyle w:val="SCCCounselPartyRoleChar"/>
        </w:rPr>
        <w:t>.</w:t>
      </w:r>
    </w:p>
    <w:p w:rsidR="008E6922" w:rsidRDefault="008E6922">
      <w:pPr>
        <w:pStyle w:val="SCCNormalDoubleSpacing"/>
      </w:pPr>
    </w:p>
    <w:p w:rsidR="008E6922" w:rsidRDefault="006C2CEC">
      <w:pPr>
        <w:pStyle w:val="SCCNormalDoubleSpacing"/>
      </w:pPr>
      <w:r>
        <w:rPr>
          <w:rStyle w:val="SCCCounselNameChar"/>
        </w:rPr>
        <w:tab/>
      </w:r>
      <w:proofErr w:type="gramStart"/>
      <w:r>
        <w:rPr>
          <w:rStyle w:val="SCCCounselNameChar"/>
        </w:rPr>
        <w:t xml:space="preserve">Clea F. </w:t>
      </w:r>
      <w:proofErr w:type="spellStart"/>
      <w:r>
        <w:rPr>
          <w:rStyle w:val="SCCCounselNameChar"/>
        </w:rPr>
        <w:t>Parfitt</w:t>
      </w:r>
      <w:proofErr w:type="spellEnd"/>
      <w:r>
        <w:rPr>
          <w:rStyle w:val="SCCCounselSeparatorChar"/>
        </w:rPr>
        <w:t xml:space="preserve"> and </w:t>
      </w:r>
      <w:proofErr w:type="spellStart"/>
      <w:r w:rsidR="00AD56F8">
        <w:rPr>
          <w:rStyle w:val="SCCCounselNameChar"/>
        </w:rPr>
        <w:t>K</w:t>
      </w:r>
      <w:r>
        <w:rPr>
          <w:rStyle w:val="SCCCounselNameChar"/>
        </w:rPr>
        <w:t>asari</w:t>
      </w:r>
      <w:proofErr w:type="spellEnd"/>
      <w:r>
        <w:rPr>
          <w:rStyle w:val="SCCCounselNameChar"/>
        </w:rPr>
        <w:t xml:space="preserve"> </w:t>
      </w:r>
      <w:proofErr w:type="spellStart"/>
      <w:r>
        <w:rPr>
          <w:rStyle w:val="SCCCounselNameChar"/>
        </w:rPr>
        <w:t>Govender</w:t>
      </w:r>
      <w:proofErr w:type="spellEnd"/>
      <w:r>
        <w:rPr>
          <w:rStyle w:val="SCCCounselPartyRoleChar"/>
        </w:rPr>
        <w:t>, for the intervener.</w:t>
      </w:r>
      <w:proofErr w:type="gramEnd"/>
    </w:p>
    <w:p w:rsidR="008E6922" w:rsidRDefault="008E6922">
      <w:pPr>
        <w:pStyle w:val="SCCNormalDoubleSpacing"/>
      </w:pPr>
    </w:p>
    <w:p w:rsidR="004A6E20" w:rsidRDefault="00122F61" w:rsidP="00FC4EFB">
      <w:pPr>
        <w:pStyle w:val="SCCNormalDoubleSpacing"/>
      </w:pPr>
      <w:r>
        <w:tab/>
      </w:r>
      <w:r w:rsidR="00BE6FEC">
        <w:t>The judgment of the Court was delivered orally by</w:t>
      </w:r>
    </w:p>
    <w:p w:rsidR="00181E55" w:rsidRDefault="00181E55" w:rsidP="00FC4EFB">
      <w:pPr>
        <w:pStyle w:val="SCCNormalDoubleSpacing"/>
      </w:pPr>
    </w:p>
    <w:p w:rsidR="004A6E20" w:rsidRDefault="00F01E16" w:rsidP="00401104">
      <w:pPr>
        <w:pStyle w:val="ListParagraph"/>
        <w:tabs>
          <w:tab w:val="left" w:pos="1134"/>
        </w:tabs>
        <w:spacing w:line="480" w:lineRule="auto"/>
        <w:ind w:left="0"/>
        <w:jc w:val="both"/>
      </w:pPr>
      <w:r>
        <w:rPr>
          <w:rStyle w:val="SCCCounselPartyRoleChar"/>
        </w:rPr>
        <w:t>[1]</w:t>
      </w:r>
      <w:r>
        <w:rPr>
          <w:rStyle w:val="SCCCounselPartyRoleChar"/>
        </w:rPr>
        <w:tab/>
      </w:r>
      <w:proofErr w:type="spellStart"/>
      <w:r w:rsidR="007C4C91">
        <w:rPr>
          <w:smallCaps/>
        </w:rPr>
        <w:t>Karakatsanis</w:t>
      </w:r>
      <w:proofErr w:type="spellEnd"/>
      <w:r w:rsidR="007C4C91">
        <w:rPr>
          <w:smallCaps/>
        </w:rPr>
        <w:t xml:space="preserve"> J</w:t>
      </w:r>
      <w:r w:rsidR="00401104" w:rsidRPr="008B50B2">
        <w:rPr>
          <w:smallCaps/>
        </w:rPr>
        <w:t>.</w:t>
      </w:r>
      <w:r w:rsidR="00401104" w:rsidRPr="008B50B2">
        <w:t xml:space="preserve"> — </w:t>
      </w:r>
      <w:r w:rsidR="00401104">
        <w:t>The Court of Appeal erred in fa</w:t>
      </w:r>
      <w:r w:rsidR="007C4C91">
        <w:t>iling to give deference to the a</w:t>
      </w:r>
      <w:r w:rsidR="00401104">
        <w:t>rbitrator</w:t>
      </w:r>
      <w:r w:rsidR="00601764">
        <w:t>’</w:t>
      </w:r>
      <w:r w:rsidR="00401104">
        <w:t>s interpretation of the collective agreement and in failing to recognize the different purposes of pregnancy benef</w:t>
      </w:r>
      <w:r w:rsidR="007C4C91">
        <w:t>its and parental benefits. The a</w:t>
      </w:r>
      <w:r w:rsidR="00401104">
        <w:t xml:space="preserve">rbitrator was entitled to reach the conclusions that he did and we see no reason to interfere with the remedy. The appeal is allowed with costs and the </w:t>
      </w:r>
      <w:r w:rsidR="007C4C91">
        <w:t>a</w:t>
      </w:r>
      <w:r w:rsidR="00401104">
        <w:t>rbitrator</w:t>
      </w:r>
      <w:r w:rsidR="00601764">
        <w:t>’</w:t>
      </w:r>
      <w:r w:rsidR="00401104">
        <w:t>s award is restored.</w:t>
      </w:r>
      <w:r w:rsidR="004A6E20">
        <w:tab/>
      </w:r>
    </w:p>
    <w:p w:rsidR="00401104" w:rsidRDefault="00401104" w:rsidP="00401104">
      <w:pPr>
        <w:pStyle w:val="ListParagraph"/>
        <w:tabs>
          <w:tab w:val="left" w:pos="1134"/>
        </w:tabs>
        <w:spacing w:line="480" w:lineRule="auto"/>
        <w:ind w:left="0"/>
        <w:jc w:val="both"/>
      </w:pPr>
    </w:p>
    <w:p w:rsidR="009B57B3" w:rsidRDefault="004A6E20" w:rsidP="00FC4EFB">
      <w:pPr>
        <w:pStyle w:val="SCCNormalDoubleSpacing"/>
      </w:pPr>
      <w:r>
        <w:tab/>
      </w:r>
      <w:proofErr w:type="gramStart"/>
      <w:r w:rsidR="004E6604">
        <w:rPr>
          <w:i/>
        </w:rPr>
        <w:t>Judgment accordingly</w:t>
      </w:r>
      <w:r w:rsidR="00122F61">
        <w:rPr>
          <w:i/>
        </w:rPr>
        <w:t>.</w:t>
      </w:r>
      <w:proofErr w:type="gramEnd"/>
    </w:p>
    <w:p w:rsidR="00A149DF" w:rsidRPr="001426A9" w:rsidRDefault="00A149DF" w:rsidP="00FC4EFB">
      <w:pPr>
        <w:pStyle w:val="SCCNormalDoubleSpacing"/>
      </w:pPr>
    </w:p>
    <w:p w:rsidR="00122F61" w:rsidRDefault="006C2CEC" w:rsidP="00122F61">
      <w:pPr>
        <w:pStyle w:val="SCCLawFirm"/>
      </w:pPr>
      <w:r>
        <w:tab/>
      </w:r>
      <w:r w:rsidR="00122F61">
        <w:t>Solicitor for the appellants: British Columbia Teachers</w:t>
      </w:r>
      <w:r w:rsidR="00601764">
        <w:t>’</w:t>
      </w:r>
      <w:r w:rsidR="008A18C7">
        <w:t xml:space="preserve"> Federation, Vancouver; Michael </w:t>
      </w:r>
      <w:proofErr w:type="spellStart"/>
      <w:r w:rsidR="008A18C7">
        <w:t>Sobkin</w:t>
      </w:r>
      <w:proofErr w:type="spellEnd"/>
      <w:r w:rsidR="008A18C7">
        <w:t>, Ottawa.</w:t>
      </w:r>
    </w:p>
    <w:p w:rsidR="00122F61" w:rsidRDefault="00122F61" w:rsidP="00122F61">
      <w:pPr>
        <w:pStyle w:val="SCCLawFirm"/>
      </w:pPr>
    </w:p>
    <w:p w:rsidR="00122F61" w:rsidRDefault="00122F61" w:rsidP="00122F61">
      <w:pPr>
        <w:pStyle w:val="SCCLawFirm"/>
      </w:pPr>
      <w:r>
        <w:tab/>
        <w:t xml:space="preserve">Solicitors for the respondents: Roper </w:t>
      </w:r>
      <w:proofErr w:type="spellStart"/>
      <w:r>
        <w:t>Greyell</w:t>
      </w:r>
      <w:proofErr w:type="spellEnd"/>
      <w:r>
        <w:t>, Vancouver.</w:t>
      </w:r>
    </w:p>
    <w:p w:rsidR="00122F61" w:rsidRDefault="00122F61" w:rsidP="00122F61">
      <w:pPr>
        <w:pStyle w:val="SCCLawFirm"/>
      </w:pPr>
    </w:p>
    <w:p w:rsidR="00122F61" w:rsidRDefault="00122F61" w:rsidP="00122F61">
      <w:pPr>
        <w:pStyle w:val="SCCLawFirm"/>
      </w:pPr>
      <w:r>
        <w:tab/>
        <w:t xml:space="preserve">Solicitors for the intervener:  </w:t>
      </w:r>
      <w:proofErr w:type="spellStart"/>
      <w:r>
        <w:t>Clea</w:t>
      </w:r>
      <w:proofErr w:type="spellEnd"/>
      <w:r>
        <w:t xml:space="preserve"> F. Parfitt, Vancouver; West Coast LEAF, Vancouver.</w:t>
      </w:r>
    </w:p>
    <w:p w:rsidR="008E6922" w:rsidRDefault="008E6922" w:rsidP="00122F61">
      <w:pPr>
        <w:pStyle w:val="SCCLawFirm"/>
      </w:pPr>
    </w:p>
    <w:sectPr w:rsidR="008E6922" w:rsidSect="000648CC">
      <w:headerReference w:type="even" r:id="rId8"/>
      <w:footerReference w:type="even" r:id="rId9"/>
      <w:footerReference w:type="default" r:id="rId10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8A0" w:rsidRDefault="00AF38A0">
      <w:r>
        <w:separator/>
      </w:r>
    </w:p>
  </w:endnote>
  <w:endnote w:type="continuationSeparator" w:id="0">
    <w:p w:rsidR="00AF38A0" w:rsidRDefault="00AF3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A0" w:rsidRDefault="00AF38A0">
    <w:pPr>
      <w:tabs>
        <w:tab w:val="left" w:pos="-1440"/>
        <w:tab w:val="left" w:pos="-720"/>
        <w:tab w:val="left" w:pos="0"/>
        <w:tab w:val="left" w:pos="1152"/>
        <w:tab w:val="left" w:pos="1570"/>
        <w:tab w:val="left" w:pos="1843"/>
        <w:tab w:val="left" w:pos="2261"/>
        <w:tab w:val="left" w:pos="64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A0" w:rsidRDefault="00AF38A0">
    <w:pPr>
      <w:tabs>
        <w:tab w:val="left" w:pos="-1440"/>
        <w:tab w:val="left" w:pos="-720"/>
        <w:tab w:val="left" w:pos="0"/>
        <w:tab w:val="left" w:pos="1152"/>
        <w:tab w:val="left" w:pos="1570"/>
        <w:tab w:val="left" w:pos="1843"/>
        <w:tab w:val="left" w:pos="2261"/>
        <w:tab w:val="left" w:pos="6480"/>
      </w:tabs>
      <w:spacing w:line="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8A0" w:rsidRDefault="00AF38A0">
      <w:r>
        <w:separator/>
      </w:r>
    </w:p>
  </w:footnote>
  <w:footnote w:type="continuationSeparator" w:id="0">
    <w:p w:rsidR="00AF38A0" w:rsidRDefault="00AF3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A0" w:rsidRDefault="00AF38A0">
    <w:pPr>
      <w:tabs>
        <w:tab w:val="left" w:pos="-1440"/>
        <w:tab w:val="left" w:pos="-720"/>
        <w:tab w:val="left" w:pos="0"/>
        <w:tab w:val="left" w:pos="1152"/>
        <w:tab w:val="left" w:pos="1570"/>
        <w:tab w:val="left" w:pos="1843"/>
        <w:tab w:val="left" w:pos="2261"/>
        <w:tab w:val="left" w:pos="64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31414C"/>
    <w:rsid w:val="00000ED4"/>
    <w:rsid w:val="000142AA"/>
    <w:rsid w:val="00025198"/>
    <w:rsid w:val="000578A3"/>
    <w:rsid w:val="000648CC"/>
    <w:rsid w:val="0008708C"/>
    <w:rsid w:val="000B2DF4"/>
    <w:rsid w:val="000C3D24"/>
    <w:rsid w:val="000C59B8"/>
    <w:rsid w:val="000C6AF0"/>
    <w:rsid w:val="00104F33"/>
    <w:rsid w:val="00111DE2"/>
    <w:rsid w:val="00116B38"/>
    <w:rsid w:val="00122093"/>
    <w:rsid w:val="00122F61"/>
    <w:rsid w:val="00133333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81E55"/>
    <w:rsid w:val="00186351"/>
    <w:rsid w:val="00195D83"/>
    <w:rsid w:val="001A00C1"/>
    <w:rsid w:val="001B33E0"/>
    <w:rsid w:val="001B4573"/>
    <w:rsid w:val="001C779F"/>
    <w:rsid w:val="001D04E1"/>
    <w:rsid w:val="001D2AC1"/>
    <w:rsid w:val="001D4E88"/>
    <w:rsid w:val="00220FC2"/>
    <w:rsid w:val="002222F4"/>
    <w:rsid w:val="00224FC0"/>
    <w:rsid w:val="00225EA4"/>
    <w:rsid w:val="00226EAF"/>
    <w:rsid w:val="00231F3A"/>
    <w:rsid w:val="00234199"/>
    <w:rsid w:val="002406EE"/>
    <w:rsid w:val="00243EC8"/>
    <w:rsid w:val="00270D93"/>
    <w:rsid w:val="002745CC"/>
    <w:rsid w:val="002855AB"/>
    <w:rsid w:val="002B7924"/>
    <w:rsid w:val="002D019D"/>
    <w:rsid w:val="002D28C3"/>
    <w:rsid w:val="002D39A4"/>
    <w:rsid w:val="002E6705"/>
    <w:rsid w:val="002F5D11"/>
    <w:rsid w:val="00301D08"/>
    <w:rsid w:val="0030329A"/>
    <w:rsid w:val="00303397"/>
    <w:rsid w:val="0031086F"/>
    <w:rsid w:val="0031414C"/>
    <w:rsid w:val="00314E01"/>
    <w:rsid w:val="003171C8"/>
    <w:rsid w:val="0032089D"/>
    <w:rsid w:val="003310DE"/>
    <w:rsid w:val="003314AA"/>
    <w:rsid w:val="003323B0"/>
    <w:rsid w:val="0035169A"/>
    <w:rsid w:val="0035259D"/>
    <w:rsid w:val="00364B18"/>
    <w:rsid w:val="00375C01"/>
    <w:rsid w:val="00382EDB"/>
    <w:rsid w:val="003A125D"/>
    <w:rsid w:val="003A4C70"/>
    <w:rsid w:val="003B215F"/>
    <w:rsid w:val="003C2DD5"/>
    <w:rsid w:val="003C799C"/>
    <w:rsid w:val="003D0399"/>
    <w:rsid w:val="003E1C71"/>
    <w:rsid w:val="003F327B"/>
    <w:rsid w:val="003F735B"/>
    <w:rsid w:val="00400169"/>
    <w:rsid w:val="00401104"/>
    <w:rsid w:val="00406166"/>
    <w:rsid w:val="0040704B"/>
    <w:rsid w:val="00410A55"/>
    <w:rsid w:val="00411300"/>
    <w:rsid w:val="004132A9"/>
    <w:rsid w:val="00415417"/>
    <w:rsid w:val="004172F5"/>
    <w:rsid w:val="00426659"/>
    <w:rsid w:val="00450352"/>
    <w:rsid w:val="00454BDB"/>
    <w:rsid w:val="00464800"/>
    <w:rsid w:val="00465132"/>
    <w:rsid w:val="00480C90"/>
    <w:rsid w:val="0048396F"/>
    <w:rsid w:val="00493C18"/>
    <w:rsid w:val="004A3A28"/>
    <w:rsid w:val="004A600C"/>
    <w:rsid w:val="004A6118"/>
    <w:rsid w:val="004A6E20"/>
    <w:rsid w:val="004C478D"/>
    <w:rsid w:val="004D09A6"/>
    <w:rsid w:val="004E190F"/>
    <w:rsid w:val="004E2C26"/>
    <w:rsid w:val="004E6604"/>
    <w:rsid w:val="004F2A61"/>
    <w:rsid w:val="004F36FF"/>
    <w:rsid w:val="00505AE6"/>
    <w:rsid w:val="005125A8"/>
    <w:rsid w:val="00521AE8"/>
    <w:rsid w:val="00527180"/>
    <w:rsid w:val="005358AE"/>
    <w:rsid w:val="0054201E"/>
    <w:rsid w:val="00553D34"/>
    <w:rsid w:val="00555291"/>
    <w:rsid w:val="00566AD1"/>
    <w:rsid w:val="00583EDE"/>
    <w:rsid w:val="00586A8C"/>
    <w:rsid w:val="005A6079"/>
    <w:rsid w:val="005B0996"/>
    <w:rsid w:val="005E4698"/>
    <w:rsid w:val="005E4B32"/>
    <w:rsid w:val="00601764"/>
    <w:rsid w:val="00610539"/>
    <w:rsid w:val="00613969"/>
    <w:rsid w:val="00625C35"/>
    <w:rsid w:val="00656313"/>
    <w:rsid w:val="006565F4"/>
    <w:rsid w:val="00684EEA"/>
    <w:rsid w:val="0069689B"/>
    <w:rsid w:val="006A1551"/>
    <w:rsid w:val="006B5FF5"/>
    <w:rsid w:val="006C2CEC"/>
    <w:rsid w:val="006F30AF"/>
    <w:rsid w:val="006F605D"/>
    <w:rsid w:val="00701759"/>
    <w:rsid w:val="00705C15"/>
    <w:rsid w:val="0071600E"/>
    <w:rsid w:val="007208D1"/>
    <w:rsid w:val="00727FF3"/>
    <w:rsid w:val="00747288"/>
    <w:rsid w:val="00747DD3"/>
    <w:rsid w:val="007549C8"/>
    <w:rsid w:val="00754A0B"/>
    <w:rsid w:val="00766D14"/>
    <w:rsid w:val="00767A0F"/>
    <w:rsid w:val="00793693"/>
    <w:rsid w:val="007A05F6"/>
    <w:rsid w:val="007B6F4A"/>
    <w:rsid w:val="007C4C91"/>
    <w:rsid w:val="007E0B14"/>
    <w:rsid w:val="007E1C47"/>
    <w:rsid w:val="007E337A"/>
    <w:rsid w:val="007E5C70"/>
    <w:rsid w:val="007F2FF5"/>
    <w:rsid w:val="007F3F08"/>
    <w:rsid w:val="00804CC6"/>
    <w:rsid w:val="00817190"/>
    <w:rsid w:val="00820EE5"/>
    <w:rsid w:val="008260E2"/>
    <w:rsid w:val="008322BD"/>
    <w:rsid w:val="00833E0A"/>
    <w:rsid w:val="00834F73"/>
    <w:rsid w:val="00864CF8"/>
    <w:rsid w:val="00872819"/>
    <w:rsid w:val="00874914"/>
    <w:rsid w:val="00891422"/>
    <w:rsid w:val="00892E1A"/>
    <w:rsid w:val="008A18C7"/>
    <w:rsid w:val="008A3F29"/>
    <w:rsid w:val="008B660A"/>
    <w:rsid w:val="008C01DA"/>
    <w:rsid w:val="008C0A75"/>
    <w:rsid w:val="008E6922"/>
    <w:rsid w:val="008F0863"/>
    <w:rsid w:val="008F78E9"/>
    <w:rsid w:val="00911989"/>
    <w:rsid w:val="009179F9"/>
    <w:rsid w:val="00933E5E"/>
    <w:rsid w:val="00935218"/>
    <w:rsid w:val="009403F3"/>
    <w:rsid w:val="009555B7"/>
    <w:rsid w:val="009567AA"/>
    <w:rsid w:val="00967374"/>
    <w:rsid w:val="0098595F"/>
    <w:rsid w:val="00990BBD"/>
    <w:rsid w:val="009A343A"/>
    <w:rsid w:val="009B2F23"/>
    <w:rsid w:val="009B57B3"/>
    <w:rsid w:val="009C5B92"/>
    <w:rsid w:val="009D2920"/>
    <w:rsid w:val="009D5AEB"/>
    <w:rsid w:val="009E0405"/>
    <w:rsid w:val="009F0E33"/>
    <w:rsid w:val="00A030CE"/>
    <w:rsid w:val="00A149DF"/>
    <w:rsid w:val="00A1755C"/>
    <w:rsid w:val="00A21B90"/>
    <w:rsid w:val="00A23F1A"/>
    <w:rsid w:val="00A24C31"/>
    <w:rsid w:val="00A41805"/>
    <w:rsid w:val="00A42DCD"/>
    <w:rsid w:val="00A4346A"/>
    <w:rsid w:val="00A52AFB"/>
    <w:rsid w:val="00A548CB"/>
    <w:rsid w:val="00A5521C"/>
    <w:rsid w:val="00A643E7"/>
    <w:rsid w:val="00A73C38"/>
    <w:rsid w:val="00A74093"/>
    <w:rsid w:val="00A91BC5"/>
    <w:rsid w:val="00AA27ED"/>
    <w:rsid w:val="00AB670D"/>
    <w:rsid w:val="00AD51D3"/>
    <w:rsid w:val="00AD56F8"/>
    <w:rsid w:val="00AF03C5"/>
    <w:rsid w:val="00AF38A0"/>
    <w:rsid w:val="00B000D8"/>
    <w:rsid w:val="00B00F75"/>
    <w:rsid w:val="00B060DE"/>
    <w:rsid w:val="00B145B6"/>
    <w:rsid w:val="00B279EB"/>
    <w:rsid w:val="00B42E8B"/>
    <w:rsid w:val="00B50C81"/>
    <w:rsid w:val="00B557F8"/>
    <w:rsid w:val="00B63919"/>
    <w:rsid w:val="00B815FC"/>
    <w:rsid w:val="00B90A3F"/>
    <w:rsid w:val="00B93FBC"/>
    <w:rsid w:val="00BA7DA0"/>
    <w:rsid w:val="00BB2EE4"/>
    <w:rsid w:val="00BC2108"/>
    <w:rsid w:val="00BD0E9E"/>
    <w:rsid w:val="00BD1BEC"/>
    <w:rsid w:val="00BD32FF"/>
    <w:rsid w:val="00BE6FEC"/>
    <w:rsid w:val="00BF412D"/>
    <w:rsid w:val="00C02092"/>
    <w:rsid w:val="00C24D91"/>
    <w:rsid w:val="00C53F14"/>
    <w:rsid w:val="00C600CF"/>
    <w:rsid w:val="00C6084F"/>
    <w:rsid w:val="00C62A66"/>
    <w:rsid w:val="00C7095F"/>
    <w:rsid w:val="00C71458"/>
    <w:rsid w:val="00C758D1"/>
    <w:rsid w:val="00C77613"/>
    <w:rsid w:val="00C828E7"/>
    <w:rsid w:val="00C86719"/>
    <w:rsid w:val="00C878BF"/>
    <w:rsid w:val="00C921DD"/>
    <w:rsid w:val="00C965AB"/>
    <w:rsid w:val="00CA6391"/>
    <w:rsid w:val="00CB2984"/>
    <w:rsid w:val="00CC0758"/>
    <w:rsid w:val="00CC34BD"/>
    <w:rsid w:val="00CC5232"/>
    <w:rsid w:val="00CE161A"/>
    <w:rsid w:val="00CE3171"/>
    <w:rsid w:val="00CF1601"/>
    <w:rsid w:val="00CF64F4"/>
    <w:rsid w:val="00D0172F"/>
    <w:rsid w:val="00D068A7"/>
    <w:rsid w:val="00D17476"/>
    <w:rsid w:val="00D32086"/>
    <w:rsid w:val="00D37A3F"/>
    <w:rsid w:val="00D4431D"/>
    <w:rsid w:val="00D4667A"/>
    <w:rsid w:val="00D63A1C"/>
    <w:rsid w:val="00D7516F"/>
    <w:rsid w:val="00D8579F"/>
    <w:rsid w:val="00D95F8E"/>
    <w:rsid w:val="00DA0590"/>
    <w:rsid w:val="00DB7BEA"/>
    <w:rsid w:val="00DC1739"/>
    <w:rsid w:val="00DC1788"/>
    <w:rsid w:val="00DE319C"/>
    <w:rsid w:val="00DF0CA8"/>
    <w:rsid w:val="00DF2B48"/>
    <w:rsid w:val="00DF49A7"/>
    <w:rsid w:val="00E07EE2"/>
    <w:rsid w:val="00E07FD1"/>
    <w:rsid w:val="00E24573"/>
    <w:rsid w:val="00E25E1E"/>
    <w:rsid w:val="00E27EE7"/>
    <w:rsid w:val="00E35404"/>
    <w:rsid w:val="00E45109"/>
    <w:rsid w:val="00E47B7A"/>
    <w:rsid w:val="00E56A44"/>
    <w:rsid w:val="00E56AB1"/>
    <w:rsid w:val="00E60269"/>
    <w:rsid w:val="00E7555C"/>
    <w:rsid w:val="00E77932"/>
    <w:rsid w:val="00E87EFE"/>
    <w:rsid w:val="00E97830"/>
    <w:rsid w:val="00EB5358"/>
    <w:rsid w:val="00EE643C"/>
    <w:rsid w:val="00EF0683"/>
    <w:rsid w:val="00EF69D2"/>
    <w:rsid w:val="00EF766E"/>
    <w:rsid w:val="00F0070C"/>
    <w:rsid w:val="00F00EB7"/>
    <w:rsid w:val="00F01E16"/>
    <w:rsid w:val="00F17BEE"/>
    <w:rsid w:val="00F36AB6"/>
    <w:rsid w:val="00F37A09"/>
    <w:rsid w:val="00F409CE"/>
    <w:rsid w:val="00F4379D"/>
    <w:rsid w:val="00F50D2D"/>
    <w:rsid w:val="00F5505C"/>
    <w:rsid w:val="00F56212"/>
    <w:rsid w:val="00F56C8B"/>
    <w:rsid w:val="00F66810"/>
    <w:rsid w:val="00F846D9"/>
    <w:rsid w:val="00F84DF4"/>
    <w:rsid w:val="00F85C97"/>
    <w:rsid w:val="00FB37D2"/>
    <w:rsid w:val="00FC4EFB"/>
    <w:rsid w:val="00FD068D"/>
    <w:rsid w:val="00FD4F28"/>
    <w:rsid w:val="00FE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i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</w:rPr>
  </w:style>
  <w:style w:type="paragraph" w:styleId="ListParagraph">
    <w:name w:val="List Paragraph"/>
    <w:basedOn w:val="Normal"/>
    <w:uiPriority w:val="34"/>
    <w:qFormat/>
    <w:rsid w:val="00BE6FE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A6E2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A6E2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C965AB"/>
    <w:rPr>
      <w:rFonts w:eastAsia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CLsocPartyRoleChar">
    <w:name w:val="SCC.Lsoc.PartyRole Char"/>
    <w:basedOn w:val="DefaultParagraphFont"/>
    <w:rsid w:val="00C965AB"/>
    <w:rPr>
      <w:rFonts w:eastAsiaTheme="minorHAnsi" w:cstheme="minorBidi"/>
      <w:sz w:val="24"/>
      <w:szCs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C965AB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C965AB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460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2014-11-13T15:12:00Z</dcterms:created>
  <dcterms:modified xsi:type="dcterms:W3CDTF">2015-03-06T15:13:00Z</dcterms:modified>
</cp:coreProperties>
</file>