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A8" w:rsidRPr="00765AA8" w:rsidRDefault="00765AA8" w:rsidP="00A0473B">
      <w:pPr>
        <w:pStyle w:val="Court"/>
      </w:pPr>
      <w:r w:rsidRPr="00765AA8">
        <w:t>Supreme Court of Canada</w:t>
      </w:r>
    </w:p>
    <w:p w:rsidR="00765AA8" w:rsidRPr="00765AA8" w:rsidRDefault="00765AA8" w:rsidP="00A0473B">
      <w:pPr>
        <w:pStyle w:val="CitationLine"/>
      </w:pPr>
      <w:proofErr w:type="spellStart"/>
      <w:proofErr w:type="gramStart"/>
      <w:r w:rsidRPr="00765AA8">
        <w:rPr>
          <w:lang w:val="en-US"/>
        </w:rPr>
        <w:t>Boak</w:t>
      </w:r>
      <w:proofErr w:type="spellEnd"/>
      <w:r w:rsidR="00666960">
        <w:rPr>
          <w:lang w:val="en-US"/>
        </w:rPr>
        <w:t>,</w:t>
      </w:r>
      <w:r w:rsidRPr="00765AA8">
        <w:rPr>
          <w:lang w:val="en-US"/>
        </w:rPr>
        <w:t xml:space="preserve"> </w:t>
      </w:r>
      <w:r w:rsidRPr="00765AA8">
        <w:rPr>
          <w:i/>
          <w:lang w:val="en-US"/>
        </w:rPr>
        <w:t>et al.</w:t>
      </w:r>
      <w:r w:rsidRPr="00765AA8">
        <w:t xml:space="preserve"> v.</w:t>
      </w:r>
      <w:proofErr w:type="gramEnd"/>
      <w:r w:rsidRPr="00765AA8">
        <w:t xml:space="preserve"> </w:t>
      </w:r>
      <w:r w:rsidRPr="00765AA8">
        <w:rPr>
          <w:lang w:val="en-US"/>
        </w:rPr>
        <w:t>The Merchants' Marine Insurance Co</w:t>
      </w:r>
      <w:r w:rsidR="0053473F">
        <w:rPr>
          <w:lang w:val="en-US"/>
        </w:rPr>
        <w:t>.</w:t>
      </w:r>
      <w:r w:rsidRPr="00765AA8">
        <w:t xml:space="preserve"> (</w:t>
      </w:r>
      <w:r w:rsidRPr="00B91E6A">
        <w:t>1877</w:t>
      </w:r>
      <w:r w:rsidRPr="00765AA8">
        <w:t>) 1 SCR 110</w:t>
      </w:r>
    </w:p>
    <w:p w:rsidR="00765AA8" w:rsidRPr="00765AA8" w:rsidRDefault="00765AA8" w:rsidP="00A0473B">
      <w:pPr>
        <w:pStyle w:val="DateISO"/>
      </w:pPr>
      <w:r w:rsidRPr="00765AA8">
        <w:t xml:space="preserve">Date: </w:t>
      </w:r>
      <w:r w:rsidRPr="00765AA8">
        <w:rPr>
          <w:lang w:val="en-US"/>
        </w:rPr>
        <w:t>1877-</w:t>
      </w:r>
      <w:r w:rsidRPr="00765AA8">
        <w:t>01-</w:t>
      </w:r>
      <w:r w:rsidR="005312FE">
        <w:rPr>
          <w:lang w:val="en-US"/>
        </w:rPr>
        <w:t>23</w:t>
      </w:r>
      <w:bookmarkStart w:id="0" w:name="_GoBack"/>
      <w:bookmarkEnd w:id="0"/>
    </w:p>
    <w:p w:rsidR="00DC0971" w:rsidRPr="00765AA8" w:rsidRDefault="00765AA8" w:rsidP="00A0473B">
      <w:pPr>
        <w:pStyle w:val="Metadata"/>
        <w:rPr>
          <w:lang w:val="en-US"/>
        </w:rPr>
      </w:pPr>
      <w:r w:rsidRPr="00765AA8">
        <w:rPr>
          <w:lang w:val="en-US"/>
        </w:rPr>
        <w:t xml:space="preserve">Robert </w:t>
      </w:r>
      <w:proofErr w:type="spellStart"/>
      <w:r w:rsidRPr="00765AA8">
        <w:rPr>
          <w:lang w:val="en-US"/>
        </w:rPr>
        <w:t>Boak</w:t>
      </w:r>
      <w:proofErr w:type="spellEnd"/>
      <w:r w:rsidR="00DC0971" w:rsidRPr="00765AA8">
        <w:rPr>
          <w:lang w:val="en-US"/>
        </w:rPr>
        <w:t>, et al.</w:t>
      </w:r>
    </w:p>
    <w:p w:rsidR="00DC0971" w:rsidRPr="00765AA8" w:rsidRDefault="00DC0971" w:rsidP="00A0473B">
      <w:pPr>
        <w:pStyle w:val="Metadata"/>
        <w:rPr>
          <w:lang w:val="en-US"/>
        </w:rPr>
      </w:pPr>
      <w:r w:rsidRPr="00765AA8">
        <w:rPr>
          <w:lang w:val="en-US"/>
        </w:rPr>
        <w:t>Appellants</w:t>
      </w:r>
    </w:p>
    <w:p w:rsidR="00DC0971" w:rsidRPr="00765AA8" w:rsidRDefault="00765AA8" w:rsidP="00A0473B">
      <w:pPr>
        <w:pStyle w:val="Metadata"/>
        <w:rPr>
          <w:lang w:val="en-US"/>
        </w:rPr>
      </w:pPr>
      <w:r w:rsidRPr="00765AA8">
        <w:rPr>
          <w:lang w:val="en-US"/>
        </w:rPr>
        <w:t>And</w:t>
      </w:r>
    </w:p>
    <w:p w:rsidR="00DC0971" w:rsidRPr="00765AA8" w:rsidRDefault="00765AA8" w:rsidP="00A0473B">
      <w:pPr>
        <w:pStyle w:val="Metadata"/>
        <w:rPr>
          <w:lang w:val="en-US"/>
        </w:rPr>
      </w:pPr>
      <w:r w:rsidRPr="00765AA8">
        <w:rPr>
          <w:lang w:val="en-US"/>
        </w:rPr>
        <w:t>The Merchants' Marine Insurance Company</w:t>
      </w:r>
    </w:p>
    <w:p w:rsidR="00DC0971" w:rsidRPr="00765AA8" w:rsidRDefault="00DC0971" w:rsidP="00A0473B">
      <w:pPr>
        <w:pStyle w:val="Metadata"/>
        <w:rPr>
          <w:lang w:val="en-US"/>
        </w:rPr>
      </w:pPr>
      <w:r w:rsidRPr="00765AA8">
        <w:rPr>
          <w:lang w:val="en-US"/>
        </w:rPr>
        <w:t>Respondents</w:t>
      </w:r>
    </w:p>
    <w:p w:rsidR="009D1F95" w:rsidRDefault="009D1F95" w:rsidP="00A0473B">
      <w:pPr>
        <w:pStyle w:val="Metadata"/>
        <w:rPr>
          <w:lang w:val="en-US"/>
        </w:rPr>
      </w:pPr>
      <w:r w:rsidRPr="009D1F95">
        <w:rPr>
          <w:lang w:val="en-US"/>
        </w:rPr>
        <w:t>22nd January 1877</w:t>
      </w:r>
    </w:p>
    <w:p w:rsidR="009D1F95" w:rsidRDefault="009D1F95" w:rsidP="00A0473B">
      <w:pPr>
        <w:pStyle w:val="Metadata"/>
        <w:rPr>
          <w:lang w:val="en-US"/>
        </w:rPr>
      </w:pPr>
      <w:r w:rsidRPr="009D1F95">
        <w:rPr>
          <w:lang w:val="en-US"/>
        </w:rPr>
        <w:t>Present</w:t>
      </w:r>
      <w:r>
        <w:rPr>
          <w:lang w:val="en-US"/>
        </w:rPr>
        <w:t>:—</w:t>
      </w:r>
      <w:proofErr w:type="gramStart"/>
      <w:r>
        <w:rPr>
          <w:lang w:val="en-US"/>
        </w:rPr>
        <w:t>The</w:t>
      </w:r>
      <w:proofErr w:type="gramEnd"/>
      <w:r>
        <w:rPr>
          <w:lang w:val="en-US"/>
        </w:rPr>
        <w:t xml:space="preserve"> Chief Justice, and Ritchie, Strong, </w:t>
      </w:r>
      <w:proofErr w:type="spellStart"/>
      <w:r>
        <w:rPr>
          <w:lang w:val="en-US"/>
        </w:rPr>
        <w:t>Taschereau</w:t>
      </w:r>
      <w:proofErr w:type="spellEnd"/>
      <w:r>
        <w:rPr>
          <w:lang w:val="en-US"/>
        </w:rPr>
        <w:t>, Fournier and Henry, JJ.</w:t>
      </w:r>
    </w:p>
    <w:p w:rsidR="00DC0971" w:rsidRDefault="00DC0971" w:rsidP="00A0473B">
      <w:pPr>
        <w:pStyle w:val="Metadata"/>
        <w:rPr>
          <w:lang w:val="en-US"/>
        </w:rPr>
      </w:pPr>
      <w:proofErr w:type="gramStart"/>
      <w:r>
        <w:rPr>
          <w:lang w:val="en-US"/>
        </w:rPr>
        <w:t>ON APPEAL FROM THE SUPREME COURT OF NOVA SCOTIA.</w:t>
      </w:r>
      <w:proofErr w:type="gramEnd"/>
    </w:p>
    <w:p w:rsidR="00DC0971" w:rsidRDefault="00DC0971" w:rsidP="00A0473B">
      <w:pPr>
        <w:pStyle w:val="Keywords"/>
        <w:rPr>
          <w:lang w:val="en-US"/>
        </w:rPr>
      </w:pPr>
      <w:r>
        <w:rPr>
          <w:lang w:val="en-US"/>
        </w:rPr>
        <w:t>Appeal in matter of Discretion—Supreme and Exchequer Court Act, Sec. 22.</w:t>
      </w:r>
    </w:p>
    <w:p w:rsidR="00DC0971" w:rsidRDefault="00DC0971" w:rsidP="00A0473B">
      <w:pPr>
        <w:pStyle w:val="Summary"/>
        <w:rPr>
          <w:lang w:val="en-US"/>
        </w:rPr>
      </w:pPr>
      <w:r>
        <w:rPr>
          <w:i/>
          <w:iCs/>
          <w:lang w:val="en-US"/>
        </w:rPr>
        <w:t>Held</w:t>
      </w:r>
      <w:r>
        <w:rPr>
          <w:lang w:val="en-US"/>
        </w:rPr>
        <w:t>:—Under Section 22 of the Supreme and Exchequer Court Act no appeal lies from the judgment of a Court granting a new trial, on the ground that the verdict was against the weight of evidence, that being a matter of discretion.</w:t>
      </w:r>
    </w:p>
    <w:p w:rsidR="00DC0971" w:rsidRDefault="00DC0971" w:rsidP="00A0473B">
      <w:pPr>
        <w:pStyle w:val="History"/>
        <w:rPr>
          <w:lang w:val="en-US"/>
        </w:rPr>
      </w:pPr>
      <w:r>
        <w:rPr>
          <w:lang w:val="en-US"/>
        </w:rPr>
        <w:t xml:space="preserve">This was an appeal from the judgment of the Supreme Court of Nova Scotia, of the 16th May, 1876, making a </w:t>
      </w:r>
      <w:r>
        <w:rPr>
          <w:i/>
          <w:iCs/>
          <w:lang w:val="en-US"/>
        </w:rPr>
        <w:t>rule nisi</w:t>
      </w:r>
      <w:r>
        <w:rPr>
          <w:lang w:val="en-US"/>
        </w:rPr>
        <w:t xml:space="preserve"> absolute for a new trial, and setting aside a verdict obtained by the Appellants in an action brought against the Respondents, to recover $4,500 under a </w:t>
      </w:r>
      <w:proofErr w:type="gramStart"/>
      <w:r>
        <w:rPr>
          <w:lang w:val="en-US"/>
        </w:rPr>
        <w:t>marine</w:t>
      </w:r>
      <w:proofErr w:type="gramEnd"/>
      <w:r>
        <w:rPr>
          <w:lang w:val="en-US"/>
        </w:rPr>
        <w:t xml:space="preserve"> insurance policy for the loss of the cargo and hull of the brigantine "</w:t>
      </w:r>
      <w:proofErr w:type="spellStart"/>
      <w:r>
        <w:rPr>
          <w:lang w:val="en-US"/>
        </w:rPr>
        <w:t>Alexina</w:t>
      </w:r>
      <w:proofErr w:type="spellEnd"/>
      <w:r>
        <w:rPr>
          <w:lang w:val="en-US"/>
        </w:rPr>
        <w:t>."</w:t>
      </w:r>
    </w:p>
    <w:p w:rsidR="00DC0971" w:rsidRDefault="006A6DAF" w:rsidP="00A0473B">
      <w:pPr>
        <w:pStyle w:val="Page"/>
        <w:rPr>
          <w:lang w:val="en-US"/>
        </w:rPr>
      </w:pPr>
      <w:r>
        <w:rPr>
          <w:rFonts w:cs="Arial"/>
          <w:szCs w:val="24"/>
          <w:lang w:val="en-US"/>
        </w:rPr>
        <w:t xml:space="preserve">[Page </w:t>
      </w:r>
      <w:r w:rsidR="00DC0971">
        <w:rPr>
          <w:rFonts w:cs="Arial"/>
          <w:szCs w:val="24"/>
          <w:lang w:val="en-US"/>
        </w:rPr>
        <w:t>111]</w:t>
      </w:r>
    </w:p>
    <w:p w:rsidR="00DC0971" w:rsidRDefault="00DC0971" w:rsidP="00A0473B">
      <w:pPr>
        <w:pStyle w:val="History"/>
        <w:rPr>
          <w:lang w:val="en-US"/>
        </w:rPr>
      </w:pPr>
      <w:r>
        <w:rPr>
          <w:lang w:val="en-US"/>
        </w:rPr>
        <w:t>The cause came on for trial before Mr. Justice Smith of the Supreme Court of Nova Scotia, and a Jury, on the 12th May, 1875, and a verdict was given for the Appellants.</w:t>
      </w:r>
    </w:p>
    <w:p w:rsidR="00DC0971" w:rsidRDefault="00DC0971" w:rsidP="00A0473B">
      <w:pPr>
        <w:pStyle w:val="History"/>
        <w:rPr>
          <w:rFonts w:cs="Arial"/>
          <w:szCs w:val="24"/>
          <w:lang w:val="en-US"/>
        </w:rPr>
      </w:pPr>
      <w:r>
        <w:rPr>
          <w:rFonts w:cs="Arial"/>
          <w:szCs w:val="24"/>
          <w:lang w:val="en-US"/>
        </w:rPr>
        <w:t>This verdict was moved against, and on the 19th May, 1875, it was ordered that the verdict for the Plaintiffs be set aside with costs, and a new trial granted. The rule was moved on the following grounds:</w:t>
      </w:r>
    </w:p>
    <w:p w:rsidR="00DC0971" w:rsidRDefault="00DC0971" w:rsidP="00A0473B">
      <w:pPr>
        <w:pStyle w:val="History"/>
        <w:rPr>
          <w:rFonts w:cs="Arial"/>
          <w:szCs w:val="24"/>
          <w:lang w:val="en-US"/>
        </w:rPr>
      </w:pPr>
      <w:r>
        <w:rPr>
          <w:rFonts w:cs="Arial"/>
          <w:szCs w:val="24"/>
          <w:lang w:val="en-US"/>
        </w:rPr>
        <w:t xml:space="preserve">1st. That the verdict is against law and evidence. 2nd. </w:t>
      </w:r>
      <w:proofErr w:type="gramStart"/>
      <w:r>
        <w:rPr>
          <w:rFonts w:cs="Arial"/>
          <w:szCs w:val="24"/>
          <w:lang w:val="en-US"/>
        </w:rPr>
        <w:t>For</w:t>
      </w:r>
      <w:proofErr w:type="gramEnd"/>
      <w:r>
        <w:rPr>
          <w:rFonts w:cs="Arial"/>
          <w:szCs w:val="24"/>
          <w:lang w:val="en-US"/>
        </w:rPr>
        <w:t xml:space="preserve"> the improper reception and rejection of evidence,</w:t>
      </w:r>
    </w:p>
    <w:p w:rsidR="00DC0971" w:rsidRDefault="00DC0971" w:rsidP="00A0473B">
      <w:pPr>
        <w:pStyle w:val="History"/>
        <w:rPr>
          <w:rFonts w:cs="Arial"/>
          <w:szCs w:val="24"/>
          <w:lang w:val="en-US"/>
        </w:rPr>
      </w:pPr>
      <w:r>
        <w:rPr>
          <w:rFonts w:cs="Arial"/>
          <w:szCs w:val="24"/>
          <w:lang w:val="en-US"/>
        </w:rPr>
        <w:t xml:space="preserve">3rd. </w:t>
      </w:r>
      <w:proofErr w:type="gramStart"/>
      <w:r>
        <w:rPr>
          <w:rFonts w:cs="Arial"/>
          <w:szCs w:val="24"/>
          <w:lang w:val="en-US"/>
        </w:rPr>
        <w:t>For misdirection of the learned Judge.</w:t>
      </w:r>
      <w:proofErr w:type="gramEnd"/>
    </w:p>
    <w:p w:rsidR="00DC0971" w:rsidRDefault="00DC0971" w:rsidP="00A0473B">
      <w:pPr>
        <w:pStyle w:val="History"/>
        <w:rPr>
          <w:rFonts w:cs="Arial"/>
          <w:szCs w:val="24"/>
          <w:lang w:val="en-US"/>
        </w:rPr>
      </w:pPr>
      <w:r>
        <w:rPr>
          <w:rFonts w:cs="Arial"/>
          <w:szCs w:val="24"/>
          <w:lang w:val="en-US"/>
        </w:rPr>
        <w:t xml:space="preserve">The judgment of the Court making the </w:t>
      </w:r>
      <w:r>
        <w:rPr>
          <w:rFonts w:cs="Arial"/>
          <w:i/>
          <w:iCs/>
          <w:szCs w:val="24"/>
          <w:lang w:val="en-US"/>
        </w:rPr>
        <w:t>rule nisi</w:t>
      </w:r>
      <w:r>
        <w:rPr>
          <w:rFonts w:cs="Arial"/>
          <w:szCs w:val="24"/>
          <w:lang w:val="en-US"/>
        </w:rPr>
        <w:t xml:space="preserve"> absolute, was delivered by Ritchie, J. and Wilkins, J.</w:t>
      </w:r>
    </w:p>
    <w:p w:rsidR="00DC0971" w:rsidRDefault="00DC0971" w:rsidP="00A0473B">
      <w:pPr>
        <w:pStyle w:val="History"/>
        <w:rPr>
          <w:rFonts w:cs="Arial"/>
          <w:szCs w:val="24"/>
          <w:lang w:val="en-US"/>
        </w:rPr>
      </w:pPr>
      <w:r>
        <w:rPr>
          <w:rFonts w:cs="Arial"/>
          <w:szCs w:val="24"/>
          <w:lang w:val="en-US"/>
        </w:rPr>
        <w:lastRenderedPageBreak/>
        <w:t xml:space="preserve">Among other pleas, the Defendant pleaded that the vessel did not proceed upon and continue on the voyage indicated to the insurers, and that material facts were concealed from them, and no sufficient proof of loss given. The reason given by Ritchie, J., for making the rule absolute was that the verdict on these two points was against the weight of evidence; and Wilkins, J., concluded his judgment as follows: "My own mind is in a state of doubt and uncertainty, whether the cause of the loss of this vessel was (she being seaworthy, severity of the gale, or </w:t>
      </w:r>
      <w:proofErr w:type="spellStart"/>
      <w:r>
        <w:rPr>
          <w:rFonts w:cs="Arial"/>
          <w:szCs w:val="24"/>
          <w:lang w:val="en-US"/>
        </w:rPr>
        <w:t>unseaworthiness</w:t>
      </w:r>
      <w:proofErr w:type="spellEnd"/>
      <w:r>
        <w:rPr>
          <w:rFonts w:cs="Arial"/>
          <w:szCs w:val="24"/>
          <w:lang w:val="en-US"/>
        </w:rPr>
        <w:t xml:space="preserve"> that disabled her from effectually resisting it. The doubt could not have existed if the insured had had the vessel regularly surveyed at St. George's Bay, and thoroughly repaired there to the extent demanded by the result of the survey. My opinion </w:t>
      </w:r>
      <w:proofErr w:type="gramStart"/>
      <w:r>
        <w:rPr>
          <w:rFonts w:cs="Arial"/>
          <w:szCs w:val="24"/>
          <w:lang w:val="en-US"/>
        </w:rPr>
        <w:t>is,</w:t>
      </w:r>
      <w:proofErr w:type="gramEnd"/>
      <w:r>
        <w:rPr>
          <w:rFonts w:cs="Arial"/>
          <w:szCs w:val="24"/>
          <w:lang w:val="en-US"/>
        </w:rPr>
        <w:t xml:space="preserve"> that justice to the Defendant's Company demands that this case should be submitted to another investigation."</w:t>
      </w:r>
    </w:p>
    <w:p w:rsidR="00DC0971" w:rsidRDefault="006A6DAF" w:rsidP="00A0473B">
      <w:pPr>
        <w:pStyle w:val="Page"/>
        <w:rPr>
          <w:lang w:val="en-US"/>
        </w:rPr>
      </w:pPr>
      <w:r>
        <w:rPr>
          <w:lang w:val="en-US"/>
        </w:rPr>
        <w:t xml:space="preserve">[Page </w:t>
      </w:r>
      <w:r w:rsidR="00DC0971">
        <w:rPr>
          <w:lang w:val="en-US"/>
        </w:rPr>
        <w:t>112]</w:t>
      </w:r>
    </w:p>
    <w:p w:rsidR="00DC0971" w:rsidRDefault="00DC0971" w:rsidP="00A0473B">
      <w:pPr>
        <w:pStyle w:val="Sollicitors"/>
        <w:rPr>
          <w:lang w:val="en-US"/>
        </w:rPr>
      </w:pPr>
      <w:r>
        <w:rPr>
          <w:lang w:val="en-US"/>
        </w:rPr>
        <w:t xml:space="preserve">Mr. </w:t>
      </w:r>
      <w:r>
        <w:rPr>
          <w:iCs/>
          <w:lang w:val="en-US"/>
        </w:rPr>
        <w:t>W. H. Kerr</w:t>
      </w:r>
      <w:r>
        <w:rPr>
          <w:lang w:val="en-US"/>
        </w:rPr>
        <w:t>, Q. C., for Appellant:</w:t>
      </w:r>
    </w:p>
    <w:p w:rsidR="00DC0971" w:rsidRDefault="00DC0971" w:rsidP="00A0473B">
      <w:pPr>
        <w:pStyle w:val="History"/>
        <w:rPr>
          <w:rFonts w:cs="Arial"/>
          <w:szCs w:val="24"/>
          <w:lang w:val="en-US"/>
        </w:rPr>
      </w:pPr>
      <w:r>
        <w:rPr>
          <w:rFonts w:cs="Arial"/>
          <w:szCs w:val="24"/>
          <w:lang w:val="en-US"/>
        </w:rPr>
        <w:t>Before arguing on the merits of this case it is desirable to have a decision on the question of jurisdiction of this Court which is raised in Respondent's factum as follows: "The Respondents will contend that no appeal lies from the judgment of the Court below in having granted a new trial, that being matter of discretion only, and decided in whole or in part, on the ground that the verdict was against the weight of evidence."</w:t>
      </w:r>
    </w:p>
    <w:p w:rsidR="00DC0971" w:rsidRDefault="00DC0971" w:rsidP="00A0473B">
      <w:pPr>
        <w:pStyle w:val="History"/>
        <w:rPr>
          <w:rFonts w:cs="Arial"/>
          <w:szCs w:val="24"/>
          <w:lang w:val="en-US"/>
        </w:rPr>
      </w:pPr>
      <w:r>
        <w:rPr>
          <w:rFonts w:cs="Arial"/>
          <w:szCs w:val="24"/>
          <w:lang w:val="en-US"/>
        </w:rPr>
        <w:t xml:space="preserve">The rule was made absolute, as appears by the printed case: 1st. </w:t>
      </w:r>
      <w:proofErr w:type="gramStart"/>
      <w:r>
        <w:rPr>
          <w:rFonts w:cs="Arial"/>
          <w:szCs w:val="24"/>
          <w:lang w:val="en-US"/>
        </w:rPr>
        <w:t>Because the verdict is against law and evidence.</w:t>
      </w:r>
      <w:proofErr w:type="gramEnd"/>
      <w:r>
        <w:rPr>
          <w:rFonts w:cs="Arial"/>
          <w:szCs w:val="24"/>
          <w:lang w:val="en-US"/>
        </w:rPr>
        <w:t xml:space="preserve"> This brings the case under the 20th section of the Supreme Court Act which declares that an appeal shall lie from a judgment upon any motion for a new trial upon the ground that the Judge has not ruled according to law.</w:t>
      </w:r>
    </w:p>
    <w:p w:rsidR="00DC0971" w:rsidRDefault="00DC0971" w:rsidP="00A0473B">
      <w:pPr>
        <w:pStyle w:val="History"/>
        <w:rPr>
          <w:lang w:val="en-US"/>
        </w:rPr>
      </w:pPr>
      <w:r>
        <w:rPr>
          <w:lang w:val="en-US"/>
        </w:rPr>
        <w:t>[</w:t>
      </w:r>
      <w:r w:rsidR="009D1F95" w:rsidRPr="009D1F95">
        <w:rPr>
          <w:lang w:val="en-US"/>
        </w:rPr>
        <w:t>THE CHIEF JUSTICE</w:t>
      </w:r>
      <w:r>
        <w:rPr>
          <w:lang w:val="en-US"/>
        </w:rPr>
        <w:t>: If judgment is wrong with regard to misdirection there still remains the fact that the new trial was granted on the ground that the verdict is against the weight of evidence, and we cannot get over that.]</w:t>
      </w:r>
    </w:p>
    <w:p w:rsidR="00DC0971" w:rsidRDefault="00DC0971" w:rsidP="00A0473B">
      <w:pPr>
        <w:pStyle w:val="History"/>
        <w:rPr>
          <w:rFonts w:cs="Arial"/>
          <w:szCs w:val="24"/>
          <w:lang w:val="en-US"/>
        </w:rPr>
      </w:pPr>
      <w:r>
        <w:rPr>
          <w:rFonts w:cs="Arial"/>
          <w:szCs w:val="24"/>
          <w:lang w:val="en-US"/>
        </w:rPr>
        <w:t>The judgment, it must be admitted, is difficult to understand, but there was no reservation of any ground urged in support of application.</w:t>
      </w:r>
    </w:p>
    <w:p w:rsidR="00DC0971" w:rsidRDefault="00DC0971" w:rsidP="00A0473B">
      <w:pPr>
        <w:pStyle w:val="History"/>
        <w:rPr>
          <w:rFonts w:cs="Arial"/>
          <w:szCs w:val="24"/>
          <w:lang w:val="en-US"/>
        </w:rPr>
      </w:pPr>
      <w:r>
        <w:rPr>
          <w:rFonts w:cs="Arial"/>
          <w:szCs w:val="24"/>
          <w:lang w:val="en-US"/>
        </w:rPr>
        <w:t xml:space="preserve">Mr. </w:t>
      </w:r>
      <w:r>
        <w:rPr>
          <w:rFonts w:cs="Arial"/>
          <w:i/>
          <w:iCs/>
          <w:szCs w:val="24"/>
          <w:lang w:val="en-US"/>
        </w:rPr>
        <w:t>Cockburn</w:t>
      </w:r>
      <w:r>
        <w:rPr>
          <w:rFonts w:cs="Arial"/>
          <w:szCs w:val="24"/>
          <w:lang w:val="en-US"/>
        </w:rPr>
        <w:t>, Q.C. for Respondent, was not called upon.</w:t>
      </w:r>
    </w:p>
    <w:p w:rsidR="00DC0971" w:rsidRDefault="00DC0971" w:rsidP="00A0473B">
      <w:pPr>
        <w:pStyle w:val="Reasons"/>
        <w:rPr>
          <w:lang w:val="en-US"/>
        </w:rPr>
      </w:pPr>
      <w:r>
        <w:rPr>
          <w:lang w:val="en-US"/>
        </w:rPr>
        <w:t>23rd January, 1877.</w:t>
      </w:r>
    </w:p>
    <w:p w:rsidR="00DC0971" w:rsidRDefault="00DC0971" w:rsidP="00A0473B">
      <w:pPr>
        <w:pStyle w:val="Reasons"/>
        <w:rPr>
          <w:rFonts w:cs="Arial"/>
          <w:szCs w:val="24"/>
          <w:lang w:val="en-US"/>
        </w:rPr>
      </w:pPr>
      <w:r>
        <w:rPr>
          <w:rFonts w:cs="Arial"/>
          <w:szCs w:val="24"/>
          <w:lang w:val="en-US"/>
        </w:rPr>
        <w:t xml:space="preserve">The judgment of the Court was delivered by </w:t>
      </w:r>
      <w:r w:rsidR="009D1F95" w:rsidRPr="009D1F95">
        <w:rPr>
          <w:rFonts w:cs="Arial"/>
          <w:szCs w:val="24"/>
          <w:lang w:val="en-US"/>
        </w:rPr>
        <w:t>THE CHIEF JUSTICE</w:t>
      </w:r>
      <w:r>
        <w:rPr>
          <w:rFonts w:cs="Arial"/>
          <w:szCs w:val="24"/>
          <w:lang w:val="en-US"/>
        </w:rPr>
        <w:t>:</w:t>
      </w:r>
    </w:p>
    <w:p w:rsidR="00DC0971" w:rsidRDefault="00DC0971" w:rsidP="00A0473B">
      <w:pPr>
        <w:pStyle w:val="Reasons"/>
        <w:rPr>
          <w:rFonts w:cs="Arial"/>
          <w:szCs w:val="24"/>
          <w:lang w:val="en-US"/>
        </w:rPr>
      </w:pPr>
      <w:r>
        <w:rPr>
          <w:rFonts w:cs="Arial"/>
          <w:szCs w:val="24"/>
          <w:lang w:val="en-US"/>
        </w:rPr>
        <w:t>We have read the judgments delivered in the Court below, we are satisfied that the verdict in this case was set aside as against the weight of evidence, and that</w:t>
      </w:r>
    </w:p>
    <w:p w:rsidR="00DC0971" w:rsidRDefault="006A6DAF" w:rsidP="00A0473B">
      <w:pPr>
        <w:pStyle w:val="Page"/>
        <w:rPr>
          <w:lang w:val="en-US"/>
        </w:rPr>
      </w:pPr>
      <w:r>
        <w:rPr>
          <w:rFonts w:cs="Arial"/>
          <w:szCs w:val="24"/>
          <w:lang w:val="en-US"/>
        </w:rPr>
        <w:t xml:space="preserve">[Page </w:t>
      </w:r>
      <w:r w:rsidR="00DC0971">
        <w:rPr>
          <w:rFonts w:cs="Arial"/>
          <w:szCs w:val="24"/>
          <w:lang w:val="en-US"/>
        </w:rPr>
        <w:t>113]</w:t>
      </w:r>
    </w:p>
    <w:p w:rsidR="00DC0971" w:rsidRDefault="00DC0971" w:rsidP="00A0473B">
      <w:pPr>
        <w:pStyle w:val="Reasons"/>
        <w:rPr>
          <w:rFonts w:cs="Arial"/>
          <w:szCs w:val="24"/>
          <w:lang w:val="en-US"/>
        </w:rPr>
      </w:pPr>
      <w:proofErr w:type="gramStart"/>
      <w:r>
        <w:rPr>
          <w:rFonts w:cs="Arial"/>
          <w:szCs w:val="24"/>
          <w:lang w:val="en-US"/>
        </w:rPr>
        <w:t>the</w:t>
      </w:r>
      <w:proofErr w:type="gramEnd"/>
      <w:r>
        <w:rPr>
          <w:rFonts w:cs="Arial"/>
          <w:szCs w:val="24"/>
          <w:lang w:val="en-US"/>
        </w:rPr>
        <w:t xml:space="preserve"> application in this case being upon a matter of discretion only, it comes under the 22nd </w:t>
      </w:r>
      <w:r>
        <w:rPr>
          <w:rFonts w:cs="Arial"/>
          <w:szCs w:val="24"/>
          <w:lang w:val="en-US"/>
        </w:rPr>
        <w:lastRenderedPageBreak/>
        <w:t>section of the Supreme Court Act. We do not think that the rule of the Court below was made absolute granting the new trial for misdirection, and we are, therefore, of opinion that this appeal should be quashed with costs.</w:t>
      </w:r>
    </w:p>
    <w:p w:rsidR="00DC0971" w:rsidRDefault="00DC0971" w:rsidP="00A0473B">
      <w:pPr>
        <w:pStyle w:val="Reasons"/>
        <w:rPr>
          <w:lang w:val="en-US"/>
        </w:rPr>
      </w:pPr>
      <w:r>
        <w:rPr>
          <w:lang w:val="en-US"/>
        </w:rPr>
        <w:t>Appeal quashed with costs.</w:t>
      </w:r>
    </w:p>
    <w:p w:rsidR="00DC0971" w:rsidRDefault="00DC0971" w:rsidP="00A0473B">
      <w:pPr>
        <w:pStyle w:val="Sollicitors"/>
        <w:rPr>
          <w:lang w:val="en-US"/>
        </w:rPr>
      </w:pPr>
      <w:r>
        <w:rPr>
          <w:lang w:val="en-US"/>
        </w:rPr>
        <w:t xml:space="preserve">Attorneys for Appellant: </w:t>
      </w:r>
      <w:r>
        <w:rPr>
          <w:iCs/>
          <w:lang w:val="en-US"/>
        </w:rPr>
        <w:t>Kerr &amp; Carter.</w:t>
      </w:r>
    </w:p>
    <w:p w:rsidR="00DC0971" w:rsidRDefault="00DC0971" w:rsidP="00A0473B">
      <w:pPr>
        <w:pStyle w:val="Sollicitors"/>
        <w:rPr>
          <w:lang w:val="en-US"/>
        </w:rPr>
      </w:pPr>
      <w:r>
        <w:rPr>
          <w:lang w:val="en-US"/>
        </w:rPr>
        <w:t xml:space="preserve">Attorney for Respondent: </w:t>
      </w:r>
      <w:r>
        <w:rPr>
          <w:iCs/>
          <w:lang w:val="en-US"/>
        </w:rPr>
        <w:t>J. N. Ritchie.</w:t>
      </w:r>
    </w:p>
    <w:sectPr w:rsidR="00DC0971" w:rsidSect="003E058A">
      <w:headerReference w:type="even" r:id="rId8"/>
      <w:headerReference w:type="default" r:id="rId9"/>
      <w:footerReference w:type="even" r:id="rId10"/>
      <w:footerReference w:type="default" r:id="rId11"/>
      <w:headerReference w:type="first" r:id="rId12"/>
      <w:footerReference w:type="first" r:id="rId13"/>
      <w:pgSz w:w="12240" w:h="15840" w:code="1"/>
      <w:pgMar w:top="1138" w:right="1138" w:bottom="1138" w:left="113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64" w:rsidRDefault="00083664" w:rsidP="003E058A">
      <w:r>
        <w:separator/>
      </w:r>
    </w:p>
  </w:endnote>
  <w:endnote w:type="continuationSeparator" w:id="0">
    <w:p w:rsidR="00083664" w:rsidRDefault="00083664" w:rsidP="003E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8A" w:rsidRDefault="003E058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8A" w:rsidRPr="003E058A" w:rsidRDefault="003E058A" w:rsidP="003E058A">
    <w:pPr>
      <w:pStyle w:val="Pieddepage"/>
      <w:rPr>
        <w:rFonts w:ascii="Arial" w:hAnsi="Arial" w:cs="Arial"/>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8A" w:rsidRDefault="003E05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64" w:rsidRDefault="00083664" w:rsidP="003E058A">
      <w:r>
        <w:separator/>
      </w:r>
    </w:p>
  </w:footnote>
  <w:footnote w:type="continuationSeparator" w:id="0">
    <w:p w:rsidR="00083664" w:rsidRDefault="00083664" w:rsidP="003E0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8A" w:rsidRDefault="003E058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8A" w:rsidRPr="003E058A" w:rsidRDefault="003E058A" w:rsidP="003E058A">
    <w:pPr>
      <w:pStyle w:val="En-tte"/>
      <w:rPr>
        <w:rFonts w:ascii="Arial" w:hAnsi="Arial" w:cs="Arial"/>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8A" w:rsidRDefault="003E05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C770CFE2">
      <w:start w:val="1"/>
      <w:numFmt w:val="decimal"/>
      <w:pStyle w:val="ParagNum"/>
      <w:lvlText w:val="[%1]"/>
      <w:lvlJc w:val="left"/>
      <w:pPr>
        <w:tabs>
          <w:tab w:val="num" w:pos="369"/>
        </w:tabs>
        <w:ind w:left="369" w:hanging="369"/>
      </w:pPr>
    </w:lvl>
    <w:lvl w:ilvl="1" w:tplc="88BCFCA4" w:tentative="1">
      <w:start w:val="1"/>
      <w:numFmt w:val="lowerLetter"/>
      <w:lvlText w:val="%2."/>
      <w:lvlJc w:val="left"/>
      <w:pPr>
        <w:tabs>
          <w:tab w:val="num" w:pos="1440"/>
        </w:tabs>
        <w:ind w:left="1440" w:hanging="360"/>
      </w:pPr>
    </w:lvl>
    <w:lvl w:ilvl="2" w:tplc="EBF25444" w:tentative="1">
      <w:start w:val="1"/>
      <w:numFmt w:val="lowerRoman"/>
      <w:lvlText w:val="%3."/>
      <w:lvlJc w:val="right"/>
      <w:pPr>
        <w:tabs>
          <w:tab w:val="num" w:pos="2160"/>
        </w:tabs>
        <w:ind w:left="2160" w:hanging="180"/>
      </w:pPr>
    </w:lvl>
    <w:lvl w:ilvl="3" w:tplc="317CCF74" w:tentative="1">
      <w:start w:val="1"/>
      <w:numFmt w:val="decimal"/>
      <w:lvlText w:val="%4."/>
      <w:lvlJc w:val="left"/>
      <w:pPr>
        <w:tabs>
          <w:tab w:val="num" w:pos="2880"/>
        </w:tabs>
        <w:ind w:left="2880" w:hanging="360"/>
      </w:pPr>
    </w:lvl>
    <w:lvl w:ilvl="4" w:tplc="547CB526" w:tentative="1">
      <w:start w:val="1"/>
      <w:numFmt w:val="lowerLetter"/>
      <w:lvlText w:val="%5."/>
      <w:lvlJc w:val="left"/>
      <w:pPr>
        <w:tabs>
          <w:tab w:val="num" w:pos="3600"/>
        </w:tabs>
        <w:ind w:left="3600" w:hanging="360"/>
      </w:pPr>
    </w:lvl>
    <w:lvl w:ilvl="5" w:tplc="F64669F2" w:tentative="1">
      <w:start w:val="1"/>
      <w:numFmt w:val="lowerRoman"/>
      <w:lvlText w:val="%6."/>
      <w:lvlJc w:val="right"/>
      <w:pPr>
        <w:tabs>
          <w:tab w:val="num" w:pos="4320"/>
        </w:tabs>
        <w:ind w:left="4320" w:hanging="180"/>
      </w:pPr>
    </w:lvl>
    <w:lvl w:ilvl="6" w:tplc="F2CE5FF2" w:tentative="1">
      <w:start w:val="1"/>
      <w:numFmt w:val="decimal"/>
      <w:lvlText w:val="%7."/>
      <w:lvlJc w:val="left"/>
      <w:pPr>
        <w:tabs>
          <w:tab w:val="num" w:pos="5040"/>
        </w:tabs>
        <w:ind w:left="5040" w:hanging="360"/>
      </w:pPr>
    </w:lvl>
    <w:lvl w:ilvl="7" w:tplc="2D686EFC" w:tentative="1">
      <w:start w:val="1"/>
      <w:numFmt w:val="lowerLetter"/>
      <w:lvlText w:val="%8."/>
      <w:lvlJc w:val="left"/>
      <w:pPr>
        <w:tabs>
          <w:tab w:val="num" w:pos="5760"/>
        </w:tabs>
        <w:ind w:left="5760" w:hanging="360"/>
      </w:pPr>
    </w:lvl>
    <w:lvl w:ilvl="8" w:tplc="46664AC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linkStyl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71"/>
    <w:rsid w:val="00083664"/>
    <w:rsid w:val="000D5DE8"/>
    <w:rsid w:val="001345E7"/>
    <w:rsid w:val="00195253"/>
    <w:rsid w:val="0021529B"/>
    <w:rsid w:val="00271AC8"/>
    <w:rsid w:val="0031024A"/>
    <w:rsid w:val="00345428"/>
    <w:rsid w:val="00353A9B"/>
    <w:rsid w:val="003E058A"/>
    <w:rsid w:val="004A70FC"/>
    <w:rsid w:val="005312FE"/>
    <w:rsid w:val="0053473F"/>
    <w:rsid w:val="00566D41"/>
    <w:rsid w:val="00633A43"/>
    <w:rsid w:val="00666960"/>
    <w:rsid w:val="006750B8"/>
    <w:rsid w:val="006A6DAF"/>
    <w:rsid w:val="00765AA8"/>
    <w:rsid w:val="0082735B"/>
    <w:rsid w:val="008636D0"/>
    <w:rsid w:val="008E3933"/>
    <w:rsid w:val="009D1F95"/>
    <w:rsid w:val="00A0473B"/>
    <w:rsid w:val="00B26B8B"/>
    <w:rsid w:val="00B540E8"/>
    <w:rsid w:val="00B91E6A"/>
    <w:rsid w:val="00C717D5"/>
    <w:rsid w:val="00C76F20"/>
    <w:rsid w:val="00D66814"/>
    <w:rsid w:val="00DC0971"/>
    <w:rsid w:val="00DF69AE"/>
    <w:rsid w:val="00ED1306"/>
    <w:rsid w:val="00ED4774"/>
    <w:rsid w:val="00FF5D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696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666960"/>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6960"/>
    <w:pPr>
      <w:tabs>
        <w:tab w:val="center" w:pos="4680"/>
        <w:tab w:val="right" w:pos="9360"/>
      </w:tabs>
    </w:pPr>
    <w:rPr>
      <w:rFonts w:ascii="Times New Roman" w:hAnsi="Times New Roman"/>
    </w:rPr>
  </w:style>
  <w:style w:type="character" w:customStyle="1" w:styleId="En-tteCar">
    <w:name w:val="En-tête Car"/>
    <w:link w:val="En-tte"/>
    <w:uiPriority w:val="99"/>
    <w:rsid w:val="00666960"/>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666960"/>
    <w:pPr>
      <w:tabs>
        <w:tab w:val="center" w:pos="4680"/>
        <w:tab w:val="right" w:pos="9360"/>
      </w:tabs>
    </w:pPr>
    <w:rPr>
      <w:rFonts w:ascii="Times New Roman" w:hAnsi="Times New Roman"/>
    </w:rPr>
  </w:style>
  <w:style w:type="character" w:customStyle="1" w:styleId="PieddepageCar">
    <w:name w:val="Pied de page Car"/>
    <w:link w:val="Pieddepage"/>
    <w:uiPriority w:val="99"/>
    <w:rsid w:val="00666960"/>
    <w:rPr>
      <w:rFonts w:ascii="Times New Roman" w:eastAsia="MS Mincho" w:hAnsi="Times New Roman" w:cs="Times New Roman"/>
      <w:sz w:val="24"/>
      <w:szCs w:val="28"/>
      <w:lang w:val="en-CA" w:eastAsia="ja-JP"/>
    </w:rPr>
  </w:style>
  <w:style w:type="paragraph" w:styleId="Textedebulles">
    <w:name w:val="Balloon Text"/>
    <w:basedOn w:val="Normal"/>
    <w:link w:val="TextedebullesCar"/>
    <w:uiPriority w:val="99"/>
    <w:semiHidden/>
    <w:unhideWhenUsed/>
    <w:rsid w:val="003E058A"/>
    <w:rPr>
      <w:rFonts w:ascii="Tahoma" w:hAnsi="Tahoma" w:cs="Tahoma"/>
      <w:sz w:val="16"/>
      <w:szCs w:val="16"/>
    </w:rPr>
  </w:style>
  <w:style w:type="character" w:customStyle="1" w:styleId="TextedebullesCar">
    <w:name w:val="Texte de bulles Car"/>
    <w:basedOn w:val="Policepardfaut"/>
    <w:link w:val="Textedebulles"/>
    <w:uiPriority w:val="99"/>
    <w:semiHidden/>
    <w:rsid w:val="003E058A"/>
    <w:rPr>
      <w:rFonts w:ascii="Tahoma" w:hAnsi="Tahoma" w:cs="Tahoma"/>
      <w:sz w:val="16"/>
      <w:szCs w:val="16"/>
    </w:rPr>
  </w:style>
  <w:style w:type="character" w:customStyle="1" w:styleId="Titre1Car">
    <w:name w:val="Titre 1 Car"/>
    <w:basedOn w:val="Policepardfaut"/>
    <w:link w:val="Titre1"/>
    <w:rsid w:val="004A70F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66960"/>
    <w:pPr>
      <w:spacing w:before="100" w:beforeAutospacing="1"/>
      <w:ind w:left="567"/>
      <w:jc w:val="both"/>
    </w:pPr>
  </w:style>
  <w:style w:type="paragraph" w:customStyle="1" w:styleId="Metadata">
    <w:name w:val="Metadata"/>
    <w:basedOn w:val="Normal"/>
    <w:rsid w:val="00666960"/>
    <w:pPr>
      <w:spacing w:before="100" w:beforeAutospacing="1" w:after="100" w:afterAutospacing="1"/>
    </w:pPr>
    <w:rPr>
      <w:rFonts w:cs="Arial"/>
      <w:szCs w:val="24"/>
    </w:rPr>
  </w:style>
  <w:style w:type="paragraph" w:customStyle="1" w:styleId="Page">
    <w:name w:val="Page"/>
    <w:basedOn w:val="Normal"/>
    <w:link w:val="PageChar"/>
    <w:rsid w:val="00666960"/>
    <w:pPr>
      <w:spacing w:before="100" w:beforeAutospacing="1" w:after="100" w:afterAutospacing="1"/>
    </w:pPr>
    <w:rPr>
      <w:i/>
    </w:rPr>
  </w:style>
  <w:style w:type="paragraph" w:styleId="Notedebasdepage">
    <w:name w:val="footnote text"/>
    <w:basedOn w:val="Normal"/>
    <w:link w:val="NotedebasdepageCar"/>
    <w:autoRedefine/>
    <w:semiHidden/>
    <w:rsid w:val="00666960"/>
    <w:rPr>
      <w:sz w:val="16"/>
      <w:szCs w:val="20"/>
    </w:rPr>
  </w:style>
  <w:style w:type="character" w:customStyle="1" w:styleId="NotedebasdepageCar">
    <w:name w:val="Note de bas de page Car"/>
    <w:link w:val="Notedebasdepage"/>
    <w:semiHidden/>
    <w:rsid w:val="00666960"/>
    <w:rPr>
      <w:rFonts w:ascii="Arial" w:eastAsia="MS Mincho" w:hAnsi="Arial" w:cs="Times New Roman"/>
      <w:sz w:val="16"/>
      <w:szCs w:val="20"/>
      <w:lang w:val="en-CA" w:eastAsia="ja-JP"/>
    </w:rPr>
  </w:style>
  <w:style w:type="character" w:styleId="Appelnotedebasdep">
    <w:name w:val="footnote reference"/>
    <w:semiHidden/>
    <w:rsid w:val="00666960"/>
    <w:rPr>
      <w:vertAlign w:val="superscript"/>
    </w:rPr>
  </w:style>
  <w:style w:type="paragraph" w:customStyle="1" w:styleId="ParagNum">
    <w:name w:val="ParagNum"/>
    <w:basedOn w:val="Normal"/>
    <w:rsid w:val="0066696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66960"/>
    <w:pPr>
      <w:spacing w:before="100" w:beforeAutospacing="1" w:after="100" w:afterAutospacing="1" w:line="360" w:lineRule="auto"/>
    </w:pPr>
  </w:style>
  <w:style w:type="paragraph" w:customStyle="1" w:styleId="Indent2">
    <w:name w:val="Indent 2"/>
    <w:basedOn w:val="Indent1"/>
    <w:rsid w:val="00666960"/>
    <w:pPr>
      <w:ind w:left="1134"/>
    </w:pPr>
  </w:style>
  <w:style w:type="paragraph" w:customStyle="1" w:styleId="Indent3">
    <w:name w:val="Indent 3"/>
    <w:basedOn w:val="Indent1"/>
    <w:rsid w:val="00666960"/>
    <w:pPr>
      <w:ind w:left="1701"/>
    </w:pPr>
  </w:style>
  <w:style w:type="paragraph" w:customStyle="1" w:styleId="Indent4">
    <w:name w:val="Indent 4"/>
    <w:basedOn w:val="Indent1"/>
    <w:rsid w:val="00666960"/>
    <w:pPr>
      <w:ind w:left="2268"/>
    </w:pPr>
  </w:style>
  <w:style w:type="paragraph" w:customStyle="1" w:styleId="Indent10">
    <w:name w:val="Indent1"/>
    <w:basedOn w:val="Reasons"/>
    <w:rsid w:val="00666960"/>
    <w:pPr>
      <w:ind w:left="567"/>
    </w:pPr>
  </w:style>
  <w:style w:type="paragraph" w:customStyle="1" w:styleId="Indent20">
    <w:name w:val="Indent2"/>
    <w:basedOn w:val="Indent10"/>
    <w:rsid w:val="00666960"/>
    <w:pPr>
      <w:ind w:left="1134"/>
    </w:pPr>
  </w:style>
  <w:style w:type="paragraph" w:customStyle="1" w:styleId="Indent30">
    <w:name w:val="Indent3"/>
    <w:basedOn w:val="Indent10"/>
    <w:rsid w:val="00666960"/>
    <w:pPr>
      <w:ind w:left="1701"/>
    </w:pPr>
  </w:style>
  <w:style w:type="paragraph" w:customStyle="1" w:styleId="Indent40">
    <w:name w:val="Indent4"/>
    <w:basedOn w:val="Indent10"/>
    <w:rsid w:val="00666960"/>
    <w:pPr>
      <w:ind w:left="2268"/>
    </w:pPr>
  </w:style>
  <w:style w:type="paragraph" w:customStyle="1" w:styleId="Keywords">
    <w:name w:val="Keywords"/>
    <w:basedOn w:val="Normal"/>
    <w:rsid w:val="00666960"/>
    <w:pPr>
      <w:spacing w:before="100" w:beforeAutospacing="1" w:after="100" w:afterAutospacing="1"/>
    </w:pPr>
    <w:rPr>
      <w:rFonts w:cs="Arial"/>
      <w:i/>
      <w:szCs w:val="24"/>
    </w:rPr>
  </w:style>
  <w:style w:type="paragraph" w:customStyle="1" w:styleId="Summary">
    <w:name w:val="Summary"/>
    <w:basedOn w:val="Normal"/>
    <w:autoRedefine/>
    <w:rsid w:val="00666960"/>
    <w:pPr>
      <w:spacing w:before="100" w:beforeAutospacing="1" w:after="100" w:afterAutospacing="1"/>
      <w:ind w:left="562" w:hanging="562"/>
    </w:pPr>
    <w:rPr>
      <w:rFonts w:cs="Arial"/>
    </w:rPr>
  </w:style>
  <w:style w:type="paragraph" w:customStyle="1" w:styleId="History">
    <w:name w:val="History"/>
    <w:basedOn w:val="Normal"/>
    <w:rsid w:val="00666960"/>
    <w:pPr>
      <w:spacing w:before="100" w:beforeAutospacing="1" w:after="100" w:afterAutospacing="1"/>
      <w:ind w:firstLine="567"/>
    </w:pPr>
  </w:style>
  <w:style w:type="paragraph" w:customStyle="1" w:styleId="T1">
    <w:name w:val="T1"/>
    <w:basedOn w:val="Normal"/>
    <w:rsid w:val="00666960"/>
    <w:pPr>
      <w:spacing w:before="240" w:after="100" w:afterAutospacing="1"/>
    </w:pPr>
    <w:rPr>
      <w:b/>
    </w:rPr>
  </w:style>
  <w:style w:type="paragraph" w:customStyle="1" w:styleId="T2">
    <w:name w:val="T2"/>
    <w:basedOn w:val="Normal"/>
    <w:rsid w:val="00666960"/>
    <w:pPr>
      <w:spacing w:before="240" w:after="100" w:afterAutospacing="1"/>
    </w:pPr>
  </w:style>
  <w:style w:type="paragraph" w:customStyle="1" w:styleId="Sollicitors">
    <w:name w:val="Sollicitors"/>
    <w:basedOn w:val="Normal"/>
    <w:rsid w:val="00666960"/>
    <w:pPr>
      <w:spacing w:before="100" w:beforeAutospacing="1" w:after="100" w:afterAutospacing="1"/>
    </w:pPr>
    <w:rPr>
      <w:i/>
    </w:rPr>
  </w:style>
  <w:style w:type="paragraph" w:customStyle="1" w:styleId="Court">
    <w:name w:val="Court"/>
    <w:basedOn w:val="Normal"/>
    <w:rsid w:val="00666960"/>
    <w:rPr>
      <w:rFonts w:cs="Arial"/>
      <w:b/>
      <w:szCs w:val="24"/>
    </w:rPr>
  </w:style>
  <w:style w:type="character" w:customStyle="1" w:styleId="PageChar">
    <w:name w:val="Page Char"/>
    <w:link w:val="Page"/>
    <w:rsid w:val="00666960"/>
    <w:rPr>
      <w:rFonts w:ascii="Arial" w:eastAsia="MS Mincho" w:hAnsi="Arial" w:cs="Times New Roman"/>
      <w:i/>
      <w:sz w:val="24"/>
      <w:szCs w:val="28"/>
      <w:lang w:val="en-CA" w:eastAsia="ja-JP"/>
    </w:rPr>
  </w:style>
  <w:style w:type="character" w:customStyle="1" w:styleId="ReasonsCar">
    <w:name w:val="Reasons Car"/>
    <w:link w:val="Reasons"/>
    <w:rsid w:val="00666960"/>
    <w:rPr>
      <w:rFonts w:ascii="Arial" w:eastAsia="MS Mincho" w:hAnsi="Arial" w:cs="Times New Roman"/>
      <w:sz w:val="24"/>
      <w:szCs w:val="28"/>
      <w:lang w:val="en-CA" w:eastAsia="ja-JP"/>
    </w:rPr>
  </w:style>
  <w:style w:type="paragraph" w:customStyle="1" w:styleId="CitationLine">
    <w:name w:val="CitationLine"/>
    <w:basedOn w:val="Court"/>
    <w:rsid w:val="00666960"/>
  </w:style>
  <w:style w:type="paragraph" w:customStyle="1" w:styleId="DateISO">
    <w:name w:val="DateISO"/>
    <w:basedOn w:val="Court"/>
    <w:rsid w:val="00666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696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666960"/>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6960"/>
    <w:pPr>
      <w:tabs>
        <w:tab w:val="center" w:pos="4680"/>
        <w:tab w:val="right" w:pos="9360"/>
      </w:tabs>
    </w:pPr>
    <w:rPr>
      <w:rFonts w:ascii="Times New Roman" w:hAnsi="Times New Roman"/>
    </w:rPr>
  </w:style>
  <w:style w:type="character" w:customStyle="1" w:styleId="En-tteCar">
    <w:name w:val="En-tête Car"/>
    <w:link w:val="En-tte"/>
    <w:uiPriority w:val="99"/>
    <w:rsid w:val="00666960"/>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666960"/>
    <w:pPr>
      <w:tabs>
        <w:tab w:val="center" w:pos="4680"/>
        <w:tab w:val="right" w:pos="9360"/>
      </w:tabs>
    </w:pPr>
    <w:rPr>
      <w:rFonts w:ascii="Times New Roman" w:hAnsi="Times New Roman"/>
    </w:rPr>
  </w:style>
  <w:style w:type="character" w:customStyle="1" w:styleId="PieddepageCar">
    <w:name w:val="Pied de page Car"/>
    <w:link w:val="Pieddepage"/>
    <w:uiPriority w:val="99"/>
    <w:rsid w:val="00666960"/>
    <w:rPr>
      <w:rFonts w:ascii="Times New Roman" w:eastAsia="MS Mincho" w:hAnsi="Times New Roman" w:cs="Times New Roman"/>
      <w:sz w:val="24"/>
      <w:szCs w:val="28"/>
      <w:lang w:val="en-CA" w:eastAsia="ja-JP"/>
    </w:rPr>
  </w:style>
  <w:style w:type="paragraph" w:styleId="Textedebulles">
    <w:name w:val="Balloon Text"/>
    <w:basedOn w:val="Normal"/>
    <w:link w:val="TextedebullesCar"/>
    <w:uiPriority w:val="99"/>
    <w:semiHidden/>
    <w:unhideWhenUsed/>
    <w:rsid w:val="003E058A"/>
    <w:rPr>
      <w:rFonts w:ascii="Tahoma" w:hAnsi="Tahoma" w:cs="Tahoma"/>
      <w:sz w:val="16"/>
      <w:szCs w:val="16"/>
    </w:rPr>
  </w:style>
  <w:style w:type="character" w:customStyle="1" w:styleId="TextedebullesCar">
    <w:name w:val="Texte de bulles Car"/>
    <w:basedOn w:val="Policepardfaut"/>
    <w:link w:val="Textedebulles"/>
    <w:uiPriority w:val="99"/>
    <w:semiHidden/>
    <w:rsid w:val="003E058A"/>
    <w:rPr>
      <w:rFonts w:ascii="Tahoma" w:hAnsi="Tahoma" w:cs="Tahoma"/>
      <w:sz w:val="16"/>
      <w:szCs w:val="16"/>
    </w:rPr>
  </w:style>
  <w:style w:type="character" w:customStyle="1" w:styleId="Titre1Car">
    <w:name w:val="Titre 1 Car"/>
    <w:basedOn w:val="Policepardfaut"/>
    <w:link w:val="Titre1"/>
    <w:rsid w:val="004A70F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66960"/>
    <w:pPr>
      <w:spacing w:before="100" w:beforeAutospacing="1"/>
      <w:ind w:left="567"/>
      <w:jc w:val="both"/>
    </w:pPr>
  </w:style>
  <w:style w:type="paragraph" w:customStyle="1" w:styleId="Metadata">
    <w:name w:val="Metadata"/>
    <w:basedOn w:val="Normal"/>
    <w:rsid w:val="00666960"/>
    <w:pPr>
      <w:spacing w:before="100" w:beforeAutospacing="1" w:after="100" w:afterAutospacing="1"/>
    </w:pPr>
    <w:rPr>
      <w:rFonts w:cs="Arial"/>
      <w:szCs w:val="24"/>
    </w:rPr>
  </w:style>
  <w:style w:type="paragraph" w:customStyle="1" w:styleId="Page">
    <w:name w:val="Page"/>
    <w:basedOn w:val="Normal"/>
    <w:link w:val="PageChar"/>
    <w:rsid w:val="00666960"/>
    <w:pPr>
      <w:spacing w:before="100" w:beforeAutospacing="1" w:after="100" w:afterAutospacing="1"/>
    </w:pPr>
    <w:rPr>
      <w:i/>
    </w:rPr>
  </w:style>
  <w:style w:type="paragraph" w:styleId="Notedebasdepage">
    <w:name w:val="footnote text"/>
    <w:basedOn w:val="Normal"/>
    <w:link w:val="NotedebasdepageCar"/>
    <w:autoRedefine/>
    <w:semiHidden/>
    <w:rsid w:val="00666960"/>
    <w:rPr>
      <w:sz w:val="16"/>
      <w:szCs w:val="20"/>
    </w:rPr>
  </w:style>
  <w:style w:type="character" w:customStyle="1" w:styleId="NotedebasdepageCar">
    <w:name w:val="Note de bas de page Car"/>
    <w:link w:val="Notedebasdepage"/>
    <w:semiHidden/>
    <w:rsid w:val="00666960"/>
    <w:rPr>
      <w:rFonts w:ascii="Arial" w:eastAsia="MS Mincho" w:hAnsi="Arial" w:cs="Times New Roman"/>
      <w:sz w:val="16"/>
      <w:szCs w:val="20"/>
      <w:lang w:val="en-CA" w:eastAsia="ja-JP"/>
    </w:rPr>
  </w:style>
  <w:style w:type="character" w:styleId="Appelnotedebasdep">
    <w:name w:val="footnote reference"/>
    <w:semiHidden/>
    <w:rsid w:val="00666960"/>
    <w:rPr>
      <w:vertAlign w:val="superscript"/>
    </w:rPr>
  </w:style>
  <w:style w:type="paragraph" w:customStyle="1" w:styleId="ParagNum">
    <w:name w:val="ParagNum"/>
    <w:basedOn w:val="Normal"/>
    <w:rsid w:val="0066696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66960"/>
    <w:pPr>
      <w:spacing w:before="100" w:beforeAutospacing="1" w:after="100" w:afterAutospacing="1" w:line="360" w:lineRule="auto"/>
    </w:pPr>
  </w:style>
  <w:style w:type="paragraph" w:customStyle="1" w:styleId="Indent2">
    <w:name w:val="Indent 2"/>
    <w:basedOn w:val="Indent1"/>
    <w:rsid w:val="00666960"/>
    <w:pPr>
      <w:ind w:left="1134"/>
    </w:pPr>
  </w:style>
  <w:style w:type="paragraph" w:customStyle="1" w:styleId="Indent3">
    <w:name w:val="Indent 3"/>
    <w:basedOn w:val="Indent1"/>
    <w:rsid w:val="00666960"/>
    <w:pPr>
      <w:ind w:left="1701"/>
    </w:pPr>
  </w:style>
  <w:style w:type="paragraph" w:customStyle="1" w:styleId="Indent4">
    <w:name w:val="Indent 4"/>
    <w:basedOn w:val="Indent1"/>
    <w:rsid w:val="00666960"/>
    <w:pPr>
      <w:ind w:left="2268"/>
    </w:pPr>
  </w:style>
  <w:style w:type="paragraph" w:customStyle="1" w:styleId="Indent10">
    <w:name w:val="Indent1"/>
    <w:basedOn w:val="Reasons"/>
    <w:rsid w:val="00666960"/>
    <w:pPr>
      <w:ind w:left="567"/>
    </w:pPr>
  </w:style>
  <w:style w:type="paragraph" w:customStyle="1" w:styleId="Indent20">
    <w:name w:val="Indent2"/>
    <w:basedOn w:val="Indent10"/>
    <w:rsid w:val="00666960"/>
    <w:pPr>
      <w:ind w:left="1134"/>
    </w:pPr>
  </w:style>
  <w:style w:type="paragraph" w:customStyle="1" w:styleId="Indent30">
    <w:name w:val="Indent3"/>
    <w:basedOn w:val="Indent10"/>
    <w:rsid w:val="00666960"/>
    <w:pPr>
      <w:ind w:left="1701"/>
    </w:pPr>
  </w:style>
  <w:style w:type="paragraph" w:customStyle="1" w:styleId="Indent40">
    <w:name w:val="Indent4"/>
    <w:basedOn w:val="Indent10"/>
    <w:rsid w:val="00666960"/>
    <w:pPr>
      <w:ind w:left="2268"/>
    </w:pPr>
  </w:style>
  <w:style w:type="paragraph" w:customStyle="1" w:styleId="Keywords">
    <w:name w:val="Keywords"/>
    <w:basedOn w:val="Normal"/>
    <w:rsid w:val="00666960"/>
    <w:pPr>
      <w:spacing w:before="100" w:beforeAutospacing="1" w:after="100" w:afterAutospacing="1"/>
    </w:pPr>
    <w:rPr>
      <w:rFonts w:cs="Arial"/>
      <w:i/>
      <w:szCs w:val="24"/>
    </w:rPr>
  </w:style>
  <w:style w:type="paragraph" w:customStyle="1" w:styleId="Summary">
    <w:name w:val="Summary"/>
    <w:basedOn w:val="Normal"/>
    <w:autoRedefine/>
    <w:rsid w:val="00666960"/>
    <w:pPr>
      <w:spacing w:before="100" w:beforeAutospacing="1" w:after="100" w:afterAutospacing="1"/>
      <w:ind w:left="562" w:hanging="562"/>
    </w:pPr>
    <w:rPr>
      <w:rFonts w:cs="Arial"/>
    </w:rPr>
  </w:style>
  <w:style w:type="paragraph" w:customStyle="1" w:styleId="History">
    <w:name w:val="History"/>
    <w:basedOn w:val="Normal"/>
    <w:rsid w:val="00666960"/>
    <w:pPr>
      <w:spacing w:before="100" w:beforeAutospacing="1" w:after="100" w:afterAutospacing="1"/>
      <w:ind w:firstLine="567"/>
    </w:pPr>
  </w:style>
  <w:style w:type="paragraph" w:customStyle="1" w:styleId="T1">
    <w:name w:val="T1"/>
    <w:basedOn w:val="Normal"/>
    <w:rsid w:val="00666960"/>
    <w:pPr>
      <w:spacing w:before="240" w:after="100" w:afterAutospacing="1"/>
    </w:pPr>
    <w:rPr>
      <w:b/>
    </w:rPr>
  </w:style>
  <w:style w:type="paragraph" w:customStyle="1" w:styleId="T2">
    <w:name w:val="T2"/>
    <w:basedOn w:val="Normal"/>
    <w:rsid w:val="00666960"/>
    <w:pPr>
      <w:spacing w:before="240" w:after="100" w:afterAutospacing="1"/>
    </w:pPr>
  </w:style>
  <w:style w:type="paragraph" w:customStyle="1" w:styleId="Sollicitors">
    <w:name w:val="Sollicitors"/>
    <w:basedOn w:val="Normal"/>
    <w:rsid w:val="00666960"/>
    <w:pPr>
      <w:spacing w:before="100" w:beforeAutospacing="1" w:after="100" w:afterAutospacing="1"/>
    </w:pPr>
    <w:rPr>
      <w:i/>
    </w:rPr>
  </w:style>
  <w:style w:type="paragraph" w:customStyle="1" w:styleId="Court">
    <w:name w:val="Court"/>
    <w:basedOn w:val="Normal"/>
    <w:rsid w:val="00666960"/>
    <w:rPr>
      <w:rFonts w:cs="Arial"/>
      <w:b/>
      <w:szCs w:val="24"/>
    </w:rPr>
  </w:style>
  <w:style w:type="character" w:customStyle="1" w:styleId="PageChar">
    <w:name w:val="Page Char"/>
    <w:link w:val="Page"/>
    <w:rsid w:val="00666960"/>
    <w:rPr>
      <w:rFonts w:ascii="Arial" w:eastAsia="MS Mincho" w:hAnsi="Arial" w:cs="Times New Roman"/>
      <w:i/>
      <w:sz w:val="24"/>
      <w:szCs w:val="28"/>
      <w:lang w:val="en-CA" w:eastAsia="ja-JP"/>
    </w:rPr>
  </w:style>
  <w:style w:type="character" w:customStyle="1" w:styleId="ReasonsCar">
    <w:name w:val="Reasons Car"/>
    <w:link w:val="Reasons"/>
    <w:rsid w:val="00666960"/>
    <w:rPr>
      <w:rFonts w:ascii="Arial" w:eastAsia="MS Mincho" w:hAnsi="Arial" w:cs="Times New Roman"/>
      <w:sz w:val="24"/>
      <w:szCs w:val="28"/>
      <w:lang w:val="en-CA" w:eastAsia="ja-JP"/>
    </w:rPr>
  </w:style>
  <w:style w:type="paragraph" w:customStyle="1" w:styleId="CitationLine">
    <w:name w:val="CitationLine"/>
    <w:basedOn w:val="Court"/>
    <w:rsid w:val="00666960"/>
  </w:style>
  <w:style w:type="paragraph" w:customStyle="1" w:styleId="DateISO">
    <w:name w:val="DateISO"/>
    <w:basedOn w:val="Court"/>
    <w:rsid w:val="0066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0</TotalTime>
  <Pages>3</Pages>
  <Words>692</Words>
  <Characters>3810</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Martine Lemery</cp:lastModifiedBy>
  <cp:revision>2</cp:revision>
  <dcterms:created xsi:type="dcterms:W3CDTF">2016-10-27T17:35:00Z</dcterms:created>
  <dcterms:modified xsi:type="dcterms:W3CDTF">2016-10-27T17:35:00Z</dcterms:modified>
</cp:coreProperties>
</file>