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1D" w:rsidRDefault="0049471D" w:rsidP="0049471D">
      <w:pPr>
        <w:pStyle w:val="Court"/>
      </w:pPr>
      <w:r>
        <w:t>Supreme Court of Canada</w:t>
      </w:r>
    </w:p>
    <w:p w:rsidR="0049471D" w:rsidRDefault="0049471D" w:rsidP="0049471D">
      <w:pPr>
        <w:pStyle w:val="CitationLine"/>
      </w:pPr>
      <w:r w:rsidRPr="0049471D">
        <w:t xml:space="preserve">Fielding </w:t>
      </w:r>
      <w:r w:rsidRPr="0049471D">
        <w:rPr>
          <w:i/>
          <w:iCs/>
        </w:rPr>
        <w:t>v.</w:t>
      </w:r>
      <w:r w:rsidRPr="0049471D">
        <w:t xml:space="preserve"> Mott</w:t>
      </w:r>
      <w:r>
        <w:t xml:space="preserve"> (1886) 14 SCR 254</w:t>
      </w:r>
    </w:p>
    <w:p w:rsidR="0049471D" w:rsidRDefault="0049471D" w:rsidP="0049471D">
      <w:pPr>
        <w:pStyle w:val="DateISO"/>
      </w:pPr>
      <w:r>
        <w:t>Date: 1886-05-17</w:t>
      </w:r>
    </w:p>
    <w:p w:rsidR="00DB794D" w:rsidRPr="0049471D" w:rsidRDefault="0049471D" w:rsidP="0049471D">
      <w:pPr>
        <w:pStyle w:val="Metadata"/>
      </w:pPr>
      <w:r w:rsidRPr="0049471D">
        <w:t xml:space="preserve">George </w:t>
      </w:r>
      <w:r w:rsidR="00DB794D" w:rsidRPr="0049471D">
        <w:t xml:space="preserve">H. </w:t>
      </w:r>
      <w:r w:rsidRPr="0049471D">
        <w:t xml:space="preserve">Fielding and Anthony </w:t>
      </w:r>
      <w:r w:rsidR="00DB794D" w:rsidRPr="0049471D">
        <w:t xml:space="preserve">J. </w:t>
      </w:r>
      <w:r w:rsidRPr="0049471D">
        <w:t xml:space="preserve">Manley </w:t>
      </w:r>
      <w:r w:rsidR="00DB794D" w:rsidRPr="0049471D">
        <w:t>(Plaintiffs)</w:t>
      </w:r>
    </w:p>
    <w:p w:rsidR="00DB794D" w:rsidRPr="0049471D" w:rsidRDefault="00DB794D" w:rsidP="0049471D">
      <w:pPr>
        <w:pStyle w:val="Metadata"/>
      </w:pPr>
      <w:r w:rsidRPr="0049471D">
        <w:t>Appellants</w:t>
      </w:r>
    </w:p>
    <w:p w:rsidR="00DB794D" w:rsidRPr="0049471D" w:rsidRDefault="0049471D" w:rsidP="0049471D">
      <w:pPr>
        <w:pStyle w:val="Metadata"/>
      </w:pPr>
      <w:r w:rsidRPr="0049471D">
        <w:t>And</w:t>
      </w:r>
    </w:p>
    <w:p w:rsidR="00DB794D" w:rsidRPr="0049471D" w:rsidRDefault="0049471D" w:rsidP="0049471D">
      <w:pPr>
        <w:pStyle w:val="Metadata"/>
      </w:pPr>
      <w:r w:rsidRPr="0049471D">
        <w:t xml:space="preserve">Charles </w:t>
      </w:r>
      <w:r w:rsidR="00DB794D" w:rsidRPr="0049471D">
        <w:rPr>
          <w:lang w:val="fr-FR"/>
        </w:rPr>
        <w:t xml:space="preserve">F. </w:t>
      </w:r>
      <w:r w:rsidRPr="0049471D">
        <w:t>Mott</w:t>
      </w:r>
      <w:r w:rsidR="00DB794D" w:rsidRPr="0049471D">
        <w:t xml:space="preserve">, </w:t>
      </w:r>
      <w:r w:rsidRPr="0049471D">
        <w:t xml:space="preserve">Edward Archibald, George </w:t>
      </w:r>
      <w:r w:rsidRPr="0049471D">
        <w:rPr>
          <w:lang w:val="fr-FR"/>
        </w:rPr>
        <w:t xml:space="preserve">W. </w:t>
      </w:r>
      <w:r w:rsidRPr="0049471D">
        <w:t xml:space="preserve">Stuart, Alexander Kent Archibald, </w:t>
      </w:r>
      <w:r>
        <w:t>a</w:t>
      </w:r>
      <w:r w:rsidRPr="0049471D">
        <w:t>nd George A. Leslie (Defendants)</w:t>
      </w:r>
    </w:p>
    <w:p w:rsidR="00DB794D" w:rsidRPr="0049471D" w:rsidRDefault="00DB794D" w:rsidP="0049471D">
      <w:pPr>
        <w:pStyle w:val="Metadata"/>
      </w:pPr>
      <w:r w:rsidRPr="0049471D">
        <w:t>Respondents</w:t>
      </w:r>
    </w:p>
    <w:p w:rsidR="0049471D" w:rsidRDefault="0049471D" w:rsidP="0049471D">
      <w:pPr>
        <w:pStyle w:val="Metadata"/>
      </w:pPr>
      <w:r>
        <w:t>1886: Feb. 24, 25 &amp; 26; 1886: May 17.</w:t>
      </w:r>
    </w:p>
    <w:p w:rsidR="0049471D" w:rsidRDefault="0049471D" w:rsidP="0049471D">
      <w:pPr>
        <w:pStyle w:val="Metadata"/>
      </w:pPr>
      <w:r w:rsidRPr="0049471D">
        <w:t>Present</w:t>
      </w:r>
      <w:r>
        <w:t>—Sir W. J. Ritchie C.J., and Strong, Fournier, Henry and Taschereau JJ.</w:t>
      </w:r>
    </w:p>
    <w:p w:rsidR="00DB794D" w:rsidRDefault="00DB794D" w:rsidP="0049471D">
      <w:pPr>
        <w:pStyle w:val="Metadata"/>
      </w:pPr>
      <w:r>
        <w:t>ON APPEAL FROM THE SUPREME COURT OF NOVA SCOTIA.</w:t>
      </w:r>
    </w:p>
    <w:p w:rsidR="00DB794D" w:rsidRDefault="00DB794D" w:rsidP="00AC790C">
      <w:pPr>
        <w:pStyle w:val="Keywords"/>
      </w:pPr>
      <w:r>
        <w:t>Mines and Minerals - Mining lease—Application for—Right of entry—Conditions precedent—Conflicting titles to land.</w:t>
      </w:r>
    </w:p>
    <w:p w:rsidR="00DB794D" w:rsidRDefault="00DB794D" w:rsidP="00AC790C">
      <w:pPr>
        <w:pStyle w:val="Summary"/>
      </w:pPr>
      <w:r>
        <w:rPr>
          <w:i/>
          <w:iCs/>
        </w:rPr>
        <w:t>Held</w:t>
      </w:r>
      <w:r>
        <w:t>, affirming the judgment of the court below, that where a mining lease is obtained over private lands in Nova Scotia the lessees must obtain from the owners of the land permission to enter either by special agreement or in accordance with the provisions of the mining act</w:t>
      </w:r>
      <w:r w:rsidR="00C55415">
        <w:rPr>
          <w:rStyle w:val="FootnoteReference"/>
        </w:rPr>
        <w:footnoteReference w:id="2"/>
      </w:r>
      <w:r>
        <w:t>.</w:t>
      </w:r>
    </w:p>
    <w:p w:rsidR="00DB794D" w:rsidRDefault="00DB794D" w:rsidP="0049471D">
      <w:pPr>
        <w:pStyle w:val="Summary"/>
        <w:rPr>
          <w:szCs w:val="24"/>
        </w:rPr>
      </w:pPr>
      <w:r>
        <w:rPr>
          <w:szCs w:val="24"/>
        </w:rPr>
        <w:t>Mining leases may be granted in all districts whether proclaimed or unproclaimed.</w:t>
      </w:r>
    </w:p>
    <w:p w:rsidR="00DB794D" w:rsidRDefault="00DB794D" w:rsidP="0049471D">
      <w:pPr>
        <w:pStyle w:val="Summary"/>
        <w:rPr>
          <w:szCs w:val="24"/>
        </w:rPr>
      </w:pPr>
      <w:r>
        <w:rPr>
          <w:szCs w:val="24"/>
        </w:rPr>
        <w:t>A mining lease is not invalid because it includes a greater number</w:t>
      </w:r>
    </w:p>
    <w:p w:rsidR="00DB794D" w:rsidRDefault="00A163E5" w:rsidP="00A163E5">
      <w:pPr>
        <w:pStyle w:val="Page"/>
      </w:pPr>
      <w:r>
        <w:rPr>
          <w:rFonts w:cs="Arial"/>
          <w:szCs w:val="24"/>
        </w:rPr>
        <w:t xml:space="preserve">[Page </w:t>
      </w:r>
      <w:r w:rsidR="00DB794D">
        <w:rPr>
          <w:rFonts w:cs="Arial"/>
          <w:szCs w:val="24"/>
        </w:rPr>
        <w:t>255]</w:t>
      </w:r>
    </w:p>
    <w:p w:rsidR="00DB794D" w:rsidRDefault="00DB794D" w:rsidP="00007CF9">
      <w:pPr>
        <w:pStyle w:val="Summary"/>
        <w:ind w:firstLine="0"/>
        <w:rPr>
          <w:szCs w:val="24"/>
        </w:rPr>
      </w:pPr>
      <w:r>
        <w:rPr>
          <w:szCs w:val="24"/>
        </w:rPr>
        <w:t>of areas than is provided by the statute such provision being only directory to the commissioner.</w:t>
      </w:r>
    </w:p>
    <w:p w:rsidR="00DB794D" w:rsidRDefault="00DB794D" w:rsidP="00007CF9">
      <w:pPr>
        <w:pStyle w:val="Summary"/>
        <w:rPr>
          <w:szCs w:val="24"/>
        </w:rPr>
      </w:pPr>
      <w:r>
        <w:rPr>
          <w:szCs w:val="24"/>
        </w:rPr>
        <w:t>The issue of a lease cures any irregularities in the application for a license or in the license itself in the absence of fraud on the part of the licensee.</w:t>
      </w:r>
    </w:p>
    <w:p w:rsidR="00DB794D" w:rsidRDefault="00DB794D" w:rsidP="00007CF9">
      <w:pPr>
        <w:pStyle w:val="History"/>
      </w:pPr>
      <w:r w:rsidRPr="00007CF9">
        <w:t>Appeal</w:t>
      </w:r>
      <w:r>
        <w:t xml:space="preserve"> from a decision of the Supreme Court of Nova Scotia</w:t>
      </w:r>
      <w:r w:rsidR="00C55415">
        <w:rPr>
          <w:rStyle w:val="FootnoteReference"/>
        </w:rPr>
        <w:footnoteReference w:id="3"/>
      </w:r>
      <w:r>
        <w:t>, refusing to set aside a verdict for the defendants and order a new trial.</w:t>
      </w:r>
    </w:p>
    <w:p w:rsidR="00DB794D" w:rsidRDefault="00DB794D" w:rsidP="00007CF9">
      <w:pPr>
        <w:pStyle w:val="History"/>
        <w:rPr>
          <w:rFonts w:cs="Arial"/>
          <w:szCs w:val="24"/>
        </w:rPr>
      </w:pPr>
      <w:r>
        <w:rPr>
          <w:rFonts w:cs="Arial"/>
          <w:szCs w:val="24"/>
        </w:rPr>
        <w:lastRenderedPageBreak/>
        <w:t>The action in this case was one of ejectment brought by the plaintiffs to obtain possession of certain mining lands in Nova Scotia of which they were lessees. The defendants also held leases of the lands in question and claimed also to be owners of the soil. The several grounds of objection to the leases granted to the defendants and also the grounds upon which the plaintiffs claimed to be entitled to possession of the lands are fully set out in the judgment of the court below delivered by Mr. Justice Thompson and reported in 6 Russ. p Greld. page 339.</w:t>
      </w:r>
    </w:p>
    <w:p w:rsidR="00DB794D" w:rsidRDefault="00DB794D" w:rsidP="00007CF9">
      <w:pPr>
        <w:pStyle w:val="History"/>
        <w:rPr>
          <w:rFonts w:cs="Arial"/>
          <w:szCs w:val="24"/>
        </w:rPr>
      </w:pPr>
      <w:r>
        <w:rPr>
          <w:rFonts w:cs="Arial"/>
          <w:i/>
          <w:iCs/>
          <w:szCs w:val="24"/>
        </w:rPr>
        <w:t>Archibald</w:t>
      </w:r>
      <w:r>
        <w:rPr>
          <w:rFonts w:cs="Arial"/>
          <w:szCs w:val="24"/>
        </w:rPr>
        <w:t xml:space="preserve"> for the appellants cited </w:t>
      </w:r>
      <w:r>
        <w:rPr>
          <w:rFonts w:cs="Arial"/>
          <w:i/>
          <w:iCs/>
          <w:szCs w:val="24"/>
        </w:rPr>
        <w:t>Shipp v. Miller's Heirs</w:t>
      </w:r>
      <w:r w:rsidR="00C55415">
        <w:rPr>
          <w:rStyle w:val="FootnoteReference"/>
          <w:rFonts w:cs="Arial"/>
          <w:i/>
          <w:iCs/>
          <w:szCs w:val="24"/>
        </w:rPr>
        <w:footnoteReference w:id="4"/>
      </w:r>
      <w:r>
        <w:rPr>
          <w:rFonts w:cs="Arial"/>
          <w:szCs w:val="24"/>
        </w:rPr>
        <w:t xml:space="preserve">; </w:t>
      </w:r>
      <w:r>
        <w:rPr>
          <w:rFonts w:cs="Arial"/>
          <w:i/>
          <w:iCs/>
          <w:szCs w:val="24"/>
        </w:rPr>
        <w:t>Burke v. Niles</w:t>
      </w:r>
      <w:r w:rsidR="00C55415">
        <w:rPr>
          <w:rStyle w:val="FootnoteReference"/>
          <w:rFonts w:cs="Arial"/>
          <w:i/>
          <w:iCs/>
          <w:szCs w:val="24"/>
        </w:rPr>
        <w:footnoteReference w:id="5"/>
      </w:r>
      <w:r>
        <w:rPr>
          <w:rFonts w:cs="Arial"/>
          <w:szCs w:val="24"/>
        </w:rPr>
        <w:t xml:space="preserve">; </w:t>
      </w:r>
      <w:r>
        <w:rPr>
          <w:rFonts w:cs="Arial"/>
          <w:i/>
          <w:iCs/>
          <w:szCs w:val="24"/>
        </w:rPr>
        <w:t>Finlay</w:t>
      </w:r>
      <w:r>
        <w:rPr>
          <w:rFonts w:cs="Arial"/>
          <w:szCs w:val="24"/>
        </w:rPr>
        <w:t xml:space="preserve"> v. </w:t>
      </w:r>
      <w:r>
        <w:rPr>
          <w:rFonts w:cs="Arial"/>
          <w:i/>
          <w:iCs/>
          <w:szCs w:val="24"/>
        </w:rPr>
        <w:t>Williams</w:t>
      </w:r>
      <w:r w:rsidR="00C55415">
        <w:rPr>
          <w:rStyle w:val="FootnoteReference"/>
          <w:rFonts w:cs="Arial"/>
          <w:i/>
          <w:iCs/>
          <w:szCs w:val="24"/>
        </w:rPr>
        <w:footnoteReference w:id="6"/>
      </w:r>
      <w:r>
        <w:rPr>
          <w:rFonts w:cs="Arial"/>
          <w:szCs w:val="24"/>
        </w:rPr>
        <w:t>.</w:t>
      </w:r>
    </w:p>
    <w:p w:rsidR="00DB794D" w:rsidRDefault="00DB794D" w:rsidP="00007CF9">
      <w:pPr>
        <w:pStyle w:val="Sollicitors"/>
      </w:pPr>
      <w:r>
        <w:rPr>
          <w:iCs/>
        </w:rPr>
        <w:t>Graham</w:t>
      </w:r>
      <w:r>
        <w:t xml:space="preserve"> Q.C. and </w:t>
      </w:r>
      <w:r>
        <w:rPr>
          <w:iCs/>
        </w:rPr>
        <w:t>Sedgwick</w:t>
      </w:r>
      <w:r>
        <w:t xml:space="preserve"> Q.C. for the respondents.</w:t>
      </w:r>
    </w:p>
    <w:p w:rsidR="00DB794D" w:rsidRDefault="00DB794D" w:rsidP="00007CF9">
      <w:pPr>
        <w:pStyle w:val="Reasons"/>
      </w:pPr>
      <w:r>
        <w:t xml:space="preserve">Sir W. J. </w:t>
      </w:r>
      <w:r w:rsidR="00007CF9" w:rsidRPr="00007CF9">
        <w:t>RITCHIE</w:t>
      </w:r>
      <w:r w:rsidR="00007CF9">
        <w:t xml:space="preserve"> </w:t>
      </w:r>
      <w:r>
        <w:t>C.J.—I think the judgment of the Supreme Court of Nova Scotia, as delivered by Thompson J. in this case, conclusive against the appellants. It appears to me that the law and the merits of the case are alike with the respondents. I had not on the argument, and have not now, any doubt as to the correctness of the conclusion arrived at by the court below and do not think I can, with advantage, add anything to what has been so clearly, forcibly and conclusively put forward by Mr. Justice Thompson in delivering the judgment in the court below.</w:t>
      </w:r>
    </w:p>
    <w:p w:rsidR="00DB794D" w:rsidRDefault="00A163E5" w:rsidP="00A163E5">
      <w:pPr>
        <w:pStyle w:val="Page"/>
      </w:pPr>
      <w:r>
        <w:rPr>
          <w:rFonts w:cs="Arial"/>
          <w:szCs w:val="24"/>
        </w:rPr>
        <w:t xml:space="preserve">[Page </w:t>
      </w:r>
      <w:r w:rsidR="00DB794D">
        <w:rPr>
          <w:rFonts w:cs="Arial"/>
          <w:szCs w:val="24"/>
        </w:rPr>
        <w:t>256]</w:t>
      </w:r>
    </w:p>
    <w:p w:rsidR="00DB794D" w:rsidRDefault="00007CF9" w:rsidP="00007CF9">
      <w:pPr>
        <w:pStyle w:val="Reasons"/>
        <w:rPr>
          <w:rFonts w:cs="Arial"/>
          <w:szCs w:val="24"/>
        </w:rPr>
      </w:pPr>
      <w:r w:rsidRPr="00007CF9">
        <w:t>STRONG</w:t>
      </w:r>
      <w:r>
        <w:rPr>
          <w:rFonts w:cs="Arial"/>
          <w:szCs w:val="24"/>
        </w:rPr>
        <w:t xml:space="preserve"> </w:t>
      </w:r>
      <w:r w:rsidR="00DB794D">
        <w:rPr>
          <w:rFonts w:cs="Arial"/>
          <w:szCs w:val="24"/>
        </w:rPr>
        <w:t>J.—I think the appeal should be dismissed for the reasons given by the court below.</w:t>
      </w:r>
    </w:p>
    <w:p w:rsidR="00DB794D" w:rsidRDefault="00007CF9" w:rsidP="00007CF9">
      <w:pPr>
        <w:pStyle w:val="Reasons"/>
        <w:rPr>
          <w:rFonts w:cs="Arial"/>
          <w:szCs w:val="24"/>
        </w:rPr>
      </w:pPr>
      <w:r w:rsidRPr="00007CF9">
        <w:rPr>
          <w:rFonts w:cs="Arial"/>
          <w:szCs w:val="24"/>
        </w:rPr>
        <w:t>FOURNIER</w:t>
      </w:r>
      <w:r w:rsidR="00DB794D" w:rsidRPr="00007CF9">
        <w:rPr>
          <w:rFonts w:cs="Arial"/>
          <w:szCs w:val="24"/>
        </w:rPr>
        <w:t xml:space="preserve">, </w:t>
      </w:r>
      <w:r w:rsidRPr="00007CF9">
        <w:rPr>
          <w:rFonts w:cs="Arial"/>
          <w:szCs w:val="24"/>
        </w:rPr>
        <w:t xml:space="preserve">HENRY </w:t>
      </w:r>
      <w:r w:rsidR="00DB794D" w:rsidRPr="00007CF9">
        <w:rPr>
          <w:rFonts w:cs="Arial"/>
          <w:szCs w:val="24"/>
        </w:rPr>
        <w:t xml:space="preserve">and </w:t>
      </w:r>
      <w:r w:rsidRPr="00007CF9">
        <w:rPr>
          <w:rFonts w:cs="Arial"/>
          <w:szCs w:val="24"/>
        </w:rPr>
        <w:t>TASCHEREAU</w:t>
      </w:r>
      <w:r>
        <w:rPr>
          <w:rFonts w:cs="Arial"/>
          <w:szCs w:val="24"/>
        </w:rPr>
        <w:t xml:space="preserve"> </w:t>
      </w:r>
      <w:r w:rsidR="00DB794D">
        <w:rPr>
          <w:rFonts w:cs="Arial"/>
          <w:szCs w:val="24"/>
        </w:rPr>
        <w:t>JJ. concurred.</w:t>
      </w:r>
    </w:p>
    <w:p w:rsidR="00DB794D" w:rsidRDefault="00DB794D" w:rsidP="00007CF9">
      <w:pPr>
        <w:pStyle w:val="Reasons"/>
      </w:pPr>
      <w:r>
        <w:t>Appeal dismissed with costs.</w:t>
      </w:r>
    </w:p>
    <w:p w:rsidR="00DB794D" w:rsidRDefault="00DB794D" w:rsidP="00007CF9">
      <w:pPr>
        <w:pStyle w:val="Sollicitors"/>
      </w:pPr>
      <w:r>
        <w:t xml:space="preserve">Solicitors for appellants: </w:t>
      </w:r>
      <w:r>
        <w:rPr>
          <w:iCs/>
        </w:rPr>
        <w:t>J. R. &amp; T. Ritchie.</w:t>
      </w:r>
    </w:p>
    <w:p w:rsidR="00DB794D" w:rsidRDefault="00DB794D" w:rsidP="00007CF9">
      <w:pPr>
        <w:pStyle w:val="Sollicitors"/>
      </w:pPr>
      <w:r>
        <w:t xml:space="preserve">Solicitors for respondents: </w:t>
      </w:r>
      <w:r>
        <w:rPr>
          <w:iCs/>
        </w:rPr>
        <w:t xml:space="preserve">Meagher, </w:t>
      </w:r>
      <w:r>
        <w:rPr>
          <w:iCs/>
          <w:lang w:val="fr-FR"/>
        </w:rPr>
        <w:t>Dry</w:t>
      </w:r>
      <w:r>
        <w:rPr>
          <w:iCs/>
        </w:rPr>
        <w:t>sdale, &amp; Newcombe.</w:t>
      </w:r>
    </w:p>
    <w:sectPr w:rsidR="00DB794D" w:rsidSect="0012135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A1E" w:rsidRDefault="00844A1E" w:rsidP="00121355">
      <w:r>
        <w:separator/>
      </w:r>
    </w:p>
  </w:endnote>
  <w:endnote w:type="continuationSeparator" w:id="1">
    <w:p w:rsidR="00844A1E" w:rsidRDefault="00844A1E" w:rsidP="001213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55" w:rsidRDefault="00121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55" w:rsidRDefault="001213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55" w:rsidRDefault="00121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A1E" w:rsidRDefault="00844A1E" w:rsidP="00121355">
      <w:r>
        <w:separator/>
      </w:r>
    </w:p>
  </w:footnote>
  <w:footnote w:type="continuationSeparator" w:id="1">
    <w:p w:rsidR="00844A1E" w:rsidRDefault="00844A1E" w:rsidP="00121355">
      <w:r>
        <w:continuationSeparator/>
      </w:r>
    </w:p>
  </w:footnote>
  <w:footnote w:id="2">
    <w:p w:rsidR="00C55415" w:rsidRPr="00C55415" w:rsidRDefault="00C55415">
      <w:pPr>
        <w:pStyle w:val="FootnoteText"/>
        <w:rPr>
          <w:lang w:val="en-US"/>
        </w:rPr>
      </w:pPr>
      <w:r>
        <w:rPr>
          <w:rStyle w:val="FootnoteReference"/>
        </w:rPr>
        <w:footnoteRef/>
      </w:r>
      <w:r>
        <w:t xml:space="preserve"> </w:t>
      </w:r>
      <w:r>
        <w:rPr>
          <w:rFonts w:cs="Arial"/>
          <w:szCs w:val="24"/>
        </w:rPr>
        <w:t xml:space="preserve">R. S. N. S. 4th Ser. </w:t>
      </w:r>
      <w:r>
        <w:rPr>
          <w:rFonts w:cs="Arial"/>
          <w:szCs w:val="24"/>
          <w:lang w:val="fr-FR"/>
        </w:rPr>
        <w:t xml:space="preserve">Ch. </w:t>
      </w:r>
      <w:r>
        <w:rPr>
          <w:rFonts w:cs="Arial"/>
          <w:szCs w:val="24"/>
        </w:rPr>
        <w:t>9.</w:t>
      </w:r>
    </w:p>
  </w:footnote>
  <w:footnote w:id="3">
    <w:p w:rsidR="00C55415" w:rsidRPr="00C55415" w:rsidRDefault="00C55415">
      <w:pPr>
        <w:pStyle w:val="FootnoteText"/>
        <w:rPr>
          <w:lang w:val="en-US"/>
        </w:rPr>
      </w:pPr>
      <w:r>
        <w:rPr>
          <w:rStyle w:val="FootnoteReference"/>
        </w:rPr>
        <w:footnoteRef/>
      </w:r>
      <w:r>
        <w:t xml:space="preserve"> </w:t>
      </w:r>
      <w:r>
        <w:rPr>
          <w:rFonts w:cs="Arial"/>
          <w:szCs w:val="24"/>
        </w:rPr>
        <w:t>6 Russ. &amp; Geld. 339.</w:t>
      </w:r>
    </w:p>
  </w:footnote>
  <w:footnote w:id="4">
    <w:p w:rsidR="00C55415" w:rsidRPr="00C55415" w:rsidRDefault="00C55415">
      <w:pPr>
        <w:pStyle w:val="FootnoteText"/>
        <w:rPr>
          <w:lang w:val="en-US"/>
        </w:rPr>
      </w:pPr>
      <w:r>
        <w:rPr>
          <w:rStyle w:val="FootnoteReference"/>
        </w:rPr>
        <w:footnoteRef/>
      </w:r>
      <w:r>
        <w:t xml:space="preserve"> </w:t>
      </w:r>
      <w:r>
        <w:rPr>
          <w:rFonts w:cs="Arial"/>
          <w:szCs w:val="24"/>
        </w:rPr>
        <w:t>2 Wheaton 316.</w:t>
      </w:r>
    </w:p>
  </w:footnote>
  <w:footnote w:id="5">
    <w:p w:rsidR="00C55415" w:rsidRPr="00C55415" w:rsidRDefault="00C55415">
      <w:pPr>
        <w:pStyle w:val="FootnoteText"/>
        <w:rPr>
          <w:lang w:val="en-US"/>
        </w:rPr>
      </w:pPr>
      <w:r>
        <w:rPr>
          <w:rStyle w:val="FootnoteReference"/>
        </w:rPr>
        <w:footnoteRef/>
      </w:r>
      <w:r>
        <w:t xml:space="preserve"> </w:t>
      </w:r>
      <w:r>
        <w:rPr>
          <w:rFonts w:cs="Arial"/>
          <w:szCs w:val="24"/>
        </w:rPr>
        <w:t>2 Han. (N.B.) 166.</w:t>
      </w:r>
    </w:p>
  </w:footnote>
  <w:footnote w:id="6">
    <w:p w:rsidR="00C55415" w:rsidRPr="00C55415" w:rsidRDefault="00C55415">
      <w:pPr>
        <w:pStyle w:val="FootnoteText"/>
        <w:rPr>
          <w:lang w:val="en-US"/>
        </w:rPr>
      </w:pPr>
      <w:r>
        <w:rPr>
          <w:rStyle w:val="FootnoteReference"/>
        </w:rPr>
        <w:footnoteRef/>
      </w:r>
      <w:r>
        <w:t xml:space="preserve"> </w:t>
      </w:r>
      <w:r>
        <w:rPr>
          <w:rFonts w:cs="Arial"/>
          <w:szCs w:val="24"/>
        </w:rPr>
        <w:t>9 Cranch 164.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55" w:rsidRDefault="001213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55" w:rsidRDefault="00121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55" w:rsidRDefault="001213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6520DF96">
      <w:start w:val="1"/>
      <w:numFmt w:val="decimal"/>
      <w:pStyle w:val="ParagNum"/>
      <w:lvlText w:val="[%1]"/>
      <w:lvlJc w:val="left"/>
      <w:pPr>
        <w:tabs>
          <w:tab w:val="num" w:pos="369"/>
        </w:tabs>
        <w:ind w:left="369" w:hanging="369"/>
      </w:pPr>
    </w:lvl>
    <w:lvl w:ilvl="1" w:tplc="FC780EE4" w:tentative="1">
      <w:start w:val="1"/>
      <w:numFmt w:val="lowerLetter"/>
      <w:lvlText w:val="%2."/>
      <w:lvlJc w:val="left"/>
      <w:pPr>
        <w:tabs>
          <w:tab w:val="num" w:pos="1440"/>
        </w:tabs>
        <w:ind w:left="1440" w:hanging="360"/>
      </w:pPr>
    </w:lvl>
    <w:lvl w:ilvl="2" w:tplc="7CD68A60" w:tentative="1">
      <w:start w:val="1"/>
      <w:numFmt w:val="lowerRoman"/>
      <w:lvlText w:val="%3."/>
      <w:lvlJc w:val="right"/>
      <w:pPr>
        <w:tabs>
          <w:tab w:val="num" w:pos="2160"/>
        </w:tabs>
        <w:ind w:left="2160" w:hanging="180"/>
      </w:pPr>
    </w:lvl>
    <w:lvl w:ilvl="3" w:tplc="30A0F7FA" w:tentative="1">
      <w:start w:val="1"/>
      <w:numFmt w:val="decimal"/>
      <w:lvlText w:val="%4."/>
      <w:lvlJc w:val="left"/>
      <w:pPr>
        <w:tabs>
          <w:tab w:val="num" w:pos="2880"/>
        </w:tabs>
        <w:ind w:left="2880" w:hanging="360"/>
      </w:pPr>
    </w:lvl>
    <w:lvl w:ilvl="4" w:tplc="E49AA86A" w:tentative="1">
      <w:start w:val="1"/>
      <w:numFmt w:val="lowerLetter"/>
      <w:lvlText w:val="%5."/>
      <w:lvlJc w:val="left"/>
      <w:pPr>
        <w:tabs>
          <w:tab w:val="num" w:pos="3600"/>
        </w:tabs>
        <w:ind w:left="3600" w:hanging="360"/>
      </w:pPr>
    </w:lvl>
    <w:lvl w:ilvl="5" w:tplc="61242960" w:tentative="1">
      <w:start w:val="1"/>
      <w:numFmt w:val="lowerRoman"/>
      <w:lvlText w:val="%6."/>
      <w:lvlJc w:val="right"/>
      <w:pPr>
        <w:tabs>
          <w:tab w:val="num" w:pos="4320"/>
        </w:tabs>
        <w:ind w:left="4320" w:hanging="180"/>
      </w:pPr>
    </w:lvl>
    <w:lvl w:ilvl="6" w:tplc="A9500AC0" w:tentative="1">
      <w:start w:val="1"/>
      <w:numFmt w:val="decimal"/>
      <w:lvlText w:val="%7."/>
      <w:lvlJc w:val="left"/>
      <w:pPr>
        <w:tabs>
          <w:tab w:val="num" w:pos="5040"/>
        </w:tabs>
        <w:ind w:left="5040" w:hanging="360"/>
      </w:pPr>
    </w:lvl>
    <w:lvl w:ilvl="7" w:tplc="AC5CC752" w:tentative="1">
      <w:start w:val="1"/>
      <w:numFmt w:val="lowerLetter"/>
      <w:lvlText w:val="%8."/>
      <w:lvlJc w:val="left"/>
      <w:pPr>
        <w:tabs>
          <w:tab w:val="num" w:pos="5760"/>
        </w:tabs>
        <w:ind w:left="5760" w:hanging="360"/>
      </w:pPr>
    </w:lvl>
    <w:lvl w:ilvl="8" w:tplc="4FF25DF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794D"/>
    <w:rsid w:val="00007CF9"/>
    <w:rsid w:val="00013FDA"/>
    <w:rsid w:val="000173FB"/>
    <w:rsid w:val="000655EC"/>
    <w:rsid w:val="00077D2F"/>
    <w:rsid w:val="0008547A"/>
    <w:rsid w:val="000917F0"/>
    <w:rsid w:val="000A43AB"/>
    <w:rsid w:val="000B6688"/>
    <w:rsid w:val="000C3415"/>
    <w:rsid w:val="000D4FA3"/>
    <w:rsid w:val="00121355"/>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2EF7"/>
    <w:rsid w:val="0043543D"/>
    <w:rsid w:val="00442713"/>
    <w:rsid w:val="00457BC5"/>
    <w:rsid w:val="00463F5F"/>
    <w:rsid w:val="00482CDC"/>
    <w:rsid w:val="0049471D"/>
    <w:rsid w:val="004B3AA2"/>
    <w:rsid w:val="004C7ED4"/>
    <w:rsid w:val="004E6857"/>
    <w:rsid w:val="00511D93"/>
    <w:rsid w:val="00514003"/>
    <w:rsid w:val="00533472"/>
    <w:rsid w:val="00537980"/>
    <w:rsid w:val="00563767"/>
    <w:rsid w:val="005667DA"/>
    <w:rsid w:val="00593C8B"/>
    <w:rsid w:val="00644967"/>
    <w:rsid w:val="006D2BED"/>
    <w:rsid w:val="006D6F42"/>
    <w:rsid w:val="006E5FEA"/>
    <w:rsid w:val="00747F2C"/>
    <w:rsid w:val="00751F7D"/>
    <w:rsid w:val="007969C4"/>
    <w:rsid w:val="007B3A90"/>
    <w:rsid w:val="007C772D"/>
    <w:rsid w:val="007D6DD5"/>
    <w:rsid w:val="008027F3"/>
    <w:rsid w:val="008342AA"/>
    <w:rsid w:val="008433A9"/>
    <w:rsid w:val="00844A1E"/>
    <w:rsid w:val="008550EF"/>
    <w:rsid w:val="00872F75"/>
    <w:rsid w:val="00880FBB"/>
    <w:rsid w:val="008B0B7A"/>
    <w:rsid w:val="00926406"/>
    <w:rsid w:val="009A7B1B"/>
    <w:rsid w:val="009D37B6"/>
    <w:rsid w:val="009E64DC"/>
    <w:rsid w:val="00A163E5"/>
    <w:rsid w:val="00A42830"/>
    <w:rsid w:val="00A4371F"/>
    <w:rsid w:val="00A54E5B"/>
    <w:rsid w:val="00A61128"/>
    <w:rsid w:val="00A94C52"/>
    <w:rsid w:val="00AB09B8"/>
    <w:rsid w:val="00AC790C"/>
    <w:rsid w:val="00B007EC"/>
    <w:rsid w:val="00B177F7"/>
    <w:rsid w:val="00B41B49"/>
    <w:rsid w:val="00B532F0"/>
    <w:rsid w:val="00B639A4"/>
    <w:rsid w:val="00B772A6"/>
    <w:rsid w:val="00B849BE"/>
    <w:rsid w:val="00BC4595"/>
    <w:rsid w:val="00C372DF"/>
    <w:rsid w:val="00C45FBD"/>
    <w:rsid w:val="00C54EB9"/>
    <w:rsid w:val="00C55415"/>
    <w:rsid w:val="00C7016B"/>
    <w:rsid w:val="00C93FA5"/>
    <w:rsid w:val="00CB726B"/>
    <w:rsid w:val="00CC50DD"/>
    <w:rsid w:val="00CD1289"/>
    <w:rsid w:val="00CD1F09"/>
    <w:rsid w:val="00CD50FC"/>
    <w:rsid w:val="00CE2A11"/>
    <w:rsid w:val="00CF1E48"/>
    <w:rsid w:val="00D00550"/>
    <w:rsid w:val="00D306D2"/>
    <w:rsid w:val="00D45866"/>
    <w:rsid w:val="00D5269F"/>
    <w:rsid w:val="00D9036C"/>
    <w:rsid w:val="00DB794D"/>
    <w:rsid w:val="00DC4119"/>
    <w:rsid w:val="00DE30DC"/>
    <w:rsid w:val="00E1124B"/>
    <w:rsid w:val="00E114A9"/>
    <w:rsid w:val="00E117BD"/>
    <w:rsid w:val="00E30F5A"/>
    <w:rsid w:val="00E362E8"/>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3E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163E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163E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163E5"/>
  </w:style>
  <w:style w:type="paragraph" w:styleId="Header">
    <w:name w:val="header"/>
    <w:basedOn w:val="Normal"/>
    <w:link w:val="HeaderChar"/>
    <w:uiPriority w:val="99"/>
    <w:unhideWhenUsed/>
    <w:rsid w:val="00A163E5"/>
    <w:pPr>
      <w:tabs>
        <w:tab w:val="center" w:pos="4680"/>
        <w:tab w:val="right" w:pos="9360"/>
      </w:tabs>
    </w:pPr>
    <w:rPr>
      <w:rFonts w:ascii="Times New Roman" w:hAnsi="Times New Roman"/>
    </w:rPr>
  </w:style>
  <w:style w:type="character" w:customStyle="1" w:styleId="HeaderChar">
    <w:name w:val="Header Char"/>
    <w:link w:val="Header"/>
    <w:uiPriority w:val="99"/>
    <w:rsid w:val="00A163E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163E5"/>
    <w:pPr>
      <w:tabs>
        <w:tab w:val="center" w:pos="4680"/>
        <w:tab w:val="right" w:pos="9360"/>
      </w:tabs>
    </w:pPr>
    <w:rPr>
      <w:rFonts w:ascii="Times New Roman" w:hAnsi="Times New Roman"/>
    </w:rPr>
  </w:style>
  <w:style w:type="character" w:customStyle="1" w:styleId="FooterChar">
    <w:name w:val="Footer Char"/>
    <w:link w:val="Footer"/>
    <w:uiPriority w:val="99"/>
    <w:rsid w:val="00A163E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8342A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163E5"/>
    <w:pPr>
      <w:spacing w:before="100" w:beforeAutospacing="1"/>
      <w:ind w:left="567"/>
      <w:jc w:val="both"/>
    </w:pPr>
  </w:style>
  <w:style w:type="paragraph" w:customStyle="1" w:styleId="Metadata">
    <w:name w:val="Metadata"/>
    <w:basedOn w:val="Normal"/>
    <w:rsid w:val="00A163E5"/>
    <w:pPr>
      <w:spacing w:before="100" w:beforeAutospacing="1" w:after="100" w:afterAutospacing="1"/>
    </w:pPr>
    <w:rPr>
      <w:rFonts w:cs="Arial"/>
      <w:szCs w:val="24"/>
    </w:rPr>
  </w:style>
  <w:style w:type="paragraph" w:customStyle="1" w:styleId="Page">
    <w:name w:val="Page"/>
    <w:basedOn w:val="Normal"/>
    <w:link w:val="PageChar"/>
    <w:rsid w:val="00A163E5"/>
    <w:pPr>
      <w:spacing w:before="100" w:beforeAutospacing="1" w:after="100" w:afterAutospacing="1"/>
    </w:pPr>
    <w:rPr>
      <w:i/>
    </w:rPr>
  </w:style>
  <w:style w:type="paragraph" w:styleId="FootnoteText">
    <w:name w:val="footnote text"/>
    <w:basedOn w:val="Normal"/>
    <w:link w:val="FootnoteTextChar"/>
    <w:autoRedefine/>
    <w:semiHidden/>
    <w:rsid w:val="00A163E5"/>
    <w:rPr>
      <w:sz w:val="16"/>
      <w:szCs w:val="20"/>
    </w:rPr>
  </w:style>
  <w:style w:type="character" w:customStyle="1" w:styleId="FootnoteTextChar">
    <w:name w:val="Footnote Text Char"/>
    <w:link w:val="FootnoteText"/>
    <w:semiHidden/>
    <w:rsid w:val="00A163E5"/>
    <w:rPr>
      <w:rFonts w:ascii="Arial" w:eastAsia="MS Mincho" w:hAnsi="Arial" w:cs="Times New Roman"/>
      <w:sz w:val="16"/>
      <w:szCs w:val="20"/>
      <w:lang w:val="en-CA" w:eastAsia="ja-JP"/>
    </w:rPr>
  </w:style>
  <w:style w:type="character" w:styleId="FootnoteReference">
    <w:name w:val="footnote reference"/>
    <w:semiHidden/>
    <w:rsid w:val="00A163E5"/>
    <w:rPr>
      <w:vertAlign w:val="superscript"/>
    </w:rPr>
  </w:style>
  <w:style w:type="paragraph" w:customStyle="1" w:styleId="ParagNum">
    <w:name w:val="ParagNum"/>
    <w:basedOn w:val="Normal"/>
    <w:rsid w:val="00A163E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163E5"/>
    <w:pPr>
      <w:spacing w:before="100" w:beforeAutospacing="1" w:after="100" w:afterAutospacing="1" w:line="360" w:lineRule="auto"/>
    </w:pPr>
  </w:style>
  <w:style w:type="paragraph" w:customStyle="1" w:styleId="Indent2">
    <w:name w:val="Indent 2"/>
    <w:basedOn w:val="Indent1"/>
    <w:rsid w:val="00A163E5"/>
    <w:pPr>
      <w:ind w:left="1134"/>
    </w:pPr>
  </w:style>
  <w:style w:type="paragraph" w:customStyle="1" w:styleId="Indent3">
    <w:name w:val="Indent 3"/>
    <w:basedOn w:val="Indent1"/>
    <w:rsid w:val="00A163E5"/>
    <w:pPr>
      <w:ind w:left="1701"/>
    </w:pPr>
  </w:style>
  <w:style w:type="paragraph" w:customStyle="1" w:styleId="Indent4">
    <w:name w:val="Indent 4"/>
    <w:basedOn w:val="Indent1"/>
    <w:rsid w:val="00A163E5"/>
    <w:pPr>
      <w:ind w:left="2268"/>
    </w:pPr>
  </w:style>
  <w:style w:type="paragraph" w:customStyle="1" w:styleId="Indent10">
    <w:name w:val="Indent1"/>
    <w:basedOn w:val="Reasons"/>
    <w:rsid w:val="00A163E5"/>
    <w:pPr>
      <w:ind w:left="567"/>
    </w:pPr>
  </w:style>
  <w:style w:type="paragraph" w:customStyle="1" w:styleId="Indent20">
    <w:name w:val="Indent2"/>
    <w:basedOn w:val="Indent10"/>
    <w:rsid w:val="00A163E5"/>
    <w:pPr>
      <w:ind w:left="1134"/>
    </w:pPr>
  </w:style>
  <w:style w:type="paragraph" w:customStyle="1" w:styleId="Indent30">
    <w:name w:val="Indent3"/>
    <w:basedOn w:val="Indent10"/>
    <w:rsid w:val="00A163E5"/>
    <w:pPr>
      <w:ind w:left="1701"/>
    </w:pPr>
  </w:style>
  <w:style w:type="paragraph" w:customStyle="1" w:styleId="Indent40">
    <w:name w:val="Indent4"/>
    <w:basedOn w:val="Indent10"/>
    <w:rsid w:val="00A163E5"/>
    <w:pPr>
      <w:ind w:left="2268"/>
    </w:pPr>
  </w:style>
  <w:style w:type="paragraph" w:customStyle="1" w:styleId="Keywords">
    <w:name w:val="Keywords"/>
    <w:basedOn w:val="Normal"/>
    <w:rsid w:val="00A163E5"/>
    <w:pPr>
      <w:spacing w:before="100" w:beforeAutospacing="1" w:after="100" w:afterAutospacing="1"/>
    </w:pPr>
    <w:rPr>
      <w:rFonts w:cs="Arial"/>
      <w:i/>
      <w:szCs w:val="24"/>
    </w:rPr>
  </w:style>
  <w:style w:type="paragraph" w:customStyle="1" w:styleId="Summary">
    <w:name w:val="Summary"/>
    <w:basedOn w:val="Normal"/>
    <w:autoRedefine/>
    <w:rsid w:val="00A163E5"/>
    <w:pPr>
      <w:spacing w:before="100" w:beforeAutospacing="1" w:after="100" w:afterAutospacing="1"/>
      <w:ind w:left="562" w:hanging="562"/>
    </w:pPr>
    <w:rPr>
      <w:rFonts w:cs="Arial"/>
    </w:rPr>
  </w:style>
  <w:style w:type="paragraph" w:customStyle="1" w:styleId="History">
    <w:name w:val="History"/>
    <w:basedOn w:val="Normal"/>
    <w:rsid w:val="00A163E5"/>
    <w:pPr>
      <w:spacing w:before="100" w:beforeAutospacing="1" w:after="100" w:afterAutospacing="1"/>
      <w:ind w:firstLine="567"/>
    </w:pPr>
  </w:style>
  <w:style w:type="paragraph" w:customStyle="1" w:styleId="T1">
    <w:name w:val="T1"/>
    <w:basedOn w:val="Normal"/>
    <w:rsid w:val="00A163E5"/>
    <w:pPr>
      <w:spacing w:before="240" w:after="100" w:afterAutospacing="1"/>
    </w:pPr>
    <w:rPr>
      <w:b/>
    </w:rPr>
  </w:style>
  <w:style w:type="paragraph" w:customStyle="1" w:styleId="T2">
    <w:name w:val="T2"/>
    <w:basedOn w:val="Normal"/>
    <w:rsid w:val="00A163E5"/>
    <w:pPr>
      <w:spacing w:before="240" w:after="100" w:afterAutospacing="1"/>
    </w:pPr>
  </w:style>
  <w:style w:type="paragraph" w:customStyle="1" w:styleId="Sollicitors">
    <w:name w:val="Sollicitors"/>
    <w:basedOn w:val="Normal"/>
    <w:rsid w:val="00A163E5"/>
    <w:pPr>
      <w:spacing w:before="100" w:beforeAutospacing="1" w:after="100" w:afterAutospacing="1"/>
    </w:pPr>
    <w:rPr>
      <w:i/>
    </w:rPr>
  </w:style>
  <w:style w:type="paragraph" w:customStyle="1" w:styleId="Court">
    <w:name w:val="Court"/>
    <w:basedOn w:val="Normal"/>
    <w:rsid w:val="00A163E5"/>
    <w:rPr>
      <w:rFonts w:cs="Arial"/>
      <w:b/>
      <w:szCs w:val="24"/>
    </w:rPr>
  </w:style>
  <w:style w:type="character" w:customStyle="1" w:styleId="PageChar">
    <w:name w:val="Page Char"/>
    <w:link w:val="Page"/>
    <w:rsid w:val="00A163E5"/>
    <w:rPr>
      <w:rFonts w:ascii="Arial" w:eastAsia="MS Mincho" w:hAnsi="Arial" w:cs="Times New Roman"/>
      <w:i/>
      <w:sz w:val="24"/>
      <w:szCs w:val="28"/>
      <w:lang w:val="en-CA" w:eastAsia="ja-JP"/>
    </w:rPr>
  </w:style>
  <w:style w:type="character" w:customStyle="1" w:styleId="ReasonsCar">
    <w:name w:val="Reasons Car"/>
    <w:link w:val="Reasons"/>
    <w:rsid w:val="00A163E5"/>
    <w:rPr>
      <w:rFonts w:ascii="Arial" w:eastAsia="MS Mincho" w:hAnsi="Arial" w:cs="Times New Roman"/>
      <w:sz w:val="24"/>
      <w:szCs w:val="28"/>
      <w:lang w:val="en-CA" w:eastAsia="ja-JP"/>
    </w:rPr>
  </w:style>
  <w:style w:type="paragraph" w:customStyle="1" w:styleId="CitationLine">
    <w:name w:val="CitationLine"/>
    <w:basedOn w:val="Court"/>
    <w:rsid w:val="00A163E5"/>
  </w:style>
  <w:style w:type="paragraph" w:customStyle="1" w:styleId="DateISO">
    <w:name w:val="DateISO"/>
    <w:basedOn w:val="Court"/>
    <w:rsid w:val="00A163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2015-03-19T06:10:00Z</dcterms:created>
  <dcterms:modified xsi:type="dcterms:W3CDTF">2015-03-23T10:16:00Z</dcterms:modified>
</cp:coreProperties>
</file>