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5C6" w:rsidRDefault="006335C6" w:rsidP="006335C6">
      <w:pPr>
        <w:pStyle w:val="Court"/>
      </w:pPr>
      <w:r>
        <w:t>Supreme Court of Canada</w:t>
      </w:r>
    </w:p>
    <w:p w:rsidR="006335C6" w:rsidRDefault="002B0F6A" w:rsidP="006335C6">
      <w:pPr>
        <w:pStyle w:val="CitationLine"/>
      </w:pPr>
      <w:r>
        <w:t>T</w:t>
      </w:r>
      <w:r w:rsidRPr="002B0F6A">
        <w:t xml:space="preserve">orrop </w:t>
      </w:r>
      <w:r w:rsidRPr="002B0F6A">
        <w:rPr>
          <w:i/>
          <w:iCs/>
        </w:rPr>
        <w:t xml:space="preserve">v. </w:t>
      </w:r>
      <w:r w:rsidRPr="002B0F6A">
        <w:t>The Imperial Fire Insurance Company</w:t>
      </w:r>
      <w:r>
        <w:t xml:space="preserve"> </w:t>
      </w:r>
      <w:r w:rsidR="006335C6">
        <w:t>(189</w:t>
      </w:r>
      <w:r w:rsidR="004C0D17">
        <w:t>6</w:t>
      </w:r>
      <w:r w:rsidR="006335C6">
        <w:t>) 26 SCR 585</w:t>
      </w:r>
    </w:p>
    <w:p w:rsidR="006335C6" w:rsidRDefault="006335C6" w:rsidP="006335C6">
      <w:pPr>
        <w:pStyle w:val="DateISO"/>
      </w:pPr>
      <w:r>
        <w:t>Date: 1896-11-05</w:t>
      </w:r>
    </w:p>
    <w:p w:rsidR="003B7D5D" w:rsidRPr="006335C6" w:rsidRDefault="006335C6" w:rsidP="002B0F6A">
      <w:pPr>
        <w:pStyle w:val="Metadata"/>
      </w:pPr>
      <w:r w:rsidRPr="006335C6">
        <w:t xml:space="preserve">Edward </w:t>
      </w:r>
      <w:r w:rsidR="003B7D5D" w:rsidRPr="006335C6">
        <w:t xml:space="preserve">C. </w:t>
      </w:r>
      <w:r w:rsidRPr="006335C6">
        <w:t xml:space="preserve">Torrop </w:t>
      </w:r>
      <w:r w:rsidR="003B7D5D" w:rsidRPr="006335C6">
        <w:t>(Plaintiff)</w:t>
      </w:r>
    </w:p>
    <w:p w:rsidR="003B7D5D" w:rsidRPr="006335C6" w:rsidRDefault="003B7D5D" w:rsidP="002B0F6A">
      <w:pPr>
        <w:pStyle w:val="Metadata"/>
      </w:pPr>
      <w:r w:rsidRPr="006335C6">
        <w:t>Appellant</w:t>
      </w:r>
    </w:p>
    <w:p w:rsidR="003B7D5D" w:rsidRPr="006335C6" w:rsidRDefault="006335C6" w:rsidP="002B0F6A">
      <w:pPr>
        <w:pStyle w:val="Metadata"/>
      </w:pPr>
      <w:r>
        <w:t>A</w:t>
      </w:r>
      <w:r w:rsidR="003B7D5D" w:rsidRPr="006335C6">
        <w:t>nd</w:t>
      </w:r>
    </w:p>
    <w:p w:rsidR="003B7D5D" w:rsidRPr="006335C6" w:rsidRDefault="006335C6" w:rsidP="002B0F6A">
      <w:pPr>
        <w:pStyle w:val="Metadata"/>
      </w:pPr>
      <w:r w:rsidRPr="006335C6">
        <w:t>The Imperial Fire Insurance Company</w:t>
      </w:r>
      <w:r w:rsidR="003B7D5D" w:rsidRPr="006335C6">
        <w:t xml:space="preserve"> (Defendant)</w:t>
      </w:r>
    </w:p>
    <w:p w:rsidR="003B7D5D" w:rsidRPr="006335C6" w:rsidRDefault="003B7D5D" w:rsidP="002B0F6A">
      <w:pPr>
        <w:pStyle w:val="Metadata"/>
      </w:pPr>
      <w:r w:rsidRPr="006335C6">
        <w:t>Respondent</w:t>
      </w:r>
    </w:p>
    <w:p w:rsidR="006335C6" w:rsidRDefault="006335C6" w:rsidP="002B0F6A">
      <w:pPr>
        <w:pStyle w:val="Metadata"/>
      </w:pPr>
      <w:r>
        <w:t>1896: Nov. 5.</w:t>
      </w:r>
    </w:p>
    <w:p w:rsidR="006335C6" w:rsidRDefault="006335C6" w:rsidP="002B0F6A">
      <w:pPr>
        <w:pStyle w:val="Metadata"/>
      </w:pPr>
      <w:r w:rsidRPr="006335C6">
        <w:t>Present</w:t>
      </w:r>
      <w:r>
        <w:rPr>
          <w:smallCaps/>
        </w:rPr>
        <w:t>:</w:t>
      </w:r>
      <w:r>
        <w:t xml:space="preserve">—Sir Henry Strong </w:t>
      </w:r>
      <w:r>
        <w:rPr>
          <w:smallCaps/>
        </w:rPr>
        <w:t xml:space="preserve">C.J. </w:t>
      </w:r>
      <w:r>
        <w:t>and Gwynne, Sedgewick, King and Girouard JJ.</w:t>
      </w:r>
    </w:p>
    <w:p w:rsidR="003B7D5D" w:rsidRDefault="003B7D5D" w:rsidP="002B0F6A">
      <w:pPr>
        <w:pStyle w:val="Metadata"/>
      </w:pPr>
      <w:r>
        <w:t>ON APPEAL FROM THE SUPREME COURT OF NEW BRUNSWICK.</w:t>
      </w:r>
    </w:p>
    <w:p w:rsidR="003B7D5D" w:rsidRDefault="003B7D5D" w:rsidP="002B0F6A">
      <w:pPr>
        <w:pStyle w:val="Keywords"/>
      </w:pPr>
      <w:r>
        <w:t>Fire insurance—Conditions in policy—Breach—Waiver—Recognition of existing risk after breach—Authority of agent.</w:t>
      </w:r>
    </w:p>
    <w:p w:rsidR="003B7D5D" w:rsidRDefault="003B7D5D" w:rsidP="002B0F6A">
      <w:pPr>
        <w:pStyle w:val="Summary"/>
      </w:pPr>
      <w:r>
        <w:t>A policy of fire insurance on a factory and machinery contained a condition making it void if the said property was sold or conveyed or the interest of the parties therein changed.</w:t>
      </w:r>
    </w:p>
    <w:p w:rsidR="003B7D5D" w:rsidRDefault="003B7D5D" w:rsidP="002B0F6A">
      <w:pPr>
        <w:pStyle w:val="Summary"/>
        <w:rPr>
          <w:szCs w:val="24"/>
        </w:rPr>
      </w:pPr>
      <w:r>
        <w:rPr>
          <w:i/>
          <w:iCs/>
          <w:szCs w:val="24"/>
        </w:rPr>
        <w:t xml:space="preserve">Held, </w:t>
      </w:r>
      <w:r>
        <w:rPr>
          <w:szCs w:val="24"/>
        </w:rPr>
        <w:t>affirming the decision of the Supreme Court of New Brunswick, that by a chattel mortgage given by the assured on said property his interest therein was changed and the policy forfeited under said condition.</w:t>
      </w:r>
    </w:p>
    <w:p w:rsidR="003B7D5D" w:rsidRDefault="003B7D5D" w:rsidP="002B0F6A">
      <w:pPr>
        <w:pStyle w:val="Summary"/>
        <w:rPr>
          <w:szCs w:val="24"/>
        </w:rPr>
      </w:pPr>
      <w:r>
        <w:rPr>
          <w:i/>
          <w:iCs/>
          <w:szCs w:val="24"/>
        </w:rPr>
        <w:t xml:space="preserve">Held, </w:t>
      </w:r>
      <w:r>
        <w:rPr>
          <w:szCs w:val="24"/>
        </w:rPr>
        <w:t>further, that an agent with powers limited to receiving and forwarding applications for insurance had no authority to waive a forfeiture caused by such breach.</w:t>
      </w:r>
    </w:p>
    <w:p w:rsidR="003B7D5D" w:rsidRDefault="002B0F6A" w:rsidP="002B0F6A">
      <w:pPr>
        <w:pStyle w:val="History"/>
      </w:pPr>
      <w:r>
        <w:t xml:space="preserve">Appeal </w:t>
      </w:r>
      <w:r w:rsidR="003B7D5D">
        <w:t>from a decision of the Supreme Court of New Brunswick, setting aside a verdict for the plaintiff and ordering a nonsuit.</w:t>
      </w:r>
    </w:p>
    <w:p w:rsidR="003B7D5D" w:rsidRDefault="003B7D5D" w:rsidP="002B0F6A">
      <w:pPr>
        <w:pStyle w:val="History"/>
        <w:rPr>
          <w:rFonts w:cs="Arial"/>
          <w:szCs w:val="24"/>
        </w:rPr>
      </w:pPr>
      <w:r>
        <w:rPr>
          <w:rFonts w:cs="Arial"/>
          <w:szCs w:val="24"/>
        </w:rPr>
        <w:t>The action in this case was on a fire insurance policy on a spool and bobbin factory in New Brunswick and the machinery, engine and boilers therein. The amount of the insurance was $2,750 and was made payable to "Hon. George Irvine and John G. Walsh, Executors of the estate of the late Edward Burstall of Quebec," who held a mortgage on the insured property on which $4,000 was due at the time of the loss.</w:t>
      </w:r>
    </w:p>
    <w:p w:rsidR="003B7D5D" w:rsidRDefault="003B7D5D" w:rsidP="002B0F6A">
      <w:pPr>
        <w:pStyle w:val="History"/>
        <w:rPr>
          <w:rFonts w:cs="Arial"/>
          <w:szCs w:val="24"/>
        </w:rPr>
      </w:pPr>
      <w:r>
        <w:rPr>
          <w:rFonts w:cs="Arial"/>
          <w:szCs w:val="24"/>
        </w:rPr>
        <w:t>The company defended the action on several grounds. First, that under a condition indorsed on the policy making it void "if the said property should be sold or</w:t>
      </w:r>
    </w:p>
    <w:p w:rsidR="003B7D5D" w:rsidRDefault="00E045C7" w:rsidP="00E045C7">
      <w:pPr>
        <w:pStyle w:val="Page"/>
      </w:pPr>
      <w:r>
        <w:rPr>
          <w:rFonts w:cs="Arial"/>
          <w:szCs w:val="24"/>
        </w:rPr>
        <w:lastRenderedPageBreak/>
        <w:t xml:space="preserve">[Page </w:t>
      </w:r>
      <w:r w:rsidR="003B7D5D">
        <w:rPr>
          <w:rFonts w:cs="Arial"/>
          <w:szCs w:val="24"/>
        </w:rPr>
        <w:t>586]</w:t>
      </w:r>
    </w:p>
    <w:p w:rsidR="003B7D5D" w:rsidRDefault="003B7D5D" w:rsidP="002F518D">
      <w:pPr>
        <w:pStyle w:val="History"/>
        <w:ind w:firstLine="0"/>
        <w:rPr>
          <w:rFonts w:cs="Arial"/>
          <w:szCs w:val="24"/>
        </w:rPr>
      </w:pPr>
      <w:r>
        <w:rPr>
          <w:rFonts w:cs="Arial"/>
          <w:szCs w:val="24"/>
        </w:rPr>
        <w:t>conveyed, or the interest of the parties thereon changed, or if the policy should be assigned without the consent of the company obtained in writing therein" the policy had been forfeited by the insured giving a bill of sale of the property to McAllister &amp; Mott, the local agents of the company at Campbellton, N.B., and afterwards making an assignment for benefit of his creditors of all his property, mentioning expressly all policies of insurance. Secondly, that the policy had been cancelled before loss by notice to the insured as authorized by a condition therein. Thirdly, that proofs of loss had not been given to the company within the time limited therefor by the policy.</w:t>
      </w:r>
    </w:p>
    <w:p w:rsidR="003B7D5D" w:rsidRDefault="003B7D5D" w:rsidP="002F518D">
      <w:pPr>
        <w:pStyle w:val="History"/>
        <w:rPr>
          <w:rFonts w:cs="Arial"/>
          <w:szCs w:val="24"/>
        </w:rPr>
      </w:pPr>
      <w:r>
        <w:rPr>
          <w:rFonts w:cs="Arial"/>
          <w:szCs w:val="24"/>
        </w:rPr>
        <w:t>At the trial the plaintiff contended that the bill of sale and trust deed not being absolute transfers of the property were not sufficient to avoid the policy; that if they were the company had subsequently, by attempting to cancel the policy, treated the risk as existing with knowledge of the transfers, the knowledge of McAllister &amp; Mott being imputed to the company; that the policy was not cancelled as notice had not been given to the insured but only to his trustees, and moreover, that notice to the payees of the policy in Quebec was essential; and that the proofs had been put in after the limited time and not objected to which constituted a waiver of the condition.</w:t>
      </w:r>
    </w:p>
    <w:p w:rsidR="003B7D5D" w:rsidRDefault="003B7D5D" w:rsidP="002F518D">
      <w:pPr>
        <w:pStyle w:val="History"/>
        <w:rPr>
          <w:rFonts w:cs="Arial"/>
          <w:szCs w:val="24"/>
        </w:rPr>
      </w:pPr>
      <w:r>
        <w:rPr>
          <w:rFonts w:cs="Arial"/>
          <w:szCs w:val="24"/>
        </w:rPr>
        <w:t>The Supreme Court of New Brunswick decided the case in favour of the company on the two grounds that the transfers avoided the policy, and if not that it was cancelled.</w:t>
      </w:r>
    </w:p>
    <w:p w:rsidR="003B7D5D" w:rsidRDefault="003B7D5D" w:rsidP="002F518D">
      <w:pPr>
        <w:pStyle w:val="History"/>
        <w:rPr>
          <w:rFonts w:cs="Arial"/>
          <w:szCs w:val="24"/>
        </w:rPr>
      </w:pPr>
      <w:r>
        <w:rPr>
          <w:rFonts w:cs="Arial"/>
          <w:i/>
          <w:iCs/>
          <w:szCs w:val="24"/>
        </w:rPr>
        <w:t xml:space="preserve">McLean </w:t>
      </w:r>
      <w:r>
        <w:rPr>
          <w:rFonts w:cs="Arial"/>
          <w:szCs w:val="24"/>
        </w:rPr>
        <w:t>for the appellant. The policy was headed, "Maritime Provinces Branch, Campbellton Agency," and indorsed "McAllister &amp; Mott, agents." So far as the public were concerned McAllister &amp; Mott were</w:t>
      </w:r>
    </w:p>
    <w:p w:rsidR="003B7D5D" w:rsidRDefault="00E045C7" w:rsidP="00E045C7">
      <w:pPr>
        <w:pStyle w:val="Page"/>
      </w:pPr>
      <w:r>
        <w:rPr>
          <w:rFonts w:cs="Arial"/>
          <w:szCs w:val="24"/>
        </w:rPr>
        <w:t xml:space="preserve">[Page </w:t>
      </w:r>
      <w:r w:rsidR="003B7D5D">
        <w:rPr>
          <w:rFonts w:cs="Arial"/>
          <w:szCs w:val="24"/>
        </w:rPr>
        <w:t>587]</w:t>
      </w:r>
    </w:p>
    <w:p w:rsidR="003B7D5D" w:rsidRDefault="003B7D5D" w:rsidP="002F518D">
      <w:pPr>
        <w:pStyle w:val="History"/>
        <w:ind w:firstLine="0"/>
        <w:rPr>
          <w:rFonts w:cs="Arial"/>
          <w:szCs w:val="24"/>
        </w:rPr>
      </w:pPr>
      <w:r>
        <w:rPr>
          <w:rFonts w:cs="Arial"/>
          <w:szCs w:val="24"/>
        </w:rPr>
        <w:t xml:space="preserve">general agents with full powers. </w:t>
      </w:r>
      <w:r>
        <w:rPr>
          <w:rFonts w:cs="Arial"/>
          <w:i/>
          <w:iCs/>
          <w:szCs w:val="24"/>
        </w:rPr>
        <w:t xml:space="preserve">Millville Ins. Co. </w:t>
      </w:r>
      <w:r>
        <w:rPr>
          <w:rFonts w:cs="Arial"/>
          <w:szCs w:val="24"/>
        </w:rPr>
        <w:t xml:space="preserve">v. </w:t>
      </w:r>
      <w:r>
        <w:rPr>
          <w:rFonts w:cs="Arial"/>
          <w:i/>
          <w:iCs/>
          <w:szCs w:val="24"/>
        </w:rPr>
        <w:t>Building Assoc.</w:t>
      </w:r>
      <w:r w:rsidR="00442A3D">
        <w:rPr>
          <w:rStyle w:val="FootnoteReference"/>
          <w:rFonts w:cs="Arial"/>
          <w:i/>
          <w:iCs/>
          <w:szCs w:val="24"/>
        </w:rPr>
        <w:footnoteReference w:id="2"/>
      </w:r>
      <w:r>
        <w:rPr>
          <w:rFonts w:cs="Arial"/>
          <w:szCs w:val="24"/>
        </w:rPr>
        <w:t xml:space="preserve">; </w:t>
      </w:r>
      <w:r>
        <w:rPr>
          <w:rFonts w:cs="Arial"/>
          <w:i/>
          <w:iCs/>
          <w:szCs w:val="24"/>
        </w:rPr>
        <w:t xml:space="preserve">Ins. Co. </w:t>
      </w:r>
      <w:r>
        <w:rPr>
          <w:rFonts w:cs="Arial"/>
          <w:szCs w:val="24"/>
        </w:rPr>
        <w:t xml:space="preserve">v. </w:t>
      </w:r>
      <w:r>
        <w:rPr>
          <w:rFonts w:cs="Arial"/>
          <w:i/>
          <w:iCs/>
          <w:szCs w:val="24"/>
        </w:rPr>
        <w:t>Wilkinson</w:t>
      </w:r>
      <w:r w:rsidR="00442A3D">
        <w:rPr>
          <w:rStyle w:val="FootnoteReference"/>
          <w:rFonts w:cs="Arial"/>
          <w:i/>
          <w:iCs/>
          <w:szCs w:val="24"/>
        </w:rPr>
        <w:footnoteReference w:id="3"/>
      </w:r>
      <w:r>
        <w:rPr>
          <w:rFonts w:cs="Arial"/>
          <w:szCs w:val="24"/>
        </w:rPr>
        <w:t>.</w:t>
      </w:r>
    </w:p>
    <w:p w:rsidR="003B7D5D" w:rsidRDefault="003B7D5D" w:rsidP="002F518D">
      <w:pPr>
        <w:pStyle w:val="History"/>
        <w:rPr>
          <w:rFonts w:cs="Arial"/>
          <w:szCs w:val="24"/>
        </w:rPr>
      </w:pPr>
      <w:r>
        <w:rPr>
          <w:rFonts w:cs="Arial"/>
          <w:szCs w:val="24"/>
        </w:rPr>
        <w:t xml:space="preserve">Notice to the agents was notice to the company. </w:t>
      </w:r>
      <w:r>
        <w:rPr>
          <w:rFonts w:cs="Arial"/>
          <w:i/>
          <w:iCs/>
          <w:szCs w:val="24"/>
        </w:rPr>
        <w:t xml:space="preserve">Bawden </w:t>
      </w:r>
      <w:r>
        <w:rPr>
          <w:rFonts w:cs="Arial"/>
          <w:szCs w:val="24"/>
        </w:rPr>
        <w:t xml:space="preserve">v. </w:t>
      </w:r>
      <w:r>
        <w:rPr>
          <w:rFonts w:cs="Arial"/>
          <w:i/>
          <w:iCs/>
          <w:szCs w:val="24"/>
        </w:rPr>
        <w:t>London, &amp;c., Assurance Co.</w:t>
      </w:r>
      <w:r w:rsidR="00442A3D">
        <w:rPr>
          <w:rStyle w:val="FootnoteReference"/>
          <w:rFonts w:cs="Arial"/>
          <w:i/>
          <w:iCs/>
          <w:szCs w:val="24"/>
        </w:rPr>
        <w:footnoteReference w:id="4"/>
      </w:r>
      <w:r>
        <w:rPr>
          <w:rFonts w:cs="Arial"/>
          <w:szCs w:val="24"/>
        </w:rPr>
        <w:t xml:space="preserve">; </w:t>
      </w:r>
      <w:r>
        <w:rPr>
          <w:rFonts w:cs="Arial"/>
          <w:i/>
          <w:iCs/>
          <w:szCs w:val="24"/>
        </w:rPr>
        <w:t xml:space="preserve">Markey </w:t>
      </w:r>
      <w:r>
        <w:rPr>
          <w:rFonts w:cs="Arial"/>
          <w:szCs w:val="24"/>
        </w:rPr>
        <w:t xml:space="preserve">v. </w:t>
      </w:r>
      <w:r>
        <w:rPr>
          <w:rFonts w:cs="Arial"/>
          <w:i/>
          <w:iCs/>
          <w:szCs w:val="24"/>
        </w:rPr>
        <w:t>Mutual Benefit Ins. Co.</w:t>
      </w:r>
      <w:r w:rsidR="00442A3D">
        <w:rPr>
          <w:rStyle w:val="FootnoteReference"/>
          <w:rFonts w:cs="Arial"/>
          <w:i/>
          <w:iCs/>
          <w:szCs w:val="24"/>
        </w:rPr>
        <w:footnoteReference w:id="5"/>
      </w:r>
      <w:r>
        <w:rPr>
          <w:rFonts w:cs="Arial"/>
          <w:szCs w:val="24"/>
        </w:rPr>
        <w:t>.</w:t>
      </w:r>
    </w:p>
    <w:p w:rsidR="003B7D5D" w:rsidRDefault="003B7D5D" w:rsidP="002F518D">
      <w:pPr>
        <w:pStyle w:val="History"/>
        <w:rPr>
          <w:rFonts w:cs="Arial"/>
          <w:szCs w:val="24"/>
        </w:rPr>
      </w:pPr>
      <w:r>
        <w:rPr>
          <w:rFonts w:cs="Arial"/>
          <w:szCs w:val="24"/>
        </w:rPr>
        <w:t xml:space="preserve">After breach the company may elect to keep the policy in force. </w:t>
      </w:r>
      <w:r>
        <w:rPr>
          <w:rFonts w:cs="Arial"/>
          <w:i/>
          <w:iCs/>
          <w:szCs w:val="24"/>
        </w:rPr>
        <w:t xml:space="preserve">Wing </w:t>
      </w:r>
      <w:r>
        <w:rPr>
          <w:rFonts w:cs="Arial"/>
          <w:szCs w:val="24"/>
        </w:rPr>
        <w:t xml:space="preserve">v. </w:t>
      </w:r>
      <w:r>
        <w:rPr>
          <w:rFonts w:cs="Arial"/>
          <w:i/>
          <w:iCs/>
          <w:szCs w:val="24"/>
        </w:rPr>
        <w:t>Harvey</w:t>
      </w:r>
      <w:r w:rsidR="00442A3D">
        <w:rPr>
          <w:rStyle w:val="FootnoteReference"/>
          <w:rFonts w:cs="Arial"/>
          <w:i/>
          <w:iCs/>
          <w:szCs w:val="24"/>
        </w:rPr>
        <w:footnoteReference w:id="6"/>
      </w:r>
      <w:r>
        <w:rPr>
          <w:rFonts w:cs="Arial"/>
          <w:szCs w:val="24"/>
        </w:rPr>
        <w:t xml:space="preserve">; </w:t>
      </w:r>
      <w:r>
        <w:rPr>
          <w:rFonts w:cs="Arial"/>
          <w:i/>
          <w:iCs/>
          <w:szCs w:val="24"/>
        </w:rPr>
        <w:t>McQueen v. Phoenix Ins. Co.</w:t>
      </w:r>
      <w:r w:rsidR="00442A3D">
        <w:rPr>
          <w:rStyle w:val="FootnoteReference"/>
          <w:rFonts w:cs="Arial"/>
          <w:i/>
          <w:iCs/>
          <w:szCs w:val="24"/>
        </w:rPr>
        <w:footnoteReference w:id="7"/>
      </w:r>
      <w:r>
        <w:rPr>
          <w:rFonts w:cs="Arial"/>
          <w:szCs w:val="24"/>
        </w:rPr>
        <w:t>.</w:t>
      </w:r>
    </w:p>
    <w:p w:rsidR="003B7D5D" w:rsidRDefault="003B7D5D" w:rsidP="002F518D">
      <w:pPr>
        <w:pStyle w:val="History"/>
        <w:rPr>
          <w:rFonts w:cs="Arial"/>
          <w:szCs w:val="24"/>
        </w:rPr>
      </w:pPr>
      <w:r>
        <w:rPr>
          <w:rFonts w:cs="Arial"/>
          <w:szCs w:val="24"/>
        </w:rPr>
        <w:t xml:space="preserve">The policy was not assigned. </w:t>
      </w:r>
      <w:r>
        <w:rPr>
          <w:rFonts w:cs="Arial"/>
          <w:i/>
          <w:iCs/>
          <w:szCs w:val="24"/>
        </w:rPr>
        <w:t xml:space="preserve">Lazarus </w:t>
      </w:r>
      <w:r>
        <w:rPr>
          <w:rFonts w:cs="Arial"/>
          <w:szCs w:val="24"/>
        </w:rPr>
        <w:t xml:space="preserve">v. </w:t>
      </w:r>
      <w:r>
        <w:rPr>
          <w:rFonts w:cs="Arial"/>
          <w:i/>
          <w:iCs/>
          <w:szCs w:val="24"/>
        </w:rPr>
        <w:t>Commonwealth Ins. Co.</w:t>
      </w:r>
      <w:r w:rsidR="00442A3D">
        <w:rPr>
          <w:rStyle w:val="FootnoteReference"/>
          <w:rFonts w:cs="Arial"/>
          <w:i/>
          <w:iCs/>
          <w:szCs w:val="24"/>
        </w:rPr>
        <w:footnoteReference w:id="8"/>
      </w:r>
      <w:r>
        <w:rPr>
          <w:rFonts w:cs="Arial"/>
          <w:szCs w:val="24"/>
        </w:rPr>
        <w:t>.</w:t>
      </w:r>
    </w:p>
    <w:p w:rsidR="003B7D5D" w:rsidRDefault="003B7D5D" w:rsidP="002F518D">
      <w:pPr>
        <w:pStyle w:val="History"/>
        <w:rPr>
          <w:rFonts w:cs="Arial"/>
          <w:szCs w:val="24"/>
        </w:rPr>
      </w:pPr>
      <w:r>
        <w:rPr>
          <w:rFonts w:cs="Arial"/>
          <w:szCs w:val="24"/>
        </w:rPr>
        <w:lastRenderedPageBreak/>
        <w:t xml:space="preserve">The attempt to cancel the policy was ineffectual as notice was not given to the assured. </w:t>
      </w:r>
      <w:r>
        <w:rPr>
          <w:rFonts w:cs="Arial"/>
          <w:i/>
          <w:iCs/>
          <w:szCs w:val="24"/>
        </w:rPr>
        <w:t xml:space="preserve">Caldwell </w:t>
      </w:r>
      <w:r>
        <w:rPr>
          <w:rFonts w:cs="Arial"/>
          <w:szCs w:val="24"/>
        </w:rPr>
        <w:t xml:space="preserve">v. </w:t>
      </w:r>
      <w:r>
        <w:rPr>
          <w:rFonts w:cs="Arial"/>
          <w:i/>
          <w:iCs/>
          <w:szCs w:val="24"/>
        </w:rPr>
        <w:t>Stadacona Ins. Co.</w:t>
      </w:r>
      <w:r w:rsidR="00442A3D">
        <w:rPr>
          <w:rStyle w:val="FootnoteReference"/>
          <w:rFonts w:cs="Arial"/>
          <w:i/>
          <w:iCs/>
          <w:szCs w:val="24"/>
        </w:rPr>
        <w:footnoteReference w:id="9"/>
      </w:r>
      <w:r>
        <w:rPr>
          <w:rFonts w:cs="Arial"/>
          <w:szCs w:val="24"/>
        </w:rPr>
        <w:t>.</w:t>
      </w:r>
    </w:p>
    <w:p w:rsidR="003B7D5D" w:rsidRDefault="003B7D5D" w:rsidP="002F518D">
      <w:pPr>
        <w:pStyle w:val="History"/>
        <w:rPr>
          <w:rFonts w:cs="Arial"/>
          <w:szCs w:val="24"/>
        </w:rPr>
      </w:pPr>
      <w:r>
        <w:rPr>
          <w:rFonts w:cs="Arial"/>
          <w:i/>
          <w:iCs/>
          <w:szCs w:val="24"/>
        </w:rPr>
        <w:t xml:space="preserve">Pugsley </w:t>
      </w:r>
      <w:r>
        <w:rPr>
          <w:rFonts w:cs="Arial"/>
          <w:szCs w:val="24"/>
        </w:rPr>
        <w:t xml:space="preserve">Q.C. and </w:t>
      </w:r>
      <w:r>
        <w:rPr>
          <w:rFonts w:cs="Arial"/>
          <w:i/>
          <w:iCs/>
          <w:szCs w:val="24"/>
        </w:rPr>
        <w:t xml:space="preserve">Hanington </w:t>
      </w:r>
      <w:r>
        <w:rPr>
          <w:rFonts w:cs="Arial"/>
          <w:szCs w:val="24"/>
        </w:rPr>
        <w:t>Q</w:t>
      </w:r>
      <w:r>
        <w:rPr>
          <w:rFonts w:cs="Arial"/>
          <w:smallCaps/>
          <w:szCs w:val="24"/>
        </w:rPr>
        <w:t xml:space="preserve">.C. </w:t>
      </w:r>
      <w:r>
        <w:rPr>
          <w:rFonts w:cs="Arial"/>
          <w:szCs w:val="24"/>
        </w:rPr>
        <w:t>for the respondent, were not called upon.</w:t>
      </w:r>
    </w:p>
    <w:p w:rsidR="003B7D5D" w:rsidRDefault="002F518D" w:rsidP="002F518D">
      <w:pPr>
        <w:pStyle w:val="Reasons"/>
        <w:rPr>
          <w:rFonts w:cs="Arial"/>
          <w:szCs w:val="24"/>
        </w:rPr>
      </w:pPr>
      <w:r w:rsidRPr="002F518D">
        <w:rPr>
          <w:rFonts w:cs="Arial"/>
          <w:szCs w:val="24"/>
        </w:rPr>
        <w:t>THE CHIEF JUSTICE</w:t>
      </w:r>
      <w:r w:rsidR="003B7D5D">
        <w:rPr>
          <w:rFonts w:cs="Arial"/>
          <w:szCs w:val="24"/>
        </w:rPr>
        <w:t>.—(Oral.) We are all of opinion that the judgment pronounced by the Supreme Court of New Brunswick in this case was quite correct, with one exception. There is no doubt that the bill of sale to McAllister &amp; Mott was "a change of interest," which avoided the policy under the first condition. The insured claimed that this forfeiture was waived, but McAllister &amp; Mott, being agents only for the purpose of receiving applications and forwarding them to the head office, had no authority to waive it, and Whittaker, the resident secretary and the only person whose acts could bind the company, knew nothing of the bill of sale having been given, and could not be said to have elected to treat the policy as in force after a forfeiture of which he was ignorant. Therefore, without discussing any of the other questions that have been argued on behalf of the appellant, and</w:t>
      </w:r>
    </w:p>
    <w:p w:rsidR="003B7D5D" w:rsidRDefault="00E045C7" w:rsidP="00E045C7">
      <w:pPr>
        <w:pStyle w:val="Page"/>
      </w:pPr>
      <w:r>
        <w:rPr>
          <w:rFonts w:cs="Arial"/>
          <w:szCs w:val="24"/>
        </w:rPr>
        <w:t xml:space="preserve">[Page </w:t>
      </w:r>
      <w:r w:rsidR="003B7D5D">
        <w:rPr>
          <w:rFonts w:cs="Arial"/>
          <w:szCs w:val="24"/>
        </w:rPr>
        <w:t>588]</w:t>
      </w:r>
    </w:p>
    <w:p w:rsidR="003B7D5D" w:rsidRDefault="003B7D5D" w:rsidP="002F518D">
      <w:pPr>
        <w:pStyle w:val="Reasons"/>
      </w:pPr>
      <w:r>
        <w:t>which are all fully and ably dealt with by Mr. Justice Barker, in his judgment in the court below, we are of opinion that the appeal fails on the ground mentioned and must be dismissed.</w:t>
      </w:r>
    </w:p>
    <w:p w:rsidR="003B7D5D" w:rsidRDefault="003B7D5D" w:rsidP="002F518D">
      <w:pPr>
        <w:pStyle w:val="Reasons"/>
        <w:rPr>
          <w:rFonts w:cs="Arial"/>
          <w:szCs w:val="24"/>
        </w:rPr>
      </w:pPr>
      <w:r>
        <w:rPr>
          <w:rFonts w:cs="Arial"/>
          <w:szCs w:val="24"/>
        </w:rPr>
        <w:t>Further, we think the court below should have ordered the entry of a verdict for the defendants instead of directing a nonsuit, and their judgment should be varied in this respect</w:t>
      </w:r>
    </w:p>
    <w:p w:rsidR="003B7D5D" w:rsidRDefault="003B7D5D" w:rsidP="002F518D">
      <w:pPr>
        <w:pStyle w:val="Reasons"/>
        <w:rPr>
          <w:rFonts w:cs="Arial"/>
          <w:szCs w:val="24"/>
        </w:rPr>
      </w:pPr>
      <w:r>
        <w:rPr>
          <w:rFonts w:cs="Arial"/>
          <w:szCs w:val="24"/>
        </w:rPr>
        <w:t>Subject to this variation the appeal is dismissed with costs.</w:t>
      </w:r>
    </w:p>
    <w:p w:rsidR="003B7D5D" w:rsidRPr="002F518D" w:rsidRDefault="003B7D5D" w:rsidP="002F518D">
      <w:pPr>
        <w:pStyle w:val="Reasons"/>
      </w:pPr>
      <w:r w:rsidRPr="002F518D">
        <w:t>Judgment varied as above stated and subject thereto appeal dismissed with costs.</w:t>
      </w:r>
    </w:p>
    <w:p w:rsidR="003B7D5D" w:rsidRDefault="003B7D5D" w:rsidP="002F518D">
      <w:pPr>
        <w:pStyle w:val="Sollicitors"/>
        <w:rPr>
          <w:iCs/>
        </w:rPr>
      </w:pPr>
      <w:r>
        <w:t xml:space="preserve">Solicitors for the appellant: </w:t>
      </w:r>
      <w:r>
        <w:rPr>
          <w:iCs/>
        </w:rPr>
        <w:t>Weldon &amp; McLean.</w:t>
      </w:r>
    </w:p>
    <w:p w:rsidR="003824D9" w:rsidRDefault="003B7D5D" w:rsidP="002F518D">
      <w:pPr>
        <w:pStyle w:val="Sollicitors"/>
      </w:pPr>
      <w:r>
        <w:t xml:space="preserve">Solicitor for the respondent: </w:t>
      </w:r>
      <w:r>
        <w:rPr>
          <w:iCs/>
        </w:rPr>
        <w:t>A. H. Hanington.</w:t>
      </w:r>
    </w:p>
    <w:sectPr w:rsidR="003824D9" w:rsidSect="00B62316">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3E45" w:rsidRDefault="00C03E45" w:rsidP="00B62316">
      <w:r>
        <w:separator/>
      </w:r>
    </w:p>
  </w:endnote>
  <w:endnote w:type="continuationSeparator" w:id="1">
    <w:p w:rsidR="00C03E45" w:rsidRDefault="00C03E45" w:rsidP="00B623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316" w:rsidRDefault="00B623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316" w:rsidRDefault="00B6231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316" w:rsidRDefault="00B623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3E45" w:rsidRDefault="00C03E45" w:rsidP="00B62316">
      <w:r>
        <w:separator/>
      </w:r>
    </w:p>
  </w:footnote>
  <w:footnote w:type="continuationSeparator" w:id="1">
    <w:p w:rsidR="00C03E45" w:rsidRDefault="00C03E45" w:rsidP="00B62316">
      <w:r>
        <w:continuationSeparator/>
      </w:r>
    </w:p>
  </w:footnote>
  <w:footnote w:id="2">
    <w:p w:rsidR="00442A3D" w:rsidRPr="00442A3D" w:rsidRDefault="00442A3D">
      <w:pPr>
        <w:pStyle w:val="FootnoteText"/>
        <w:rPr>
          <w:lang w:val="en-US"/>
        </w:rPr>
      </w:pPr>
      <w:r>
        <w:rPr>
          <w:rStyle w:val="FootnoteReference"/>
        </w:rPr>
        <w:footnoteRef/>
      </w:r>
      <w:r>
        <w:t xml:space="preserve"> </w:t>
      </w:r>
      <w:r>
        <w:rPr>
          <w:rFonts w:cs="Arial"/>
          <w:szCs w:val="24"/>
        </w:rPr>
        <w:t>43 N. J. L. E. 652.</w:t>
      </w:r>
    </w:p>
  </w:footnote>
  <w:footnote w:id="3">
    <w:p w:rsidR="00442A3D" w:rsidRPr="00442A3D" w:rsidRDefault="00442A3D">
      <w:pPr>
        <w:pStyle w:val="FootnoteText"/>
        <w:rPr>
          <w:lang w:val="en-US"/>
        </w:rPr>
      </w:pPr>
      <w:r>
        <w:rPr>
          <w:rStyle w:val="FootnoteReference"/>
        </w:rPr>
        <w:footnoteRef/>
      </w:r>
      <w:r>
        <w:t xml:space="preserve"> </w:t>
      </w:r>
      <w:r>
        <w:rPr>
          <w:rFonts w:cs="Arial"/>
          <w:szCs w:val="24"/>
        </w:rPr>
        <w:t>13 Wall. 222.</w:t>
      </w:r>
    </w:p>
  </w:footnote>
  <w:footnote w:id="4">
    <w:p w:rsidR="00442A3D" w:rsidRPr="00442A3D" w:rsidRDefault="00442A3D">
      <w:pPr>
        <w:pStyle w:val="FootnoteText"/>
        <w:rPr>
          <w:lang w:val="en-US"/>
        </w:rPr>
      </w:pPr>
      <w:r>
        <w:rPr>
          <w:rStyle w:val="FootnoteReference"/>
        </w:rPr>
        <w:footnoteRef/>
      </w:r>
      <w:r>
        <w:t xml:space="preserve"> </w:t>
      </w:r>
      <w:r>
        <w:rPr>
          <w:rFonts w:cs="Arial"/>
          <w:szCs w:val="24"/>
        </w:rPr>
        <w:t>[1892] 2 Q. B. 534.</w:t>
      </w:r>
    </w:p>
  </w:footnote>
  <w:footnote w:id="5">
    <w:p w:rsidR="00442A3D" w:rsidRPr="00442A3D" w:rsidRDefault="00442A3D">
      <w:pPr>
        <w:pStyle w:val="FootnoteText"/>
        <w:rPr>
          <w:lang w:val="en-US"/>
        </w:rPr>
      </w:pPr>
      <w:r>
        <w:rPr>
          <w:rStyle w:val="FootnoteReference"/>
        </w:rPr>
        <w:footnoteRef/>
      </w:r>
      <w:r>
        <w:t xml:space="preserve"> </w:t>
      </w:r>
      <w:r>
        <w:rPr>
          <w:rFonts w:cs="Arial"/>
          <w:szCs w:val="24"/>
        </w:rPr>
        <w:t>103 Mass. 78.</w:t>
      </w:r>
    </w:p>
  </w:footnote>
  <w:footnote w:id="6">
    <w:p w:rsidR="00442A3D" w:rsidRPr="00442A3D" w:rsidRDefault="00442A3D">
      <w:pPr>
        <w:pStyle w:val="FootnoteText"/>
        <w:rPr>
          <w:lang w:val="en-US"/>
        </w:rPr>
      </w:pPr>
      <w:r>
        <w:rPr>
          <w:rStyle w:val="FootnoteReference"/>
        </w:rPr>
        <w:footnoteRef/>
      </w:r>
      <w:r>
        <w:t xml:space="preserve"> </w:t>
      </w:r>
      <w:r>
        <w:rPr>
          <w:rFonts w:cs="Arial"/>
          <w:szCs w:val="24"/>
        </w:rPr>
        <w:t>5 DeG. M &amp; G. 265.</w:t>
      </w:r>
    </w:p>
  </w:footnote>
  <w:footnote w:id="7">
    <w:p w:rsidR="00442A3D" w:rsidRPr="00442A3D" w:rsidRDefault="00442A3D">
      <w:pPr>
        <w:pStyle w:val="FootnoteText"/>
        <w:rPr>
          <w:lang w:val="en-US"/>
        </w:rPr>
      </w:pPr>
      <w:r>
        <w:rPr>
          <w:rStyle w:val="FootnoteReference"/>
        </w:rPr>
        <w:footnoteRef/>
      </w:r>
      <w:r>
        <w:t xml:space="preserve"> </w:t>
      </w:r>
      <w:r>
        <w:rPr>
          <w:rFonts w:cs="Arial"/>
          <w:szCs w:val="24"/>
        </w:rPr>
        <w:t>4 Can. S. C. R. 660.</w:t>
      </w:r>
    </w:p>
  </w:footnote>
  <w:footnote w:id="8">
    <w:p w:rsidR="00442A3D" w:rsidRPr="00442A3D" w:rsidRDefault="00442A3D">
      <w:pPr>
        <w:pStyle w:val="FootnoteText"/>
        <w:rPr>
          <w:lang w:val="en-US"/>
        </w:rPr>
      </w:pPr>
      <w:r>
        <w:rPr>
          <w:rStyle w:val="FootnoteReference"/>
        </w:rPr>
        <w:footnoteRef/>
      </w:r>
      <w:r>
        <w:t xml:space="preserve"> </w:t>
      </w:r>
      <w:r>
        <w:rPr>
          <w:rFonts w:cs="Arial"/>
          <w:szCs w:val="24"/>
        </w:rPr>
        <w:t>5 Pick. (Mass.) 76.</w:t>
      </w:r>
    </w:p>
  </w:footnote>
  <w:footnote w:id="9">
    <w:p w:rsidR="00442A3D" w:rsidRPr="00442A3D" w:rsidRDefault="00442A3D">
      <w:pPr>
        <w:pStyle w:val="FootnoteText"/>
        <w:rPr>
          <w:lang w:val="en-US"/>
        </w:rPr>
      </w:pPr>
      <w:r>
        <w:rPr>
          <w:rStyle w:val="FootnoteReference"/>
        </w:rPr>
        <w:footnoteRef/>
      </w:r>
      <w:r>
        <w:t xml:space="preserve"> </w:t>
      </w:r>
      <w:r>
        <w:rPr>
          <w:rFonts w:cs="Arial"/>
          <w:szCs w:val="24"/>
        </w:rPr>
        <w:t>11 Can. S. C. R. 212.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316" w:rsidRDefault="00B6231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316" w:rsidRDefault="00B6231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316" w:rsidRDefault="00B623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D958ADDE">
      <w:start w:val="1"/>
      <w:numFmt w:val="decimal"/>
      <w:pStyle w:val="ParagNum"/>
      <w:lvlText w:val="[%1]"/>
      <w:lvlJc w:val="left"/>
      <w:pPr>
        <w:tabs>
          <w:tab w:val="num" w:pos="369"/>
        </w:tabs>
        <w:ind w:left="369" w:hanging="369"/>
      </w:pPr>
    </w:lvl>
    <w:lvl w:ilvl="1" w:tplc="C0BA4008" w:tentative="1">
      <w:start w:val="1"/>
      <w:numFmt w:val="lowerLetter"/>
      <w:lvlText w:val="%2."/>
      <w:lvlJc w:val="left"/>
      <w:pPr>
        <w:tabs>
          <w:tab w:val="num" w:pos="1440"/>
        </w:tabs>
        <w:ind w:left="1440" w:hanging="360"/>
      </w:pPr>
    </w:lvl>
    <w:lvl w:ilvl="2" w:tplc="E74282AC" w:tentative="1">
      <w:start w:val="1"/>
      <w:numFmt w:val="lowerRoman"/>
      <w:lvlText w:val="%3."/>
      <w:lvlJc w:val="right"/>
      <w:pPr>
        <w:tabs>
          <w:tab w:val="num" w:pos="2160"/>
        </w:tabs>
        <w:ind w:left="2160" w:hanging="180"/>
      </w:pPr>
    </w:lvl>
    <w:lvl w:ilvl="3" w:tplc="9AD690AE" w:tentative="1">
      <w:start w:val="1"/>
      <w:numFmt w:val="decimal"/>
      <w:lvlText w:val="%4."/>
      <w:lvlJc w:val="left"/>
      <w:pPr>
        <w:tabs>
          <w:tab w:val="num" w:pos="2880"/>
        </w:tabs>
        <w:ind w:left="2880" w:hanging="360"/>
      </w:pPr>
    </w:lvl>
    <w:lvl w:ilvl="4" w:tplc="CE0C543E" w:tentative="1">
      <w:start w:val="1"/>
      <w:numFmt w:val="lowerLetter"/>
      <w:lvlText w:val="%5."/>
      <w:lvlJc w:val="left"/>
      <w:pPr>
        <w:tabs>
          <w:tab w:val="num" w:pos="3600"/>
        </w:tabs>
        <w:ind w:left="3600" w:hanging="360"/>
      </w:pPr>
    </w:lvl>
    <w:lvl w:ilvl="5" w:tplc="59C655EA" w:tentative="1">
      <w:start w:val="1"/>
      <w:numFmt w:val="lowerRoman"/>
      <w:lvlText w:val="%6."/>
      <w:lvlJc w:val="right"/>
      <w:pPr>
        <w:tabs>
          <w:tab w:val="num" w:pos="4320"/>
        </w:tabs>
        <w:ind w:left="4320" w:hanging="180"/>
      </w:pPr>
    </w:lvl>
    <w:lvl w:ilvl="6" w:tplc="651C401A" w:tentative="1">
      <w:start w:val="1"/>
      <w:numFmt w:val="decimal"/>
      <w:lvlText w:val="%7."/>
      <w:lvlJc w:val="left"/>
      <w:pPr>
        <w:tabs>
          <w:tab w:val="num" w:pos="5040"/>
        </w:tabs>
        <w:ind w:left="5040" w:hanging="360"/>
      </w:pPr>
    </w:lvl>
    <w:lvl w:ilvl="7" w:tplc="7B9C717C" w:tentative="1">
      <w:start w:val="1"/>
      <w:numFmt w:val="lowerLetter"/>
      <w:lvlText w:val="%8."/>
      <w:lvlJc w:val="left"/>
      <w:pPr>
        <w:tabs>
          <w:tab w:val="num" w:pos="5760"/>
        </w:tabs>
        <w:ind w:left="5760" w:hanging="360"/>
      </w:pPr>
    </w:lvl>
    <w:lvl w:ilvl="8" w:tplc="2FF88BA0"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B7D5D"/>
    <w:rsid w:val="00013FDA"/>
    <w:rsid w:val="000173FB"/>
    <w:rsid w:val="00017E64"/>
    <w:rsid w:val="000655EC"/>
    <w:rsid w:val="00077D2F"/>
    <w:rsid w:val="0008547A"/>
    <w:rsid w:val="000B6688"/>
    <w:rsid w:val="000C3415"/>
    <w:rsid w:val="000F0C70"/>
    <w:rsid w:val="00121409"/>
    <w:rsid w:val="00125F0C"/>
    <w:rsid w:val="00126A8E"/>
    <w:rsid w:val="001505EE"/>
    <w:rsid w:val="001837F3"/>
    <w:rsid w:val="001D0D42"/>
    <w:rsid w:val="001D5C4A"/>
    <w:rsid w:val="001F2F36"/>
    <w:rsid w:val="001F6A76"/>
    <w:rsid w:val="002209AC"/>
    <w:rsid w:val="002428EB"/>
    <w:rsid w:val="002A74DD"/>
    <w:rsid w:val="002B0F6A"/>
    <w:rsid w:val="002B30C5"/>
    <w:rsid w:val="002C186C"/>
    <w:rsid w:val="002D5E01"/>
    <w:rsid w:val="002F4F64"/>
    <w:rsid w:val="002F518D"/>
    <w:rsid w:val="002F7D00"/>
    <w:rsid w:val="00345BF7"/>
    <w:rsid w:val="00361108"/>
    <w:rsid w:val="003824D9"/>
    <w:rsid w:val="003B7D5D"/>
    <w:rsid w:val="003E5AF5"/>
    <w:rsid w:val="003F602F"/>
    <w:rsid w:val="004277EE"/>
    <w:rsid w:val="0043543D"/>
    <w:rsid w:val="00440111"/>
    <w:rsid w:val="00442713"/>
    <w:rsid w:val="00442A3D"/>
    <w:rsid w:val="00457BC5"/>
    <w:rsid w:val="00463F5F"/>
    <w:rsid w:val="00482CDC"/>
    <w:rsid w:val="004B25DB"/>
    <w:rsid w:val="004C0D17"/>
    <w:rsid w:val="004C7ED4"/>
    <w:rsid w:val="00511D93"/>
    <w:rsid w:val="00514003"/>
    <w:rsid w:val="00537980"/>
    <w:rsid w:val="00563767"/>
    <w:rsid w:val="005667DA"/>
    <w:rsid w:val="00593C8B"/>
    <w:rsid w:val="005F0B80"/>
    <w:rsid w:val="006335C6"/>
    <w:rsid w:val="00644967"/>
    <w:rsid w:val="006D2BED"/>
    <w:rsid w:val="006D6F42"/>
    <w:rsid w:val="006E5FEA"/>
    <w:rsid w:val="00747F2C"/>
    <w:rsid w:val="00751F7D"/>
    <w:rsid w:val="007969C4"/>
    <w:rsid w:val="007B3A90"/>
    <w:rsid w:val="007D6DD5"/>
    <w:rsid w:val="008027F3"/>
    <w:rsid w:val="008433A9"/>
    <w:rsid w:val="008550EF"/>
    <w:rsid w:val="00872F75"/>
    <w:rsid w:val="00880FBB"/>
    <w:rsid w:val="00893693"/>
    <w:rsid w:val="008A17B8"/>
    <w:rsid w:val="008B0B7A"/>
    <w:rsid w:val="00926406"/>
    <w:rsid w:val="009A7B1B"/>
    <w:rsid w:val="009D37B6"/>
    <w:rsid w:val="009E64DC"/>
    <w:rsid w:val="00A17F71"/>
    <w:rsid w:val="00A42830"/>
    <w:rsid w:val="00A4371F"/>
    <w:rsid w:val="00A54E5B"/>
    <w:rsid w:val="00A61128"/>
    <w:rsid w:val="00A91F37"/>
    <w:rsid w:val="00A94C52"/>
    <w:rsid w:val="00AB09B8"/>
    <w:rsid w:val="00B007EC"/>
    <w:rsid w:val="00B177F7"/>
    <w:rsid w:val="00B41B49"/>
    <w:rsid w:val="00B532F0"/>
    <w:rsid w:val="00B62316"/>
    <w:rsid w:val="00B639A4"/>
    <w:rsid w:val="00B772A6"/>
    <w:rsid w:val="00BC4595"/>
    <w:rsid w:val="00C03E45"/>
    <w:rsid w:val="00C372DF"/>
    <w:rsid w:val="00C45FBD"/>
    <w:rsid w:val="00C54EB9"/>
    <w:rsid w:val="00C7016B"/>
    <w:rsid w:val="00C93FA5"/>
    <w:rsid w:val="00C96ED2"/>
    <w:rsid w:val="00CB726B"/>
    <w:rsid w:val="00CC50DD"/>
    <w:rsid w:val="00CD1289"/>
    <w:rsid w:val="00CD1F09"/>
    <w:rsid w:val="00CD50FC"/>
    <w:rsid w:val="00CE2A11"/>
    <w:rsid w:val="00CF1E48"/>
    <w:rsid w:val="00D00550"/>
    <w:rsid w:val="00D306D2"/>
    <w:rsid w:val="00D45866"/>
    <w:rsid w:val="00D9036C"/>
    <w:rsid w:val="00DC4119"/>
    <w:rsid w:val="00DE30DC"/>
    <w:rsid w:val="00E045C7"/>
    <w:rsid w:val="00E1124B"/>
    <w:rsid w:val="00E114A9"/>
    <w:rsid w:val="00E117BD"/>
    <w:rsid w:val="00E30F5A"/>
    <w:rsid w:val="00E40016"/>
    <w:rsid w:val="00E407E4"/>
    <w:rsid w:val="00E43349"/>
    <w:rsid w:val="00E51D18"/>
    <w:rsid w:val="00E80E37"/>
    <w:rsid w:val="00E86DF4"/>
    <w:rsid w:val="00EB3437"/>
    <w:rsid w:val="00EF2358"/>
    <w:rsid w:val="00F13669"/>
    <w:rsid w:val="00F177D8"/>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C0D17"/>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4C0D17"/>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4C0D17"/>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4C0D17"/>
  </w:style>
  <w:style w:type="paragraph" w:styleId="Header">
    <w:name w:val="header"/>
    <w:basedOn w:val="Normal"/>
    <w:link w:val="HeaderChar"/>
    <w:uiPriority w:val="99"/>
    <w:unhideWhenUsed/>
    <w:rsid w:val="004C0D17"/>
    <w:pPr>
      <w:tabs>
        <w:tab w:val="center" w:pos="4680"/>
        <w:tab w:val="right" w:pos="9360"/>
      </w:tabs>
    </w:pPr>
    <w:rPr>
      <w:rFonts w:ascii="Times New Roman" w:hAnsi="Times New Roman"/>
    </w:rPr>
  </w:style>
  <w:style w:type="character" w:customStyle="1" w:styleId="HeaderChar">
    <w:name w:val="Header Char"/>
    <w:link w:val="Header"/>
    <w:uiPriority w:val="99"/>
    <w:rsid w:val="004C0D17"/>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4C0D17"/>
    <w:pPr>
      <w:tabs>
        <w:tab w:val="center" w:pos="4680"/>
        <w:tab w:val="right" w:pos="9360"/>
      </w:tabs>
    </w:pPr>
    <w:rPr>
      <w:rFonts w:ascii="Times New Roman" w:hAnsi="Times New Roman"/>
    </w:rPr>
  </w:style>
  <w:style w:type="character" w:customStyle="1" w:styleId="FooterChar">
    <w:name w:val="Footer Char"/>
    <w:link w:val="Footer"/>
    <w:uiPriority w:val="99"/>
    <w:rsid w:val="004C0D17"/>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0F0C70"/>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4C0D17"/>
    <w:pPr>
      <w:spacing w:before="100" w:beforeAutospacing="1"/>
      <w:ind w:left="567"/>
      <w:jc w:val="both"/>
    </w:pPr>
  </w:style>
  <w:style w:type="paragraph" w:customStyle="1" w:styleId="Metadata">
    <w:name w:val="Metadata"/>
    <w:basedOn w:val="Normal"/>
    <w:rsid w:val="004C0D17"/>
    <w:pPr>
      <w:spacing w:before="100" w:beforeAutospacing="1" w:after="100" w:afterAutospacing="1"/>
    </w:pPr>
    <w:rPr>
      <w:rFonts w:cs="Arial"/>
      <w:szCs w:val="24"/>
    </w:rPr>
  </w:style>
  <w:style w:type="paragraph" w:customStyle="1" w:styleId="Page">
    <w:name w:val="Page"/>
    <w:basedOn w:val="Normal"/>
    <w:link w:val="PageChar"/>
    <w:rsid w:val="004C0D17"/>
    <w:pPr>
      <w:spacing w:before="100" w:beforeAutospacing="1" w:after="100" w:afterAutospacing="1"/>
    </w:pPr>
    <w:rPr>
      <w:i/>
    </w:rPr>
  </w:style>
  <w:style w:type="paragraph" w:styleId="FootnoteText">
    <w:name w:val="footnote text"/>
    <w:basedOn w:val="Normal"/>
    <w:link w:val="FootnoteTextChar"/>
    <w:autoRedefine/>
    <w:semiHidden/>
    <w:rsid w:val="004C0D17"/>
    <w:rPr>
      <w:sz w:val="16"/>
      <w:szCs w:val="20"/>
    </w:rPr>
  </w:style>
  <w:style w:type="character" w:customStyle="1" w:styleId="FootnoteTextChar">
    <w:name w:val="Footnote Text Char"/>
    <w:link w:val="FootnoteText"/>
    <w:semiHidden/>
    <w:rsid w:val="004C0D17"/>
    <w:rPr>
      <w:rFonts w:ascii="Arial" w:eastAsia="MS Mincho" w:hAnsi="Arial" w:cs="Times New Roman"/>
      <w:sz w:val="16"/>
      <w:szCs w:val="20"/>
      <w:lang w:val="en-CA" w:eastAsia="ja-JP"/>
    </w:rPr>
  </w:style>
  <w:style w:type="character" w:styleId="FootnoteReference">
    <w:name w:val="footnote reference"/>
    <w:semiHidden/>
    <w:rsid w:val="004C0D17"/>
    <w:rPr>
      <w:vertAlign w:val="superscript"/>
    </w:rPr>
  </w:style>
  <w:style w:type="paragraph" w:customStyle="1" w:styleId="ParagNum">
    <w:name w:val="ParagNum"/>
    <w:basedOn w:val="Normal"/>
    <w:rsid w:val="004C0D17"/>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4C0D17"/>
    <w:pPr>
      <w:spacing w:before="100" w:beforeAutospacing="1" w:after="100" w:afterAutospacing="1" w:line="360" w:lineRule="auto"/>
    </w:pPr>
  </w:style>
  <w:style w:type="paragraph" w:customStyle="1" w:styleId="Indent2">
    <w:name w:val="Indent 2"/>
    <w:basedOn w:val="Indent1"/>
    <w:rsid w:val="004C0D17"/>
    <w:pPr>
      <w:ind w:left="1134"/>
    </w:pPr>
  </w:style>
  <w:style w:type="paragraph" w:customStyle="1" w:styleId="Indent3">
    <w:name w:val="Indent 3"/>
    <w:basedOn w:val="Indent1"/>
    <w:rsid w:val="004C0D17"/>
    <w:pPr>
      <w:ind w:left="1701"/>
    </w:pPr>
  </w:style>
  <w:style w:type="paragraph" w:customStyle="1" w:styleId="Indent4">
    <w:name w:val="Indent 4"/>
    <w:basedOn w:val="Indent1"/>
    <w:rsid w:val="004C0D17"/>
    <w:pPr>
      <w:ind w:left="2268"/>
    </w:pPr>
  </w:style>
  <w:style w:type="paragraph" w:customStyle="1" w:styleId="Indent10">
    <w:name w:val="Indent1"/>
    <w:basedOn w:val="Reasons"/>
    <w:rsid w:val="004C0D17"/>
    <w:pPr>
      <w:ind w:left="567"/>
    </w:pPr>
  </w:style>
  <w:style w:type="paragraph" w:customStyle="1" w:styleId="Indent20">
    <w:name w:val="Indent2"/>
    <w:basedOn w:val="Indent10"/>
    <w:rsid w:val="004C0D17"/>
    <w:pPr>
      <w:ind w:left="1134"/>
    </w:pPr>
  </w:style>
  <w:style w:type="paragraph" w:customStyle="1" w:styleId="Indent30">
    <w:name w:val="Indent3"/>
    <w:basedOn w:val="Indent10"/>
    <w:rsid w:val="004C0D17"/>
    <w:pPr>
      <w:ind w:left="1701"/>
    </w:pPr>
  </w:style>
  <w:style w:type="paragraph" w:customStyle="1" w:styleId="Indent40">
    <w:name w:val="Indent4"/>
    <w:basedOn w:val="Indent10"/>
    <w:rsid w:val="004C0D17"/>
    <w:pPr>
      <w:ind w:left="2268"/>
    </w:pPr>
  </w:style>
  <w:style w:type="paragraph" w:customStyle="1" w:styleId="Keywords">
    <w:name w:val="Keywords"/>
    <w:basedOn w:val="Normal"/>
    <w:rsid w:val="004C0D17"/>
    <w:pPr>
      <w:spacing w:before="100" w:beforeAutospacing="1" w:after="100" w:afterAutospacing="1"/>
    </w:pPr>
    <w:rPr>
      <w:rFonts w:cs="Arial"/>
      <w:i/>
      <w:szCs w:val="24"/>
    </w:rPr>
  </w:style>
  <w:style w:type="paragraph" w:customStyle="1" w:styleId="Summary">
    <w:name w:val="Summary"/>
    <w:basedOn w:val="Normal"/>
    <w:autoRedefine/>
    <w:rsid w:val="004C0D17"/>
    <w:pPr>
      <w:spacing w:before="100" w:beforeAutospacing="1" w:after="100" w:afterAutospacing="1"/>
      <w:ind w:left="562" w:hanging="562"/>
    </w:pPr>
    <w:rPr>
      <w:rFonts w:cs="Arial"/>
    </w:rPr>
  </w:style>
  <w:style w:type="paragraph" w:customStyle="1" w:styleId="History">
    <w:name w:val="History"/>
    <w:basedOn w:val="Normal"/>
    <w:rsid w:val="004C0D17"/>
    <w:pPr>
      <w:spacing w:before="100" w:beforeAutospacing="1" w:after="100" w:afterAutospacing="1"/>
      <w:ind w:firstLine="567"/>
    </w:pPr>
  </w:style>
  <w:style w:type="paragraph" w:customStyle="1" w:styleId="T1">
    <w:name w:val="T1"/>
    <w:basedOn w:val="Normal"/>
    <w:rsid w:val="004C0D17"/>
    <w:pPr>
      <w:spacing w:before="240" w:after="100" w:afterAutospacing="1"/>
    </w:pPr>
    <w:rPr>
      <w:b/>
    </w:rPr>
  </w:style>
  <w:style w:type="paragraph" w:customStyle="1" w:styleId="T2">
    <w:name w:val="T2"/>
    <w:basedOn w:val="Normal"/>
    <w:rsid w:val="004C0D17"/>
    <w:pPr>
      <w:spacing w:before="240" w:after="100" w:afterAutospacing="1"/>
    </w:pPr>
  </w:style>
  <w:style w:type="paragraph" w:customStyle="1" w:styleId="Sollicitors">
    <w:name w:val="Sollicitors"/>
    <w:basedOn w:val="Normal"/>
    <w:rsid w:val="004C0D17"/>
    <w:pPr>
      <w:spacing w:before="100" w:beforeAutospacing="1" w:after="100" w:afterAutospacing="1"/>
    </w:pPr>
    <w:rPr>
      <w:i/>
    </w:rPr>
  </w:style>
  <w:style w:type="paragraph" w:customStyle="1" w:styleId="Court">
    <w:name w:val="Court"/>
    <w:basedOn w:val="Normal"/>
    <w:rsid w:val="004C0D17"/>
    <w:rPr>
      <w:rFonts w:cs="Arial"/>
      <w:b/>
      <w:szCs w:val="24"/>
    </w:rPr>
  </w:style>
  <w:style w:type="character" w:customStyle="1" w:styleId="PageChar">
    <w:name w:val="Page Char"/>
    <w:link w:val="Page"/>
    <w:rsid w:val="004C0D17"/>
    <w:rPr>
      <w:rFonts w:ascii="Arial" w:eastAsia="MS Mincho" w:hAnsi="Arial" w:cs="Times New Roman"/>
      <w:i/>
      <w:sz w:val="24"/>
      <w:szCs w:val="28"/>
      <w:lang w:val="en-CA" w:eastAsia="ja-JP"/>
    </w:rPr>
  </w:style>
  <w:style w:type="character" w:customStyle="1" w:styleId="ReasonsCar">
    <w:name w:val="Reasons Car"/>
    <w:link w:val="Reasons"/>
    <w:rsid w:val="004C0D17"/>
    <w:rPr>
      <w:rFonts w:ascii="Arial" w:eastAsia="MS Mincho" w:hAnsi="Arial" w:cs="Times New Roman"/>
      <w:sz w:val="24"/>
      <w:szCs w:val="28"/>
      <w:lang w:val="en-CA" w:eastAsia="ja-JP"/>
    </w:rPr>
  </w:style>
  <w:style w:type="paragraph" w:customStyle="1" w:styleId="CitationLine">
    <w:name w:val="CitationLine"/>
    <w:basedOn w:val="Court"/>
    <w:rsid w:val="004C0D17"/>
  </w:style>
  <w:style w:type="paragraph" w:customStyle="1" w:styleId="DateISO">
    <w:name w:val="DateISO"/>
    <w:basedOn w:val="Court"/>
    <w:rsid w:val="004C0D1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9</TotalTime>
  <Pages>3</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8</cp:revision>
  <dcterms:created xsi:type="dcterms:W3CDTF">2015-03-19T05:43:00Z</dcterms:created>
  <dcterms:modified xsi:type="dcterms:W3CDTF">2015-03-23T15:04:00Z</dcterms:modified>
</cp:coreProperties>
</file>